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tabs>
          <w:tab w:val="right" w:leader="dot" w:pos="9061"/>
        </w:tabs>
        <w:rPr>
          <w:b w:val="0"/>
          <w:bCs w:val="0"/>
          <w:szCs w:val="36"/>
        </w:rPr>
      </w:pPr>
      <w:bookmarkStart w:id="0" w:name="OLE_LINK10"/>
      <w:bookmarkStart w:id="1" w:name="_Hlk212208260"/>
      <w:bookmarkStart w:id="2" w:name="OLE_LINK30"/>
      <w:bookmarkStart w:id="3" w:name="OLE_LINK31"/>
      <w:r>
        <w:rPr>
          <w:rFonts w:hint="eastAsia"/>
          <w:szCs w:val="36"/>
        </w:rPr>
        <w:t>中国重汽集团济南商用车制造公司智能驾驶校准工站改造项目公开</w:t>
      </w:r>
      <w:r>
        <w:rPr>
          <w:szCs w:val="36"/>
        </w:rPr>
        <w:t>招标公告</w:t>
      </w:r>
    </w:p>
    <w:p/>
    <w:p>
      <w:pPr>
        <w:snapToGrid w:val="0"/>
        <w:spacing w:line="320" w:lineRule="exact"/>
        <w:ind w:firstLine="480" w:firstLineChars="200"/>
        <w:rPr>
          <w:rFonts w:ascii="宋体" w:hAnsi="宋体" w:eastAsia="宋体" w:cs="宋体"/>
          <w:sz w:val="24"/>
          <w:szCs w:val="24"/>
        </w:rPr>
      </w:pPr>
      <w:r>
        <w:rPr>
          <w:rFonts w:hint="eastAsia" w:ascii="宋体" w:hAnsi="宋体" w:eastAsia="宋体" w:cs="宋体"/>
          <w:sz w:val="24"/>
          <w:szCs w:val="24"/>
        </w:rPr>
        <w:t>根据</w:t>
      </w:r>
      <w:r>
        <w:rPr>
          <w:rFonts w:hint="eastAsia" w:ascii="宋体" w:hAnsi="宋体" w:eastAsia="宋体" w:cs="宋体"/>
          <w:sz w:val="24"/>
        </w:rPr>
        <w:t>中国重汽集团</w:t>
      </w:r>
      <w:r>
        <w:rPr>
          <w:rFonts w:hint="eastAsia" w:ascii="宋体" w:hAnsi="宋体" w:eastAsia="宋体" w:cs="宋体"/>
          <w:sz w:val="24"/>
          <w:szCs w:val="24"/>
        </w:rPr>
        <w:t>使用需求，对济南商用车制造公司</w:t>
      </w:r>
      <w:r>
        <w:rPr>
          <w:rFonts w:hint="eastAsia" w:ascii="宋体" w:hAnsi="宋体" w:eastAsia="宋体" w:cs="宋体"/>
          <w:sz w:val="24"/>
          <w:szCs w:val="24"/>
          <w:u w:val="single"/>
        </w:rPr>
        <w:t>ADAS基站建设项目</w:t>
      </w:r>
      <w:r>
        <w:rPr>
          <w:rFonts w:hint="eastAsia" w:ascii="宋体" w:hAnsi="宋体" w:eastAsia="宋体" w:cs="宋体"/>
          <w:sz w:val="24"/>
          <w:szCs w:val="24"/>
        </w:rPr>
        <w:t>进行公开招标，资金已落实，该项目</w:t>
      </w:r>
      <w:r>
        <w:rPr>
          <w:rFonts w:ascii="宋体" w:hAnsi="宋体" w:eastAsia="宋体" w:cs="宋体"/>
          <w:sz w:val="24"/>
          <w:szCs w:val="24"/>
        </w:rPr>
        <w:t>已具备招标条件，现组织公开招标，欢迎合格潜在投标人前来参加投标。</w:t>
      </w:r>
    </w:p>
    <w:p>
      <w:pPr>
        <w:numPr>
          <w:ilvl w:val="0"/>
          <w:numId w:val="3"/>
        </w:numPr>
        <w:suppressAutoHyphens/>
        <w:spacing w:line="320" w:lineRule="exact"/>
        <w:rPr>
          <w:rFonts w:ascii="宋体" w:hAnsi="宋体" w:eastAsia="宋体" w:cs="宋体"/>
          <w:b/>
          <w:sz w:val="24"/>
          <w:szCs w:val="24"/>
        </w:rPr>
      </w:pPr>
      <w:r>
        <w:rPr>
          <w:rFonts w:ascii="宋体" w:hAnsi="宋体" w:eastAsia="宋体" w:cs="宋体"/>
          <w:b/>
          <w:sz w:val="24"/>
          <w:szCs w:val="24"/>
        </w:rPr>
        <w:t>项目名称及项目编号</w:t>
      </w:r>
    </w:p>
    <w:p>
      <w:pPr>
        <w:widowControl/>
        <w:spacing w:line="320" w:lineRule="exact"/>
        <w:ind w:firstLine="480" w:firstLineChars="200"/>
        <w:jc w:val="left"/>
        <w:rPr>
          <w:rFonts w:ascii="宋体" w:hAnsi="宋体" w:eastAsia="宋体" w:cs="宋体"/>
          <w:bCs/>
          <w:sz w:val="24"/>
          <w:szCs w:val="24"/>
          <w:u w:val="single"/>
        </w:rPr>
      </w:pPr>
      <w:r>
        <w:rPr>
          <w:rFonts w:hint="eastAsia" w:ascii="宋体" w:hAnsi="宋体" w:eastAsia="宋体" w:cs="宋体"/>
          <w:sz w:val="24"/>
          <w:szCs w:val="24"/>
        </w:rPr>
        <w:t xml:space="preserve">1.1 </w:t>
      </w:r>
      <w:r>
        <w:rPr>
          <w:rFonts w:ascii="宋体" w:hAnsi="宋体" w:eastAsia="宋体" w:cs="宋体"/>
          <w:sz w:val="24"/>
          <w:szCs w:val="24"/>
        </w:rPr>
        <w:t>项目名称</w:t>
      </w:r>
      <w:r>
        <w:rPr>
          <w:rFonts w:hint="eastAsia" w:ascii="宋体" w:hAnsi="宋体" w:eastAsia="宋体" w:cs="宋体"/>
          <w:sz w:val="24"/>
          <w:szCs w:val="24"/>
        </w:rPr>
        <w:t>：</w:t>
      </w:r>
      <w:r>
        <w:rPr>
          <w:rFonts w:hint="eastAsia" w:ascii="宋体" w:hAnsi="宋体" w:eastAsia="宋体" w:cs="宋体"/>
          <w:sz w:val="24"/>
          <w:szCs w:val="24"/>
          <w:u w:val="single"/>
        </w:rPr>
        <w:t>中国重汽集团济南商用车制造公司智能驾驶校准工站改造项目</w:t>
      </w:r>
    </w:p>
    <w:p>
      <w:pPr>
        <w:spacing w:line="320" w:lineRule="exact"/>
        <w:ind w:firstLine="480"/>
        <w:rPr>
          <w:rFonts w:ascii="宋体" w:hAnsi="宋体" w:eastAsia="宋体" w:cs="宋体"/>
          <w:color w:val="C00000"/>
          <w:sz w:val="24"/>
          <w:szCs w:val="24"/>
          <w:u w:val="single"/>
        </w:rPr>
      </w:pPr>
      <w:r>
        <w:rPr>
          <w:rFonts w:hint="eastAsia" w:ascii="宋体" w:hAnsi="宋体" w:eastAsia="宋体" w:cs="宋体"/>
          <w:sz w:val="24"/>
          <w:szCs w:val="24"/>
        </w:rPr>
        <w:t xml:space="preserve">1.2 </w:t>
      </w:r>
      <w:r>
        <w:rPr>
          <w:rFonts w:ascii="宋体" w:hAnsi="宋体" w:eastAsia="宋体" w:cs="宋体"/>
          <w:sz w:val="24"/>
          <w:szCs w:val="24"/>
        </w:rPr>
        <w:t>项目编号：</w:t>
      </w:r>
      <w:r>
        <w:rPr>
          <w:rFonts w:hint="eastAsia" w:ascii="宋体" w:hAnsi="宋体" w:eastAsia="宋体" w:cs="宋体"/>
          <w:sz w:val="24"/>
          <w:szCs w:val="24"/>
          <w:highlight w:val="yellow"/>
        </w:rPr>
        <w:t>FSCZB2025100198</w:t>
      </w:r>
    </w:p>
    <w:p>
      <w:pPr>
        <w:numPr>
          <w:ilvl w:val="0"/>
          <w:numId w:val="3"/>
        </w:numPr>
        <w:suppressAutoHyphens/>
        <w:spacing w:line="320" w:lineRule="exact"/>
        <w:rPr>
          <w:rFonts w:ascii="宋体" w:hAnsi="宋体" w:eastAsia="宋体" w:cs="宋体"/>
          <w:b/>
          <w:sz w:val="24"/>
          <w:szCs w:val="24"/>
        </w:rPr>
      </w:pPr>
      <w:r>
        <w:rPr>
          <w:rFonts w:ascii="宋体" w:hAnsi="宋体" w:eastAsia="宋体" w:cs="宋体"/>
          <w:b/>
          <w:sz w:val="24"/>
          <w:szCs w:val="24"/>
        </w:rPr>
        <w:t>招标内容</w:t>
      </w:r>
    </w:p>
    <w:p>
      <w:pPr>
        <w:spacing w:line="320" w:lineRule="exact"/>
        <w:ind w:firstLine="480" w:firstLineChars="200"/>
        <w:rPr>
          <w:rFonts w:ascii="宋体" w:hAnsi="宋体" w:eastAsia="宋体" w:cs="宋体"/>
          <w:sz w:val="24"/>
          <w:szCs w:val="24"/>
        </w:rPr>
      </w:pPr>
      <w:r>
        <w:rPr>
          <w:rFonts w:hint="eastAsia" w:ascii="宋体" w:hAnsi="宋体" w:eastAsia="宋体" w:cs="宋体"/>
          <w:sz w:val="24"/>
          <w:szCs w:val="24"/>
        </w:rPr>
        <w:t>本次招标为中国重汽集团济南商用车制造公司ADAS基站建设项目，此项目为交钥匙工程。</w:t>
      </w:r>
    </w:p>
    <w:p>
      <w:pPr>
        <w:spacing w:line="320" w:lineRule="exact"/>
        <w:ind w:firstLine="482" w:firstLineChars="200"/>
        <w:rPr>
          <w:rFonts w:ascii="宋体" w:hAnsi="宋体" w:eastAsia="宋体" w:cs="宋体"/>
          <w:b/>
          <w:bCs/>
          <w:sz w:val="24"/>
          <w:szCs w:val="24"/>
        </w:rPr>
      </w:pPr>
    </w:p>
    <w:p>
      <w:pPr>
        <w:spacing w:line="320" w:lineRule="exact"/>
        <w:ind w:firstLine="482" w:firstLineChars="200"/>
        <w:rPr>
          <w:rFonts w:ascii="宋体" w:hAnsi="宋体" w:eastAsia="宋体" w:cs="宋体"/>
          <w:b/>
          <w:bCs/>
          <w:sz w:val="24"/>
          <w:szCs w:val="24"/>
        </w:rPr>
      </w:pPr>
      <w:r>
        <w:rPr>
          <w:rFonts w:hint="eastAsia" w:ascii="宋体" w:hAnsi="宋体" w:eastAsia="宋体" w:cs="宋体"/>
          <w:b/>
          <w:bCs/>
          <w:sz w:val="24"/>
          <w:szCs w:val="24"/>
        </w:rPr>
        <w:t>全投分中：允许</w:t>
      </w:r>
    </w:p>
    <w:tbl>
      <w:tblPr>
        <w:tblStyle w:val="40"/>
        <w:tblpPr w:leftFromText="180" w:rightFromText="180" w:vertAnchor="text" w:horzAnchor="page" w:tblpX="1574" w:tblpY="431"/>
        <w:tblOverlap w:val="never"/>
        <w:tblW w:w="492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1302"/>
        <w:gridCol w:w="683"/>
        <w:gridCol w:w="659"/>
        <w:gridCol w:w="2315"/>
        <w:gridCol w:w="1058"/>
        <w:gridCol w:w="2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337" w:type="pct"/>
            <w:vAlign w:val="center"/>
          </w:tcPr>
          <w:p>
            <w:pPr>
              <w:widowControl/>
              <w:jc w:val="center"/>
              <w:rPr>
                <w:rFonts w:ascii="宋体" w:hAnsi="宋体" w:eastAsia="宋体" w:cs="宋体"/>
                <w:b/>
                <w:bCs/>
                <w:color w:val="000000"/>
                <w:kern w:val="0"/>
                <w:sz w:val="20"/>
              </w:rPr>
            </w:pPr>
            <w:bookmarkStart w:id="4" w:name="OLE_LINK7"/>
            <w:r>
              <w:rPr>
                <w:rFonts w:hint="eastAsia" w:ascii="宋体" w:hAnsi="宋体" w:cs="宋体"/>
                <w:b/>
                <w:bCs/>
                <w:color w:val="000000"/>
                <w:kern w:val="0"/>
                <w:sz w:val="20"/>
              </w:rPr>
              <w:t>分包</w:t>
            </w:r>
          </w:p>
        </w:tc>
        <w:tc>
          <w:tcPr>
            <w:tcW w:w="712" w:type="pct"/>
            <w:vAlign w:val="center"/>
          </w:tcPr>
          <w:p>
            <w:pPr>
              <w:widowControl/>
              <w:jc w:val="center"/>
              <w:rPr>
                <w:rFonts w:ascii="宋体" w:hAnsi="宋体" w:cs="宋体"/>
                <w:b/>
                <w:bCs/>
                <w:color w:val="000000"/>
                <w:kern w:val="0"/>
                <w:sz w:val="20"/>
              </w:rPr>
            </w:pPr>
            <w:r>
              <w:rPr>
                <w:rFonts w:hint="eastAsia" w:ascii="宋体" w:hAnsi="宋体" w:cs="宋体"/>
                <w:b/>
                <w:bCs/>
                <w:color w:val="000000"/>
                <w:kern w:val="0"/>
                <w:sz w:val="20"/>
              </w:rPr>
              <w:t>分包名称</w:t>
            </w:r>
          </w:p>
        </w:tc>
        <w:tc>
          <w:tcPr>
            <w:tcW w:w="373" w:type="pct"/>
            <w:vAlign w:val="center"/>
          </w:tcPr>
          <w:p>
            <w:pPr>
              <w:widowControl/>
              <w:jc w:val="center"/>
              <w:rPr>
                <w:rFonts w:ascii="宋体" w:hAnsi="宋体" w:cs="宋体"/>
                <w:b/>
                <w:bCs/>
                <w:color w:val="000000"/>
                <w:kern w:val="0"/>
                <w:sz w:val="20"/>
              </w:rPr>
            </w:pPr>
            <w:r>
              <w:rPr>
                <w:rFonts w:hint="eastAsia" w:ascii="宋体" w:hAnsi="宋体" w:cs="宋体"/>
                <w:b/>
                <w:bCs/>
                <w:color w:val="000000"/>
                <w:kern w:val="0"/>
                <w:sz w:val="20"/>
              </w:rPr>
              <w:t>单位</w:t>
            </w:r>
          </w:p>
        </w:tc>
        <w:tc>
          <w:tcPr>
            <w:tcW w:w="360" w:type="pct"/>
            <w:vAlign w:val="center"/>
          </w:tcPr>
          <w:p>
            <w:pPr>
              <w:widowControl/>
              <w:jc w:val="center"/>
              <w:rPr>
                <w:rFonts w:ascii="宋体" w:hAnsi="宋体" w:cs="宋体"/>
                <w:b/>
                <w:bCs/>
                <w:color w:val="000000"/>
                <w:kern w:val="0"/>
                <w:sz w:val="20"/>
              </w:rPr>
            </w:pPr>
            <w:r>
              <w:rPr>
                <w:rFonts w:hint="eastAsia" w:ascii="宋体" w:hAnsi="宋体" w:cs="宋体"/>
                <w:b/>
                <w:bCs/>
                <w:color w:val="000000"/>
                <w:kern w:val="0"/>
                <w:sz w:val="20"/>
              </w:rPr>
              <w:t>数量</w:t>
            </w:r>
          </w:p>
        </w:tc>
        <w:tc>
          <w:tcPr>
            <w:tcW w:w="1265" w:type="pct"/>
            <w:vAlign w:val="center"/>
          </w:tcPr>
          <w:p>
            <w:pPr>
              <w:widowControl/>
              <w:jc w:val="center"/>
              <w:rPr>
                <w:rFonts w:ascii="宋体" w:hAnsi="宋体" w:cs="宋体"/>
                <w:b/>
                <w:bCs/>
                <w:color w:val="000000"/>
                <w:kern w:val="0"/>
                <w:sz w:val="20"/>
              </w:rPr>
            </w:pPr>
            <w:r>
              <w:rPr>
                <w:rFonts w:hint="eastAsia" w:ascii="宋体" w:hAnsi="宋体" w:cs="宋体"/>
                <w:b/>
                <w:bCs/>
                <w:color w:val="000000"/>
                <w:kern w:val="0"/>
                <w:sz w:val="20"/>
              </w:rPr>
              <w:t>安装地点/服务对象</w:t>
            </w:r>
          </w:p>
        </w:tc>
        <w:tc>
          <w:tcPr>
            <w:tcW w:w="578" w:type="pct"/>
            <w:vAlign w:val="center"/>
          </w:tcPr>
          <w:p>
            <w:pPr>
              <w:widowControl/>
              <w:jc w:val="center"/>
              <w:rPr>
                <w:rFonts w:ascii="宋体" w:hAnsi="宋体" w:cs="宋体"/>
                <w:b/>
                <w:bCs/>
                <w:color w:val="000000"/>
                <w:kern w:val="0"/>
                <w:sz w:val="20"/>
              </w:rPr>
            </w:pPr>
            <w:r>
              <w:rPr>
                <w:rFonts w:hint="eastAsia" w:ascii="宋体" w:hAnsi="宋体" w:cs="宋体"/>
                <w:b/>
                <w:bCs/>
                <w:color w:val="000000"/>
                <w:kern w:val="0"/>
                <w:sz w:val="20"/>
              </w:rPr>
              <w:t>供货方式</w:t>
            </w:r>
          </w:p>
        </w:tc>
        <w:tc>
          <w:tcPr>
            <w:tcW w:w="1375" w:type="pct"/>
            <w:vAlign w:val="center"/>
          </w:tcPr>
          <w:p>
            <w:pPr>
              <w:widowControl/>
              <w:jc w:val="center"/>
              <w:rPr>
                <w:rFonts w:ascii="宋体" w:hAnsi="宋体" w:cs="宋体"/>
                <w:b/>
                <w:bCs/>
                <w:color w:val="000000"/>
                <w:kern w:val="0"/>
                <w:sz w:val="20"/>
              </w:rPr>
            </w:pPr>
            <w:r>
              <w:rPr>
                <w:rFonts w:hint="eastAsia" w:ascii="宋体" w:hAnsi="宋体" w:cs="宋体"/>
                <w:b/>
                <w:bCs/>
                <w:color w:val="000000"/>
                <w:kern w:val="0"/>
                <w:sz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trPr>
        <w:tc>
          <w:tcPr>
            <w:tcW w:w="337" w:type="pct"/>
            <w:vAlign w:val="center"/>
          </w:tcPr>
          <w:p>
            <w:pPr>
              <w:spacing w:line="360" w:lineRule="auto"/>
              <w:jc w:val="center"/>
              <w:rPr>
                <w:rFonts w:ascii="宋体" w:hAnsi="宋体" w:eastAsia="宋体" w:cs="宋体"/>
                <w:sz w:val="20"/>
                <w:szCs w:val="20"/>
              </w:rPr>
            </w:pPr>
            <w:r>
              <w:rPr>
                <w:rFonts w:hint="eastAsia" w:ascii="宋体" w:hAnsi="宋体" w:eastAsia="宋体" w:cs="宋体"/>
                <w:sz w:val="20"/>
                <w:szCs w:val="20"/>
              </w:rPr>
              <w:t>包1</w:t>
            </w:r>
          </w:p>
        </w:tc>
        <w:tc>
          <w:tcPr>
            <w:tcW w:w="712" w:type="pct"/>
            <w:vAlign w:val="center"/>
          </w:tcPr>
          <w:p>
            <w:pPr>
              <w:keepNext/>
              <w:keepLines/>
              <w:jc w:val="center"/>
              <w:rPr>
                <w:rFonts w:ascii="宋体" w:hAnsi="宋体" w:eastAsia="宋体" w:cs="Times New Roman"/>
                <w:color w:val="000000"/>
                <w:spacing w:val="-8"/>
                <w:sz w:val="20"/>
                <w:szCs w:val="20"/>
              </w:rPr>
            </w:pPr>
            <w:r>
              <w:rPr>
                <w:rFonts w:hint="eastAsia" w:ascii="宋体" w:hAnsi="宋体" w:eastAsia="宋体" w:cs="Times New Roman"/>
                <w:color w:val="000000"/>
                <w:spacing w:val="-8"/>
                <w:sz w:val="20"/>
                <w:szCs w:val="20"/>
              </w:rPr>
              <w:t>中国重汽集团济南商用车制造公司</w:t>
            </w:r>
          </w:p>
          <w:p>
            <w:pPr>
              <w:keepNext/>
              <w:keepLines/>
              <w:jc w:val="center"/>
              <w:rPr>
                <w:rFonts w:ascii="宋体" w:hAnsi="宋体" w:eastAsia="宋体" w:cs="Times New Roman"/>
                <w:color w:val="000000"/>
                <w:spacing w:val="-8"/>
                <w:sz w:val="20"/>
                <w:szCs w:val="20"/>
              </w:rPr>
            </w:pPr>
            <w:r>
              <w:rPr>
                <w:rFonts w:hint="eastAsia" w:ascii="宋体" w:hAnsi="宋体" w:eastAsia="宋体" w:cs="Times New Roman"/>
                <w:color w:val="000000"/>
                <w:spacing w:val="-8"/>
                <w:sz w:val="20"/>
                <w:szCs w:val="20"/>
              </w:rPr>
              <w:t>智能驾驶校准工站改造项目</w:t>
            </w:r>
          </w:p>
        </w:tc>
        <w:tc>
          <w:tcPr>
            <w:tcW w:w="373" w:type="pct"/>
            <w:vAlign w:val="center"/>
          </w:tcPr>
          <w:p>
            <w:pPr>
              <w:spacing w:line="360" w:lineRule="auto"/>
              <w:jc w:val="center"/>
              <w:rPr>
                <w:rFonts w:ascii="宋体" w:hAnsi="宋体" w:eastAsia="宋体" w:cs="宋体"/>
                <w:sz w:val="20"/>
              </w:rPr>
            </w:pPr>
            <w:r>
              <w:rPr>
                <w:rFonts w:hint="eastAsia" w:ascii="宋体" w:hAnsi="宋体" w:eastAsia="宋体" w:cs="宋体"/>
                <w:sz w:val="20"/>
              </w:rPr>
              <w:t>套</w:t>
            </w:r>
          </w:p>
        </w:tc>
        <w:tc>
          <w:tcPr>
            <w:tcW w:w="360" w:type="pct"/>
            <w:vAlign w:val="center"/>
          </w:tcPr>
          <w:p>
            <w:pPr>
              <w:spacing w:line="360" w:lineRule="auto"/>
              <w:jc w:val="center"/>
              <w:rPr>
                <w:rFonts w:ascii="宋体" w:hAnsi="宋体" w:eastAsia="宋体" w:cs="宋体"/>
                <w:sz w:val="20"/>
              </w:rPr>
            </w:pPr>
            <w:r>
              <w:rPr>
                <w:rFonts w:hint="eastAsia" w:ascii="宋体" w:hAnsi="宋体" w:eastAsia="宋体" w:cs="宋体"/>
                <w:sz w:val="20"/>
              </w:rPr>
              <w:t>1</w:t>
            </w:r>
          </w:p>
        </w:tc>
        <w:tc>
          <w:tcPr>
            <w:tcW w:w="1265" w:type="pct"/>
            <w:vAlign w:val="center"/>
          </w:tcPr>
          <w:p>
            <w:pPr>
              <w:spacing w:line="360" w:lineRule="auto"/>
              <w:jc w:val="center"/>
              <w:rPr>
                <w:rFonts w:ascii="宋体" w:hAnsi="宋体" w:eastAsia="宋体" w:cs="宋体"/>
                <w:sz w:val="20"/>
              </w:rPr>
            </w:pPr>
            <w:r>
              <w:rPr>
                <w:rFonts w:hint="eastAsia" w:ascii="宋体" w:hAnsi="宋体" w:eastAsia="宋体" w:cs="宋体"/>
                <w:sz w:val="20"/>
              </w:rPr>
              <w:t>济南商用车制造公司</w:t>
            </w:r>
          </w:p>
        </w:tc>
        <w:tc>
          <w:tcPr>
            <w:tcW w:w="578" w:type="pct"/>
            <w:vMerge w:val="restart"/>
            <w:vAlign w:val="center"/>
          </w:tcPr>
          <w:p>
            <w:pPr>
              <w:spacing w:line="360" w:lineRule="auto"/>
              <w:jc w:val="center"/>
              <w:rPr>
                <w:rFonts w:ascii="宋体" w:hAnsi="宋体" w:eastAsia="宋体" w:cs="宋体"/>
                <w:sz w:val="20"/>
              </w:rPr>
            </w:pPr>
            <w:r>
              <w:rPr>
                <w:rFonts w:hint="eastAsia" w:ascii="宋体" w:hAnsi="宋体" w:eastAsia="宋体" w:cs="宋体"/>
                <w:sz w:val="20"/>
              </w:rPr>
              <w:t>交钥匙</w:t>
            </w:r>
          </w:p>
        </w:tc>
        <w:tc>
          <w:tcPr>
            <w:tcW w:w="1375" w:type="pct"/>
            <w:vAlign w:val="center"/>
          </w:tcPr>
          <w:p>
            <w:pPr>
              <w:spacing w:line="360" w:lineRule="auto"/>
              <w:jc w:val="center"/>
              <w:rPr>
                <w:rFonts w:ascii="宋体" w:hAnsi="宋体" w:eastAsia="宋体" w:cs="宋体"/>
                <w:sz w:val="20"/>
              </w:rPr>
            </w:pPr>
            <w:r>
              <w:rPr>
                <w:rFonts w:hint="eastAsia" w:ascii="宋体" w:hAnsi="宋体" w:eastAsia="宋体" w:cs="宋体"/>
                <w:sz w:val="20"/>
              </w:rPr>
              <w:t>改造1套四轮定位AEBS标定设备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337" w:type="pct"/>
            <w:vAlign w:val="center"/>
          </w:tcPr>
          <w:p>
            <w:pPr>
              <w:spacing w:line="360" w:lineRule="auto"/>
              <w:jc w:val="center"/>
              <w:rPr>
                <w:rFonts w:ascii="宋体" w:hAnsi="宋体" w:eastAsia="宋体" w:cs="宋体"/>
                <w:sz w:val="20"/>
              </w:rPr>
            </w:pPr>
            <w:r>
              <w:rPr>
                <w:rFonts w:hint="eastAsia" w:ascii="宋体" w:hAnsi="宋体" w:eastAsia="宋体" w:cs="宋体"/>
                <w:sz w:val="20"/>
              </w:rPr>
              <w:t>包2</w:t>
            </w:r>
          </w:p>
        </w:tc>
        <w:tc>
          <w:tcPr>
            <w:tcW w:w="712" w:type="pct"/>
            <w:vAlign w:val="center"/>
          </w:tcPr>
          <w:p>
            <w:pPr>
              <w:spacing w:line="360" w:lineRule="auto"/>
              <w:jc w:val="center"/>
              <w:rPr>
                <w:rFonts w:ascii="宋体" w:hAnsi="宋体" w:eastAsia="宋体" w:cs="宋体"/>
                <w:sz w:val="20"/>
              </w:rPr>
            </w:pPr>
            <w:bookmarkStart w:id="5" w:name="OLE_LINK13"/>
            <w:r>
              <w:rPr>
                <w:rFonts w:hint="eastAsia" w:ascii="宋体" w:hAnsi="宋体" w:eastAsia="宋体" w:cs="宋体"/>
                <w:sz w:val="20"/>
              </w:rPr>
              <w:t>中国重汽集团济南商用车有限公司新增BSDBSISGSR系统标定工作站项目</w:t>
            </w:r>
            <w:bookmarkEnd w:id="5"/>
          </w:p>
        </w:tc>
        <w:tc>
          <w:tcPr>
            <w:tcW w:w="373" w:type="pct"/>
            <w:vAlign w:val="center"/>
          </w:tcPr>
          <w:p>
            <w:pPr>
              <w:spacing w:line="360" w:lineRule="auto"/>
              <w:jc w:val="center"/>
              <w:rPr>
                <w:rFonts w:ascii="宋体" w:hAnsi="宋体" w:eastAsia="宋体" w:cs="宋体"/>
                <w:sz w:val="20"/>
              </w:rPr>
            </w:pPr>
            <w:r>
              <w:rPr>
                <w:rFonts w:hint="eastAsia" w:ascii="宋体" w:hAnsi="宋体" w:eastAsia="宋体" w:cs="宋体"/>
                <w:sz w:val="20"/>
              </w:rPr>
              <w:t>套</w:t>
            </w:r>
          </w:p>
        </w:tc>
        <w:tc>
          <w:tcPr>
            <w:tcW w:w="360" w:type="pct"/>
            <w:vAlign w:val="center"/>
          </w:tcPr>
          <w:p>
            <w:pPr>
              <w:spacing w:line="360" w:lineRule="auto"/>
              <w:jc w:val="center"/>
              <w:rPr>
                <w:rFonts w:ascii="宋体" w:hAnsi="宋体" w:eastAsia="宋体" w:cs="宋体"/>
                <w:sz w:val="20"/>
              </w:rPr>
            </w:pPr>
            <w:r>
              <w:rPr>
                <w:rFonts w:hint="eastAsia" w:ascii="宋体" w:hAnsi="宋体" w:eastAsia="宋体" w:cs="宋体"/>
                <w:sz w:val="20"/>
              </w:rPr>
              <w:t>1</w:t>
            </w:r>
          </w:p>
        </w:tc>
        <w:tc>
          <w:tcPr>
            <w:tcW w:w="1265" w:type="pct"/>
            <w:vAlign w:val="center"/>
          </w:tcPr>
          <w:p>
            <w:pPr>
              <w:spacing w:line="360" w:lineRule="auto"/>
              <w:jc w:val="center"/>
              <w:rPr>
                <w:rFonts w:ascii="宋体" w:hAnsi="宋体" w:cs="宋体"/>
                <w:sz w:val="20"/>
              </w:rPr>
            </w:pPr>
            <w:r>
              <w:rPr>
                <w:rFonts w:hint="eastAsia" w:ascii="宋体" w:hAnsi="宋体" w:eastAsia="宋体" w:cs="宋体"/>
                <w:sz w:val="20"/>
              </w:rPr>
              <w:t>济南商用车制造公司</w:t>
            </w:r>
          </w:p>
        </w:tc>
        <w:tc>
          <w:tcPr>
            <w:tcW w:w="578" w:type="pct"/>
            <w:vMerge w:val="continue"/>
            <w:vAlign w:val="center"/>
          </w:tcPr>
          <w:p>
            <w:pPr>
              <w:spacing w:line="360" w:lineRule="auto"/>
              <w:jc w:val="center"/>
              <w:rPr>
                <w:rFonts w:ascii="宋体" w:hAnsi="宋体" w:cs="宋体"/>
                <w:b/>
                <w:bCs/>
                <w:szCs w:val="21"/>
              </w:rPr>
            </w:pPr>
          </w:p>
        </w:tc>
        <w:tc>
          <w:tcPr>
            <w:tcW w:w="1375" w:type="pct"/>
            <w:vAlign w:val="center"/>
          </w:tcPr>
          <w:p>
            <w:pPr>
              <w:spacing w:line="360" w:lineRule="auto"/>
              <w:jc w:val="center"/>
              <w:rPr>
                <w:rFonts w:ascii="宋体" w:hAnsi="宋体" w:eastAsia="宋体" w:cs="宋体"/>
                <w:sz w:val="20"/>
              </w:rPr>
            </w:pPr>
            <w:r>
              <w:rPr>
                <w:rFonts w:hint="eastAsia" w:ascii="宋体" w:hAnsi="宋体" w:eastAsia="宋体" w:cs="宋体"/>
                <w:sz w:val="20"/>
              </w:rPr>
              <w:t>新增自动标定设备，含摆正器、龙门架、标靶（AEBS/BSD/BSIS/GSR）、只能标定控制系统、安装调试等</w:t>
            </w:r>
          </w:p>
        </w:tc>
      </w:tr>
      <w:bookmarkEnd w:id="4"/>
    </w:tbl>
    <w:p>
      <w:pPr>
        <w:spacing w:line="320" w:lineRule="exact"/>
        <w:rPr>
          <w:rFonts w:ascii="宋体" w:hAnsi="宋体" w:eastAsia="宋体" w:cs="宋体"/>
          <w:b/>
          <w:sz w:val="24"/>
          <w:szCs w:val="24"/>
        </w:rPr>
      </w:pPr>
      <w:r>
        <w:rPr>
          <w:rFonts w:ascii="宋体" w:hAnsi="宋体" w:eastAsia="宋体" w:cs="宋体"/>
          <w:b/>
          <w:sz w:val="24"/>
          <w:szCs w:val="24"/>
        </w:rPr>
        <w:t>3</w:t>
      </w:r>
      <w:r>
        <w:rPr>
          <w:rFonts w:hint="eastAsia" w:ascii="宋体" w:hAnsi="宋体" w:eastAsia="宋体" w:cs="宋体"/>
          <w:b/>
          <w:sz w:val="24"/>
          <w:szCs w:val="24"/>
        </w:rPr>
        <w:t>. 招标要求</w:t>
      </w:r>
    </w:p>
    <w:p>
      <w:pPr>
        <w:spacing w:line="320" w:lineRule="exact"/>
        <w:ind w:firstLine="480" w:firstLineChars="200"/>
        <w:rPr>
          <w:rFonts w:ascii="宋体" w:hAnsi="宋体" w:eastAsia="宋体" w:cs="宋体"/>
          <w:sz w:val="24"/>
          <w:szCs w:val="24"/>
        </w:rPr>
      </w:pPr>
      <w:r>
        <w:rPr>
          <w:rFonts w:hint="eastAsia" w:ascii="宋体" w:hAnsi="宋体" w:eastAsia="宋体" w:cs="宋体"/>
          <w:sz w:val="24"/>
          <w:szCs w:val="24"/>
        </w:rPr>
        <w:t>见各分包招标书</w:t>
      </w:r>
      <w:r>
        <w:rPr>
          <w:rFonts w:ascii="宋体" w:hAnsi="宋体" w:eastAsia="宋体" w:cs="宋体"/>
          <w:sz w:val="24"/>
          <w:szCs w:val="24"/>
        </w:rPr>
        <w:t>。</w:t>
      </w:r>
    </w:p>
    <w:p>
      <w:pPr>
        <w:spacing w:line="276" w:lineRule="auto"/>
        <w:jc w:val="center"/>
        <w:rPr>
          <w:rFonts w:ascii="宋体" w:hAnsi="宋体" w:eastAsia="宋体" w:cs="宋体"/>
          <w:b/>
          <w:bCs/>
          <w:color w:val="000000"/>
          <w:spacing w:val="-8"/>
          <w:sz w:val="48"/>
          <w:szCs w:val="48"/>
        </w:rPr>
      </w:pPr>
    </w:p>
    <w:p>
      <w:pPr>
        <w:spacing w:line="276" w:lineRule="auto"/>
        <w:jc w:val="center"/>
        <w:rPr>
          <w:rFonts w:ascii="宋体" w:hAnsi="宋体" w:eastAsia="宋体" w:cs="宋体"/>
          <w:b/>
          <w:bCs/>
          <w:color w:val="000000"/>
          <w:spacing w:val="-8"/>
          <w:sz w:val="48"/>
          <w:szCs w:val="48"/>
        </w:rPr>
      </w:pPr>
    </w:p>
    <w:p>
      <w:pPr>
        <w:spacing w:line="276" w:lineRule="auto"/>
        <w:jc w:val="center"/>
        <w:rPr>
          <w:rFonts w:ascii="宋体" w:hAnsi="宋体" w:eastAsia="宋体" w:cs="宋体"/>
          <w:b/>
          <w:bCs/>
          <w:color w:val="000000"/>
          <w:spacing w:val="-8"/>
          <w:sz w:val="48"/>
          <w:szCs w:val="48"/>
        </w:rPr>
      </w:pPr>
    </w:p>
    <w:p>
      <w:pPr>
        <w:spacing w:line="276" w:lineRule="auto"/>
        <w:rPr>
          <w:rFonts w:ascii="宋体" w:hAnsi="宋体" w:eastAsia="宋体" w:cs="宋体"/>
          <w:b/>
          <w:bCs/>
          <w:color w:val="000000"/>
          <w:spacing w:val="-8"/>
          <w:sz w:val="48"/>
          <w:szCs w:val="48"/>
        </w:rPr>
      </w:pPr>
    </w:p>
    <w:p>
      <w:pPr>
        <w:spacing w:line="276" w:lineRule="auto"/>
        <w:jc w:val="center"/>
        <w:rPr>
          <w:rFonts w:ascii="宋体" w:hAnsi="宋体" w:eastAsia="宋体" w:cs="宋体"/>
          <w:b/>
          <w:bCs/>
          <w:color w:val="000000"/>
          <w:spacing w:val="-8"/>
          <w:sz w:val="48"/>
          <w:szCs w:val="48"/>
        </w:rPr>
      </w:pPr>
    </w:p>
    <w:p>
      <w:pPr>
        <w:spacing w:line="276" w:lineRule="auto"/>
        <w:jc w:val="center"/>
        <w:rPr>
          <w:rFonts w:ascii="宋体" w:hAnsi="宋体" w:eastAsia="宋体" w:cs="宋体"/>
          <w:b/>
          <w:bCs/>
          <w:color w:val="000000"/>
          <w:spacing w:val="-8"/>
          <w:sz w:val="48"/>
          <w:szCs w:val="48"/>
        </w:rPr>
      </w:pPr>
    </w:p>
    <w:p>
      <w:pPr>
        <w:keepNext/>
        <w:keepLines/>
        <w:jc w:val="center"/>
        <w:rPr>
          <w:rFonts w:ascii="宋体" w:hAnsi="宋体" w:eastAsia="宋体" w:cs="Times New Roman"/>
          <w:b/>
          <w:bCs/>
          <w:color w:val="000000"/>
          <w:spacing w:val="-8"/>
          <w:sz w:val="48"/>
          <w:szCs w:val="44"/>
        </w:rPr>
      </w:pPr>
      <w:r>
        <w:rPr>
          <w:rFonts w:hint="eastAsia" w:ascii="宋体" w:hAnsi="宋体" w:eastAsia="宋体" w:cs="宋体"/>
          <w:b/>
          <w:bCs/>
          <w:color w:val="000000"/>
          <w:spacing w:val="-8"/>
          <w:sz w:val="48"/>
          <w:szCs w:val="48"/>
        </w:rPr>
        <w:t>包1-</w:t>
      </w:r>
      <w:r>
        <w:rPr>
          <w:rFonts w:hint="eastAsia" w:ascii="宋体" w:hAnsi="宋体" w:eastAsia="宋体" w:cs="Times New Roman"/>
          <w:b/>
          <w:bCs/>
          <w:color w:val="000000"/>
          <w:spacing w:val="-8"/>
          <w:sz w:val="48"/>
          <w:szCs w:val="44"/>
        </w:rPr>
        <w:t>中国重汽集团济南商用车制造公司</w:t>
      </w:r>
    </w:p>
    <w:p>
      <w:pPr>
        <w:keepNext/>
        <w:keepLines/>
        <w:jc w:val="center"/>
        <w:rPr>
          <w:rFonts w:ascii="宋体" w:hAnsi="宋体" w:eastAsia="宋体" w:cs="Times New Roman"/>
          <w:b/>
          <w:bCs/>
          <w:color w:val="000000"/>
          <w:spacing w:val="-8"/>
          <w:sz w:val="48"/>
          <w:szCs w:val="44"/>
        </w:rPr>
      </w:pPr>
      <w:r>
        <w:rPr>
          <w:rFonts w:hint="eastAsia" w:ascii="宋体" w:hAnsi="宋体" w:eastAsia="宋体" w:cs="Times New Roman"/>
          <w:b/>
          <w:bCs/>
          <w:color w:val="000000"/>
          <w:spacing w:val="-8"/>
          <w:sz w:val="48"/>
          <w:szCs w:val="44"/>
        </w:rPr>
        <w:t>智能驾驶校准工站改造</w:t>
      </w:r>
    </w:p>
    <w:p>
      <w:pPr>
        <w:spacing w:line="276" w:lineRule="auto"/>
        <w:jc w:val="center"/>
        <w:rPr>
          <w:rFonts w:ascii="宋体" w:hAnsi="宋体" w:eastAsia="宋体" w:cs="Times New Roman"/>
          <w:b/>
          <w:bCs/>
          <w:color w:val="000000"/>
          <w:spacing w:val="-8"/>
          <w:sz w:val="48"/>
          <w:szCs w:val="44"/>
        </w:rPr>
      </w:pPr>
      <w:r>
        <w:rPr>
          <w:rFonts w:hint="eastAsia" w:ascii="宋体" w:hAnsi="宋体" w:eastAsia="宋体" w:cs="Times New Roman"/>
          <w:b/>
          <w:bCs/>
          <w:color w:val="000000"/>
          <w:spacing w:val="-8"/>
          <w:sz w:val="48"/>
          <w:szCs w:val="44"/>
        </w:rPr>
        <w:t>招标项目</w:t>
      </w:r>
    </w:p>
    <w:p>
      <w:pPr>
        <w:spacing w:line="360" w:lineRule="auto"/>
        <w:jc w:val="center"/>
        <w:rPr>
          <w:rFonts w:ascii="宋体" w:hAnsi="宋体" w:eastAsia="宋体" w:cs="宋体"/>
          <w:sz w:val="20"/>
        </w:rPr>
      </w:pPr>
    </w:p>
    <w:p>
      <w:pPr>
        <w:pStyle w:val="21"/>
      </w:pPr>
    </w:p>
    <w:p>
      <w:pPr>
        <w:pStyle w:val="21"/>
      </w:pPr>
    </w:p>
    <w:p>
      <w:pPr>
        <w:jc w:val="right"/>
        <w:rPr>
          <w:rFonts w:ascii="Calibri" w:hAnsi="Calibri" w:eastAsia="宋体" w:cs="Times New Roman"/>
          <w:color w:val="000000"/>
          <w:sz w:val="28"/>
          <w:szCs w:val="28"/>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pPr>
        <w:jc w:val="center"/>
        <w:rPr>
          <w:rFonts w:ascii="黑体" w:hAnsi="宋体" w:eastAsia="黑体" w:cs="Times New Roman"/>
          <w:color w:val="000000"/>
          <w:sz w:val="72"/>
          <w:szCs w:val="72"/>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p>
    <w:p>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pPr>
        <w:pStyle w:val="21"/>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人：中国重型汽车集团有限公司</w:t>
      </w:r>
    </w:p>
    <w:p>
      <w:pPr>
        <w:jc w:val="center"/>
        <w:rPr>
          <w:rFonts w:ascii="宋体" w:hAnsi="Calibri" w:eastAsia="宋体" w:cs="Times New Roman"/>
          <w:color w:val="000000"/>
          <w:sz w:val="28"/>
          <w:szCs w:val="28"/>
        </w:rPr>
      </w:pPr>
      <w:r>
        <w:rPr>
          <w:rFonts w:hint="eastAsia" w:ascii="Calibri" w:hAnsi="Calibri" w:eastAsia="宋体" w:cs="Times New Roman"/>
          <w:color w:val="000000"/>
          <w:sz w:val="28"/>
          <w:szCs w:val="28"/>
        </w:rPr>
        <w:t>2025</w:t>
      </w:r>
      <w:r>
        <w:rPr>
          <w:rFonts w:hint="eastAsia" w:ascii="宋体" w:hAnsi="宋体" w:eastAsia="宋体" w:cs="Times New Roman"/>
          <w:color w:val="000000"/>
          <w:sz w:val="28"/>
          <w:szCs w:val="28"/>
        </w:rPr>
        <w:t>年</w:t>
      </w:r>
      <w:r>
        <w:rPr>
          <w:rFonts w:hint="eastAsia" w:ascii="宋体" w:hAnsi="宋体" w:eastAsia="宋体" w:cs="Times New Roman"/>
          <w:color w:val="000000"/>
          <w:sz w:val="28"/>
          <w:szCs w:val="28"/>
          <w:lang w:val="en-US" w:eastAsia="zh-CN"/>
        </w:rPr>
        <w:t>10</w:t>
      </w:r>
      <w:r>
        <w:rPr>
          <w:rFonts w:hint="eastAsia" w:ascii="Calibri" w:hAnsi="Calibri" w:eastAsia="宋体" w:cs="Times New Roman"/>
          <w:color w:val="000000"/>
          <w:sz w:val="28"/>
          <w:szCs w:val="28"/>
        </w:rPr>
        <w:t>月</w:t>
      </w:r>
    </w:p>
    <w:bookmarkEnd w:id="0"/>
    <w:p>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pPr>
            <w:spacing w:line="480" w:lineRule="auto"/>
            <w:jc w:val="center"/>
            <w:rPr>
              <w:rFonts w:cs="宋体"/>
              <w:b/>
              <w:bCs/>
              <w:sz w:val="48"/>
              <w:szCs w:val="48"/>
            </w:rPr>
          </w:pPr>
          <w:r>
            <w:rPr>
              <w:rFonts w:ascii="宋体" w:hAnsi="宋体" w:eastAsia="宋体" w:cs="宋体"/>
              <w:b/>
              <w:bCs/>
              <w:sz w:val="48"/>
              <w:szCs w:val="48"/>
            </w:rPr>
            <w:t>目录</w:t>
          </w:r>
        </w:p>
        <w:p>
          <w:pPr>
            <w:pStyle w:val="28"/>
            <w:tabs>
              <w:tab w:val="right" w:leader="dot" w:pos="9071"/>
            </w:tabs>
            <w:spacing w:line="480" w:lineRule="auto"/>
            <w:rPr>
              <w:color w:val="auto"/>
              <w:sz w:val="32"/>
              <w:szCs w:val="3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第一部分 投标人须知前附表</w:t>
          </w:r>
          <w:r>
            <w:rPr>
              <w:color w:val="auto"/>
              <w:sz w:val="32"/>
              <w:szCs w:val="32"/>
            </w:rPr>
            <w:tab/>
          </w:r>
          <w:r>
            <w:rPr>
              <w:color w:val="auto"/>
              <w:sz w:val="32"/>
              <w:szCs w:val="32"/>
            </w:rPr>
            <w:fldChar w:fldCharType="end"/>
          </w:r>
          <w:r>
            <w:rPr>
              <w:rFonts w:hint="eastAsia"/>
              <w:color w:val="auto"/>
              <w:sz w:val="32"/>
              <w:szCs w:val="32"/>
            </w:rPr>
            <w:t>3</w:t>
          </w:r>
        </w:p>
        <w:p>
          <w:pPr>
            <w:pStyle w:val="28"/>
            <w:tabs>
              <w:tab w:val="right" w:leader="dot" w:pos="9071"/>
            </w:tabs>
            <w:spacing w:line="480" w:lineRule="auto"/>
            <w:rPr>
              <w:color w:val="auto"/>
              <w:sz w:val="32"/>
              <w:szCs w:val="32"/>
            </w:rPr>
          </w:pPr>
          <w:r>
            <w:fldChar w:fldCharType="begin"/>
          </w:r>
          <w:r>
            <w:instrText xml:space="preserve"> HYPERLINK \l "_Toc15609" </w:instrText>
          </w:r>
          <w:r>
            <w:fldChar w:fldCharType="separate"/>
          </w:r>
          <w:r>
            <w:rPr>
              <w:rFonts w:hint="eastAsia" w:ascii="Calibri" w:hAnsi="Calibri"/>
              <w:bCs/>
              <w:color w:val="auto"/>
              <w:kern w:val="44"/>
              <w:sz w:val="32"/>
              <w:szCs w:val="32"/>
            </w:rPr>
            <w:t>第二部分 投标人须知</w:t>
          </w:r>
          <w:r>
            <w:rPr>
              <w:color w:val="auto"/>
              <w:sz w:val="32"/>
              <w:szCs w:val="32"/>
            </w:rPr>
            <w:tab/>
          </w:r>
          <w:r>
            <w:rPr>
              <w:color w:val="auto"/>
              <w:sz w:val="32"/>
              <w:szCs w:val="32"/>
            </w:rPr>
            <w:fldChar w:fldCharType="end"/>
          </w:r>
          <w:r>
            <w:rPr>
              <w:rFonts w:hint="eastAsia"/>
              <w:color w:val="auto"/>
              <w:sz w:val="32"/>
              <w:szCs w:val="32"/>
            </w:rPr>
            <w:t>7</w:t>
          </w:r>
        </w:p>
        <w:p>
          <w:pPr>
            <w:pStyle w:val="28"/>
            <w:tabs>
              <w:tab w:val="right" w:leader="dot" w:pos="9071"/>
            </w:tabs>
            <w:spacing w:line="480" w:lineRule="auto"/>
            <w:rPr>
              <w:color w:val="auto"/>
              <w:sz w:val="32"/>
              <w:szCs w:val="32"/>
            </w:rPr>
          </w:pPr>
          <w:r>
            <w:fldChar w:fldCharType="begin"/>
          </w:r>
          <w:r>
            <w:instrText xml:space="preserve"> HYPERLINK \l "_Toc22879" </w:instrText>
          </w:r>
          <w:r>
            <w:fldChar w:fldCharType="separate"/>
          </w:r>
          <w:r>
            <w:rPr>
              <w:rFonts w:hint="eastAsia" w:ascii="Calibri" w:hAnsi="Calibri"/>
              <w:bCs/>
              <w:color w:val="auto"/>
              <w:kern w:val="44"/>
              <w:sz w:val="32"/>
              <w:szCs w:val="32"/>
            </w:rPr>
            <w:t>第三部分 投标文件编制</w:t>
          </w:r>
          <w:r>
            <w:rPr>
              <w:color w:val="auto"/>
              <w:sz w:val="32"/>
              <w:szCs w:val="32"/>
            </w:rPr>
            <w:tab/>
          </w:r>
          <w:r>
            <w:rPr>
              <w:color w:val="auto"/>
              <w:sz w:val="32"/>
              <w:szCs w:val="32"/>
            </w:rPr>
            <w:fldChar w:fldCharType="end"/>
          </w:r>
          <w:r>
            <w:rPr>
              <w:rFonts w:hint="eastAsia"/>
              <w:color w:val="auto"/>
              <w:sz w:val="32"/>
              <w:szCs w:val="32"/>
            </w:rPr>
            <w:t>13</w:t>
          </w:r>
        </w:p>
        <w:p>
          <w:pPr>
            <w:pStyle w:val="28"/>
            <w:tabs>
              <w:tab w:val="right" w:leader="dot" w:pos="9071"/>
            </w:tabs>
            <w:spacing w:line="480" w:lineRule="auto"/>
            <w:rPr>
              <w:color w:val="auto"/>
              <w:sz w:val="32"/>
              <w:szCs w:val="32"/>
            </w:rPr>
          </w:pPr>
          <w:r>
            <w:fldChar w:fldCharType="begin"/>
          </w:r>
          <w:r>
            <w:instrText xml:space="preserve"> HYPERLINK \l "_Toc9849" </w:instrText>
          </w:r>
          <w:r>
            <w:fldChar w:fldCharType="separate"/>
          </w:r>
          <w:r>
            <w:rPr>
              <w:rFonts w:hint="eastAsia" w:ascii="Calibri" w:hAnsi="Calibri"/>
              <w:bCs/>
              <w:color w:val="auto"/>
              <w:kern w:val="44"/>
              <w:sz w:val="32"/>
              <w:szCs w:val="32"/>
            </w:rPr>
            <w:t>第四部分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rPr>
            <w:t>16</w:t>
          </w:r>
        </w:p>
        <w:p>
          <w:pPr>
            <w:pStyle w:val="28"/>
            <w:tabs>
              <w:tab w:val="right" w:leader="dot" w:pos="9071"/>
            </w:tabs>
            <w:spacing w:line="480" w:lineRule="auto"/>
            <w:rPr>
              <w:color w:val="auto"/>
              <w:sz w:val="32"/>
              <w:szCs w:val="32"/>
            </w:rPr>
          </w:pPr>
          <w:r>
            <w:fldChar w:fldCharType="begin"/>
          </w:r>
          <w:r>
            <w:instrText xml:space="preserve"> HYPERLINK \l "_Toc28859" </w:instrText>
          </w:r>
          <w:r>
            <w:fldChar w:fldCharType="separate"/>
          </w:r>
          <w:r>
            <w:rPr>
              <w:rFonts w:hint="eastAsia"/>
              <w:color w:val="auto"/>
              <w:sz w:val="32"/>
              <w:szCs w:val="32"/>
            </w:rPr>
            <w:t>第五部分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rPr>
            <w:t>37</w:t>
          </w:r>
        </w:p>
        <w:p>
          <w:pPr>
            <w:pStyle w:val="28"/>
            <w:tabs>
              <w:tab w:val="right" w:leader="dot" w:pos="9071"/>
            </w:tabs>
            <w:spacing w:line="480" w:lineRule="auto"/>
          </w:pPr>
          <w:r>
            <w:fldChar w:fldCharType="begin"/>
          </w:r>
          <w:r>
            <w:instrText xml:space="preserve"> HYPERLINK \l "_Toc29691" </w:instrText>
          </w:r>
          <w:r>
            <w:fldChar w:fldCharType="separate"/>
          </w:r>
          <w:r>
            <w:rPr>
              <w:rFonts w:hint="eastAsia" w:ascii="Calibri" w:hAnsi="Calibri"/>
              <w:bCs/>
              <w:color w:val="auto"/>
              <w:kern w:val="44"/>
              <w:sz w:val="32"/>
              <w:szCs w:val="32"/>
            </w:rPr>
            <w:t>第六部分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rPr>
            <w:t>55</w:t>
          </w:r>
        </w:p>
        <w:p>
          <w:pPr>
            <w:pStyle w:val="21"/>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pPr>
        <w:pStyle w:val="21"/>
        <w:numPr>
          <w:ilvl w:val="0"/>
          <w:numId w:val="4"/>
        </w:numPr>
        <w:jc w:val="center"/>
        <w:outlineLvl w:val="0"/>
        <w:rPr>
          <w:rFonts w:ascii="Calibri" w:hAnsi="Calibri" w:eastAsia="宋体" w:cs="Times New Roman"/>
          <w:b/>
          <w:bCs/>
          <w:kern w:val="44"/>
          <w:sz w:val="36"/>
          <w:szCs w:val="44"/>
        </w:rPr>
      </w:pPr>
      <w:bookmarkStart w:id="6" w:name="_Toc25915"/>
      <w:r>
        <w:rPr>
          <w:rFonts w:hint="eastAsia" w:ascii="Calibri" w:hAnsi="Calibri" w:eastAsia="宋体" w:cs="Times New Roman"/>
          <w:b/>
          <w:bCs/>
          <w:kern w:val="44"/>
          <w:sz w:val="36"/>
          <w:szCs w:val="44"/>
        </w:rPr>
        <w:t xml:space="preserve"> 投标须知前附表</w:t>
      </w:r>
      <w:bookmarkEnd w:id="6"/>
    </w:p>
    <w:p>
      <w:pPr>
        <w:pStyle w:val="21"/>
        <w:jc w:val="center"/>
        <w:rPr>
          <w:rFonts w:ascii="Calibri" w:hAnsi="Calibri" w:eastAsia="宋体" w:cs="Times New Roman"/>
          <w:b/>
          <w:bCs/>
          <w:kern w:val="44"/>
          <w:sz w:val="36"/>
          <w:szCs w:val="44"/>
        </w:rPr>
      </w:pP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40"/>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33"/>
                <w:rFonts w:ascii="宋体" w:hAnsi="宋体" w:eastAsia="宋体" w:cs="宋体"/>
                <w:b/>
                <w:sz w:val="28"/>
                <w:szCs w:val="28"/>
              </w:rPr>
            </w:pPr>
            <w:bookmarkStart w:id="7" w:name="_Toc346372875"/>
            <w:r>
              <w:rPr>
                <w:rStyle w:val="133"/>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ascii="宋体" w:hAnsi="宋体" w:eastAsia="宋体" w:cs="宋体"/>
                <w:b/>
                <w:bCs/>
                <w:sz w:val="28"/>
                <w:szCs w:val="28"/>
              </w:rPr>
            </w:pPr>
            <w:r>
              <w:rPr>
                <w:rStyle w:val="133"/>
                <w:rFonts w:hint="eastAsia" w:ascii="宋体" w:hAnsi="宋体" w:eastAsia="宋体" w:cs="宋体"/>
                <w:b/>
                <w:sz w:val="28"/>
                <w:szCs w:val="28"/>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7"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keepNext/>
              <w:keepLines/>
              <w:jc w:val="left"/>
              <w:rPr>
                <w:rFonts w:ascii="宋体" w:hAnsi="宋体" w:eastAsia="宋体" w:cs="宋体"/>
                <w:sz w:val="24"/>
                <w:szCs w:val="24"/>
                <w:highlight w:val="yellow"/>
                <w:u w:val="single"/>
              </w:rPr>
            </w:pPr>
            <w:r>
              <w:rPr>
                <w:rFonts w:hint="eastAsia" w:ascii="宋体" w:hAnsi="宋体" w:eastAsia="宋体" w:cs="宋体"/>
                <w:b/>
                <w:bCs/>
                <w:sz w:val="24"/>
                <w:szCs w:val="24"/>
              </w:rPr>
              <w:t>项目名称：</w:t>
            </w:r>
            <w:bookmarkStart w:id="8" w:name="OLE_LINK2"/>
            <w:r>
              <w:rPr>
                <w:rFonts w:hint="eastAsia" w:ascii="宋体" w:hAnsi="宋体" w:eastAsia="宋体" w:cs="宋体"/>
                <w:sz w:val="24"/>
                <w:szCs w:val="24"/>
                <w:highlight w:val="yellow"/>
                <w:u w:val="single"/>
              </w:rPr>
              <w:t>中国重汽集团济南商用车制造公司智能驾驶校准工站改造</w:t>
            </w:r>
          </w:p>
          <w:p>
            <w:pPr>
              <w:ind w:firstLine="480" w:firstLineChars="200"/>
              <w:jc w:val="left"/>
              <w:rPr>
                <w:rFonts w:ascii="宋体" w:hAnsi="宋体" w:eastAsia="宋体" w:cs="宋体"/>
                <w:sz w:val="24"/>
                <w:szCs w:val="24"/>
                <w:highlight w:val="yellow"/>
                <w:u w:val="single"/>
              </w:rPr>
            </w:pPr>
          </w:p>
          <w:bookmarkEnd w:id="8"/>
          <w:p>
            <w:pPr>
              <w:ind w:firstLine="480" w:firstLineChars="200"/>
              <w:jc w:val="left"/>
              <w:rPr>
                <w:rFonts w:ascii="宋体" w:hAnsi="宋体" w:eastAsia="宋体" w:cs="宋体"/>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u w:val="single"/>
              </w:rPr>
            </w:pPr>
            <w:r>
              <w:rPr>
                <w:rFonts w:hint="eastAsia" w:ascii="宋体" w:hAnsi="宋体" w:eastAsia="宋体" w:cs="宋体"/>
                <w:b/>
                <w:bCs/>
                <w:sz w:val="24"/>
                <w:szCs w:val="24"/>
              </w:rPr>
              <w:t>采购形式编号：</w:t>
            </w:r>
            <w:r>
              <w:rPr>
                <w:rFonts w:hint="eastAsia" w:ascii="宋体" w:hAnsi="宋体" w:eastAsia="宋体" w:cs="宋体"/>
                <w:sz w:val="24"/>
                <w:szCs w:val="24"/>
                <w:highlight w:val="yellow"/>
                <w:u w:val="single"/>
              </w:rPr>
              <w:t xml:space="preserve"> FSCZB2025100198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Times New Roman"/>
                <w:sz w:val="24"/>
                <w:szCs w:val="24"/>
                <w:highlight w:val="yellow"/>
                <w:lang w:bidi="ar"/>
              </w:rPr>
            </w:pPr>
            <w:r>
              <w:rPr>
                <w:rFonts w:hint="eastAsia" w:ascii="宋体" w:hAnsi="宋体" w:eastAsia="宋体" w:cs="宋体"/>
                <w:b/>
                <w:bCs/>
                <w:sz w:val="24"/>
                <w:szCs w:val="24"/>
              </w:rPr>
              <w:t>招标内容：</w:t>
            </w:r>
            <w:r>
              <w:rPr>
                <w:rFonts w:hint="eastAsia" w:ascii="宋体" w:hAnsi="宋体" w:eastAsia="宋体" w:cs="Times New Roman"/>
                <w:sz w:val="24"/>
                <w:szCs w:val="24"/>
                <w:highlight w:val="yellow"/>
                <w:lang w:bidi="ar"/>
              </w:rPr>
              <w:t>济南商用车制造公司改造1套四轮定位AEBS标定设备</w:t>
            </w:r>
          </w:p>
          <w:p>
            <w:pPr>
              <w:ind w:firstLine="480" w:firstLineChars="200"/>
              <w:rPr>
                <w:rFonts w:ascii="宋体" w:hAnsi="宋体" w:eastAsia="宋体" w:cs="宋体"/>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
                <w:bCs/>
                <w:sz w:val="24"/>
                <w:szCs w:val="24"/>
              </w:rPr>
            </w:pPr>
            <w:r>
              <w:rPr>
                <w:rFonts w:hint="eastAsia" w:ascii="宋体" w:hAnsi="宋体" w:eastAsia="宋体" w:cs="宋体"/>
                <w:b/>
                <w:bCs/>
                <w:sz w:val="24"/>
                <w:szCs w:val="24"/>
              </w:rPr>
              <w:t>招标形式：</w:t>
            </w:r>
            <w:r>
              <w:rPr>
                <w:rFonts w:hint="eastAsia" w:ascii="宋体" w:hAnsi="宋体" w:eastAsia="宋体" w:cs="宋体"/>
                <w:sz w:val="24"/>
                <w:szCs w:val="24"/>
                <w:highlight w:val="yellow"/>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招标人名称：</w:t>
            </w:r>
            <w:r>
              <w:rPr>
                <w:rFonts w:hint="eastAsia" w:ascii="宋体" w:hAnsi="宋体" w:eastAsia="宋体" w:cs="宋体"/>
                <w:color w:val="FF0000"/>
                <w:sz w:val="24"/>
                <w:szCs w:val="24"/>
                <w:highlight w:val="yellow"/>
                <w:u w:val="single"/>
              </w:rPr>
              <w:t>中国重型汽车集团有限公司</w:t>
            </w:r>
            <w:r>
              <w:rPr>
                <w:rFonts w:hint="eastAsia" w:ascii="宋体" w:hAnsi="宋体" w:eastAsia="宋体" w:cs="宋体"/>
                <w:bCs/>
                <w:snapToGrid w:val="0"/>
                <w:color w:val="FF0000"/>
                <w:kern w:val="0"/>
                <w:sz w:val="24"/>
                <w:szCs w:val="24"/>
              </w:rPr>
              <w:t xml:space="preserve"> </w:t>
            </w:r>
          </w:p>
          <w:p>
            <w:pPr>
              <w:ind w:firstLine="482" w:firstLineChars="200"/>
              <w:rPr>
                <w:rFonts w:ascii="宋体" w:hAnsi="宋体" w:eastAsia="宋体" w:cs="宋体"/>
                <w:sz w:val="24"/>
                <w:szCs w:val="24"/>
              </w:rPr>
            </w:pPr>
            <w:r>
              <w:rPr>
                <w:rFonts w:hint="eastAsia" w:ascii="宋体" w:hAnsi="宋体" w:eastAsia="宋体" w:cs="宋体"/>
                <w:b/>
                <w:snapToGrid w:val="0"/>
                <w:kern w:val="0"/>
                <w:sz w:val="24"/>
                <w:szCs w:val="24"/>
              </w:rPr>
              <w:t>招标人地址：</w:t>
            </w:r>
            <w:r>
              <w:rPr>
                <w:rFonts w:hint="eastAsia" w:ascii="宋体" w:hAnsi="宋体" w:eastAsia="宋体" w:cs="宋体"/>
                <w:sz w:val="24"/>
                <w:szCs w:val="24"/>
                <w:u w:val="single"/>
              </w:rPr>
              <w:t xml:space="preserve">济南市高新技术产业开发区华奥路777号中国重汽科技大厦 </w:t>
            </w:r>
          </w:p>
          <w:p>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lang w:val="en-US" w:eastAsia="zh-CN"/>
              </w:rPr>
              <w:t>技术</w:t>
            </w:r>
            <w:r>
              <w:rPr>
                <w:rFonts w:hint="eastAsia" w:ascii="宋体" w:hAnsi="宋体" w:eastAsia="宋体" w:cs="宋体"/>
                <w:b/>
                <w:snapToGrid w:val="0"/>
                <w:kern w:val="0"/>
                <w:sz w:val="24"/>
                <w:szCs w:val="24"/>
              </w:rPr>
              <w:t>联系人：</w:t>
            </w:r>
            <w:r>
              <w:rPr>
                <w:rFonts w:hint="eastAsia" w:ascii="宋体" w:hAnsi="宋体" w:eastAsia="宋体" w:cs="宋体"/>
                <w:bCs/>
                <w:snapToGrid w:val="0"/>
                <w:kern w:val="0"/>
                <w:sz w:val="24"/>
                <w:szCs w:val="24"/>
              </w:rPr>
              <w:t>李春芳</w:t>
            </w:r>
          </w:p>
          <w:p>
            <w:pPr>
              <w:pStyle w:val="21"/>
              <w:ind w:firstLine="482" w:firstLineChars="200"/>
              <w:rPr>
                <w:rFonts w:eastAsia="宋体"/>
              </w:rPr>
            </w:pPr>
            <w:r>
              <w:rPr>
                <w:rFonts w:hint="eastAsia" w:hAnsi="宋体" w:eastAsia="宋体" w:cs="宋体"/>
                <w:b/>
                <w:snapToGrid w:val="0"/>
                <w:kern w:val="0"/>
                <w:sz w:val="24"/>
                <w:szCs w:val="24"/>
              </w:rPr>
              <w:t>电话：</w:t>
            </w:r>
            <w:r>
              <w:rPr>
                <w:rFonts w:hint="eastAsia" w:hAnsi="宋体" w:eastAsia="宋体" w:cs="宋体"/>
                <w:bCs/>
                <w:snapToGrid w:val="0"/>
                <w:kern w:val="0"/>
                <w:sz w:val="24"/>
                <w:szCs w:val="24"/>
              </w:rPr>
              <w:t>15966300753</w:t>
            </w:r>
          </w:p>
          <w:p>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邮箱：</w:t>
            </w:r>
            <w:r>
              <w:rPr>
                <w:rFonts w:hint="eastAsia" w:ascii="宋体" w:hAnsi="宋体" w:eastAsia="宋体" w:cs="宋体"/>
                <w:bCs/>
                <w:snapToGrid w:val="0"/>
                <w:kern w:val="0"/>
                <w:sz w:val="24"/>
                <w:szCs w:val="24"/>
              </w:rPr>
              <w:fldChar w:fldCharType="begin"/>
            </w:r>
            <w:r>
              <w:rPr>
                <w:rFonts w:hint="eastAsia" w:ascii="宋体" w:hAnsi="宋体" w:eastAsia="宋体" w:cs="宋体"/>
                <w:bCs/>
                <w:snapToGrid w:val="0"/>
                <w:kern w:val="0"/>
                <w:sz w:val="24"/>
                <w:szCs w:val="24"/>
              </w:rPr>
              <w:instrText xml:space="preserve"> HYPERLINK "mailto:lichunfang@sinotruk.com" </w:instrText>
            </w:r>
            <w:r>
              <w:rPr>
                <w:rFonts w:hint="eastAsia" w:ascii="宋体" w:hAnsi="宋体" w:eastAsia="宋体" w:cs="宋体"/>
                <w:bCs/>
                <w:snapToGrid w:val="0"/>
                <w:kern w:val="0"/>
                <w:sz w:val="24"/>
                <w:szCs w:val="24"/>
              </w:rPr>
              <w:fldChar w:fldCharType="separate"/>
            </w:r>
            <w:r>
              <w:rPr>
                <w:rStyle w:val="48"/>
                <w:rFonts w:hint="eastAsia" w:ascii="宋体" w:hAnsi="宋体" w:eastAsia="宋体" w:cs="宋体"/>
                <w:bCs/>
                <w:snapToGrid w:val="0"/>
                <w:kern w:val="0"/>
                <w:sz w:val="24"/>
                <w:szCs w:val="24"/>
              </w:rPr>
              <w:t>lichunfang@sinotruk.com</w:t>
            </w:r>
            <w:r>
              <w:rPr>
                <w:rFonts w:hint="eastAsia" w:ascii="宋体" w:hAnsi="宋体" w:eastAsia="宋体" w:cs="宋体"/>
                <w:bCs/>
                <w:snapToGrid w:val="0"/>
                <w:kern w:val="0"/>
                <w:sz w:val="24"/>
                <w:szCs w:val="24"/>
              </w:rPr>
              <w:fldChar w:fldCharType="end"/>
            </w:r>
          </w:p>
          <w:p>
            <w:pPr>
              <w:ind w:firstLine="482" w:firstLineChars="200"/>
              <w:rPr>
                <w:rFonts w:hint="eastAsia" w:ascii="宋体" w:hAnsi="宋体" w:eastAsia="宋体" w:cs="宋体"/>
                <w:b w:val="0"/>
                <w:bCs/>
                <w:snapToGrid w:val="0"/>
                <w:kern w:val="0"/>
                <w:sz w:val="24"/>
                <w:szCs w:val="24"/>
                <w:lang w:val="en-US" w:eastAsia="zh-CN"/>
              </w:rPr>
            </w:pPr>
            <w:r>
              <w:rPr>
                <w:rFonts w:hint="eastAsia" w:ascii="宋体" w:hAnsi="宋体" w:eastAsia="宋体" w:cs="宋体"/>
                <w:b/>
                <w:snapToGrid w:val="0"/>
                <w:kern w:val="0"/>
                <w:sz w:val="24"/>
                <w:szCs w:val="24"/>
                <w:lang w:val="en-US" w:eastAsia="zh-CN"/>
              </w:rPr>
              <w:t>商务</w:t>
            </w:r>
            <w:r>
              <w:rPr>
                <w:rFonts w:hint="eastAsia" w:ascii="宋体" w:hAnsi="宋体" w:eastAsia="宋体" w:cs="宋体"/>
                <w:b/>
                <w:snapToGrid w:val="0"/>
                <w:kern w:val="0"/>
                <w:sz w:val="24"/>
                <w:szCs w:val="24"/>
              </w:rPr>
              <w:t>联系人：</w:t>
            </w:r>
            <w:r>
              <w:rPr>
                <w:rFonts w:hint="eastAsia" w:ascii="宋体" w:hAnsi="宋体" w:eastAsia="宋体" w:cs="宋体"/>
                <w:b w:val="0"/>
                <w:bCs/>
                <w:snapToGrid w:val="0"/>
                <w:kern w:val="0"/>
                <w:sz w:val="24"/>
                <w:szCs w:val="24"/>
                <w:lang w:val="en-US" w:eastAsia="zh-CN"/>
              </w:rPr>
              <w:t>赵力</w:t>
            </w:r>
          </w:p>
          <w:p>
            <w:pPr>
              <w:pStyle w:val="21"/>
              <w:ind w:firstLine="482" w:firstLineChars="200"/>
              <w:rPr>
                <w:rFonts w:eastAsia="宋体"/>
              </w:rPr>
            </w:pPr>
            <w:r>
              <w:rPr>
                <w:rFonts w:hint="eastAsia" w:hAnsi="宋体" w:eastAsia="宋体" w:cs="宋体"/>
                <w:b/>
                <w:snapToGrid w:val="0"/>
                <w:kern w:val="0"/>
                <w:sz w:val="24"/>
                <w:szCs w:val="24"/>
              </w:rPr>
              <w:t>电话：</w:t>
            </w:r>
            <w:r>
              <w:rPr>
                <w:rFonts w:hint="eastAsia" w:hAnsi="宋体" w:eastAsia="宋体" w:cs="宋体"/>
                <w:bCs/>
                <w:snapToGrid w:val="0"/>
                <w:kern w:val="0"/>
                <w:sz w:val="24"/>
                <w:szCs w:val="24"/>
              </w:rPr>
              <w:t>17860606595</w:t>
            </w:r>
          </w:p>
          <w:p>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邮箱：</w:t>
            </w:r>
            <w:r>
              <w:rPr>
                <w:rFonts w:hint="eastAsia" w:ascii="宋体" w:hAnsi="宋体" w:eastAsia="宋体" w:cs="宋体"/>
                <w:bCs/>
                <w:snapToGrid w:val="0"/>
                <w:kern w:val="0"/>
                <w:sz w:val="24"/>
                <w:szCs w:val="24"/>
              </w:rPr>
              <w:t>zhaoli@sinotruk.com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pPr>
              <w:ind w:firstLine="482" w:firstLineChars="200"/>
              <w:rPr>
                <w:rFonts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w:t>
            </w:r>
          </w:p>
          <w:p>
            <w:pPr>
              <w:pStyle w:val="21"/>
              <w:ind w:firstLine="482" w:firstLineChars="200"/>
              <w:rPr>
                <w:rFonts w:eastAsia="宋体"/>
              </w:rPr>
            </w:pPr>
            <w:r>
              <w:rPr>
                <w:rFonts w:hint="eastAsia" w:hAnsi="宋体" w:eastAsia="宋体" w:cs="Times New Roman"/>
                <w:b/>
                <w:bCs/>
                <w:color w:val="000000"/>
                <w:sz w:val="24"/>
                <w:szCs w:val="24"/>
              </w:rPr>
              <w:t>投标限价</w:t>
            </w:r>
            <w:r>
              <w:rPr>
                <w:rFonts w:hint="eastAsia" w:hAnsi="宋体" w:eastAsia="宋体" w:cs="Times New Roman"/>
                <w:color w:val="000000"/>
                <w:sz w:val="24"/>
                <w:szCs w:val="24"/>
              </w:rPr>
              <w:t>：人民币</w:t>
            </w:r>
            <w:r>
              <w:rPr>
                <w:rFonts w:hint="eastAsia" w:hAnsi="宋体" w:eastAsia="宋体" w:cs="Times New Roman"/>
                <w:b/>
                <w:bCs/>
                <w:color w:val="000000"/>
                <w:sz w:val="24"/>
                <w:szCs w:val="24"/>
              </w:rPr>
              <w:t>184</w:t>
            </w:r>
            <w:r>
              <w:rPr>
                <w:rFonts w:hint="eastAsia" w:hAnsi="宋体" w:eastAsia="宋体" w:cs="Times New Roman"/>
                <w:color w:val="000000"/>
                <w:sz w:val="24"/>
                <w:szCs w:val="24"/>
              </w:rPr>
              <w:t>万元（含税，税率13%），超过投标限价无法投标。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21"/>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pPr>
              <w:pStyle w:val="21"/>
              <w:ind w:firstLine="480" w:firstLineChars="200"/>
              <w:rPr>
                <w:rFonts w:hAnsi="宋体" w:eastAsia="宋体" w:cs="宋体"/>
                <w:color w:val="000000"/>
                <w:sz w:val="24"/>
                <w:szCs w:val="24"/>
              </w:rPr>
            </w:pPr>
            <w:r>
              <w:rPr>
                <w:rFonts w:hint="eastAsia" w:hAnsi="宋体" w:eastAsia="宋体" w:cs="宋体"/>
                <w:color w:val="000000"/>
                <w:sz w:val="24"/>
                <w:szCs w:val="24"/>
              </w:rPr>
              <w:t>1.拟标投人必须是在中华人民共和国境内注册的独立法人机构，具有独立承担民事责任能力；注册资金不少于</w:t>
            </w:r>
            <w:r>
              <w:rPr>
                <w:rFonts w:hint="eastAsia" w:hAnsi="宋体" w:eastAsia="宋体" w:cs="宋体"/>
                <w:b/>
                <w:color w:val="000000"/>
                <w:sz w:val="24"/>
                <w:szCs w:val="24"/>
                <w:highlight w:val="yellow"/>
                <w:u w:val="single"/>
              </w:rPr>
              <w:t>500万</w:t>
            </w:r>
            <w:r>
              <w:rPr>
                <w:rFonts w:hint="eastAsia" w:hAnsi="宋体" w:eastAsia="宋体" w:cs="宋体"/>
                <w:color w:val="000000"/>
                <w:sz w:val="24"/>
                <w:szCs w:val="24"/>
              </w:rPr>
              <w:t>人民币（或等值其他货币）；公司成立</w:t>
            </w:r>
            <w:r>
              <w:rPr>
                <w:rFonts w:hint="eastAsia" w:hAnsi="宋体" w:eastAsia="宋体" w:cs="宋体"/>
                <w:b/>
                <w:color w:val="000000"/>
                <w:sz w:val="24"/>
                <w:szCs w:val="24"/>
                <w:highlight w:val="yellow"/>
                <w:u w:val="single"/>
              </w:rPr>
              <w:t>三年以上</w:t>
            </w:r>
            <w:r>
              <w:rPr>
                <w:rFonts w:hint="eastAsia" w:hAnsi="宋体" w:eastAsia="宋体" w:cs="宋体"/>
                <w:color w:val="000000"/>
                <w:sz w:val="24"/>
                <w:szCs w:val="24"/>
              </w:rPr>
              <w:t>（以营业执照成立日期到开标当日满三年为准），且经营范围满足招标人需求；并在人员、设备、资金等方面具有承担本项目的能力；</w:t>
            </w:r>
          </w:p>
          <w:p>
            <w:pPr>
              <w:pStyle w:val="21"/>
              <w:ind w:firstLine="480" w:firstLineChars="200"/>
              <w:rPr>
                <w:rFonts w:hAnsi="宋体" w:eastAsia="宋体" w:cs="宋体"/>
                <w:color w:val="000000"/>
                <w:sz w:val="24"/>
                <w:szCs w:val="24"/>
              </w:rPr>
            </w:pPr>
            <w:r>
              <w:rPr>
                <w:rFonts w:hint="eastAsia" w:hAnsi="宋体" w:eastAsia="宋体" w:cs="宋体"/>
                <w:color w:val="000000"/>
                <w:sz w:val="24"/>
                <w:szCs w:val="24"/>
              </w:rPr>
              <w:t>2.拟投标人应提供营业执照</w:t>
            </w:r>
            <w:r>
              <w:rPr>
                <w:rFonts w:hint="eastAsia" w:hAnsi="宋体" w:eastAsia="宋体" w:cs="宋体"/>
                <w:b/>
                <w:sz w:val="24"/>
                <w:szCs w:val="24"/>
              </w:rPr>
              <w:t>副本原件和扫描件（需盖章）</w:t>
            </w:r>
            <w:r>
              <w:rPr>
                <w:rFonts w:hint="eastAsia" w:hAnsi="宋体" w:eastAsia="宋体" w:cs="宋体"/>
                <w:color w:val="000000"/>
                <w:sz w:val="24"/>
                <w:szCs w:val="24"/>
              </w:rPr>
              <w:t>；</w:t>
            </w:r>
          </w:p>
          <w:p>
            <w:pPr>
              <w:pStyle w:val="21"/>
              <w:ind w:firstLine="480" w:firstLineChars="200"/>
              <w:rPr>
                <w:rFonts w:hAnsi="宋体" w:eastAsia="宋体" w:cs="宋体"/>
                <w:color w:val="000000"/>
                <w:sz w:val="24"/>
                <w:szCs w:val="24"/>
              </w:rPr>
            </w:pPr>
            <w:r>
              <w:rPr>
                <w:rFonts w:hint="eastAsia" w:hAnsi="宋体" w:eastAsia="宋体" w:cs="宋体"/>
                <w:color w:val="000000"/>
                <w:sz w:val="24"/>
                <w:szCs w:val="24"/>
              </w:rPr>
              <w:t>3.拟投标人应提供法定代表人资格证明文件；</w:t>
            </w:r>
          </w:p>
          <w:p>
            <w:pPr>
              <w:pStyle w:val="21"/>
              <w:ind w:firstLine="480" w:firstLineChars="200"/>
              <w:rPr>
                <w:rFonts w:hAnsi="宋体" w:eastAsia="宋体" w:cs="宋体"/>
                <w:color w:val="000000"/>
                <w:sz w:val="24"/>
                <w:szCs w:val="24"/>
              </w:rPr>
            </w:pPr>
            <w:r>
              <w:rPr>
                <w:rFonts w:hint="eastAsia" w:hAnsi="宋体" w:eastAsia="宋体" w:cs="宋体"/>
                <w:color w:val="000000"/>
                <w:sz w:val="24"/>
                <w:szCs w:val="24"/>
              </w:rPr>
              <w:t>4.</w:t>
            </w:r>
            <w:r>
              <w:rPr>
                <w:rFonts w:hAnsi="宋体" w:eastAsia="宋体" w:cs="宋体"/>
                <w:sz w:val="24"/>
                <w:szCs w:val="24"/>
              </w:rPr>
              <w:t>拟投标人在国家市场监督管理总局的《国家企业信用信息公示系统》中查询不存在不良记录</w:t>
            </w:r>
            <w:r>
              <w:rPr>
                <w:rFonts w:hint="eastAsia" w:hAnsi="宋体" w:eastAsia="宋体" w:cs="宋体"/>
                <w:color w:val="000000"/>
                <w:sz w:val="24"/>
                <w:szCs w:val="24"/>
              </w:rPr>
              <w:t>；</w:t>
            </w:r>
          </w:p>
          <w:p>
            <w:pPr>
              <w:pStyle w:val="21"/>
              <w:ind w:firstLine="480" w:firstLineChars="200"/>
              <w:rPr>
                <w:rFonts w:hAnsi="宋体" w:eastAsia="宋体" w:cs="宋体"/>
                <w:color w:val="000000"/>
                <w:sz w:val="24"/>
                <w:szCs w:val="24"/>
              </w:rPr>
            </w:pPr>
            <w:r>
              <w:rPr>
                <w:rFonts w:hint="eastAsia" w:hAnsi="宋体" w:eastAsia="宋体" w:cs="宋体"/>
                <w:color w:val="000000"/>
                <w:sz w:val="24"/>
                <w:szCs w:val="24"/>
              </w:rPr>
              <w:t>5.拟投标人不存在严重违规或被列入招标人“黑名单”的声明；</w:t>
            </w:r>
          </w:p>
          <w:p>
            <w:pPr>
              <w:pStyle w:val="21"/>
              <w:ind w:firstLine="480" w:firstLineChars="200"/>
              <w:rPr>
                <w:rFonts w:hAnsi="宋体" w:eastAsia="宋体" w:cs="宋体"/>
                <w:color w:val="000000"/>
                <w:sz w:val="24"/>
                <w:szCs w:val="24"/>
              </w:rPr>
            </w:pPr>
            <w:r>
              <w:rPr>
                <w:rFonts w:hint="eastAsia" w:hAnsi="宋体" w:eastAsia="宋体" w:cs="宋体"/>
                <w:color w:val="000000"/>
                <w:sz w:val="24"/>
                <w:szCs w:val="24"/>
              </w:rPr>
              <w:t>6.拟投标人</w:t>
            </w:r>
            <w:r>
              <w:rPr>
                <w:rFonts w:hint="eastAsia" w:hAnsi="宋体" w:eastAsia="宋体" w:cs="宋体"/>
                <w:sz w:val="24"/>
                <w:szCs w:val="24"/>
                <w:highlight w:val="yellow"/>
              </w:rPr>
              <w:t>2022年1月1日</w:t>
            </w:r>
            <w:r>
              <w:rPr>
                <w:rFonts w:hint="eastAsia" w:hAnsi="宋体" w:eastAsia="宋体" w:cs="宋体"/>
                <w:sz w:val="24"/>
                <w:szCs w:val="24"/>
              </w:rPr>
              <w:t>至今</w:t>
            </w:r>
            <w:r>
              <w:rPr>
                <w:rFonts w:hint="eastAsia" w:hAnsi="宋体" w:eastAsia="宋体" w:cs="宋体"/>
                <w:color w:val="000000"/>
                <w:sz w:val="24"/>
                <w:szCs w:val="24"/>
              </w:rPr>
              <w:t>经</w:t>
            </w:r>
            <w:r>
              <w:rPr>
                <w:rFonts w:hint="eastAsia" w:hAnsi="宋体" w:eastAsia="宋体" w:cs="宋体"/>
                <w:b/>
                <w:bCs/>
                <w:color w:val="000000"/>
                <w:sz w:val="24"/>
                <w:szCs w:val="24"/>
              </w:rPr>
              <w:t>第三方</w:t>
            </w:r>
            <w:r>
              <w:rPr>
                <w:rFonts w:hint="eastAsia" w:hAnsi="宋体" w:eastAsia="宋体" w:cs="宋体"/>
                <w:color w:val="000000"/>
                <w:sz w:val="24"/>
                <w:szCs w:val="24"/>
              </w:rPr>
              <w:t>会计师事务所审计且出具无保留意见的财务审计报告，并加盖公章，包括但不限于报告页、经审计的资产负债表、利润表、现金流量表及报表附注，（如投标人公司没有经审计的财务报告，可提供加盖公章的近三年财务报表，包括但不限于资产负债表、利润表、现金流量表），且未显示异常；</w:t>
            </w:r>
          </w:p>
          <w:p>
            <w:pPr>
              <w:pStyle w:val="21"/>
              <w:ind w:firstLine="480" w:firstLineChars="200"/>
              <w:rPr>
                <w:rFonts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拟投标人2022年1月1日至今与本次招标内容相同或类似项目业绩（招标方判定），业绩不少于三个（需出示合同），且近3年内无因服务不当而造成重大事故；</w:t>
            </w:r>
          </w:p>
          <w:p>
            <w:pPr>
              <w:pStyle w:val="21"/>
              <w:ind w:firstLine="480" w:firstLineChars="200"/>
              <w:rPr>
                <w:rFonts w:hAnsi="宋体" w:eastAsia="宋体" w:cs="宋体"/>
                <w:color w:val="000000"/>
                <w:sz w:val="24"/>
                <w:szCs w:val="24"/>
              </w:rPr>
            </w:pPr>
            <w:r>
              <w:rPr>
                <w:rFonts w:hint="eastAsia" w:hAnsi="宋体" w:eastAsia="宋体" w:cs="宋体"/>
                <w:color w:val="000000"/>
                <w:sz w:val="24"/>
                <w:szCs w:val="24"/>
              </w:rPr>
              <w:t>8.</w:t>
            </w:r>
            <w:r>
              <w:rPr>
                <w:rFonts w:hAnsi="宋体" w:eastAsia="宋体" w:cs="宋体"/>
                <w:sz w:val="24"/>
                <w:szCs w:val="24"/>
              </w:rPr>
              <w:t>拟投标人近三年内在经营活动中无与本项目有关的违法及重大违规情况</w:t>
            </w:r>
            <w:r>
              <w:rPr>
                <w:rFonts w:hint="eastAsia" w:hAnsi="宋体" w:eastAsia="宋体" w:cs="宋体"/>
                <w:color w:val="000000"/>
                <w:sz w:val="24"/>
                <w:szCs w:val="24"/>
              </w:rPr>
              <w:t>；</w:t>
            </w:r>
          </w:p>
          <w:p>
            <w:pPr>
              <w:pStyle w:val="21"/>
              <w:ind w:firstLine="480" w:firstLineChars="200"/>
              <w:rPr>
                <w:rFonts w:hAnsi="宋体" w:eastAsia="宋体" w:cs="宋体"/>
                <w:color w:val="000000"/>
                <w:sz w:val="24"/>
                <w:szCs w:val="24"/>
              </w:rPr>
            </w:pPr>
            <w:r>
              <w:rPr>
                <w:rFonts w:hint="eastAsia" w:hAnsi="宋体" w:eastAsia="宋体" w:cs="宋体"/>
                <w:color w:val="000000"/>
                <w:sz w:val="24"/>
                <w:szCs w:val="24"/>
              </w:rPr>
              <w:t>9.拟投标人须认可招标人的工作指令，包括节、假日能正常开展工作的要求；</w:t>
            </w:r>
          </w:p>
          <w:p>
            <w:pPr>
              <w:pStyle w:val="21"/>
              <w:ind w:firstLine="480" w:firstLineChars="200"/>
              <w:rPr>
                <w:rFonts w:hAnsi="宋体" w:eastAsia="宋体" w:cs="宋体"/>
                <w:color w:val="000000"/>
                <w:sz w:val="24"/>
                <w:szCs w:val="24"/>
              </w:rPr>
            </w:pPr>
            <w:r>
              <w:rPr>
                <w:rFonts w:hint="eastAsia" w:hAnsi="宋体" w:eastAsia="宋体" w:cs="宋体"/>
                <w:color w:val="000000"/>
                <w:sz w:val="24"/>
                <w:szCs w:val="24"/>
              </w:rPr>
              <w:t>10.拟投标人最近半年纳税正常；</w:t>
            </w:r>
          </w:p>
          <w:p>
            <w:pPr>
              <w:pStyle w:val="21"/>
              <w:ind w:firstLine="480" w:firstLineChars="200"/>
              <w:rPr>
                <w:rFonts w:hAnsi="宋体" w:eastAsia="宋体" w:cs="宋体"/>
                <w:color w:val="000000"/>
                <w:sz w:val="24"/>
                <w:szCs w:val="24"/>
              </w:rPr>
            </w:pPr>
            <w:r>
              <w:rPr>
                <w:rFonts w:hint="eastAsia" w:hAnsi="宋体" w:eastAsia="宋体" w:cs="宋体"/>
                <w:color w:val="000000"/>
                <w:sz w:val="24"/>
                <w:szCs w:val="24"/>
              </w:rPr>
              <w:t>11.拟投标人信用证明材料（</w:t>
            </w:r>
            <w:r>
              <w:rPr>
                <w:rFonts w:hint="eastAsia" w:hAnsi="宋体" w:eastAsia="宋体" w:cs="宋体"/>
                <w:color w:val="000000"/>
                <w:sz w:val="24"/>
                <w:szCs w:val="24"/>
                <w:highlight w:val="yellow"/>
              </w:rPr>
              <w:t>征信中心出具的信用报告</w:t>
            </w:r>
            <w:r>
              <w:rPr>
                <w:rFonts w:hint="eastAsia" w:hAnsi="宋体" w:eastAsia="宋体" w:cs="宋体"/>
                <w:color w:val="000000"/>
                <w:sz w:val="24"/>
                <w:szCs w:val="24"/>
              </w:rPr>
              <w:t>）未显示异常；</w:t>
            </w:r>
          </w:p>
          <w:p>
            <w:pPr>
              <w:pStyle w:val="21"/>
              <w:ind w:firstLine="480" w:firstLineChars="200"/>
              <w:rPr>
                <w:rFonts w:hAnsi="宋体" w:eastAsia="宋体" w:cs="宋体"/>
                <w:color w:val="000000"/>
                <w:sz w:val="24"/>
                <w:szCs w:val="24"/>
              </w:rPr>
            </w:pPr>
            <w:r>
              <w:rPr>
                <w:rFonts w:hint="eastAsia" w:hAnsi="宋体" w:eastAsia="宋体" w:cs="宋体"/>
                <w:color w:val="000000"/>
                <w:sz w:val="24"/>
                <w:szCs w:val="24"/>
              </w:rPr>
              <w:t>12.拟投标人的直接或间接股东、法定代表人、董事、监事、高管非重汽员工及其亲属；</w:t>
            </w:r>
          </w:p>
          <w:p>
            <w:pPr>
              <w:pStyle w:val="21"/>
              <w:ind w:firstLine="480" w:firstLineChars="200"/>
              <w:rPr>
                <w:rFonts w:hAnsi="宋体" w:eastAsia="宋体" w:cs="宋体"/>
                <w:color w:val="000000"/>
                <w:sz w:val="24"/>
                <w:szCs w:val="24"/>
              </w:rPr>
            </w:pPr>
            <w:r>
              <w:rPr>
                <w:rFonts w:hint="eastAsia" w:hAnsi="宋体" w:eastAsia="宋体" w:cs="宋体"/>
                <w:color w:val="000000"/>
                <w:sz w:val="24"/>
                <w:szCs w:val="24"/>
              </w:rPr>
              <w:t>13.</w:t>
            </w:r>
            <w:r>
              <w:rPr>
                <w:rFonts w:hint="eastAsia" w:hAnsi="宋体" w:eastAsia="宋体" w:cs="宋体"/>
                <w:b/>
                <w:bCs/>
                <w:color w:val="000000"/>
                <w:sz w:val="24"/>
                <w:szCs w:val="24"/>
              </w:rPr>
              <w:t>本项目不接受联合体投标，</w:t>
            </w:r>
            <w:r>
              <w:rPr>
                <w:rFonts w:hint="eastAsia" w:hAnsi="宋体" w:eastAsia="宋体" w:cs="宋体"/>
                <w:color w:val="000000"/>
                <w:sz w:val="24"/>
                <w:szCs w:val="24"/>
              </w:rPr>
              <w:t>拟投标人必须是最终投标单位和签订合同单位，不得以任何理由将已中标项目以任何形式分包或转包给其他单位；</w:t>
            </w:r>
          </w:p>
          <w:p>
            <w:pPr>
              <w:pStyle w:val="21"/>
              <w:ind w:firstLine="480" w:firstLineChars="200"/>
              <w:rPr>
                <w:rFonts w:hAnsi="宋体" w:eastAsia="宋体" w:cs="宋体"/>
                <w:color w:val="000000"/>
                <w:sz w:val="24"/>
                <w:szCs w:val="24"/>
              </w:rPr>
            </w:pPr>
            <w:r>
              <w:rPr>
                <w:rFonts w:hint="eastAsia" w:hAnsi="宋体" w:eastAsia="宋体" w:cs="宋体"/>
                <w:color w:val="000000"/>
                <w:sz w:val="24"/>
                <w:szCs w:val="24"/>
              </w:rPr>
              <w:t>14.本项目不接受代理投标；</w:t>
            </w:r>
          </w:p>
          <w:p>
            <w:pPr>
              <w:pStyle w:val="21"/>
              <w:ind w:firstLine="480" w:firstLineChars="200"/>
              <w:rPr>
                <w:rFonts w:hAnsi="宋体" w:eastAsia="宋体" w:cs="宋体"/>
                <w:color w:val="000000"/>
                <w:sz w:val="24"/>
                <w:szCs w:val="24"/>
              </w:rPr>
            </w:pPr>
            <w:r>
              <w:rPr>
                <w:rFonts w:hint="eastAsia" w:hAnsi="宋体" w:eastAsia="宋体" w:cs="宋体"/>
                <w:color w:val="000000"/>
                <w:sz w:val="24"/>
                <w:szCs w:val="24"/>
              </w:rPr>
              <w:t>15.与招标人存在利害关系可能影响招标公正性的法人、其他组织或者个人，不得参加投标。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2025年</w:t>
            </w:r>
            <w:r>
              <w:rPr>
                <w:rFonts w:hint="eastAsia" w:ascii="宋体" w:hAnsi="宋体" w:eastAsia="宋体" w:cs="宋体"/>
                <w:bCs/>
                <w:sz w:val="24"/>
                <w:szCs w:val="24"/>
                <w:highlight w:val="yellow"/>
                <w:u w:val="single"/>
              </w:rPr>
              <w:t>10</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29</w:t>
            </w:r>
            <w:r>
              <w:rPr>
                <w:rFonts w:hint="eastAsia" w:ascii="宋体" w:hAnsi="宋体" w:eastAsia="宋体" w:cs="宋体"/>
                <w:bCs/>
                <w:sz w:val="24"/>
                <w:szCs w:val="24"/>
                <w:highlight w:val="yellow"/>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sz w:val="24"/>
                <w:szCs w:val="24"/>
              </w:rPr>
              <w:t>发标方式：</w:t>
            </w:r>
            <w:r>
              <w:rPr>
                <w:rFonts w:ascii="宋体" w:hAnsi="宋体" w:eastAsia="宋体" w:cs="宋体"/>
                <w:sz w:val="24"/>
                <w:szCs w:val="24"/>
              </w:rPr>
              <w:t>中国重汽官网</w:t>
            </w:r>
            <w:r>
              <w:rPr>
                <w:rFonts w:hint="eastAsia" w:ascii="宋体" w:hAnsi="宋体" w:eastAsia="宋体" w:cs="宋体"/>
                <w:sz w:val="24"/>
                <w:szCs w:val="24"/>
              </w:rPr>
              <w:t>、山东省阳光采购服务平台、中国招标投标公共服务平台等公开媒体</w:t>
            </w:r>
            <w:r>
              <w:rPr>
                <w:rFonts w:ascii="宋体" w:hAnsi="宋体" w:eastAsia="宋体" w:cs="宋体"/>
                <w:color w:val="000000"/>
                <w:sz w:val="24"/>
                <w:szCs w:val="24"/>
              </w:rPr>
              <w:t>公布</w:t>
            </w:r>
            <w:r>
              <w:rPr>
                <w:rFonts w:hint="eastAsia" w:ascii="宋体" w:hAnsi="宋体" w:eastAsia="宋体" w:cs="Times New Roman"/>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pPr>
              <w:ind w:firstLine="482" w:firstLineChars="200"/>
              <w:jc w:val="left"/>
              <w:rPr>
                <w:rFonts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sz w:val="24"/>
                <w:szCs w:val="24"/>
                <w:highlight w:val="yellow"/>
              </w:rPr>
              <w:t>2025年</w:t>
            </w:r>
            <w:r>
              <w:rPr>
                <w:rFonts w:hint="eastAsia" w:ascii="宋体" w:hAnsi="宋体" w:eastAsia="宋体" w:cs="宋体"/>
                <w:bCs/>
                <w:sz w:val="24"/>
                <w:szCs w:val="24"/>
                <w:highlight w:val="yellow"/>
                <w:u w:val="single"/>
              </w:rPr>
              <w:t>1</w:t>
            </w:r>
            <w:r>
              <w:rPr>
                <w:rFonts w:hint="eastAsia" w:ascii="宋体" w:hAnsi="宋体" w:eastAsia="宋体" w:cs="宋体"/>
                <w:bCs/>
                <w:sz w:val="24"/>
                <w:szCs w:val="24"/>
                <w:highlight w:val="yellow"/>
                <w:u w:val="single"/>
                <w:lang w:val="en-US" w:eastAsia="zh-CN"/>
              </w:rPr>
              <w:t>1</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7</w:t>
            </w:r>
            <w:r>
              <w:rPr>
                <w:rFonts w:hint="eastAsia" w:ascii="宋体" w:hAnsi="宋体" w:eastAsia="宋体" w:cs="宋体"/>
                <w:bCs/>
                <w:sz w:val="24"/>
                <w:szCs w:val="24"/>
                <w:highlight w:val="yellow"/>
              </w:rPr>
              <w:t>日1</w:t>
            </w:r>
            <w:r>
              <w:rPr>
                <w:rFonts w:hint="eastAsia" w:ascii="宋体" w:hAnsi="宋体" w:eastAsia="宋体" w:cs="宋体"/>
                <w:bCs/>
                <w:sz w:val="24"/>
                <w:szCs w:val="24"/>
                <w:highlight w:val="yellow"/>
                <w:lang w:val="en-US" w:eastAsia="zh-CN"/>
              </w:rPr>
              <w:t>7</w:t>
            </w:r>
            <w:r>
              <w:rPr>
                <w:rFonts w:hint="eastAsia" w:ascii="宋体" w:hAnsi="宋体" w:eastAsia="宋体" w:cs="宋体"/>
                <w:bCs/>
                <w:sz w:val="24"/>
                <w:szCs w:val="24"/>
                <w:highlight w:val="yellow"/>
              </w:rPr>
              <w:t>:00前；</w:t>
            </w:r>
          </w:p>
          <w:p>
            <w:pPr>
              <w:ind w:firstLine="482" w:firstLineChars="200"/>
              <w:jc w:val="left"/>
              <w:rPr>
                <w:rFonts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pPr>
              <w:ind w:firstLine="482" w:firstLineChars="200"/>
              <w:jc w:val="left"/>
              <w:rPr>
                <w:rFonts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sz w:val="24"/>
                <w:szCs w:val="24"/>
                <w:highlight w:val="yellow"/>
              </w:rPr>
              <w:t>2025年</w:t>
            </w:r>
            <w:r>
              <w:rPr>
                <w:rFonts w:hint="eastAsia" w:ascii="宋体" w:hAnsi="宋体" w:eastAsia="宋体" w:cs="宋体"/>
                <w:bCs/>
                <w:sz w:val="24"/>
                <w:szCs w:val="24"/>
                <w:highlight w:val="yellow"/>
                <w:u w:val="single"/>
              </w:rPr>
              <w:t>1</w:t>
            </w:r>
            <w:r>
              <w:rPr>
                <w:rFonts w:hint="eastAsia" w:ascii="宋体" w:hAnsi="宋体" w:eastAsia="宋体" w:cs="宋体"/>
                <w:bCs/>
                <w:sz w:val="24"/>
                <w:szCs w:val="24"/>
                <w:highlight w:val="yellow"/>
                <w:u w:val="single"/>
                <w:lang w:val="en-US" w:eastAsia="zh-CN"/>
              </w:rPr>
              <w:t>1</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7</w:t>
            </w:r>
            <w:r>
              <w:rPr>
                <w:rFonts w:hint="eastAsia" w:ascii="宋体" w:hAnsi="宋体" w:eastAsia="宋体" w:cs="宋体"/>
                <w:bCs/>
                <w:sz w:val="24"/>
                <w:szCs w:val="24"/>
                <w:highlight w:val="yellow"/>
              </w:rPr>
              <w:t>日</w:t>
            </w:r>
            <w:r>
              <w:rPr>
                <w:rFonts w:hint="eastAsia" w:ascii="宋体" w:hAnsi="宋体" w:eastAsia="宋体" w:cs="宋体"/>
                <w:sz w:val="24"/>
                <w:szCs w:val="24"/>
                <w:highlight w:val="yellow"/>
              </w:rPr>
              <w:t>17:00</w:t>
            </w:r>
            <w:r>
              <w:rPr>
                <w:rFonts w:hint="eastAsia" w:ascii="宋体" w:hAnsi="宋体" w:eastAsia="宋体" w:cs="宋体"/>
                <w:sz w:val="24"/>
                <w:szCs w:val="24"/>
              </w:rPr>
              <w:t>前；</w:t>
            </w:r>
          </w:p>
          <w:p>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6"/>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拟投标人根据招标人在中国重汽官网等公开媒体上发布的招标信息，</w:t>
            </w:r>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按照中国重汽e采通“SRM非生产供应商注册手册”（附件15）进行注册</w:t>
            </w:r>
            <w:r>
              <w:rPr>
                <w:rFonts w:hint="eastAsia" w:eastAsia="宋体" w:cs="Times New Roman"/>
              </w:rPr>
              <w:t>，注册完毕后按照</w:t>
            </w:r>
            <w:r>
              <w:rPr>
                <w:rFonts w:hint="eastAsia" w:eastAsia="宋体" w:cs="宋体"/>
                <w:b/>
              </w:rPr>
              <w:t>“SRM系统供应商用户手册（附件16）”，</w:t>
            </w:r>
            <w:r>
              <w:rPr>
                <w:rFonts w:hint="eastAsia" w:eastAsia="宋体" w:cs="Times New Roman"/>
              </w:rPr>
              <w:t>登录</w:t>
            </w:r>
            <w:r>
              <w:rPr>
                <w:rFonts w:hint="eastAsia" w:eastAsia="宋体" w:cs="宋体"/>
                <w:b/>
              </w:rPr>
              <w:t>重汽e采通平台</w:t>
            </w:r>
            <w:r>
              <w:rPr>
                <w:rFonts w:hint="eastAsia" w:eastAsia="宋体" w:cs="Times New Roman"/>
              </w:rPr>
              <w:t>后进入“供应商应标”，选择对应的项目，点击“</w:t>
            </w:r>
            <w:r>
              <w:rPr>
                <w:rFonts w:hint="eastAsia" w:eastAsia="宋体" w:cs="Times New Roman"/>
                <w:b/>
                <w:bCs/>
              </w:rPr>
              <w:t>应标</w:t>
            </w:r>
            <w:r>
              <w:rPr>
                <w:rFonts w:hint="eastAsia" w:eastAsia="宋体" w:cs="Times New Roman"/>
              </w:rPr>
              <w:t>”</w:t>
            </w:r>
            <w:r>
              <w:rPr>
                <w:rFonts w:hint="eastAsia" w:eastAsia="宋体" w:cs="Times New Roman"/>
                <w:b/>
                <w:bCs/>
              </w:rPr>
              <w:t>后按照招标文件第三部分投标文件组成资格证明文件中的1.1</w:t>
            </w:r>
            <w:r>
              <w:rPr>
                <w:rFonts w:eastAsia="宋体" w:cs="Times New Roman"/>
                <w:b/>
                <w:bCs/>
              </w:rPr>
              <w:t>-</w:t>
            </w:r>
            <w:r>
              <w:rPr>
                <w:rFonts w:hint="eastAsia" w:eastAsia="宋体" w:cs="Times New Roman"/>
                <w:b/>
                <w:bCs/>
              </w:rPr>
              <w:t>1.13准备资料并</w:t>
            </w:r>
            <w:r>
              <w:rPr>
                <w:rFonts w:hint="eastAsia" w:eastAsia="宋体" w:cs="Times New Roman"/>
              </w:rPr>
              <w:t>上传，资质审查通过即为报名成功</w:t>
            </w:r>
            <w:r>
              <w:rPr>
                <w:rFonts w:hint="eastAsia" w:hAnsi="Courier New" w:eastAsia="宋体" w:cs="Times New Roman"/>
              </w:rPr>
              <w:t>；公示期间请尽快报名</w:t>
            </w:r>
            <w:r>
              <w:rPr>
                <w:rFonts w:hint="eastAsia" w:eastAsia="宋体" w:cs="宋体"/>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pPr>
          </w:p>
        </w:tc>
        <w:tc>
          <w:tcPr>
            <w:tcW w:w="8363" w:type="dxa"/>
            <w:tcBorders>
              <w:top w:val="single" w:color="auto" w:sz="2" w:space="0"/>
              <w:left w:val="single" w:color="auto" w:sz="2" w:space="0"/>
              <w:bottom w:val="single" w:color="auto" w:sz="2" w:space="0"/>
              <w:right w:val="single" w:color="auto" w:sz="2" w:space="0"/>
            </w:tcBorders>
            <w:vAlign w:val="center"/>
          </w:tcPr>
          <w:p>
            <w:pPr>
              <w:pStyle w:val="116"/>
              <w:spacing w:line="240" w:lineRule="auto"/>
              <w:ind w:firstLine="482"/>
              <w:rPr>
                <w:rFonts w:eastAsia="宋体" w:cs="宋体"/>
                <w:highlight w:val="yellow"/>
              </w:rPr>
            </w:pPr>
            <w:r>
              <w:rPr>
                <w:rFonts w:hint="eastAsia" w:eastAsia="宋体" w:cs="宋体"/>
                <w:b/>
                <w:bCs/>
              </w:rPr>
              <w:t>应标截止时间：</w:t>
            </w:r>
            <w:r>
              <w:rPr>
                <w:rFonts w:hint="eastAsia" w:eastAsia="宋体" w:cs="宋体"/>
                <w:highlight w:val="yellow"/>
              </w:rPr>
              <w:t>2025年1</w:t>
            </w:r>
            <w:r>
              <w:rPr>
                <w:rFonts w:hint="eastAsia" w:eastAsia="宋体" w:cs="宋体"/>
                <w:highlight w:val="yellow"/>
                <w:lang w:val="en-US" w:eastAsia="zh-CN"/>
              </w:rPr>
              <w:t>1</w:t>
            </w:r>
            <w:r>
              <w:rPr>
                <w:rFonts w:hint="eastAsia" w:eastAsia="宋体" w:cs="宋体"/>
                <w:highlight w:val="yellow"/>
              </w:rPr>
              <w:t>月</w:t>
            </w:r>
            <w:r>
              <w:rPr>
                <w:rFonts w:hint="eastAsia" w:eastAsia="宋体" w:cs="宋体"/>
                <w:highlight w:val="yellow"/>
                <w:lang w:val="en-US" w:eastAsia="zh-CN"/>
              </w:rPr>
              <w:t>2</w:t>
            </w:r>
            <w:r>
              <w:rPr>
                <w:rFonts w:hint="eastAsia" w:eastAsia="宋体" w:cs="宋体"/>
                <w:highlight w:val="yellow"/>
              </w:rPr>
              <w:t>日17时00分00秒</w:t>
            </w:r>
          </w:p>
          <w:p>
            <w:pPr>
              <w:pStyle w:val="116"/>
              <w:spacing w:line="240" w:lineRule="auto"/>
              <w:ind w:firstLine="482"/>
              <w:rPr>
                <w:rFonts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21"/>
              <w:ind w:firstLine="482" w:firstLineChars="200"/>
              <w:rPr>
                <w:rFonts w:hAnsi="宋体" w:eastAsia="宋体" w:cs="宋体"/>
                <w:sz w:val="24"/>
                <w:szCs w:val="24"/>
                <w:highlight w:val="yellow"/>
              </w:rPr>
            </w:pPr>
            <w:r>
              <w:rPr>
                <w:rFonts w:hint="eastAsia" w:hAnsi="宋体" w:eastAsia="宋体" w:cs="宋体"/>
                <w:b/>
                <w:bCs/>
                <w:sz w:val="24"/>
                <w:szCs w:val="24"/>
              </w:rPr>
              <w:t>投标文件递交截止时间：</w:t>
            </w:r>
            <w:r>
              <w:rPr>
                <w:rFonts w:hint="eastAsia" w:hAnsi="宋体" w:eastAsia="宋体" w:cs="宋体"/>
                <w:sz w:val="24"/>
                <w:szCs w:val="24"/>
                <w:highlight w:val="yellow"/>
                <w:u w:val="single"/>
              </w:rPr>
              <w:t>2025</w:t>
            </w:r>
            <w:r>
              <w:rPr>
                <w:rFonts w:hint="eastAsia" w:hAnsi="宋体" w:eastAsia="宋体" w:cs="宋体"/>
                <w:sz w:val="24"/>
                <w:szCs w:val="24"/>
                <w:highlight w:val="yellow"/>
              </w:rPr>
              <w:t>年</w:t>
            </w:r>
            <w:r>
              <w:rPr>
                <w:rFonts w:hint="eastAsia" w:hAnsi="宋体" w:eastAsia="宋体" w:cs="宋体"/>
                <w:sz w:val="24"/>
                <w:szCs w:val="24"/>
                <w:highlight w:val="yellow"/>
                <w:u w:val="single"/>
              </w:rPr>
              <w:t>1</w:t>
            </w:r>
            <w:r>
              <w:rPr>
                <w:rFonts w:hint="eastAsia" w:hAnsi="宋体" w:eastAsia="宋体" w:cs="宋体"/>
                <w:sz w:val="24"/>
                <w:szCs w:val="24"/>
                <w:highlight w:val="yellow"/>
                <w:u w:val="single"/>
                <w:lang w:val="en-US" w:eastAsia="zh-CN"/>
              </w:rPr>
              <w:t>1</w:t>
            </w:r>
            <w:r>
              <w:rPr>
                <w:rFonts w:hint="eastAsia" w:hAnsi="宋体" w:eastAsia="宋体" w:cs="宋体"/>
                <w:sz w:val="24"/>
                <w:szCs w:val="24"/>
                <w:highlight w:val="yellow"/>
                <w:u w:val="single"/>
              </w:rPr>
              <w:t>月</w:t>
            </w:r>
            <w:r>
              <w:rPr>
                <w:rFonts w:hint="eastAsia" w:hAnsi="宋体" w:eastAsia="宋体" w:cs="宋体"/>
                <w:sz w:val="24"/>
                <w:szCs w:val="24"/>
                <w:highlight w:val="yellow"/>
                <w:u w:val="single"/>
                <w:lang w:val="en-US" w:eastAsia="zh-CN"/>
              </w:rPr>
              <w:t>22</w:t>
            </w:r>
            <w:r>
              <w:rPr>
                <w:rFonts w:hint="eastAsia" w:hAnsi="宋体" w:eastAsia="宋体" w:cs="宋体"/>
                <w:sz w:val="24"/>
                <w:szCs w:val="24"/>
                <w:highlight w:val="yellow"/>
              </w:rPr>
              <w:t>日</w:t>
            </w:r>
            <w:r>
              <w:rPr>
                <w:rFonts w:hint="eastAsia" w:hAnsi="宋体" w:eastAsia="宋体" w:cs="宋体"/>
                <w:sz w:val="24"/>
                <w:szCs w:val="24"/>
                <w:highlight w:val="yellow"/>
                <w:lang w:val="en-US" w:eastAsia="zh-CN"/>
              </w:rPr>
              <w:t>下</w:t>
            </w:r>
            <w:r>
              <w:rPr>
                <w:rFonts w:hint="eastAsia" w:hAnsi="宋体" w:eastAsia="宋体" w:cs="宋体"/>
                <w:kern w:val="0"/>
                <w:sz w:val="24"/>
                <w:szCs w:val="24"/>
                <w:highlight w:val="yellow"/>
              </w:rPr>
              <w:t>午</w:t>
            </w:r>
            <w:r>
              <w:rPr>
                <w:rFonts w:hint="eastAsia" w:hAnsi="宋体" w:eastAsia="宋体" w:cs="宋体"/>
                <w:kern w:val="0"/>
                <w:sz w:val="24"/>
                <w:szCs w:val="24"/>
                <w:highlight w:val="yellow"/>
                <w:lang w:val="en-US" w:eastAsia="zh-CN"/>
              </w:rPr>
              <w:t>17</w:t>
            </w:r>
            <w:r>
              <w:rPr>
                <w:rFonts w:hint="eastAsia" w:hAnsi="宋体" w:eastAsia="宋体" w:cs="宋体"/>
                <w:sz w:val="24"/>
                <w:szCs w:val="24"/>
                <w:highlight w:val="yellow"/>
              </w:rPr>
              <w:t>:00:00（北京时间）</w:t>
            </w:r>
          </w:p>
          <w:p>
            <w:pPr>
              <w:pStyle w:val="21"/>
              <w:ind w:firstLine="482" w:firstLineChars="200"/>
              <w:rPr>
                <w:rFonts w:hAnsi="宋体" w:eastAsia="宋体" w:cs="宋体"/>
                <w:sz w:val="24"/>
                <w:szCs w:val="24"/>
                <w:highlight w:val="yellow"/>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cyan"/>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人民币200000.00元</w:t>
            </w:r>
          </w:p>
          <w:p>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rPr>
              <w:t>中国重汽集团济南动力有限公司</w:t>
            </w:r>
          </w:p>
          <w:p>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中国建设银行济南市天桥区支行</w:t>
            </w:r>
          </w:p>
          <w:p>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37001616508050150300</w:t>
            </w:r>
          </w:p>
          <w:p>
            <w:pPr>
              <w:ind w:firstLine="482" w:firstLineChars="200"/>
              <w:rPr>
                <w:rFonts w:ascii="宋体" w:hAnsi="宋体" w:eastAsia="宋体" w:cs="宋体"/>
                <w:sz w:val="24"/>
                <w:szCs w:val="24"/>
                <w:highlight w:val="yellow"/>
              </w:rPr>
            </w:pPr>
            <w:r>
              <w:rPr>
                <w:rFonts w:hint="eastAsia" w:ascii="宋体" w:hAnsi="宋体" w:eastAsia="宋体" w:cs="宋体"/>
                <w:b/>
                <w:bCs/>
                <w:color w:val="000000"/>
                <w:kern w:val="0"/>
                <w:sz w:val="24"/>
                <w:szCs w:val="24"/>
                <w:highlight w:val="yellow"/>
              </w:rPr>
              <w:t>联行号：</w:t>
            </w:r>
            <w:r>
              <w:rPr>
                <w:rFonts w:hint="eastAsia" w:ascii="宋体" w:hAnsi="宋体" w:eastAsia="宋体" w:cs="宋体"/>
                <w:color w:val="000000"/>
                <w:kern w:val="0"/>
                <w:sz w:val="24"/>
                <w:szCs w:val="24"/>
                <w:highlight w:val="yellow"/>
              </w:rPr>
              <w:t>105451000362</w:t>
            </w:r>
          </w:p>
          <w:p>
            <w:pPr>
              <w:ind w:firstLine="480" w:firstLineChars="200"/>
              <w:rPr>
                <w:rFonts w:ascii="宋体" w:hAnsi="宋体" w:eastAsia="宋体" w:cs="宋体"/>
                <w:sz w:val="24"/>
                <w:szCs w:val="24"/>
                <w:highlight w:val="yellow"/>
              </w:rPr>
            </w:pPr>
            <w:r>
              <w:rPr>
                <w:rFonts w:hint="eastAsia" w:ascii="宋体" w:hAnsi="宋体" w:eastAsia="宋体" w:cs="宋体"/>
                <w:sz w:val="24"/>
                <w:szCs w:val="24"/>
                <w:highlight w:val="yellow"/>
              </w:rPr>
              <w:t>投标保证金应从投标人的基本账户转出至上述账户并到账，否则视为无效投标。</w:t>
            </w:r>
          </w:p>
          <w:p>
            <w:pPr>
              <w:ind w:firstLine="480" w:firstLineChars="200"/>
              <w:rPr>
                <w:rFonts w:ascii="宋体" w:hAnsi="宋体" w:eastAsia="宋体" w:cs="宋体"/>
                <w:sz w:val="24"/>
                <w:szCs w:val="24"/>
                <w:highlight w:val="cyan"/>
              </w:rPr>
            </w:pPr>
            <w:r>
              <w:rPr>
                <w:rFonts w:hint="eastAsia" w:eastAsia="宋体" w:cs="Times New Roman"/>
                <w:sz w:val="24"/>
                <w:szCs w:val="28"/>
                <w:highlight w:val="yellow"/>
              </w:rPr>
              <w:t>转账附言：公司名称+项目名称+投标保证金。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39"/>
              <w:spacing w:after="0" w:line="240" w:lineRule="auto"/>
              <w:ind w:left="0" w:leftChars="0" w:firstLine="482"/>
              <w:rPr>
                <w:rFonts w:ascii="宋体" w:hAnsi="宋体" w:cs="宋体"/>
                <w:sz w:val="24"/>
                <w:szCs w:val="24"/>
              </w:rPr>
            </w:pPr>
            <w:r>
              <w:rPr>
                <w:rFonts w:hint="eastAsia" w:ascii="宋体" w:hAnsi="宋体" w:cs="宋体"/>
                <w:b/>
                <w:bCs/>
                <w:sz w:val="24"/>
                <w:szCs w:val="24"/>
              </w:rPr>
              <w:t>保证金缴纳截止时间：</w:t>
            </w:r>
            <w:r>
              <w:rPr>
                <w:rFonts w:hint="eastAsia" w:ascii="宋体" w:hAnsi="宋体" w:cs="宋体"/>
                <w:sz w:val="24"/>
                <w:szCs w:val="24"/>
                <w:highlight w:val="yellow"/>
              </w:rPr>
              <w:t>2025年1</w:t>
            </w:r>
            <w:r>
              <w:rPr>
                <w:rFonts w:hint="eastAsia" w:ascii="宋体" w:hAnsi="宋体" w:cs="宋体"/>
                <w:sz w:val="24"/>
                <w:szCs w:val="24"/>
                <w:highlight w:val="yellow"/>
                <w:lang w:val="en-US" w:eastAsia="zh-CN"/>
              </w:rPr>
              <w:t>1</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22</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0前（同应标截止时间）</w:t>
            </w:r>
          </w:p>
          <w:p>
            <w:pPr>
              <w:pStyle w:val="39"/>
              <w:spacing w:after="0" w:line="240" w:lineRule="auto"/>
              <w:ind w:left="0" w:leftChars="0" w:firstLine="480"/>
              <w:rPr>
                <w:rFonts w:ascii="宋体" w:hAnsi="宋体" w:cs="宋体"/>
                <w:sz w:val="24"/>
                <w:szCs w:val="24"/>
              </w:rPr>
            </w:pPr>
            <w:r>
              <w:rPr>
                <w:rFonts w:hint="eastAsia" w:ascii="宋体" w:hAnsi="宋体" w:cs="宋体"/>
                <w:sz w:val="24"/>
                <w:szCs w:val="24"/>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39"/>
              <w:spacing w:after="0" w:line="240" w:lineRule="auto"/>
              <w:ind w:left="0" w:leftChars="0" w:firstLine="480"/>
              <w:rPr>
                <w:rFonts w:ascii="宋体" w:hAnsi="宋体" w:cs="宋体"/>
                <w:sz w:val="24"/>
                <w:szCs w:val="24"/>
              </w:rPr>
            </w:pPr>
            <w:r>
              <w:rPr>
                <w:rFonts w:hint="eastAsia" w:ascii="宋体" w:hAnsi="宋体" w:cs="宋体"/>
                <w:sz w:val="24"/>
                <w:szCs w:val="24"/>
              </w:rPr>
              <w:t>对于没有中标的投标人，投标保证金将于招标人内部完成中标人评审并确认最终中标人后在30工作日内予以原路返还（无息）；对于中标方，投标保证金将在签订合同后30个工作日内原路返还（无息）。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eastAsia="宋体" w:cs="宋体"/>
                <w:sz w:val="24"/>
                <w:szCs w:val="24"/>
                <w:highlight w:val="yellow"/>
              </w:rPr>
              <w:t>2025</w:t>
            </w:r>
            <w:r>
              <w:rPr>
                <w:rFonts w:hint="eastAsia" w:ascii="宋体" w:hAnsi="宋体" w:cs="宋体"/>
                <w:sz w:val="24"/>
                <w:szCs w:val="24"/>
                <w:highlight w:val="yellow"/>
              </w:rPr>
              <w:t>年1</w:t>
            </w:r>
            <w:r>
              <w:rPr>
                <w:rFonts w:hint="eastAsia" w:ascii="宋体" w:hAnsi="宋体" w:cs="宋体"/>
                <w:sz w:val="24"/>
                <w:szCs w:val="24"/>
                <w:highlight w:val="yellow"/>
                <w:lang w:val="en-US" w:eastAsia="zh-CN"/>
              </w:rPr>
              <w:t>1</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23</w:t>
            </w:r>
            <w:r>
              <w:rPr>
                <w:rFonts w:hint="eastAsia" w:ascii="宋体" w:hAnsi="宋体" w:cs="宋体"/>
                <w:sz w:val="24"/>
                <w:szCs w:val="24"/>
                <w:highlight w:val="yellow"/>
              </w:rPr>
              <w:t>日9:</w:t>
            </w:r>
            <w:r>
              <w:rPr>
                <w:rFonts w:hint="eastAsia" w:ascii="宋体" w:hAnsi="宋体" w:cs="宋体"/>
                <w:sz w:val="24"/>
                <w:szCs w:val="24"/>
                <w:highlight w:val="yellow"/>
                <w:lang w:val="en-US" w:eastAsia="zh-CN"/>
              </w:rPr>
              <w:t>0</w:t>
            </w:r>
            <w:r>
              <w:rPr>
                <w:rFonts w:hint="eastAsia" w:ascii="宋体" w:hAnsi="宋体" w:cs="宋体"/>
                <w:sz w:val="24"/>
                <w:szCs w:val="24"/>
                <w:highlight w:val="yellow"/>
              </w:rPr>
              <w:t>0:00</w:t>
            </w:r>
            <w:r>
              <w:rPr>
                <w:rFonts w:hint="eastAsia" w:ascii="宋体" w:hAnsi="宋体" w:eastAsia="宋体" w:cs="宋体"/>
                <w:kern w:val="0"/>
                <w:sz w:val="24"/>
                <w:szCs w:val="24"/>
                <w:highlight w:val="yellow"/>
              </w:rPr>
              <w:t>。</w:t>
            </w:r>
          </w:p>
          <w:p>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w:t>
            </w:r>
            <w:r>
              <w:rPr>
                <w:rFonts w:hint="eastAsia" w:ascii="宋体" w:hAnsi="宋体" w:eastAsia="宋体" w:cs="Times New Roman"/>
                <w:color w:val="000000"/>
                <w:sz w:val="24"/>
                <w:szCs w:val="24"/>
                <w:highlight w:val="yellow"/>
              </w:rPr>
              <w:t>历城区</w:t>
            </w:r>
            <w:r>
              <w:rPr>
                <w:rFonts w:hint="eastAsia" w:ascii="宋体" w:hAnsi="宋体" w:eastAsia="宋体" w:cs="宋体"/>
                <w:sz w:val="24"/>
                <w:szCs w:val="24"/>
                <w:highlight w:val="yellow"/>
              </w:rPr>
              <w:t>华奥路777号重汽未来科技大厦</w:t>
            </w:r>
            <w:r>
              <w:rPr>
                <w:rFonts w:hint="eastAsia" w:ascii="宋体" w:hAnsi="宋体" w:eastAsia="宋体" w:cs="宋体"/>
                <w:color w:val="FF0000"/>
                <w:sz w:val="24"/>
                <w:szCs w:val="24"/>
                <w:highlight w:val="yellow"/>
                <w:lang w:val="en-US" w:eastAsia="zh-CN"/>
              </w:rPr>
              <w:t>3楼</w:t>
            </w:r>
            <w:r>
              <w:rPr>
                <w:rFonts w:hint="eastAsia" w:ascii="宋体" w:hAnsi="宋体" w:eastAsia="宋体" w:cs="宋体"/>
                <w:color w:val="FF0000"/>
                <w:sz w:val="24"/>
                <w:szCs w:val="24"/>
                <w:highlight w:val="yellow"/>
              </w:rPr>
              <w:t>会议室</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pPr>
              <w:pStyle w:val="13"/>
              <w:ind w:firstLine="482" w:firstLineChars="200"/>
              <w:rPr>
                <w:rFonts w:ascii="宋体" w:hAnsi="宋体" w:eastAsia="宋体" w:cs="宋体"/>
                <w:sz w:val="24"/>
                <w:szCs w:val="24"/>
              </w:rPr>
            </w:pPr>
            <w:r>
              <w:rPr>
                <w:rFonts w:ascii="宋体" w:hAnsi="宋体" w:eastAsia="宋体" w:cs="宋体"/>
                <w:b/>
                <w:bCs/>
                <w:sz w:val="24"/>
                <w:szCs w:val="24"/>
              </w:rPr>
              <w:t>评标方法：资质标审核→唱标→技术标评审→商务标评审。</w:t>
            </w:r>
            <w:r>
              <w:rPr>
                <w:rFonts w:ascii="宋体" w:hAnsi="宋体" w:eastAsia="宋体" w:cs="宋体"/>
                <w:b/>
                <w:bCs/>
                <w:sz w:val="24"/>
                <w:szCs w:val="24"/>
                <w:highlight w:val="magenta"/>
              </w:rPr>
              <w:t>技术标入围后，原则上选取综合评分最高者</w:t>
            </w:r>
            <w:r>
              <w:rPr>
                <w:rFonts w:ascii="宋体" w:hAnsi="宋体" w:eastAsia="宋体" w:cs="宋体"/>
                <w:b/>
                <w:sz w:val="24"/>
                <w:szCs w:val="24"/>
                <w:highlight w:val="magenta"/>
              </w:rPr>
              <w:t>中标</w:t>
            </w:r>
            <w:r>
              <w:rPr>
                <w:rFonts w:ascii="宋体" w:hAnsi="宋体" w:eastAsia="宋体" w:cs="宋体"/>
                <w:sz w:val="24"/>
                <w:szCs w:val="24"/>
                <w:highlight w:val="magenta"/>
              </w:rPr>
              <w:t>。</w:t>
            </w:r>
            <w:r>
              <w:rPr>
                <w:rFonts w:ascii="宋体" w:hAnsi="宋体" w:eastAsia="宋体" w:cs="宋体"/>
                <w:sz w:val="24"/>
                <w:szCs w:val="24"/>
              </w:rPr>
              <w:t>具体详见“第二部分投标须知第六条：评标原则”。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见第二部分投标须知第七条。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21"/>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pPr>
              <w:pStyle w:val="21"/>
              <w:ind w:firstLine="480" w:firstLineChars="200"/>
              <w:rPr>
                <w:rFonts w:hAnsi="宋体" w:eastAsia="宋体" w:cs="宋体"/>
                <w:color w:val="000000"/>
                <w:sz w:val="24"/>
                <w:szCs w:val="24"/>
              </w:rPr>
            </w:pPr>
            <w:r>
              <w:rPr>
                <w:rFonts w:hint="eastAsia" w:hAnsi="宋体" w:eastAsia="宋体" w:cs="宋体"/>
                <w:color w:val="000000"/>
                <w:sz w:val="24"/>
                <w:szCs w:val="24"/>
              </w:rPr>
              <w:t>自中标通知发出之日起，</w:t>
            </w:r>
            <w:r>
              <w:rPr>
                <w:rFonts w:hAnsi="宋体" w:eastAsia="宋体" w:cs="宋体"/>
                <w:color w:val="000000"/>
                <w:sz w:val="24"/>
                <w:szCs w:val="24"/>
              </w:rPr>
              <w:t>120</w:t>
            </w:r>
            <w:r>
              <w:rPr>
                <w:rFonts w:hint="eastAsia" w:hAnsi="宋体" w:eastAsia="宋体" w:cs="宋体"/>
                <w:color w:val="000000"/>
                <w:sz w:val="24"/>
                <w:szCs w:val="24"/>
              </w:rPr>
              <w:t>个日历日之内交货至供货地点。</w:t>
            </w:r>
          </w:p>
          <w:p>
            <w:pPr>
              <w:pStyle w:val="21"/>
              <w:ind w:firstLine="480" w:firstLineChars="200"/>
              <w:rPr>
                <w:rFonts w:hAnsi="宋体" w:eastAsia="宋体" w:cs="宋体"/>
                <w:color w:val="000000"/>
                <w:sz w:val="24"/>
                <w:szCs w:val="24"/>
              </w:rPr>
            </w:pPr>
            <w:r>
              <w:rPr>
                <w:rFonts w:hint="eastAsia" w:hAnsi="宋体" w:eastAsia="宋体" w:cs="宋体"/>
                <w:sz w:val="24"/>
                <w:szCs w:val="24"/>
              </w:rPr>
              <w:t>接续</w:t>
            </w:r>
            <w:r>
              <w:rPr>
                <w:rFonts w:hAnsi="宋体" w:eastAsia="宋体" w:cs="宋体"/>
                <w:sz w:val="24"/>
                <w:szCs w:val="24"/>
              </w:rPr>
              <w:t>1</w:t>
            </w:r>
            <w:r>
              <w:rPr>
                <w:rFonts w:hint="eastAsia" w:hAnsi="宋体" w:eastAsia="宋体" w:cs="宋体"/>
                <w:sz w:val="24"/>
                <w:szCs w:val="24"/>
              </w:rPr>
              <w:t>0个日历日之内安装调试完毕。</w:t>
            </w:r>
          </w:p>
          <w:p>
            <w:pPr>
              <w:pStyle w:val="21"/>
              <w:ind w:firstLine="480" w:firstLineChars="200"/>
              <w:rPr>
                <w:rFonts w:hAnsi="宋体" w:eastAsia="宋体" w:cs="宋体"/>
                <w:color w:val="000000"/>
                <w:sz w:val="24"/>
                <w:szCs w:val="24"/>
              </w:rPr>
            </w:pPr>
            <w:r>
              <w:rPr>
                <w:rFonts w:hint="eastAsia" w:hAnsi="宋体" w:eastAsia="宋体" w:cs="宋体"/>
                <w:color w:val="000000"/>
                <w:sz w:val="24"/>
                <w:szCs w:val="24"/>
              </w:rPr>
              <w:t>接续</w:t>
            </w:r>
            <w:r>
              <w:rPr>
                <w:rFonts w:hint="eastAsia" w:hAnsi="宋体" w:eastAsia="宋体" w:cs="宋体"/>
                <w:color w:val="000000"/>
                <w:sz w:val="24"/>
                <w:szCs w:val="24"/>
                <w:highlight w:val="yellow"/>
              </w:rPr>
              <w:t>90个日历日</w:t>
            </w:r>
            <w:r>
              <w:rPr>
                <w:rFonts w:hint="eastAsia" w:hAnsi="宋体" w:eastAsia="宋体" w:cs="宋体"/>
                <w:color w:val="000000"/>
                <w:sz w:val="24"/>
                <w:szCs w:val="24"/>
              </w:rPr>
              <w:t>之内完成终验收。</w:t>
            </w:r>
          </w:p>
          <w:p>
            <w:pPr>
              <w:pStyle w:val="21"/>
              <w:ind w:firstLine="480" w:firstLineChars="200"/>
              <w:rPr>
                <w:rFonts w:hAnsi="宋体" w:eastAsia="宋体" w:cs="宋体"/>
                <w:color w:val="000000"/>
                <w:sz w:val="24"/>
                <w:szCs w:val="24"/>
              </w:rPr>
            </w:pPr>
            <w:r>
              <w:rPr>
                <w:rFonts w:hint="eastAsia" w:hAnsi="宋体" w:eastAsia="宋体" w:cs="宋体"/>
                <w:color w:val="000000"/>
                <w:sz w:val="24"/>
                <w:szCs w:val="24"/>
              </w:rPr>
              <w:t>安装调试工期超过</w:t>
            </w:r>
            <w:r>
              <w:rPr>
                <w:rFonts w:hint="eastAsia" w:hAnsi="宋体" w:eastAsia="宋体" w:cs="宋体"/>
                <w:color w:val="000000"/>
                <w:sz w:val="24"/>
                <w:szCs w:val="24"/>
                <w:highlight w:val="yellow"/>
              </w:rPr>
              <w:t>规定时间</w:t>
            </w:r>
            <w:r>
              <w:rPr>
                <w:rFonts w:hint="eastAsia" w:hAnsi="宋体" w:eastAsia="宋体" w:cs="宋体"/>
                <w:color w:val="000000"/>
                <w:sz w:val="24"/>
                <w:szCs w:val="24"/>
              </w:rPr>
              <w:t>的，投标人应当随标书提供详细的工期计划。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pStyle w:val="21"/>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pPr>
              <w:pStyle w:val="21"/>
              <w:ind w:firstLine="482" w:firstLineChars="200"/>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hAnsi="宋体" w:eastAsia="宋体" w:cs="宋体"/>
                <w:color w:val="FF0000"/>
                <w:sz w:val="24"/>
                <w:szCs w:val="24"/>
                <w:u w:val="single"/>
              </w:rPr>
              <w:t>济南商用车制造公司</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3"/>
              <w:ind w:firstLine="482" w:firstLineChars="200"/>
              <w:rPr>
                <w:rFonts w:ascii="宋体" w:hAnsi="宋体" w:eastAsia="宋体" w:cs="宋体"/>
                <w:sz w:val="24"/>
                <w:szCs w:val="24"/>
              </w:rPr>
            </w:pPr>
            <w:r>
              <w:rPr>
                <w:rFonts w:ascii="宋体" w:hAnsi="宋体" w:eastAsia="宋体" w:cs="宋体"/>
                <w:b/>
                <w:sz w:val="24"/>
                <w:szCs w:val="24"/>
              </w:rPr>
              <w:t>质保期：自设备验收文件最终签署之日起</w:t>
            </w:r>
            <w:r>
              <w:rPr>
                <w:rFonts w:ascii="宋体" w:hAnsi="宋体" w:eastAsia="宋体" w:cs="宋体"/>
                <w:b/>
                <w:sz w:val="24"/>
                <w:szCs w:val="24"/>
                <w:highlight w:val="yellow"/>
                <w:u w:val="single"/>
              </w:rPr>
              <w:t>1</w:t>
            </w:r>
            <w:r>
              <w:rPr>
                <w:rFonts w:ascii="宋体" w:hAnsi="宋体" w:eastAsia="宋体" w:cs="宋体"/>
                <w:b/>
                <w:sz w:val="24"/>
                <w:szCs w:val="24"/>
                <w:highlight w:val="yellow"/>
              </w:rPr>
              <w:t>年</w:t>
            </w:r>
            <w:r>
              <w:rPr>
                <w:rFonts w:ascii="宋体" w:hAnsi="宋体" w:eastAsia="宋体" w:cs="宋体"/>
                <w:b/>
                <w:sz w:val="24"/>
                <w:szCs w:val="24"/>
              </w:rPr>
              <w:t>。</w:t>
            </w:r>
            <w:r>
              <w:rPr>
                <w:rFonts w:ascii="宋体" w:hAnsi="宋体" w:eastAsia="宋体" w:cs="宋体"/>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21"/>
              <w:ind w:firstLine="482" w:firstLineChars="200"/>
              <w:rPr>
                <w:rFonts w:hAnsi="宋体" w:eastAsia="宋体" w:cs="宋体"/>
                <w:color w:val="000000"/>
                <w:sz w:val="24"/>
                <w:szCs w:val="24"/>
                <w:highlight w:val="yellow"/>
              </w:rPr>
            </w:pPr>
            <w:r>
              <w:rPr>
                <w:rFonts w:hint="eastAsia" w:hAnsi="宋体" w:eastAsia="宋体" w:cs="宋体"/>
                <w:b/>
                <w:bCs/>
                <w:color w:val="000000"/>
                <w:sz w:val="24"/>
                <w:szCs w:val="24"/>
              </w:rPr>
              <w:t>付款方式：</w:t>
            </w:r>
            <w:r>
              <w:rPr>
                <w:rFonts w:hint="eastAsia" w:hAnsi="宋体" w:eastAsia="宋体" w:cs="宋体"/>
                <w:b/>
                <w:bCs/>
                <w:color w:val="000000"/>
                <w:sz w:val="24"/>
                <w:szCs w:val="24"/>
                <w:highlight w:val="yellow"/>
                <w:u w:val="single"/>
              </w:rPr>
              <w:t>半年期商业汇票（包括银行承兑汇票和商业承兑汇票）</w:t>
            </w:r>
            <w:r>
              <w:rPr>
                <w:rFonts w:hint="eastAsia" w:hAnsi="宋体" w:eastAsia="宋体" w:cs="宋体"/>
                <w:color w:val="000000"/>
                <w:sz w:val="24"/>
                <w:szCs w:val="24"/>
                <w:highlight w:val="yellow"/>
              </w:rPr>
              <w:t>：</w:t>
            </w:r>
          </w:p>
          <w:p>
            <w:pPr>
              <w:pStyle w:val="39"/>
              <w:numPr>
                <w:ilvl w:val="0"/>
                <w:numId w:val="5"/>
              </w:numPr>
              <w:spacing w:after="0" w:line="240" w:lineRule="auto"/>
              <w:ind w:left="0" w:leftChars="0" w:firstLine="480"/>
              <w:rPr>
                <w:rFonts w:ascii="宋体" w:hAnsi="宋体" w:cs="宋体"/>
                <w:sz w:val="24"/>
                <w:szCs w:val="24"/>
              </w:rPr>
            </w:pPr>
            <w:r>
              <w:rPr>
                <w:rFonts w:ascii="宋体" w:hAnsi="宋体" w:cs="宋体"/>
                <w:sz w:val="24"/>
                <w:szCs w:val="24"/>
              </w:rPr>
              <w:t>设备全部到货后，中标人提交金额为合同价款</w:t>
            </w:r>
            <w:r>
              <w:rPr>
                <w:rFonts w:hint="eastAsia" w:ascii="宋体" w:hAnsi="宋体" w:cs="宋体"/>
                <w:sz w:val="24"/>
                <w:szCs w:val="24"/>
              </w:rPr>
              <w:t>30</w:t>
            </w:r>
            <w:r>
              <w:rPr>
                <w:rFonts w:ascii="宋体" w:hAnsi="宋体" w:cs="宋体"/>
                <w:sz w:val="24"/>
                <w:szCs w:val="24"/>
              </w:rPr>
              <w:t>%的收据并提供合同价款</w:t>
            </w:r>
            <w:r>
              <w:rPr>
                <w:rFonts w:hint="eastAsia" w:ascii="宋体" w:hAnsi="宋体" w:cs="宋体"/>
                <w:sz w:val="24"/>
                <w:szCs w:val="24"/>
              </w:rPr>
              <w:t>30</w:t>
            </w:r>
            <w:r>
              <w:rPr>
                <w:rFonts w:ascii="宋体" w:hAnsi="宋体" w:cs="宋体"/>
                <w:sz w:val="24"/>
                <w:szCs w:val="24"/>
              </w:rPr>
              <w:t>%的增值税专用发票（含复印件二份），经招标人依照财务制度审核通过后30日支付；</w:t>
            </w:r>
          </w:p>
          <w:p>
            <w:pPr>
              <w:pStyle w:val="39"/>
              <w:numPr>
                <w:ilvl w:val="0"/>
                <w:numId w:val="5"/>
              </w:numPr>
              <w:spacing w:after="0" w:line="240" w:lineRule="auto"/>
              <w:ind w:left="0" w:leftChars="0" w:firstLine="480"/>
              <w:rPr>
                <w:rFonts w:ascii="宋体" w:hAnsi="宋体" w:cs="宋体"/>
                <w:sz w:val="24"/>
                <w:szCs w:val="24"/>
              </w:rPr>
            </w:pPr>
            <w:r>
              <w:rPr>
                <w:rFonts w:ascii="宋体" w:hAnsi="宋体" w:cs="宋体"/>
                <w:sz w:val="24"/>
                <w:szCs w:val="24"/>
              </w:rPr>
              <w:t>设备验收合格后，中标人提交金额为合同价款</w:t>
            </w:r>
            <w:r>
              <w:rPr>
                <w:rFonts w:hint="eastAsia" w:ascii="宋体" w:hAnsi="宋体" w:cs="宋体"/>
                <w:sz w:val="24"/>
                <w:szCs w:val="24"/>
              </w:rPr>
              <w:t>6</w:t>
            </w:r>
            <w:r>
              <w:rPr>
                <w:rFonts w:ascii="宋体" w:hAnsi="宋体" w:cs="宋体"/>
                <w:sz w:val="24"/>
                <w:szCs w:val="24"/>
              </w:rPr>
              <w:t>0%的收据并提供合同价款</w:t>
            </w:r>
            <w:r>
              <w:rPr>
                <w:rFonts w:hint="eastAsia" w:ascii="宋体" w:hAnsi="宋体" w:cs="宋体"/>
                <w:sz w:val="24"/>
                <w:szCs w:val="24"/>
              </w:rPr>
              <w:t>7</w:t>
            </w:r>
            <w:r>
              <w:rPr>
                <w:rFonts w:ascii="宋体" w:hAnsi="宋体" w:cs="宋体"/>
                <w:sz w:val="24"/>
                <w:szCs w:val="24"/>
              </w:rPr>
              <w:t>0%的增值税专用发票（含复印件二份），经招标人依照财务制度审核通过后30日支付；</w:t>
            </w:r>
          </w:p>
          <w:p>
            <w:pPr>
              <w:pStyle w:val="39"/>
              <w:numPr>
                <w:ilvl w:val="0"/>
                <w:numId w:val="5"/>
              </w:numPr>
              <w:spacing w:after="0" w:line="240" w:lineRule="auto"/>
              <w:ind w:left="0" w:leftChars="0" w:firstLine="480"/>
              <w:rPr>
                <w:rFonts w:ascii="宋体" w:hAnsi="宋体" w:cs="宋体"/>
                <w:sz w:val="24"/>
                <w:szCs w:val="24"/>
              </w:rPr>
            </w:pPr>
            <w:r>
              <w:rPr>
                <w:rFonts w:hint="eastAsia" w:ascii="宋体" w:hAnsi="宋体" w:cs="宋体"/>
                <w:sz w:val="24"/>
                <w:szCs w:val="24"/>
              </w:rPr>
              <w:t>合同总价款的10%作为本合同约定设备的质量保证金，质量保证金在质量保证期内不计利息。待所有合同设备质量保证期满，卖方向买方提交金额为合同价款10%的收据（正本一份，复印件二份）及设备使用单位的使用情况说明，买方依照财务制度审核无误后支付。如有质量问题，质量保证金予以扣除。买方将质量保证金返还给卖方，并不代表对卖方的质量保证期内责任的免除，卖方应在质量保证期内履行其应尽的义务。</w:t>
            </w:r>
          </w:p>
          <w:p>
            <w:pPr>
              <w:ind w:firstLine="480" w:firstLineChars="200"/>
              <w:rPr>
                <w:rFonts w:ascii="宋体" w:hAnsi="宋体" w:eastAsia="宋体" w:cs="宋体"/>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增值税专用发票开票信息：</w:t>
            </w:r>
          </w:p>
          <w:p>
            <w:pPr>
              <w:ind w:firstLine="480" w:firstLineChars="200"/>
              <w:rPr>
                <w:rFonts w:ascii="宋体" w:hAnsi="宋体" w:cs="宋体"/>
                <w:bCs/>
                <w:sz w:val="24"/>
                <w:szCs w:val="24"/>
              </w:rPr>
            </w:pPr>
            <w:r>
              <w:rPr>
                <w:rFonts w:hint="eastAsia" w:ascii="宋体" w:hAnsi="宋体" w:eastAsia="宋体" w:cs="宋体"/>
                <w:sz w:val="24"/>
                <w:szCs w:val="24"/>
                <w:lang w:bidi="ar"/>
              </w:rPr>
              <w:t>见最终合同签订信息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3"/>
              <w:jc w:val="center"/>
              <w:rPr>
                <w:rFonts w:ascii="宋体" w:hAnsi="宋体" w:eastAsia="宋体" w:cs="宋体"/>
                <w:sz w:val="24"/>
                <w:szCs w:val="24"/>
              </w:rPr>
            </w:pPr>
            <w:r>
              <w:rPr>
                <w:rFonts w:ascii="宋体" w:hAnsi="宋体" w:eastAsia="宋体" w:cs="宋体"/>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3"/>
              <w:ind w:firstLine="480" w:firstLineChars="200"/>
              <w:rPr>
                <w:rFonts w:ascii="宋体" w:hAnsi="宋体" w:eastAsia="宋体" w:cs="宋体"/>
                <w:sz w:val="24"/>
                <w:szCs w:val="24"/>
              </w:rPr>
            </w:pPr>
            <w:r>
              <w:rPr>
                <w:rFonts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3"/>
              <w:ind w:firstLine="480" w:firstLineChars="200"/>
              <w:rPr>
                <w:rFonts w:ascii="宋体" w:hAnsi="宋体" w:eastAsia="宋体" w:cs="宋体"/>
                <w:sz w:val="24"/>
                <w:szCs w:val="24"/>
              </w:rPr>
            </w:pPr>
            <w:r>
              <w:rPr>
                <w:rFonts w:ascii="宋体" w:hAnsi="宋体" w:eastAsia="宋体" w:cs="宋体"/>
                <w:sz w:val="24"/>
                <w:szCs w:val="24"/>
              </w:rPr>
              <w:t>中标方应在合同签订后</w:t>
            </w:r>
            <w:r>
              <w:rPr>
                <w:rFonts w:ascii="宋体" w:hAnsi="宋体" w:eastAsia="宋体" w:cs="宋体"/>
                <w:sz w:val="24"/>
                <w:szCs w:val="24"/>
                <w:highlight w:val="yellow"/>
              </w:rPr>
              <w:t>15</w:t>
            </w:r>
            <w:r>
              <w:rPr>
                <w:rFonts w:ascii="宋体" w:hAnsi="宋体" w:eastAsia="宋体" w:cs="宋体"/>
                <w:sz w:val="24"/>
                <w:szCs w:val="24"/>
              </w:rPr>
              <w:t>日内需根据设计</w:t>
            </w:r>
            <w:r>
              <w:rPr>
                <w:rStyle w:val="46"/>
                <w:rFonts w:ascii="宋体" w:hAnsi="宋体" w:eastAsia="宋体" w:cs="宋体"/>
                <w:sz w:val="24"/>
                <w:szCs w:val="24"/>
              </w:rPr>
              <w:t>提资</w:t>
            </w:r>
            <w:r>
              <w:rPr>
                <w:rFonts w:ascii="宋体" w:hAnsi="宋体" w:eastAsia="宋体" w:cs="宋体"/>
                <w:sz w:val="24"/>
                <w:szCs w:val="24"/>
              </w:rPr>
              <w:t>要求提供详细的</w:t>
            </w:r>
            <w:r>
              <w:rPr>
                <w:rStyle w:val="46"/>
                <w:rFonts w:ascii="宋体" w:hAnsi="宋体" w:eastAsia="宋体" w:cs="宋体"/>
                <w:sz w:val="24"/>
                <w:szCs w:val="24"/>
              </w:rPr>
              <w:t>设备</w:t>
            </w:r>
            <w:r>
              <w:rPr>
                <w:rFonts w:ascii="宋体" w:hAnsi="宋体" w:eastAsia="宋体" w:cs="宋体"/>
                <w:sz w:val="24"/>
                <w:szCs w:val="24"/>
              </w:rPr>
              <w:t>图纸等资料,其中包含</w:t>
            </w:r>
            <w:r>
              <w:rPr>
                <w:rStyle w:val="46"/>
                <w:rFonts w:ascii="宋体" w:hAnsi="宋体" w:eastAsia="宋体" w:cs="宋体"/>
                <w:sz w:val="24"/>
                <w:szCs w:val="24"/>
              </w:rPr>
              <w:t>设备</w:t>
            </w:r>
            <w:r>
              <w:rPr>
                <w:rFonts w:ascii="宋体" w:hAnsi="宋体" w:eastAsia="宋体" w:cs="宋体"/>
                <w:sz w:val="24"/>
                <w:szCs w:val="24"/>
              </w:rPr>
              <w:t>的外形尺寸,运维空间</w:t>
            </w:r>
            <w:r>
              <w:rPr>
                <w:rStyle w:val="46"/>
                <w:rFonts w:ascii="宋体" w:hAnsi="宋体" w:eastAsia="宋体" w:cs="宋体"/>
                <w:sz w:val="24"/>
                <w:szCs w:val="24"/>
              </w:rPr>
              <w:t>,设备</w:t>
            </w:r>
            <w:r>
              <w:rPr>
                <w:rFonts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7"/>
    </w:tbl>
    <w:p>
      <w:pPr>
        <w:pStyle w:val="21"/>
        <w:numPr>
          <w:ilvl w:val="0"/>
          <w:numId w:val="4"/>
        </w:numPr>
        <w:jc w:val="center"/>
        <w:outlineLvl w:val="0"/>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cols w:space="720" w:num="1"/>
          <w:docGrid w:linePitch="290" w:charSpace="-3931"/>
        </w:sectPr>
      </w:pPr>
    </w:p>
    <w:bookmarkEnd w:id="1"/>
    <w:p>
      <w:pPr>
        <w:pStyle w:val="21"/>
        <w:jc w:val="center"/>
        <w:outlineLvl w:val="0"/>
        <w:rPr>
          <w:rFonts w:ascii="Calibri" w:hAnsi="Calibri" w:eastAsia="宋体" w:cs="Times New Roman"/>
          <w:b/>
          <w:bCs/>
          <w:kern w:val="44"/>
          <w:sz w:val="36"/>
          <w:szCs w:val="44"/>
        </w:rPr>
      </w:pPr>
      <w:bookmarkStart w:id="9" w:name="_Toc15609"/>
      <w:r>
        <w:rPr>
          <w:rFonts w:hint="eastAsia" w:ascii="Calibri" w:hAnsi="Calibri" w:eastAsia="宋体" w:cs="Times New Roman"/>
          <w:b/>
          <w:bCs/>
          <w:kern w:val="44"/>
          <w:sz w:val="36"/>
          <w:szCs w:val="44"/>
        </w:rPr>
        <w:t>第二部分 投标须知</w:t>
      </w:r>
      <w:bookmarkEnd w:id="9"/>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pPr>
        <w:spacing w:line="360" w:lineRule="auto"/>
        <w:ind w:left="1679" w:leftChars="228" w:hanging="1200" w:hangingChars="50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10" w:name="OLE_LINK1"/>
      <w:r>
        <w:rPr>
          <w:rFonts w:hint="eastAsia" w:ascii="宋体" w:hAnsi="宋体" w:eastAsia="宋体" w:cs="宋体"/>
          <w:color w:val="000000"/>
          <w:sz w:val="24"/>
          <w:szCs w:val="24"/>
        </w:rPr>
        <w:t>见《投标须知前附表》。</w:t>
      </w:r>
    </w:p>
    <w:bookmarkEnd w:id="10"/>
    <w:p>
      <w:pPr>
        <w:keepNext/>
        <w:keepLines/>
        <w:numPr>
          <w:ilvl w:val="0"/>
          <w:numId w:val="6"/>
        </w:numPr>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招标内容及形式</w:t>
      </w:r>
    </w:p>
    <w:p>
      <w:pPr>
        <w:pStyle w:val="21"/>
        <w:spacing w:line="360" w:lineRule="auto"/>
        <w:ind w:firstLine="480" w:firstLineChars="200"/>
        <w:rPr>
          <w:rFonts w:hint="eastAsia" w:hAnsi="宋体" w:eastAsia="宋体" w:cs="宋体"/>
          <w:sz w:val="24"/>
          <w:szCs w:val="24"/>
        </w:rPr>
      </w:pPr>
      <w:r>
        <w:rPr>
          <w:rFonts w:hint="eastAsia" w:hAnsi="宋体" w:eastAsia="宋体" w:cs="宋体"/>
          <w:color w:val="000000"/>
          <w:sz w:val="24"/>
          <w:szCs w:val="24"/>
        </w:rPr>
        <w:t>见《投标须知前附表》。</w:t>
      </w:r>
    </w:p>
    <w:p>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pPr>
        <w:keepNext/>
        <w:keepLines/>
        <w:numPr>
          <w:ilvl w:val="0"/>
          <w:numId w:val="6"/>
        </w:numPr>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pPr>
        <w:pStyle w:val="21"/>
        <w:spacing w:line="360" w:lineRule="auto"/>
        <w:ind w:firstLine="480" w:firstLineChars="200"/>
        <w:rPr>
          <w:rFonts w:hint="eastAsia"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投标人根据招标人在中国重汽官网等公开媒体上发布的招标信息，在“中国重汽e采通”平台报名。按照中国重汽e采通“SRM非生产供应商注册手册（附件15）”进行注册，</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“SRM系统供应商用户手册（附件16）”登录系统，</w:t>
      </w:r>
      <w:r>
        <w:rPr>
          <w:rFonts w:hint="eastAsia" w:ascii="宋体" w:hAnsi="宋体" w:eastAsia="宋体" w:cs="宋体"/>
          <w:color w:val="000000"/>
          <w:sz w:val="24"/>
          <w:szCs w:val="24"/>
        </w:rPr>
        <w:t>进入“供应商应标”，选择对应的项目，点击“应标”后按照招标文件第三部分投标文件组成资格证明文件中的1.1-1.13准备资料并上传，资质审查通过即为报名成功，公示期间请尽快报名。</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pPr>
        <w:keepNext/>
        <w:keepLines/>
        <w:numPr>
          <w:ilvl w:val="0"/>
          <w:numId w:val="7"/>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pPr>
        <w:pStyle w:val="21"/>
        <w:spacing w:line="360" w:lineRule="auto"/>
        <w:ind w:firstLine="480"/>
        <w:rPr>
          <w:rFonts w:hint="eastAsia" w:hAnsi="宋体" w:eastAsia="宋体" w:cs="宋体"/>
          <w:b/>
          <w:color w:val="000000"/>
          <w:sz w:val="24"/>
          <w:szCs w:val="24"/>
        </w:rPr>
      </w:pPr>
      <w:r>
        <w:rPr>
          <w:rFonts w:hint="eastAsia" w:hAnsi="宋体" w:eastAsia="宋体" w:cs="宋体"/>
          <w:b/>
          <w:bCs/>
          <w:color w:val="000000"/>
          <w:sz w:val="24"/>
          <w:szCs w:val="24"/>
        </w:rPr>
        <w:t>对于中国境内投标人，投标条件详见招标文件“第一部分投标须知前附表1.6”。</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pPr>
        <w:pStyle w:val="21"/>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w:t>
      </w:r>
      <w:r>
        <w:rPr>
          <w:rFonts w:hint="eastAsia" w:hAnsi="宋体" w:eastAsia="宋体" w:cs="宋体"/>
          <w:color w:val="000000"/>
          <w:sz w:val="24"/>
          <w:szCs w:val="24"/>
          <w:highlight w:val="yellow"/>
        </w:rPr>
        <w:t>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rPr>
        <w:t>【人民币（应同时报含税价和不含税价并写明税率）】</w:t>
      </w:r>
      <w:r>
        <w:rPr>
          <w:rFonts w:hint="eastAsia" w:ascii="宋体" w:hAnsi="宋体" w:eastAsia="宋体" w:cs="宋体"/>
          <w:b/>
          <w:bCs/>
          <w:color w:val="000000"/>
          <w:sz w:val="24"/>
          <w:szCs w:val="24"/>
          <w:highlight w:val="yellow"/>
        </w:rPr>
        <w:t>。</w:t>
      </w:r>
    </w:p>
    <w:p>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pPr>
        <w:pStyle w:val="21"/>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21"/>
        <w:spacing w:line="360" w:lineRule="auto"/>
        <w:rPr>
          <w:rFonts w:hint="eastAsia" w:hAnsi="宋体" w:eastAsia="宋体" w:cs="宋体"/>
          <w:color w:val="000000"/>
          <w:sz w:val="24"/>
          <w:szCs w:val="24"/>
        </w:rPr>
      </w:pPr>
      <w:r>
        <w:rPr>
          <w:rFonts w:hint="eastAsia" w:hAnsi="宋体" w:eastAsia="宋体" w:cs="宋体"/>
          <w:color w:val="000000"/>
          <w:sz w:val="24"/>
          <w:szCs w:val="24"/>
        </w:rPr>
        <w:t>4.7</w:t>
      </w:r>
      <w:r>
        <w:rPr>
          <w:rFonts w:hint="eastAsia" w:hAnsi="宋体" w:eastAsia="宋体" w:cs="宋体"/>
          <w:color w:val="000000"/>
          <w:sz w:val="24"/>
          <w:szCs w:val="24"/>
          <w:highlight w:val="yellow"/>
        </w:rPr>
        <w:t>设备设施颜色严格执行我公司企业标准《设备设施颜色标识》</w:t>
      </w:r>
      <w:r>
        <w:rPr>
          <w:rFonts w:hint="eastAsia" w:hAnsi="宋体" w:eastAsia="宋体" w:cs="宋体"/>
          <w:color w:val="000000"/>
          <w:sz w:val="24"/>
          <w:szCs w:val="24"/>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pPr>
        <w:keepNext/>
        <w:keepLines/>
        <w:spacing w:line="360" w:lineRule="auto"/>
        <w:ind w:firstLine="480" w:firstLineChars="200"/>
        <w:rPr>
          <w:rFonts w:hint="eastAsia" w:ascii="宋体" w:hAnsi="宋体" w:eastAsia="宋体" w:cs="宋体"/>
          <w:b/>
          <w:bCs/>
          <w:color w:val="000000"/>
          <w:sz w:val="24"/>
          <w:szCs w:val="24"/>
        </w:rPr>
      </w:pPr>
      <w:r>
        <w:rPr>
          <w:rFonts w:hint="eastAsia" w:ascii="宋体" w:hAnsi="宋体" w:eastAsia="宋体" w:cs="宋体"/>
          <w:color w:val="000000"/>
          <w:sz w:val="24"/>
          <w:szCs w:val="24"/>
        </w:rPr>
        <w:t>凡对本次招标提出的询问，均以招标人的书面答复为准。</w:t>
      </w:r>
    </w:p>
    <w:p>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rPr>
        <w:t>中国重汽官网、山东省阳光采购服务平台、中国招标投标公共服务平台等公开媒体</w:t>
      </w:r>
      <w:r>
        <w:rPr>
          <w:rFonts w:hint="eastAsia" w:ascii="宋体" w:hAnsi="宋体" w:eastAsia="宋体" w:cs="宋体"/>
          <w:color w:val="000000"/>
          <w:sz w:val="24"/>
          <w:szCs w:val="24"/>
        </w:rPr>
        <w:t>公布。</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见《投标须知前附表》第二条，逾期不受理。</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4.投标报名</w:t>
      </w:r>
    </w:p>
    <w:p>
      <w:pPr>
        <w:keepNext/>
        <w:keepLines/>
        <w:spacing w:line="360" w:lineRule="auto"/>
        <w:ind w:firstLine="482"/>
        <w:rPr>
          <w:rFonts w:hint="eastAsia" w:ascii="宋体" w:hAnsi="宋体" w:eastAsia="宋体" w:cs="宋体"/>
          <w:sz w:val="24"/>
          <w:szCs w:val="24"/>
        </w:rPr>
      </w:pPr>
      <w:r>
        <w:rPr>
          <w:rFonts w:hint="eastAsia" w:ascii="宋体" w:hAnsi="宋体" w:eastAsia="宋体" w:cs="宋体"/>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（保证金具体金额及缴纳截止时间见《投标须知前附表》4.2和4.3）。</w:t>
      </w:r>
    </w:p>
    <w:p>
      <w:pPr>
        <w:pStyle w:val="116"/>
        <w:ind w:firstLine="480"/>
        <w:rPr>
          <w:rFonts w:hint="eastAsia" w:eastAsia="宋体" w:cs="宋体"/>
        </w:rPr>
      </w:pPr>
      <w:r>
        <w:rPr>
          <w:rFonts w:hint="eastAsia" w:eastAsia="宋体" w:cs="宋体"/>
        </w:rPr>
        <w:t>4.2招标人银行账户信息如下：见《投标须知前附表》4.2。</w:t>
      </w:r>
    </w:p>
    <w:p>
      <w:pPr>
        <w:pStyle w:val="116"/>
        <w:ind w:firstLine="480"/>
        <w:rPr>
          <w:rFonts w:hint="eastAsia" w:eastAsia="宋体" w:cs="宋体"/>
        </w:rPr>
      </w:pPr>
      <w:r>
        <w:rPr>
          <w:rFonts w:hint="eastAsia" w:eastAsia="宋体" w:cs="宋体"/>
        </w:rPr>
        <w:t>转账附言：公司名称+项目名称+投标保证金；</w:t>
      </w:r>
    </w:p>
    <w:p>
      <w:pPr>
        <w:pStyle w:val="116"/>
        <w:ind w:firstLine="480"/>
        <w:rPr>
          <w:rFonts w:hint="eastAsia" w:eastAsia="宋体" w:cs="宋体"/>
        </w:rPr>
      </w:pPr>
      <w:r>
        <w:rPr>
          <w:rFonts w:hint="eastAsia" w:eastAsia="宋体" w:cs="宋体"/>
        </w:rPr>
        <w:t>对于没有中标的投标人，投标保证金将于招标人内部完成中标人评审并确认最终中标人后在30工作日内予以原路返还（无息）；对于中标方，投标保证金将在签订合同后30个工作日内原路返还（无息）；</w:t>
      </w:r>
    </w:p>
    <w:p>
      <w:pPr>
        <w:pStyle w:val="116"/>
        <w:ind w:firstLine="480"/>
        <w:rPr>
          <w:rFonts w:hint="eastAsia" w:eastAsia="宋体" w:cs="宋体"/>
        </w:rPr>
      </w:pPr>
      <w:r>
        <w:rPr>
          <w:rFonts w:hint="eastAsia" w:eastAsia="宋体" w:cs="宋体"/>
        </w:rPr>
        <w:t>4.3说明</w:t>
      </w:r>
    </w:p>
    <w:p>
      <w:pPr>
        <w:pStyle w:val="116"/>
        <w:ind w:firstLine="480"/>
        <w:rPr>
          <w:rFonts w:hint="eastAsia" w:eastAsia="宋体" w:cs="宋体"/>
        </w:rPr>
      </w:pPr>
      <w:r>
        <w:rPr>
          <w:rFonts w:hint="eastAsia" w:eastAsia="宋体" w:cs="宋体"/>
        </w:rPr>
        <w:t>4.3.1 投标人在向招标人出示《投标保证金缴纳凭证》后方可进行投标；</w:t>
      </w:r>
    </w:p>
    <w:p>
      <w:pPr>
        <w:pStyle w:val="116"/>
        <w:ind w:firstLine="480"/>
        <w:rPr>
          <w:rFonts w:hint="eastAsia" w:eastAsia="宋体" w:cs="宋体"/>
        </w:rPr>
      </w:pPr>
      <w:r>
        <w:rPr>
          <w:rFonts w:hint="eastAsia" w:eastAsia="宋体" w:cs="宋体"/>
        </w:rPr>
        <w:t>4.3.2 发生以下情况时，招标人有权没收保证金：</w:t>
      </w:r>
    </w:p>
    <w:p>
      <w:pPr>
        <w:pStyle w:val="116"/>
        <w:ind w:firstLine="480"/>
        <w:rPr>
          <w:rFonts w:hint="eastAsia" w:eastAsia="宋体" w:cs="宋体"/>
        </w:rPr>
      </w:pPr>
      <w:r>
        <w:rPr>
          <w:rFonts w:hint="eastAsia" w:eastAsia="宋体" w:cs="宋体"/>
        </w:rPr>
        <w:t>4.3.2.1 截至开标前3天，投标人无正当理由且未以书面形式递交说明而在投标截止日不来投标的；</w:t>
      </w:r>
    </w:p>
    <w:p>
      <w:pPr>
        <w:pStyle w:val="116"/>
        <w:ind w:firstLine="480"/>
        <w:rPr>
          <w:rFonts w:hint="eastAsia" w:eastAsia="宋体" w:cs="宋体"/>
        </w:rPr>
      </w:pPr>
      <w:r>
        <w:rPr>
          <w:rFonts w:hint="eastAsia" w:eastAsia="宋体" w:cs="宋体"/>
        </w:rPr>
        <w:t>4.3.2.2 投标人递送投标文件后，无正当理由放弃投标的；</w:t>
      </w:r>
    </w:p>
    <w:p>
      <w:pPr>
        <w:pStyle w:val="116"/>
        <w:ind w:firstLine="480"/>
        <w:rPr>
          <w:rFonts w:hint="eastAsia" w:eastAsia="宋体" w:cs="宋体"/>
        </w:rPr>
      </w:pPr>
      <w:r>
        <w:rPr>
          <w:rFonts w:hint="eastAsia" w:eastAsia="宋体" w:cs="宋体"/>
        </w:rPr>
        <w:t>4.3.2.3若为视频开标，招标过程中澄清函等资料原件未按要求提交的；</w:t>
      </w:r>
    </w:p>
    <w:p>
      <w:pPr>
        <w:pStyle w:val="116"/>
        <w:ind w:firstLine="480"/>
        <w:rPr>
          <w:rFonts w:hint="eastAsia" w:eastAsia="宋体" w:cs="宋体"/>
        </w:rPr>
      </w:pPr>
      <w:r>
        <w:rPr>
          <w:rFonts w:hint="eastAsia" w:eastAsia="宋体" w:cs="宋体"/>
        </w:rPr>
        <w:t>4.3.2.4自中标通知书发出之日起30日内，中标人无正当理由不签订合同的；</w:t>
      </w:r>
    </w:p>
    <w:p>
      <w:pPr>
        <w:pStyle w:val="116"/>
        <w:ind w:firstLine="480"/>
        <w:rPr>
          <w:rFonts w:hint="eastAsia" w:eastAsia="宋体" w:cs="宋体"/>
        </w:rPr>
      </w:pPr>
      <w:r>
        <w:rPr>
          <w:rFonts w:hint="eastAsia" w:eastAsia="宋体" w:cs="宋体"/>
        </w:rPr>
        <w:t>4.3.2.5投标人在投标过程中被查实有串标、围标、陪标等违规违纪行为的；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4.3.2.6投标人有违约违规行为或被投诉、举报的，在调查处理期间，保证金暂不退还，待调查处理结束后按有关规定处理。</w:t>
      </w:r>
    </w:p>
    <w:p>
      <w:pPr>
        <w:pStyle w:val="116"/>
        <w:ind w:firstLine="480"/>
        <w:rPr>
          <w:rFonts w:hint="eastAsia" w:eastAsia="宋体" w:cs="宋体"/>
        </w:rPr>
      </w:pPr>
      <w:r>
        <w:rPr>
          <w:rFonts w:hint="eastAsia" w:eastAsia="宋体" w:cs="宋体"/>
        </w:rPr>
        <w:t>4.4投标报名截止时间</w:t>
      </w:r>
    </w:p>
    <w:p>
      <w:pPr>
        <w:pStyle w:val="116"/>
        <w:ind w:firstLine="480"/>
        <w:rPr>
          <w:rFonts w:hint="eastAsia" w:eastAsia="宋体" w:cs="宋体"/>
        </w:rPr>
      </w:pPr>
      <w:r>
        <w:rPr>
          <w:rFonts w:hint="eastAsia" w:eastAsia="宋体" w:cs="宋体"/>
        </w:rPr>
        <w:t>报名方式：</w:t>
      </w:r>
      <w:r>
        <w:rPr>
          <w:rFonts w:hint="eastAsia" w:eastAsia="宋体" w:cs="宋体"/>
          <w:highlight w:val="yellow"/>
        </w:rPr>
        <w:t>见《投标须知前附表》2.3。</w:t>
      </w:r>
    </w:p>
    <w:p>
      <w:pPr>
        <w:pStyle w:val="116"/>
        <w:ind w:firstLine="480"/>
        <w:rPr>
          <w:rFonts w:hint="eastAsia" w:eastAsia="宋体" w:cs="宋体"/>
        </w:rPr>
      </w:pPr>
      <w:r>
        <w:rPr>
          <w:rFonts w:hint="eastAsia" w:eastAsia="宋体" w:cs="宋体"/>
        </w:rPr>
        <w:t>报名提交资料：均为盖章电子扫描版，用“公司名称+文件名称”命名。</w:t>
      </w:r>
    </w:p>
    <w:p>
      <w:pPr>
        <w:numPr>
          <w:ilvl w:val="0"/>
          <w:numId w:val="8"/>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pPr>
        <w:numPr>
          <w:ilvl w:val="0"/>
          <w:numId w:val="8"/>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5.开标时间</w:t>
      </w:r>
    </w:p>
    <w:p>
      <w:pPr>
        <w:keepNext/>
        <w:keepLines/>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见《投标须知前附表》5.1，若有变动另行通知。</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6.开标方式</w:t>
      </w:r>
    </w:p>
    <w:p>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原则上来现场参与开标。如因特殊情况无法现场参与，需在开标前三日，通知招标人，由招标人创建视频链接，并在报名结束后统一通知。</w:t>
      </w:r>
    </w:p>
    <w:p>
      <w:pPr>
        <w:spacing w:line="360" w:lineRule="auto"/>
        <w:jc w:val="left"/>
        <w:outlineLvl w:val="1"/>
        <w:rPr>
          <w:rFonts w:hint="eastAsia" w:ascii="宋体" w:hAnsi="宋体" w:eastAsia="宋体" w:cs="宋体"/>
          <w:b/>
          <w:sz w:val="24"/>
          <w:szCs w:val="24"/>
        </w:rPr>
      </w:pPr>
      <w:bookmarkStart w:id="11" w:name="_Toc33266950"/>
      <w:bookmarkStart w:id="12" w:name="_Toc33265752"/>
      <w:bookmarkStart w:id="13" w:name="_Toc33266914"/>
      <w:bookmarkStart w:id="14" w:name="_Toc33267001"/>
      <w:bookmarkStart w:id="15" w:name="_Toc33266627"/>
      <w:bookmarkStart w:id="16" w:name="_Toc33285487"/>
      <w:bookmarkStart w:id="17" w:name="_Toc33265653"/>
      <w:r>
        <w:rPr>
          <w:rFonts w:hint="eastAsia" w:ascii="宋体" w:hAnsi="宋体" w:eastAsia="宋体" w:cs="宋体"/>
          <w:b/>
          <w:sz w:val="24"/>
          <w:szCs w:val="24"/>
        </w:rPr>
        <w:t>六、评价原则</w:t>
      </w:r>
      <w:bookmarkEnd w:id="11"/>
      <w:bookmarkEnd w:id="12"/>
      <w:bookmarkEnd w:id="13"/>
      <w:bookmarkEnd w:id="14"/>
      <w:bookmarkEnd w:id="15"/>
      <w:bookmarkEnd w:id="16"/>
      <w:bookmarkEnd w:id="17"/>
      <w:bookmarkStart w:id="18" w:name="_Toc395116633"/>
    </w:p>
    <w:bookmarkEnd w:id="18"/>
    <w:p>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pPr>
        <w:spacing w:line="360" w:lineRule="auto"/>
        <w:ind w:firstLine="480" w:firstLineChars="200"/>
        <w:outlineLvl w:val="2"/>
        <w:rPr>
          <w:rFonts w:hint="eastAsia" w:ascii="宋体" w:hAnsi="宋体" w:eastAsia="宋体" w:cs="宋体"/>
          <w:color w:val="000000"/>
          <w:sz w:val="24"/>
          <w:szCs w:val="24"/>
        </w:rPr>
      </w:pPr>
      <w:r>
        <w:rPr>
          <w:rFonts w:hint="eastAsia" w:ascii="宋体" w:hAnsi="宋体" w:eastAsia="宋体" w:cs="宋体"/>
          <w:color w:val="000000"/>
          <w:sz w:val="24"/>
          <w:szCs w:val="24"/>
        </w:rPr>
        <w:t>本次招标采用</w:t>
      </w:r>
      <w:r>
        <w:rPr>
          <w:rFonts w:hint="eastAsia" w:ascii="宋体" w:hAnsi="宋体" w:eastAsia="宋体" w:cs="宋体"/>
          <w:b/>
          <w:bCs/>
          <w:color w:val="000000"/>
          <w:sz w:val="24"/>
          <w:szCs w:val="24"/>
        </w:rPr>
        <w:t>综合评标法</w:t>
      </w:r>
      <w:r>
        <w:rPr>
          <w:rFonts w:hint="eastAsia" w:ascii="宋体" w:hAnsi="宋体" w:eastAsia="宋体" w:cs="宋体"/>
          <w:color w:val="000000"/>
          <w:sz w:val="24"/>
          <w:szCs w:val="24"/>
        </w:rPr>
        <w:t>，技术标30%，商务标70%。</w:t>
      </w:r>
    </w:p>
    <w:p>
      <w:pPr>
        <w:spacing w:line="360" w:lineRule="auto"/>
        <w:ind w:firstLine="480" w:firstLineChars="200"/>
        <w:outlineLvl w:val="2"/>
        <w:rPr>
          <w:rFonts w:hint="eastAsia" w:ascii="宋体" w:hAnsi="宋体" w:eastAsia="宋体" w:cs="宋体"/>
          <w:color w:val="000000"/>
          <w:sz w:val="24"/>
          <w:szCs w:val="24"/>
        </w:rPr>
      </w:pPr>
      <w:r>
        <w:rPr>
          <w:rFonts w:hint="eastAsia" w:ascii="宋体" w:hAnsi="宋体" w:eastAsia="宋体" w:cs="宋体"/>
          <w:color w:val="000000"/>
          <w:sz w:val="24"/>
          <w:szCs w:val="24"/>
        </w:rPr>
        <w:t>商务标得分=当前轮次最低价/供方投标价×商务标总分。</w:t>
      </w:r>
    </w:p>
    <w:p>
      <w:pPr>
        <w:spacing w:line="360" w:lineRule="auto"/>
        <w:ind w:firstLine="480" w:firstLineChars="200"/>
        <w:outlineLvl w:val="2"/>
        <w:rPr>
          <w:rFonts w:hint="eastAsia" w:ascii="宋体" w:hAnsi="宋体" w:eastAsia="宋体" w:cs="宋体"/>
          <w:color w:val="000000"/>
          <w:sz w:val="24"/>
          <w:szCs w:val="24"/>
        </w:rPr>
      </w:pPr>
      <w:r>
        <w:rPr>
          <w:rFonts w:hint="eastAsia" w:ascii="宋体" w:hAnsi="宋体" w:eastAsia="宋体" w:cs="宋体"/>
          <w:color w:val="000000"/>
          <w:sz w:val="24"/>
          <w:szCs w:val="24"/>
        </w:rPr>
        <w:t>当(供方投标价-当前轮次最低价/供方投标价x100%)大于20%时，商务标得分为 0。</w:t>
      </w:r>
    </w:p>
    <w:p>
      <w:pPr>
        <w:spacing w:line="360" w:lineRule="auto"/>
        <w:ind w:firstLine="420" w:firstLineChars="200"/>
        <w:outlineLvl w:val="2"/>
        <w:rPr>
          <w:rFonts w:hint="eastAsia" w:ascii="宋体" w:hAnsi="宋体" w:eastAsia="宋体" w:cs="宋体"/>
          <w:b/>
          <w:bCs/>
          <w:color w:val="000000"/>
          <w:sz w:val="24"/>
          <w:szCs w:val="24"/>
        </w:rPr>
      </w:pPr>
      <w:r>
        <w:drawing>
          <wp:inline distT="0" distB="0" distL="114300" distR="114300">
            <wp:extent cx="4845050" cy="5702300"/>
            <wp:effectExtent l="0" t="0" r="6350" b="0"/>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pic:cNvPicPr>
                  </pic:nvPicPr>
                  <pic:blipFill>
                    <a:blip r:embed="rId39"/>
                    <a:stretch>
                      <a:fillRect/>
                    </a:stretch>
                  </pic:blipFill>
                  <pic:spPr>
                    <a:xfrm>
                      <a:off x="0" y="0"/>
                      <a:ext cx="4845050" cy="5702300"/>
                    </a:xfrm>
                    <a:prstGeom prst="rect">
                      <a:avLst/>
                    </a:prstGeom>
                    <a:noFill/>
                    <a:ln>
                      <a:noFill/>
                    </a:ln>
                  </pic:spPr>
                </pic:pic>
              </a:graphicData>
            </a:graphic>
          </wp:inline>
        </w:drawing>
      </w:r>
    </w:p>
    <w:p>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对未中标单位不做任何解释</w:t>
      </w:r>
    </w:p>
    <w:p>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pPr>
        <w:pStyle w:val="21"/>
        <w:spacing w:line="360" w:lineRule="auto"/>
        <w:ind w:firstLine="482" w:firstLineChars="200"/>
        <w:rPr>
          <w:rFonts w:hint="eastAsia" w:hAnsi="宋体" w:eastAsia="宋体" w:cs="宋体"/>
          <w:sz w:val="24"/>
          <w:szCs w:val="24"/>
        </w:rPr>
      </w:pPr>
      <w:r>
        <w:rPr>
          <w:rFonts w:hint="eastAsia" w:hAnsi="宋体" w:eastAsia="宋体" w:cs="宋体"/>
          <w:b/>
          <w:color w:val="000000"/>
          <w:sz w:val="24"/>
          <w:szCs w:val="24"/>
        </w:rPr>
        <w:t>投标文件包含《投标文件（资质标）》、《投标文件（技术标）》、《投标文件（商务标）》（开标一览表），共计三个文件。</w:t>
      </w:r>
    </w:p>
    <w:p>
      <w:pPr>
        <w:numPr>
          <w:ilvl w:val="0"/>
          <w:numId w:val="9"/>
        </w:numPr>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w:t>
      </w:r>
      <w:r>
        <w:rPr>
          <w:rFonts w:hint="eastAsia" w:ascii="宋体" w:hAnsi="宋体" w:eastAsia="宋体" w:cs="宋体"/>
          <w:b/>
          <w:bCs/>
          <w:color w:val="000000"/>
          <w:sz w:val="24"/>
          <w:szCs w:val="24"/>
        </w:rPr>
        <w:t>按照第三部分第三条投标文件组成资格证明文件中的1.1-1.12准备资料，上传完毕后，等待审核</w:t>
      </w:r>
      <w:r>
        <w:rPr>
          <w:rFonts w:hint="eastAsia" w:ascii="宋体" w:hAnsi="宋体" w:eastAsia="宋体" w:cs="宋体"/>
          <w:b/>
          <w:color w:val="000000"/>
          <w:sz w:val="24"/>
          <w:szCs w:val="24"/>
        </w:rPr>
        <w:t>；</w:t>
      </w:r>
    </w:p>
    <w:p>
      <w:pPr>
        <w:numPr>
          <w:ilvl w:val="0"/>
          <w:numId w:val="10"/>
        </w:numPr>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通过应标资格审查的单位进入投标环节，按照“SRM系统供应商用户手册（附件16）”，在重汽e采通平台投递电子标书（包含资质标、技术标、商务标）；没有通过应标资质审查的单位不能进入投标环节；</w:t>
      </w:r>
    </w:p>
    <w:p>
      <w:pPr>
        <w:numPr>
          <w:ilvl w:val="0"/>
          <w:numId w:val="9"/>
        </w:numPr>
        <w:spacing w:line="360" w:lineRule="auto"/>
        <w:rPr>
          <w:rFonts w:hint="eastAsia" w:ascii="宋体" w:hAnsi="宋体" w:eastAsia="宋体" w:cs="宋体"/>
          <w:b/>
          <w:color w:val="000000"/>
          <w:sz w:val="24"/>
          <w:szCs w:val="24"/>
        </w:rPr>
      </w:pPr>
      <w:r>
        <w:rPr>
          <w:rFonts w:hint="eastAsia" w:ascii="宋体" w:hAnsi="宋体" w:eastAsia="宋体" w:cs="宋体"/>
          <w:b/>
          <w:sz w:val="24"/>
          <w:szCs w:val="24"/>
        </w:rPr>
        <w:t>资质标评审：资质标审核通过的单位，可以进入</w:t>
      </w:r>
      <w:r>
        <w:rPr>
          <w:rFonts w:hint="eastAsia" w:ascii="宋体" w:hAnsi="宋体" w:eastAsia="宋体" w:cs="宋体"/>
          <w:b/>
          <w:color w:val="000000"/>
          <w:sz w:val="24"/>
          <w:szCs w:val="24"/>
        </w:rPr>
        <w:t>公开唱标环节；</w:t>
      </w:r>
    </w:p>
    <w:p>
      <w:pPr>
        <w:numPr>
          <w:ilvl w:val="0"/>
          <w:numId w:val="11"/>
        </w:numPr>
        <w:spacing w:line="360" w:lineRule="auto"/>
        <w:rPr>
          <w:rFonts w:hint="eastAsia" w:ascii="宋体" w:hAnsi="宋体" w:eastAsia="宋体" w:cs="宋体"/>
          <w:b/>
          <w:sz w:val="24"/>
          <w:szCs w:val="24"/>
        </w:rPr>
      </w:pPr>
      <w:r>
        <w:rPr>
          <w:rFonts w:hint="eastAsia" w:ascii="宋体" w:hAnsi="宋体" w:eastAsia="宋体" w:cs="宋体"/>
          <w:b/>
          <w:color w:val="000000"/>
          <w:sz w:val="24"/>
          <w:szCs w:val="24"/>
        </w:rPr>
        <w:t>公开唱标：公示资质标入围单位的开标价格及商务条款响应情况</w:t>
      </w:r>
      <w:r>
        <w:rPr>
          <w:rFonts w:hint="eastAsia" w:ascii="宋体" w:hAnsi="宋体" w:eastAsia="宋体" w:cs="宋体"/>
          <w:b/>
          <w:sz w:val="24"/>
          <w:szCs w:val="24"/>
        </w:rPr>
        <w:t>；</w:t>
      </w:r>
    </w:p>
    <w:p>
      <w:pPr>
        <w:numPr>
          <w:ilvl w:val="0"/>
          <w:numId w:val="11"/>
        </w:numPr>
        <w:spacing w:line="360" w:lineRule="auto"/>
        <w:rPr>
          <w:rFonts w:hint="eastAsia" w:ascii="宋体" w:hAnsi="宋体" w:eastAsia="宋体" w:cs="宋体"/>
          <w:b/>
          <w:sz w:val="24"/>
          <w:szCs w:val="24"/>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4"/>
          <w:szCs w:val="24"/>
        </w:rPr>
        <w:t>技术标评分标准见附件14；</w:t>
      </w:r>
    </w:p>
    <w:p>
      <w:pPr>
        <w:numPr>
          <w:ilvl w:val="0"/>
          <w:numId w:val="12"/>
        </w:numPr>
        <w:spacing w:line="360" w:lineRule="auto"/>
        <w:rPr>
          <w:rFonts w:hint="eastAsia" w:ascii="宋体" w:hAnsi="宋体" w:eastAsia="宋体" w:cs="宋体"/>
          <w:b/>
          <w:sz w:val="24"/>
          <w:szCs w:val="24"/>
        </w:rPr>
      </w:pPr>
      <w:r>
        <w:rPr>
          <w:rFonts w:hint="eastAsia" w:ascii="宋体" w:hAnsi="宋体" w:eastAsia="宋体" w:cs="宋体"/>
          <w:b/>
          <w:sz w:val="24"/>
          <w:szCs w:val="24"/>
        </w:rPr>
        <w:t>商务标评审：商务条款相应确认→价格澄清→商务标评审；评审期间产生的商务价格澄清均由投标人在重汽e采通平台限时内完成提交；</w:t>
      </w:r>
    </w:p>
    <w:p>
      <w:pPr>
        <w:numPr>
          <w:ilvl w:val="255"/>
          <w:numId w:val="0"/>
        </w:num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注意：投标人均需要自带笔记本电脑在重汽e采通进行自主投标和提交澄清函；投标和提交澄清函均有时间限制，超时未提交的按无效处理。</w:t>
      </w:r>
    </w:p>
    <w:p>
      <w:pPr>
        <w:numPr>
          <w:ilvl w:val="0"/>
          <w:numId w:val="13"/>
        </w:numPr>
        <w:spacing w:line="360" w:lineRule="auto"/>
        <w:rPr>
          <w:rFonts w:hint="eastAsia" w:ascii="宋体" w:hAnsi="宋体" w:eastAsia="宋体" w:cs="宋体"/>
          <w:b/>
          <w:sz w:val="24"/>
          <w:szCs w:val="24"/>
        </w:rPr>
      </w:pPr>
      <w:r>
        <w:rPr>
          <w:rFonts w:hint="eastAsia" w:ascii="宋体" w:hAnsi="宋体" w:eastAsia="宋体" w:cs="宋体"/>
          <w:b/>
          <w:sz w:val="24"/>
          <w:szCs w:val="24"/>
          <w:highlight w:val="magenta"/>
        </w:rPr>
        <w:t>中标人确定：技术标入围后，原则上</w:t>
      </w:r>
      <w:r>
        <w:rPr>
          <w:rFonts w:hint="eastAsia" w:ascii="宋体" w:hAnsi="宋体" w:eastAsia="宋体" w:cs="宋体"/>
          <w:b/>
          <w:bCs/>
          <w:sz w:val="24"/>
          <w:szCs w:val="24"/>
          <w:highlight w:val="magenta"/>
        </w:rPr>
        <w:t>综合评分最高的投标方</w:t>
      </w:r>
      <w:r>
        <w:rPr>
          <w:rFonts w:hint="eastAsia" w:ascii="宋体" w:hAnsi="宋体" w:eastAsia="宋体" w:cs="宋体"/>
          <w:b/>
          <w:sz w:val="24"/>
          <w:szCs w:val="24"/>
          <w:highlight w:val="magenta"/>
        </w:rPr>
        <w:t>中标。</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r>
        <w:rPr>
          <w:rFonts w:hint="eastAsia" w:ascii="宋体" w:hAnsi="宋体" w:eastAsia="宋体" w:cs="宋体"/>
          <w:color w:val="000000"/>
          <w:sz w:val="24"/>
          <w:szCs w:val="24"/>
        </w:rPr>
        <w:t>。</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5.合同以双方最终签署的版本为准。</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21"/>
        <w:spacing w:line="360" w:lineRule="auto"/>
        <w:rPr>
          <w:rFonts w:hint="eastAsia" w:hAnsi="宋体" w:eastAsia="宋体" w:cs="宋体"/>
          <w:sz w:val="24"/>
          <w:szCs w:val="24"/>
        </w:rPr>
      </w:pPr>
      <w:r>
        <w:rPr>
          <w:rFonts w:hint="eastAsia"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pStyle w:val="21"/>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（12）不同投标人的投标文件异常一致；</w:t>
      </w:r>
    </w:p>
    <w:p>
      <w:pPr>
        <w:pStyle w:val="21"/>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（13）投标报价呈规律性差异的；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hAnsi="宋体" w:eastAsia="宋体" w:cs="宋体"/>
          <w:color w:val="000000"/>
          <w:sz w:val="24"/>
          <w:szCs w:val="24"/>
        </w:rPr>
        <w:t>4</w:t>
      </w:r>
      <w:r>
        <w:rPr>
          <w:rFonts w:hint="eastAsia" w:ascii="宋体" w:hAnsi="宋体" w:eastAsia="宋体" w:cs="宋体"/>
          <w:color w:val="000000"/>
          <w:sz w:val="24"/>
          <w:szCs w:val="24"/>
        </w:rPr>
        <w:t>）法律、法规规定的其他情况。</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19" w:name="OLE_LINK27"/>
      <w:bookmarkStart w:id="20" w:name="OLE_LINK26"/>
      <w:bookmarkStart w:id="21" w:name="OLE_LINK28"/>
      <w:bookmarkStart w:id="22" w:name="OLE_LINK29"/>
      <w:bookmarkStart w:id="23" w:name="OLE_LINK25"/>
      <w:r>
        <w:rPr>
          <w:rFonts w:hint="eastAsia" w:ascii="宋体" w:hAnsi="宋体" w:eastAsia="宋体" w:cs="宋体"/>
          <w:bCs/>
          <w:sz w:val="24"/>
          <w:szCs w:val="24"/>
        </w:rPr>
        <w:t>；</w:t>
      </w:r>
      <w:bookmarkEnd w:id="19"/>
      <w:bookmarkEnd w:id="20"/>
      <w:bookmarkEnd w:id="21"/>
      <w:bookmarkEnd w:id="22"/>
      <w:bookmarkEnd w:id="23"/>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21"/>
        <w:spacing w:line="360" w:lineRule="auto"/>
        <w:ind w:firstLine="480" w:firstLineChars="200"/>
        <w:rPr>
          <w:rFonts w:hint="eastAsia" w:hAnsi="宋体" w:eastAsia="宋体" w:cs="宋体"/>
          <w:bCs/>
          <w:sz w:val="24"/>
          <w:szCs w:val="24"/>
        </w:rPr>
      </w:pPr>
      <w:r>
        <w:rPr>
          <w:rFonts w:hint="eastAsia" w:hAnsi="宋体" w:eastAsia="宋体" w:cs="宋体"/>
          <w:bCs/>
          <w:sz w:val="24"/>
          <w:szCs w:val="24"/>
        </w:rPr>
        <w:t>（6）招标人认为其他应终止招标的情形。</w:t>
      </w:r>
    </w:p>
    <w:p>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归中国重型汽车集团有限公司。</w:t>
      </w:r>
    </w:p>
    <w:p>
      <w:pPr>
        <w:pStyle w:val="21"/>
        <w:spacing w:line="360" w:lineRule="auto"/>
        <w:jc w:val="center"/>
        <w:rPr>
          <w:rFonts w:hint="eastAsia" w:hAnsi="宋体" w:eastAsia="宋体" w:cs="宋体"/>
          <w:b/>
          <w:bCs/>
          <w:kern w:val="44"/>
          <w:sz w:val="24"/>
          <w:szCs w:val="24"/>
        </w:rPr>
        <w:sectPr>
          <w:footerReference r:id="rId9" w:type="default"/>
          <w:pgSz w:w="11907" w:h="16840"/>
          <w:pgMar w:top="1304" w:right="1418" w:bottom="1304" w:left="1418" w:header="724" w:footer="851" w:gutter="0"/>
          <w:cols w:space="720" w:num="1"/>
          <w:docGrid w:linePitch="290" w:charSpace="-3931"/>
        </w:sectPr>
      </w:pPr>
    </w:p>
    <w:p>
      <w:pPr>
        <w:pStyle w:val="21"/>
        <w:numPr>
          <w:ilvl w:val="255"/>
          <w:numId w:val="0"/>
        </w:numPr>
        <w:jc w:val="center"/>
        <w:outlineLvl w:val="0"/>
        <w:rPr>
          <w:rFonts w:ascii="Calibri" w:hAnsi="Calibri" w:eastAsia="宋体" w:cs="Times New Roman"/>
          <w:b/>
          <w:bCs/>
          <w:kern w:val="44"/>
          <w:sz w:val="36"/>
          <w:szCs w:val="44"/>
        </w:rPr>
      </w:pPr>
      <w:bookmarkStart w:id="24" w:name="_Toc22879"/>
      <w:r>
        <w:rPr>
          <w:rFonts w:hint="eastAsia" w:ascii="Calibri" w:hAnsi="Calibri" w:eastAsia="宋体" w:cs="Times New Roman"/>
          <w:b/>
          <w:bCs/>
          <w:kern w:val="44"/>
          <w:sz w:val="36"/>
          <w:szCs w:val="44"/>
        </w:rPr>
        <w:t>第三部分 投标文件编制</w:t>
      </w:r>
      <w:bookmarkEnd w:id="24"/>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1.投标人所投标设备详细技术资料清单，在标书中列示说明；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sz w:val="24"/>
          <w:szCs w:val="24"/>
        </w:rPr>
        <w:t>本项目投标文件分为</w:t>
      </w:r>
      <w:r>
        <w:rPr>
          <w:rFonts w:hint="eastAsia" w:ascii="宋体" w:hAnsi="宋体" w:eastAsia="宋体" w:cs="宋体"/>
          <w:b/>
          <w:sz w:val="24"/>
          <w:szCs w:val="24"/>
        </w:rPr>
        <w:t>纸质版</w:t>
      </w:r>
      <w:r>
        <w:rPr>
          <w:rFonts w:hint="eastAsia" w:ascii="宋体" w:hAnsi="宋体" w:eastAsia="宋体" w:cs="宋体"/>
          <w:bCs/>
          <w:sz w:val="24"/>
          <w:szCs w:val="24"/>
        </w:rPr>
        <w:t>投标文件和</w:t>
      </w:r>
      <w:r>
        <w:rPr>
          <w:rFonts w:hint="eastAsia" w:ascii="宋体" w:hAnsi="宋体" w:eastAsia="宋体" w:cs="宋体"/>
          <w:b/>
          <w:sz w:val="24"/>
          <w:szCs w:val="24"/>
        </w:rPr>
        <w:t>电子版</w:t>
      </w:r>
      <w:r>
        <w:rPr>
          <w:rFonts w:hint="eastAsia" w:ascii="宋体" w:hAnsi="宋体" w:eastAsia="宋体" w:cs="宋体"/>
          <w:bCs/>
          <w:sz w:val="24"/>
          <w:szCs w:val="24"/>
        </w:rPr>
        <w:t>投标文件，均由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文件组成，共计3</w:t>
      </w:r>
      <w:r>
        <w:rPr>
          <w:rFonts w:hint="eastAsia" w:ascii="宋体" w:hAnsi="宋体" w:eastAsia="宋体" w:cs="宋体"/>
          <w:bCs/>
          <w:color w:val="000000"/>
          <w:sz w:val="24"/>
          <w:szCs w:val="24"/>
        </w:rPr>
        <w:t>个文件。</w:t>
      </w:r>
    </w:p>
    <w:p>
      <w:pPr>
        <w:spacing w:line="360" w:lineRule="auto"/>
        <w:ind w:firstLine="482" w:firstLineChars="200"/>
        <w:rPr>
          <w:rFonts w:hint="eastAsia"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pPr>
        <w:numPr>
          <w:ilvl w:val="0"/>
          <w:numId w:val="14"/>
        </w:num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《投标文件（资质标）》包括</w:t>
      </w:r>
      <w:r>
        <w:rPr>
          <w:rFonts w:hint="eastAsia" w:ascii="宋体" w:hAnsi="宋体" w:eastAsia="宋体" w:cs="宋体"/>
          <w:color w:val="000000"/>
          <w:sz w:val="24"/>
          <w:szCs w:val="24"/>
        </w:rPr>
        <w:t>：</w:t>
      </w:r>
    </w:p>
    <w:p>
      <w:pPr>
        <w:numPr>
          <w:numId w:val="0"/>
        </w:num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500万人民币(或等值其他货币)公司成立三年以上(以营业执照成立日期到开标当日满三年为准)，且经营范围满足招标人需求;并在人员、设备、资金等方面具有承担本项目的能力2.拟投标人应提供营业执照副本原件和扫描件(需盖章)</w:t>
      </w:r>
    </w:p>
    <w:p>
      <w:pPr>
        <w:numPr>
          <w:numId w:val="0"/>
        </w:num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numPr>
          <w:numId w:val="0"/>
        </w:num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4.拟投标人在国家市场监督管理总局的《国家企业信用信息公示系统》中查询不存在不良记录;</w:t>
      </w:r>
    </w:p>
    <w:p>
      <w:pPr>
        <w:numPr>
          <w:numId w:val="0"/>
        </w:num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numPr>
          <w:numId w:val="0"/>
        </w:num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6.拟投标人2022年1月1日至今经会计师事务所审计且出具无保留意见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pPr>
        <w:numPr>
          <w:numId w:val="0"/>
        </w:num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7.拟投标人2022年1月1日至今，有与本次招标内容相同或类似项目</w:t>
      </w:r>
    </w:p>
    <w:p>
      <w:pPr>
        <w:numPr>
          <w:numId w:val="0"/>
        </w:num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业绩，且近三年内无因服务不当而造成重大事故;8.拟投标人近三年内在经营活动中无与本项目有关的违法及重大违规情况;</w:t>
      </w:r>
    </w:p>
    <w:p>
      <w:pPr>
        <w:numPr>
          <w:numId w:val="0"/>
        </w:num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9.拟投标人须认可招标人的工作指令，包括节、假日能正常开展工作的要求;</w:t>
      </w:r>
    </w:p>
    <w:p>
      <w:pPr>
        <w:numPr>
          <w:numId w:val="0"/>
        </w:num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10.拟投标人最近半年纳税正常;</w:t>
      </w:r>
    </w:p>
    <w:p>
      <w:pPr>
        <w:numPr>
          <w:numId w:val="0"/>
        </w:num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11.拟投标人信用证明材料(征信报告)未显示异常</w:t>
      </w:r>
    </w:p>
    <w:p>
      <w:pPr>
        <w:numPr>
          <w:numId w:val="0"/>
        </w:num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12.拟投标人的直接或间接股东、法定代表人、董事、监事、高管非重汽员工及其亲属;</w:t>
      </w:r>
    </w:p>
    <w:p>
      <w:pPr>
        <w:numPr>
          <w:numId w:val="0"/>
        </w:num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13.如为代理商投标，需获得生产厂家正式授权，提供授权书原件(代理品牌针对项目的唯一授权书)，保证提供原厂售后服务并提供原厂售后服务承诺书原件;</w:t>
      </w:r>
    </w:p>
    <w:p>
      <w:pPr>
        <w:numPr>
          <w:numId w:val="0"/>
        </w:num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14.本项目不接受联合体投标，拟投标人必须是最终投标单位和签订合同单位，不得以任何理由将已中标项目(除土建外)以任何形式分包或转包给其他单位;</w:t>
      </w:r>
    </w:p>
    <w:p>
      <w:pPr>
        <w:numPr>
          <w:numId w:val="0"/>
        </w:num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15.与招标人存在利害关系可能影响招标公正性的法人、其他组织或者个人，不得参加投标。</w:t>
      </w:r>
    </w:p>
    <w:p>
      <w:pPr>
        <w:spacing w:line="360" w:lineRule="auto"/>
        <w:ind w:firstLine="482" w:firstLineChars="200"/>
        <w:rPr>
          <w:rFonts w:hint="eastAsia" w:ascii="宋体" w:hAnsi="宋体" w:eastAsia="宋体" w:cs="宋体"/>
          <w:b/>
          <w:bCs/>
          <w:sz w:val="24"/>
          <w:szCs w:val="24"/>
        </w:rPr>
      </w:pPr>
      <w:bookmarkStart w:id="25" w:name="_Toc212369515"/>
      <w:r>
        <w:rPr>
          <w:rFonts w:hint="eastAsia" w:ascii="宋体" w:hAnsi="宋体" w:eastAsia="宋体" w:cs="宋体"/>
          <w:b/>
          <w:bCs/>
          <w:sz w:val="24"/>
          <w:szCs w:val="24"/>
        </w:rPr>
        <w:t>2.</w:t>
      </w:r>
      <w:r>
        <w:rPr>
          <w:rFonts w:hint="eastAsia" w:ascii="宋体" w:hAnsi="宋体" w:eastAsia="宋体" w:cs="宋体"/>
          <w:b/>
          <w:sz w:val="24"/>
          <w:szCs w:val="24"/>
        </w:rPr>
        <w:t>《投标文件（技术标）》</w:t>
      </w:r>
      <w:r>
        <w:rPr>
          <w:rFonts w:hint="eastAsia" w:ascii="宋体" w:hAnsi="宋体" w:eastAsia="宋体" w:cs="宋体"/>
          <w:b/>
          <w:bCs/>
          <w:sz w:val="24"/>
          <w:szCs w:val="24"/>
        </w:rPr>
        <w:t>：</w:t>
      </w:r>
      <w:bookmarkEnd w:id="25"/>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2.1技术规格偏离表（附件5-1），</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hAnsi="宋体" w:eastAsia="宋体" w:cs="宋体"/>
          <w:b/>
          <w:color w:val="000000"/>
          <w:sz w:val="24"/>
          <w:szCs w:val="24"/>
          <w:highlight w:val="yellow"/>
        </w:rPr>
      </w:pPr>
      <w:r>
        <w:rPr>
          <w:rFonts w:hint="eastAsia" w:ascii="宋体" w:hAnsi="宋体" w:eastAsia="宋体" w:cs="宋体"/>
          <w:bCs/>
          <w:color w:val="000000"/>
          <w:sz w:val="24"/>
          <w:szCs w:val="24"/>
        </w:rPr>
        <w:t>2.2</w:t>
      </w:r>
      <w:r>
        <w:rPr>
          <w:rFonts w:hint="eastAsia" w:hAnsi="宋体" w:eastAsia="宋体" w:cs="宋体"/>
          <w:color w:val="000000"/>
          <w:sz w:val="24"/>
          <w:szCs w:val="24"/>
          <w:highlight w:val="yellow"/>
        </w:rPr>
        <w:t>设备分项配置表（附件5-2），列明项目设备分项配置规格型号、品牌等信息（要求分项明细与附表9-1完全对应），但</w:t>
      </w:r>
      <w:r>
        <w:rPr>
          <w:rFonts w:hint="eastAsia" w:ascii="宋体" w:hAnsi="宋体" w:eastAsia="宋体" w:cs="宋体"/>
          <w:b/>
          <w:color w:val="000000"/>
          <w:sz w:val="24"/>
          <w:szCs w:val="24"/>
          <w:highlight w:val="yellow"/>
        </w:rPr>
        <w:t>注意：</w:t>
      </w:r>
      <w:r>
        <w:rPr>
          <w:rFonts w:hint="eastAsia" w:hAnsi="宋体" w:eastAsia="宋体" w:cs="宋体"/>
          <w:b/>
          <w:color w:val="000000"/>
          <w:sz w:val="24"/>
          <w:szCs w:val="24"/>
          <w:highlight w:val="yellow"/>
        </w:rPr>
        <w:t>此表在技术标书中，禁止出现任何分项价格及项目总价；</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2.3</w:t>
      </w:r>
      <w:r>
        <w:rPr>
          <w:rFonts w:hint="eastAsia" w:ascii="宋体" w:hAnsi="宋体" w:eastAsia="宋体" w:cs="宋体"/>
          <w:color w:val="000000"/>
          <w:sz w:val="24"/>
          <w:szCs w:val="24"/>
          <w:highlight w:val="yellow"/>
        </w:rPr>
        <w:t>提供2022年1月1日以来同类产品的制造销售业绩</w:t>
      </w:r>
      <w:r>
        <w:rPr>
          <w:rFonts w:hint="eastAsia" w:ascii="宋体" w:hAnsi="宋体" w:eastAsia="宋体" w:cs="宋体"/>
          <w:color w:val="000000"/>
          <w:sz w:val="24"/>
          <w:szCs w:val="24"/>
        </w:rPr>
        <w:t>（用户名单、联系方式），并附合同复印件。该同类项目业绩一览表必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2.4供货期及保证措施；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2.5产品的技术服务和售后服务内容及措施；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2.6交货进度及计划；</w:t>
      </w:r>
    </w:p>
    <w:p>
      <w:pPr>
        <w:spacing w:line="360" w:lineRule="auto"/>
        <w:ind w:firstLine="480" w:firstLineChars="200"/>
        <w:rPr>
          <w:rFonts w:hint="eastAsia" w:ascii="宋体" w:hAnsi="宋体" w:eastAsia="宋体" w:cs="宋体"/>
          <w:color w:val="000000"/>
          <w:sz w:val="24"/>
          <w:szCs w:val="24"/>
        </w:rPr>
      </w:pPr>
      <w:bookmarkStart w:id="26" w:name="_Toc536542319"/>
      <w:r>
        <w:rPr>
          <w:rFonts w:hint="eastAsia" w:ascii="宋体" w:hAnsi="宋体" w:eastAsia="宋体" w:cs="宋体"/>
          <w:color w:val="000000"/>
          <w:sz w:val="24"/>
          <w:szCs w:val="24"/>
        </w:rPr>
        <w:t>2.7投标产品技术支持材料</w:t>
      </w:r>
      <w:bookmarkEnd w:id="26"/>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2.8设备质量承诺函（附件7）；</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2.9投标人需提交的其它资料。</w:t>
      </w: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rPr>
        <w:t>《投标文件（商务标）》（开标一览表）</w:t>
      </w:r>
      <w:r>
        <w:rPr>
          <w:rFonts w:hint="eastAsia" w:ascii="宋体" w:hAnsi="宋体" w:eastAsia="宋体" w:cs="宋体"/>
          <w:b/>
          <w:bCs/>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27" w:name="OLE_LINK18"/>
      <w:bookmarkStart w:id="28" w:name="OLE_LINK19"/>
      <w:r>
        <w:rPr>
          <w:rFonts w:hint="eastAsia" w:ascii="宋体" w:hAnsi="宋体" w:eastAsia="宋体" w:cs="宋体"/>
          <w:b/>
          <w:color w:val="000000"/>
          <w:sz w:val="24"/>
          <w:szCs w:val="24"/>
        </w:rPr>
        <w:t>；</w:t>
      </w:r>
      <w:bookmarkEnd w:id="27"/>
      <w:bookmarkEnd w:id="28"/>
      <w:r>
        <w:rPr>
          <w:rFonts w:hint="eastAsia" w:ascii="宋体" w:hAnsi="宋体" w:eastAsia="宋体" w:cs="宋体"/>
          <w:color w:val="000000"/>
          <w:sz w:val="24"/>
          <w:szCs w:val="24"/>
        </w:rPr>
        <w:t xml:space="preserve"> </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pPr>
        <w:pStyle w:val="21"/>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2"/>
    <w:bookmarkEnd w:id="3"/>
    <w:p>
      <w:pPr>
        <w:keepNext/>
        <w:keepLines/>
        <w:jc w:val="center"/>
        <w:outlineLvl w:val="0"/>
        <w:rPr>
          <w:rFonts w:ascii="宋体" w:hAnsi="宋体" w:eastAsia="宋体" w:cs="Times New Roman"/>
          <w:b/>
          <w:bCs/>
          <w:kern w:val="44"/>
          <w:sz w:val="36"/>
          <w:szCs w:val="44"/>
        </w:rPr>
      </w:pPr>
      <w:bookmarkStart w:id="29" w:name="_Toc9849"/>
      <w:bookmarkStart w:id="45" w:name="_GoBack"/>
      <w:bookmarkEnd w:id="45"/>
      <w:r>
        <w:rPr>
          <w:rFonts w:hint="eastAsia" w:ascii="宋体" w:hAnsi="宋体" w:eastAsia="宋体" w:cs="Times New Roman"/>
          <w:b/>
          <w:bCs/>
          <w:kern w:val="44"/>
          <w:sz w:val="36"/>
          <w:szCs w:val="44"/>
          <w:lang w:val="en-US" w:eastAsia="zh-CN"/>
        </w:rPr>
        <w:t xml:space="preserve">第四部分 </w:t>
      </w:r>
      <w:r>
        <w:rPr>
          <w:rFonts w:hint="eastAsia" w:ascii="宋体" w:hAnsi="宋体" w:eastAsia="宋体" w:cs="Times New Roman"/>
          <w:b/>
          <w:bCs/>
          <w:kern w:val="44"/>
          <w:sz w:val="36"/>
          <w:szCs w:val="44"/>
        </w:rPr>
        <w:t>技术标书</w:t>
      </w:r>
      <w:bookmarkEnd w:id="29"/>
    </w:p>
    <w:p>
      <w:pPr>
        <w:pStyle w:val="21"/>
        <w:rPr>
          <w:rFonts w:hAnsi="宋体" w:eastAsia="宋体"/>
        </w:rPr>
      </w:pPr>
    </w:p>
    <w:p>
      <w:pPr>
        <w:keepNext/>
        <w:keepLines/>
        <w:jc w:val="center"/>
        <w:rPr>
          <w:rFonts w:ascii="宋体" w:hAnsi="宋体" w:eastAsia="宋体" w:cs="Times New Roman"/>
          <w:b/>
          <w:bCs/>
          <w:color w:val="000000"/>
          <w:spacing w:val="-8"/>
          <w:sz w:val="48"/>
          <w:szCs w:val="44"/>
        </w:rPr>
      </w:pPr>
      <w:bookmarkStart w:id="30" w:name="OLE_LINK11"/>
      <w:r>
        <w:rPr>
          <w:rFonts w:hint="eastAsia" w:ascii="宋体" w:hAnsi="宋体" w:eastAsia="宋体" w:cs="Times New Roman"/>
          <w:b/>
          <w:bCs/>
          <w:color w:val="000000"/>
          <w:spacing w:val="-8"/>
          <w:sz w:val="48"/>
          <w:szCs w:val="44"/>
        </w:rPr>
        <w:t>中国重汽集团济南商用车制造公司</w:t>
      </w:r>
    </w:p>
    <w:p>
      <w:pPr>
        <w:keepNext/>
        <w:keepLines/>
        <w:jc w:val="center"/>
        <w:rPr>
          <w:rFonts w:ascii="宋体" w:hAnsi="宋体" w:eastAsia="宋体" w:cs="Times New Roman"/>
          <w:b/>
          <w:bCs/>
          <w:color w:val="000000"/>
          <w:spacing w:val="-8"/>
          <w:sz w:val="48"/>
          <w:szCs w:val="44"/>
        </w:rPr>
      </w:pPr>
      <w:r>
        <w:rPr>
          <w:rFonts w:hint="eastAsia" w:ascii="宋体" w:hAnsi="宋体" w:eastAsia="宋体" w:cs="Times New Roman"/>
          <w:b/>
          <w:bCs/>
          <w:color w:val="000000"/>
          <w:spacing w:val="-8"/>
          <w:sz w:val="48"/>
          <w:szCs w:val="44"/>
        </w:rPr>
        <w:t>智能驾驶校准工站改造</w:t>
      </w:r>
    </w:p>
    <w:bookmarkEnd w:id="30"/>
    <w:p>
      <w:pPr>
        <w:spacing w:line="276" w:lineRule="auto"/>
        <w:jc w:val="center"/>
        <w:rPr>
          <w:rFonts w:ascii="宋体" w:hAnsi="宋体" w:eastAsia="宋体" w:cs="Times New Roman"/>
          <w:b/>
          <w:bCs/>
          <w:color w:val="000000"/>
          <w:spacing w:val="-8"/>
          <w:sz w:val="48"/>
          <w:szCs w:val="44"/>
        </w:rPr>
      </w:pPr>
      <w:r>
        <w:rPr>
          <w:rFonts w:hint="eastAsia" w:ascii="宋体" w:hAnsi="宋体" w:eastAsia="宋体" w:cs="Times New Roman"/>
          <w:b/>
          <w:bCs/>
          <w:color w:val="000000"/>
          <w:spacing w:val="-8"/>
          <w:sz w:val="48"/>
          <w:szCs w:val="44"/>
        </w:rPr>
        <w:t>招标项目</w:t>
      </w:r>
    </w:p>
    <w:p>
      <w:pPr>
        <w:jc w:val="right"/>
        <w:rPr>
          <w:rFonts w:ascii="宋体" w:hAnsi="宋体" w:eastAsia="宋体" w:cs="Times New Roman"/>
          <w:color w:val="000000"/>
          <w:sz w:val="28"/>
          <w:szCs w:val="28"/>
        </w:rPr>
      </w:pPr>
    </w:p>
    <w:p>
      <w:pPr>
        <w:pStyle w:val="21"/>
        <w:rPr>
          <w:rFonts w:hAnsi="宋体" w:eastAsia="宋体"/>
        </w:rPr>
      </w:pPr>
    </w:p>
    <w:p>
      <w:pPr>
        <w:jc w:val="center"/>
        <w:rPr>
          <w:rFonts w:ascii="宋体" w:hAnsi="宋体" w:eastAsia="宋体" w:cs="Times New Roman"/>
          <w:color w:val="000000"/>
          <w:sz w:val="72"/>
          <w:szCs w:val="72"/>
        </w:rPr>
      </w:pPr>
      <w:r>
        <w:rPr>
          <w:rFonts w:hint="eastAsia" w:ascii="宋体" w:hAnsi="宋体" w:eastAsia="宋体" w:cs="Times New Roman"/>
          <w:color w:val="000000"/>
          <w:sz w:val="72"/>
          <w:szCs w:val="72"/>
        </w:rPr>
        <w:t>技</w:t>
      </w:r>
    </w:p>
    <w:p>
      <w:pPr>
        <w:jc w:val="center"/>
        <w:rPr>
          <w:rFonts w:ascii="宋体" w:hAnsi="宋体" w:eastAsia="宋体" w:cs="Times New Roman"/>
          <w:color w:val="000000"/>
          <w:sz w:val="72"/>
          <w:szCs w:val="72"/>
        </w:rPr>
      </w:pPr>
      <w:r>
        <w:rPr>
          <w:rFonts w:hint="eastAsia" w:ascii="宋体" w:hAnsi="宋体" w:eastAsia="宋体" w:cs="Times New Roman"/>
          <w:color w:val="000000"/>
          <w:sz w:val="72"/>
          <w:szCs w:val="72"/>
        </w:rPr>
        <w:t>术</w:t>
      </w:r>
    </w:p>
    <w:p>
      <w:pPr>
        <w:jc w:val="center"/>
        <w:rPr>
          <w:rFonts w:ascii="宋体" w:hAnsi="宋体" w:eastAsia="宋体" w:cs="Times New Roman"/>
          <w:color w:val="000000"/>
          <w:sz w:val="72"/>
          <w:szCs w:val="72"/>
        </w:rPr>
      </w:pPr>
      <w:r>
        <w:rPr>
          <w:rFonts w:hint="eastAsia" w:ascii="宋体" w:hAnsi="宋体" w:eastAsia="宋体" w:cs="Times New Roman"/>
          <w:color w:val="000000"/>
          <w:sz w:val="72"/>
          <w:szCs w:val="72"/>
        </w:rPr>
        <w:t>标</w:t>
      </w:r>
    </w:p>
    <w:p>
      <w:pPr>
        <w:jc w:val="center"/>
        <w:rPr>
          <w:rFonts w:ascii="宋体" w:hAnsi="宋体" w:eastAsia="宋体" w:cs="Times New Roman"/>
          <w:color w:val="000000"/>
          <w:sz w:val="72"/>
          <w:szCs w:val="72"/>
        </w:rPr>
      </w:pPr>
      <w:r>
        <w:rPr>
          <w:rFonts w:hint="eastAsia" w:ascii="宋体" w:hAnsi="宋体" w:eastAsia="宋体" w:cs="Times New Roman"/>
          <w:color w:val="000000"/>
          <w:sz w:val="72"/>
          <w:szCs w:val="72"/>
        </w:rPr>
        <w:t>书</w:t>
      </w:r>
    </w:p>
    <w:p>
      <w:pPr>
        <w:pStyle w:val="21"/>
        <w:rPr>
          <w:rFonts w:hAnsi="宋体" w:eastAsia="宋体"/>
        </w:rPr>
      </w:pPr>
    </w:p>
    <w:p>
      <w:pPr>
        <w:pStyle w:val="21"/>
        <w:rPr>
          <w:rFonts w:hAnsi="宋体" w:eastAsia="宋体" w:cs="Times New Roman"/>
          <w:color w:val="000000"/>
          <w:sz w:val="72"/>
          <w:szCs w:val="72"/>
        </w:rPr>
      </w:pPr>
    </w:p>
    <w:p>
      <w:pPr>
        <w:pStyle w:val="21"/>
        <w:rPr>
          <w:rFonts w:hAnsi="宋体" w:eastAsia="宋体" w:cs="Times New Roman"/>
          <w:color w:val="000000"/>
          <w:sz w:val="72"/>
          <w:szCs w:val="72"/>
        </w:rPr>
      </w:pPr>
    </w:p>
    <w:p>
      <w:pPr>
        <w:spacing w:line="860" w:lineRule="exact"/>
        <w:ind w:firstLine="2570" w:firstLineChars="800"/>
        <w:rPr>
          <w:rFonts w:ascii="宋体" w:hAnsi="宋体" w:eastAsia="宋体"/>
          <w:b/>
          <w:bCs/>
          <w:sz w:val="32"/>
          <w:szCs w:val="28"/>
        </w:rPr>
      </w:pPr>
      <w:r>
        <w:rPr>
          <w:rFonts w:hint="eastAsia" w:ascii="宋体" w:hAnsi="宋体" w:eastAsia="宋体"/>
          <w:b/>
          <w:bCs/>
          <w:sz w:val="32"/>
          <w:szCs w:val="28"/>
        </w:rPr>
        <w:t xml:space="preserve"> 编制：             </w:t>
      </w:r>
    </w:p>
    <w:p>
      <w:pPr>
        <w:spacing w:line="860" w:lineRule="exact"/>
        <w:rPr>
          <w:rFonts w:ascii="宋体" w:hAnsi="宋体" w:eastAsia="宋体"/>
          <w:b/>
          <w:bCs/>
          <w:sz w:val="32"/>
          <w:szCs w:val="28"/>
        </w:rPr>
      </w:pPr>
      <w:r>
        <w:rPr>
          <w:rFonts w:hint="eastAsia" w:ascii="宋体" w:hAnsi="宋体" w:eastAsia="宋体"/>
          <w:b/>
          <w:bCs/>
          <w:sz w:val="32"/>
          <w:szCs w:val="28"/>
        </w:rPr>
        <w:t xml:space="preserve">                 审核：             </w:t>
      </w:r>
    </w:p>
    <w:p>
      <w:pPr>
        <w:spacing w:line="860" w:lineRule="exact"/>
        <w:rPr>
          <w:rFonts w:ascii="宋体" w:hAnsi="宋体" w:eastAsia="宋体"/>
          <w:b/>
          <w:bCs/>
          <w:sz w:val="32"/>
          <w:szCs w:val="28"/>
        </w:rPr>
      </w:pPr>
      <w:r>
        <w:rPr>
          <w:rFonts w:hint="eastAsia" w:ascii="宋体" w:hAnsi="宋体" w:eastAsia="宋体"/>
          <w:b/>
          <w:bCs/>
          <w:sz w:val="32"/>
          <w:szCs w:val="28"/>
        </w:rPr>
        <w:t xml:space="preserve">                 批准：     </w:t>
      </w:r>
    </w:p>
    <w:p>
      <w:pPr>
        <w:pStyle w:val="21"/>
        <w:rPr>
          <w:rFonts w:hAnsi="宋体" w:eastAsia="宋体"/>
          <w:b/>
          <w:bCs/>
        </w:rPr>
      </w:pPr>
    </w:p>
    <w:p>
      <w:pPr>
        <w:jc w:val="center"/>
        <w:rPr>
          <w:rFonts w:ascii="宋体" w:hAnsi="宋体" w:eastAsia="宋体" w:cs="Times New Roman"/>
          <w:color w:val="000000"/>
          <w:sz w:val="28"/>
          <w:szCs w:val="28"/>
        </w:rPr>
      </w:pPr>
      <w:r>
        <w:rPr>
          <w:rFonts w:hint="eastAsia" w:ascii="宋体" w:hAnsi="宋体" w:eastAsia="宋体" w:cs="Times New Roman"/>
          <w:color w:val="000000"/>
          <w:sz w:val="28"/>
          <w:szCs w:val="28"/>
        </w:rPr>
        <w:t>招标人：中国重汽集团济南商用车制造公司</w:t>
      </w:r>
    </w:p>
    <w:p>
      <w:pPr>
        <w:jc w:val="center"/>
        <w:rPr>
          <w:rFonts w:ascii="宋体" w:hAnsi="宋体" w:eastAsia="宋体" w:cs="Times New Roman"/>
          <w:b/>
          <w:bCs/>
          <w:kern w:val="44"/>
          <w:sz w:val="36"/>
          <w:szCs w:val="44"/>
        </w:rPr>
      </w:pPr>
      <w:r>
        <w:rPr>
          <w:rFonts w:ascii="宋体" w:hAnsi="宋体" w:eastAsia="宋体" w:cs="Times New Roman"/>
          <w:color w:val="000000"/>
          <w:sz w:val="28"/>
          <w:szCs w:val="28"/>
        </w:rPr>
        <w:t>202</w:t>
      </w:r>
      <w:r>
        <w:rPr>
          <w:rFonts w:hint="eastAsia" w:ascii="宋体" w:hAnsi="宋体" w:eastAsia="宋体" w:cs="Times New Roman"/>
          <w:color w:val="000000"/>
          <w:sz w:val="28"/>
          <w:szCs w:val="28"/>
        </w:rPr>
        <w:t>5年</w:t>
      </w:r>
      <w:r>
        <w:rPr>
          <w:rFonts w:ascii="宋体" w:hAnsi="宋体" w:eastAsia="宋体" w:cs="Times New Roman"/>
          <w:color w:val="000000"/>
          <w:sz w:val="28"/>
          <w:szCs w:val="28"/>
        </w:rPr>
        <w:t>9</w:t>
      </w:r>
      <w:r>
        <w:rPr>
          <w:rFonts w:hint="eastAsia" w:ascii="宋体" w:hAnsi="宋体" w:eastAsia="宋体" w:cs="Times New Roman"/>
          <w:color w:val="000000"/>
          <w:sz w:val="28"/>
          <w:szCs w:val="28"/>
        </w:rPr>
        <w:t>月</w:t>
      </w:r>
    </w:p>
    <w:p>
      <w:pPr>
        <w:spacing w:line="360" w:lineRule="auto"/>
        <w:rPr>
          <w:rFonts w:ascii="宋体" w:hAnsi="宋体" w:eastAsia="宋体" w:cs="Times New Roman"/>
          <w:b/>
          <w:sz w:val="36"/>
          <w:szCs w:val="36"/>
        </w:rPr>
        <w:sectPr>
          <w:headerReference r:id="rId10" w:type="default"/>
          <w:footerReference r:id="rId11" w:type="default"/>
          <w:pgSz w:w="11907" w:h="16840"/>
          <w:pgMar w:top="1304" w:right="1418" w:bottom="1304" w:left="1418" w:header="724" w:footer="851" w:gutter="0"/>
          <w:cols w:space="720" w:num="1"/>
          <w:docGrid w:linePitch="290" w:charSpace="-3931"/>
        </w:sectPr>
      </w:pPr>
    </w:p>
    <w:p>
      <w:pPr>
        <w:keepNext/>
        <w:keepLines/>
        <w:spacing w:before="120" w:after="120" w:line="480" w:lineRule="exact"/>
        <w:jc w:val="center"/>
        <w:outlineLvl w:val="1"/>
        <w:rPr>
          <w:rFonts w:ascii="宋体" w:hAnsi="宋体" w:eastAsia="宋体" w:cs="Times New Roman"/>
          <w:b/>
          <w:bCs/>
          <w:kern w:val="44"/>
          <w:sz w:val="28"/>
          <w:szCs w:val="28"/>
        </w:rPr>
      </w:pPr>
      <w:bookmarkStart w:id="31" w:name="_Toc169605877"/>
      <w:r>
        <w:rPr>
          <w:rFonts w:hint="eastAsia" w:ascii="宋体" w:hAnsi="宋体" w:eastAsia="宋体" w:cs="Times New Roman"/>
          <w:b/>
          <w:bCs/>
          <w:kern w:val="44"/>
          <w:sz w:val="28"/>
          <w:szCs w:val="28"/>
        </w:rPr>
        <w:t>第一章采购货物概况</w:t>
      </w:r>
      <w:bookmarkEnd w:id="31"/>
    </w:p>
    <w:p>
      <w:pPr>
        <w:keepNext/>
        <w:keepLines/>
        <w:spacing w:before="120" w:after="120" w:line="480" w:lineRule="exact"/>
        <w:jc w:val="center"/>
        <w:outlineLvl w:val="2"/>
        <w:rPr>
          <w:rFonts w:ascii="宋体" w:hAnsi="宋体" w:eastAsia="宋体" w:cs="Times New Roman"/>
          <w:b/>
          <w:bCs/>
          <w:sz w:val="24"/>
          <w:szCs w:val="24"/>
        </w:rPr>
      </w:pPr>
      <w:bookmarkStart w:id="32" w:name="_Toc169605878"/>
      <w:r>
        <w:rPr>
          <w:rFonts w:hint="eastAsia" w:ascii="宋体" w:hAnsi="宋体" w:eastAsia="宋体" w:cs="Times New Roman"/>
          <w:b/>
          <w:bCs/>
          <w:sz w:val="24"/>
          <w:szCs w:val="24"/>
        </w:rPr>
        <w:t>第一节使用环境</w:t>
      </w:r>
      <w:bookmarkEnd w:id="32"/>
    </w:p>
    <w:p>
      <w:pPr>
        <w:spacing w:line="360" w:lineRule="auto"/>
        <w:outlineLvl w:val="3"/>
        <w:rPr>
          <w:rFonts w:ascii="宋体" w:hAnsi="宋体" w:eastAsia="宋体"/>
          <w:sz w:val="24"/>
          <w:szCs w:val="24"/>
        </w:rPr>
      </w:pPr>
      <w:r>
        <w:rPr>
          <w:rFonts w:hint="eastAsia" w:ascii="宋体" w:hAnsi="宋体" w:eastAsia="宋体"/>
          <w:sz w:val="24"/>
          <w:szCs w:val="24"/>
        </w:rPr>
        <w:t>一、项目名称：</w:t>
      </w:r>
      <w:r>
        <w:rPr>
          <w:rFonts w:hint="eastAsia" w:ascii="宋体" w:hAnsi="宋体" w:eastAsia="宋体"/>
          <w:sz w:val="24"/>
          <w:szCs w:val="24"/>
          <w:u w:val="single"/>
        </w:rPr>
        <w:t>智能驾驶校准工站改造项目</w:t>
      </w:r>
    </w:p>
    <w:p>
      <w:pPr>
        <w:spacing w:line="360" w:lineRule="auto"/>
        <w:outlineLvl w:val="3"/>
        <w:rPr>
          <w:rFonts w:ascii="宋体" w:hAnsi="宋体" w:eastAsia="宋体" w:cs="宋体"/>
          <w:color w:val="000000"/>
          <w:sz w:val="24"/>
          <w:szCs w:val="24"/>
          <w:u w:val="single"/>
        </w:rPr>
      </w:pPr>
      <w:r>
        <w:rPr>
          <w:rFonts w:hint="eastAsia" w:ascii="宋体" w:hAnsi="宋体" w:eastAsia="宋体"/>
          <w:sz w:val="24"/>
          <w:szCs w:val="24"/>
        </w:rPr>
        <w:t>二、建设地点：</w:t>
      </w:r>
      <w:r>
        <w:rPr>
          <w:rFonts w:hint="eastAsia" w:ascii="宋体" w:hAnsi="宋体" w:eastAsia="宋体" w:cs="宋体"/>
          <w:color w:val="000000"/>
          <w:sz w:val="24"/>
          <w:szCs w:val="24"/>
          <w:u w:val="single"/>
        </w:rPr>
        <w:t>中国重汽集团济南商用车制造公司</w:t>
      </w:r>
    </w:p>
    <w:p>
      <w:pPr>
        <w:spacing w:line="360" w:lineRule="auto"/>
        <w:outlineLvl w:val="3"/>
        <w:rPr>
          <w:rFonts w:ascii="宋体" w:hAnsi="宋体" w:eastAsia="宋体"/>
          <w:sz w:val="24"/>
          <w:szCs w:val="24"/>
        </w:rPr>
      </w:pPr>
      <w:r>
        <w:rPr>
          <w:rFonts w:hint="eastAsia" w:ascii="宋体" w:hAnsi="宋体" w:eastAsia="宋体"/>
          <w:sz w:val="24"/>
          <w:szCs w:val="24"/>
        </w:rPr>
        <w:t>三、使用地点：</w:t>
      </w:r>
      <w:r>
        <w:rPr>
          <w:rFonts w:hint="eastAsia" w:ascii="宋体" w:hAnsi="宋体" w:eastAsia="宋体" w:cs="宋体"/>
          <w:color w:val="000000"/>
          <w:sz w:val="24"/>
          <w:szCs w:val="24"/>
          <w:u w:val="single"/>
        </w:rPr>
        <w:t>中国重汽集团济南商用车制造公司工厂（室内）</w:t>
      </w:r>
    </w:p>
    <w:p>
      <w:pPr>
        <w:pStyle w:val="130"/>
        <w:spacing w:line="360" w:lineRule="auto"/>
        <w:ind w:left="480" w:hanging="480" w:firstLineChars="0"/>
        <w:outlineLvl w:val="3"/>
        <w:rPr>
          <w:rFonts w:ascii="宋体" w:hAnsi="宋体" w:eastAsia="宋体"/>
          <w:sz w:val="24"/>
          <w:szCs w:val="24"/>
        </w:rPr>
      </w:pPr>
      <w:r>
        <w:rPr>
          <w:rFonts w:ascii="宋体" w:hAnsi="宋体" w:eastAsia="宋体"/>
          <w:sz w:val="24"/>
          <w:szCs w:val="24"/>
        </w:rPr>
        <w:t>四、</w:t>
      </w:r>
      <w:r>
        <w:rPr>
          <w:rFonts w:hint="eastAsia" w:ascii="宋体" w:hAnsi="宋体" w:eastAsia="宋体"/>
          <w:sz w:val="24"/>
          <w:szCs w:val="24"/>
        </w:rPr>
        <w:t>使用环境及能源供给：</w:t>
      </w:r>
    </w:p>
    <w:p>
      <w:pPr>
        <w:pStyle w:val="9"/>
        <w:tabs>
          <w:tab w:val="left" w:pos="1134"/>
        </w:tabs>
        <w:spacing w:line="360" w:lineRule="auto"/>
        <w:ind w:left="480" w:firstLine="482"/>
        <w:rPr>
          <w:rFonts w:ascii="宋体" w:hAnsi="宋体" w:eastAsia="宋体"/>
          <w:sz w:val="24"/>
          <w:szCs w:val="24"/>
        </w:rPr>
      </w:pPr>
      <w:r>
        <w:rPr>
          <w:rFonts w:hint="eastAsia" w:ascii="宋体" w:hAnsi="宋体" w:eastAsia="宋体"/>
          <w:bCs/>
          <w:sz w:val="24"/>
          <w:szCs w:val="24"/>
        </w:rPr>
        <w:t>1.海拔高度：</w:t>
      </w:r>
      <w:r>
        <w:rPr>
          <w:rFonts w:ascii="宋体" w:hAnsi="宋体" w:eastAsia="宋体"/>
          <w:sz w:val="24"/>
          <w:szCs w:val="24"/>
        </w:rPr>
        <w:t>≤</w:t>
      </w:r>
      <w:r>
        <w:rPr>
          <w:rFonts w:hint="eastAsia" w:ascii="宋体" w:hAnsi="宋体" w:eastAsia="宋体"/>
          <w:sz w:val="24"/>
          <w:szCs w:val="24"/>
        </w:rPr>
        <w:t>4000m；</w:t>
      </w:r>
    </w:p>
    <w:p>
      <w:pPr>
        <w:pStyle w:val="9"/>
        <w:tabs>
          <w:tab w:val="left" w:pos="1134"/>
        </w:tabs>
        <w:spacing w:line="360" w:lineRule="auto"/>
        <w:ind w:left="480" w:firstLine="482"/>
        <w:rPr>
          <w:rFonts w:ascii="宋体" w:hAnsi="宋体" w:eastAsia="宋体"/>
          <w:sz w:val="24"/>
          <w:szCs w:val="24"/>
        </w:rPr>
      </w:pPr>
      <w:r>
        <w:rPr>
          <w:rFonts w:hint="eastAsia" w:ascii="宋体" w:hAnsi="宋体" w:eastAsia="宋体"/>
          <w:bCs/>
          <w:sz w:val="24"/>
          <w:szCs w:val="24"/>
        </w:rPr>
        <w:t>2.环境温度：</w:t>
      </w:r>
      <w:r>
        <w:rPr>
          <w:rFonts w:ascii="宋体" w:hAnsi="宋体" w:eastAsia="宋体"/>
          <w:sz w:val="24"/>
          <w:szCs w:val="24"/>
        </w:rPr>
        <w:t>-25</w:t>
      </w:r>
      <w:r>
        <w:rPr>
          <w:rFonts w:hint="eastAsia" w:ascii="宋体" w:hAnsi="宋体" w:eastAsia="宋体"/>
          <w:sz w:val="24"/>
          <w:szCs w:val="24"/>
        </w:rPr>
        <w:t>℃</w:t>
      </w:r>
      <w:r>
        <w:rPr>
          <w:rFonts w:ascii="宋体" w:hAnsi="宋体" w:eastAsia="宋体"/>
          <w:sz w:val="24"/>
          <w:szCs w:val="24"/>
        </w:rPr>
        <w:t>～45</w:t>
      </w:r>
      <w:r>
        <w:rPr>
          <w:rFonts w:hint="eastAsia" w:ascii="宋体" w:hAnsi="宋体" w:eastAsia="宋体"/>
          <w:sz w:val="24"/>
          <w:szCs w:val="24"/>
        </w:rPr>
        <w:t>℃</w:t>
      </w:r>
      <w:r>
        <w:rPr>
          <w:rFonts w:ascii="宋体" w:hAnsi="宋体" w:eastAsia="宋体"/>
          <w:sz w:val="24"/>
          <w:szCs w:val="24"/>
        </w:rPr>
        <w:t>；</w:t>
      </w:r>
    </w:p>
    <w:p>
      <w:pPr>
        <w:spacing w:line="360" w:lineRule="auto"/>
        <w:ind w:firstLine="480" w:firstLineChars="200"/>
        <w:rPr>
          <w:rFonts w:ascii="宋体" w:hAnsi="宋体" w:eastAsia="宋体"/>
          <w:bCs/>
          <w:sz w:val="24"/>
          <w:szCs w:val="24"/>
        </w:rPr>
      </w:pPr>
      <w:r>
        <w:rPr>
          <w:rFonts w:hint="eastAsia" w:ascii="宋体" w:hAnsi="宋体" w:eastAsia="宋体"/>
          <w:bCs/>
          <w:sz w:val="24"/>
          <w:szCs w:val="24"/>
        </w:rPr>
        <w:t>3.相对湿度：年平均59%，最大95%、最小15%</w:t>
      </w:r>
      <w:r>
        <w:rPr>
          <w:rFonts w:ascii="宋体" w:hAnsi="宋体" w:eastAsia="宋体"/>
          <w:bCs/>
          <w:sz w:val="24"/>
          <w:szCs w:val="24"/>
        </w:rPr>
        <w:t>；</w:t>
      </w:r>
    </w:p>
    <w:p>
      <w:pPr>
        <w:spacing w:line="360" w:lineRule="auto"/>
        <w:ind w:firstLine="480" w:firstLineChars="200"/>
        <w:outlineLvl w:val="3"/>
        <w:rPr>
          <w:rFonts w:ascii="宋体" w:hAnsi="宋体" w:eastAsia="宋体" w:cs="宋体"/>
          <w:sz w:val="24"/>
          <w:szCs w:val="24"/>
        </w:rPr>
      </w:pPr>
      <w:r>
        <w:rPr>
          <w:rFonts w:ascii="宋体" w:hAnsi="宋体" w:eastAsia="宋体"/>
          <w:bCs/>
          <w:sz w:val="24"/>
          <w:szCs w:val="24"/>
        </w:rPr>
        <w:t>4</w:t>
      </w:r>
      <w:r>
        <w:rPr>
          <w:rFonts w:hint="eastAsia" w:ascii="宋体" w:hAnsi="宋体" w:eastAsia="宋体"/>
          <w:bCs/>
          <w:sz w:val="24"/>
          <w:szCs w:val="24"/>
        </w:rPr>
        <w:t>.</w:t>
      </w:r>
      <w:r>
        <w:rPr>
          <w:rFonts w:hint="eastAsia" w:ascii="宋体" w:hAnsi="宋体" w:eastAsia="宋体" w:cs="宋体"/>
          <w:sz w:val="24"/>
          <w:szCs w:val="24"/>
        </w:rPr>
        <w:t>大气压强：80kPa～110kPa；</w:t>
      </w:r>
    </w:p>
    <w:p>
      <w:pPr>
        <w:spacing w:line="360" w:lineRule="auto"/>
        <w:ind w:firstLine="480" w:firstLineChars="200"/>
        <w:outlineLvl w:val="3"/>
        <w:rPr>
          <w:rFonts w:ascii="宋体" w:hAnsi="宋体" w:eastAsia="宋体" w:cs="宋体"/>
          <w:sz w:val="24"/>
          <w:szCs w:val="24"/>
        </w:rPr>
      </w:pPr>
      <w:r>
        <w:rPr>
          <w:rFonts w:hint="eastAsia" w:ascii="宋体" w:hAnsi="宋体" w:eastAsia="宋体" w:cs="宋体"/>
          <w:sz w:val="24"/>
          <w:szCs w:val="24"/>
        </w:rPr>
        <w:t>5.电力</w:t>
      </w:r>
      <w:r>
        <w:rPr>
          <w:rFonts w:ascii="宋体" w:hAnsi="宋体" w:eastAsia="宋体" w:cs="宋体"/>
          <w:sz w:val="24"/>
          <w:szCs w:val="24"/>
        </w:rPr>
        <w:t>:中国制式，三相五线制供电，供电电压 380V士10%/220V士10%，供电频率50Hz士0.5Hz</w:t>
      </w:r>
      <w:r>
        <w:rPr>
          <w:rFonts w:hint="eastAsia" w:ascii="宋体" w:hAnsi="宋体" w:eastAsia="宋体" w:cs="宋体"/>
          <w:sz w:val="24"/>
          <w:szCs w:val="24"/>
        </w:rPr>
        <w:t>；</w:t>
      </w:r>
    </w:p>
    <w:p>
      <w:pPr>
        <w:spacing w:line="360" w:lineRule="auto"/>
        <w:ind w:firstLine="480" w:firstLineChars="200"/>
        <w:outlineLvl w:val="3"/>
        <w:rPr>
          <w:rFonts w:ascii="宋体" w:hAnsi="宋体" w:eastAsia="宋体" w:cs="宋体"/>
          <w:sz w:val="24"/>
          <w:szCs w:val="24"/>
        </w:rPr>
      </w:pPr>
      <w:r>
        <w:rPr>
          <w:rFonts w:hint="eastAsia" w:ascii="宋体" w:hAnsi="宋体" w:eastAsia="宋体" w:cs="宋体"/>
          <w:sz w:val="24"/>
          <w:szCs w:val="24"/>
        </w:rPr>
        <w:t xml:space="preserve">6.水：市政自来水0.25MPa(0.15-0.35MPa); </w:t>
      </w:r>
    </w:p>
    <w:p>
      <w:pPr>
        <w:spacing w:line="360" w:lineRule="auto"/>
        <w:ind w:firstLine="480" w:firstLineChars="200"/>
        <w:outlineLvl w:val="3"/>
        <w:rPr>
          <w:rFonts w:ascii="宋体" w:hAnsi="宋体" w:eastAsia="宋体" w:cs="宋体"/>
          <w:sz w:val="24"/>
          <w:szCs w:val="24"/>
        </w:rPr>
      </w:pPr>
      <w:r>
        <w:rPr>
          <w:rFonts w:hint="eastAsia" w:ascii="宋体" w:hAnsi="宋体" w:eastAsia="宋体" w:cs="宋体"/>
          <w:sz w:val="24"/>
          <w:szCs w:val="24"/>
        </w:rPr>
        <w:t xml:space="preserve">7.非采暖季：动力站房供高温热水，供回水温度80℃/60℃; </w:t>
      </w:r>
    </w:p>
    <w:p>
      <w:pPr>
        <w:spacing w:line="360" w:lineRule="auto"/>
        <w:ind w:firstLine="480" w:firstLineChars="200"/>
        <w:outlineLvl w:val="3"/>
        <w:rPr>
          <w:rFonts w:ascii="宋体" w:hAnsi="宋体" w:eastAsia="宋体" w:cs="宋体"/>
          <w:sz w:val="24"/>
          <w:szCs w:val="24"/>
        </w:rPr>
      </w:pPr>
      <w:r>
        <w:rPr>
          <w:rFonts w:hint="eastAsia" w:ascii="宋体" w:hAnsi="宋体" w:eastAsia="宋体" w:cs="宋体"/>
          <w:sz w:val="24"/>
          <w:szCs w:val="24"/>
        </w:rPr>
        <w:t>8.压缩空气：厂区空压机自产压缩空气，0.55～0.7 Mpa。</w:t>
      </w:r>
    </w:p>
    <w:p>
      <w:pPr>
        <w:spacing w:line="360" w:lineRule="auto"/>
        <w:rPr>
          <w:rFonts w:ascii="宋体" w:hAnsi="宋体" w:eastAsia="宋体"/>
          <w:bCs/>
          <w:sz w:val="24"/>
          <w:szCs w:val="24"/>
        </w:rPr>
      </w:pPr>
      <w:r>
        <w:rPr>
          <w:rFonts w:hint="eastAsia" w:ascii="宋体" w:hAnsi="宋体" w:eastAsia="宋体"/>
          <w:bCs/>
          <w:sz w:val="24"/>
          <w:szCs w:val="24"/>
        </w:rPr>
        <w:t>五、工作制度：全年工作300天、单班制、设备年时基数5000小时以上。</w:t>
      </w:r>
    </w:p>
    <w:p>
      <w:pPr>
        <w:spacing w:line="360" w:lineRule="auto"/>
        <w:rPr>
          <w:rFonts w:ascii="宋体" w:hAnsi="宋体" w:eastAsia="宋体"/>
          <w:bCs/>
          <w:sz w:val="24"/>
          <w:szCs w:val="24"/>
        </w:rPr>
      </w:pPr>
      <w:r>
        <w:rPr>
          <w:rFonts w:hint="eastAsia" w:ascii="宋体" w:hAnsi="宋体" w:eastAsia="宋体"/>
          <w:bCs/>
          <w:sz w:val="24"/>
          <w:szCs w:val="24"/>
        </w:rPr>
        <w:t>六、生产纲领：60000辆/年，节拍4.5min</w:t>
      </w:r>
    </w:p>
    <w:p>
      <w:pPr>
        <w:keepNext/>
        <w:keepLines/>
        <w:spacing w:before="120" w:after="120" w:line="480" w:lineRule="exact"/>
        <w:jc w:val="center"/>
        <w:outlineLvl w:val="2"/>
        <w:rPr>
          <w:rFonts w:ascii="宋体" w:hAnsi="宋体" w:eastAsia="宋体" w:cs="Times New Roman"/>
          <w:b/>
          <w:bCs/>
          <w:sz w:val="24"/>
          <w:szCs w:val="24"/>
        </w:rPr>
      </w:pPr>
      <w:r>
        <w:rPr>
          <w:rFonts w:hint="eastAsia" w:ascii="宋体" w:hAnsi="宋体" w:eastAsia="宋体" w:cs="Times New Roman"/>
          <w:b/>
          <w:bCs/>
          <w:sz w:val="24"/>
          <w:szCs w:val="24"/>
        </w:rPr>
        <w:t>第二节采购货物概况</w:t>
      </w:r>
    </w:p>
    <w:p>
      <w:pPr>
        <w:spacing w:line="420" w:lineRule="exact"/>
        <w:outlineLvl w:val="3"/>
        <w:rPr>
          <w:rFonts w:ascii="宋体" w:hAnsi="宋体" w:eastAsia="宋体"/>
          <w:sz w:val="24"/>
          <w:szCs w:val="24"/>
        </w:rPr>
      </w:pPr>
      <w:r>
        <w:rPr>
          <w:rFonts w:hint="eastAsia" w:ascii="宋体" w:hAnsi="宋体" w:eastAsia="宋体"/>
          <w:b/>
          <w:sz w:val="24"/>
          <w:szCs w:val="24"/>
        </w:rPr>
        <w:t>一、货物名称：</w:t>
      </w:r>
      <w:r>
        <w:rPr>
          <w:rFonts w:hint="eastAsia" w:ascii="宋体" w:hAnsi="宋体" w:eastAsia="宋体"/>
          <w:bCs/>
          <w:sz w:val="24"/>
          <w:szCs w:val="24"/>
        </w:rPr>
        <w:t>总装线产线改造相关设备</w:t>
      </w:r>
    </w:p>
    <w:p>
      <w:pPr>
        <w:spacing w:line="420" w:lineRule="exact"/>
        <w:outlineLvl w:val="3"/>
        <w:rPr>
          <w:rFonts w:ascii="宋体" w:hAnsi="宋体" w:eastAsia="宋体"/>
          <w:sz w:val="24"/>
          <w:szCs w:val="24"/>
        </w:rPr>
      </w:pPr>
      <w:r>
        <w:rPr>
          <w:rFonts w:hint="eastAsia" w:ascii="宋体" w:hAnsi="宋体" w:eastAsia="宋体"/>
          <w:b/>
          <w:sz w:val="24"/>
          <w:szCs w:val="24"/>
        </w:rPr>
        <w:t>二、货物数量：</w:t>
      </w:r>
      <w:r>
        <w:rPr>
          <w:rFonts w:hint="eastAsia" w:ascii="宋体" w:hAnsi="宋体" w:eastAsia="宋体"/>
          <w:sz w:val="24"/>
          <w:szCs w:val="24"/>
        </w:rPr>
        <w:t>（详见</w:t>
      </w:r>
      <w:r>
        <w:rPr>
          <w:rFonts w:hint="eastAsia" w:ascii="宋体" w:hAnsi="宋体" w:eastAsia="宋体" w:cs="宋体"/>
          <w:color w:val="000000"/>
          <w:sz w:val="24"/>
          <w:szCs w:val="24"/>
        </w:rPr>
        <w:t>采购货物主要构成一览表</w:t>
      </w:r>
      <w:r>
        <w:rPr>
          <w:rFonts w:hint="eastAsia" w:ascii="宋体" w:hAnsi="宋体" w:eastAsia="宋体"/>
          <w:sz w:val="24"/>
          <w:szCs w:val="24"/>
        </w:rPr>
        <w:t>）</w:t>
      </w:r>
    </w:p>
    <w:p>
      <w:pPr>
        <w:spacing w:line="420" w:lineRule="exact"/>
        <w:outlineLvl w:val="3"/>
        <w:rPr>
          <w:rFonts w:ascii="宋体" w:hAnsi="宋体" w:eastAsia="宋体"/>
          <w:b/>
          <w:sz w:val="24"/>
          <w:szCs w:val="24"/>
        </w:rPr>
      </w:pPr>
      <w:r>
        <w:rPr>
          <w:rFonts w:hint="eastAsia" w:ascii="宋体" w:hAnsi="宋体" w:eastAsia="宋体"/>
          <w:b/>
          <w:sz w:val="24"/>
          <w:szCs w:val="24"/>
        </w:rPr>
        <w:t>三、分投分中：</w:t>
      </w:r>
      <w:r>
        <w:rPr>
          <w:rFonts w:hint="eastAsia" w:ascii="宋体" w:hAnsi="宋体" w:eastAsia="宋体"/>
          <w:b/>
          <w:color w:val="000000" w:themeColor="text1"/>
          <w:sz w:val="24"/>
          <w:szCs w:val="24"/>
          <w14:textFill>
            <w14:solidFill>
              <w14:schemeClr w14:val="tx1"/>
            </w14:solidFill>
          </w14:textFill>
        </w:rPr>
        <w:t>不允许</w:t>
      </w:r>
    </w:p>
    <w:p>
      <w:pPr>
        <w:spacing w:line="360" w:lineRule="auto"/>
        <w:jc w:val="center"/>
        <w:rPr>
          <w:rFonts w:ascii="宋体" w:hAnsi="宋体" w:eastAsia="宋体" w:cs="宋体"/>
          <w:color w:val="000000"/>
          <w:sz w:val="24"/>
          <w:szCs w:val="24"/>
        </w:rPr>
      </w:pPr>
      <w:r>
        <w:rPr>
          <w:rFonts w:hint="eastAsia" w:ascii="宋体" w:hAnsi="宋体" w:eastAsia="宋体" w:cs="宋体"/>
          <w:color w:val="000000"/>
          <w:sz w:val="24"/>
          <w:szCs w:val="24"/>
        </w:rPr>
        <w:t>采购货物主要构成一览表</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7"/>
        <w:gridCol w:w="1318"/>
        <w:gridCol w:w="1559"/>
        <w:gridCol w:w="709"/>
        <w:gridCol w:w="708"/>
        <w:gridCol w:w="1276"/>
        <w:gridCol w:w="2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917" w:type="dxa"/>
            <w:vAlign w:val="center"/>
          </w:tcPr>
          <w:p>
            <w:pPr>
              <w:spacing w:line="360" w:lineRule="exact"/>
              <w:jc w:val="center"/>
              <w:rPr>
                <w:rFonts w:ascii="宋体" w:hAnsi="宋体" w:eastAsia="宋体"/>
                <w:b/>
              </w:rPr>
            </w:pPr>
            <w:r>
              <w:rPr>
                <w:rFonts w:hint="eastAsia" w:ascii="宋体" w:hAnsi="宋体" w:eastAsia="宋体"/>
                <w:b/>
              </w:rPr>
              <w:t>序号</w:t>
            </w:r>
          </w:p>
        </w:tc>
        <w:tc>
          <w:tcPr>
            <w:tcW w:w="1318" w:type="dxa"/>
            <w:vAlign w:val="center"/>
          </w:tcPr>
          <w:p>
            <w:pPr>
              <w:spacing w:line="360" w:lineRule="exact"/>
              <w:jc w:val="center"/>
              <w:rPr>
                <w:rFonts w:ascii="宋体" w:hAnsi="宋体" w:eastAsia="宋体"/>
                <w:b/>
              </w:rPr>
            </w:pPr>
            <w:r>
              <w:rPr>
                <w:rFonts w:hint="eastAsia" w:ascii="宋体" w:hAnsi="宋体" w:eastAsia="宋体"/>
                <w:b/>
              </w:rPr>
              <w:t>名称</w:t>
            </w:r>
          </w:p>
        </w:tc>
        <w:tc>
          <w:tcPr>
            <w:tcW w:w="1559" w:type="dxa"/>
            <w:vAlign w:val="center"/>
          </w:tcPr>
          <w:p>
            <w:pPr>
              <w:spacing w:line="360" w:lineRule="exact"/>
              <w:jc w:val="center"/>
              <w:rPr>
                <w:rFonts w:ascii="宋体" w:hAnsi="宋体" w:eastAsia="宋体"/>
                <w:b/>
              </w:rPr>
            </w:pPr>
            <w:r>
              <w:rPr>
                <w:rFonts w:hint="eastAsia" w:ascii="宋体" w:hAnsi="宋体" w:eastAsia="宋体"/>
                <w:b/>
              </w:rPr>
              <w:t>规格</w:t>
            </w:r>
          </w:p>
        </w:tc>
        <w:tc>
          <w:tcPr>
            <w:tcW w:w="709" w:type="dxa"/>
            <w:vAlign w:val="center"/>
          </w:tcPr>
          <w:p>
            <w:pPr>
              <w:spacing w:line="360" w:lineRule="exact"/>
              <w:jc w:val="center"/>
              <w:rPr>
                <w:rFonts w:ascii="宋体" w:hAnsi="宋体" w:eastAsia="宋体"/>
                <w:b/>
              </w:rPr>
            </w:pPr>
            <w:r>
              <w:rPr>
                <w:rFonts w:hint="eastAsia" w:ascii="宋体" w:hAnsi="宋体" w:eastAsia="宋体"/>
                <w:b/>
              </w:rPr>
              <w:t>单位</w:t>
            </w:r>
          </w:p>
        </w:tc>
        <w:tc>
          <w:tcPr>
            <w:tcW w:w="708" w:type="dxa"/>
            <w:vAlign w:val="center"/>
          </w:tcPr>
          <w:p>
            <w:pPr>
              <w:spacing w:line="360" w:lineRule="exact"/>
              <w:jc w:val="center"/>
              <w:rPr>
                <w:rFonts w:ascii="宋体" w:hAnsi="宋体" w:eastAsia="宋体"/>
                <w:b/>
              </w:rPr>
            </w:pPr>
            <w:r>
              <w:rPr>
                <w:rFonts w:hint="eastAsia" w:ascii="宋体" w:hAnsi="宋体" w:eastAsia="宋体"/>
                <w:b/>
              </w:rPr>
              <w:t>数量</w:t>
            </w:r>
          </w:p>
        </w:tc>
        <w:tc>
          <w:tcPr>
            <w:tcW w:w="1276" w:type="dxa"/>
            <w:vAlign w:val="center"/>
          </w:tcPr>
          <w:p>
            <w:pPr>
              <w:spacing w:line="360" w:lineRule="exact"/>
              <w:jc w:val="center"/>
              <w:rPr>
                <w:rFonts w:ascii="宋体" w:hAnsi="宋体" w:eastAsia="宋体"/>
                <w:b/>
              </w:rPr>
            </w:pPr>
            <w:r>
              <w:rPr>
                <w:rFonts w:hint="eastAsia" w:ascii="宋体" w:hAnsi="宋体" w:eastAsia="宋体"/>
                <w:b/>
              </w:rPr>
              <w:t>交货方式</w:t>
            </w:r>
          </w:p>
        </w:tc>
        <w:tc>
          <w:tcPr>
            <w:tcW w:w="2413" w:type="dxa"/>
            <w:vAlign w:val="center"/>
          </w:tcPr>
          <w:p>
            <w:pPr>
              <w:spacing w:line="360" w:lineRule="exact"/>
              <w:jc w:val="center"/>
              <w:rPr>
                <w:rFonts w:ascii="宋体" w:hAnsi="宋体" w:eastAsia="宋体"/>
                <w:b/>
              </w:rPr>
            </w:pPr>
            <w:r>
              <w:rPr>
                <w:rFonts w:hint="eastAsia" w:ascii="宋体" w:hAnsi="宋体" w:eastAsia="宋体"/>
                <w:b/>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917" w:type="dxa"/>
            <w:vAlign w:val="center"/>
          </w:tcPr>
          <w:p>
            <w:pPr>
              <w:spacing w:line="360" w:lineRule="exact"/>
              <w:jc w:val="center"/>
              <w:rPr>
                <w:rFonts w:ascii="宋体" w:hAnsi="宋体" w:eastAsia="宋体"/>
                <w:b/>
              </w:rPr>
            </w:pPr>
            <w:r>
              <w:rPr>
                <w:rFonts w:hint="eastAsia" w:ascii="宋体" w:hAnsi="宋体" w:eastAsia="宋体"/>
                <w:b/>
              </w:rPr>
              <w:t>1</w:t>
            </w:r>
          </w:p>
        </w:tc>
        <w:tc>
          <w:tcPr>
            <w:tcW w:w="1318" w:type="dxa"/>
            <w:vAlign w:val="center"/>
          </w:tcPr>
          <w:p>
            <w:pPr>
              <w:widowControl/>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雷达摄像头标靶改造</w:t>
            </w:r>
          </w:p>
        </w:tc>
        <w:tc>
          <w:tcPr>
            <w:tcW w:w="1559" w:type="dxa"/>
            <w:vAlign w:val="center"/>
          </w:tcPr>
          <w:p>
            <w:pPr>
              <w:widowControl/>
              <w:jc w:val="center"/>
              <w:rPr>
                <w:rFonts w:ascii="宋体" w:hAnsi="宋体" w:eastAsia="宋体"/>
                <w:b/>
                <w:bCs/>
              </w:rPr>
            </w:pPr>
            <w:r>
              <w:rPr>
                <w:rFonts w:hint="eastAsia" w:ascii="仿宋_GB2312" w:hAnsi="仿宋_GB2312" w:eastAsia="仿宋_GB2312" w:cs="仿宋_GB2312"/>
                <w:color w:val="000000"/>
                <w:kern w:val="0"/>
                <w:sz w:val="24"/>
                <w:szCs w:val="24"/>
              </w:rPr>
              <w:t>非标改造</w:t>
            </w:r>
          </w:p>
        </w:tc>
        <w:tc>
          <w:tcPr>
            <w:tcW w:w="709" w:type="dxa"/>
            <w:vAlign w:val="center"/>
          </w:tcPr>
          <w:p>
            <w:pPr>
              <w:spacing w:line="360" w:lineRule="exact"/>
              <w:jc w:val="center"/>
              <w:rPr>
                <w:rFonts w:ascii="宋体" w:hAnsi="宋体" w:eastAsia="宋体"/>
                <w:b/>
              </w:rPr>
            </w:pPr>
            <w:r>
              <w:rPr>
                <w:rFonts w:hint="eastAsia" w:ascii="宋体" w:hAnsi="宋体" w:eastAsia="宋体"/>
                <w:b/>
              </w:rPr>
              <w:t>套</w:t>
            </w:r>
          </w:p>
        </w:tc>
        <w:tc>
          <w:tcPr>
            <w:tcW w:w="708" w:type="dxa"/>
            <w:vAlign w:val="center"/>
          </w:tcPr>
          <w:p>
            <w:pPr>
              <w:spacing w:line="360" w:lineRule="exact"/>
              <w:jc w:val="center"/>
              <w:rPr>
                <w:rFonts w:ascii="宋体" w:hAnsi="宋体" w:eastAsia="宋体"/>
                <w:b/>
              </w:rPr>
            </w:pPr>
            <w:r>
              <w:rPr>
                <w:rFonts w:hint="eastAsia" w:ascii="宋体" w:hAnsi="宋体" w:eastAsia="宋体"/>
                <w:b/>
              </w:rPr>
              <w:t>1</w:t>
            </w:r>
          </w:p>
        </w:tc>
        <w:tc>
          <w:tcPr>
            <w:tcW w:w="1276" w:type="dxa"/>
            <w:vAlign w:val="center"/>
          </w:tcPr>
          <w:p>
            <w:pPr>
              <w:spacing w:line="360" w:lineRule="exact"/>
              <w:jc w:val="center"/>
              <w:rPr>
                <w:rFonts w:ascii="宋体" w:hAnsi="宋体" w:eastAsia="宋体"/>
                <w:b/>
              </w:rPr>
            </w:pPr>
            <w:r>
              <w:rPr>
                <w:rFonts w:hint="eastAsia" w:ascii="宋体" w:hAnsi="宋体" w:eastAsia="宋体"/>
                <w:b/>
              </w:rPr>
              <w:t>交钥匙方式</w:t>
            </w:r>
          </w:p>
        </w:tc>
        <w:tc>
          <w:tcPr>
            <w:tcW w:w="2413" w:type="dxa"/>
            <w:vAlign w:val="center"/>
          </w:tcPr>
          <w:p>
            <w:pPr>
              <w:spacing w:line="360" w:lineRule="exact"/>
              <w:jc w:val="center"/>
              <w:rPr>
                <w:rFonts w:ascii="宋体" w:hAnsi="宋体" w:eastAsia="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917" w:type="dxa"/>
            <w:vAlign w:val="center"/>
          </w:tcPr>
          <w:p>
            <w:pPr>
              <w:spacing w:line="360" w:lineRule="exact"/>
              <w:jc w:val="center"/>
              <w:rPr>
                <w:rFonts w:ascii="宋体" w:hAnsi="宋体" w:eastAsia="宋体"/>
                <w:b/>
              </w:rPr>
            </w:pPr>
            <w:r>
              <w:rPr>
                <w:rFonts w:hint="eastAsia" w:ascii="宋体" w:hAnsi="宋体" w:eastAsia="宋体"/>
                <w:b/>
              </w:rPr>
              <w:t>2</w:t>
            </w:r>
          </w:p>
        </w:tc>
        <w:tc>
          <w:tcPr>
            <w:tcW w:w="1318" w:type="dxa"/>
            <w:vAlign w:val="center"/>
          </w:tcPr>
          <w:p>
            <w:pPr>
              <w:widowControl/>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新建车辆位置数据采集系统</w:t>
            </w:r>
          </w:p>
        </w:tc>
        <w:tc>
          <w:tcPr>
            <w:tcW w:w="1559" w:type="dxa"/>
            <w:vAlign w:val="center"/>
          </w:tcPr>
          <w:p>
            <w:pPr>
              <w:widowControl/>
              <w:jc w:val="center"/>
              <w:rPr>
                <w:rFonts w:ascii="宋体" w:hAnsi="宋体" w:eastAsia="宋体"/>
                <w:b/>
              </w:rPr>
            </w:pPr>
            <w:r>
              <w:rPr>
                <w:rFonts w:hint="eastAsia" w:ascii="仿宋_GB2312" w:hAnsi="仿宋_GB2312" w:eastAsia="仿宋_GB2312" w:cs="仿宋_GB2312"/>
                <w:color w:val="000000"/>
                <w:kern w:val="0"/>
                <w:sz w:val="24"/>
                <w:szCs w:val="24"/>
              </w:rPr>
              <w:t>新增</w:t>
            </w:r>
          </w:p>
        </w:tc>
        <w:tc>
          <w:tcPr>
            <w:tcW w:w="709" w:type="dxa"/>
            <w:vAlign w:val="center"/>
          </w:tcPr>
          <w:p>
            <w:pPr>
              <w:spacing w:line="360" w:lineRule="exact"/>
              <w:jc w:val="center"/>
              <w:rPr>
                <w:rFonts w:ascii="宋体" w:hAnsi="宋体" w:eastAsia="宋体"/>
                <w:b/>
              </w:rPr>
            </w:pPr>
            <w:r>
              <w:rPr>
                <w:rFonts w:hint="eastAsia" w:ascii="宋体" w:hAnsi="宋体" w:eastAsia="宋体"/>
                <w:b/>
              </w:rPr>
              <w:t>套</w:t>
            </w:r>
          </w:p>
        </w:tc>
        <w:tc>
          <w:tcPr>
            <w:tcW w:w="708" w:type="dxa"/>
            <w:vAlign w:val="center"/>
          </w:tcPr>
          <w:p>
            <w:pPr>
              <w:spacing w:line="360" w:lineRule="exact"/>
              <w:jc w:val="center"/>
              <w:rPr>
                <w:rFonts w:ascii="宋体" w:hAnsi="宋体" w:eastAsia="宋体"/>
                <w:b/>
              </w:rPr>
            </w:pPr>
            <w:r>
              <w:rPr>
                <w:rFonts w:hint="eastAsia" w:ascii="宋体" w:hAnsi="宋体" w:eastAsia="宋体"/>
                <w:b/>
              </w:rPr>
              <w:t>1</w:t>
            </w:r>
          </w:p>
        </w:tc>
        <w:tc>
          <w:tcPr>
            <w:tcW w:w="1276" w:type="dxa"/>
            <w:vAlign w:val="center"/>
          </w:tcPr>
          <w:p>
            <w:pPr>
              <w:spacing w:line="360" w:lineRule="exact"/>
              <w:jc w:val="center"/>
              <w:rPr>
                <w:rFonts w:ascii="宋体" w:hAnsi="宋体" w:eastAsia="宋体"/>
                <w:b/>
              </w:rPr>
            </w:pPr>
            <w:r>
              <w:rPr>
                <w:rFonts w:hint="eastAsia" w:ascii="宋体" w:hAnsi="宋体" w:eastAsia="宋体"/>
                <w:b/>
              </w:rPr>
              <w:t>交钥匙方式</w:t>
            </w:r>
          </w:p>
        </w:tc>
        <w:tc>
          <w:tcPr>
            <w:tcW w:w="2413" w:type="dxa"/>
            <w:vAlign w:val="center"/>
          </w:tcPr>
          <w:p>
            <w:pPr>
              <w:spacing w:line="360" w:lineRule="exact"/>
              <w:jc w:val="center"/>
              <w:rPr>
                <w:rFonts w:ascii="宋体" w:hAnsi="宋体" w:eastAsia="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917" w:type="dxa"/>
            <w:vAlign w:val="center"/>
          </w:tcPr>
          <w:p>
            <w:pPr>
              <w:spacing w:line="360" w:lineRule="exact"/>
              <w:jc w:val="center"/>
              <w:rPr>
                <w:rFonts w:ascii="宋体" w:hAnsi="宋体" w:eastAsia="宋体"/>
                <w:b/>
              </w:rPr>
            </w:pPr>
            <w:r>
              <w:rPr>
                <w:rFonts w:hint="eastAsia" w:ascii="宋体" w:hAnsi="宋体" w:eastAsia="宋体"/>
                <w:b/>
              </w:rPr>
              <w:t>3</w:t>
            </w:r>
          </w:p>
        </w:tc>
        <w:tc>
          <w:tcPr>
            <w:tcW w:w="1318" w:type="dxa"/>
            <w:vAlign w:val="center"/>
          </w:tcPr>
          <w:p>
            <w:pPr>
              <w:widowControl/>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标靶全自动位移系统改造</w:t>
            </w:r>
          </w:p>
        </w:tc>
        <w:tc>
          <w:tcPr>
            <w:tcW w:w="1559" w:type="dxa"/>
            <w:vAlign w:val="center"/>
          </w:tcPr>
          <w:p>
            <w:pPr>
              <w:widowControl/>
              <w:jc w:val="center"/>
              <w:rPr>
                <w:rFonts w:ascii="宋体" w:hAnsi="宋体" w:eastAsia="宋体"/>
                <w:b/>
              </w:rPr>
            </w:pPr>
            <w:r>
              <w:rPr>
                <w:rFonts w:hint="eastAsia" w:ascii="仿宋_GB2312" w:hAnsi="仿宋_GB2312" w:eastAsia="仿宋_GB2312" w:cs="仿宋_GB2312"/>
                <w:color w:val="000000"/>
                <w:kern w:val="0"/>
                <w:sz w:val="24"/>
                <w:szCs w:val="24"/>
              </w:rPr>
              <w:t>非标改造</w:t>
            </w:r>
          </w:p>
        </w:tc>
        <w:tc>
          <w:tcPr>
            <w:tcW w:w="709" w:type="dxa"/>
            <w:vAlign w:val="center"/>
          </w:tcPr>
          <w:p>
            <w:pPr>
              <w:spacing w:line="360" w:lineRule="exact"/>
              <w:jc w:val="center"/>
              <w:rPr>
                <w:rFonts w:ascii="宋体" w:hAnsi="宋体" w:eastAsia="宋体"/>
                <w:b/>
              </w:rPr>
            </w:pPr>
            <w:r>
              <w:rPr>
                <w:rFonts w:hint="eastAsia" w:ascii="宋体" w:hAnsi="宋体" w:eastAsia="宋体"/>
                <w:b/>
              </w:rPr>
              <w:t>套</w:t>
            </w:r>
          </w:p>
        </w:tc>
        <w:tc>
          <w:tcPr>
            <w:tcW w:w="708" w:type="dxa"/>
            <w:vAlign w:val="center"/>
          </w:tcPr>
          <w:p>
            <w:pPr>
              <w:spacing w:line="360" w:lineRule="exact"/>
              <w:jc w:val="center"/>
              <w:rPr>
                <w:rFonts w:ascii="宋体" w:hAnsi="宋体" w:eastAsia="宋体"/>
                <w:b/>
              </w:rPr>
            </w:pPr>
            <w:r>
              <w:rPr>
                <w:rFonts w:hint="eastAsia" w:ascii="宋体" w:hAnsi="宋体" w:eastAsia="宋体"/>
                <w:b/>
              </w:rPr>
              <w:t>1</w:t>
            </w:r>
          </w:p>
        </w:tc>
        <w:tc>
          <w:tcPr>
            <w:tcW w:w="1276" w:type="dxa"/>
            <w:vAlign w:val="center"/>
          </w:tcPr>
          <w:p>
            <w:pPr>
              <w:spacing w:line="360" w:lineRule="exact"/>
              <w:jc w:val="center"/>
              <w:rPr>
                <w:rFonts w:ascii="宋体" w:hAnsi="宋体" w:eastAsia="宋体"/>
                <w:b/>
              </w:rPr>
            </w:pPr>
            <w:r>
              <w:rPr>
                <w:rFonts w:hint="eastAsia" w:ascii="宋体" w:hAnsi="宋体" w:eastAsia="宋体"/>
                <w:b/>
              </w:rPr>
              <w:t>交钥匙方式</w:t>
            </w:r>
          </w:p>
        </w:tc>
        <w:tc>
          <w:tcPr>
            <w:tcW w:w="2413" w:type="dxa"/>
            <w:vAlign w:val="center"/>
          </w:tcPr>
          <w:p>
            <w:pPr>
              <w:spacing w:line="360" w:lineRule="exact"/>
              <w:jc w:val="center"/>
              <w:rPr>
                <w:rFonts w:ascii="宋体" w:hAnsi="宋体" w:eastAsia="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917" w:type="dxa"/>
            <w:vAlign w:val="center"/>
          </w:tcPr>
          <w:p>
            <w:pPr>
              <w:spacing w:line="360" w:lineRule="exact"/>
              <w:jc w:val="center"/>
              <w:rPr>
                <w:rFonts w:ascii="宋体" w:hAnsi="宋体" w:eastAsia="宋体"/>
                <w:b/>
              </w:rPr>
            </w:pPr>
            <w:r>
              <w:rPr>
                <w:rFonts w:hint="eastAsia" w:ascii="宋体" w:hAnsi="宋体" w:eastAsia="宋体"/>
                <w:b/>
              </w:rPr>
              <w:t>4</w:t>
            </w:r>
          </w:p>
        </w:tc>
        <w:tc>
          <w:tcPr>
            <w:tcW w:w="1318" w:type="dxa"/>
            <w:vAlign w:val="center"/>
          </w:tcPr>
          <w:p>
            <w:pPr>
              <w:widowControl/>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标定工位场地改造</w:t>
            </w:r>
          </w:p>
        </w:tc>
        <w:tc>
          <w:tcPr>
            <w:tcW w:w="1559" w:type="dxa"/>
            <w:vAlign w:val="center"/>
          </w:tcPr>
          <w:p>
            <w:pPr>
              <w:widowControl/>
              <w:jc w:val="center"/>
              <w:rPr>
                <w:rFonts w:ascii="宋体" w:hAnsi="宋体" w:eastAsia="宋体"/>
                <w:b/>
              </w:rPr>
            </w:pPr>
            <w:r>
              <w:rPr>
                <w:rFonts w:hint="eastAsia" w:ascii="仿宋_GB2312" w:hAnsi="仿宋_GB2312" w:eastAsia="仿宋_GB2312" w:cs="仿宋_GB2312"/>
                <w:color w:val="000000"/>
                <w:kern w:val="0"/>
                <w:sz w:val="24"/>
                <w:szCs w:val="24"/>
              </w:rPr>
              <w:t>非标改造</w:t>
            </w:r>
          </w:p>
        </w:tc>
        <w:tc>
          <w:tcPr>
            <w:tcW w:w="709" w:type="dxa"/>
            <w:vAlign w:val="center"/>
          </w:tcPr>
          <w:p>
            <w:pPr>
              <w:spacing w:line="360" w:lineRule="exact"/>
              <w:jc w:val="center"/>
              <w:rPr>
                <w:rFonts w:ascii="宋体" w:hAnsi="宋体" w:eastAsia="宋体"/>
                <w:b/>
              </w:rPr>
            </w:pPr>
            <w:r>
              <w:rPr>
                <w:rFonts w:hint="eastAsia" w:ascii="宋体" w:hAnsi="宋体" w:eastAsia="宋体"/>
                <w:b/>
              </w:rPr>
              <w:t>套</w:t>
            </w:r>
          </w:p>
        </w:tc>
        <w:tc>
          <w:tcPr>
            <w:tcW w:w="708" w:type="dxa"/>
            <w:vAlign w:val="center"/>
          </w:tcPr>
          <w:p>
            <w:pPr>
              <w:spacing w:line="360" w:lineRule="exact"/>
              <w:jc w:val="center"/>
              <w:rPr>
                <w:rFonts w:ascii="宋体" w:hAnsi="宋体" w:eastAsia="宋体"/>
                <w:b/>
              </w:rPr>
            </w:pPr>
            <w:r>
              <w:rPr>
                <w:rFonts w:hint="eastAsia" w:ascii="宋体" w:hAnsi="宋体" w:eastAsia="宋体"/>
                <w:b/>
              </w:rPr>
              <w:t>1</w:t>
            </w:r>
          </w:p>
        </w:tc>
        <w:tc>
          <w:tcPr>
            <w:tcW w:w="1276" w:type="dxa"/>
            <w:vAlign w:val="center"/>
          </w:tcPr>
          <w:p>
            <w:pPr>
              <w:spacing w:line="360" w:lineRule="exact"/>
              <w:jc w:val="center"/>
              <w:rPr>
                <w:rFonts w:ascii="宋体" w:hAnsi="宋体" w:eastAsia="宋体"/>
                <w:b/>
              </w:rPr>
            </w:pPr>
            <w:r>
              <w:rPr>
                <w:rFonts w:hint="eastAsia" w:ascii="宋体" w:hAnsi="宋体" w:eastAsia="宋体"/>
                <w:b/>
              </w:rPr>
              <w:t>交钥匙方式</w:t>
            </w:r>
          </w:p>
        </w:tc>
        <w:tc>
          <w:tcPr>
            <w:tcW w:w="2413" w:type="dxa"/>
            <w:vAlign w:val="center"/>
          </w:tcPr>
          <w:p>
            <w:pPr>
              <w:spacing w:line="360" w:lineRule="auto"/>
              <w:jc w:val="center"/>
              <w:rPr>
                <w:rFonts w:ascii="宋体" w:hAnsi="宋体" w:eastAsia="宋体"/>
                <w:b/>
              </w:rPr>
            </w:pPr>
          </w:p>
        </w:tc>
      </w:tr>
    </w:tbl>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备注：</w:t>
      </w: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1.本表所列采购设备仅为主要设备明细，应配套供货以及招标人所列其它货物（或设备）和服务，请投标人认真阅读“供货范围”。若有异议，不管是多么微小，都应在投标文件“商务偏离”章节中予以详细说明。</w:t>
      </w: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2.本表“供货方式”指：交钥匙方式——包括制造、运输、定点卸货、安装、调试和协助验收以及约定培训等。</w:t>
      </w:r>
    </w:p>
    <w:p>
      <w:pPr>
        <w:pStyle w:val="21"/>
        <w:spacing w:line="360" w:lineRule="auto"/>
        <w:jc w:val="center"/>
        <w:rPr>
          <w:rFonts w:hAnsi="宋体" w:eastAsia="宋体" w:cs="宋体"/>
          <w:bCs/>
          <w:sz w:val="24"/>
          <w:szCs w:val="24"/>
        </w:rPr>
      </w:pPr>
      <w:r>
        <w:rPr>
          <w:rFonts w:hint="eastAsia" w:hAnsi="宋体" w:eastAsia="宋体" w:cs="宋体"/>
          <w:bCs/>
          <w:sz w:val="24"/>
          <w:szCs w:val="24"/>
        </w:rPr>
        <w:t>主要器件品牌表（可选同等或更优质量品牌）</w:t>
      </w:r>
    </w:p>
    <w:tbl>
      <w:tblPr>
        <w:tblStyle w:val="4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2835"/>
        <w:gridCol w:w="2972"/>
        <w:gridCol w:w="2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spacing w:line="360" w:lineRule="auto"/>
              <w:jc w:val="center"/>
              <w:rPr>
                <w:rFonts w:ascii="宋体" w:hAnsi="宋体" w:eastAsia="宋体" w:cs="宋体"/>
                <w:color w:val="000000"/>
                <w:sz w:val="24"/>
                <w:szCs w:val="24"/>
              </w:rPr>
            </w:pPr>
            <w:r>
              <w:rPr>
                <w:rFonts w:hint="eastAsia" w:ascii="宋体" w:hAnsi="宋体" w:eastAsia="宋体" w:cs="宋体"/>
                <w:kern w:val="0"/>
                <w:sz w:val="24"/>
                <w:szCs w:val="24"/>
              </w:rPr>
              <w:t>序号</w:t>
            </w:r>
          </w:p>
        </w:tc>
        <w:tc>
          <w:tcPr>
            <w:tcW w:w="2835" w:type="dxa"/>
            <w:vAlign w:val="center"/>
          </w:tcPr>
          <w:p>
            <w:pPr>
              <w:spacing w:line="360" w:lineRule="auto"/>
              <w:jc w:val="center"/>
              <w:rPr>
                <w:rFonts w:ascii="宋体" w:hAnsi="宋体" w:eastAsia="宋体" w:cs="宋体"/>
                <w:color w:val="000000"/>
                <w:sz w:val="24"/>
                <w:szCs w:val="24"/>
              </w:rPr>
            </w:pPr>
            <w:r>
              <w:rPr>
                <w:rFonts w:hint="eastAsia" w:ascii="宋体" w:hAnsi="宋体" w:eastAsia="宋体" w:cs="宋体"/>
                <w:kern w:val="0"/>
                <w:sz w:val="24"/>
                <w:szCs w:val="24"/>
              </w:rPr>
              <w:t>器件名称</w:t>
            </w:r>
          </w:p>
        </w:tc>
        <w:tc>
          <w:tcPr>
            <w:tcW w:w="2972" w:type="dxa"/>
            <w:vAlign w:val="center"/>
          </w:tcPr>
          <w:p>
            <w:pPr>
              <w:spacing w:line="360" w:lineRule="auto"/>
              <w:jc w:val="center"/>
              <w:rPr>
                <w:rFonts w:ascii="宋体" w:hAnsi="宋体" w:eastAsia="宋体" w:cs="宋体"/>
                <w:color w:val="000000"/>
                <w:sz w:val="24"/>
                <w:szCs w:val="24"/>
              </w:rPr>
            </w:pPr>
            <w:r>
              <w:rPr>
                <w:rFonts w:hint="eastAsia" w:ascii="宋体" w:hAnsi="宋体" w:eastAsia="宋体" w:cs="宋体"/>
                <w:kern w:val="0"/>
                <w:sz w:val="24"/>
                <w:szCs w:val="24"/>
              </w:rPr>
              <w:t>品牌</w:t>
            </w:r>
          </w:p>
        </w:tc>
        <w:tc>
          <w:tcPr>
            <w:tcW w:w="2265" w:type="dxa"/>
            <w:vAlign w:val="center"/>
          </w:tcPr>
          <w:p>
            <w:pPr>
              <w:spacing w:line="360" w:lineRule="auto"/>
              <w:jc w:val="center"/>
              <w:rPr>
                <w:rFonts w:ascii="宋体" w:hAnsi="宋体" w:eastAsia="宋体" w:cs="宋体"/>
                <w:color w:val="000000"/>
                <w:sz w:val="24"/>
                <w:szCs w:val="24"/>
              </w:rPr>
            </w:pPr>
            <w:r>
              <w:rPr>
                <w:rFonts w:hint="eastAsia" w:ascii="宋体" w:hAnsi="宋体" w:eastAsia="宋体" w:cs="宋体"/>
                <w:kern w:val="0"/>
                <w:sz w:val="24"/>
                <w:szCs w:val="24"/>
              </w:rPr>
              <w:t>品牌原产地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spacing w:line="360" w:lineRule="auto"/>
              <w:jc w:val="center"/>
              <w:rPr>
                <w:rFonts w:ascii="宋体" w:hAnsi="宋体" w:eastAsia="宋体" w:cs="宋体"/>
                <w:color w:val="000000"/>
                <w:sz w:val="24"/>
                <w:szCs w:val="24"/>
              </w:rPr>
            </w:pPr>
            <w:r>
              <w:rPr>
                <w:rFonts w:hint="eastAsia" w:ascii="宋体" w:hAnsi="宋体" w:eastAsia="宋体" w:cs="宋体"/>
                <w:color w:val="000000"/>
                <w:sz w:val="24"/>
                <w:szCs w:val="24"/>
              </w:rPr>
              <w:t>1</w:t>
            </w:r>
          </w:p>
        </w:tc>
        <w:tc>
          <w:tcPr>
            <w:tcW w:w="2835" w:type="dxa"/>
            <w:vAlign w:val="center"/>
          </w:tcPr>
          <w:p>
            <w:pPr>
              <w:spacing w:line="360" w:lineRule="auto"/>
              <w:jc w:val="center"/>
              <w:rPr>
                <w:rFonts w:ascii="宋体" w:hAnsi="宋体" w:eastAsia="宋体" w:cs="宋体"/>
                <w:color w:val="000000"/>
                <w:sz w:val="24"/>
                <w:szCs w:val="24"/>
              </w:rPr>
            </w:pPr>
            <w:r>
              <w:rPr>
                <w:rFonts w:hint="eastAsia" w:ascii="宋体" w:hAnsi="宋体" w:eastAsia="宋体" w:cs="宋体"/>
                <w:color w:val="000000"/>
                <w:sz w:val="24"/>
                <w:szCs w:val="24"/>
              </w:rPr>
              <w:t>PLC</w:t>
            </w:r>
          </w:p>
        </w:tc>
        <w:tc>
          <w:tcPr>
            <w:tcW w:w="2972" w:type="dxa"/>
            <w:vAlign w:val="center"/>
          </w:tcPr>
          <w:p>
            <w:pPr>
              <w:spacing w:line="360" w:lineRule="auto"/>
              <w:jc w:val="center"/>
              <w:rPr>
                <w:rFonts w:ascii="宋体" w:hAnsi="宋体" w:eastAsia="宋体" w:cs="宋体"/>
                <w:color w:val="000000"/>
                <w:sz w:val="24"/>
                <w:szCs w:val="24"/>
              </w:rPr>
            </w:pPr>
            <w:r>
              <w:rPr>
                <w:rFonts w:hint="eastAsia" w:ascii="宋体" w:hAnsi="宋体" w:eastAsia="宋体" w:cs="宋体"/>
                <w:color w:val="000000"/>
                <w:sz w:val="24"/>
                <w:szCs w:val="24"/>
              </w:rPr>
              <w:t>TC</w:t>
            </w:r>
          </w:p>
        </w:tc>
        <w:tc>
          <w:tcPr>
            <w:tcW w:w="2265" w:type="dxa"/>
            <w:vAlign w:val="center"/>
          </w:tcPr>
          <w:p>
            <w:pPr>
              <w:spacing w:line="360" w:lineRule="auto"/>
              <w:jc w:val="center"/>
              <w:rPr>
                <w:rFonts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snapToGrid w:val="0"/>
              <w:jc w:val="center"/>
              <w:rPr>
                <w:rFonts w:ascii="宋体" w:hAnsi="宋体" w:eastAsia="宋体" w:cs="宋体"/>
                <w:color w:val="000000"/>
                <w:sz w:val="24"/>
                <w:szCs w:val="24"/>
              </w:rPr>
            </w:pPr>
            <w:r>
              <w:rPr>
                <w:rFonts w:hint="eastAsia" w:ascii="宋体" w:hAnsi="宋体" w:eastAsia="宋体" w:cs="宋体"/>
                <w:color w:val="000000"/>
                <w:sz w:val="24"/>
                <w:szCs w:val="24"/>
              </w:rPr>
              <w:t>2</w:t>
            </w:r>
          </w:p>
        </w:tc>
        <w:tc>
          <w:tcPr>
            <w:tcW w:w="2835" w:type="dxa"/>
            <w:vAlign w:val="center"/>
          </w:tcPr>
          <w:p>
            <w:pPr>
              <w:snapToGrid w:val="0"/>
              <w:jc w:val="center"/>
              <w:rPr>
                <w:rFonts w:ascii="宋体" w:hAnsi="宋体" w:eastAsia="宋体" w:cs="宋体"/>
                <w:color w:val="000000"/>
                <w:sz w:val="24"/>
                <w:szCs w:val="24"/>
              </w:rPr>
            </w:pPr>
            <w:r>
              <w:rPr>
                <w:rFonts w:hint="eastAsia" w:ascii="宋体" w:hAnsi="宋体" w:eastAsia="宋体" w:cs="宋体"/>
                <w:color w:val="000000"/>
                <w:sz w:val="24"/>
                <w:szCs w:val="24"/>
              </w:rPr>
              <w:t>移动导轨</w:t>
            </w:r>
          </w:p>
        </w:tc>
        <w:tc>
          <w:tcPr>
            <w:tcW w:w="2972" w:type="dxa"/>
            <w:vAlign w:val="center"/>
          </w:tcPr>
          <w:p>
            <w:pPr>
              <w:snapToGrid w:val="0"/>
              <w:jc w:val="center"/>
              <w:rPr>
                <w:rFonts w:ascii="宋体" w:hAnsi="宋体" w:eastAsia="宋体" w:cs="宋体"/>
                <w:color w:val="000000"/>
                <w:sz w:val="24"/>
                <w:szCs w:val="24"/>
              </w:rPr>
            </w:pPr>
            <w:r>
              <w:rPr>
                <w:rFonts w:hint="eastAsia" w:ascii="宋体" w:hAnsi="宋体" w:eastAsia="宋体" w:cs="宋体"/>
                <w:color w:val="000000"/>
                <w:sz w:val="24"/>
                <w:szCs w:val="24"/>
              </w:rPr>
              <w:t>上银HIWIN</w:t>
            </w:r>
          </w:p>
        </w:tc>
        <w:tc>
          <w:tcPr>
            <w:tcW w:w="2265" w:type="dxa"/>
            <w:vAlign w:val="center"/>
          </w:tcPr>
          <w:p>
            <w:pPr>
              <w:snapToGrid w:val="0"/>
              <w:jc w:val="center"/>
              <w:rPr>
                <w:rFonts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snapToGrid w:val="0"/>
              <w:jc w:val="center"/>
              <w:rPr>
                <w:rFonts w:ascii="宋体" w:hAnsi="宋体" w:eastAsia="宋体" w:cs="宋体"/>
                <w:color w:val="000000"/>
                <w:sz w:val="24"/>
                <w:szCs w:val="24"/>
              </w:rPr>
            </w:pPr>
            <w:r>
              <w:rPr>
                <w:rFonts w:hint="eastAsia" w:ascii="宋体" w:hAnsi="宋体" w:eastAsia="宋体" w:cs="宋体"/>
                <w:color w:val="000000"/>
                <w:sz w:val="24"/>
                <w:szCs w:val="24"/>
              </w:rPr>
              <w:t>3</w:t>
            </w:r>
          </w:p>
        </w:tc>
        <w:tc>
          <w:tcPr>
            <w:tcW w:w="2835" w:type="dxa"/>
            <w:vAlign w:val="center"/>
          </w:tcPr>
          <w:p>
            <w:pPr>
              <w:snapToGrid w:val="0"/>
              <w:jc w:val="center"/>
              <w:rPr>
                <w:rFonts w:ascii="宋体" w:hAnsi="宋体" w:eastAsia="宋体" w:cs="宋体"/>
                <w:b/>
                <w:bCs/>
                <w:color w:val="000000"/>
                <w:sz w:val="24"/>
                <w:szCs w:val="24"/>
              </w:rPr>
            </w:pPr>
            <w:r>
              <w:rPr>
                <w:rFonts w:hint="eastAsia" w:ascii="宋体" w:hAnsi="宋体" w:eastAsia="宋体" w:cs="宋体"/>
                <w:color w:val="000000"/>
                <w:sz w:val="24"/>
                <w:szCs w:val="24"/>
              </w:rPr>
              <w:t>伺服电机</w:t>
            </w:r>
          </w:p>
        </w:tc>
        <w:tc>
          <w:tcPr>
            <w:tcW w:w="2972" w:type="dxa"/>
            <w:vAlign w:val="center"/>
          </w:tcPr>
          <w:p>
            <w:pPr>
              <w:snapToGrid w:val="0"/>
              <w:jc w:val="center"/>
              <w:rPr>
                <w:rFonts w:ascii="宋体" w:hAnsi="宋体" w:eastAsia="宋体" w:cs="宋体"/>
                <w:color w:val="000000"/>
                <w:sz w:val="24"/>
                <w:szCs w:val="24"/>
              </w:rPr>
            </w:pPr>
            <w:r>
              <w:rPr>
                <w:rFonts w:hint="eastAsia" w:ascii="宋体" w:hAnsi="宋体" w:eastAsia="宋体" w:cs="宋体"/>
                <w:color w:val="000000"/>
                <w:sz w:val="24"/>
                <w:szCs w:val="24"/>
              </w:rPr>
              <w:t>西门子</w:t>
            </w:r>
          </w:p>
        </w:tc>
        <w:tc>
          <w:tcPr>
            <w:tcW w:w="2265" w:type="dxa"/>
            <w:vAlign w:val="center"/>
          </w:tcPr>
          <w:p>
            <w:pPr>
              <w:snapToGrid w:val="0"/>
              <w:jc w:val="center"/>
              <w:rPr>
                <w:rFonts w:ascii="宋体" w:hAnsi="宋体" w:eastAsia="宋体" w:cs="宋体"/>
                <w:color w:val="000000"/>
                <w:sz w:val="24"/>
                <w:szCs w:val="24"/>
              </w:rPr>
            </w:pPr>
          </w:p>
        </w:tc>
      </w:tr>
    </w:tbl>
    <w:p>
      <w:pPr>
        <w:spacing w:line="360" w:lineRule="auto"/>
        <w:outlineLvl w:val="3"/>
        <w:rPr>
          <w:rFonts w:ascii="宋体" w:hAnsi="宋体" w:eastAsia="宋体"/>
          <w:b/>
          <w:sz w:val="24"/>
          <w:szCs w:val="24"/>
        </w:rPr>
      </w:pPr>
      <w:r>
        <w:rPr>
          <w:rFonts w:hint="eastAsia" w:ascii="宋体" w:hAnsi="宋体" w:eastAsia="宋体"/>
          <w:b/>
          <w:sz w:val="24"/>
          <w:szCs w:val="24"/>
        </w:rPr>
        <w:t>四</w:t>
      </w:r>
      <w:r>
        <w:rPr>
          <w:rFonts w:hint="eastAsia" w:ascii="宋体" w:hAnsi="宋体" w:eastAsia="宋体" w:cs="Times New Roman"/>
          <w:b/>
          <w:color w:val="000000"/>
          <w:sz w:val="24"/>
          <w:szCs w:val="24"/>
        </w:rPr>
        <w:t>、采购货物特别说明</w:t>
      </w:r>
    </w:p>
    <w:p>
      <w:pPr>
        <w:spacing w:line="360" w:lineRule="auto"/>
        <w:ind w:firstLine="480" w:firstLineChars="200"/>
        <w:rPr>
          <w:rFonts w:ascii="宋体" w:hAnsi="宋体" w:eastAsia="宋体"/>
          <w:bCs/>
          <w:sz w:val="24"/>
          <w:szCs w:val="24"/>
        </w:rPr>
      </w:pPr>
      <w:r>
        <w:rPr>
          <w:rFonts w:hint="eastAsia" w:ascii="宋体" w:hAnsi="宋体" w:eastAsia="宋体"/>
          <w:bCs/>
          <w:sz w:val="24"/>
          <w:szCs w:val="24"/>
        </w:rPr>
        <w:t>招标方所列货物的名称和规格型号，如为某一供应商所特有，则该名称和规格型号可作参考；但要求投标方所提供的货物必须满足本技术标书实质性要求。</w:t>
      </w:r>
    </w:p>
    <w:p>
      <w:pPr>
        <w:spacing w:line="360" w:lineRule="auto"/>
        <w:rPr>
          <w:rFonts w:ascii="宋体" w:hAnsi="宋体" w:eastAsia="宋体"/>
          <w:sz w:val="24"/>
          <w:szCs w:val="24"/>
        </w:rPr>
      </w:pPr>
      <w:r>
        <w:rPr>
          <w:rFonts w:hint="eastAsia" w:ascii="宋体" w:hAnsi="宋体" w:eastAsia="宋体"/>
          <w:b/>
          <w:sz w:val="24"/>
          <w:szCs w:val="24"/>
        </w:rPr>
        <w:t>五、投标要求</w:t>
      </w:r>
    </w:p>
    <w:p>
      <w:pPr>
        <w:spacing w:line="360" w:lineRule="auto"/>
        <w:ind w:firstLine="480" w:firstLineChars="200"/>
        <w:rPr>
          <w:rFonts w:ascii="宋体" w:hAnsi="宋体" w:eastAsia="宋体"/>
          <w:bCs/>
          <w:sz w:val="24"/>
          <w:szCs w:val="24"/>
        </w:rPr>
      </w:pPr>
      <w:r>
        <w:rPr>
          <w:rFonts w:hint="eastAsia" w:ascii="宋体" w:hAnsi="宋体" w:eastAsia="宋体"/>
          <w:bCs/>
          <w:sz w:val="24"/>
          <w:szCs w:val="24"/>
        </w:rPr>
        <w:t>1、投标方须对智能驾驶校准工站改造项目施工详细内容充分分析，识别出总装产线需要变更的变化点并提供详细的工艺方案，同时以此为报价基础。</w:t>
      </w:r>
    </w:p>
    <w:p>
      <w:pPr>
        <w:spacing w:line="360" w:lineRule="auto"/>
        <w:ind w:firstLine="480" w:firstLineChars="200"/>
        <w:rPr>
          <w:rFonts w:ascii="宋体" w:hAnsi="宋体" w:eastAsia="宋体"/>
          <w:bCs/>
          <w:sz w:val="24"/>
          <w:szCs w:val="24"/>
        </w:rPr>
      </w:pPr>
      <w:r>
        <w:rPr>
          <w:rFonts w:hint="eastAsia" w:ascii="宋体" w:hAnsi="宋体" w:eastAsia="宋体"/>
          <w:bCs/>
          <w:sz w:val="24"/>
          <w:szCs w:val="24"/>
        </w:rPr>
        <w:t>2、中标人对设备质量和可靠性负责。</w:t>
      </w:r>
    </w:p>
    <w:p>
      <w:pPr>
        <w:spacing w:line="360" w:lineRule="auto"/>
        <w:ind w:firstLine="480" w:firstLineChars="200"/>
        <w:rPr>
          <w:rFonts w:ascii="宋体" w:hAnsi="宋体" w:eastAsia="宋体"/>
          <w:bCs/>
          <w:sz w:val="24"/>
          <w:szCs w:val="24"/>
        </w:rPr>
      </w:pPr>
      <w:r>
        <w:rPr>
          <w:rFonts w:hint="eastAsia" w:ascii="宋体" w:hAnsi="宋体" w:eastAsia="宋体"/>
          <w:bCs/>
          <w:sz w:val="24"/>
          <w:szCs w:val="24"/>
        </w:rPr>
        <w:t>3、中标人应审查施工图纸，在工艺流程、布置及上下件位置不变的情况下，如发现问题，可对结构形式、各室相对位置、用电量等工艺参数提出修改意见和改进措施。对设备的运转质量负最终责任。对设计修改部分提供完整技术资料。</w:t>
      </w:r>
    </w:p>
    <w:p>
      <w:pPr>
        <w:spacing w:line="360" w:lineRule="auto"/>
        <w:ind w:firstLine="480" w:firstLineChars="200"/>
        <w:rPr>
          <w:rFonts w:ascii="宋体" w:hAnsi="宋体" w:eastAsia="宋体"/>
          <w:bCs/>
          <w:sz w:val="24"/>
          <w:szCs w:val="24"/>
        </w:rPr>
      </w:pPr>
      <w:r>
        <w:rPr>
          <w:rFonts w:hint="eastAsia" w:ascii="宋体" w:hAnsi="宋体" w:eastAsia="宋体"/>
          <w:bCs/>
          <w:sz w:val="24"/>
          <w:szCs w:val="24"/>
        </w:rPr>
        <w:t>4、中标人对中标设备的制造、安装、调试提供系列服务，具体如下：</w:t>
      </w:r>
    </w:p>
    <w:p>
      <w:pPr>
        <w:spacing w:line="360" w:lineRule="auto"/>
        <w:ind w:firstLine="480" w:firstLineChars="200"/>
        <w:rPr>
          <w:rFonts w:ascii="宋体" w:hAnsi="宋体" w:eastAsia="宋体"/>
          <w:bCs/>
          <w:sz w:val="24"/>
          <w:szCs w:val="24"/>
        </w:rPr>
      </w:pPr>
      <w:r>
        <w:rPr>
          <w:rFonts w:hint="eastAsia" w:ascii="宋体" w:hAnsi="宋体" w:eastAsia="宋体"/>
          <w:bCs/>
          <w:sz w:val="24"/>
          <w:szCs w:val="24"/>
        </w:rPr>
        <w:t>原则上，本项目中电机功率＞7.5kW,必须选用一级能效。电机功率&lt;7.5kW，优先选用一级能效；其中对于能源供应类设备及年运行时间≥2000h工艺设备的电机必须选用一级能效。杜绝选用三级及以下能效。空调必须选用一级能效，变压器最低选用二级能效，对于特殊场景、特殊用途其他设备合性价比综合考虑、充分论证；</w:t>
      </w:r>
    </w:p>
    <w:p>
      <w:pPr>
        <w:spacing w:line="360" w:lineRule="auto"/>
        <w:ind w:firstLine="480" w:firstLineChars="200"/>
        <w:rPr>
          <w:rFonts w:ascii="宋体" w:hAnsi="宋体" w:eastAsia="宋体"/>
          <w:bCs/>
          <w:sz w:val="24"/>
          <w:szCs w:val="24"/>
        </w:rPr>
      </w:pPr>
      <w:r>
        <w:rPr>
          <w:rFonts w:hint="eastAsia" w:ascii="宋体" w:hAnsi="宋体" w:eastAsia="宋体"/>
          <w:bCs/>
          <w:sz w:val="24"/>
          <w:szCs w:val="24"/>
        </w:rPr>
        <w:t>设备颜色符合《Q-ZZ30070设备设施颜色标识》规定，外观无明显缺陷，重新焊接完成后，对焊接位置进行重新刷漆。</w:t>
      </w:r>
    </w:p>
    <w:p>
      <w:pPr>
        <w:numPr>
          <w:ilvl w:val="0"/>
          <w:numId w:val="15"/>
        </w:numPr>
        <w:spacing w:line="360" w:lineRule="auto"/>
        <w:rPr>
          <w:rFonts w:ascii="宋体" w:hAnsi="宋体" w:eastAsia="宋体"/>
          <w:bCs/>
          <w:sz w:val="24"/>
          <w:szCs w:val="24"/>
        </w:rPr>
      </w:pPr>
      <w:r>
        <w:rPr>
          <w:rFonts w:hint="eastAsia" w:ascii="宋体" w:hAnsi="宋体" w:eastAsia="宋体"/>
          <w:bCs/>
          <w:sz w:val="24"/>
          <w:szCs w:val="24"/>
        </w:rPr>
        <w:t>主、辅材的采购、供应；</w:t>
      </w:r>
    </w:p>
    <w:p>
      <w:pPr>
        <w:numPr>
          <w:ilvl w:val="0"/>
          <w:numId w:val="15"/>
        </w:numPr>
        <w:spacing w:line="360" w:lineRule="auto"/>
        <w:rPr>
          <w:rFonts w:ascii="宋体" w:hAnsi="宋体" w:eastAsia="宋体"/>
          <w:bCs/>
          <w:sz w:val="24"/>
          <w:szCs w:val="24"/>
        </w:rPr>
      </w:pPr>
      <w:r>
        <w:rPr>
          <w:rFonts w:hint="eastAsia" w:ascii="宋体" w:hAnsi="宋体" w:eastAsia="宋体"/>
          <w:bCs/>
          <w:sz w:val="24"/>
          <w:szCs w:val="24"/>
        </w:rPr>
        <w:t>非标设备的加工、制作、安装；</w:t>
      </w:r>
    </w:p>
    <w:p>
      <w:pPr>
        <w:numPr>
          <w:ilvl w:val="0"/>
          <w:numId w:val="15"/>
        </w:numPr>
        <w:spacing w:line="360" w:lineRule="auto"/>
        <w:rPr>
          <w:rFonts w:ascii="宋体" w:hAnsi="宋体" w:eastAsia="宋体"/>
          <w:bCs/>
          <w:sz w:val="24"/>
          <w:szCs w:val="24"/>
        </w:rPr>
      </w:pPr>
      <w:r>
        <w:rPr>
          <w:rFonts w:hint="eastAsia" w:ascii="宋体" w:hAnsi="宋体" w:eastAsia="宋体"/>
          <w:bCs/>
          <w:sz w:val="24"/>
          <w:szCs w:val="24"/>
        </w:rPr>
        <w:t>除业主方提供外的机械及电气外购件、标准件的采购、供应，根据性能价格较优的原则选定供货厂商，并对外购件的质量负责；</w:t>
      </w:r>
    </w:p>
    <w:p>
      <w:pPr>
        <w:numPr>
          <w:ilvl w:val="0"/>
          <w:numId w:val="15"/>
        </w:numPr>
        <w:spacing w:line="360" w:lineRule="auto"/>
        <w:rPr>
          <w:rFonts w:ascii="宋体" w:hAnsi="宋体" w:eastAsia="宋体"/>
          <w:bCs/>
          <w:sz w:val="24"/>
          <w:szCs w:val="24"/>
        </w:rPr>
      </w:pPr>
      <w:r>
        <w:rPr>
          <w:rFonts w:hint="eastAsia" w:ascii="宋体" w:hAnsi="宋体" w:eastAsia="宋体"/>
          <w:bCs/>
          <w:sz w:val="24"/>
          <w:szCs w:val="24"/>
        </w:rPr>
        <w:t>配合土建施工，负责检查各种预留孔洞、沟槽和预埋件的位置、尺寸；</w:t>
      </w:r>
    </w:p>
    <w:p>
      <w:pPr>
        <w:numPr>
          <w:ilvl w:val="0"/>
          <w:numId w:val="15"/>
        </w:numPr>
        <w:spacing w:line="360" w:lineRule="auto"/>
        <w:rPr>
          <w:rFonts w:ascii="宋体" w:hAnsi="宋体" w:eastAsia="宋体"/>
          <w:bCs/>
          <w:sz w:val="24"/>
          <w:szCs w:val="24"/>
        </w:rPr>
      </w:pPr>
      <w:r>
        <w:rPr>
          <w:rFonts w:hint="eastAsia" w:ascii="宋体" w:hAnsi="宋体" w:eastAsia="宋体"/>
          <w:bCs/>
          <w:sz w:val="24"/>
          <w:szCs w:val="24"/>
        </w:rPr>
        <w:t>建立健全安全、保卫、卫生、消防制度，保证工程顺利进行；</w:t>
      </w:r>
    </w:p>
    <w:p>
      <w:pPr>
        <w:numPr>
          <w:ilvl w:val="0"/>
          <w:numId w:val="15"/>
        </w:numPr>
        <w:spacing w:line="360" w:lineRule="auto"/>
        <w:rPr>
          <w:rFonts w:ascii="宋体" w:hAnsi="宋体" w:eastAsia="宋体"/>
          <w:bCs/>
          <w:sz w:val="24"/>
          <w:szCs w:val="24"/>
        </w:rPr>
      </w:pPr>
      <w:r>
        <w:rPr>
          <w:rFonts w:hint="eastAsia" w:ascii="宋体" w:hAnsi="宋体" w:eastAsia="宋体"/>
          <w:bCs/>
          <w:sz w:val="24"/>
          <w:szCs w:val="24"/>
        </w:rPr>
        <w:t>施工人员的食宿及费用；</w:t>
      </w:r>
    </w:p>
    <w:p>
      <w:pPr>
        <w:numPr>
          <w:ilvl w:val="0"/>
          <w:numId w:val="15"/>
        </w:numPr>
        <w:spacing w:line="360" w:lineRule="auto"/>
        <w:rPr>
          <w:rFonts w:ascii="宋体" w:hAnsi="宋体" w:eastAsia="宋体"/>
          <w:bCs/>
          <w:sz w:val="24"/>
          <w:szCs w:val="24"/>
        </w:rPr>
      </w:pPr>
      <w:r>
        <w:rPr>
          <w:rFonts w:hint="eastAsia" w:ascii="宋体" w:hAnsi="宋体" w:eastAsia="宋体"/>
          <w:bCs/>
          <w:sz w:val="24"/>
          <w:szCs w:val="24"/>
        </w:rPr>
        <w:t>安装现场制作所需的设备、工具；</w:t>
      </w:r>
    </w:p>
    <w:p>
      <w:pPr>
        <w:numPr>
          <w:ilvl w:val="0"/>
          <w:numId w:val="15"/>
        </w:numPr>
        <w:spacing w:line="360" w:lineRule="auto"/>
        <w:rPr>
          <w:rFonts w:ascii="宋体" w:hAnsi="宋体" w:eastAsia="宋体"/>
          <w:bCs/>
          <w:sz w:val="24"/>
          <w:szCs w:val="24"/>
        </w:rPr>
      </w:pPr>
      <w:r>
        <w:rPr>
          <w:rFonts w:hint="eastAsia" w:ascii="宋体" w:hAnsi="宋体" w:eastAsia="宋体"/>
          <w:bCs/>
          <w:sz w:val="24"/>
          <w:szCs w:val="24"/>
        </w:rPr>
        <w:t>配合业主方、设计院进行工艺调试；</w:t>
      </w:r>
    </w:p>
    <w:p>
      <w:pPr>
        <w:numPr>
          <w:ilvl w:val="0"/>
          <w:numId w:val="15"/>
        </w:numPr>
        <w:spacing w:line="360" w:lineRule="auto"/>
        <w:rPr>
          <w:rFonts w:ascii="宋体" w:hAnsi="宋体" w:eastAsia="宋体"/>
          <w:bCs/>
          <w:sz w:val="24"/>
          <w:szCs w:val="24"/>
        </w:rPr>
      </w:pPr>
      <w:r>
        <w:rPr>
          <w:rFonts w:hint="eastAsia" w:ascii="宋体" w:hAnsi="宋体" w:eastAsia="宋体"/>
          <w:bCs/>
          <w:sz w:val="24"/>
          <w:szCs w:val="24"/>
        </w:rPr>
        <w:t>负责人员培训及售后服务；</w:t>
      </w:r>
    </w:p>
    <w:p>
      <w:pPr>
        <w:numPr>
          <w:ilvl w:val="0"/>
          <w:numId w:val="15"/>
        </w:numPr>
        <w:spacing w:line="360" w:lineRule="auto"/>
        <w:rPr>
          <w:rFonts w:ascii="宋体" w:hAnsi="宋体" w:eastAsia="宋体"/>
          <w:bCs/>
          <w:sz w:val="24"/>
          <w:szCs w:val="24"/>
        </w:rPr>
      </w:pPr>
      <w:r>
        <w:rPr>
          <w:rFonts w:hint="eastAsia" w:ascii="宋体" w:hAnsi="宋体" w:eastAsia="宋体"/>
          <w:bCs/>
          <w:sz w:val="24"/>
          <w:szCs w:val="24"/>
        </w:rPr>
        <w:t>从生产厂到交货地点的包装、运输；</w:t>
      </w:r>
    </w:p>
    <w:p>
      <w:pPr>
        <w:numPr>
          <w:ilvl w:val="0"/>
          <w:numId w:val="15"/>
        </w:numPr>
        <w:spacing w:line="360" w:lineRule="auto"/>
        <w:rPr>
          <w:rFonts w:ascii="宋体" w:hAnsi="宋体" w:eastAsia="宋体"/>
          <w:bCs/>
          <w:sz w:val="24"/>
          <w:szCs w:val="24"/>
        </w:rPr>
      </w:pPr>
      <w:r>
        <w:rPr>
          <w:rFonts w:hint="eastAsia" w:ascii="宋体" w:hAnsi="宋体" w:eastAsia="宋体"/>
          <w:bCs/>
          <w:sz w:val="24"/>
          <w:szCs w:val="24"/>
        </w:rPr>
        <w:t>参与设备验收，提供竣工图与竣工报告等技术文件，及时办理移交手续。</w:t>
      </w:r>
    </w:p>
    <w:p>
      <w:pPr>
        <w:spacing w:line="360" w:lineRule="auto"/>
        <w:ind w:firstLine="480" w:firstLineChars="200"/>
        <w:rPr>
          <w:rFonts w:ascii="宋体" w:hAnsi="宋体" w:eastAsia="宋体"/>
          <w:bCs/>
          <w:sz w:val="24"/>
          <w:szCs w:val="24"/>
        </w:rPr>
      </w:pPr>
      <w:r>
        <w:rPr>
          <w:rFonts w:hint="eastAsia" w:ascii="宋体" w:hAnsi="宋体" w:eastAsia="宋体"/>
          <w:bCs/>
          <w:sz w:val="24"/>
          <w:szCs w:val="24"/>
        </w:rPr>
        <w:t>6、在现场制作的关键部件，必须经委托方检验合格后，方可进行涂漆、组装。合格品才能运抵施工现场。</w:t>
      </w:r>
    </w:p>
    <w:p>
      <w:pPr>
        <w:spacing w:line="360" w:lineRule="auto"/>
        <w:ind w:firstLine="480" w:firstLineChars="200"/>
        <w:rPr>
          <w:rFonts w:ascii="宋体" w:hAnsi="宋体" w:eastAsia="宋体"/>
          <w:bCs/>
          <w:sz w:val="24"/>
          <w:szCs w:val="24"/>
        </w:rPr>
      </w:pPr>
      <w:r>
        <w:rPr>
          <w:rFonts w:hint="eastAsia" w:ascii="宋体" w:hAnsi="宋体" w:eastAsia="宋体"/>
          <w:bCs/>
          <w:sz w:val="24"/>
          <w:szCs w:val="24"/>
        </w:rPr>
        <w:t>7、中标方服从招标方对现场、安全的管理。</w:t>
      </w:r>
    </w:p>
    <w:p>
      <w:pPr>
        <w:widowControl/>
        <w:spacing w:line="360" w:lineRule="auto"/>
        <w:jc w:val="left"/>
        <w:rPr>
          <w:rFonts w:ascii="宋体" w:hAnsi="宋体" w:eastAsia="宋体"/>
          <w:sz w:val="24"/>
          <w:szCs w:val="24"/>
        </w:rPr>
      </w:pPr>
    </w:p>
    <w:p>
      <w:pPr>
        <w:keepNext/>
        <w:keepLines/>
        <w:spacing w:before="120" w:after="120" w:line="480" w:lineRule="exact"/>
        <w:jc w:val="center"/>
        <w:outlineLvl w:val="1"/>
        <w:rPr>
          <w:rFonts w:ascii="宋体" w:hAnsi="宋体" w:eastAsia="宋体" w:cs="Times New Roman"/>
          <w:bCs/>
          <w:kern w:val="44"/>
          <w:sz w:val="28"/>
          <w:szCs w:val="28"/>
        </w:rPr>
      </w:pPr>
      <w:bookmarkStart w:id="33" w:name="_Toc169605880"/>
      <w:bookmarkStart w:id="34" w:name="_Toc169605881"/>
      <w:r>
        <w:rPr>
          <w:rFonts w:hint="eastAsia" w:ascii="宋体" w:hAnsi="宋体" w:eastAsia="宋体" w:cs="Times New Roman"/>
          <w:b/>
          <w:bCs/>
          <w:kern w:val="44"/>
          <w:sz w:val="28"/>
          <w:szCs w:val="28"/>
        </w:rPr>
        <w:t>第二章技术要求</w:t>
      </w:r>
      <w:bookmarkEnd w:id="33"/>
    </w:p>
    <w:p>
      <w:pPr>
        <w:pStyle w:val="117"/>
        <w:spacing w:line="360" w:lineRule="auto"/>
        <w:ind w:firstLine="482" w:firstLineChars="200"/>
        <w:outlineLvl w:val="2"/>
        <w:rPr>
          <w:rFonts w:eastAsia="宋体" w:cs="宋体"/>
          <w:b/>
          <w:bCs w:val="0"/>
          <w:sz w:val="24"/>
          <w:szCs w:val="24"/>
        </w:rPr>
      </w:pPr>
      <w:r>
        <w:rPr>
          <w:rFonts w:hint="eastAsia" w:eastAsia="宋体" w:cs="宋体"/>
          <w:b/>
          <w:bCs w:val="0"/>
          <w:sz w:val="24"/>
          <w:szCs w:val="24"/>
        </w:rPr>
        <w:t>一、特别提示</w:t>
      </w:r>
    </w:p>
    <w:p>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1.本章技术要求，仅对功能、设计、结构、性能、安装和试验检验等方面，提出了最低和一般性的技术要求，并未对一切技术细节作出规定。</w:t>
      </w:r>
    </w:p>
    <w:p>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2.本技术要求所使用的标准、规范等，如与投标人所执行的标准、规范不一致时，应按高于本技术要求所列的标准、规范执行。</w:t>
      </w:r>
    </w:p>
    <w:p>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.投标人认为所供货物必需由招标人配备、解决或提供的其它要求，如设备基础隔振和减振设施、软化水、洁净气源等，均应在投标文件“技术偏离”中予以充分说明。</w:t>
      </w:r>
    </w:p>
    <w:p>
      <w:pPr>
        <w:spacing w:line="360" w:lineRule="auto"/>
        <w:ind w:firstLine="480" w:firstLineChars="200"/>
        <w:rPr>
          <w:rFonts w:ascii="宋体" w:hAnsi="宋体" w:eastAsia="宋体" w:cs="Times New Roman"/>
          <w:sz w:val="24"/>
          <w:szCs w:val="24"/>
        </w:rPr>
      </w:pPr>
      <w:r>
        <w:rPr>
          <w:rFonts w:ascii="宋体" w:hAnsi="宋体" w:eastAsia="宋体" w:cs="Times New Roman"/>
          <w:bCs/>
          <w:sz w:val="24"/>
          <w:szCs w:val="24"/>
        </w:rPr>
        <w:t>4</w:t>
      </w:r>
      <w:r>
        <w:rPr>
          <w:rFonts w:hint="eastAsia" w:ascii="宋体" w:hAnsi="宋体" w:eastAsia="宋体" w:cs="Times New Roman"/>
          <w:bCs/>
          <w:sz w:val="24"/>
          <w:szCs w:val="24"/>
        </w:rPr>
        <w:t>.投标人应根据招投标货物具体要求，提出</w:t>
      </w:r>
      <w:r>
        <w:rPr>
          <w:rFonts w:hint="eastAsia" w:ascii="宋体" w:hAnsi="宋体" w:eastAsia="宋体" w:cs="Times New Roman"/>
          <w:sz w:val="24"/>
          <w:szCs w:val="24"/>
        </w:rPr>
        <w:t>对厂房、设备基础（或安装平台）、公用设施、消防、环保等超出招标文件、投标文件、答疑文件、技术交流文件、技术协议书和合同等规定的、有特殊需要的解释、说明和要求。</w:t>
      </w:r>
    </w:p>
    <w:p>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5.无论是否有技术偏离，投标人均应在投标文件“技术偏离”中明确作出有无说明。若有异议，不管是多么微小，投标人必须予以明确和详细的说明或澄清。</w:t>
      </w:r>
    </w:p>
    <w:p>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.为避免投标人优势在招标评审时漏项，质保期超出本技术标书要求的，应当在投标文件“技术偏离”中特别注明。</w:t>
      </w:r>
    </w:p>
    <w:p>
      <w:pPr>
        <w:pStyle w:val="117"/>
        <w:spacing w:line="360" w:lineRule="auto"/>
        <w:ind w:firstLine="482" w:firstLineChars="200"/>
        <w:outlineLvl w:val="2"/>
        <w:rPr>
          <w:rFonts w:eastAsia="宋体" w:cs="宋体"/>
          <w:b/>
          <w:bCs w:val="0"/>
          <w:sz w:val="24"/>
          <w:szCs w:val="24"/>
        </w:rPr>
      </w:pPr>
      <w:r>
        <w:rPr>
          <w:rFonts w:hint="eastAsia" w:eastAsia="宋体" w:cs="宋体"/>
          <w:b/>
          <w:bCs w:val="0"/>
          <w:sz w:val="24"/>
          <w:szCs w:val="24"/>
        </w:rPr>
        <w:t>二、基本要求</w:t>
      </w:r>
    </w:p>
    <w:p>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.投标人所供的货物，必须符合中国最新版的法律、法规和相关标准、规范的要求，符合项目所在地政府有关特殊要求。</w:t>
      </w:r>
    </w:p>
    <w:p>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.投标人所供货物涉及的专利权技术以及知识产权保护的其它技术等，应保证招标人不因此受到任何侵权指控以及实际损失。</w:t>
      </w:r>
    </w:p>
    <w:p>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.投标人应保证所供货物的先进性、可靠性、经济性和实用性，并为全新货物（或设备）。</w:t>
      </w:r>
    </w:p>
    <w:p>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4</w:t>
      </w:r>
      <w:r>
        <w:rPr>
          <w:rFonts w:hint="eastAsia" w:ascii="宋体" w:hAnsi="宋体" w:eastAsia="宋体" w:cs="Times New Roman"/>
          <w:sz w:val="24"/>
          <w:szCs w:val="24"/>
        </w:rPr>
        <w:t>.投标人应满足招标人提出的各项技术要求，必要时应当免费提供技术承诺或担保。</w:t>
      </w:r>
    </w:p>
    <w:p>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5</w:t>
      </w:r>
      <w:r>
        <w:rPr>
          <w:rFonts w:hint="eastAsia" w:ascii="宋体" w:hAnsi="宋体" w:eastAsia="宋体" w:cs="Times New Roman"/>
          <w:sz w:val="24"/>
          <w:szCs w:val="24"/>
        </w:rPr>
        <w:t>.投标人应保证所供货物（或设备）为中国政府指定或规定的主管部门公布的非淘汰货物（或设备），并尽力提供中国政府指定或规定的主管部门认可的环保型和节能型货物（或设备）。</w:t>
      </w:r>
    </w:p>
    <w:p>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.投标人应保证所供货物的完整性和成套性，能保证货物的正常运行、使用。</w:t>
      </w:r>
    </w:p>
    <w:p>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.投标人应对招标人采购的货物所涉及的技术、产能等信息负有保密义务，招标人拥有追究投标人泄密责任的权利；招标人如有需要，投标人应无条件签署保密协议。</w:t>
      </w:r>
    </w:p>
    <w:p>
      <w:pPr>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8.投标人预验收时需提供进口设备、部件的报关清关资料。</w:t>
      </w:r>
    </w:p>
    <w:p>
      <w:pPr>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9.</w:t>
      </w:r>
      <w:r>
        <w:rPr>
          <w:rFonts w:hint="eastAsia" w:ascii="Times New Roman" w:hAnsi="Times New Roman" w:eastAsia="宋体" w:cs="Times New Roman"/>
          <w:bCs/>
          <w:sz w:val="24"/>
          <w:szCs w:val="24"/>
        </w:rPr>
        <w:t>要求投标方必须在近三年内为国内外厂家提供过同类型项目案例。投标文件中必须附有与本招标设备相同或相似技术规格、型号的设备的市场销售业绩清单。</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10.投标方应在确保改造后的产线可以安全稳定运行，并且具备生产现有及项目内要求的新增车型的能力。</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11.投标方积极协助和提供招标方和招标方所委托的工程设计单位有关人员与标的物有关的工程设计资料。</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12.投标方所供的设备，必须符合中国最新版的法律、法规和相关标准、规范的要求。</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13.投标方所供设备涉及的专利权技术以及知识产权保护其它技术等，应保证招标方不因此受到第三方侵权指控以及实际损失。</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14.投标方应满足招标方提出的各项技术要求。</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15.投标方应对招标方采购的设备所涉及的产品、技术、产能等信息负有保密义务。</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16.本技术要求，仅对功能、设计、结构、性能、安装和试验等方面，提出了最低和一般性的技术要求；并未对一切技术细节做出规定，未充分引述有关标准和规范的条文。投标方应保证提供的货物是符合本技术标书和国家最新的有关标准、规范的优质产品。若有异议，应在投标文件“技术偏离”中予以详细说明。</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17.本技术要求所使用的标准、规范等，如与投标方所执行的标准、规范不一致时，应按高于本技术要求所列的标准、规范执行，并在投标文件“技术偏离”中予以说明。</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18.投标方认为所供货物必需由招标方配备、解决或提供的其它要求，如设备基础隔振和减振设施、洁净气源等，均应在投标文件中予以充分说明。</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19.投标方可以根据自身经验以及对招标文件的理解，写明买方招标设备（或材料）应进行的优于招标文件要求的其它方案或建议意见；投标方的这些努力，买方表示感谢，并将有助于投标方优先胜出；即使有建议意见或建议方案，仍应依据招标文件要求，编写符合要求的投标文件。建议方案或建议意见，应以单独篇章或文件，予以说明。</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20.投标时提供的内容必须进行详细说明。在投标时提供设备主要部件、外购件明细表、易损件备品备件清单和相应特殊维修工具明细等，要考虑这些部件在中国使用的可行性。并提供关键部件的质保周期和响应时间清单。</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*21.在本标书中没有提及到的部分，所有供应商必须保证设备各部分功能齐全并便于使用，这部分价格应该包含在报价中，而不得另行加价。</w:t>
      </w:r>
    </w:p>
    <w:p>
      <w:pPr>
        <w:spacing w:line="360" w:lineRule="auto"/>
        <w:ind w:firstLine="480" w:firstLineChars="200"/>
        <w:rPr>
          <w:rFonts w:ascii="宋体" w:hAnsi="宋体" w:eastAsia="宋体" w:cs="Times New Roman"/>
          <w:sz w:val="24"/>
          <w:szCs w:val="24"/>
        </w:rPr>
      </w:pPr>
      <w:r>
        <w:rPr>
          <w:rFonts w:hint="eastAsia" w:ascii="Times New Roman" w:hAnsi="Times New Roman" w:eastAsia="宋体" w:cs="Times New Roman"/>
          <w:bCs/>
          <w:sz w:val="24"/>
          <w:szCs w:val="24"/>
        </w:rPr>
        <w:t>22.本招标文件中所有加注“*”的条款为否决项，不允许出现偏离。</w:t>
      </w:r>
    </w:p>
    <w:p>
      <w:pPr>
        <w:pStyle w:val="117"/>
        <w:spacing w:line="360" w:lineRule="auto"/>
        <w:ind w:firstLine="482" w:firstLineChars="200"/>
        <w:outlineLvl w:val="2"/>
        <w:rPr>
          <w:rFonts w:eastAsia="宋体" w:cs="宋体"/>
          <w:b/>
          <w:bCs w:val="0"/>
          <w:sz w:val="24"/>
          <w:szCs w:val="24"/>
        </w:rPr>
      </w:pPr>
      <w:r>
        <w:rPr>
          <w:rFonts w:hint="eastAsia" w:eastAsia="宋体" w:cs="宋体"/>
          <w:b/>
          <w:bCs w:val="0"/>
          <w:sz w:val="24"/>
          <w:szCs w:val="24"/>
        </w:rPr>
        <w:t>三、技术要求</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3.1法律、法规、技术标准要求</w:t>
      </w:r>
    </w:p>
    <w:p>
      <w:pPr>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双方签订的技术协议</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双方会签的</w:t>
      </w:r>
      <w:r>
        <w:rPr>
          <w:rFonts w:hint="eastAsia" w:ascii="Times New Roman" w:hAnsi="Times New Roman" w:eastAsia="宋体" w:cs="Times New Roman"/>
          <w:bCs/>
          <w:sz w:val="24"/>
          <w:szCs w:val="24"/>
        </w:rPr>
        <w:t>图纸、</w:t>
      </w:r>
      <w:r>
        <w:rPr>
          <w:rFonts w:ascii="Times New Roman" w:hAnsi="Times New Roman" w:eastAsia="宋体" w:cs="Times New Roman"/>
          <w:bCs/>
          <w:sz w:val="24"/>
          <w:szCs w:val="24"/>
        </w:rPr>
        <w:t>双方签订的会议纪要</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安全规范和标准</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防火规范和标准</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环保规范和标准</w:t>
      </w:r>
    </w:p>
    <w:p>
      <w:pPr>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设备采用材质合格证明及分析报告</w:t>
      </w:r>
    </w:p>
    <w:p>
      <w:pPr>
        <w:spacing w:line="360" w:lineRule="auto"/>
        <w:ind w:firstLine="480" w:firstLineChars="200"/>
        <w:rPr>
          <w:rFonts w:ascii="宋体" w:hAnsi="宋体" w:eastAsia="宋体" w:cs="宋体"/>
          <w:b/>
          <w:sz w:val="24"/>
          <w:szCs w:val="24"/>
        </w:rPr>
      </w:pPr>
      <w:r>
        <w:rPr>
          <w:rFonts w:ascii="Times New Roman" w:hAnsi="Times New Roman" w:eastAsia="宋体" w:cs="Times New Roman"/>
          <w:bCs/>
          <w:sz w:val="24"/>
          <w:szCs w:val="24"/>
        </w:rPr>
        <w:t>消防设备由招标方负责通过公安、消防部门验收</w:t>
      </w:r>
      <w:r>
        <w:rPr>
          <w:rFonts w:hint="eastAsia" w:ascii="Times New Roman" w:hAnsi="Times New Roman" w:eastAsia="宋体" w:cs="Times New Roman"/>
          <w:bCs/>
          <w:sz w:val="24"/>
          <w:szCs w:val="24"/>
        </w:rPr>
        <w:t>。</w:t>
      </w:r>
    </w:p>
    <w:p>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●《劳动安全和劳动卫生管理》。</w:t>
      </w:r>
    </w:p>
    <w:p>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w:t>
      </w:r>
      <w:r>
        <w:rPr>
          <w:rFonts w:ascii="宋体" w:hAnsi="宋体" w:eastAsia="宋体" w:cs="宋体"/>
          <w:kern w:val="0"/>
          <w:sz w:val="24"/>
          <w:szCs w:val="24"/>
        </w:rPr>
        <w:t>固定式钢梯及平台安全要求第1部分：钢直梯</w:t>
      </w:r>
      <w:r>
        <w:rPr>
          <w:rFonts w:hint="eastAsia" w:ascii="宋体" w:hAnsi="宋体" w:eastAsia="宋体" w:cs="宋体"/>
          <w:kern w:val="0"/>
          <w:sz w:val="24"/>
          <w:szCs w:val="24"/>
        </w:rPr>
        <w:t>》。</w:t>
      </w:r>
    </w:p>
    <w:p>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w:t>
      </w:r>
      <w:r>
        <w:rPr>
          <w:rFonts w:ascii="宋体" w:hAnsi="宋体" w:eastAsia="宋体" w:cs="宋体"/>
          <w:kern w:val="0"/>
          <w:sz w:val="24"/>
          <w:szCs w:val="24"/>
        </w:rPr>
        <w:t>固定式钢梯及平台安全要求第2部分：钢斜梯</w:t>
      </w:r>
      <w:r>
        <w:rPr>
          <w:rFonts w:hint="eastAsia" w:ascii="宋体" w:hAnsi="宋体" w:eastAsia="宋体" w:cs="宋体"/>
          <w:kern w:val="0"/>
          <w:sz w:val="24"/>
          <w:szCs w:val="24"/>
        </w:rPr>
        <w:t>》。</w:t>
      </w:r>
    </w:p>
    <w:p>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w:t>
      </w:r>
      <w:r>
        <w:rPr>
          <w:rFonts w:ascii="宋体" w:hAnsi="宋体" w:eastAsia="宋体" w:cs="宋体"/>
          <w:kern w:val="0"/>
          <w:sz w:val="24"/>
          <w:szCs w:val="24"/>
        </w:rPr>
        <w:t>固定式钢梯及平台安全要求第3部分：工业防护栏及钢平台</w:t>
      </w:r>
      <w:r>
        <w:rPr>
          <w:rFonts w:hint="eastAsia" w:ascii="宋体" w:hAnsi="宋体" w:eastAsia="宋体" w:cs="宋体"/>
          <w:kern w:val="0"/>
          <w:sz w:val="24"/>
          <w:szCs w:val="24"/>
        </w:rPr>
        <w:t>》。</w:t>
      </w:r>
    </w:p>
    <w:p>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●《机械设备安装工程施工及验收通用规范》。</w:t>
      </w:r>
    </w:p>
    <w:p>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●《电气装置安装工程电缆线路装置施工及验收通用规范》。</w:t>
      </w:r>
    </w:p>
    <w:p>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●《电气装置安装工程低压电器施工及验收通用规范》。</w:t>
      </w:r>
    </w:p>
    <w:p>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●《电气装置安装工程接地装置施工及验收通用规范》。</w:t>
      </w:r>
    </w:p>
    <w:p>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 其它国家和行业相关的技术标准规范等。</w:t>
      </w:r>
    </w:p>
    <w:p>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 乙方企标高于上述标准时优先采用乙方企标。</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3</w:t>
      </w:r>
      <w:r>
        <w:rPr>
          <w:rFonts w:ascii="宋体" w:hAnsi="宋体" w:eastAsia="宋体" w:cs="宋体"/>
          <w:b/>
          <w:sz w:val="24"/>
          <w:szCs w:val="24"/>
        </w:rPr>
        <w:t>.2</w:t>
      </w:r>
      <w:r>
        <w:rPr>
          <w:rFonts w:hint="eastAsia" w:ascii="宋体" w:hAnsi="宋体" w:eastAsia="宋体" w:cs="宋体"/>
          <w:b/>
          <w:sz w:val="24"/>
          <w:szCs w:val="24"/>
        </w:rPr>
        <w:t>技术参数</w:t>
      </w:r>
    </w:p>
    <w:p>
      <w:pPr>
        <w:pStyle w:val="9"/>
        <w:tabs>
          <w:tab w:val="left" w:pos="525"/>
        </w:tabs>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w:t>
      </w:r>
      <w:r>
        <w:rPr>
          <w:rFonts w:ascii="宋体" w:hAnsi="宋体" w:eastAsia="宋体" w:cs="宋体"/>
          <w:sz w:val="24"/>
          <w:szCs w:val="24"/>
        </w:rPr>
        <w:t>2</w:t>
      </w:r>
      <w:r>
        <w:rPr>
          <w:rFonts w:hint="eastAsia" w:ascii="宋体" w:hAnsi="宋体" w:eastAsia="宋体" w:cs="宋体"/>
          <w:sz w:val="24"/>
          <w:szCs w:val="24"/>
        </w:rPr>
        <w:t>.1环境条件</w:t>
      </w:r>
    </w:p>
    <w:p>
      <w:pPr>
        <w:pStyle w:val="9"/>
        <w:numPr>
          <w:ilvl w:val="0"/>
          <w:numId w:val="16"/>
        </w:numPr>
        <w:tabs>
          <w:tab w:val="left" w:pos="1134"/>
        </w:tabs>
        <w:spacing w:line="360" w:lineRule="auto"/>
        <w:ind w:left="0" w:firstLine="480" w:firstLineChars="200"/>
        <w:rPr>
          <w:rFonts w:ascii="宋体" w:hAnsi="宋体" w:eastAsia="宋体" w:cs="宋体"/>
          <w:sz w:val="24"/>
          <w:szCs w:val="24"/>
        </w:rPr>
      </w:pPr>
      <w:r>
        <w:rPr>
          <w:rFonts w:hint="eastAsia" w:ascii="宋体" w:hAnsi="宋体" w:eastAsia="宋体" w:cs="宋体"/>
          <w:sz w:val="24"/>
          <w:szCs w:val="24"/>
        </w:rPr>
        <w:t>环境温度：-</w:t>
      </w:r>
      <w:r>
        <w:rPr>
          <w:rFonts w:ascii="宋体" w:hAnsi="宋体" w:eastAsia="宋体" w:cs="宋体"/>
          <w:sz w:val="24"/>
          <w:szCs w:val="24"/>
        </w:rPr>
        <w:t>25</w:t>
      </w:r>
      <w:r>
        <w:rPr>
          <w:rFonts w:hint="eastAsia" w:ascii="宋体" w:hAnsi="宋体" w:eastAsia="宋体" w:cs="宋体"/>
          <w:sz w:val="24"/>
          <w:szCs w:val="24"/>
        </w:rPr>
        <w:t>℃～45℃；</w:t>
      </w:r>
    </w:p>
    <w:p>
      <w:pPr>
        <w:pStyle w:val="9"/>
        <w:numPr>
          <w:ilvl w:val="0"/>
          <w:numId w:val="16"/>
        </w:numPr>
        <w:tabs>
          <w:tab w:val="left" w:pos="1134"/>
        </w:tabs>
        <w:spacing w:line="360" w:lineRule="auto"/>
        <w:ind w:left="0" w:firstLine="480" w:firstLineChars="200"/>
        <w:rPr>
          <w:rFonts w:ascii="宋体" w:hAnsi="宋体" w:eastAsia="宋体" w:cs="宋体"/>
          <w:sz w:val="24"/>
          <w:szCs w:val="24"/>
        </w:rPr>
      </w:pPr>
      <w:r>
        <w:rPr>
          <w:rFonts w:hint="eastAsia" w:ascii="宋体" w:hAnsi="宋体" w:eastAsia="宋体" w:cs="宋体"/>
          <w:sz w:val="24"/>
          <w:szCs w:val="24"/>
        </w:rPr>
        <w:t>相对湿度：≤90%；</w:t>
      </w:r>
    </w:p>
    <w:p>
      <w:pPr>
        <w:pStyle w:val="9"/>
        <w:numPr>
          <w:ilvl w:val="0"/>
          <w:numId w:val="16"/>
        </w:numPr>
        <w:tabs>
          <w:tab w:val="left" w:pos="1134"/>
        </w:tabs>
        <w:spacing w:line="360" w:lineRule="auto"/>
        <w:ind w:left="0" w:firstLine="480" w:firstLineChars="200"/>
        <w:rPr>
          <w:rFonts w:ascii="宋体" w:hAnsi="宋体" w:eastAsia="宋体" w:cs="宋体"/>
          <w:sz w:val="24"/>
          <w:szCs w:val="24"/>
        </w:rPr>
      </w:pPr>
      <w:r>
        <w:rPr>
          <w:rFonts w:hint="eastAsia" w:ascii="宋体" w:hAnsi="宋体" w:eastAsia="宋体" w:cs="宋体"/>
          <w:sz w:val="24"/>
          <w:szCs w:val="24"/>
        </w:rPr>
        <w:t>海拔高度：≤4000m；</w:t>
      </w:r>
    </w:p>
    <w:p>
      <w:pPr>
        <w:pStyle w:val="9"/>
        <w:numPr>
          <w:ilvl w:val="0"/>
          <w:numId w:val="16"/>
        </w:numPr>
        <w:tabs>
          <w:tab w:val="left" w:pos="1134"/>
        </w:tabs>
        <w:spacing w:line="360" w:lineRule="auto"/>
        <w:ind w:left="0" w:firstLine="480" w:firstLineChars="200"/>
        <w:rPr>
          <w:rFonts w:ascii="宋体" w:hAnsi="宋体" w:eastAsia="宋体" w:cs="宋体"/>
          <w:sz w:val="24"/>
          <w:szCs w:val="24"/>
        </w:rPr>
      </w:pPr>
      <w:r>
        <w:rPr>
          <w:rFonts w:hint="eastAsia" w:ascii="宋体" w:hAnsi="宋体" w:eastAsia="宋体" w:cs="宋体"/>
          <w:sz w:val="24"/>
          <w:szCs w:val="24"/>
        </w:rPr>
        <w:t>大气压强：80kPa～110kPa；</w:t>
      </w:r>
    </w:p>
    <w:p>
      <w:pPr>
        <w:pStyle w:val="9"/>
        <w:numPr>
          <w:ilvl w:val="0"/>
          <w:numId w:val="16"/>
        </w:numPr>
        <w:tabs>
          <w:tab w:val="left" w:pos="1134"/>
        </w:tabs>
        <w:spacing w:line="360" w:lineRule="auto"/>
        <w:ind w:left="0" w:firstLine="480" w:firstLineChars="200"/>
        <w:rPr>
          <w:rFonts w:ascii="宋体" w:hAnsi="宋体" w:eastAsia="宋体" w:cs="宋体"/>
          <w:sz w:val="24"/>
          <w:szCs w:val="24"/>
        </w:rPr>
      </w:pPr>
      <w:r>
        <w:rPr>
          <w:rFonts w:hint="eastAsia" w:ascii="宋体" w:hAnsi="宋体" w:eastAsia="宋体" w:cs="宋体"/>
          <w:sz w:val="24"/>
          <w:szCs w:val="24"/>
        </w:rPr>
        <w:t>电力</w:t>
      </w:r>
      <w:r>
        <w:rPr>
          <w:rFonts w:ascii="宋体" w:hAnsi="宋体" w:eastAsia="宋体" w:cs="宋体"/>
          <w:sz w:val="24"/>
          <w:szCs w:val="24"/>
        </w:rPr>
        <w:t>:中国制式，三相五线制供电，供电电压 380V士10%/220V士10%，供电频率50Hz士0.5Hz。</w:t>
      </w:r>
    </w:p>
    <w:p>
      <w:pPr>
        <w:pStyle w:val="9"/>
        <w:tabs>
          <w:tab w:val="left" w:pos="525"/>
        </w:tabs>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3.</w:t>
      </w:r>
      <w:r>
        <w:rPr>
          <w:rFonts w:ascii="宋体" w:hAnsi="宋体" w:eastAsia="宋体" w:cs="宋体"/>
          <w:b/>
          <w:bCs/>
          <w:sz w:val="24"/>
          <w:szCs w:val="24"/>
        </w:rPr>
        <w:t>2</w:t>
      </w:r>
      <w:r>
        <w:rPr>
          <w:rFonts w:hint="eastAsia" w:ascii="宋体" w:hAnsi="宋体" w:eastAsia="宋体" w:cs="宋体"/>
          <w:b/>
          <w:bCs/>
          <w:sz w:val="24"/>
          <w:szCs w:val="24"/>
        </w:rPr>
        <w:t>.</w:t>
      </w:r>
      <w:r>
        <w:rPr>
          <w:rFonts w:ascii="宋体" w:hAnsi="宋体" w:eastAsia="宋体" w:cs="宋体"/>
          <w:b/>
          <w:bCs/>
          <w:sz w:val="24"/>
          <w:szCs w:val="24"/>
        </w:rPr>
        <w:t>2</w:t>
      </w:r>
      <w:r>
        <w:rPr>
          <w:rFonts w:hint="eastAsia" w:ascii="宋体" w:hAnsi="宋体" w:eastAsia="宋体" w:cs="宋体"/>
          <w:b/>
          <w:bCs/>
          <w:sz w:val="24"/>
          <w:szCs w:val="24"/>
        </w:rPr>
        <w:t xml:space="preserve"> 车型主要变化点</w:t>
      </w:r>
    </w:p>
    <w:p>
      <w:pPr>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1、标靶参数及场地要求</w:t>
      </w:r>
    </w:p>
    <w:p>
      <w:pPr>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（1）雷达摄像头标靶新增“标定板平整度≤±3mm”的要求；</w:t>
      </w:r>
    </w:p>
    <w:p>
      <w:pPr>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（2）车辆前方净空区新增“不允许出现金属金属反射物体、标靶类似色彩图案”的要求。</w:t>
      </w:r>
    </w:p>
    <w:p>
      <w:pPr>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2、车辆相对位置</w:t>
      </w:r>
    </w:p>
    <w:p>
      <w:pPr>
        <w:spacing w:line="360" w:lineRule="auto"/>
        <w:ind w:left="420" w:leftChars="200"/>
        <w:rPr>
          <w:ins w:id="0" w:author="王梦蛟" w:date="2025-10-22T16:43:00Z"/>
          <w:rFonts w:ascii="宋体" w:hAnsi="宋体" w:eastAsia="宋体" w:cs="宋体"/>
          <w:kern w:val="0"/>
          <w:sz w:val="24"/>
          <w:szCs w:val="24"/>
        </w:rPr>
      </w:pPr>
      <w:r>
        <w:rPr>
          <w:rFonts w:hint="eastAsia" w:ascii="宋体" w:hAnsi="宋体" w:eastAsia="宋体" w:cs="宋体"/>
          <w:kern w:val="0"/>
          <w:sz w:val="24"/>
          <w:szCs w:val="24"/>
        </w:rPr>
        <w:t>（1）</w:t>
      </w:r>
      <w:r>
        <w:rPr>
          <w:rFonts w:ascii="宋体" w:hAnsi="宋体" w:eastAsia="宋体" w:cs="宋体"/>
          <w:kern w:val="0"/>
          <w:sz w:val="24"/>
          <w:szCs w:val="24"/>
        </w:rPr>
        <w:t>雷达及摄像头标定时新增“车身行驶轴线需要与标定板法线水平” 的要求；</w:t>
      </w:r>
      <w:r>
        <w:rPr>
          <w:rFonts w:hint="eastAsia" w:ascii="宋体" w:hAnsi="宋体" w:eastAsia="宋体" w:cs="宋体"/>
          <w:kern w:val="0"/>
          <w:sz w:val="24"/>
          <w:szCs w:val="24"/>
        </w:rPr>
        <w:t>（2）</w:t>
      </w:r>
      <w:r>
        <w:rPr>
          <w:rFonts w:ascii="宋体" w:hAnsi="宋体" w:eastAsia="宋体" w:cs="宋体"/>
          <w:kern w:val="0"/>
          <w:sz w:val="24"/>
          <w:szCs w:val="24"/>
        </w:rPr>
        <w:t>雷达标靶与车辆雷达的距离由“1.2m-2m”修改为“1.2±0.05m”</w:t>
      </w:r>
      <w:r>
        <w:rPr>
          <w:rFonts w:hint="eastAsia" w:ascii="宋体" w:hAnsi="宋体" w:eastAsia="宋体" w:cs="宋体"/>
          <w:kern w:val="0"/>
          <w:sz w:val="24"/>
          <w:szCs w:val="24"/>
        </w:rPr>
        <w:t>。</w:t>
      </w:r>
    </w:p>
    <w:p>
      <w:pPr>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（3）确保校准前，车辆已完成四轮定位, 车辆被四轮定位系统固定后侧倾角、俯仰角、横摆角应均为“0”。</w:t>
      </w:r>
    </w:p>
    <w:p>
      <w:pPr>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3、标靶调节精度</w:t>
      </w:r>
    </w:p>
    <w:p>
      <w:pPr>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（1）雷达标靶新增“±1mm横向/纵向调节精度”的要求；</w:t>
      </w:r>
    </w:p>
    <w:p>
      <w:pPr>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（2）摄像头标靶中心线相对于车辆中轴线的横向偏差由“±3cm”修改为“±1cm”；</w:t>
      </w:r>
    </w:p>
    <w:p>
      <w:pPr>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（3）摄像头标靶相对于垂直方向、水平方向的转动角度分别由“±10deg”、 “±5deg”统一修改为“±0.5deg”。</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3.3项目内容</w:t>
      </w:r>
    </w:p>
    <w:p>
      <w:pPr>
        <w:spacing w:line="360" w:lineRule="auto"/>
        <w:ind w:left="480"/>
        <w:rPr>
          <w:rFonts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w:t>
      </w:r>
      <w:r>
        <w:rPr>
          <w:rFonts w:ascii="宋体" w:hAnsi="宋体" w:eastAsia="宋体" w:cs="宋体"/>
          <w:sz w:val="24"/>
          <w:szCs w:val="24"/>
        </w:rPr>
        <w:t>雷达摄像头标靶改造</w:t>
      </w:r>
    </w:p>
    <w:p>
      <w:pPr>
        <w:spacing w:line="360" w:lineRule="auto"/>
        <w:ind w:firstLine="480" w:firstLineChars="200"/>
        <w:rPr>
          <w:rFonts w:ascii="宋体" w:hAnsi="宋体" w:eastAsia="宋体" w:cs="宋体"/>
          <w:sz w:val="24"/>
          <w:szCs w:val="24"/>
        </w:rPr>
      </w:pPr>
      <w:r>
        <w:rPr>
          <w:rFonts w:ascii="宋体" w:hAnsi="宋体" w:eastAsia="宋体" w:cs="宋体"/>
          <w:sz w:val="24"/>
          <w:szCs w:val="24"/>
        </w:rPr>
        <w:t xml:space="preserve">1.1 </w:t>
      </w:r>
      <w:r>
        <w:rPr>
          <w:rFonts w:hint="eastAsia" w:ascii="宋体" w:hAnsi="宋体" w:eastAsia="宋体" w:cs="宋体"/>
          <w:sz w:val="24"/>
          <w:szCs w:val="24"/>
        </w:rPr>
        <w:t>雷达标靶</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根据以下要求参数，设计加工雷达标靶：</w:t>
      </w:r>
    </w:p>
    <w:p>
      <w:pPr>
        <w:spacing w:line="360" w:lineRule="auto"/>
        <w:ind w:firstLine="960" w:firstLineChars="400"/>
        <w:rPr>
          <w:rFonts w:ascii="宋体" w:hAnsi="宋体" w:eastAsia="宋体" w:cs="宋体"/>
          <w:sz w:val="24"/>
          <w:szCs w:val="24"/>
        </w:rPr>
      </w:pPr>
      <w:r>
        <w:rPr>
          <w:rFonts w:hint="eastAsia" w:ascii="宋体" w:hAnsi="宋体" w:eastAsia="宋体" w:cs="宋体"/>
          <w:sz w:val="24"/>
          <w:szCs w:val="24"/>
        </w:rPr>
        <w:t>（1）反射板表面不允许穿孔及扎带捆扎，不允许有凹坑、弯折变形；</w:t>
      </w:r>
    </w:p>
    <w:p>
      <w:pPr>
        <w:spacing w:line="360" w:lineRule="auto"/>
        <w:ind w:firstLine="960" w:firstLineChars="400"/>
        <w:rPr>
          <w:rFonts w:ascii="宋体" w:hAnsi="宋体" w:eastAsia="宋体" w:cs="宋体"/>
          <w:sz w:val="24"/>
          <w:szCs w:val="24"/>
        </w:rPr>
      </w:pPr>
      <w:r>
        <w:rPr>
          <w:rFonts w:hint="eastAsia" w:ascii="宋体" w:hAnsi="宋体" w:eastAsia="宋体" w:cs="宋体"/>
          <w:sz w:val="24"/>
          <w:szCs w:val="24"/>
        </w:rPr>
        <w:t>（2）板材：钢板，铝</w:t>
      </w:r>
      <w:r>
        <w:rPr>
          <w:rFonts w:ascii="宋体" w:hAnsi="宋体" w:eastAsia="宋体" w:cs="宋体"/>
          <w:sz w:val="24"/>
          <w:szCs w:val="24"/>
        </w:rPr>
        <w:t xml:space="preserve"> ，铁；</w:t>
      </w:r>
    </w:p>
    <w:p>
      <w:pPr>
        <w:spacing w:line="360" w:lineRule="auto"/>
        <w:ind w:firstLine="960" w:firstLineChars="400"/>
        <w:rPr>
          <w:rFonts w:ascii="宋体" w:hAnsi="宋体" w:eastAsia="宋体" w:cs="宋体"/>
          <w:sz w:val="24"/>
          <w:szCs w:val="24"/>
        </w:rPr>
      </w:pPr>
      <w:r>
        <w:rPr>
          <w:rFonts w:hint="eastAsia" w:ascii="宋体" w:hAnsi="宋体" w:eastAsia="宋体" w:cs="宋体"/>
          <w:sz w:val="24"/>
          <w:szCs w:val="24"/>
        </w:rPr>
        <w:t>（3）面积</w:t>
      </w:r>
      <w:r>
        <w:rPr>
          <w:rFonts w:ascii="宋体" w:hAnsi="宋体" w:eastAsia="宋体" w:cs="宋体"/>
          <w:sz w:val="24"/>
          <w:szCs w:val="24"/>
        </w:rPr>
        <w:t xml:space="preserve"> ：0.8m*0.8m；</w:t>
      </w:r>
    </w:p>
    <w:p>
      <w:pPr>
        <w:spacing w:line="360" w:lineRule="auto"/>
        <w:ind w:firstLine="960" w:firstLineChars="400"/>
        <w:rPr>
          <w:rFonts w:ascii="宋体" w:hAnsi="宋体" w:eastAsia="宋体" w:cs="宋体"/>
          <w:sz w:val="24"/>
          <w:szCs w:val="24"/>
        </w:rPr>
      </w:pPr>
      <w:r>
        <w:rPr>
          <w:rFonts w:hint="eastAsia" w:ascii="宋体" w:hAnsi="宋体" w:eastAsia="宋体" w:cs="宋体"/>
          <w:sz w:val="24"/>
          <w:szCs w:val="24"/>
        </w:rPr>
        <w:t>（4）厚度</w:t>
      </w:r>
      <w:r>
        <w:rPr>
          <w:rFonts w:ascii="宋体" w:hAnsi="宋体" w:eastAsia="宋体" w:cs="宋体"/>
          <w:sz w:val="24"/>
          <w:szCs w:val="24"/>
        </w:rPr>
        <w:t xml:space="preserve"> ：反射表面厚度≥3mm，</w:t>
      </w:r>
      <w:r>
        <w:rPr>
          <w:rFonts w:hint="eastAsia" w:ascii="宋体" w:hAnsi="宋体" w:eastAsia="宋体" w:cs="宋体"/>
          <w:sz w:val="24"/>
          <w:szCs w:val="24"/>
        </w:rPr>
        <w:t>整体厚度（含背板及加强筋）不少</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于</w:t>
      </w:r>
      <w:r>
        <w:rPr>
          <w:rFonts w:ascii="宋体" w:hAnsi="宋体" w:eastAsia="宋体" w:cs="宋体"/>
          <w:sz w:val="24"/>
          <w:szCs w:val="24"/>
        </w:rPr>
        <w:t>20mm；</w:t>
      </w:r>
    </w:p>
    <w:p>
      <w:pPr>
        <w:spacing w:line="360" w:lineRule="auto"/>
        <w:ind w:firstLine="960" w:firstLineChars="400"/>
        <w:rPr>
          <w:rFonts w:ascii="宋体" w:hAnsi="宋体" w:eastAsia="宋体" w:cs="宋体"/>
          <w:sz w:val="24"/>
          <w:szCs w:val="24"/>
        </w:rPr>
      </w:pPr>
      <w:r>
        <w:rPr>
          <w:rFonts w:hint="eastAsia" w:ascii="宋体" w:hAnsi="宋体" w:eastAsia="宋体" w:cs="宋体"/>
          <w:sz w:val="24"/>
          <w:szCs w:val="24"/>
        </w:rPr>
        <w:t>（5）表面要求</w:t>
      </w:r>
      <w:r>
        <w:rPr>
          <w:rFonts w:ascii="宋体" w:hAnsi="宋体" w:eastAsia="宋体" w:cs="宋体"/>
          <w:sz w:val="24"/>
          <w:szCs w:val="24"/>
        </w:rPr>
        <w:t xml:space="preserve"> ：表面平整度</w:t>
      </w:r>
      <w:r>
        <w:rPr>
          <w:rFonts w:hint="eastAsia" w:ascii="宋体" w:hAnsi="宋体" w:eastAsia="宋体" w:cs="宋体"/>
          <w:sz w:val="24"/>
          <w:szCs w:val="24"/>
        </w:rPr>
        <w:t>为</w:t>
      </w:r>
      <w:r>
        <w:rPr>
          <w:rFonts w:ascii="宋体" w:hAnsi="宋体" w:eastAsia="宋体" w:cs="宋体"/>
          <w:sz w:val="24"/>
          <w:szCs w:val="24"/>
        </w:rPr>
        <w:t xml:space="preserve">100mm*100mm 区块内小于 0.05mm </w:t>
      </w:r>
      <w:r>
        <w:rPr>
          <w:rFonts w:hint="eastAsia" w:ascii="宋体" w:hAnsi="宋体" w:eastAsia="宋体" w:cs="宋体"/>
          <w:sz w:val="24"/>
          <w:szCs w:val="24"/>
        </w:rPr>
        <w:t>，</w:t>
      </w:r>
      <w:r>
        <w:rPr>
          <w:rFonts w:ascii="宋体" w:hAnsi="宋体" w:eastAsia="宋体" w:cs="宋体"/>
          <w:sz w:val="24"/>
          <w:szCs w:val="24"/>
        </w:rPr>
        <w:t>表面粗糙度 R</w:t>
      </w:r>
      <w:r>
        <w:rPr>
          <w:rFonts w:ascii="宋体" w:hAnsi="宋体" w:eastAsia="宋体" w:cs="宋体"/>
          <w:sz w:val="24"/>
          <w:szCs w:val="24"/>
          <w:vertAlign w:val="subscript"/>
        </w:rPr>
        <w:t>Z</w:t>
      </w:r>
      <w:r>
        <w:rPr>
          <w:rFonts w:ascii="宋体" w:hAnsi="宋体" w:eastAsia="宋体" w:cs="宋体"/>
          <w:sz w:val="24"/>
          <w:szCs w:val="24"/>
        </w:rPr>
        <w:t xml:space="preserve"> &lt; 50。</w:t>
      </w:r>
    </w:p>
    <w:p>
      <w:pPr>
        <w:spacing w:line="360" w:lineRule="auto"/>
        <w:jc w:val="center"/>
        <w:rPr>
          <w:rFonts w:ascii="宋体" w:hAnsi="宋体" w:eastAsia="宋体" w:cs="宋体"/>
          <w:sz w:val="24"/>
          <w:szCs w:val="24"/>
        </w:rPr>
      </w:pPr>
      <w:r>
        <w:drawing>
          <wp:inline distT="0" distB="0" distL="0" distR="0">
            <wp:extent cx="2917190" cy="1799590"/>
            <wp:effectExtent l="0" t="0" r="0" b="0"/>
            <wp:docPr id="1" name="图片 1"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包含 图形用户界面&#10;&#10;描述已自动生成"/>
                    <pic:cNvPicPr>
                      <a:picLocks noChangeAspect="1"/>
                    </pic:cNvPicPr>
                  </pic:nvPicPr>
                  <pic:blipFill>
                    <a:blip r:embed="rId40"/>
                    <a:stretch>
                      <a:fillRect/>
                    </a:stretch>
                  </pic:blipFill>
                  <pic:spPr>
                    <a:xfrm>
                      <a:off x="0" y="0"/>
                      <a:ext cx="2917241" cy="1800000"/>
                    </a:xfrm>
                    <a:prstGeom prst="rect">
                      <a:avLst/>
                    </a:prstGeom>
                  </pic:spPr>
                </pic:pic>
              </a:graphicData>
            </a:graphic>
          </wp:inline>
        </w:drawing>
      </w:r>
    </w:p>
    <w:p>
      <w:pPr>
        <w:spacing w:line="360" w:lineRule="auto"/>
        <w:ind w:left="480"/>
        <w:rPr>
          <w:rFonts w:ascii="宋体" w:hAnsi="宋体" w:eastAsia="宋体" w:cs="宋体"/>
          <w:sz w:val="24"/>
          <w:szCs w:val="24"/>
        </w:rPr>
      </w:pPr>
      <w:r>
        <w:rPr>
          <w:rFonts w:ascii="宋体" w:hAnsi="宋体" w:eastAsia="宋体" w:cs="宋体"/>
          <w:sz w:val="24"/>
          <w:szCs w:val="24"/>
        </w:rPr>
        <w:t xml:space="preserve"> </w:t>
      </w:r>
      <w:r>
        <w:rPr>
          <w:rFonts w:hint="eastAsia" w:ascii="宋体" w:hAnsi="宋体" w:eastAsia="宋体" w:cs="宋体"/>
          <w:sz w:val="24"/>
          <w:szCs w:val="24"/>
        </w:rPr>
        <w:t>1</w:t>
      </w:r>
      <w:r>
        <w:rPr>
          <w:rFonts w:ascii="宋体" w:hAnsi="宋体" w:eastAsia="宋体" w:cs="宋体"/>
          <w:sz w:val="24"/>
          <w:szCs w:val="24"/>
        </w:rPr>
        <w:t xml:space="preserve">.2 </w:t>
      </w:r>
      <w:r>
        <w:rPr>
          <w:rFonts w:hint="eastAsia" w:ascii="宋体" w:hAnsi="宋体" w:eastAsia="宋体" w:cs="宋体"/>
          <w:sz w:val="24"/>
          <w:szCs w:val="24"/>
        </w:rPr>
        <w:t>摄像头标靶</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根据以下要求参数，设计加工摄像头标靶：</w:t>
      </w:r>
    </w:p>
    <w:p>
      <w:pPr>
        <w:spacing w:line="360" w:lineRule="auto"/>
        <w:ind w:left="480" w:firstLine="480" w:firstLineChars="200"/>
        <w:rPr>
          <w:rFonts w:ascii="宋体" w:hAnsi="宋体" w:eastAsia="宋体" w:cs="宋体"/>
          <w:sz w:val="24"/>
          <w:szCs w:val="24"/>
        </w:rPr>
      </w:pPr>
      <w:r>
        <w:rPr>
          <w:rFonts w:hint="eastAsia" w:ascii="宋体" w:hAnsi="宋体" w:eastAsia="宋体" w:cs="宋体"/>
          <w:sz w:val="24"/>
          <w:szCs w:val="24"/>
        </w:rPr>
        <w:t>（1）标定板为远近两块，也可以一块标定板通过前后移动实现；</w:t>
      </w:r>
    </w:p>
    <w:p>
      <w:pPr>
        <w:spacing w:line="360" w:lineRule="auto"/>
        <w:ind w:left="480" w:firstLine="480" w:firstLineChars="200"/>
        <w:rPr>
          <w:rFonts w:ascii="宋体" w:hAnsi="宋体" w:eastAsia="宋体" w:cs="宋体"/>
          <w:sz w:val="24"/>
          <w:szCs w:val="24"/>
        </w:rPr>
      </w:pPr>
      <w:r>
        <w:rPr>
          <w:rFonts w:hint="eastAsia" w:ascii="宋体" w:hAnsi="宋体" w:eastAsia="宋体" w:cs="宋体"/>
          <w:sz w:val="24"/>
          <w:szCs w:val="24"/>
        </w:rPr>
        <w:t>（2）标定板图案中黑色的色号为</w:t>
      </w:r>
      <w:r>
        <w:rPr>
          <w:rFonts w:ascii="宋体" w:hAnsi="宋体" w:eastAsia="宋体" w:cs="宋体"/>
          <w:sz w:val="24"/>
          <w:szCs w:val="24"/>
        </w:rPr>
        <w:t>0、白色的色号255 ，顺序应完全</w:t>
      </w:r>
    </w:p>
    <w:p>
      <w:pPr>
        <w:spacing w:line="360" w:lineRule="auto"/>
        <w:ind w:left="480"/>
        <w:rPr>
          <w:rFonts w:ascii="宋体" w:hAnsi="宋体" w:eastAsia="宋体" w:cs="宋体"/>
          <w:sz w:val="24"/>
          <w:szCs w:val="24"/>
        </w:rPr>
      </w:pPr>
      <w:r>
        <w:rPr>
          <w:rFonts w:hint="eastAsia" w:ascii="宋体" w:hAnsi="宋体" w:eastAsia="宋体" w:cs="宋体"/>
          <w:sz w:val="24"/>
          <w:szCs w:val="24"/>
        </w:rPr>
        <w:t>下图</w:t>
      </w:r>
      <w:r>
        <w:rPr>
          <w:rFonts w:ascii="宋体" w:hAnsi="宋体" w:eastAsia="宋体" w:cs="宋体"/>
          <w:sz w:val="24"/>
          <w:szCs w:val="24"/>
        </w:rPr>
        <w:t>一致 ；</w:t>
      </w:r>
    </w:p>
    <w:p>
      <w:pPr>
        <w:spacing w:line="360" w:lineRule="auto"/>
        <w:ind w:left="480" w:firstLine="480" w:firstLineChars="200"/>
        <w:rPr>
          <w:rFonts w:ascii="宋体" w:hAnsi="宋体" w:eastAsia="宋体" w:cs="宋体"/>
          <w:sz w:val="24"/>
          <w:szCs w:val="24"/>
        </w:rPr>
      </w:pPr>
      <w:r>
        <w:rPr>
          <w:rFonts w:hint="eastAsia" w:ascii="宋体" w:hAnsi="宋体" w:eastAsia="宋体" w:cs="宋体"/>
          <w:sz w:val="24"/>
          <w:szCs w:val="24"/>
        </w:rPr>
        <w:t>（3）标定板应平整</w:t>
      </w:r>
      <w:r>
        <w:rPr>
          <w:rFonts w:ascii="宋体" w:hAnsi="宋体" w:eastAsia="宋体" w:cs="宋体"/>
          <w:sz w:val="24"/>
          <w:szCs w:val="24"/>
        </w:rPr>
        <w:t xml:space="preserve"> ，标定板平整度≤±3mm；</w:t>
      </w:r>
    </w:p>
    <w:p>
      <w:pPr>
        <w:spacing w:line="360" w:lineRule="auto"/>
        <w:ind w:left="480" w:firstLine="480" w:firstLineChars="200"/>
        <w:rPr>
          <w:rFonts w:ascii="宋体" w:hAnsi="宋体" w:eastAsia="宋体" w:cs="宋体"/>
          <w:sz w:val="24"/>
          <w:szCs w:val="24"/>
        </w:rPr>
      </w:pPr>
      <w:r>
        <w:rPr>
          <w:rFonts w:hint="eastAsia" w:ascii="宋体" w:hAnsi="宋体" w:eastAsia="宋体" w:cs="宋体"/>
          <w:sz w:val="24"/>
          <w:szCs w:val="24"/>
        </w:rPr>
        <w:t>（4）标定板采用漫反射材料制作</w:t>
      </w:r>
      <w:r>
        <w:rPr>
          <w:rFonts w:ascii="宋体" w:hAnsi="宋体" w:eastAsia="宋体" w:cs="宋体"/>
          <w:sz w:val="24"/>
          <w:szCs w:val="24"/>
        </w:rPr>
        <w:t xml:space="preserve"> ；</w:t>
      </w:r>
    </w:p>
    <w:p>
      <w:pPr>
        <w:spacing w:line="360" w:lineRule="auto"/>
        <w:ind w:left="480" w:firstLine="480" w:firstLineChars="200"/>
        <w:rPr>
          <w:rFonts w:ascii="宋体" w:hAnsi="宋体" w:eastAsia="宋体" w:cs="宋体"/>
          <w:sz w:val="24"/>
          <w:szCs w:val="24"/>
        </w:rPr>
      </w:pPr>
      <w:r>
        <w:rPr>
          <w:rFonts w:hint="eastAsia" w:ascii="宋体" w:hAnsi="宋体" w:eastAsia="宋体" w:cs="宋体"/>
          <w:sz w:val="24"/>
          <w:szCs w:val="24"/>
        </w:rPr>
        <w:t>（5）标定板应位于室内，且应保证其不会因空气流动而晃动；</w:t>
      </w:r>
    </w:p>
    <w:p>
      <w:pPr>
        <w:spacing w:line="360" w:lineRule="auto"/>
        <w:ind w:left="480"/>
        <w:jc w:val="center"/>
        <w:rPr>
          <w:rFonts w:ascii="宋体" w:hAnsi="宋体" w:eastAsia="宋体" w:cs="宋体"/>
          <w:sz w:val="24"/>
          <w:szCs w:val="24"/>
        </w:rPr>
      </w:pPr>
      <w:r>
        <w:drawing>
          <wp:inline distT="0" distB="0" distL="0" distR="0">
            <wp:extent cx="612140" cy="1799590"/>
            <wp:effectExtent l="0" t="0" r="0" b="0"/>
            <wp:docPr id="4" name="图片 4" descr="图片包含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包含 示意图&#10;&#10;描述已自动生成"/>
                    <pic:cNvPicPr>
                      <a:picLocks noChangeAspect="1"/>
                    </pic:cNvPicPr>
                  </pic:nvPicPr>
                  <pic:blipFill>
                    <a:blip r:embed="rId41"/>
                    <a:stretch>
                      <a:fillRect/>
                    </a:stretch>
                  </pic:blipFill>
                  <pic:spPr>
                    <a:xfrm>
                      <a:off x="0" y="0"/>
                      <a:ext cx="612774" cy="1800000"/>
                    </a:xfrm>
                    <a:prstGeom prst="rect">
                      <a:avLst/>
                    </a:prstGeom>
                  </pic:spPr>
                </pic:pic>
              </a:graphicData>
            </a:graphic>
          </wp:inline>
        </w:drawing>
      </w:r>
    </w:p>
    <w:p>
      <w:pPr>
        <w:spacing w:line="360" w:lineRule="auto"/>
        <w:ind w:left="48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w:t>
      </w:r>
      <w:r>
        <w:rPr>
          <w:rFonts w:ascii="宋体" w:hAnsi="宋体" w:eastAsia="宋体" w:cs="宋体"/>
          <w:sz w:val="24"/>
          <w:szCs w:val="24"/>
        </w:rPr>
        <w:t>新建车辆位置数据采集系统</w:t>
      </w:r>
    </w:p>
    <w:p>
      <w:pPr>
        <w:spacing w:line="360" w:lineRule="auto"/>
        <w:ind w:left="480" w:firstLine="480" w:firstLineChars="200"/>
        <w:rPr>
          <w:rFonts w:ascii="宋体" w:hAnsi="宋体" w:eastAsia="宋体" w:cs="宋体"/>
          <w:sz w:val="24"/>
          <w:szCs w:val="24"/>
        </w:rPr>
      </w:pPr>
      <w:r>
        <w:rPr>
          <w:rFonts w:hint="eastAsia" w:ascii="宋体" w:hAnsi="宋体" w:eastAsia="宋体" w:cs="宋体"/>
          <w:sz w:val="24"/>
          <w:szCs w:val="24"/>
        </w:rPr>
        <w:t>（</w:t>
      </w:r>
      <w:r>
        <w:rPr>
          <w:rFonts w:ascii="宋体" w:hAnsi="宋体" w:eastAsia="宋体" w:cs="宋体"/>
          <w:sz w:val="24"/>
          <w:szCs w:val="24"/>
        </w:rPr>
        <w:t>1）建立数据传输接口，将四轮定位完成后的车辆位置数据传递给AEBS标定系统，计算出车辆中心线。使用双目测距照相机监控标靶与车辆的相对距离，控制标靶位置的自动移动。</w:t>
      </w:r>
    </w:p>
    <w:p>
      <w:pPr>
        <w:spacing w:line="360" w:lineRule="auto"/>
        <w:ind w:left="480"/>
        <w:jc w:val="center"/>
        <w:rPr>
          <w:rFonts w:ascii="宋体" w:hAnsi="宋体" w:eastAsia="宋体" w:cs="宋体"/>
          <w:sz w:val="24"/>
          <w:szCs w:val="24"/>
        </w:rPr>
      </w:pPr>
      <w:r>
        <w:drawing>
          <wp:inline distT="0" distB="0" distL="0" distR="0">
            <wp:extent cx="2740025" cy="1799590"/>
            <wp:effectExtent l="0" t="0" r="3175" b="0"/>
            <wp:docPr id="3" name="图片 3"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示, 工程绘图&#10;&#10;描述已自动生成"/>
                    <pic:cNvPicPr>
                      <a:picLocks noChangeAspect="1"/>
                    </pic:cNvPicPr>
                  </pic:nvPicPr>
                  <pic:blipFill>
                    <a:blip r:embed="rId42"/>
                    <a:stretch>
                      <a:fillRect/>
                    </a:stretch>
                  </pic:blipFill>
                  <pic:spPr>
                    <a:xfrm>
                      <a:off x="0" y="0"/>
                      <a:ext cx="2740118" cy="1800000"/>
                    </a:xfrm>
                    <a:prstGeom prst="rect">
                      <a:avLst/>
                    </a:prstGeom>
                  </pic:spPr>
                </pic:pic>
              </a:graphicData>
            </a:graphic>
          </wp:inline>
        </w:drawing>
      </w:r>
    </w:p>
    <w:p>
      <w:pPr>
        <w:spacing w:line="360" w:lineRule="auto"/>
        <w:ind w:left="480" w:firstLine="480" w:firstLineChars="200"/>
        <w:rPr>
          <w:rFonts w:ascii="宋体" w:hAnsi="宋体" w:eastAsia="宋体" w:cs="宋体"/>
          <w:sz w:val="24"/>
          <w:szCs w:val="24"/>
        </w:rPr>
      </w:pPr>
      <w:r>
        <w:rPr>
          <w:rFonts w:hint="eastAsia" w:ascii="宋体" w:hAnsi="宋体" w:eastAsia="宋体" w:cs="宋体"/>
          <w:sz w:val="24"/>
          <w:szCs w:val="24"/>
        </w:rPr>
        <w:t>（</w:t>
      </w:r>
      <w:r>
        <w:rPr>
          <w:rFonts w:ascii="宋体" w:hAnsi="宋体" w:eastAsia="宋体" w:cs="宋体"/>
          <w:sz w:val="24"/>
          <w:szCs w:val="24"/>
        </w:rPr>
        <w:t>2）标定设备与重汽EOL进行交互，由重汽EOL完成ADAS标定所需参数数据（雷达距前轴距离、雷达离地高度、摄像头距前轴距离、驱动形式、轴距等）下发。标定设备根据理论参数数据及测量结果实现标靶的调整。</w:t>
      </w:r>
    </w:p>
    <w:p>
      <w:pPr>
        <w:spacing w:line="360" w:lineRule="auto"/>
        <w:ind w:left="480" w:firstLine="480" w:firstLineChars="200"/>
        <w:rPr>
          <w:rFonts w:ascii="宋体" w:hAnsi="宋体" w:eastAsia="宋体" w:cs="宋体"/>
          <w:sz w:val="24"/>
          <w:szCs w:val="24"/>
        </w:rPr>
      </w:pPr>
      <w:r>
        <w:rPr>
          <w:rFonts w:ascii="宋体" w:hAnsi="宋体" w:eastAsia="宋体" w:cs="宋体"/>
          <w:sz w:val="24"/>
          <w:szCs w:val="24"/>
        </w:rPr>
        <w:t>标定过程设备与重汽EOL通过接口进行信息交互，进行标定结果及标靶到位信号的传递，实现雷达、摄像头的标定。</w:t>
      </w:r>
    </w:p>
    <w:p>
      <w:pPr>
        <w:spacing w:line="360" w:lineRule="auto"/>
        <w:jc w:val="center"/>
        <w:rPr>
          <w:rFonts w:ascii="宋体" w:hAnsi="宋体" w:eastAsia="宋体" w:cs="宋体"/>
          <w:sz w:val="24"/>
          <w:szCs w:val="24"/>
        </w:rPr>
      </w:pPr>
      <w:r>
        <w:drawing>
          <wp:inline distT="0" distB="0" distL="114300" distR="114300">
            <wp:extent cx="5039995" cy="553085"/>
            <wp:effectExtent l="0" t="0" r="8255"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43"/>
                    <a:stretch>
                      <a:fillRect/>
                    </a:stretch>
                  </pic:blipFill>
                  <pic:spPr>
                    <a:xfrm>
                      <a:off x="0" y="0"/>
                      <a:ext cx="5040000" cy="553209"/>
                    </a:xfrm>
                    <a:prstGeom prst="rect">
                      <a:avLst/>
                    </a:prstGeom>
                    <a:noFill/>
                    <a:ln>
                      <a:noFill/>
                    </a:ln>
                  </pic:spPr>
                </pic:pic>
              </a:graphicData>
            </a:graphic>
          </wp:inline>
        </w:drawing>
      </w:r>
    </w:p>
    <w:p>
      <w:pPr>
        <w:spacing w:line="360" w:lineRule="auto"/>
        <w:ind w:left="480"/>
        <w:rPr>
          <w:rFonts w:ascii="宋体" w:hAnsi="宋体" w:eastAsia="宋体" w:cs="宋体"/>
          <w:sz w:val="24"/>
          <w:szCs w:val="24"/>
        </w:rPr>
      </w:pPr>
    </w:p>
    <w:p>
      <w:pPr>
        <w:spacing w:line="360" w:lineRule="auto"/>
        <w:ind w:firstLine="480" w:firstLineChars="200"/>
        <w:rPr>
          <w:rFonts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w:t>
      </w:r>
      <w:r>
        <w:rPr>
          <w:rFonts w:ascii="宋体" w:hAnsi="宋体" w:eastAsia="宋体" w:cs="宋体"/>
          <w:sz w:val="24"/>
          <w:szCs w:val="24"/>
        </w:rPr>
        <w:t>标靶全自动位移系统改造</w:t>
      </w:r>
    </w:p>
    <w:p>
      <w:pPr>
        <w:spacing w:line="360" w:lineRule="auto"/>
        <w:ind w:left="480" w:firstLine="480" w:firstLineChars="200"/>
        <w:rPr>
          <w:rFonts w:ascii="宋体" w:hAnsi="宋体" w:eastAsia="宋体" w:cs="宋体"/>
          <w:sz w:val="24"/>
          <w:szCs w:val="24"/>
        </w:rPr>
      </w:pPr>
      <w:r>
        <w:rPr>
          <w:rFonts w:hint="eastAsia" w:ascii="宋体" w:hAnsi="宋体" w:eastAsia="宋体" w:cs="宋体"/>
          <w:sz w:val="24"/>
          <w:szCs w:val="24"/>
        </w:rPr>
        <w:t>（</w:t>
      </w:r>
      <w:r>
        <w:rPr>
          <w:rFonts w:ascii="宋体" w:hAnsi="宋体" w:eastAsia="宋体" w:cs="宋体"/>
          <w:sz w:val="24"/>
          <w:szCs w:val="24"/>
        </w:rPr>
        <w:t>1）新建底座横向移动导轨、横向移动控制电机，使用PLC控制标靶横向自动移动；</w:t>
      </w:r>
    </w:p>
    <w:p>
      <w:pPr>
        <w:spacing w:line="360" w:lineRule="auto"/>
        <w:ind w:left="480" w:firstLine="480" w:firstLineChars="200"/>
        <w:rPr>
          <w:rFonts w:ascii="宋体" w:hAnsi="宋体" w:eastAsia="宋体" w:cs="宋体"/>
          <w:sz w:val="24"/>
          <w:szCs w:val="24"/>
        </w:rPr>
      </w:pPr>
      <w:r>
        <w:rPr>
          <w:rFonts w:hint="eastAsia" w:ascii="宋体" w:hAnsi="宋体" w:eastAsia="宋体" w:cs="宋体"/>
          <w:sz w:val="24"/>
          <w:szCs w:val="24"/>
        </w:rPr>
        <w:t>（</w:t>
      </w:r>
      <w:r>
        <w:rPr>
          <w:rFonts w:ascii="宋体" w:hAnsi="宋体" w:eastAsia="宋体" w:cs="宋体"/>
          <w:sz w:val="24"/>
          <w:szCs w:val="24"/>
        </w:rPr>
        <w:t>2）新建上下运动控制电机、标靶上下移动控制导轨，使用PLC控制标靶上下自动移动；</w:t>
      </w:r>
    </w:p>
    <w:p>
      <w:pPr>
        <w:spacing w:line="360" w:lineRule="auto"/>
        <w:ind w:left="480" w:firstLine="480" w:firstLineChars="200"/>
        <w:rPr>
          <w:rFonts w:ascii="宋体" w:hAnsi="宋体" w:eastAsia="宋体" w:cs="宋体"/>
          <w:sz w:val="24"/>
          <w:szCs w:val="24"/>
        </w:rPr>
      </w:pPr>
      <w:r>
        <w:rPr>
          <w:rFonts w:hint="eastAsia" w:ascii="宋体" w:hAnsi="宋体" w:eastAsia="宋体" w:cs="宋体"/>
          <w:sz w:val="24"/>
          <w:szCs w:val="24"/>
        </w:rPr>
        <w:t>（</w:t>
      </w:r>
      <w:r>
        <w:rPr>
          <w:rFonts w:ascii="宋体" w:hAnsi="宋体" w:eastAsia="宋体" w:cs="宋体"/>
          <w:sz w:val="24"/>
          <w:szCs w:val="24"/>
        </w:rPr>
        <w:t>3）新建偏转电机，使用PLC控制标靶角度自动转动。</w:t>
      </w:r>
    </w:p>
    <w:p>
      <w:pPr>
        <w:spacing w:line="360" w:lineRule="auto"/>
        <w:ind w:left="480" w:firstLine="480" w:firstLineChars="200"/>
        <w:rPr>
          <w:rFonts w:ascii="宋体" w:hAnsi="宋体" w:eastAsia="宋体" w:cs="宋体"/>
          <w:sz w:val="24"/>
          <w:szCs w:val="24"/>
        </w:rPr>
      </w:pPr>
      <w:r>
        <w:rPr>
          <w:rFonts w:hint="eastAsia" w:ascii="宋体" w:hAnsi="宋体" w:eastAsia="宋体" w:cs="宋体"/>
          <w:sz w:val="24"/>
          <w:szCs w:val="24"/>
        </w:rPr>
        <w:t>标靶位移系统改造完成后，在雷达标定时标靶应实现以下要求：</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0"/>
        <w:gridCol w:w="2835"/>
        <w:gridCol w:w="850"/>
        <w:gridCol w:w="1020"/>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0" w:type="dxa"/>
            <w:vAlign w:val="center"/>
          </w:tcPr>
          <w:p>
            <w:pPr>
              <w:jc w:val="center"/>
              <w:rPr>
                <w:b/>
                <w:bCs/>
              </w:rPr>
            </w:pPr>
            <w:r>
              <w:rPr>
                <w:rFonts w:hint="eastAsia"/>
                <w:b/>
                <w:bCs/>
              </w:rPr>
              <w:t>参数</w:t>
            </w:r>
          </w:p>
        </w:tc>
        <w:tc>
          <w:tcPr>
            <w:tcW w:w="2835" w:type="dxa"/>
            <w:vAlign w:val="center"/>
          </w:tcPr>
          <w:p>
            <w:pPr>
              <w:jc w:val="center"/>
              <w:rPr>
                <w:b/>
                <w:bCs/>
              </w:rPr>
            </w:pPr>
            <w:r>
              <w:rPr>
                <w:rFonts w:hint="eastAsia"/>
                <w:b/>
                <w:bCs/>
              </w:rPr>
              <w:t>参数名称</w:t>
            </w:r>
          </w:p>
        </w:tc>
        <w:tc>
          <w:tcPr>
            <w:tcW w:w="850" w:type="dxa"/>
            <w:vAlign w:val="center"/>
          </w:tcPr>
          <w:p>
            <w:pPr>
              <w:jc w:val="center"/>
              <w:rPr>
                <w:b/>
                <w:bCs/>
              </w:rPr>
            </w:pPr>
            <w:r>
              <w:rPr>
                <w:rFonts w:hint="eastAsia"/>
                <w:b/>
                <w:bCs/>
              </w:rPr>
              <w:t>设计值</w:t>
            </w:r>
          </w:p>
        </w:tc>
        <w:tc>
          <w:tcPr>
            <w:tcW w:w="1020" w:type="dxa"/>
            <w:vAlign w:val="center"/>
          </w:tcPr>
          <w:p>
            <w:pPr>
              <w:jc w:val="center"/>
              <w:rPr>
                <w:b/>
                <w:bCs/>
              </w:rPr>
            </w:pPr>
            <w:r>
              <w:rPr>
                <w:rFonts w:hint="eastAsia"/>
                <w:b/>
                <w:bCs/>
              </w:rPr>
              <w:t>公差</w:t>
            </w:r>
          </w:p>
        </w:tc>
        <w:tc>
          <w:tcPr>
            <w:tcW w:w="850" w:type="dxa"/>
            <w:vAlign w:val="center"/>
          </w:tcPr>
          <w:p>
            <w:pPr>
              <w:jc w:val="center"/>
              <w:rPr>
                <w:b/>
                <w:bCs/>
              </w:rPr>
            </w:pPr>
            <w:r>
              <w:rPr>
                <w:rFonts w:hint="eastAsia"/>
                <w:b/>
                <w:bCs/>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0" w:type="dxa"/>
            <w:vAlign w:val="center"/>
          </w:tcPr>
          <w:p>
            <w:pPr>
              <w:jc w:val="center"/>
            </w:pPr>
            <w:r>
              <w:rPr>
                <w:rFonts w:hint="eastAsia"/>
              </w:rPr>
              <w:t>a</w:t>
            </w:r>
          </w:p>
        </w:tc>
        <w:tc>
          <w:tcPr>
            <w:tcW w:w="2835" w:type="dxa"/>
            <w:vAlign w:val="center"/>
          </w:tcPr>
          <w:p>
            <w:pPr>
              <w:jc w:val="center"/>
            </w:pPr>
            <w:r>
              <w:rPr>
                <w:rFonts w:hint="eastAsia"/>
              </w:rPr>
              <w:t>雷达到反射板的距离</w:t>
            </w:r>
          </w:p>
        </w:tc>
        <w:tc>
          <w:tcPr>
            <w:tcW w:w="850" w:type="dxa"/>
            <w:vAlign w:val="center"/>
          </w:tcPr>
          <w:p>
            <w:pPr>
              <w:jc w:val="center"/>
            </w:pPr>
            <w:r>
              <w:rPr>
                <w:rFonts w:hint="eastAsia"/>
              </w:rPr>
              <w:t>1.2</w:t>
            </w:r>
          </w:p>
        </w:tc>
        <w:tc>
          <w:tcPr>
            <w:tcW w:w="1020" w:type="dxa"/>
            <w:vAlign w:val="center"/>
          </w:tcPr>
          <w:p>
            <w:pPr>
              <w:jc w:val="center"/>
            </w:pPr>
            <w:r>
              <w:rPr>
                <w:rFonts w:hint="eastAsia"/>
              </w:rPr>
              <w:t>≤±0.05</w:t>
            </w:r>
          </w:p>
        </w:tc>
        <w:tc>
          <w:tcPr>
            <w:tcW w:w="850" w:type="dxa"/>
            <w:vAlign w:val="center"/>
          </w:tcPr>
          <w:p>
            <w:pPr>
              <w:jc w:val="center"/>
            </w:pPr>
            <w:r>
              <w:rPr>
                <w:rFonts w:hint="eastAsia"/>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0" w:type="dxa"/>
            <w:vAlign w:val="center"/>
          </w:tcPr>
          <w:p>
            <w:pPr>
              <w:jc w:val="center"/>
            </w:pPr>
            <w:r>
              <w:rPr>
                <w:rFonts w:hint="eastAsia"/>
              </w:rPr>
              <w:t>Zgap</w:t>
            </w:r>
          </w:p>
        </w:tc>
        <w:tc>
          <w:tcPr>
            <w:tcW w:w="2835" w:type="dxa"/>
            <w:vAlign w:val="center"/>
          </w:tcPr>
          <w:p>
            <w:pPr>
              <w:jc w:val="center"/>
            </w:pPr>
            <w:r>
              <w:rPr>
                <w:rFonts w:hint="eastAsia"/>
              </w:rPr>
              <w:t>反射板距离地面的距离</w:t>
            </w:r>
          </w:p>
        </w:tc>
        <w:tc>
          <w:tcPr>
            <w:tcW w:w="850" w:type="dxa"/>
            <w:vAlign w:val="center"/>
          </w:tcPr>
          <w:p>
            <w:pPr>
              <w:jc w:val="center"/>
            </w:pPr>
            <w:r>
              <w:rPr>
                <w:rFonts w:hint="eastAsia"/>
              </w:rPr>
              <w:t>30</w:t>
            </w:r>
            <w:ins w:id="1" w:author="王梦蛟" w:date="2025-10-22T17:30:00Z">
              <w:r>
                <w:rPr>
                  <w:rFonts w:hint="eastAsia"/>
                </w:rPr>
                <w:t>/60</w:t>
              </w:r>
            </w:ins>
          </w:p>
        </w:tc>
        <w:tc>
          <w:tcPr>
            <w:tcW w:w="1020" w:type="dxa"/>
            <w:vAlign w:val="center"/>
          </w:tcPr>
          <w:p>
            <w:pPr>
              <w:jc w:val="center"/>
            </w:pPr>
            <w:r>
              <w:rPr>
                <w:rFonts w:hint="eastAsia"/>
              </w:rPr>
              <w:t>≤±5</w:t>
            </w:r>
          </w:p>
        </w:tc>
        <w:tc>
          <w:tcPr>
            <w:tcW w:w="850" w:type="dxa"/>
            <w:vAlign w:val="center"/>
          </w:tcPr>
          <w:p>
            <w:pPr>
              <w:jc w:val="center"/>
            </w:pPr>
            <w:r>
              <w:rPr>
                <w:rFonts w:hint="eastAsia"/>
              </w:rPr>
              <w:t>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0" w:type="dxa"/>
            <w:vAlign w:val="center"/>
          </w:tcPr>
          <w:p>
            <w:pPr>
              <w:jc w:val="center"/>
            </w:pPr>
            <w:r>
              <w:rPr>
                <w:rFonts w:hint="eastAsia"/>
              </w:rPr>
              <w:t>Aoffset</w:t>
            </w:r>
          </w:p>
        </w:tc>
        <w:tc>
          <w:tcPr>
            <w:tcW w:w="2835" w:type="dxa"/>
            <w:vAlign w:val="center"/>
          </w:tcPr>
          <w:p>
            <w:pPr>
              <w:jc w:val="center"/>
            </w:pPr>
            <w:r>
              <w:rPr>
                <w:rFonts w:hint="eastAsia"/>
              </w:rPr>
              <w:t>反射板与车辆行驶轴线</w:t>
            </w:r>
          </w:p>
          <w:p>
            <w:pPr>
              <w:jc w:val="center"/>
            </w:pPr>
            <w:r>
              <w:rPr>
                <w:rFonts w:hint="eastAsia"/>
              </w:rPr>
              <w:t>水平方向夹角</w:t>
            </w:r>
          </w:p>
        </w:tc>
        <w:tc>
          <w:tcPr>
            <w:tcW w:w="850" w:type="dxa"/>
            <w:vAlign w:val="center"/>
          </w:tcPr>
          <w:p>
            <w:pPr>
              <w:jc w:val="center"/>
            </w:pPr>
            <w:r>
              <w:rPr>
                <w:rFonts w:hint="eastAsia"/>
              </w:rPr>
              <w:t>90</w:t>
            </w:r>
          </w:p>
        </w:tc>
        <w:tc>
          <w:tcPr>
            <w:tcW w:w="1020" w:type="dxa"/>
            <w:vAlign w:val="center"/>
          </w:tcPr>
          <w:p>
            <w:pPr>
              <w:jc w:val="center"/>
            </w:pPr>
            <w:r>
              <w:rPr>
                <w:rFonts w:hint="eastAsia"/>
              </w:rPr>
              <w:t>≤±0.2</w:t>
            </w:r>
          </w:p>
        </w:tc>
        <w:tc>
          <w:tcPr>
            <w:tcW w:w="850" w:type="dxa"/>
            <w:vAlign w:val="center"/>
          </w:tcPr>
          <w:p>
            <w:pPr>
              <w:jc w:val="center"/>
            </w:pPr>
            <w:r>
              <w:rPr>
                <w:rFonts w:hint="eastAsia"/>
              </w:rPr>
              <w:t>deg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0" w:type="dxa"/>
            <w:vAlign w:val="center"/>
          </w:tcPr>
          <w:p>
            <w:pPr>
              <w:jc w:val="center"/>
            </w:pPr>
            <w:r>
              <w:rPr>
                <w:rFonts w:hint="eastAsia"/>
              </w:rPr>
              <w:t>Boffset</w:t>
            </w:r>
          </w:p>
        </w:tc>
        <w:tc>
          <w:tcPr>
            <w:tcW w:w="2835" w:type="dxa"/>
            <w:vAlign w:val="center"/>
          </w:tcPr>
          <w:p>
            <w:pPr>
              <w:jc w:val="center"/>
            </w:pPr>
            <w:r>
              <w:rPr>
                <w:rFonts w:hint="eastAsia"/>
              </w:rPr>
              <w:t>反射板与车辆行驶轴线</w:t>
            </w:r>
          </w:p>
          <w:p>
            <w:pPr>
              <w:jc w:val="center"/>
            </w:pPr>
            <w:r>
              <w:rPr>
                <w:rFonts w:hint="eastAsia"/>
              </w:rPr>
              <w:t>垂直方向夹角</w:t>
            </w:r>
          </w:p>
        </w:tc>
        <w:tc>
          <w:tcPr>
            <w:tcW w:w="850" w:type="dxa"/>
            <w:vAlign w:val="center"/>
          </w:tcPr>
          <w:p>
            <w:pPr>
              <w:jc w:val="center"/>
            </w:pPr>
            <w:r>
              <w:rPr>
                <w:rFonts w:hint="eastAsia"/>
              </w:rPr>
              <w:t>0</w:t>
            </w:r>
          </w:p>
        </w:tc>
        <w:tc>
          <w:tcPr>
            <w:tcW w:w="1020" w:type="dxa"/>
            <w:vAlign w:val="center"/>
          </w:tcPr>
          <w:p>
            <w:pPr>
              <w:jc w:val="center"/>
            </w:pPr>
            <w:r>
              <w:rPr>
                <w:rFonts w:hint="eastAsia"/>
              </w:rPr>
              <w:t>≤±0.3</w:t>
            </w:r>
          </w:p>
        </w:tc>
        <w:tc>
          <w:tcPr>
            <w:tcW w:w="850" w:type="dxa"/>
            <w:vAlign w:val="center"/>
          </w:tcPr>
          <w:p>
            <w:pPr>
              <w:jc w:val="center"/>
            </w:pPr>
            <w:r>
              <w:rPr>
                <w:rFonts w:hint="eastAsia"/>
              </w:rPr>
              <w:t>deg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0" w:type="dxa"/>
            <w:vAlign w:val="center"/>
          </w:tcPr>
          <w:p>
            <w:pPr>
              <w:jc w:val="center"/>
            </w:pPr>
            <w:r>
              <w:rPr>
                <w:rFonts w:hint="eastAsia"/>
              </w:rPr>
              <w:t>Yoffset</w:t>
            </w:r>
          </w:p>
        </w:tc>
        <w:tc>
          <w:tcPr>
            <w:tcW w:w="2835" w:type="dxa"/>
            <w:vAlign w:val="center"/>
          </w:tcPr>
          <w:p>
            <w:pPr>
              <w:jc w:val="center"/>
            </w:pPr>
            <w:r>
              <w:rPr>
                <w:rFonts w:hint="eastAsia"/>
              </w:rPr>
              <w:t>反射板中心相对雷达中</w:t>
            </w:r>
          </w:p>
          <w:p>
            <w:pPr>
              <w:jc w:val="center"/>
            </w:pPr>
            <w:r>
              <w:rPr>
                <w:rFonts w:hint="eastAsia"/>
              </w:rPr>
              <w:t>心水平偏移</w:t>
            </w:r>
          </w:p>
        </w:tc>
        <w:tc>
          <w:tcPr>
            <w:tcW w:w="850" w:type="dxa"/>
            <w:vAlign w:val="center"/>
          </w:tcPr>
          <w:p>
            <w:pPr>
              <w:jc w:val="center"/>
            </w:pPr>
            <w:r>
              <w:rPr>
                <w:rFonts w:hint="eastAsia"/>
              </w:rPr>
              <w:t>0</w:t>
            </w:r>
          </w:p>
        </w:tc>
        <w:tc>
          <w:tcPr>
            <w:tcW w:w="1020" w:type="dxa"/>
            <w:vAlign w:val="center"/>
          </w:tcPr>
          <w:p>
            <w:pPr>
              <w:jc w:val="center"/>
            </w:pPr>
            <w:r>
              <w:rPr>
                <w:rFonts w:hint="eastAsia"/>
              </w:rPr>
              <w:t>≤±50</w:t>
            </w:r>
          </w:p>
        </w:tc>
        <w:tc>
          <w:tcPr>
            <w:tcW w:w="850" w:type="dxa"/>
            <w:vAlign w:val="center"/>
          </w:tcPr>
          <w:p>
            <w:pPr>
              <w:jc w:val="center"/>
            </w:pPr>
            <w:r>
              <w:rPr>
                <w:rFonts w:hint="eastAsia"/>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0" w:type="dxa"/>
            <w:vAlign w:val="center"/>
          </w:tcPr>
          <w:p>
            <w:pPr>
              <w:jc w:val="center"/>
            </w:pPr>
            <w:r>
              <w:rPr>
                <w:rFonts w:hint="eastAsia"/>
              </w:rPr>
              <w:t>/</w:t>
            </w:r>
          </w:p>
        </w:tc>
        <w:tc>
          <w:tcPr>
            <w:tcW w:w="2835" w:type="dxa"/>
            <w:vAlign w:val="center"/>
          </w:tcPr>
          <w:p>
            <w:pPr>
              <w:jc w:val="center"/>
            </w:pPr>
            <w:r>
              <w:rPr>
                <w:rFonts w:hint="eastAsia"/>
              </w:rPr>
              <w:t>调节精度（横向/纵向）</w:t>
            </w:r>
          </w:p>
        </w:tc>
        <w:tc>
          <w:tcPr>
            <w:tcW w:w="850" w:type="dxa"/>
            <w:vAlign w:val="center"/>
          </w:tcPr>
          <w:p>
            <w:pPr>
              <w:jc w:val="center"/>
            </w:pPr>
            <w:r>
              <w:rPr>
                <w:rFonts w:hint="eastAsia"/>
              </w:rPr>
              <w:t>0</w:t>
            </w:r>
          </w:p>
        </w:tc>
        <w:tc>
          <w:tcPr>
            <w:tcW w:w="1020" w:type="dxa"/>
            <w:vAlign w:val="center"/>
          </w:tcPr>
          <w:p>
            <w:pPr>
              <w:jc w:val="center"/>
            </w:pPr>
            <w:r>
              <w:rPr>
                <w:rFonts w:hint="eastAsia"/>
              </w:rPr>
              <w:t>±1</w:t>
            </w:r>
          </w:p>
        </w:tc>
        <w:tc>
          <w:tcPr>
            <w:tcW w:w="850" w:type="dxa"/>
            <w:vAlign w:val="center"/>
          </w:tcPr>
          <w:p>
            <w:pPr>
              <w:jc w:val="center"/>
            </w:pPr>
            <w:r>
              <w:rPr>
                <w:rFonts w:hint="eastAsia"/>
              </w:rPr>
              <w:t>mm</w:t>
            </w:r>
          </w:p>
        </w:tc>
      </w:tr>
    </w:tbl>
    <w:p>
      <w:pPr>
        <w:spacing w:line="360" w:lineRule="auto"/>
        <w:ind w:left="480" w:firstLine="480" w:firstLineChars="200"/>
        <w:rPr>
          <w:rFonts w:ascii="宋体" w:hAnsi="宋体" w:eastAsia="宋体" w:cs="宋体"/>
          <w:sz w:val="24"/>
          <w:szCs w:val="24"/>
        </w:rPr>
      </w:pPr>
    </w:p>
    <w:p>
      <w:pPr>
        <w:spacing w:line="360" w:lineRule="auto"/>
        <w:jc w:val="center"/>
        <w:rPr>
          <w:rFonts w:ascii="宋体" w:hAnsi="宋体" w:eastAsia="宋体" w:cs="宋体"/>
          <w:sz w:val="24"/>
          <w:szCs w:val="24"/>
        </w:rPr>
      </w:pPr>
      <w:r>
        <w:drawing>
          <wp:inline distT="0" distB="0" distL="114300" distR="114300">
            <wp:extent cx="3063875" cy="1800225"/>
            <wp:effectExtent l="0" t="0" r="3175"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4"/>
                    <a:stretch>
                      <a:fillRect/>
                    </a:stretch>
                  </pic:blipFill>
                  <pic:spPr>
                    <a:xfrm>
                      <a:off x="0" y="0"/>
                      <a:ext cx="3063875" cy="1800225"/>
                    </a:xfrm>
                    <a:prstGeom prst="rect">
                      <a:avLst/>
                    </a:prstGeom>
                    <a:noFill/>
                    <a:ln>
                      <a:noFill/>
                    </a:ln>
                  </pic:spPr>
                </pic:pic>
              </a:graphicData>
            </a:graphic>
          </wp:inline>
        </w:drawing>
      </w:r>
    </w:p>
    <w:p>
      <w:pPr>
        <w:spacing w:line="360" w:lineRule="auto"/>
        <w:jc w:val="center"/>
      </w:pPr>
      <w:r>
        <w:drawing>
          <wp:inline distT="0" distB="0" distL="114300" distR="114300">
            <wp:extent cx="3999230" cy="1800225"/>
            <wp:effectExtent l="0" t="0" r="1270" b="952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45"/>
                    <a:stretch>
                      <a:fillRect/>
                    </a:stretch>
                  </pic:blipFill>
                  <pic:spPr>
                    <a:xfrm>
                      <a:off x="0" y="0"/>
                      <a:ext cx="3999230" cy="1800225"/>
                    </a:xfrm>
                    <a:prstGeom prst="rect">
                      <a:avLst/>
                    </a:prstGeom>
                    <a:noFill/>
                    <a:ln>
                      <a:noFill/>
                    </a:ln>
                  </pic:spPr>
                </pic:pic>
              </a:graphicData>
            </a:graphic>
          </wp:inline>
        </w:drawing>
      </w:r>
    </w:p>
    <w:p>
      <w:pPr>
        <w:spacing w:line="360" w:lineRule="auto"/>
        <w:jc w:val="center"/>
      </w:pPr>
    </w:p>
    <w:p>
      <w:pPr>
        <w:spacing w:line="360" w:lineRule="auto"/>
        <w:ind w:left="480" w:firstLine="480" w:firstLineChars="200"/>
        <w:rPr>
          <w:rFonts w:ascii="宋体" w:hAnsi="宋体" w:eastAsia="宋体" w:cs="宋体"/>
          <w:sz w:val="24"/>
          <w:szCs w:val="24"/>
        </w:rPr>
      </w:pPr>
      <w:r>
        <w:rPr>
          <w:rFonts w:hint="eastAsia" w:ascii="宋体" w:hAnsi="宋体" w:eastAsia="宋体" w:cs="宋体"/>
          <w:sz w:val="24"/>
          <w:szCs w:val="24"/>
        </w:rPr>
        <w:t>标靶位移系统改造完成后，在摄像头标定时标靶应实现以下要求：</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0"/>
        <w:gridCol w:w="2835"/>
        <w:gridCol w:w="850"/>
        <w:gridCol w:w="1020"/>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0" w:type="dxa"/>
            <w:vAlign w:val="center"/>
          </w:tcPr>
          <w:p>
            <w:pPr>
              <w:jc w:val="center"/>
              <w:rPr>
                <w:b/>
                <w:bCs/>
              </w:rPr>
            </w:pPr>
            <w:r>
              <w:rPr>
                <w:rFonts w:hint="eastAsia"/>
                <w:b/>
                <w:bCs/>
              </w:rPr>
              <w:t>参数</w:t>
            </w:r>
          </w:p>
        </w:tc>
        <w:tc>
          <w:tcPr>
            <w:tcW w:w="2835" w:type="dxa"/>
            <w:vAlign w:val="center"/>
          </w:tcPr>
          <w:p>
            <w:pPr>
              <w:jc w:val="center"/>
              <w:rPr>
                <w:b/>
                <w:bCs/>
              </w:rPr>
            </w:pPr>
            <w:r>
              <w:rPr>
                <w:rFonts w:hint="eastAsia"/>
                <w:b/>
                <w:bCs/>
              </w:rPr>
              <w:t>参数名称</w:t>
            </w:r>
          </w:p>
        </w:tc>
        <w:tc>
          <w:tcPr>
            <w:tcW w:w="850" w:type="dxa"/>
            <w:vAlign w:val="center"/>
          </w:tcPr>
          <w:p>
            <w:pPr>
              <w:jc w:val="center"/>
              <w:rPr>
                <w:b/>
                <w:bCs/>
              </w:rPr>
            </w:pPr>
            <w:r>
              <w:rPr>
                <w:rFonts w:hint="eastAsia"/>
                <w:b/>
                <w:bCs/>
              </w:rPr>
              <w:t>设计值</w:t>
            </w:r>
          </w:p>
        </w:tc>
        <w:tc>
          <w:tcPr>
            <w:tcW w:w="1020" w:type="dxa"/>
            <w:vAlign w:val="center"/>
          </w:tcPr>
          <w:p>
            <w:pPr>
              <w:jc w:val="center"/>
              <w:rPr>
                <w:b/>
                <w:bCs/>
              </w:rPr>
            </w:pPr>
            <w:r>
              <w:rPr>
                <w:rFonts w:hint="eastAsia"/>
                <w:b/>
                <w:bCs/>
              </w:rPr>
              <w:t>公差</w:t>
            </w:r>
          </w:p>
        </w:tc>
        <w:tc>
          <w:tcPr>
            <w:tcW w:w="850" w:type="dxa"/>
            <w:vAlign w:val="center"/>
          </w:tcPr>
          <w:p>
            <w:pPr>
              <w:jc w:val="center"/>
              <w:rPr>
                <w:b/>
                <w:bCs/>
              </w:rPr>
            </w:pPr>
            <w:r>
              <w:rPr>
                <w:rFonts w:hint="eastAsia"/>
                <w:b/>
                <w:bCs/>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0" w:type="dxa"/>
            <w:vAlign w:val="center"/>
          </w:tcPr>
          <w:p>
            <w:pPr>
              <w:jc w:val="center"/>
            </w:pPr>
            <w:r>
              <w:rPr>
                <w:rFonts w:hint="eastAsia"/>
              </w:rPr>
              <w:t>Δy1</w:t>
            </w:r>
          </w:p>
        </w:tc>
        <w:tc>
          <w:tcPr>
            <w:tcW w:w="2835" w:type="dxa"/>
            <w:vAlign w:val="center"/>
          </w:tcPr>
          <w:p>
            <w:pPr>
              <w:jc w:val="center"/>
            </w:pPr>
            <w:r>
              <w:rPr>
                <w:rFonts w:hint="eastAsia"/>
              </w:rPr>
              <w:t>近标定板中心线相对于车辆中轴线的横向偏差</w:t>
            </w:r>
          </w:p>
        </w:tc>
        <w:tc>
          <w:tcPr>
            <w:tcW w:w="850" w:type="dxa"/>
            <w:vAlign w:val="center"/>
          </w:tcPr>
          <w:p>
            <w:pPr>
              <w:jc w:val="center"/>
            </w:pPr>
            <w:r>
              <w:rPr>
                <w:rFonts w:hint="eastAsia"/>
              </w:rPr>
              <w:t>0</w:t>
            </w:r>
          </w:p>
        </w:tc>
        <w:tc>
          <w:tcPr>
            <w:tcW w:w="1020" w:type="dxa"/>
            <w:vAlign w:val="center"/>
          </w:tcPr>
          <w:p>
            <w:pPr>
              <w:jc w:val="center"/>
            </w:pPr>
            <w:r>
              <w:rPr>
                <w:rFonts w:hint="eastAsia"/>
              </w:rPr>
              <w:t>±1</w:t>
            </w:r>
          </w:p>
        </w:tc>
        <w:tc>
          <w:tcPr>
            <w:tcW w:w="850" w:type="dxa"/>
            <w:vAlign w:val="center"/>
          </w:tcPr>
          <w:p>
            <w:pPr>
              <w:jc w:val="center"/>
            </w:pPr>
            <w:r>
              <w:rPr>
                <w:rFonts w:hint="eastAsia"/>
              </w:rPr>
              <w:t>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0" w:type="dxa"/>
            <w:vAlign w:val="center"/>
          </w:tcPr>
          <w:p>
            <w:pPr>
              <w:jc w:val="center"/>
            </w:pPr>
            <w:r>
              <w:rPr>
                <w:rFonts w:hint="eastAsia"/>
              </w:rPr>
              <w:t>Δy2</w:t>
            </w:r>
          </w:p>
        </w:tc>
        <w:tc>
          <w:tcPr>
            <w:tcW w:w="2835" w:type="dxa"/>
            <w:vAlign w:val="center"/>
          </w:tcPr>
          <w:p>
            <w:pPr>
              <w:jc w:val="center"/>
            </w:pPr>
            <w:r>
              <w:rPr>
                <w:rFonts w:hint="eastAsia"/>
              </w:rPr>
              <w:t>远标定板中心线相对于车辆中轴线的横向偏差</w:t>
            </w:r>
          </w:p>
        </w:tc>
        <w:tc>
          <w:tcPr>
            <w:tcW w:w="850" w:type="dxa"/>
            <w:vAlign w:val="center"/>
          </w:tcPr>
          <w:p>
            <w:pPr>
              <w:jc w:val="center"/>
            </w:pPr>
            <w:r>
              <w:rPr>
                <w:rFonts w:hint="eastAsia"/>
              </w:rPr>
              <w:t>0</w:t>
            </w:r>
          </w:p>
        </w:tc>
        <w:tc>
          <w:tcPr>
            <w:tcW w:w="1020" w:type="dxa"/>
            <w:vAlign w:val="center"/>
          </w:tcPr>
          <w:p>
            <w:pPr>
              <w:jc w:val="center"/>
            </w:pPr>
            <w:r>
              <w:rPr>
                <w:rFonts w:hint="eastAsia"/>
              </w:rPr>
              <w:t>±1</w:t>
            </w:r>
          </w:p>
        </w:tc>
        <w:tc>
          <w:tcPr>
            <w:tcW w:w="850" w:type="dxa"/>
            <w:vAlign w:val="center"/>
          </w:tcPr>
          <w:p>
            <w:pPr>
              <w:jc w:val="center"/>
            </w:pPr>
            <w:r>
              <w:rPr>
                <w:rFonts w:hint="eastAsia"/>
              </w:rPr>
              <w:t>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0" w:type="dxa"/>
            <w:vAlign w:val="center"/>
          </w:tcPr>
          <w:p>
            <w:pPr>
              <w:jc w:val="center"/>
            </w:pPr>
            <w:r>
              <w:rPr>
                <w:rFonts w:hint="eastAsia"/>
              </w:rPr>
              <w:t>l1</w:t>
            </w:r>
          </w:p>
        </w:tc>
        <w:tc>
          <w:tcPr>
            <w:tcW w:w="2835" w:type="dxa"/>
            <w:vAlign w:val="center"/>
          </w:tcPr>
          <w:p>
            <w:pPr>
              <w:jc w:val="center"/>
            </w:pPr>
            <w:r>
              <w:rPr>
                <w:rFonts w:hint="eastAsia"/>
              </w:rPr>
              <w:t>近标定板距离摄像头的距离</w:t>
            </w:r>
          </w:p>
        </w:tc>
        <w:tc>
          <w:tcPr>
            <w:tcW w:w="850" w:type="dxa"/>
            <w:vAlign w:val="center"/>
          </w:tcPr>
          <w:p>
            <w:pPr>
              <w:jc w:val="center"/>
            </w:pPr>
            <w:r>
              <w:rPr>
                <w:rFonts w:hint="eastAsia"/>
              </w:rPr>
              <w:t>170</w:t>
            </w:r>
          </w:p>
        </w:tc>
        <w:tc>
          <w:tcPr>
            <w:tcW w:w="1020" w:type="dxa"/>
            <w:vAlign w:val="center"/>
          </w:tcPr>
          <w:p>
            <w:pPr>
              <w:jc w:val="center"/>
            </w:pPr>
            <w:r>
              <w:rPr>
                <w:rFonts w:hint="eastAsia"/>
              </w:rPr>
              <w:t>±2</w:t>
            </w:r>
          </w:p>
        </w:tc>
        <w:tc>
          <w:tcPr>
            <w:tcW w:w="850" w:type="dxa"/>
            <w:vAlign w:val="center"/>
          </w:tcPr>
          <w:p>
            <w:pPr>
              <w:jc w:val="center"/>
            </w:pPr>
            <w:r>
              <w:rPr>
                <w:rFonts w:hint="eastAsia"/>
              </w:rPr>
              <w:t>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0" w:type="dxa"/>
            <w:vAlign w:val="center"/>
          </w:tcPr>
          <w:p>
            <w:pPr>
              <w:jc w:val="center"/>
            </w:pPr>
            <w:r>
              <w:rPr>
                <w:rFonts w:hint="eastAsia"/>
              </w:rPr>
              <w:t>L2</w:t>
            </w:r>
          </w:p>
        </w:tc>
        <w:tc>
          <w:tcPr>
            <w:tcW w:w="2835" w:type="dxa"/>
            <w:vAlign w:val="center"/>
          </w:tcPr>
          <w:p>
            <w:pPr>
              <w:jc w:val="center"/>
            </w:pPr>
            <w:r>
              <w:rPr>
                <w:rFonts w:hint="eastAsia"/>
              </w:rPr>
              <w:t>远标定板距离摄像头的距离</w:t>
            </w:r>
          </w:p>
        </w:tc>
        <w:tc>
          <w:tcPr>
            <w:tcW w:w="850" w:type="dxa"/>
            <w:vAlign w:val="center"/>
          </w:tcPr>
          <w:p>
            <w:pPr>
              <w:jc w:val="center"/>
            </w:pPr>
            <w:r>
              <w:rPr>
                <w:rFonts w:hint="eastAsia"/>
              </w:rPr>
              <w:t>270</w:t>
            </w:r>
          </w:p>
        </w:tc>
        <w:tc>
          <w:tcPr>
            <w:tcW w:w="1020" w:type="dxa"/>
            <w:vAlign w:val="center"/>
          </w:tcPr>
          <w:p>
            <w:pPr>
              <w:jc w:val="center"/>
            </w:pPr>
            <w:r>
              <w:rPr>
                <w:rFonts w:hint="eastAsia"/>
              </w:rPr>
              <w:t>±2</w:t>
            </w:r>
          </w:p>
        </w:tc>
        <w:tc>
          <w:tcPr>
            <w:tcW w:w="850" w:type="dxa"/>
            <w:vAlign w:val="center"/>
          </w:tcPr>
          <w:p>
            <w:pPr>
              <w:jc w:val="center"/>
            </w:pPr>
            <w:r>
              <w:rPr>
                <w:rFonts w:hint="eastAsia"/>
              </w:rPr>
              <w:t>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0" w:type="dxa"/>
            <w:vAlign w:val="center"/>
          </w:tcPr>
          <w:p>
            <w:pPr>
              <w:jc w:val="center"/>
            </w:pPr>
            <w:r>
              <w:rPr>
                <w:rFonts w:hint="eastAsia"/>
              </w:rPr>
              <w:t>h1</w:t>
            </w:r>
          </w:p>
        </w:tc>
        <w:tc>
          <w:tcPr>
            <w:tcW w:w="2835" w:type="dxa"/>
            <w:vAlign w:val="center"/>
          </w:tcPr>
          <w:p>
            <w:pPr>
              <w:jc w:val="center"/>
            </w:pPr>
            <w:r>
              <w:rPr>
                <w:rFonts w:hint="eastAsia"/>
              </w:rPr>
              <w:t>近标定板距离地面的距离</w:t>
            </w:r>
          </w:p>
        </w:tc>
        <w:tc>
          <w:tcPr>
            <w:tcW w:w="850" w:type="dxa"/>
            <w:vAlign w:val="center"/>
          </w:tcPr>
          <w:p>
            <w:pPr>
              <w:jc w:val="center"/>
            </w:pPr>
            <w:r>
              <w:rPr>
                <w:rFonts w:hint="eastAsia"/>
              </w:rPr>
              <w:t>90</w:t>
            </w:r>
          </w:p>
        </w:tc>
        <w:tc>
          <w:tcPr>
            <w:tcW w:w="1020" w:type="dxa"/>
            <w:vAlign w:val="center"/>
          </w:tcPr>
          <w:p>
            <w:pPr>
              <w:jc w:val="center"/>
            </w:pPr>
            <w:r>
              <w:rPr>
                <w:rFonts w:hint="eastAsia"/>
              </w:rPr>
              <w:t>±1</w:t>
            </w:r>
          </w:p>
        </w:tc>
        <w:tc>
          <w:tcPr>
            <w:tcW w:w="850" w:type="dxa"/>
            <w:vAlign w:val="center"/>
          </w:tcPr>
          <w:p>
            <w:pPr>
              <w:jc w:val="center"/>
            </w:pPr>
            <w:r>
              <w:rPr>
                <w:rFonts w:hint="eastAsia"/>
              </w:rPr>
              <w:t>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0" w:type="dxa"/>
            <w:vAlign w:val="center"/>
          </w:tcPr>
          <w:p>
            <w:pPr>
              <w:jc w:val="center"/>
            </w:pPr>
            <w:r>
              <w:rPr>
                <w:rFonts w:hint="eastAsia"/>
              </w:rPr>
              <w:t>h2</w:t>
            </w:r>
          </w:p>
        </w:tc>
        <w:tc>
          <w:tcPr>
            <w:tcW w:w="2835" w:type="dxa"/>
            <w:vAlign w:val="center"/>
          </w:tcPr>
          <w:p>
            <w:pPr>
              <w:jc w:val="center"/>
            </w:pPr>
            <w:r>
              <w:rPr>
                <w:rFonts w:hint="eastAsia"/>
              </w:rPr>
              <w:t>远标定板距离地面的距离</w:t>
            </w:r>
          </w:p>
        </w:tc>
        <w:tc>
          <w:tcPr>
            <w:tcW w:w="850" w:type="dxa"/>
            <w:vAlign w:val="center"/>
          </w:tcPr>
          <w:p>
            <w:pPr>
              <w:jc w:val="center"/>
            </w:pPr>
            <w:r>
              <w:rPr>
                <w:rFonts w:hint="eastAsia"/>
              </w:rPr>
              <w:t>90</w:t>
            </w:r>
          </w:p>
        </w:tc>
        <w:tc>
          <w:tcPr>
            <w:tcW w:w="1020" w:type="dxa"/>
            <w:vAlign w:val="center"/>
          </w:tcPr>
          <w:p>
            <w:pPr>
              <w:jc w:val="center"/>
            </w:pPr>
            <w:r>
              <w:rPr>
                <w:rFonts w:hint="eastAsia"/>
              </w:rPr>
              <w:t>±1</w:t>
            </w:r>
          </w:p>
        </w:tc>
        <w:tc>
          <w:tcPr>
            <w:tcW w:w="850" w:type="dxa"/>
            <w:vAlign w:val="center"/>
          </w:tcPr>
          <w:p>
            <w:pPr>
              <w:jc w:val="center"/>
            </w:pPr>
            <w:r>
              <w:rPr>
                <w:rFonts w:hint="eastAsia"/>
              </w:rPr>
              <w:t>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0" w:type="dxa"/>
            <w:vAlign w:val="center"/>
          </w:tcPr>
          <w:p>
            <w:pPr>
              <w:jc w:val="center"/>
            </w:pPr>
            <w:r>
              <w:rPr>
                <w:rFonts w:hint="eastAsia"/>
              </w:rPr>
              <w:t>Δφ1</w:t>
            </w:r>
          </w:p>
        </w:tc>
        <w:tc>
          <w:tcPr>
            <w:tcW w:w="2835" w:type="dxa"/>
            <w:vAlign w:val="center"/>
          </w:tcPr>
          <w:p>
            <w:pPr>
              <w:jc w:val="center"/>
            </w:pPr>
            <w:r>
              <w:rPr>
                <w:rFonts w:hint="eastAsia"/>
              </w:rPr>
              <w:t>近标定板相对于垂直方向的转动角度</w:t>
            </w:r>
          </w:p>
        </w:tc>
        <w:tc>
          <w:tcPr>
            <w:tcW w:w="850" w:type="dxa"/>
            <w:vAlign w:val="center"/>
          </w:tcPr>
          <w:p>
            <w:pPr>
              <w:jc w:val="center"/>
            </w:pPr>
            <w:r>
              <w:rPr>
                <w:rFonts w:hint="eastAsia"/>
              </w:rPr>
              <w:t>0</w:t>
            </w:r>
          </w:p>
        </w:tc>
        <w:tc>
          <w:tcPr>
            <w:tcW w:w="1020" w:type="dxa"/>
            <w:vAlign w:val="center"/>
          </w:tcPr>
          <w:p>
            <w:pPr>
              <w:jc w:val="center"/>
            </w:pPr>
            <w:r>
              <w:rPr>
                <w:rFonts w:hint="eastAsia"/>
              </w:rPr>
              <w:t>±0.5</w:t>
            </w:r>
          </w:p>
        </w:tc>
        <w:tc>
          <w:tcPr>
            <w:tcW w:w="850" w:type="dxa"/>
            <w:vAlign w:val="center"/>
          </w:tcPr>
          <w:p>
            <w:pPr>
              <w:jc w:val="center"/>
            </w:pPr>
            <w:r>
              <w:rPr>
                <w:rFonts w:hint="eastAsia"/>
              </w:rPr>
              <w:t>deg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0" w:type="dxa"/>
            <w:vAlign w:val="center"/>
          </w:tcPr>
          <w:p>
            <w:pPr>
              <w:jc w:val="center"/>
            </w:pPr>
            <w:r>
              <w:rPr>
                <w:rFonts w:hint="eastAsia"/>
              </w:rPr>
              <w:t>Δφ2</w:t>
            </w:r>
          </w:p>
        </w:tc>
        <w:tc>
          <w:tcPr>
            <w:tcW w:w="2835" w:type="dxa"/>
            <w:vAlign w:val="center"/>
          </w:tcPr>
          <w:p>
            <w:pPr>
              <w:jc w:val="center"/>
            </w:pPr>
            <w:r>
              <w:rPr>
                <w:rFonts w:hint="eastAsia"/>
              </w:rPr>
              <w:t>远标定板相对于垂直方向的转动角度</w:t>
            </w:r>
          </w:p>
        </w:tc>
        <w:tc>
          <w:tcPr>
            <w:tcW w:w="850" w:type="dxa"/>
            <w:vAlign w:val="center"/>
          </w:tcPr>
          <w:p>
            <w:pPr>
              <w:jc w:val="center"/>
            </w:pPr>
            <w:r>
              <w:rPr>
                <w:rFonts w:hint="eastAsia"/>
              </w:rPr>
              <w:t>0</w:t>
            </w:r>
          </w:p>
        </w:tc>
        <w:tc>
          <w:tcPr>
            <w:tcW w:w="1020" w:type="dxa"/>
            <w:vAlign w:val="center"/>
          </w:tcPr>
          <w:p>
            <w:pPr>
              <w:jc w:val="center"/>
            </w:pPr>
            <w:r>
              <w:rPr>
                <w:rFonts w:hint="eastAsia"/>
              </w:rPr>
              <w:t>±0.5</w:t>
            </w:r>
          </w:p>
        </w:tc>
        <w:tc>
          <w:tcPr>
            <w:tcW w:w="850" w:type="dxa"/>
            <w:vAlign w:val="center"/>
          </w:tcPr>
          <w:p>
            <w:pPr>
              <w:jc w:val="center"/>
            </w:pPr>
            <w:r>
              <w:rPr>
                <w:rFonts w:hint="eastAsia"/>
              </w:rPr>
              <w:t>deg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0" w:type="dxa"/>
            <w:vAlign w:val="center"/>
          </w:tcPr>
          <w:p>
            <w:pPr>
              <w:jc w:val="center"/>
            </w:pPr>
            <w:r>
              <w:rPr>
                <w:rFonts w:hint="eastAsia"/>
              </w:rPr>
              <w:t>Δγ1</w:t>
            </w:r>
          </w:p>
        </w:tc>
        <w:tc>
          <w:tcPr>
            <w:tcW w:w="2835" w:type="dxa"/>
            <w:vAlign w:val="center"/>
          </w:tcPr>
          <w:p>
            <w:pPr>
              <w:jc w:val="center"/>
            </w:pPr>
            <w:r>
              <w:rPr>
                <w:rFonts w:hint="eastAsia"/>
              </w:rPr>
              <w:t>近标定板相对于水平方向的转动角度</w:t>
            </w:r>
          </w:p>
        </w:tc>
        <w:tc>
          <w:tcPr>
            <w:tcW w:w="850" w:type="dxa"/>
            <w:vAlign w:val="center"/>
          </w:tcPr>
          <w:p>
            <w:pPr>
              <w:jc w:val="center"/>
            </w:pPr>
            <w:r>
              <w:rPr>
                <w:rFonts w:hint="eastAsia"/>
              </w:rPr>
              <w:t>0</w:t>
            </w:r>
          </w:p>
        </w:tc>
        <w:tc>
          <w:tcPr>
            <w:tcW w:w="1020" w:type="dxa"/>
            <w:vAlign w:val="center"/>
          </w:tcPr>
          <w:p>
            <w:pPr>
              <w:jc w:val="center"/>
            </w:pPr>
            <w:r>
              <w:rPr>
                <w:rFonts w:hint="eastAsia"/>
              </w:rPr>
              <w:t>±0.5</w:t>
            </w:r>
          </w:p>
        </w:tc>
        <w:tc>
          <w:tcPr>
            <w:tcW w:w="850" w:type="dxa"/>
            <w:vAlign w:val="center"/>
          </w:tcPr>
          <w:p>
            <w:pPr>
              <w:jc w:val="center"/>
            </w:pPr>
            <w:r>
              <w:rPr>
                <w:rFonts w:hint="eastAsia"/>
              </w:rPr>
              <w:t>deg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0" w:type="dxa"/>
            <w:vAlign w:val="center"/>
          </w:tcPr>
          <w:p>
            <w:pPr>
              <w:jc w:val="center"/>
            </w:pPr>
            <w:r>
              <w:rPr>
                <w:rFonts w:hint="eastAsia"/>
              </w:rPr>
              <w:t>Δγ2</w:t>
            </w:r>
          </w:p>
        </w:tc>
        <w:tc>
          <w:tcPr>
            <w:tcW w:w="2835" w:type="dxa"/>
            <w:vAlign w:val="center"/>
          </w:tcPr>
          <w:p>
            <w:pPr>
              <w:jc w:val="center"/>
            </w:pPr>
            <w:r>
              <w:rPr>
                <w:rFonts w:hint="eastAsia"/>
              </w:rPr>
              <w:t>远标定板相对于水平方向的转动角度</w:t>
            </w:r>
          </w:p>
        </w:tc>
        <w:tc>
          <w:tcPr>
            <w:tcW w:w="850" w:type="dxa"/>
            <w:vAlign w:val="center"/>
          </w:tcPr>
          <w:p>
            <w:pPr>
              <w:jc w:val="center"/>
            </w:pPr>
            <w:r>
              <w:rPr>
                <w:rFonts w:hint="eastAsia"/>
              </w:rPr>
              <w:t>0</w:t>
            </w:r>
          </w:p>
        </w:tc>
        <w:tc>
          <w:tcPr>
            <w:tcW w:w="1020" w:type="dxa"/>
            <w:vAlign w:val="center"/>
          </w:tcPr>
          <w:p>
            <w:pPr>
              <w:jc w:val="center"/>
            </w:pPr>
            <w:r>
              <w:rPr>
                <w:rFonts w:hint="eastAsia"/>
              </w:rPr>
              <w:t>±0.5</w:t>
            </w:r>
          </w:p>
        </w:tc>
        <w:tc>
          <w:tcPr>
            <w:tcW w:w="850" w:type="dxa"/>
            <w:vAlign w:val="center"/>
          </w:tcPr>
          <w:p>
            <w:pPr>
              <w:jc w:val="center"/>
            </w:pPr>
            <w:r>
              <w:rPr>
                <w:rFonts w:hint="eastAsia"/>
              </w:rPr>
              <w:t>deg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0" w:type="dxa"/>
            <w:vAlign w:val="center"/>
          </w:tcPr>
          <w:p>
            <w:pPr>
              <w:jc w:val="center"/>
            </w:pPr>
            <w:r>
              <w:rPr>
                <w:rFonts w:hint="eastAsia"/>
              </w:rPr>
              <w:t>ΔΦ</w:t>
            </w:r>
            <w:r>
              <w:rPr>
                <w:rFonts w:hint="eastAsia"/>
                <w:vertAlign w:val="subscript"/>
              </w:rPr>
              <w:t>1</w:t>
            </w:r>
          </w:p>
        </w:tc>
        <w:tc>
          <w:tcPr>
            <w:tcW w:w="2835" w:type="dxa"/>
            <w:vAlign w:val="center"/>
          </w:tcPr>
          <w:p>
            <w:pPr>
              <w:jc w:val="center"/>
            </w:pPr>
            <w:r>
              <w:rPr>
                <w:rFonts w:hint="eastAsia"/>
              </w:rPr>
              <w:t>近标定板侧倾角的转动角度</w:t>
            </w:r>
          </w:p>
        </w:tc>
        <w:tc>
          <w:tcPr>
            <w:tcW w:w="850" w:type="dxa"/>
            <w:vAlign w:val="center"/>
          </w:tcPr>
          <w:p>
            <w:pPr>
              <w:jc w:val="center"/>
            </w:pPr>
            <w:r>
              <w:rPr>
                <w:rFonts w:hint="eastAsia"/>
              </w:rPr>
              <w:t>0</w:t>
            </w:r>
          </w:p>
        </w:tc>
        <w:tc>
          <w:tcPr>
            <w:tcW w:w="1020" w:type="dxa"/>
            <w:vAlign w:val="center"/>
          </w:tcPr>
          <w:p>
            <w:pPr>
              <w:jc w:val="center"/>
            </w:pPr>
            <w:r>
              <w:rPr>
                <w:rFonts w:hint="eastAsia"/>
              </w:rPr>
              <w:t>±0.5</w:t>
            </w:r>
          </w:p>
        </w:tc>
        <w:tc>
          <w:tcPr>
            <w:tcW w:w="850" w:type="dxa"/>
            <w:vAlign w:val="center"/>
          </w:tcPr>
          <w:p>
            <w:pPr>
              <w:jc w:val="center"/>
            </w:pPr>
            <w:r>
              <w:rPr>
                <w:rFonts w:hint="eastAsia"/>
              </w:rPr>
              <w:t>deg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0" w:type="dxa"/>
            <w:vAlign w:val="center"/>
          </w:tcPr>
          <w:p>
            <w:pPr>
              <w:jc w:val="center"/>
            </w:pPr>
            <w:r>
              <w:rPr>
                <w:rFonts w:hint="eastAsia"/>
              </w:rPr>
              <w:t>ΔΦ</w:t>
            </w:r>
            <w:r>
              <w:rPr>
                <w:rFonts w:hint="eastAsia"/>
                <w:vertAlign w:val="subscript"/>
              </w:rPr>
              <w:t>2</w:t>
            </w:r>
          </w:p>
        </w:tc>
        <w:tc>
          <w:tcPr>
            <w:tcW w:w="2835" w:type="dxa"/>
            <w:vAlign w:val="center"/>
          </w:tcPr>
          <w:p>
            <w:pPr>
              <w:jc w:val="center"/>
            </w:pPr>
            <w:r>
              <w:rPr>
                <w:rFonts w:hint="eastAsia"/>
              </w:rPr>
              <w:t>远标定板侧倾角的转动角度</w:t>
            </w:r>
          </w:p>
        </w:tc>
        <w:tc>
          <w:tcPr>
            <w:tcW w:w="850" w:type="dxa"/>
            <w:vAlign w:val="center"/>
          </w:tcPr>
          <w:p>
            <w:pPr>
              <w:jc w:val="center"/>
            </w:pPr>
            <w:r>
              <w:rPr>
                <w:rFonts w:hint="eastAsia"/>
              </w:rPr>
              <w:t>0</w:t>
            </w:r>
          </w:p>
        </w:tc>
        <w:tc>
          <w:tcPr>
            <w:tcW w:w="1020" w:type="dxa"/>
            <w:vAlign w:val="center"/>
          </w:tcPr>
          <w:p>
            <w:pPr>
              <w:jc w:val="center"/>
            </w:pPr>
            <w:r>
              <w:rPr>
                <w:rFonts w:hint="eastAsia"/>
              </w:rPr>
              <w:t>±0.5</w:t>
            </w:r>
          </w:p>
        </w:tc>
        <w:tc>
          <w:tcPr>
            <w:tcW w:w="850" w:type="dxa"/>
            <w:vAlign w:val="center"/>
          </w:tcPr>
          <w:p>
            <w:pPr>
              <w:jc w:val="center"/>
            </w:pPr>
            <w:r>
              <w:rPr>
                <w:rFonts w:hint="eastAsia"/>
              </w:rPr>
              <w:t>deg</w:t>
            </w:r>
          </w:p>
        </w:tc>
      </w:tr>
    </w:tbl>
    <w:p>
      <w:pPr>
        <w:spacing w:line="360" w:lineRule="auto"/>
        <w:ind w:left="480" w:firstLine="480" w:firstLineChars="200"/>
        <w:rPr>
          <w:rFonts w:ascii="宋体" w:hAnsi="宋体" w:eastAsia="宋体" w:cs="宋体"/>
          <w:sz w:val="24"/>
          <w:szCs w:val="24"/>
        </w:rPr>
      </w:pPr>
    </w:p>
    <w:p>
      <w:pPr>
        <w:spacing w:line="360" w:lineRule="auto"/>
        <w:ind w:left="480" w:firstLine="420" w:firstLineChars="200"/>
        <w:jc w:val="center"/>
        <w:rPr>
          <w:rFonts w:ascii="宋体" w:hAnsi="宋体" w:eastAsia="宋体" w:cs="宋体"/>
          <w:sz w:val="24"/>
          <w:szCs w:val="24"/>
        </w:rPr>
      </w:pPr>
      <w:r>
        <w:drawing>
          <wp:inline distT="0" distB="0" distL="114300" distR="114300">
            <wp:extent cx="2830195" cy="2879725"/>
            <wp:effectExtent l="0" t="0" r="8255" b="158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46"/>
                    <a:stretch>
                      <a:fillRect/>
                    </a:stretch>
                  </pic:blipFill>
                  <pic:spPr>
                    <a:xfrm>
                      <a:off x="0" y="0"/>
                      <a:ext cx="2830195" cy="2879725"/>
                    </a:xfrm>
                    <a:prstGeom prst="rect">
                      <a:avLst/>
                    </a:prstGeom>
                    <a:noFill/>
                    <a:ln>
                      <a:noFill/>
                    </a:ln>
                  </pic:spPr>
                </pic:pic>
              </a:graphicData>
            </a:graphic>
          </wp:inline>
        </w:drawing>
      </w:r>
    </w:p>
    <w:p>
      <w:pPr>
        <w:spacing w:line="360" w:lineRule="auto"/>
        <w:ind w:left="480"/>
        <w:rPr>
          <w:rFonts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、标定工位场地要求</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4.1 净空区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（1）雷达标定净空区</w:t>
      </w:r>
    </w:p>
    <w:p>
      <w:pPr>
        <w:spacing w:line="360" w:lineRule="auto"/>
        <w:ind w:left="480" w:firstLine="480" w:firstLineChars="200"/>
        <w:rPr>
          <w:rFonts w:ascii="宋体" w:hAnsi="宋体" w:eastAsia="宋体" w:cs="宋体"/>
          <w:sz w:val="24"/>
          <w:szCs w:val="24"/>
        </w:rPr>
      </w:pPr>
      <w:r>
        <w:rPr>
          <w:rFonts w:hint="eastAsia" w:ascii="宋体" w:hAnsi="宋体" w:eastAsia="宋体" w:cs="宋体"/>
          <w:sz w:val="24"/>
          <w:szCs w:val="24"/>
        </w:rPr>
        <w:t>雷达标定净空区的要求: 校准净空区内不允许有任何物体以避免反射讯号造成校准干扰。</w:t>
      </w:r>
    </w:p>
    <w:p>
      <w:pPr>
        <w:spacing w:line="360" w:lineRule="auto"/>
        <w:ind w:left="480" w:firstLine="480" w:firstLineChars="200"/>
        <w:rPr>
          <w:rFonts w:ascii="宋体" w:hAnsi="宋体" w:eastAsia="宋体" w:cs="宋体"/>
          <w:sz w:val="24"/>
          <w:szCs w:val="24"/>
        </w:rPr>
      </w:pPr>
      <w:r>
        <w:rPr>
          <w:rFonts w:hint="eastAsia" w:ascii="宋体" w:hAnsi="宋体" w:eastAsia="宋体" w:cs="宋体"/>
          <w:sz w:val="24"/>
          <w:szCs w:val="24"/>
        </w:rPr>
        <w:t>① 金属反射板与雷达前表面之间(1.2~2.0m)，金属反射板后方0.5m的区域内 ，不允许有任何金属反射物或任何障碍物。</w:t>
      </w:r>
    </w:p>
    <w:p>
      <w:pPr>
        <w:spacing w:line="360" w:lineRule="auto"/>
        <w:ind w:left="480" w:firstLine="480" w:firstLineChars="200"/>
        <w:rPr>
          <w:rFonts w:ascii="宋体" w:hAnsi="宋体" w:eastAsia="宋体" w:cs="宋体"/>
          <w:sz w:val="24"/>
          <w:szCs w:val="24"/>
        </w:rPr>
      </w:pPr>
      <w:r>
        <w:rPr>
          <w:rFonts w:hint="eastAsia" w:ascii="宋体" w:hAnsi="宋体" w:eastAsia="宋体" w:cs="宋体"/>
          <w:sz w:val="24"/>
          <w:szCs w:val="24"/>
        </w:rPr>
        <w:t>② 金属角反与雷达前表面之间(1.2~2.0m)， 金属反射板后方0.5m的区域内 ，不允许有任何金属反射物或任何障碍物。</w:t>
      </w:r>
    </w:p>
    <w:p>
      <w:pPr>
        <w:spacing w:line="360" w:lineRule="auto"/>
        <w:ind w:left="480" w:firstLine="480" w:firstLineChars="200"/>
        <w:rPr>
          <w:rFonts w:ascii="宋体" w:hAnsi="宋体" w:eastAsia="宋体" w:cs="宋体"/>
          <w:sz w:val="24"/>
          <w:szCs w:val="24"/>
        </w:rPr>
      </w:pPr>
      <w:r>
        <w:rPr>
          <w:rFonts w:hint="eastAsia" w:ascii="宋体" w:hAnsi="宋体" w:eastAsia="宋体" w:cs="宋体"/>
          <w:sz w:val="24"/>
          <w:szCs w:val="24"/>
        </w:rPr>
        <w:t>③ 校准净空区净空垂直高度 3m。</w:t>
      </w:r>
    </w:p>
    <w:p>
      <w:pPr>
        <w:spacing w:line="360" w:lineRule="auto"/>
        <w:ind w:firstLine="960" w:firstLineChars="400"/>
        <w:rPr>
          <w:rFonts w:ascii="宋体" w:hAnsi="宋体" w:eastAsia="宋体" w:cs="宋体"/>
          <w:sz w:val="24"/>
          <w:szCs w:val="24"/>
        </w:rPr>
      </w:pPr>
      <w:r>
        <w:rPr>
          <w:rFonts w:hint="eastAsia" w:ascii="宋体" w:hAnsi="宋体" w:eastAsia="宋体" w:cs="宋体"/>
          <w:sz w:val="24"/>
          <w:szCs w:val="24"/>
        </w:rPr>
        <w:t>④ 校准净空区净空水平方向宽度 1.5 倍车宽</w:t>
      </w:r>
      <w:ins w:id="2" w:author="丿Y" w:date="2025-10-23T17:19:00Z">
        <w:r>
          <w:rPr>
            <w:rFonts w:hint="eastAsia" w:ascii="宋体" w:hAnsi="宋体" w:eastAsia="宋体" w:cs="宋体"/>
            <w:sz w:val="24"/>
            <w:szCs w:val="24"/>
          </w:rPr>
          <w:t>，</w:t>
        </w:r>
      </w:ins>
      <w:r>
        <w:rPr>
          <w:rFonts w:hint="eastAsia" w:ascii="宋体" w:hAnsi="宋体" w:eastAsia="宋体" w:cs="宋体"/>
          <w:sz w:val="24"/>
          <w:szCs w:val="24"/>
        </w:rPr>
        <w:t>净空区深度</w:t>
      </w:r>
      <w:ins w:id="3" w:author="丿Y" w:date="2025-10-23T17:19:00Z">
        <w:r>
          <w:rPr>
            <w:rFonts w:hint="eastAsia" w:ascii="宋体" w:hAnsi="宋体" w:eastAsia="宋体" w:cs="宋体"/>
            <w:sz w:val="24"/>
            <w:szCs w:val="24"/>
          </w:rPr>
          <w:t>为</w:t>
        </w:r>
      </w:ins>
      <w:ins w:id="4" w:author="王梦蛟" w:date="2025-10-22T16:41:00Z">
        <w:r>
          <w:rPr>
            <w:rFonts w:hint="eastAsia" w:ascii="宋体" w:hAnsi="宋体" w:eastAsia="宋体" w:cs="宋体"/>
            <w:sz w:val="24"/>
            <w:szCs w:val="24"/>
          </w:rPr>
          <w:t>0.5m</w:t>
        </w:r>
      </w:ins>
    </w:p>
    <w:p>
      <w:pPr>
        <w:spacing w:line="360" w:lineRule="auto"/>
        <w:ind w:left="480" w:firstLine="480" w:firstLineChars="200"/>
        <w:rPr>
          <w:rFonts w:ascii="宋体" w:hAnsi="宋体" w:eastAsia="宋体" w:cs="宋体"/>
          <w:sz w:val="24"/>
          <w:szCs w:val="24"/>
        </w:rPr>
      </w:pPr>
      <w:r>
        <w:rPr>
          <w:rFonts w:hint="eastAsia" w:ascii="宋体" w:hAnsi="宋体" w:eastAsia="宋体" w:cs="宋体"/>
          <w:sz w:val="24"/>
          <w:szCs w:val="24"/>
        </w:rPr>
        <w:t>⑤ 若标定设备材料影响雷达标定，需</w:t>
      </w:r>
      <w:r>
        <w:rPr>
          <w:rFonts w:ascii="宋体" w:hAnsi="宋体" w:eastAsia="宋体" w:cs="宋体"/>
          <w:sz w:val="24"/>
          <w:szCs w:val="24"/>
        </w:rPr>
        <w:t>增加毫米波吸波材料</w:t>
      </w:r>
      <w:r>
        <w:rPr>
          <w:rFonts w:hint="eastAsia" w:ascii="宋体" w:hAnsi="宋体" w:eastAsia="宋体" w:cs="宋体"/>
          <w:sz w:val="24"/>
          <w:szCs w:val="24"/>
        </w:rPr>
        <w:t>进行</w:t>
      </w:r>
      <w:r>
        <w:rPr>
          <w:rFonts w:ascii="宋体" w:hAnsi="宋体" w:eastAsia="宋体" w:cs="宋体"/>
          <w:sz w:val="24"/>
          <w:szCs w:val="24"/>
        </w:rPr>
        <w:t>防护</w:t>
      </w:r>
      <w:r>
        <w:rPr>
          <w:rFonts w:hint="eastAsia" w:ascii="宋体" w:hAnsi="宋体" w:eastAsia="宋体" w:cs="宋体"/>
          <w:sz w:val="24"/>
          <w:szCs w:val="24"/>
        </w:rPr>
        <w:t>。</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（2）摄像头标定净空区</w:t>
      </w:r>
    </w:p>
    <w:p>
      <w:pPr>
        <w:spacing w:line="360" w:lineRule="auto"/>
        <w:ind w:left="480" w:firstLine="480" w:firstLineChars="200"/>
        <w:rPr>
          <w:rFonts w:ascii="宋体" w:hAnsi="宋体" w:eastAsia="宋体" w:cs="宋体"/>
          <w:sz w:val="24"/>
          <w:szCs w:val="24"/>
        </w:rPr>
      </w:pPr>
      <w:r>
        <w:rPr>
          <w:rFonts w:hint="eastAsia" w:ascii="宋体" w:hAnsi="宋体" w:eastAsia="宋体" w:cs="宋体"/>
          <w:sz w:val="24"/>
          <w:szCs w:val="24"/>
        </w:rPr>
        <w:t>摄像头标定净空区的要求:  除所需的标定图案外 ，不得有其它类似图案进入摄像头视野 ；</w:t>
      </w:r>
    </w:p>
    <w:p>
      <w:pPr>
        <w:spacing w:line="360" w:lineRule="auto"/>
        <w:ind w:left="480" w:firstLine="480" w:firstLineChars="200"/>
        <w:rPr>
          <w:rFonts w:ascii="宋体" w:hAnsi="宋体" w:eastAsia="宋体" w:cs="宋体"/>
          <w:sz w:val="24"/>
          <w:szCs w:val="24"/>
        </w:rPr>
      </w:pPr>
      <w:r>
        <w:rPr>
          <w:rFonts w:hint="eastAsia" w:ascii="宋体" w:hAnsi="宋体" w:eastAsia="宋体" w:cs="宋体"/>
          <w:sz w:val="24"/>
          <w:szCs w:val="24"/>
        </w:rPr>
        <w:t>① 摄像头净空区为车前5m*5m、高度与标靶上缘对齐的标定区域，净空区内不应有其它干扰，例如走动的行人、金属反射物体、标靶类似色彩图案出现在摄像头视野范围内。</w:t>
      </w:r>
    </w:p>
    <w:p>
      <w:pPr>
        <w:spacing w:line="360" w:lineRule="auto"/>
        <w:ind w:left="480" w:firstLine="480" w:firstLineChars="200"/>
        <w:rPr>
          <w:rFonts w:ascii="宋体" w:hAnsi="宋体" w:eastAsia="宋体" w:cs="宋体"/>
          <w:sz w:val="24"/>
          <w:szCs w:val="24"/>
        </w:rPr>
      </w:pPr>
      <w:r>
        <w:rPr>
          <w:rFonts w:hint="eastAsia" w:ascii="宋体" w:hAnsi="宋体" w:eastAsia="宋体" w:cs="宋体"/>
          <w:sz w:val="24"/>
          <w:szCs w:val="24"/>
        </w:rPr>
        <w:t>② 若标定设备材料影响摄像头标定，需</w:t>
      </w:r>
      <w:r>
        <w:rPr>
          <w:rFonts w:ascii="宋体" w:hAnsi="宋体" w:eastAsia="宋体" w:cs="宋体"/>
          <w:sz w:val="24"/>
          <w:szCs w:val="24"/>
        </w:rPr>
        <w:t>增加毫米波吸波材料</w:t>
      </w:r>
      <w:r>
        <w:rPr>
          <w:rFonts w:hint="eastAsia" w:ascii="宋体" w:hAnsi="宋体" w:eastAsia="宋体" w:cs="宋体"/>
          <w:sz w:val="24"/>
          <w:szCs w:val="24"/>
        </w:rPr>
        <w:t>进行</w:t>
      </w:r>
      <w:r>
        <w:rPr>
          <w:rFonts w:ascii="宋体" w:hAnsi="宋体" w:eastAsia="宋体" w:cs="宋体"/>
          <w:sz w:val="24"/>
          <w:szCs w:val="24"/>
        </w:rPr>
        <w:t>防护</w:t>
      </w:r>
      <w:r>
        <w:rPr>
          <w:rFonts w:hint="eastAsia" w:ascii="宋体" w:hAnsi="宋体" w:eastAsia="宋体" w:cs="宋体"/>
          <w:sz w:val="24"/>
          <w:szCs w:val="24"/>
        </w:rPr>
        <w:t>。</w:t>
      </w:r>
    </w:p>
    <w:p>
      <w:pPr>
        <w:spacing w:line="360" w:lineRule="auto"/>
        <w:ind w:left="480"/>
        <w:rPr>
          <w:rFonts w:ascii="宋体" w:hAnsi="宋体" w:eastAsia="宋体" w:cs="宋体"/>
          <w:sz w:val="24"/>
          <w:szCs w:val="24"/>
        </w:rPr>
      </w:pPr>
      <w:r>
        <w:rPr>
          <w:rFonts w:hint="eastAsia" w:ascii="宋体" w:hAnsi="宋体" w:eastAsia="宋体" w:cs="宋体"/>
          <w:sz w:val="24"/>
          <w:szCs w:val="24"/>
        </w:rPr>
        <w:t>4.2 地面要求</w:t>
      </w:r>
    </w:p>
    <w:p>
      <w:pPr>
        <w:spacing w:line="360" w:lineRule="auto"/>
        <w:ind w:left="480" w:firstLine="480" w:firstLineChars="200"/>
        <w:rPr>
          <w:rFonts w:ascii="宋体" w:hAnsi="宋体" w:eastAsia="宋体" w:cs="宋体"/>
          <w:sz w:val="24"/>
          <w:szCs w:val="24"/>
        </w:rPr>
      </w:pPr>
      <w:r>
        <w:rPr>
          <w:rFonts w:hint="eastAsia" w:ascii="宋体" w:hAnsi="宋体" w:eastAsia="宋体" w:cs="宋体"/>
          <w:sz w:val="24"/>
          <w:szCs w:val="24"/>
        </w:rPr>
        <w:t>标定工站区域地面平整度误差应≤±10mm，设备区域地面平整度误差≤±5mm。</w:t>
      </w:r>
    </w:p>
    <w:p>
      <w:pPr>
        <w:spacing w:line="360" w:lineRule="auto"/>
        <w:ind w:left="480"/>
        <w:rPr>
          <w:rFonts w:ascii="宋体" w:hAnsi="宋体" w:eastAsia="宋体" w:cs="宋体"/>
          <w:sz w:val="24"/>
          <w:szCs w:val="24"/>
        </w:rPr>
      </w:pPr>
      <w:r>
        <w:rPr>
          <w:rFonts w:hint="eastAsia" w:ascii="宋体" w:hAnsi="宋体" w:eastAsia="宋体" w:cs="宋体"/>
          <w:sz w:val="24"/>
          <w:szCs w:val="24"/>
        </w:rPr>
        <w:t>4.3 灯光要求</w:t>
      </w:r>
    </w:p>
    <w:p>
      <w:pPr>
        <w:spacing w:line="360" w:lineRule="auto"/>
        <w:ind w:left="480" w:firstLine="480" w:firstLineChars="200"/>
        <w:rPr>
          <w:rFonts w:ascii="宋体" w:hAnsi="宋体" w:eastAsia="宋体" w:cs="宋体"/>
          <w:sz w:val="24"/>
          <w:szCs w:val="24"/>
        </w:rPr>
      </w:pPr>
      <w:r>
        <w:rPr>
          <w:rFonts w:hint="eastAsia" w:ascii="宋体" w:hAnsi="宋体" w:eastAsia="宋体" w:cs="宋体"/>
          <w:sz w:val="24"/>
          <w:szCs w:val="24"/>
        </w:rPr>
        <w:t>标定工位区域的灯光应满足以下要求：</w:t>
      </w:r>
    </w:p>
    <w:p>
      <w:pPr>
        <w:spacing w:line="360" w:lineRule="auto"/>
        <w:ind w:left="480" w:firstLine="480" w:firstLineChars="200"/>
        <w:rPr>
          <w:rFonts w:ascii="宋体" w:hAnsi="宋体" w:eastAsia="宋体" w:cs="宋体"/>
          <w:sz w:val="24"/>
          <w:szCs w:val="24"/>
        </w:rPr>
      </w:pPr>
      <w:r>
        <w:rPr>
          <w:rFonts w:hint="eastAsia" w:ascii="宋体" w:hAnsi="宋体" w:eastAsia="宋体" w:cs="宋体"/>
          <w:sz w:val="24"/>
          <w:szCs w:val="24"/>
        </w:rPr>
        <w:t>（1）标定工站周围的照明系统应为无频闪光源 ，包含但不限于：LED 光源、符合国际标准的工业照明、相位相反的双光源 ；</w:t>
      </w:r>
    </w:p>
    <w:p>
      <w:pPr>
        <w:spacing w:line="360" w:lineRule="auto"/>
        <w:ind w:left="480" w:firstLine="480" w:firstLineChars="200"/>
        <w:rPr>
          <w:rFonts w:ascii="宋体" w:hAnsi="宋体" w:eastAsia="宋体" w:cs="宋体"/>
          <w:sz w:val="24"/>
          <w:szCs w:val="24"/>
        </w:rPr>
      </w:pPr>
      <w:r>
        <w:rPr>
          <w:rFonts w:hint="eastAsia" w:ascii="宋体" w:hAnsi="宋体" w:eastAsia="宋体" w:cs="宋体"/>
          <w:sz w:val="24"/>
          <w:szCs w:val="24"/>
        </w:rPr>
        <w:t>（2）在摄像头视野范围内 ，不应有直射入摄像头的光源 ，否则摄像头会降低曝光量使得拍到的标定板变暗 ，影响标定 ；</w:t>
      </w:r>
    </w:p>
    <w:p>
      <w:pPr>
        <w:spacing w:line="360" w:lineRule="auto"/>
        <w:ind w:left="480" w:firstLine="480" w:firstLineChars="200"/>
        <w:rPr>
          <w:rFonts w:ascii="宋体" w:hAnsi="宋体" w:eastAsia="宋体" w:cs="宋体"/>
          <w:sz w:val="24"/>
          <w:szCs w:val="24"/>
        </w:rPr>
      </w:pPr>
      <w:r>
        <w:rPr>
          <w:rFonts w:hint="eastAsia" w:ascii="宋体" w:hAnsi="宋体" w:eastAsia="宋体" w:cs="宋体"/>
          <w:sz w:val="24"/>
          <w:szCs w:val="24"/>
        </w:rPr>
        <w:t>（3）光源应保证标定板上不会有反射光斑 ；</w:t>
      </w:r>
    </w:p>
    <w:p>
      <w:pPr>
        <w:spacing w:line="360" w:lineRule="auto"/>
        <w:ind w:left="480" w:firstLine="480" w:firstLineChars="200"/>
        <w:rPr>
          <w:rFonts w:ascii="宋体" w:hAnsi="宋体" w:eastAsia="宋体" w:cs="宋体"/>
          <w:sz w:val="24"/>
          <w:szCs w:val="24"/>
        </w:rPr>
      </w:pPr>
      <w:r>
        <w:rPr>
          <w:rFonts w:hint="eastAsia" w:ascii="宋体" w:hAnsi="宋体" w:eastAsia="宋体" w:cs="宋体"/>
          <w:sz w:val="24"/>
          <w:szCs w:val="24"/>
        </w:rPr>
        <w:t>（4）光源应保证标定工站内光照分布均匀 ；</w:t>
      </w:r>
    </w:p>
    <w:p>
      <w:pPr>
        <w:spacing w:line="360" w:lineRule="auto"/>
        <w:ind w:left="480" w:firstLine="480" w:firstLineChars="200"/>
        <w:rPr>
          <w:rFonts w:ascii="宋体" w:hAnsi="宋体" w:eastAsia="宋体" w:cs="宋体"/>
          <w:sz w:val="24"/>
          <w:szCs w:val="24"/>
        </w:rPr>
      </w:pPr>
      <w:r>
        <w:rPr>
          <w:rFonts w:hint="eastAsia" w:ascii="宋体" w:hAnsi="宋体" w:eastAsia="宋体" w:cs="宋体"/>
          <w:sz w:val="24"/>
          <w:szCs w:val="24"/>
        </w:rPr>
        <w:t>（5）光源亮度不应发生变化 ，同时确保标定工站周围不会有其它变化的光源 ，如开灯驶过的车辆等 ；</w:t>
      </w:r>
    </w:p>
    <w:p>
      <w:pPr>
        <w:spacing w:line="360" w:lineRule="auto"/>
        <w:ind w:left="480" w:firstLine="480" w:firstLineChars="200"/>
        <w:rPr>
          <w:rFonts w:ascii="宋体" w:hAnsi="宋体" w:eastAsia="宋体" w:cs="宋体"/>
          <w:sz w:val="24"/>
          <w:szCs w:val="24"/>
        </w:rPr>
      </w:pPr>
      <w:r>
        <w:rPr>
          <w:rFonts w:hint="eastAsia" w:ascii="宋体" w:hAnsi="宋体" w:eastAsia="宋体" w:cs="宋体"/>
          <w:sz w:val="24"/>
          <w:szCs w:val="24"/>
        </w:rPr>
        <w:t>（6）标定过程中车辆周围的光照强度应小于 100Lux ，标定板周围的光照强度应大于 300Lux。</w:t>
      </w:r>
    </w:p>
    <w:p>
      <w:pPr>
        <w:spacing w:line="360" w:lineRule="auto"/>
        <w:ind w:left="480"/>
        <w:rPr>
          <w:rFonts w:ascii="宋体" w:hAnsi="宋体" w:eastAsia="宋体" w:cs="宋体"/>
          <w:sz w:val="24"/>
          <w:szCs w:val="24"/>
        </w:rPr>
      </w:pPr>
    </w:p>
    <w:p>
      <w:pPr>
        <w:spacing w:line="360" w:lineRule="auto"/>
        <w:ind w:left="480"/>
        <w:rPr>
          <w:rFonts w:ascii="宋体" w:hAnsi="宋体" w:eastAsia="宋体" w:cs="宋体"/>
          <w:sz w:val="24"/>
          <w:szCs w:val="24"/>
        </w:rPr>
      </w:pPr>
      <w:r>
        <w:rPr>
          <w:rFonts w:hint="eastAsia" w:ascii="宋体" w:hAnsi="宋体" w:eastAsia="宋体" w:cs="宋体"/>
          <w:sz w:val="24"/>
          <w:szCs w:val="24"/>
        </w:rPr>
        <w:t>以上交付内容在签订合同后于4个月之内交付到甲方现场（包括设备的设计、制造、预验收和发运时间）</w:t>
      </w:r>
    </w:p>
    <w:p>
      <w:pPr>
        <w:spacing w:line="360" w:lineRule="auto"/>
        <w:ind w:left="480"/>
        <w:rPr>
          <w:rFonts w:ascii="宋体" w:hAnsi="宋体" w:eastAsia="宋体" w:cs="宋体"/>
          <w:sz w:val="24"/>
          <w:szCs w:val="24"/>
        </w:rPr>
      </w:pPr>
      <w:r>
        <w:rPr>
          <w:rFonts w:hint="eastAsia" w:ascii="宋体" w:hAnsi="宋体" w:eastAsia="宋体" w:cs="宋体"/>
          <w:sz w:val="24"/>
          <w:szCs w:val="24"/>
        </w:rPr>
        <w:t>设备运输过程中，需采取防水、防震措施以保证设备安全。</w:t>
      </w:r>
    </w:p>
    <w:p>
      <w:pPr>
        <w:spacing w:line="360" w:lineRule="auto"/>
        <w:ind w:left="480"/>
        <w:rPr>
          <w:rFonts w:ascii="宋体" w:hAnsi="宋体" w:eastAsia="宋体" w:cs="宋体"/>
          <w:sz w:val="24"/>
          <w:szCs w:val="24"/>
        </w:rPr>
      </w:pPr>
      <w:r>
        <w:rPr>
          <w:rFonts w:hint="eastAsia" w:ascii="宋体" w:hAnsi="宋体" w:eastAsia="宋体" w:cs="宋体"/>
          <w:sz w:val="24"/>
          <w:szCs w:val="24"/>
        </w:rPr>
        <w:t>设备到货后投标人需在1个月内完成设备安装调试工作，保证设备进入试运行状态。</w:t>
      </w:r>
    </w:p>
    <w:p>
      <w:pPr>
        <w:pStyle w:val="117"/>
        <w:spacing w:line="360" w:lineRule="auto"/>
        <w:ind w:firstLine="482" w:firstLineChars="200"/>
        <w:outlineLvl w:val="2"/>
        <w:rPr>
          <w:rFonts w:eastAsia="宋体" w:cs="宋体"/>
          <w:b/>
          <w:bCs w:val="0"/>
          <w:sz w:val="24"/>
          <w:szCs w:val="24"/>
        </w:rPr>
      </w:pPr>
      <w:r>
        <w:rPr>
          <w:rFonts w:hint="eastAsia" w:eastAsia="宋体" w:cs="宋体"/>
          <w:b/>
          <w:bCs w:val="0"/>
          <w:sz w:val="24"/>
          <w:szCs w:val="24"/>
        </w:rPr>
        <w:t>四、执行标准</w:t>
      </w:r>
    </w:p>
    <w:p>
      <w:pPr>
        <w:spacing w:line="360" w:lineRule="auto"/>
        <w:ind w:left="480"/>
        <w:rPr>
          <w:rFonts w:ascii="宋体" w:hAnsi="宋体" w:eastAsia="宋体" w:cs="宋体"/>
          <w:sz w:val="24"/>
          <w:szCs w:val="24"/>
        </w:rPr>
      </w:pPr>
      <w:r>
        <w:rPr>
          <w:rFonts w:hint="eastAsia" w:ascii="宋体" w:hAnsi="宋体" w:eastAsia="宋体" w:cs="宋体"/>
          <w:sz w:val="24"/>
          <w:szCs w:val="24"/>
        </w:rPr>
        <w:t>1、招标方此处所列标准仅为涉及的主要标准，而且不保证其为最新版执行标准；投标方应当在投标文件中认真予以填写、补充和修改完善。</w:t>
      </w:r>
    </w:p>
    <w:p>
      <w:pPr>
        <w:spacing w:line="360" w:lineRule="auto"/>
        <w:ind w:left="480"/>
        <w:rPr>
          <w:rFonts w:ascii="宋体" w:hAnsi="宋体" w:eastAsia="宋体" w:cs="宋体"/>
          <w:sz w:val="24"/>
          <w:szCs w:val="24"/>
        </w:rPr>
      </w:pPr>
      <w:r>
        <w:rPr>
          <w:rFonts w:hint="eastAsia" w:ascii="宋体" w:hAnsi="宋体" w:eastAsia="宋体" w:cs="宋体"/>
          <w:sz w:val="24"/>
          <w:szCs w:val="24"/>
        </w:rPr>
        <w:t>2、投标方需要执行的标准，应当采用所供货物通过买方组织的最终验收之日已经开始执行的最新标准。</w:t>
      </w:r>
    </w:p>
    <w:p>
      <w:pPr>
        <w:spacing w:line="360" w:lineRule="auto"/>
        <w:ind w:left="480"/>
        <w:rPr>
          <w:rFonts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pPr>
        <w:spacing w:line="360" w:lineRule="auto"/>
        <w:ind w:left="480"/>
        <w:rPr>
          <w:rFonts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pPr>
        <w:spacing w:line="360" w:lineRule="auto"/>
        <w:ind w:left="480"/>
        <w:rPr>
          <w:rFonts w:ascii="宋体" w:hAnsi="宋体" w:eastAsia="宋体" w:cs="宋体"/>
          <w:sz w:val="24"/>
          <w:szCs w:val="24"/>
        </w:rPr>
      </w:pPr>
      <w:r>
        <w:rPr>
          <w:rFonts w:hint="eastAsia" w:ascii="宋体" w:hAnsi="宋体" w:eastAsia="宋体" w:cs="宋体"/>
          <w:sz w:val="24"/>
          <w:szCs w:val="24"/>
        </w:rPr>
        <w:t>5、采购货物如果采用国际标准，其执行标准由投标方提供、招标方确认。</w:t>
      </w:r>
    </w:p>
    <w:p>
      <w:pPr>
        <w:spacing w:line="360" w:lineRule="auto"/>
        <w:ind w:left="480"/>
        <w:rPr>
          <w:rFonts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pPr>
        <w:spacing w:line="360" w:lineRule="auto"/>
        <w:ind w:left="480"/>
        <w:rPr>
          <w:rFonts w:ascii="宋体" w:hAnsi="宋体" w:eastAsia="宋体" w:cs="宋体"/>
          <w:sz w:val="24"/>
          <w:szCs w:val="24"/>
        </w:rPr>
      </w:pPr>
      <w:r>
        <w:rPr>
          <w:rFonts w:hint="eastAsia" w:ascii="宋体" w:hAnsi="宋体" w:eastAsia="宋体" w:cs="宋体"/>
          <w:sz w:val="24"/>
          <w:szCs w:val="24"/>
        </w:rPr>
        <w:t xml:space="preserve">7、涉及的主要标准表  </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4110"/>
        <w:gridCol w:w="1843"/>
        <w:gridCol w:w="2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988"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序号</w:t>
            </w:r>
          </w:p>
        </w:tc>
        <w:tc>
          <w:tcPr>
            <w:tcW w:w="4110"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标准名称</w:t>
            </w:r>
          </w:p>
        </w:tc>
        <w:tc>
          <w:tcPr>
            <w:tcW w:w="1843"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标准编号</w:t>
            </w:r>
          </w:p>
        </w:tc>
        <w:tc>
          <w:tcPr>
            <w:tcW w:w="2062"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1</w:t>
            </w:r>
          </w:p>
        </w:tc>
        <w:tc>
          <w:tcPr>
            <w:tcW w:w="4110"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买方提供企业标准</w:t>
            </w:r>
          </w:p>
        </w:tc>
        <w:tc>
          <w:tcPr>
            <w:tcW w:w="1843" w:type="dxa"/>
            <w:vAlign w:val="center"/>
          </w:tcPr>
          <w:p>
            <w:pPr>
              <w:spacing w:line="360" w:lineRule="auto"/>
              <w:ind w:left="480"/>
              <w:jc w:val="center"/>
              <w:rPr>
                <w:rFonts w:ascii="宋体" w:hAnsi="宋体" w:eastAsia="宋体" w:cs="宋体"/>
                <w:sz w:val="24"/>
                <w:szCs w:val="24"/>
              </w:rPr>
            </w:pPr>
          </w:p>
        </w:tc>
        <w:tc>
          <w:tcPr>
            <w:tcW w:w="2062"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卖方确认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2</w:t>
            </w:r>
          </w:p>
        </w:tc>
        <w:tc>
          <w:tcPr>
            <w:tcW w:w="4110"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买方提供与设备安全和环保相关的中国、国际通用和制造国的标准</w:t>
            </w:r>
          </w:p>
        </w:tc>
        <w:tc>
          <w:tcPr>
            <w:tcW w:w="1843" w:type="dxa"/>
            <w:vAlign w:val="center"/>
          </w:tcPr>
          <w:p>
            <w:pPr>
              <w:spacing w:line="360" w:lineRule="auto"/>
              <w:ind w:left="480"/>
              <w:jc w:val="center"/>
              <w:rPr>
                <w:rFonts w:ascii="宋体" w:hAnsi="宋体" w:eastAsia="宋体" w:cs="宋体"/>
                <w:sz w:val="24"/>
                <w:szCs w:val="24"/>
              </w:rPr>
            </w:pPr>
          </w:p>
        </w:tc>
        <w:tc>
          <w:tcPr>
            <w:tcW w:w="2062"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卖方确认</w:t>
            </w:r>
          </w:p>
        </w:tc>
      </w:tr>
    </w:tbl>
    <w:p>
      <w:pPr>
        <w:pStyle w:val="21"/>
        <w:rPr>
          <w:rFonts w:hAnsi="宋体" w:eastAsia="宋体"/>
        </w:rPr>
      </w:pPr>
    </w:p>
    <w:p>
      <w:pPr>
        <w:keepNext/>
        <w:keepLines/>
        <w:jc w:val="center"/>
        <w:outlineLvl w:val="1"/>
        <w:rPr>
          <w:rFonts w:ascii="宋体" w:hAnsi="宋体" w:eastAsia="宋体" w:cs="Times New Roman"/>
          <w:b/>
          <w:bCs/>
          <w:kern w:val="44"/>
          <w:sz w:val="28"/>
          <w:szCs w:val="28"/>
        </w:rPr>
      </w:pPr>
      <w:r>
        <w:rPr>
          <w:rFonts w:hint="eastAsia" w:ascii="宋体" w:hAnsi="宋体" w:eastAsia="宋体" w:cs="Times New Roman"/>
          <w:b/>
          <w:bCs/>
          <w:kern w:val="44"/>
          <w:sz w:val="28"/>
          <w:szCs w:val="28"/>
        </w:rPr>
        <w:t>第三章供货范围及供货方式</w:t>
      </w:r>
      <w:bookmarkEnd w:id="34"/>
    </w:p>
    <w:p>
      <w:pPr>
        <w:rPr>
          <w:rFonts w:ascii="宋体" w:hAnsi="宋体" w:eastAsia="宋体"/>
        </w:rPr>
      </w:pPr>
    </w:p>
    <w:p>
      <w:pPr>
        <w:keepNext/>
        <w:keepLines/>
        <w:spacing w:line="360" w:lineRule="auto"/>
        <w:jc w:val="center"/>
        <w:outlineLvl w:val="2"/>
        <w:rPr>
          <w:rFonts w:ascii="宋体" w:hAnsi="宋体" w:eastAsia="宋体" w:cs="宋体"/>
          <w:b/>
          <w:bCs/>
          <w:sz w:val="24"/>
          <w:szCs w:val="32"/>
        </w:rPr>
      </w:pPr>
      <w:bookmarkStart w:id="35" w:name="_Toc169605882"/>
      <w:r>
        <w:rPr>
          <w:rFonts w:hint="eastAsia" w:ascii="宋体" w:hAnsi="宋体" w:eastAsia="宋体" w:cs="宋体"/>
          <w:b/>
          <w:bCs/>
          <w:sz w:val="24"/>
          <w:szCs w:val="32"/>
        </w:rPr>
        <w:t>第一节  供货范围</w:t>
      </w:r>
      <w:bookmarkEnd w:id="35"/>
    </w:p>
    <w:p>
      <w:pPr>
        <w:pStyle w:val="130"/>
        <w:spacing w:line="360" w:lineRule="auto"/>
        <w:ind w:firstLine="0" w:firstLineChars="0"/>
        <w:outlineLvl w:val="3"/>
        <w:rPr>
          <w:rFonts w:ascii="宋体" w:hAnsi="宋体" w:eastAsia="宋体" w:cs="宋体"/>
          <w:b/>
          <w:bCs/>
          <w:sz w:val="24"/>
          <w:szCs w:val="24"/>
        </w:rPr>
      </w:pPr>
      <w:r>
        <w:rPr>
          <w:rFonts w:ascii="宋体" w:hAnsi="宋体" w:eastAsia="宋体" w:cs="宋体"/>
          <w:b/>
          <w:bCs/>
          <w:sz w:val="24"/>
          <w:szCs w:val="24"/>
        </w:rPr>
        <w:t>一、</w:t>
      </w:r>
      <w:r>
        <w:rPr>
          <w:rFonts w:hint="eastAsia" w:ascii="宋体" w:hAnsi="宋体" w:eastAsia="宋体" w:cs="宋体"/>
          <w:b/>
          <w:bCs/>
          <w:sz w:val="24"/>
          <w:szCs w:val="24"/>
        </w:rPr>
        <w:t>供货范围</w:t>
      </w:r>
    </w:p>
    <w:tbl>
      <w:tblPr>
        <w:tblStyle w:val="40"/>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3520"/>
        <w:gridCol w:w="1215"/>
        <w:gridCol w:w="793"/>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spacing w:line="360" w:lineRule="auto"/>
              <w:jc w:val="center"/>
              <w:textAlignment w:val="center"/>
              <w:rPr>
                <w:rFonts w:ascii="宋体" w:hAnsi="宋体" w:eastAsia="宋体" w:cs="宋体"/>
                <w:color w:val="FF0000"/>
                <w:sz w:val="24"/>
                <w:szCs w:val="24"/>
              </w:rPr>
            </w:pPr>
            <w:r>
              <w:rPr>
                <w:rFonts w:hint="eastAsia" w:ascii="宋体" w:hAnsi="宋体" w:eastAsia="宋体" w:cs="宋体"/>
                <w:b/>
                <w:bCs/>
                <w:color w:val="000000" w:themeColor="text1"/>
                <w:sz w:val="24"/>
                <w:szCs w:val="24"/>
                <w14:textFill>
                  <w14:solidFill>
                    <w14:schemeClr w14:val="tx1"/>
                  </w14:solidFill>
                </w14:textFill>
              </w:rPr>
              <w:t>序号</w:t>
            </w:r>
          </w:p>
        </w:tc>
        <w:tc>
          <w:tcPr>
            <w:tcW w:w="3520" w:type="dxa"/>
            <w:vAlign w:val="center"/>
          </w:tcPr>
          <w:p>
            <w:pPr>
              <w:spacing w:line="360" w:lineRule="auto"/>
              <w:jc w:val="center"/>
              <w:textAlignment w:val="center"/>
              <w:rPr>
                <w:rFonts w:ascii="宋体" w:hAnsi="宋体" w:eastAsia="宋体" w:cs="宋体"/>
                <w:color w:val="FF0000"/>
                <w:sz w:val="24"/>
                <w:szCs w:val="24"/>
              </w:rPr>
            </w:pPr>
            <w:r>
              <w:rPr>
                <w:rFonts w:hint="eastAsia" w:ascii="宋体" w:hAnsi="宋体" w:eastAsia="宋体" w:cs="宋体"/>
                <w:b/>
                <w:bCs/>
                <w:color w:val="000000" w:themeColor="text1"/>
                <w:sz w:val="24"/>
                <w:szCs w:val="24"/>
                <w14:textFill>
                  <w14:solidFill>
                    <w14:schemeClr w14:val="tx1"/>
                  </w14:solidFill>
                </w14:textFill>
              </w:rPr>
              <w:t>名称</w:t>
            </w:r>
          </w:p>
        </w:tc>
        <w:tc>
          <w:tcPr>
            <w:tcW w:w="1215" w:type="dxa"/>
            <w:vAlign w:val="center"/>
          </w:tcPr>
          <w:p>
            <w:pPr>
              <w:spacing w:line="360" w:lineRule="auto"/>
              <w:jc w:val="center"/>
              <w:textAlignment w:val="center"/>
              <w:rPr>
                <w:rFonts w:ascii="宋体" w:hAnsi="宋体" w:eastAsia="宋体" w:cs="宋体"/>
                <w:color w:val="FF0000"/>
                <w:sz w:val="24"/>
                <w:szCs w:val="24"/>
              </w:rPr>
            </w:pPr>
            <w:r>
              <w:rPr>
                <w:rFonts w:hint="eastAsia" w:ascii="宋体" w:hAnsi="宋体" w:eastAsia="宋体" w:cs="宋体"/>
                <w:b/>
                <w:bCs/>
                <w:color w:val="000000" w:themeColor="text1"/>
                <w:sz w:val="24"/>
                <w:szCs w:val="24"/>
                <w14:textFill>
                  <w14:solidFill>
                    <w14:schemeClr w14:val="tx1"/>
                  </w14:solidFill>
                </w14:textFill>
              </w:rPr>
              <w:t>单位</w:t>
            </w:r>
          </w:p>
        </w:tc>
        <w:tc>
          <w:tcPr>
            <w:tcW w:w="793" w:type="dxa"/>
            <w:vAlign w:val="center"/>
          </w:tcPr>
          <w:p>
            <w:pPr>
              <w:spacing w:line="360" w:lineRule="auto"/>
              <w:jc w:val="center"/>
              <w:textAlignment w:val="center"/>
              <w:rPr>
                <w:rFonts w:ascii="宋体" w:hAnsi="宋体" w:eastAsia="宋体" w:cs="宋体"/>
                <w:color w:val="FF0000"/>
                <w:sz w:val="24"/>
                <w:szCs w:val="24"/>
              </w:rPr>
            </w:pPr>
            <w:r>
              <w:rPr>
                <w:rFonts w:hint="eastAsia" w:ascii="宋体" w:hAnsi="宋体" w:eastAsia="宋体" w:cs="宋体"/>
                <w:b/>
                <w:bCs/>
                <w:color w:val="000000" w:themeColor="text1"/>
                <w:sz w:val="24"/>
                <w:szCs w:val="24"/>
                <w14:textFill>
                  <w14:solidFill>
                    <w14:schemeClr w14:val="tx1"/>
                  </w14:solidFill>
                </w14:textFill>
              </w:rPr>
              <w:t>数量</w:t>
            </w:r>
          </w:p>
        </w:tc>
        <w:tc>
          <w:tcPr>
            <w:tcW w:w="2693" w:type="dxa"/>
            <w:vAlign w:val="center"/>
          </w:tcPr>
          <w:p>
            <w:pPr>
              <w:spacing w:line="360" w:lineRule="auto"/>
              <w:jc w:val="center"/>
              <w:textAlignment w:val="center"/>
              <w:rPr>
                <w:rFonts w:ascii="宋体" w:hAnsi="宋体" w:eastAsia="宋体" w:cs="宋体"/>
                <w:color w:val="FF0000"/>
                <w:sz w:val="24"/>
                <w:szCs w:val="24"/>
              </w:rPr>
            </w:pPr>
            <w:r>
              <w:rPr>
                <w:rFonts w:hint="eastAsia" w:ascii="宋体" w:hAnsi="宋体" w:eastAsia="宋体" w:cs="宋体"/>
                <w:b/>
                <w:bCs/>
                <w:color w:val="000000" w:themeColor="text1"/>
                <w:sz w:val="24"/>
                <w:szCs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1</w:t>
            </w:r>
          </w:p>
        </w:tc>
        <w:tc>
          <w:tcPr>
            <w:tcW w:w="3520" w:type="dxa"/>
            <w:vAlign w:val="center"/>
          </w:tcPr>
          <w:p>
            <w:pPr>
              <w:pStyle w:val="129"/>
              <w:spacing w:beforeLines="0" w:afterLines="0" w:line="360" w:lineRule="auto"/>
              <w:rPr>
                <w:rFonts w:ascii="宋体" w:hAnsi="宋体" w:eastAsia="宋体" w:cs="宋体"/>
                <w:sz w:val="24"/>
              </w:rPr>
            </w:pPr>
            <w:r>
              <w:rPr>
                <w:rFonts w:hint="eastAsia" w:ascii="宋体" w:hAnsi="宋体" w:eastAsia="宋体" w:cs="宋体"/>
                <w:sz w:val="24"/>
              </w:rPr>
              <w:t>雷达摄像头标靶改造</w:t>
            </w:r>
          </w:p>
        </w:tc>
        <w:tc>
          <w:tcPr>
            <w:tcW w:w="1215"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套</w:t>
            </w:r>
          </w:p>
        </w:tc>
        <w:tc>
          <w:tcPr>
            <w:tcW w:w="793"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1</w:t>
            </w:r>
          </w:p>
        </w:tc>
        <w:tc>
          <w:tcPr>
            <w:tcW w:w="2693" w:type="dxa"/>
            <w:vAlign w:val="center"/>
          </w:tcPr>
          <w:p>
            <w:pPr>
              <w:pStyle w:val="129"/>
              <w:spacing w:beforeLines="0" w:afterLines="0" w:line="360" w:lineRule="auto"/>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2</w:t>
            </w:r>
          </w:p>
        </w:tc>
        <w:tc>
          <w:tcPr>
            <w:tcW w:w="3520" w:type="dxa"/>
            <w:vAlign w:val="center"/>
          </w:tcPr>
          <w:p>
            <w:pPr>
              <w:pStyle w:val="129"/>
              <w:spacing w:beforeLines="0" w:afterLines="0" w:line="360" w:lineRule="auto"/>
              <w:rPr>
                <w:rFonts w:ascii="宋体" w:hAnsi="宋体" w:eastAsia="宋体" w:cs="宋体"/>
                <w:sz w:val="24"/>
              </w:rPr>
            </w:pPr>
            <w:r>
              <w:rPr>
                <w:rFonts w:hint="eastAsia" w:ascii="宋体" w:hAnsi="宋体" w:eastAsia="宋体" w:cs="宋体"/>
                <w:sz w:val="24"/>
              </w:rPr>
              <w:t>新建车辆位置数据采集系统</w:t>
            </w:r>
          </w:p>
        </w:tc>
        <w:tc>
          <w:tcPr>
            <w:tcW w:w="1215"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套</w:t>
            </w:r>
          </w:p>
        </w:tc>
        <w:tc>
          <w:tcPr>
            <w:tcW w:w="793"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1</w:t>
            </w:r>
          </w:p>
        </w:tc>
        <w:tc>
          <w:tcPr>
            <w:tcW w:w="2693" w:type="dxa"/>
            <w:vAlign w:val="center"/>
          </w:tcPr>
          <w:p>
            <w:pPr>
              <w:pStyle w:val="129"/>
              <w:spacing w:beforeLines="0" w:afterLines="0" w:line="360" w:lineRule="auto"/>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3</w:t>
            </w:r>
          </w:p>
        </w:tc>
        <w:tc>
          <w:tcPr>
            <w:tcW w:w="3520" w:type="dxa"/>
            <w:vAlign w:val="center"/>
          </w:tcPr>
          <w:p>
            <w:pPr>
              <w:pStyle w:val="129"/>
              <w:spacing w:beforeLines="0" w:afterLines="0" w:line="360" w:lineRule="auto"/>
              <w:rPr>
                <w:rFonts w:ascii="宋体" w:hAnsi="宋体" w:eastAsia="宋体" w:cs="宋体"/>
                <w:sz w:val="24"/>
              </w:rPr>
            </w:pPr>
            <w:r>
              <w:rPr>
                <w:rFonts w:hint="eastAsia" w:ascii="宋体" w:hAnsi="宋体" w:eastAsia="宋体" w:cs="宋体"/>
                <w:sz w:val="24"/>
              </w:rPr>
              <w:t>标靶全自动位移系统改造</w:t>
            </w:r>
          </w:p>
        </w:tc>
        <w:tc>
          <w:tcPr>
            <w:tcW w:w="1215"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套</w:t>
            </w:r>
          </w:p>
        </w:tc>
        <w:tc>
          <w:tcPr>
            <w:tcW w:w="793"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1</w:t>
            </w:r>
          </w:p>
        </w:tc>
        <w:tc>
          <w:tcPr>
            <w:tcW w:w="2693" w:type="dxa"/>
            <w:vAlign w:val="center"/>
          </w:tcPr>
          <w:p>
            <w:pPr>
              <w:pStyle w:val="129"/>
              <w:spacing w:beforeLines="0" w:afterLines="0" w:line="360" w:lineRule="auto"/>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pStyle w:val="35"/>
              <w:spacing w:line="360" w:lineRule="auto"/>
              <w:jc w:val="center"/>
              <w:rPr>
                <w:rFonts w:ascii="宋体" w:hAnsi="宋体" w:cs="宋体"/>
                <w:szCs w:val="24"/>
              </w:rPr>
            </w:pPr>
            <w:r>
              <w:rPr>
                <w:rFonts w:hint="eastAsia" w:ascii="宋体" w:hAnsi="宋体" w:cs="宋体"/>
                <w:szCs w:val="24"/>
              </w:rPr>
              <w:t>4</w:t>
            </w:r>
          </w:p>
        </w:tc>
        <w:tc>
          <w:tcPr>
            <w:tcW w:w="3520" w:type="dxa"/>
            <w:vAlign w:val="center"/>
          </w:tcPr>
          <w:p>
            <w:pPr>
              <w:pStyle w:val="129"/>
              <w:spacing w:beforeLines="0" w:afterLines="0" w:line="360" w:lineRule="auto"/>
              <w:rPr>
                <w:rFonts w:ascii="宋体" w:hAnsi="宋体" w:eastAsia="宋体" w:cs="宋体"/>
                <w:sz w:val="24"/>
              </w:rPr>
            </w:pPr>
            <w:r>
              <w:rPr>
                <w:rFonts w:hint="eastAsia" w:ascii="宋体" w:hAnsi="宋体" w:eastAsia="宋体" w:cs="宋体"/>
                <w:sz w:val="24"/>
              </w:rPr>
              <w:t>标定工位场地改造</w:t>
            </w:r>
          </w:p>
        </w:tc>
        <w:tc>
          <w:tcPr>
            <w:tcW w:w="1215"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套</w:t>
            </w:r>
          </w:p>
        </w:tc>
        <w:tc>
          <w:tcPr>
            <w:tcW w:w="793" w:type="dxa"/>
            <w:vAlign w:val="center"/>
          </w:tcPr>
          <w:p>
            <w:pPr>
              <w:pStyle w:val="129"/>
              <w:spacing w:beforeLines="0" w:afterLines="0" w:line="360" w:lineRule="auto"/>
              <w:jc w:val="center"/>
              <w:rPr>
                <w:rFonts w:ascii="宋体" w:hAnsi="宋体" w:eastAsia="宋体" w:cs="宋体"/>
                <w:sz w:val="24"/>
              </w:rPr>
            </w:pPr>
            <w:r>
              <w:rPr>
                <w:rFonts w:hint="eastAsia" w:ascii="宋体" w:hAnsi="宋体" w:eastAsia="宋体" w:cs="宋体"/>
                <w:sz w:val="24"/>
              </w:rPr>
              <w:t>1</w:t>
            </w:r>
          </w:p>
        </w:tc>
        <w:tc>
          <w:tcPr>
            <w:tcW w:w="2693" w:type="dxa"/>
            <w:vAlign w:val="center"/>
          </w:tcPr>
          <w:p>
            <w:pPr>
              <w:pStyle w:val="129"/>
              <w:spacing w:beforeLines="0" w:afterLines="0" w:line="360" w:lineRule="auto"/>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pStyle w:val="35"/>
              <w:spacing w:line="360" w:lineRule="auto"/>
              <w:jc w:val="center"/>
              <w:rPr>
                <w:rFonts w:ascii="宋体" w:hAnsi="宋体" w:cs="宋体"/>
                <w:szCs w:val="24"/>
              </w:rPr>
            </w:pPr>
            <w:r>
              <w:rPr>
                <w:rFonts w:hint="eastAsia" w:ascii="宋体" w:hAnsi="宋体" w:cs="宋体"/>
                <w:szCs w:val="24"/>
              </w:rPr>
              <w:t>5</w:t>
            </w:r>
          </w:p>
        </w:tc>
        <w:tc>
          <w:tcPr>
            <w:tcW w:w="3520" w:type="dxa"/>
            <w:vAlign w:val="center"/>
          </w:tcPr>
          <w:p>
            <w:pPr>
              <w:pStyle w:val="129"/>
              <w:spacing w:beforeLines="0" w:afterLines="0" w:line="360" w:lineRule="auto"/>
              <w:rPr>
                <w:rFonts w:ascii="宋体" w:hAnsi="宋体" w:eastAsia="宋体" w:cs="宋体"/>
                <w:sz w:val="24"/>
              </w:rPr>
            </w:pPr>
            <w:r>
              <w:rPr>
                <w:rFonts w:hint="eastAsia" w:ascii="宋体" w:hAnsi="宋体" w:eastAsia="宋体" w:cs="宋体"/>
                <w:sz w:val="24"/>
              </w:rPr>
              <w:t>设备使用说明书</w:t>
            </w:r>
          </w:p>
        </w:tc>
        <w:tc>
          <w:tcPr>
            <w:tcW w:w="1215"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套</w:t>
            </w:r>
          </w:p>
        </w:tc>
        <w:tc>
          <w:tcPr>
            <w:tcW w:w="793" w:type="dxa"/>
            <w:vAlign w:val="center"/>
          </w:tcPr>
          <w:p>
            <w:pPr>
              <w:pStyle w:val="129"/>
              <w:spacing w:beforeLines="0" w:afterLines="0" w:line="360" w:lineRule="auto"/>
              <w:jc w:val="center"/>
              <w:rPr>
                <w:rFonts w:ascii="宋体" w:hAnsi="宋体" w:eastAsia="宋体" w:cs="宋体"/>
                <w:sz w:val="24"/>
              </w:rPr>
            </w:pPr>
            <w:r>
              <w:rPr>
                <w:rFonts w:hint="eastAsia" w:ascii="宋体" w:hAnsi="宋体" w:eastAsia="宋体" w:cs="宋体"/>
                <w:sz w:val="24"/>
              </w:rPr>
              <w:t>3</w:t>
            </w:r>
          </w:p>
        </w:tc>
        <w:tc>
          <w:tcPr>
            <w:tcW w:w="2693" w:type="dxa"/>
            <w:vAlign w:val="center"/>
          </w:tcPr>
          <w:p>
            <w:pPr>
              <w:pStyle w:val="129"/>
              <w:spacing w:beforeLines="0" w:afterLines="0" w:line="360" w:lineRule="auto"/>
              <w:rPr>
                <w:rFonts w:ascii="宋体" w:hAnsi="宋体" w:eastAsia="宋体" w:cs="宋体"/>
                <w:sz w:val="24"/>
              </w:rPr>
            </w:pPr>
            <w:r>
              <w:rPr>
                <w:rFonts w:hint="eastAsia" w:ascii="宋体" w:hAnsi="宋体" w:eastAsia="宋体" w:cs="宋体"/>
                <w:sz w:val="24"/>
              </w:rPr>
              <w:t>中文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pStyle w:val="35"/>
              <w:spacing w:line="360" w:lineRule="auto"/>
              <w:jc w:val="center"/>
              <w:rPr>
                <w:rFonts w:ascii="宋体" w:hAnsi="宋体" w:cs="宋体"/>
                <w:szCs w:val="24"/>
              </w:rPr>
            </w:pPr>
            <w:r>
              <w:rPr>
                <w:rFonts w:hint="eastAsia" w:ascii="宋体" w:hAnsi="宋体" w:cs="宋体"/>
                <w:szCs w:val="24"/>
              </w:rPr>
              <w:t>6</w:t>
            </w:r>
          </w:p>
        </w:tc>
        <w:tc>
          <w:tcPr>
            <w:tcW w:w="3520" w:type="dxa"/>
            <w:vAlign w:val="center"/>
          </w:tcPr>
          <w:p>
            <w:pPr>
              <w:pStyle w:val="129"/>
              <w:spacing w:beforeLines="0" w:afterLines="0" w:line="360" w:lineRule="auto"/>
              <w:rPr>
                <w:rFonts w:ascii="宋体" w:hAnsi="宋体" w:eastAsia="宋体" w:cs="宋体"/>
                <w:sz w:val="24"/>
              </w:rPr>
            </w:pPr>
            <w:r>
              <w:rPr>
                <w:rFonts w:hint="eastAsia" w:ascii="宋体" w:hAnsi="宋体" w:eastAsia="宋体" w:cs="宋体"/>
                <w:sz w:val="24"/>
              </w:rPr>
              <w:t>系统软硬件清单</w:t>
            </w:r>
          </w:p>
        </w:tc>
        <w:tc>
          <w:tcPr>
            <w:tcW w:w="1215"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套</w:t>
            </w:r>
          </w:p>
        </w:tc>
        <w:tc>
          <w:tcPr>
            <w:tcW w:w="793" w:type="dxa"/>
            <w:vAlign w:val="center"/>
          </w:tcPr>
          <w:p>
            <w:pPr>
              <w:pStyle w:val="129"/>
              <w:spacing w:beforeLines="0" w:afterLines="0" w:line="360" w:lineRule="auto"/>
              <w:jc w:val="center"/>
              <w:rPr>
                <w:rFonts w:ascii="宋体" w:hAnsi="宋体" w:eastAsia="宋体" w:cs="宋体"/>
                <w:sz w:val="24"/>
              </w:rPr>
            </w:pPr>
            <w:r>
              <w:rPr>
                <w:rFonts w:hint="eastAsia" w:ascii="宋体" w:hAnsi="宋体" w:eastAsia="宋体" w:cs="宋体"/>
                <w:sz w:val="24"/>
              </w:rPr>
              <w:t>3</w:t>
            </w:r>
          </w:p>
        </w:tc>
        <w:tc>
          <w:tcPr>
            <w:tcW w:w="2693" w:type="dxa"/>
            <w:vAlign w:val="center"/>
          </w:tcPr>
          <w:p>
            <w:pPr>
              <w:pStyle w:val="129"/>
              <w:spacing w:beforeLines="0" w:afterLines="0" w:line="360" w:lineRule="auto"/>
              <w:rPr>
                <w:rFonts w:ascii="宋体" w:hAnsi="宋体" w:eastAsia="宋体" w:cs="宋体"/>
                <w:sz w:val="24"/>
              </w:rPr>
            </w:pPr>
            <w:r>
              <w:rPr>
                <w:rFonts w:hint="eastAsia" w:ascii="宋体" w:hAnsi="宋体" w:eastAsia="宋体" w:cs="宋体"/>
                <w:sz w:val="24"/>
              </w:rPr>
              <w:t>中文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pStyle w:val="35"/>
              <w:spacing w:line="360" w:lineRule="auto"/>
              <w:jc w:val="center"/>
              <w:rPr>
                <w:rFonts w:ascii="宋体" w:hAnsi="宋体" w:cs="宋体"/>
                <w:szCs w:val="24"/>
              </w:rPr>
            </w:pPr>
            <w:r>
              <w:rPr>
                <w:rFonts w:hint="eastAsia" w:ascii="宋体" w:hAnsi="宋体" w:cs="宋体"/>
                <w:szCs w:val="24"/>
              </w:rPr>
              <w:t>7</w:t>
            </w:r>
          </w:p>
        </w:tc>
        <w:tc>
          <w:tcPr>
            <w:tcW w:w="3520" w:type="dxa"/>
            <w:vAlign w:val="center"/>
          </w:tcPr>
          <w:p>
            <w:pPr>
              <w:pStyle w:val="129"/>
              <w:spacing w:beforeLines="0" w:afterLines="0" w:line="360" w:lineRule="auto"/>
              <w:rPr>
                <w:rFonts w:ascii="宋体" w:hAnsi="宋体" w:eastAsia="宋体" w:cs="宋体"/>
                <w:sz w:val="24"/>
              </w:rPr>
            </w:pPr>
            <w:r>
              <w:rPr>
                <w:rFonts w:hint="eastAsia" w:ascii="宋体" w:hAnsi="宋体" w:eastAsia="宋体" w:cs="宋体"/>
                <w:sz w:val="24"/>
              </w:rPr>
              <w:t>技术培训资料</w:t>
            </w:r>
          </w:p>
        </w:tc>
        <w:tc>
          <w:tcPr>
            <w:tcW w:w="1215"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套</w:t>
            </w:r>
          </w:p>
        </w:tc>
        <w:tc>
          <w:tcPr>
            <w:tcW w:w="793" w:type="dxa"/>
            <w:vAlign w:val="center"/>
          </w:tcPr>
          <w:p>
            <w:pPr>
              <w:pStyle w:val="129"/>
              <w:spacing w:beforeLines="0" w:afterLines="0" w:line="360" w:lineRule="auto"/>
              <w:jc w:val="center"/>
              <w:rPr>
                <w:rFonts w:ascii="宋体" w:hAnsi="宋体" w:eastAsia="宋体" w:cs="宋体"/>
                <w:sz w:val="24"/>
              </w:rPr>
            </w:pPr>
            <w:r>
              <w:rPr>
                <w:rFonts w:hint="eastAsia" w:ascii="宋体" w:hAnsi="宋体" w:eastAsia="宋体" w:cs="宋体"/>
                <w:sz w:val="24"/>
              </w:rPr>
              <w:t>3</w:t>
            </w:r>
          </w:p>
        </w:tc>
        <w:tc>
          <w:tcPr>
            <w:tcW w:w="2693" w:type="dxa"/>
            <w:vAlign w:val="center"/>
          </w:tcPr>
          <w:p>
            <w:pPr>
              <w:pStyle w:val="129"/>
              <w:spacing w:beforeLines="0" w:afterLines="0" w:line="360" w:lineRule="auto"/>
              <w:rPr>
                <w:rFonts w:ascii="宋体" w:hAnsi="宋体" w:eastAsia="宋体" w:cs="宋体"/>
                <w:sz w:val="24"/>
              </w:rPr>
            </w:pPr>
            <w:r>
              <w:rPr>
                <w:rFonts w:hint="eastAsia" w:ascii="宋体" w:hAnsi="宋体" w:eastAsia="宋体" w:cs="宋体"/>
                <w:sz w:val="24"/>
              </w:rPr>
              <w:t>中文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pStyle w:val="35"/>
              <w:spacing w:line="360" w:lineRule="auto"/>
              <w:jc w:val="center"/>
              <w:rPr>
                <w:rFonts w:ascii="宋体" w:hAnsi="宋体" w:cs="宋体"/>
                <w:szCs w:val="24"/>
              </w:rPr>
            </w:pPr>
            <w:r>
              <w:rPr>
                <w:rFonts w:hint="eastAsia" w:ascii="宋体" w:hAnsi="宋体" w:cs="宋体"/>
                <w:szCs w:val="24"/>
              </w:rPr>
              <w:t>8</w:t>
            </w:r>
          </w:p>
        </w:tc>
        <w:tc>
          <w:tcPr>
            <w:tcW w:w="3520" w:type="dxa"/>
            <w:vAlign w:val="center"/>
          </w:tcPr>
          <w:p>
            <w:pPr>
              <w:pStyle w:val="129"/>
              <w:spacing w:beforeLines="0" w:afterLines="0" w:line="360" w:lineRule="auto"/>
              <w:rPr>
                <w:rFonts w:ascii="宋体" w:hAnsi="宋体" w:eastAsia="宋体" w:cs="宋体"/>
                <w:sz w:val="24"/>
              </w:rPr>
            </w:pPr>
            <w:r>
              <w:rPr>
                <w:rFonts w:hint="eastAsia" w:ascii="宋体" w:hAnsi="宋体" w:eastAsia="宋体" w:cs="宋体"/>
                <w:sz w:val="24"/>
              </w:rPr>
              <w:t>测试报告</w:t>
            </w:r>
          </w:p>
        </w:tc>
        <w:tc>
          <w:tcPr>
            <w:tcW w:w="1215"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套</w:t>
            </w:r>
          </w:p>
        </w:tc>
        <w:tc>
          <w:tcPr>
            <w:tcW w:w="793" w:type="dxa"/>
            <w:vAlign w:val="center"/>
          </w:tcPr>
          <w:p>
            <w:pPr>
              <w:pStyle w:val="129"/>
              <w:spacing w:beforeLines="0" w:afterLines="0" w:line="360" w:lineRule="auto"/>
              <w:jc w:val="center"/>
              <w:rPr>
                <w:rFonts w:ascii="宋体" w:hAnsi="宋体" w:eastAsia="宋体" w:cs="宋体"/>
                <w:sz w:val="24"/>
              </w:rPr>
            </w:pPr>
            <w:r>
              <w:rPr>
                <w:rFonts w:hint="eastAsia" w:ascii="宋体" w:hAnsi="宋体" w:eastAsia="宋体" w:cs="宋体"/>
                <w:sz w:val="24"/>
              </w:rPr>
              <w:t>3</w:t>
            </w:r>
          </w:p>
        </w:tc>
        <w:tc>
          <w:tcPr>
            <w:tcW w:w="2693" w:type="dxa"/>
            <w:vAlign w:val="center"/>
          </w:tcPr>
          <w:p>
            <w:pPr>
              <w:pStyle w:val="129"/>
              <w:spacing w:beforeLines="0" w:afterLines="0" w:line="360" w:lineRule="auto"/>
              <w:rPr>
                <w:rFonts w:ascii="宋体" w:hAnsi="宋体" w:eastAsia="宋体" w:cs="宋体"/>
                <w:sz w:val="24"/>
              </w:rPr>
            </w:pPr>
            <w:r>
              <w:rPr>
                <w:rFonts w:hint="eastAsia" w:ascii="宋体" w:hAnsi="宋体" w:eastAsia="宋体" w:cs="宋体"/>
                <w:sz w:val="24"/>
              </w:rPr>
              <w:t>中文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pStyle w:val="35"/>
              <w:spacing w:line="360" w:lineRule="auto"/>
              <w:jc w:val="center"/>
              <w:rPr>
                <w:rFonts w:ascii="宋体" w:hAnsi="宋体" w:cs="宋体"/>
                <w:szCs w:val="24"/>
              </w:rPr>
            </w:pPr>
            <w:r>
              <w:rPr>
                <w:rFonts w:hint="eastAsia" w:ascii="宋体" w:hAnsi="宋体" w:cs="宋体"/>
                <w:szCs w:val="24"/>
              </w:rPr>
              <w:t>9</w:t>
            </w:r>
          </w:p>
        </w:tc>
        <w:tc>
          <w:tcPr>
            <w:tcW w:w="3520" w:type="dxa"/>
            <w:vAlign w:val="center"/>
          </w:tcPr>
          <w:p>
            <w:pPr>
              <w:pStyle w:val="129"/>
              <w:spacing w:beforeLines="0" w:afterLines="0" w:line="360" w:lineRule="auto"/>
              <w:rPr>
                <w:rFonts w:ascii="宋体" w:hAnsi="宋体" w:eastAsia="宋体" w:cs="宋体"/>
                <w:sz w:val="24"/>
              </w:rPr>
            </w:pPr>
            <w:r>
              <w:rPr>
                <w:rFonts w:hint="eastAsia" w:ascii="宋体" w:hAnsi="宋体" w:eastAsia="宋体" w:cs="宋体"/>
                <w:sz w:val="24"/>
              </w:rPr>
              <w:t>设备资料（序号6/7/8/9）电子版WORD或PDF版</w:t>
            </w:r>
          </w:p>
        </w:tc>
        <w:tc>
          <w:tcPr>
            <w:tcW w:w="1215"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套</w:t>
            </w:r>
          </w:p>
        </w:tc>
        <w:tc>
          <w:tcPr>
            <w:tcW w:w="793" w:type="dxa"/>
            <w:vAlign w:val="center"/>
          </w:tcPr>
          <w:p>
            <w:pPr>
              <w:pStyle w:val="129"/>
              <w:spacing w:beforeLines="0" w:afterLines="0" w:line="360" w:lineRule="auto"/>
              <w:jc w:val="center"/>
              <w:rPr>
                <w:rFonts w:ascii="宋体" w:hAnsi="宋体" w:eastAsia="宋体" w:cs="宋体"/>
                <w:sz w:val="24"/>
              </w:rPr>
            </w:pPr>
            <w:r>
              <w:rPr>
                <w:rFonts w:hint="eastAsia" w:ascii="宋体" w:hAnsi="宋体" w:eastAsia="宋体" w:cs="宋体"/>
                <w:sz w:val="24"/>
              </w:rPr>
              <w:t>1</w:t>
            </w:r>
          </w:p>
        </w:tc>
        <w:tc>
          <w:tcPr>
            <w:tcW w:w="2693" w:type="dxa"/>
            <w:vAlign w:val="center"/>
          </w:tcPr>
          <w:p>
            <w:pPr>
              <w:pStyle w:val="129"/>
              <w:spacing w:beforeLines="0" w:afterLines="0" w:line="360" w:lineRule="auto"/>
              <w:rPr>
                <w:rFonts w:ascii="宋体" w:hAnsi="宋体" w:eastAsia="宋体" w:cs="宋体"/>
                <w:sz w:val="24"/>
              </w:rPr>
            </w:pPr>
            <w:r>
              <w:rPr>
                <w:rFonts w:hint="eastAsia" w:ascii="宋体" w:hAnsi="宋体" w:eastAsia="宋体" w:cs="宋体"/>
                <w:sz w:val="24"/>
              </w:rPr>
              <w:t>中文</w:t>
            </w:r>
          </w:p>
        </w:tc>
      </w:tr>
    </w:tbl>
    <w:p>
      <w:pPr>
        <w:spacing w:before="120" w:beforeLines="50" w:after="120" w:afterLines="50"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（一）一般界定</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如果终验收完成后，投标人有需要收回的配件、附件等，应当在投标文件的技术偏离条款中，予以详细说明；否则视同包括在供货范围之内。</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（二）供货范围边界界定</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1.对于招标文件中无明确具体要求而投标方认为必须具备的其它货物，投标方必须将该部分货物单独报价（该报价含运杂费及税费等其它费用，而且不再作为其它报价涉及的其它费用的计算基数）。</w:t>
      </w:r>
    </w:p>
    <w:p>
      <w:pPr>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.对于招标文件中无明确具体要求而投标人认为必须具备的其它货物，投标人必须将该部分货物单独报价（该报价含运杂费及税费等其它费用，而且不再作为其它报价涉及的其它费用的计算基数）。</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1.招标人招标文件所指备品备件、易损件和专用耗材，是招标人为保证设备质保期之后正常运行一年所自备自用的备品备件、易损件和专用耗材；</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3投标方需提供必须的备品备件清单（备品备件明确规格、厂家、产地、价格，单独报价）；</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4易损件和专用耗材，其费用应分类单列，并计入投标总报价之内；</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5投标方应提供设备维修所必需的专用工具，并附详细清单（包括名称、型号、规格、单位、数量、生产厂家、单价、总价等条目，单独报价）。</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三、技术资料供货范围</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技术资料供货范围包括：</w:t>
      </w:r>
    </w:p>
    <w:p>
      <w:pPr>
        <w:spacing w:line="360" w:lineRule="auto"/>
        <w:ind w:firstLine="480" w:firstLineChars="200"/>
        <w:rPr>
          <w:rFonts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合同签订后</w:t>
      </w:r>
      <w:r>
        <w:rPr>
          <w:rFonts w:hint="eastAsia" w:ascii="宋体" w:hAnsi="宋体" w:eastAsia="宋体" w:cs="宋体"/>
          <w:bCs/>
          <w:sz w:val="24"/>
          <w:szCs w:val="24"/>
          <w:u w:val="single"/>
          <w:shd w:val="pct10" w:color="auto" w:fill="FFFFFF"/>
        </w:rPr>
        <w:t xml:space="preserve"> 7 </w:t>
      </w:r>
      <w:r>
        <w:rPr>
          <w:rFonts w:hint="eastAsia" w:ascii="宋体" w:hAnsi="宋体"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3.在终验收前，提供为保证货物后续正常运行所需的具体技术要求等资料（如果供货范围包含该部分实物）。</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4.在终验收前，提供确定的维修所需要且买方可以自行采购的外购件、外协件、电气元件及主要原材料的供货厂家明细表。</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5.在终验收后的第一笔货款支付日之前，提供包括货物的备品备件、易损件和专用耗材的图纸及技术参数、技术要求等资料。</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pPr>
        <w:spacing w:line="360" w:lineRule="auto"/>
        <w:ind w:firstLine="480" w:firstLineChars="200"/>
        <w:rPr>
          <w:rFonts w:ascii="宋体" w:hAnsi="宋体" w:eastAsia="宋体" w:cs="宋体"/>
          <w:sz w:val="24"/>
          <w:szCs w:val="24"/>
        </w:rPr>
      </w:pPr>
      <w:r>
        <w:rPr>
          <w:rFonts w:ascii="宋体" w:hAnsi="宋体" w:eastAsia="宋体" w:cs="宋体"/>
          <w:sz w:val="24"/>
          <w:szCs w:val="24"/>
        </w:rPr>
        <w:t>7</w:t>
      </w:r>
      <w:r>
        <w:rPr>
          <w:rFonts w:hint="eastAsia" w:ascii="宋体" w:hAnsi="宋体" w:eastAsia="宋体" w:cs="宋体"/>
          <w:sz w:val="24"/>
          <w:szCs w:val="24"/>
        </w:rPr>
        <w:t>.本“技术资料范围”所列的技术资料、图等，投标方应各提供4套纸质资料及3套电子版资料（光盘或U盘等），每份技术文件应装有目录清单。</w:t>
      </w:r>
    </w:p>
    <w:p>
      <w:pPr>
        <w:spacing w:line="360" w:lineRule="auto"/>
        <w:ind w:firstLine="480" w:firstLineChars="200"/>
        <w:rPr>
          <w:rFonts w:ascii="宋体" w:hAnsi="宋体" w:eastAsia="宋体" w:cs="宋体"/>
          <w:sz w:val="24"/>
          <w:szCs w:val="24"/>
        </w:rPr>
      </w:pPr>
      <w:r>
        <w:rPr>
          <w:rFonts w:ascii="宋体" w:hAnsi="宋体" w:eastAsia="宋体" w:cs="宋体"/>
          <w:sz w:val="24"/>
          <w:szCs w:val="24"/>
        </w:rPr>
        <w:t>8</w:t>
      </w:r>
      <w:r>
        <w:rPr>
          <w:rFonts w:hint="eastAsia" w:ascii="宋体" w:hAnsi="宋体" w:eastAsia="宋体" w:cs="宋体"/>
          <w:sz w:val="24"/>
          <w:szCs w:val="24"/>
        </w:rPr>
        <w:t>.本条款所列要求，如招标人认为投标人提供的资料不能满足要求时，有权要求投标人免费补充或增加。</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9.供方必须提供设备模型（文件格式STP），模型文件应包含设备的全部信息；对设备结构及功能详细说明，包括设备工作流程描述、运行说明、工位节拍等信息。</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10.</w:t>
      </w:r>
      <w:r>
        <w:rPr>
          <w:rFonts w:ascii="Times New Roman" w:hAnsi="Times New Roman" w:eastAsia="宋体" w:cs="Times New Roman"/>
          <w:sz w:val="24"/>
          <w:szCs w:val="24"/>
        </w:rPr>
        <w:t>维修和使用手册</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在调试以前必须提供维修和使用手册四套和一套电子文件。这些手册应包括，但不限于下述内容：</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设备描述和主要设备的分项；</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润滑计划和润滑频次；</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供应商的文献和详细的元件部件；</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操作程序；</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设备布置图；</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详细的元件和总装图，包括分解部件总成图；</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故障分析和解决方法；</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维修功能——维护和维修细节，包括频次；</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图纸</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.1提供机械AutoCAD（.dwg）格式，电气EPLANP8可编辑格式的文件和电子数据。</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.2提供所有设施和设备的图纸，包括总图、原理图、制造图、分解视图。</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.3在签订合同后立即进行设计图纸，并提供图纸，在整个阶段连续地进行。这些图纸包括，但不限于：</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详细的零件图；</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零件和总成图；</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总的平面布置图和分图；</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钢结构布置图和分图；</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.4在制作开始前必须将所有平面图和分图交给本公司会签。提供二份图纸加一套电子文件。这种图纸的会签并不构成供货厂商可以不承担设计责任保证或者对设备顺利运用的责任。</w:t>
      </w:r>
    </w:p>
    <w:p>
      <w:pPr>
        <w:spacing w:line="360" w:lineRule="auto"/>
        <w:ind w:firstLine="480" w:firstLineChars="200"/>
        <w:rPr>
          <w:rFonts w:ascii="宋体" w:hAnsi="宋体" w:eastAsia="宋体" w:cs="宋体"/>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.5在完工时要提供四套图纸和机械AutoCAD（.dwg）格式，电气EPLANP8电子版本图纸。</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四、供货范围特别提示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bookmarkStart w:id="36" w:name="_Toc169605883"/>
    </w:p>
    <w:p>
      <w:pPr>
        <w:pStyle w:val="21"/>
        <w:spacing w:line="360" w:lineRule="auto"/>
        <w:rPr>
          <w:rFonts w:hAnsi="宋体" w:eastAsia="宋体"/>
        </w:rPr>
      </w:pPr>
    </w:p>
    <w:p>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bookmarkEnd w:id="36"/>
    </w:p>
    <w:p>
      <w:pPr>
        <w:spacing w:line="360" w:lineRule="auto"/>
        <w:ind w:firstLine="482" w:firstLineChars="200"/>
        <w:outlineLvl w:val="3"/>
        <w:rPr>
          <w:rFonts w:ascii="宋体" w:hAnsi="宋体" w:eastAsia="宋体" w:cs="宋体"/>
          <w:sz w:val="24"/>
          <w:szCs w:val="24"/>
        </w:rPr>
      </w:pPr>
      <w:r>
        <w:rPr>
          <w:rFonts w:hint="eastAsia" w:ascii="宋体" w:hAnsi="宋体" w:eastAsia="宋体" w:cs="宋体"/>
          <w:b/>
          <w:sz w:val="24"/>
          <w:szCs w:val="24"/>
        </w:rPr>
        <w:t>一、供货方式</w:t>
      </w:r>
    </w:p>
    <w:p>
      <w:pPr>
        <w:spacing w:line="360" w:lineRule="auto"/>
        <w:ind w:firstLine="480" w:firstLineChars="200"/>
        <w:rPr>
          <w:rFonts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二、供货地点：</w:t>
      </w:r>
      <w:r>
        <w:rPr>
          <w:rFonts w:ascii="Times New Roman" w:hAnsi="Times New Roman" w:eastAsia="宋体" w:cs="Times New Roman"/>
          <w:sz w:val="24"/>
          <w:szCs w:val="24"/>
          <w:u w:val="single"/>
        </w:rPr>
        <w:t>济南商用车制造公司（章丘重汽工业园）</w:t>
      </w:r>
    </w:p>
    <w:p>
      <w:pPr>
        <w:spacing w:line="360" w:lineRule="auto"/>
        <w:ind w:firstLine="482" w:firstLineChars="200"/>
        <w:jc w:val="left"/>
        <w:outlineLvl w:val="3"/>
        <w:rPr>
          <w:rFonts w:ascii="宋体" w:hAnsi="宋体" w:eastAsia="宋体" w:cs="宋体"/>
          <w:b/>
          <w:bCs/>
          <w:sz w:val="24"/>
          <w:szCs w:val="24"/>
        </w:rPr>
      </w:pPr>
      <w:r>
        <w:rPr>
          <w:rFonts w:hint="eastAsia" w:ascii="宋体" w:hAnsi="宋体" w:eastAsia="宋体" w:cs="宋体"/>
          <w:b/>
          <w:bCs/>
          <w:sz w:val="24"/>
          <w:szCs w:val="24"/>
        </w:rPr>
        <w:t>三、供货时间</w:t>
      </w:r>
    </w:p>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1.自合同签定生效之日起，</w:t>
      </w:r>
      <w:r>
        <w:rPr>
          <w:rFonts w:hint="eastAsia" w:ascii="宋体" w:hAnsi="宋体" w:eastAsia="宋体"/>
          <w:sz w:val="24"/>
          <w:szCs w:val="24"/>
          <w:u w:val="single"/>
        </w:rPr>
        <w:t>120</w:t>
      </w:r>
      <w:r>
        <w:rPr>
          <w:rFonts w:hint="eastAsia" w:ascii="宋体" w:hAnsi="宋体" w:eastAsia="宋体"/>
          <w:sz w:val="24"/>
          <w:szCs w:val="24"/>
        </w:rPr>
        <w:t>个日历日之内交货至供货地点。</w:t>
      </w:r>
    </w:p>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2.接续</w:t>
      </w:r>
      <w:r>
        <w:rPr>
          <w:rFonts w:hint="eastAsia" w:ascii="宋体" w:hAnsi="宋体" w:eastAsia="宋体"/>
          <w:sz w:val="24"/>
          <w:szCs w:val="24"/>
          <w:u w:val="single"/>
        </w:rPr>
        <w:t>10</w:t>
      </w:r>
      <w:r>
        <w:rPr>
          <w:rFonts w:hint="eastAsia" w:ascii="宋体" w:hAnsi="宋体" w:eastAsia="宋体"/>
          <w:sz w:val="24"/>
          <w:szCs w:val="24"/>
        </w:rPr>
        <w:t>个日历日之内安装调试完毕。</w:t>
      </w:r>
    </w:p>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安装调试时间或终验收时间超过规定时间的，投标人应当随标书提供详细的工期计划。</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pPr>
        <w:adjustRightInd w:val="0"/>
        <w:snapToGrid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五、运输</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pPr>
        <w:adjustRightInd w:val="0"/>
        <w:snapToGrid w:val="0"/>
        <w:spacing w:line="360" w:lineRule="auto"/>
        <w:rPr>
          <w:rFonts w:ascii="宋体" w:hAnsi="宋体" w:eastAsia="宋体" w:cs="Times New Roman"/>
          <w:szCs w:val="20"/>
        </w:rPr>
      </w:pPr>
    </w:p>
    <w:p>
      <w:pPr>
        <w:widowControl/>
        <w:spacing w:line="360" w:lineRule="auto"/>
        <w:jc w:val="left"/>
        <w:rPr>
          <w:rFonts w:ascii="宋体" w:hAnsi="宋体" w:eastAsia="宋体" w:cs="Times New Roman"/>
          <w:szCs w:val="20"/>
        </w:rPr>
      </w:pPr>
      <w:r>
        <w:rPr>
          <w:rFonts w:ascii="宋体" w:hAnsi="宋体" w:eastAsia="宋体" w:cs="Times New Roman"/>
          <w:szCs w:val="20"/>
        </w:rPr>
        <w:br w:type="page"/>
      </w:r>
    </w:p>
    <w:p>
      <w:pPr>
        <w:keepNext/>
        <w:keepLines/>
        <w:spacing w:line="360" w:lineRule="auto"/>
        <w:jc w:val="center"/>
        <w:outlineLvl w:val="1"/>
        <w:rPr>
          <w:rFonts w:ascii="宋体" w:hAnsi="宋体" w:eastAsia="宋体" w:cs="Times New Roman"/>
          <w:b/>
          <w:bCs/>
          <w:kern w:val="44"/>
          <w:sz w:val="28"/>
          <w:szCs w:val="28"/>
        </w:rPr>
      </w:pPr>
      <w:bookmarkStart w:id="37" w:name="_Toc169605884"/>
      <w:r>
        <w:rPr>
          <w:rFonts w:hint="eastAsia" w:ascii="宋体" w:hAnsi="宋体" w:eastAsia="宋体" w:cs="Times New Roman"/>
          <w:b/>
          <w:bCs/>
          <w:kern w:val="44"/>
          <w:sz w:val="28"/>
          <w:szCs w:val="28"/>
        </w:rPr>
        <w:t>第四章质保期及售后服务</w:t>
      </w:r>
      <w:bookmarkEnd w:id="37"/>
    </w:p>
    <w:p>
      <w:pPr>
        <w:pStyle w:val="122"/>
        <w:spacing w:line="360" w:lineRule="auto"/>
        <w:rPr>
          <w:rFonts w:ascii="宋体" w:hAnsi="宋体"/>
        </w:rPr>
      </w:pPr>
      <w:r>
        <w:rPr>
          <w:rFonts w:hint="eastAsia" w:ascii="宋体" w:hAnsi="宋体"/>
        </w:rPr>
        <w:t>一、质保期及质保要求</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hint="eastAsia" w:ascii="宋体" w:hAnsi="宋体" w:eastAsia="宋体" w:cs="宋体"/>
          <w:sz w:val="24"/>
          <w:szCs w:val="24"/>
          <w:u w:val="single"/>
        </w:rPr>
        <w:t>12</w:t>
      </w:r>
      <w:r>
        <w:rPr>
          <w:rFonts w:hint="eastAsia" w:ascii="宋体" w:hAnsi="宋体" w:eastAsia="宋体" w:cs="宋体"/>
          <w:sz w:val="24"/>
          <w:szCs w:val="24"/>
        </w:rPr>
        <w:t>个月。</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.质保期内免费提供零部件和及时有效的服务。质保期内因货物本身缺陷造成的各种故障，卖方应负责免费维修和服务。</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.质保期终止之日起</w:t>
      </w:r>
      <w:r>
        <w:rPr>
          <w:rFonts w:hint="eastAsia" w:ascii="宋体" w:hAnsi="宋体" w:eastAsia="宋体" w:cs="宋体"/>
          <w:sz w:val="24"/>
          <w:szCs w:val="24"/>
          <w:u w:val="single"/>
        </w:rPr>
        <w:t>一年内</w:t>
      </w:r>
      <w:r>
        <w:rPr>
          <w:rFonts w:hint="eastAsia" w:ascii="宋体" w:hAnsi="宋体" w:eastAsia="宋体" w:cs="宋体"/>
          <w:sz w:val="24"/>
          <w:szCs w:val="24"/>
        </w:rPr>
        <w:t>重复出现的质保期之内出现的故障，仍属质保范围而且应当免费。</w:t>
      </w:r>
    </w:p>
    <w:p>
      <w:pPr>
        <w:adjustRightInd w:val="0"/>
        <w:snapToGrid w:val="0"/>
        <w:spacing w:line="360" w:lineRule="auto"/>
        <w:ind w:firstLine="480" w:firstLineChars="200"/>
      </w:pPr>
      <w:r>
        <w:rPr>
          <w:rFonts w:hint="eastAsia" w:ascii="Times New Roman" w:hAnsi="Times New Roman" w:eastAsia="宋体" w:cs="Times New Roman"/>
          <w:sz w:val="24"/>
          <w:szCs w:val="24"/>
        </w:rPr>
        <w:t>5.软件要具备升级功能，在投产后五年内中标方负责为业主方免费升级。</w:t>
      </w:r>
    </w:p>
    <w:p>
      <w:pPr>
        <w:pStyle w:val="122"/>
        <w:spacing w:line="360" w:lineRule="auto"/>
        <w:rPr>
          <w:rFonts w:ascii="宋体" w:hAnsi="宋体" w:cs="宋体"/>
        </w:rPr>
      </w:pPr>
      <w:r>
        <w:rPr>
          <w:rFonts w:hint="eastAsia" w:ascii="宋体" w:hAnsi="宋体" w:cs="宋体"/>
        </w:rPr>
        <w:t>二、技术</w:t>
      </w:r>
      <w:r>
        <w:rPr>
          <w:rFonts w:hint="eastAsia" w:ascii="宋体" w:hAnsi="宋体"/>
        </w:rPr>
        <w:t>指导</w:t>
      </w:r>
      <w:r>
        <w:rPr>
          <w:rFonts w:hint="eastAsia" w:ascii="宋体" w:hAnsi="宋体" w:cs="宋体"/>
        </w:rPr>
        <w:t>及培训服务</w:t>
      </w:r>
    </w:p>
    <w:p>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olor w:val="000000"/>
          <w:sz w:val="24"/>
          <w:szCs w:val="24"/>
          <w:u w:val="single"/>
          <w:shd w:val="pct10" w:color="auto" w:fill="FFFFFF"/>
        </w:rPr>
        <w:t>2</w:t>
      </w:r>
      <w:r>
        <w:rPr>
          <w:rFonts w:hint="eastAsia" w:ascii="宋体" w:hAnsi="宋体" w:eastAsia="宋体"/>
          <w:color w:val="000000"/>
          <w:sz w:val="24"/>
          <w:szCs w:val="24"/>
        </w:rPr>
        <w:t>个日历日。</w:t>
      </w:r>
    </w:p>
    <w:p>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2.应免费提供一定数量的培训资料。</w:t>
      </w:r>
    </w:p>
    <w:p>
      <w:pPr>
        <w:spacing w:line="360" w:lineRule="auto"/>
        <w:ind w:firstLine="480" w:firstLineChars="200"/>
        <w:rPr>
          <w:rFonts w:ascii="宋体" w:hAnsi="宋体" w:eastAsia="宋体"/>
          <w:sz w:val="24"/>
          <w:szCs w:val="24"/>
        </w:rPr>
      </w:pPr>
      <w:r>
        <w:rPr>
          <w:rFonts w:hint="eastAsia" w:ascii="宋体" w:hAnsi="宋体" w:eastAsia="宋体"/>
          <w:sz w:val="24"/>
          <w:szCs w:val="24"/>
        </w:rPr>
        <w:t>3.投标方应按要求，免费积极协助和提供招标人和招标人所委托的工程设计单位有关人员所需要的、和设备（或材料）有关的工程设计资料、技术咨询等；</w:t>
      </w:r>
    </w:p>
    <w:p>
      <w:pPr>
        <w:spacing w:line="360" w:lineRule="auto"/>
        <w:ind w:firstLine="480" w:firstLineChars="200"/>
        <w:rPr>
          <w:rFonts w:ascii="宋体" w:hAnsi="宋体" w:eastAsia="宋体"/>
          <w:sz w:val="24"/>
          <w:szCs w:val="24"/>
        </w:rPr>
      </w:pPr>
      <w:r>
        <w:rPr>
          <w:rFonts w:hint="eastAsia" w:ascii="宋体" w:hAnsi="宋体" w:eastAsia="宋体"/>
          <w:sz w:val="24"/>
          <w:szCs w:val="24"/>
        </w:rPr>
        <w:t>4.若投标方提供设备（或材料）的技术质量等，与投标方外购的设备（或材料）技术质量等有较大或直接关联时，投标方应能得到其外购设备（或材料）制造厂商（或供应商）的技术支持，并免费为招标人提供技术服务（包括设计文件的审查和审定）；</w:t>
      </w:r>
    </w:p>
    <w:p>
      <w:pPr>
        <w:spacing w:line="360" w:lineRule="auto"/>
        <w:ind w:firstLine="480" w:firstLineChars="200"/>
        <w:rPr>
          <w:rFonts w:ascii="宋体" w:hAnsi="宋体" w:eastAsia="宋体"/>
          <w:sz w:val="24"/>
          <w:szCs w:val="24"/>
        </w:rPr>
      </w:pPr>
      <w:r>
        <w:rPr>
          <w:rFonts w:hint="eastAsia" w:ascii="宋体" w:hAnsi="宋体" w:eastAsia="宋体"/>
          <w:sz w:val="24"/>
          <w:szCs w:val="24"/>
        </w:rPr>
        <w:t>5.投标方负责制定对招标人人员在运行、维修和试验等方面的培训计划，并有专人负责实施培训计划，应进行相关安全环保注意事项的培训，并提供相关人员、设备安全作业资质的要求，负责指导招标人受培训人员正确理解设计和制造意图，认识设备的特点和特性，掌握在运行、维修和使用管理中应遵守的规则等方面的综合知识；</w:t>
      </w:r>
    </w:p>
    <w:p>
      <w:pPr>
        <w:pStyle w:val="9"/>
        <w:rPr>
          <w:rFonts w:ascii="宋体" w:hAnsi="宋体" w:eastAsia="宋体"/>
          <w:color w:val="000000"/>
          <w:sz w:val="24"/>
          <w:szCs w:val="24"/>
        </w:rPr>
      </w:pPr>
      <w:r>
        <w:rPr>
          <w:rFonts w:hint="eastAsia" w:ascii="宋体" w:hAnsi="宋体" w:eastAsia="宋体"/>
          <w:sz w:val="24"/>
          <w:szCs w:val="24"/>
        </w:rPr>
        <w:t>6.投标方提供的改造方式、新增设备内容，建议在试用确认无误之后，再批量生产，否则因此造成的损失，由投标方承担。</w:t>
      </w:r>
    </w:p>
    <w:p>
      <w:pPr>
        <w:pStyle w:val="122"/>
        <w:spacing w:line="360" w:lineRule="auto"/>
        <w:rPr>
          <w:rFonts w:ascii="宋体" w:hAnsi="宋体" w:cs="宋体"/>
        </w:rPr>
      </w:pPr>
      <w:r>
        <w:rPr>
          <w:rFonts w:hint="eastAsia" w:ascii="宋体" w:hAnsi="宋体" w:cs="宋体"/>
        </w:rPr>
        <w:t>三、安装调试及验收服务</w:t>
      </w:r>
    </w:p>
    <w:p>
      <w:pPr>
        <w:spacing w:line="360" w:lineRule="auto"/>
        <w:ind w:firstLine="480" w:firstLineChars="200"/>
        <w:rPr>
          <w:rFonts w:ascii="宋体" w:hAnsi="宋体" w:eastAsia="宋体"/>
          <w:sz w:val="24"/>
          <w:szCs w:val="24"/>
        </w:rPr>
      </w:pPr>
      <w:r>
        <w:rPr>
          <w:rFonts w:hint="eastAsia" w:ascii="宋体" w:hAnsi="宋体" w:eastAsia="宋体"/>
          <w:sz w:val="24"/>
          <w:szCs w:val="24"/>
        </w:rPr>
        <w:t>1安装调试与验收期间，若投标方提供设备的技术质量等，与投标方外购的设备技术质量等有较大或直接关联时，投标方应能得到其外购设备制造厂商（或供应商）的技术支持，并免费为招标人提供安装使用现场的指导与协调；</w:t>
      </w:r>
    </w:p>
    <w:p>
      <w:pPr>
        <w:spacing w:line="360" w:lineRule="auto"/>
        <w:ind w:firstLine="480" w:firstLineChars="200"/>
        <w:rPr>
          <w:rFonts w:ascii="宋体" w:hAnsi="宋体" w:eastAsia="宋体"/>
          <w:sz w:val="24"/>
          <w:szCs w:val="24"/>
        </w:rPr>
      </w:pPr>
      <w:r>
        <w:rPr>
          <w:rFonts w:hint="eastAsia" w:ascii="宋体" w:hAnsi="宋体" w:eastAsia="宋体"/>
          <w:sz w:val="24"/>
          <w:szCs w:val="24"/>
        </w:rPr>
        <w:t>2投标方免费负责设备的安装、调试，并接受用户的技术咨询；</w:t>
      </w:r>
    </w:p>
    <w:p>
      <w:pPr>
        <w:spacing w:line="360" w:lineRule="auto"/>
        <w:ind w:firstLine="480" w:firstLineChars="200"/>
        <w:rPr>
          <w:rFonts w:ascii="宋体" w:hAnsi="宋体" w:eastAsia="宋体"/>
          <w:sz w:val="24"/>
          <w:szCs w:val="24"/>
        </w:rPr>
      </w:pPr>
      <w:r>
        <w:rPr>
          <w:rFonts w:hint="eastAsia" w:ascii="宋体" w:hAnsi="宋体" w:eastAsia="宋体"/>
          <w:sz w:val="24"/>
          <w:szCs w:val="24"/>
        </w:rPr>
        <w:t>3投标方是否提供有偿的还是免费的、指导安装调试还是负责安装调试，至少应在投标文件的服务章节中，予以明确说明；</w:t>
      </w:r>
    </w:p>
    <w:p>
      <w:pPr>
        <w:spacing w:line="360" w:lineRule="auto"/>
        <w:ind w:firstLine="480" w:firstLineChars="200"/>
        <w:rPr>
          <w:rFonts w:ascii="宋体" w:hAnsi="宋体" w:eastAsia="宋体"/>
          <w:sz w:val="24"/>
          <w:szCs w:val="24"/>
        </w:rPr>
      </w:pPr>
      <w:r>
        <w:rPr>
          <w:rFonts w:hint="eastAsia" w:ascii="宋体" w:hAnsi="宋体" w:eastAsia="宋体"/>
          <w:sz w:val="24"/>
          <w:szCs w:val="24"/>
        </w:rPr>
        <w:t>4卖方进入买方现场进行安装调试过程中，应进行相关安全环保注意事项的培训，并提供相关人员、设备安全作业资质的要求。</w:t>
      </w:r>
    </w:p>
    <w:p>
      <w:pPr>
        <w:spacing w:line="360" w:lineRule="auto"/>
        <w:ind w:firstLine="480" w:firstLineChars="200"/>
        <w:rPr>
          <w:rFonts w:ascii="宋体" w:hAnsi="宋体" w:eastAsia="宋体"/>
          <w:sz w:val="24"/>
          <w:szCs w:val="24"/>
        </w:rPr>
      </w:pPr>
      <w:r>
        <w:rPr>
          <w:rFonts w:hint="eastAsia" w:ascii="宋体" w:hAnsi="宋体" w:eastAsia="宋体"/>
          <w:sz w:val="24"/>
          <w:szCs w:val="24"/>
        </w:rPr>
        <w:t>5设备供方配合甲方完成设备数据采集的调试工作，包括但不限于提供设备PLC程序（无密码），接口调试等工作。</w:t>
      </w:r>
    </w:p>
    <w:p>
      <w:pPr>
        <w:spacing w:line="360" w:lineRule="auto"/>
        <w:ind w:firstLine="480" w:firstLineChars="200"/>
        <w:rPr>
          <w:rFonts w:ascii="宋体" w:hAnsi="宋体" w:eastAsia="宋体"/>
          <w:sz w:val="24"/>
          <w:szCs w:val="24"/>
        </w:rPr>
      </w:pPr>
      <w:r>
        <w:rPr>
          <w:rFonts w:hint="eastAsia" w:ascii="宋体" w:hAnsi="宋体" w:eastAsia="宋体"/>
          <w:sz w:val="24"/>
          <w:szCs w:val="24"/>
        </w:rPr>
        <w:t>6投标人在招标人现场进行的、指导或负责的、设备（或材料）的预验收和终验收，应当是免费的，陪同生产时间不少于</w:t>
      </w:r>
      <w:r>
        <w:rPr>
          <w:rFonts w:hint="eastAsia" w:ascii="宋体" w:hAnsi="宋体" w:eastAsia="宋体"/>
          <w:sz w:val="24"/>
          <w:szCs w:val="24"/>
          <w:u w:val="single"/>
        </w:rPr>
        <w:t>30</w:t>
      </w:r>
      <w:r>
        <w:rPr>
          <w:rFonts w:hint="eastAsia" w:ascii="宋体" w:hAnsi="宋体" w:eastAsia="宋体"/>
          <w:sz w:val="24"/>
          <w:szCs w:val="24"/>
        </w:rPr>
        <w:t>天；</w:t>
      </w:r>
    </w:p>
    <w:p>
      <w:pPr>
        <w:spacing w:line="360" w:lineRule="auto"/>
        <w:ind w:firstLine="480" w:firstLineChars="200"/>
        <w:rPr>
          <w:rFonts w:ascii="宋体" w:hAnsi="宋体" w:eastAsia="宋体"/>
          <w:sz w:val="24"/>
          <w:szCs w:val="24"/>
        </w:rPr>
      </w:pPr>
      <w:r>
        <w:rPr>
          <w:rFonts w:hint="eastAsia" w:ascii="宋体" w:hAnsi="宋体" w:eastAsia="宋体"/>
          <w:sz w:val="24"/>
          <w:szCs w:val="24"/>
        </w:rPr>
        <w:t>7设备（或材料）验收时，若投标人提供设备（或材料）的技术质量等，与投标人外购的设备（或材料）技术质量等有较大或直接关联时，投标人应能得到其外购设备（或材料）制造厂商（或供应商）的技术支持，并免费提供其必要的现场指导与协调；</w:t>
      </w:r>
    </w:p>
    <w:p>
      <w:pPr>
        <w:spacing w:line="360" w:lineRule="auto"/>
        <w:ind w:firstLine="480" w:firstLineChars="200"/>
        <w:rPr>
          <w:rFonts w:ascii="宋体" w:hAnsi="宋体" w:eastAsia="宋体"/>
          <w:sz w:val="24"/>
          <w:szCs w:val="24"/>
        </w:rPr>
      </w:pPr>
      <w:r>
        <w:rPr>
          <w:rFonts w:hint="eastAsia" w:ascii="宋体" w:hAnsi="宋体" w:eastAsia="宋体"/>
          <w:sz w:val="24"/>
          <w:szCs w:val="24"/>
        </w:rPr>
        <w:t>8在投标人所提供设备需要得到招标人建设项目所在地政府或行业主管部门的查验、试验、验收时，投标人应当免费协助招标人完成所需要的工作、材料和服务等。</w:t>
      </w:r>
    </w:p>
    <w:p>
      <w:pPr>
        <w:pStyle w:val="122"/>
        <w:spacing w:line="360" w:lineRule="auto"/>
        <w:rPr>
          <w:rFonts w:ascii="宋体" w:hAnsi="宋体" w:cs="宋体"/>
        </w:rPr>
      </w:pPr>
      <w:r>
        <w:rPr>
          <w:rFonts w:hint="eastAsia" w:ascii="宋体" w:hAnsi="宋体" w:cs="宋体"/>
        </w:rPr>
        <w:t>四、售后服务</w:t>
      </w:r>
    </w:p>
    <w:p>
      <w:pPr>
        <w:spacing w:line="360" w:lineRule="auto"/>
        <w:ind w:firstLine="480" w:firstLineChars="200"/>
        <w:rPr>
          <w:rFonts w:ascii="宋体" w:hAnsi="宋体" w:eastAsia="宋体"/>
          <w:sz w:val="24"/>
          <w:szCs w:val="24"/>
        </w:rPr>
      </w:pPr>
      <w:r>
        <w:rPr>
          <w:rFonts w:hint="eastAsia" w:ascii="宋体" w:hAnsi="宋体" w:eastAsia="宋体"/>
          <w:sz w:val="24"/>
          <w:szCs w:val="24"/>
        </w:rPr>
        <w:t>1在质保期之内，如发现投标人所提供的设备（或材料）存在问题，需要投标人配合解决时，投标人须在接到通知后市内2小时、省内8小时、省外24小时内派有关人员到达现场，解决问题；</w:t>
      </w:r>
    </w:p>
    <w:p>
      <w:pPr>
        <w:spacing w:line="360" w:lineRule="auto"/>
        <w:ind w:firstLine="480" w:firstLineChars="200"/>
        <w:rPr>
          <w:rFonts w:ascii="宋体" w:hAnsi="宋体" w:eastAsia="宋体"/>
          <w:sz w:val="24"/>
          <w:szCs w:val="24"/>
        </w:rPr>
      </w:pPr>
      <w:r>
        <w:rPr>
          <w:rFonts w:hint="eastAsia" w:ascii="宋体" w:hAnsi="宋体" w:eastAsia="宋体"/>
          <w:sz w:val="24"/>
          <w:szCs w:val="24"/>
        </w:rPr>
        <w:t>2在质保期之后，如发现投标人所提供的设备（或材料）存在问题，需要投标人配合解决时，投标人须在接到通知后市内2小时、省内8小时、省外24小时内派有关人员到达现场，协助招标人解决问题；</w:t>
      </w:r>
    </w:p>
    <w:p>
      <w:pPr>
        <w:spacing w:line="360" w:lineRule="auto"/>
        <w:ind w:firstLine="480" w:firstLineChars="200"/>
        <w:rPr>
          <w:rFonts w:ascii="宋体" w:hAnsi="宋体" w:eastAsia="宋体"/>
          <w:sz w:val="24"/>
          <w:szCs w:val="24"/>
        </w:rPr>
      </w:pPr>
      <w:r>
        <w:rPr>
          <w:rFonts w:hint="eastAsia" w:ascii="宋体" w:hAnsi="宋体" w:eastAsia="宋体"/>
          <w:sz w:val="24"/>
          <w:szCs w:val="24"/>
        </w:rPr>
        <w:t>3所有的售后服务均由投标人受理。如果发生问题并且收到报告，应当在2小时内予以答复；</w:t>
      </w:r>
    </w:p>
    <w:p>
      <w:pPr>
        <w:spacing w:line="360" w:lineRule="auto"/>
        <w:ind w:firstLine="480" w:firstLineChars="200"/>
        <w:rPr>
          <w:rFonts w:ascii="宋体" w:hAnsi="宋体" w:eastAsia="宋体"/>
          <w:sz w:val="24"/>
          <w:szCs w:val="24"/>
        </w:rPr>
      </w:pPr>
      <w:r>
        <w:rPr>
          <w:rFonts w:hint="eastAsia" w:ascii="宋体" w:hAnsi="宋体" w:eastAsia="宋体"/>
          <w:sz w:val="24"/>
          <w:szCs w:val="24"/>
        </w:rPr>
        <w:t>4投标人应为招标人提供最佳的服务。</w:t>
      </w:r>
    </w:p>
    <w:p>
      <w:pPr>
        <w:spacing w:line="360" w:lineRule="auto"/>
        <w:ind w:firstLine="480" w:firstLineChars="200"/>
        <w:rPr>
          <w:rFonts w:ascii="宋体" w:hAnsi="宋体" w:eastAsia="宋体"/>
          <w:sz w:val="24"/>
          <w:szCs w:val="24"/>
        </w:rPr>
      </w:pPr>
      <w:r>
        <w:rPr>
          <w:rFonts w:hint="eastAsia" w:ascii="宋体" w:hAnsi="宋体" w:eastAsia="宋体"/>
          <w:sz w:val="24"/>
          <w:szCs w:val="24"/>
        </w:rPr>
        <w:t>5 在工具设备使用寿命内，投标人应向招标人提供充足的备品备件、易损件和专用耗材，自招标人提出采购需求至交货，周期不得长于15天，也可提供备用工具设备，提供周期不得长于3天。</w:t>
      </w:r>
    </w:p>
    <w:p>
      <w:pPr>
        <w:spacing w:line="360" w:lineRule="auto"/>
        <w:ind w:firstLine="480" w:firstLineChars="200"/>
        <w:rPr>
          <w:rFonts w:ascii="宋体" w:hAnsi="宋体" w:eastAsia="宋体"/>
          <w:sz w:val="24"/>
          <w:szCs w:val="24"/>
        </w:rPr>
      </w:pPr>
      <w:r>
        <w:rPr>
          <w:rFonts w:hint="eastAsia" w:ascii="宋体" w:hAnsi="宋体" w:eastAsia="宋体"/>
          <w:sz w:val="24"/>
          <w:szCs w:val="24"/>
        </w:rPr>
        <w:t>6 在工具设备使用寿命周期内，投标人每年至少开展1次工具及软件使用、工具设备维修保养等方面的培训工作。</w:t>
      </w:r>
    </w:p>
    <w:p>
      <w:pPr>
        <w:spacing w:line="360" w:lineRule="auto"/>
        <w:ind w:firstLine="480" w:firstLineChars="200"/>
        <w:rPr>
          <w:rFonts w:ascii="宋体" w:hAnsi="宋体" w:eastAsia="宋体"/>
          <w:sz w:val="24"/>
          <w:szCs w:val="24"/>
        </w:rPr>
      </w:pPr>
      <w:r>
        <w:rPr>
          <w:rFonts w:hint="eastAsia" w:ascii="宋体" w:hAnsi="宋体" w:eastAsia="宋体"/>
          <w:sz w:val="24"/>
          <w:szCs w:val="24"/>
        </w:rPr>
        <w:t>7</w:t>
      </w:r>
      <w:r>
        <w:rPr>
          <w:rFonts w:ascii="宋体" w:hAnsi="宋体" w:eastAsia="宋体"/>
          <w:sz w:val="24"/>
          <w:szCs w:val="24"/>
        </w:rPr>
        <w:t>.卖方派往买方使用现场的人员，应具有较高的业务素质；现场解决问题时，不得无故拖延或推迟，应为买方提供最佳的服务。</w:t>
      </w:r>
    </w:p>
    <w:p>
      <w:pPr>
        <w:pStyle w:val="122"/>
        <w:spacing w:line="360" w:lineRule="auto"/>
        <w:rPr>
          <w:rFonts w:ascii="宋体" w:hAnsi="宋体" w:cs="宋体"/>
        </w:rPr>
      </w:pPr>
      <w:r>
        <w:rPr>
          <w:rFonts w:hint="eastAsia" w:ascii="宋体" w:hAnsi="宋体" w:cs="宋体"/>
        </w:rPr>
        <w:t>五、其它服务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3.运输服务，投标方负责将设备按要求运至</w:t>
      </w:r>
      <w:r>
        <w:rPr>
          <w:rFonts w:ascii="Times New Roman" w:hAnsi="Times New Roman" w:eastAsia="宋体" w:cs="Times New Roman"/>
          <w:sz w:val="24"/>
          <w:szCs w:val="24"/>
        </w:rPr>
        <w:t>济南商用车制造公司（章丘重汽工业园）</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4.本章节条款所列“免费”，并非指定不可收费，而是指招标文件、投标文件、答疑文件、技术交流文件、技术标书和合同等范围之外，投标人不可另行收取的费用。</w:t>
      </w:r>
    </w:p>
    <w:p>
      <w:pPr>
        <w:spacing w:line="360" w:lineRule="auto"/>
        <w:ind w:firstLine="480" w:firstLineChars="200"/>
        <w:rPr>
          <w:rFonts w:ascii="宋体" w:hAnsi="宋体" w:eastAsia="宋体" w:cs="宋体"/>
          <w:color w:val="000000"/>
          <w:sz w:val="24"/>
          <w:szCs w:val="24"/>
        </w:rPr>
      </w:pPr>
    </w:p>
    <w:p>
      <w:pPr>
        <w:pStyle w:val="21"/>
        <w:spacing w:line="360" w:lineRule="auto"/>
        <w:rPr>
          <w:rFonts w:hAnsi="宋体" w:eastAsia="宋体"/>
        </w:rPr>
      </w:pPr>
      <w:r>
        <w:rPr>
          <w:rFonts w:hAnsi="宋体" w:eastAsia="宋体"/>
        </w:rPr>
        <w:br w:type="page"/>
      </w:r>
    </w:p>
    <w:p>
      <w:pPr>
        <w:keepNext/>
        <w:keepLines/>
        <w:spacing w:line="360" w:lineRule="auto"/>
        <w:jc w:val="center"/>
        <w:outlineLvl w:val="1"/>
        <w:rPr>
          <w:rFonts w:ascii="宋体" w:hAnsi="宋体" w:eastAsia="宋体" w:cs="Times New Roman"/>
          <w:b/>
          <w:bCs/>
          <w:kern w:val="44"/>
          <w:sz w:val="28"/>
          <w:szCs w:val="28"/>
        </w:rPr>
      </w:pPr>
      <w:bookmarkStart w:id="38" w:name="_Toc465187646"/>
      <w:r>
        <w:rPr>
          <w:rFonts w:hint="eastAsia" w:ascii="宋体" w:hAnsi="宋体" w:eastAsia="宋体" w:cs="Times New Roman"/>
          <w:b/>
          <w:bCs/>
          <w:kern w:val="44"/>
          <w:sz w:val="28"/>
          <w:szCs w:val="28"/>
        </w:rPr>
        <w:t>第五章  终验收</w:t>
      </w:r>
      <w:bookmarkEnd w:id="38"/>
    </w:p>
    <w:p>
      <w:pPr>
        <w:spacing w:line="360" w:lineRule="auto"/>
        <w:ind w:firstLine="480" w:firstLineChars="200"/>
        <w:rPr>
          <w:rFonts w:ascii="宋体" w:hAnsi="宋体" w:eastAsia="宋体"/>
          <w:sz w:val="24"/>
          <w:szCs w:val="24"/>
        </w:rPr>
      </w:pPr>
      <w:bookmarkStart w:id="39" w:name="_Toc465187647"/>
      <w:r>
        <w:rPr>
          <w:rFonts w:hint="eastAsia" w:ascii="宋体" w:hAnsi="宋体" w:eastAsia="宋体"/>
          <w:sz w:val="24"/>
          <w:szCs w:val="24"/>
        </w:rPr>
        <w:t>按照参考招标文件、投标文件、答疑文件、技术交流文件等形成并达成一致的技术协议书和合同规定验收。</w:t>
      </w:r>
    </w:p>
    <w:p>
      <w:pPr>
        <w:pStyle w:val="122"/>
        <w:spacing w:line="360" w:lineRule="auto"/>
        <w:rPr>
          <w:rFonts w:ascii="宋体" w:hAnsi="宋体"/>
          <w:color w:val="auto"/>
        </w:rPr>
      </w:pPr>
      <w:r>
        <w:rPr>
          <w:rFonts w:hint="eastAsia" w:ascii="宋体" w:hAnsi="宋体"/>
          <w:color w:val="auto"/>
        </w:rPr>
        <w:t>一.检验</w:t>
      </w:r>
    </w:p>
    <w:p>
      <w:pPr>
        <w:spacing w:line="360" w:lineRule="auto"/>
        <w:ind w:firstLine="480" w:firstLineChars="200"/>
        <w:rPr>
          <w:rFonts w:ascii="宋体" w:hAnsi="宋体" w:eastAsia="宋体"/>
          <w:sz w:val="24"/>
          <w:szCs w:val="24"/>
        </w:rPr>
      </w:pPr>
      <w:r>
        <w:rPr>
          <w:rFonts w:hint="eastAsia" w:ascii="宋体" w:hAnsi="宋体" w:eastAsia="宋体"/>
          <w:sz w:val="24"/>
          <w:szCs w:val="24"/>
        </w:rPr>
        <w:t>国产部分的货物的检验由卖买双方按照合同要求或在制造现场进行。进口部分的货物的检验按照下述要求进行：</w:t>
      </w:r>
    </w:p>
    <w:p>
      <w:pPr>
        <w:spacing w:line="360" w:lineRule="auto"/>
        <w:ind w:firstLine="480" w:firstLineChars="200"/>
        <w:rPr>
          <w:rFonts w:ascii="宋体" w:hAnsi="宋体" w:eastAsia="宋体"/>
          <w:sz w:val="24"/>
          <w:szCs w:val="24"/>
        </w:rPr>
      </w:pPr>
      <w:r>
        <w:rPr>
          <w:rFonts w:hint="eastAsia" w:ascii="宋体" w:hAnsi="宋体" w:eastAsia="宋体"/>
          <w:sz w:val="24"/>
          <w:szCs w:val="24"/>
        </w:rPr>
        <w:t>1进口部分的货物发货前，投标人应对设备（或材料）的质量、型号、规格、性能和数量/重量作精密、全面的检验，并出具证明书，证明所供设备（或材料）符合合同规定。</w:t>
      </w:r>
    </w:p>
    <w:p>
      <w:pPr>
        <w:spacing w:line="360" w:lineRule="auto"/>
        <w:ind w:firstLine="480" w:firstLineChars="200"/>
      </w:pPr>
      <w:r>
        <w:rPr>
          <w:rFonts w:hint="eastAsia" w:ascii="宋体" w:hAnsi="宋体" w:eastAsia="宋体"/>
          <w:sz w:val="24"/>
          <w:szCs w:val="24"/>
        </w:rPr>
        <w:t>2投标人应依据合同规定的要求，提供设备（或材料）的验收标准和装箱单，作为招标人检验的依据。</w:t>
      </w:r>
    </w:p>
    <w:p>
      <w:pPr>
        <w:pStyle w:val="122"/>
        <w:spacing w:line="360" w:lineRule="auto"/>
        <w:rPr>
          <w:rFonts w:ascii="宋体" w:hAnsi="宋体"/>
          <w:color w:val="auto"/>
        </w:rPr>
      </w:pPr>
      <w:r>
        <w:rPr>
          <w:rFonts w:hint="eastAsia" w:ascii="宋体" w:hAnsi="宋体"/>
          <w:color w:val="auto"/>
        </w:rPr>
        <w:t>二.验收标准</w:t>
      </w:r>
    </w:p>
    <w:p>
      <w:pPr>
        <w:spacing w:line="360" w:lineRule="auto"/>
        <w:ind w:firstLine="480" w:firstLineChars="200"/>
        <w:rPr>
          <w:rFonts w:ascii="宋体" w:hAnsi="宋体" w:eastAsia="宋体"/>
          <w:sz w:val="24"/>
          <w:szCs w:val="24"/>
        </w:rPr>
      </w:pPr>
      <w:r>
        <w:rPr>
          <w:rFonts w:hint="eastAsia" w:ascii="宋体" w:hAnsi="宋体" w:eastAsia="宋体"/>
          <w:sz w:val="24"/>
          <w:szCs w:val="24"/>
        </w:rPr>
        <w:t>验收一般分预验收和终验收两部分。预验收在安装调试完成后现场进行。但是所有的项目，包括不能预验收的项目和预验收通过的项目都在终验收时重新检验，最终只以终验收为准。</w:t>
      </w:r>
    </w:p>
    <w:p>
      <w:pPr>
        <w:spacing w:line="360" w:lineRule="auto"/>
        <w:ind w:firstLine="480" w:firstLineChars="200"/>
        <w:rPr>
          <w:rFonts w:ascii="宋体" w:hAnsi="宋体" w:eastAsia="宋体"/>
          <w:sz w:val="24"/>
          <w:szCs w:val="24"/>
        </w:rPr>
      </w:pPr>
      <w:r>
        <w:rPr>
          <w:rFonts w:hint="eastAsia" w:ascii="宋体" w:hAnsi="宋体" w:eastAsia="宋体"/>
          <w:sz w:val="24"/>
          <w:szCs w:val="24"/>
        </w:rPr>
        <w:t>1终验收规程：</w:t>
      </w:r>
    </w:p>
    <w:p>
      <w:pPr>
        <w:spacing w:line="360" w:lineRule="auto"/>
        <w:ind w:firstLine="480" w:firstLineChars="200"/>
        <w:rPr>
          <w:rFonts w:ascii="宋体" w:hAnsi="宋体" w:eastAsia="宋体"/>
          <w:sz w:val="24"/>
          <w:szCs w:val="24"/>
        </w:rPr>
      </w:pPr>
      <w:r>
        <w:rPr>
          <w:rFonts w:hint="eastAsia" w:ascii="宋体" w:hAnsi="宋体" w:eastAsia="宋体"/>
          <w:sz w:val="24"/>
          <w:szCs w:val="24"/>
        </w:rPr>
        <w:t>设备（或材料）允许情况下，一般连续运行 30 天，每天连续 10 小时，除用户方面因素外，必须达到以下要求：</w:t>
      </w:r>
    </w:p>
    <w:p>
      <w:pPr>
        <w:spacing w:line="360" w:lineRule="auto"/>
        <w:ind w:firstLine="480" w:firstLineChars="200"/>
        <w:rPr>
          <w:rFonts w:ascii="宋体" w:hAnsi="宋体" w:eastAsia="宋体"/>
          <w:sz w:val="24"/>
          <w:szCs w:val="24"/>
        </w:rPr>
      </w:pPr>
      <w:r>
        <w:rPr>
          <w:rFonts w:hint="eastAsia" w:ascii="宋体" w:hAnsi="宋体" w:eastAsia="宋体"/>
          <w:sz w:val="24"/>
          <w:szCs w:val="24"/>
        </w:rPr>
        <w:t>a)在整个验收过程中没有维修、更换零部件或元件行为；</w:t>
      </w:r>
    </w:p>
    <w:p>
      <w:pPr>
        <w:spacing w:line="360" w:lineRule="auto"/>
        <w:ind w:firstLine="480" w:firstLineChars="200"/>
        <w:rPr>
          <w:rFonts w:ascii="宋体" w:hAnsi="宋体" w:eastAsia="宋体"/>
          <w:sz w:val="24"/>
          <w:szCs w:val="24"/>
        </w:rPr>
      </w:pPr>
      <w:r>
        <w:rPr>
          <w:rFonts w:hint="eastAsia" w:ascii="宋体" w:hAnsi="宋体" w:eastAsia="宋体"/>
          <w:sz w:val="24"/>
          <w:szCs w:val="24"/>
        </w:rPr>
        <w:t>b)终验收原则上要求一次完成，若一次验收不成功，最多允许两次；</w:t>
      </w:r>
    </w:p>
    <w:p>
      <w:pPr>
        <w:spacing w:line="360" w:lineRule="auto"/>
        <w:ind w:firstLine="480" w:firstLineChars="200"/>
        <w:rPr>
          <w:rFonts w:ascii="宋体" w:hAnsi="宋体" w:eastAsia="宋体"/>
          <w:sz w:val="24"/>
          <w:szCs w:val="24"/>
        </w:rPr>
      </w:pPr>
      <w:r>
        <w:rPr>
          <w:rFonts w:hint="eastAsia" w:ascii="宋体" w:hAnsi="宋体" w:eastAsia="宋体"/>
          <w:sz w:val="24"/>
          <w:szCs w:val="24"/>
        </w:rPr>
        <w:t>c）终验收通过后买卖双方共同签署终验收报告。</w:t>
      </w:r>
    </w:p>
    <w:p>
      <w:pPr>
        <w:spacing w:line="360" w:lineRule="auto"/>
        <w:ind w:firstLine="480" w:firstLineChars="200"/>
        <w:rPr>
          <w:rFonts w:ascii="宋体" w:hAnsi="宋体" w:eastAsia="宋体"/>
          <w:sz w:val="24"/>
          <w:szCs w:val="24"/>
        </w:rPr>
      </w:pPr>
      <w:r>
        <w:rPr>
          <w:rFonts w:hint="eastAsia" w:ascii="宋体" w:hAnsi="宋体" w:eastAsia="宋体"/>
          <w:sz w:val="24"/>
          <w:szCs w:val="24"/>
        </w:rPr>
        <w:t>2设备（或材料）验收的一般标准与要求：</w:t>
      </w:r>
    </w:p>
    <w:p>
      <w:pPr>
        <w:spacing w:line="360" w:lineRule="auto"/>
        <w:ind w:firstLine="480" w:firstLineChars="200"/>
        <w:rPr>
          <w:rFonts w:ascii="宋体" w:hAnsi="宋体" w:eastAsia="宋体"/>
          <w:sz w:val="24"/>
          <w:szCs w:val="24"/>
        </w:rPr>
      </w:pPr>
      <w:r>
        <w:rPr>
          <w:rFonts w:hint="eastAsia" w:ascii="宋体" w:hAnsi="宋体" w:eastAsia="宋体"/>
          <w:sz w:val="24"/>
          <w:szCs w:val="24"/>
        </w:rPr>
        <w:t>① 预验收的一般标准与要求</w:t>
      </w:r>
    </w:p>
    <w:p>
      <w:pPr>
        <w:spacing w:line="360" w:lineRule="auto"/>
        <w:ind w:firstLine="480" w:firstLineChars="200"/>
        <w:rPr>
          <w:rFonts w:ascii="宋体" w:hAnsi="宋体" w:eastAsia="宋体"/>
          <w:sz w:val="24"/>
          <w:szCs w:val="24"/>
        </w:rPr>
      </w:pPr>
      <w:r>
        <w:rPr>
          <w:rFonts w:hint="eastAsia" w:ascii="宋体" w:hAnsi="宋体" w:eastAsia="宋体"/>
          <w:sz w:val="24"/>
          <w:szCs w:val="24"/>
        </w:rPr>
        <w:t>a.资料齐全性、完整性和有效性。按照“配套供货范围及要求”中“技术资料范围”的规定验收；</w:t>
      </w:r>
    </w:p>
    <w:p>
      <w:pPr>
        <w:spacing w:line="360" w:lineRule="auto"/>
        <w:ind w:firstLine="480" w:firstLineChars="200"/>
        <w:rPr>
          <w:rFonts w:ascii="宋体" w:hAnsi="宋体" w:eastAsia="宋体"/>
          <w:sz w:val="24"/>
          <w:szCs w:val="24"/>
        </w:rPr>
      </w:pPr>
      <w:r>
        <w:rPr>
          <w:rFonts w:hint="eastAsia" w:ascii="宋体" w:hAnsi="宋体" w:eastAsia="宋体"/>
          <w:sz w:val="24"/>
          <w:szCs w:val="24"/>
        </w:rPr>
        <w:t>b.设备（或材料）应运行灵活、稳定、可靠、安全，无异常声音和非正常振动。设备不允许出现漏水、漏液、漏气（汽）、漏电。</w:t>
      </w:r>
    </w:p>
    <w:p>
      <w:pPr>
        <w:spacing w:line="360" w:lineRule="auto"/>
        <w:ind w:firstLine="480" w:firstLineChars="200"/>
        <w:rPr>
          <w:rFonts w:ascii="宋体" w:hAnsi="宋体" w:eastAsia="宋体"/>
          <w:sz w:val="24"/>
          <w:szCs w:val="24"/>
        </w:rPr>
      </w:pPr>
      <w:r>
        <w:rPr>
          <w:rFonts w:hint="eastAsia" w:ascii="宋体" w:hAnsi="宋体" w:eastAsia="宋体"/>
          <w:sz w:val="24"/>
          <w:szCs w:val="24"/>
        </w:rPr>
        <w:t>c.设备（或材料）外观应无损伤，应该涂满同种明亮清晰的油漆（特殊标志除外）。设备应该完整且所有的零部件应该安装牢固，所有的焊缝饱满、无残渣等缺陷；</w:t>
      </w:r>
    </w:p>
    <w:p>
      <w:pPr>
        <w:spacing w:line="360" w:lineRule="auto"/>
        <w:ind w:firstLine="480" w:firstLineChars="200"/>
        <w:rPr>
          <w:rFonts w:ascii="宋体" w:hAnsi="宋体" w:eastAsia="宋体"/>
          <w:sz w:val="24"/>
          <w:szCs w:val="24"/>
        </w:rPr>
      </w:pPr>
      <w:r>
        <w:rPr>
          <w:rFonts w:hint="eastAsia" w:ascii="宋体" w:hAnsi="宋体" w:eastAsia="宋体"/>
          <w:sz w:val="24"/>
          <w:szCs w:val="24"/>
        </w:rPr>
        <w:t>d.设备（或材料）应有完整的标牌，且清晰易见；</w:t>
      </w:r>
    </w:p>
    <w:p>
      <w:pPr>
        <w:spacing w:line="360" w:lineRule="auto"/>
        <w:ind w:firstLine="480" w:firstLineChars="200"/>
        <w:rPr>
          <w:rFonts w:ascii="宋体" w:hAnsi="宋体" w:eastAsia="宋体"/>
          <w:sz w:val="24"/>
          <w:szCs w:val="24"/>
        </w:rPr>
      </w:pPr>
      <w:r>
        <w:rPr>
          <w:rFonts w:hint="eastAsia" w:ascii="宋体" w:hAnsi="宋体" w:eastAsia="宋体"/>
          <w:sz w:val="24"/>
          <w:szCs w:val="24"/>
        </w:rPr>
        <w:t>e.设备（或材料）的安全要求符合中国最新的相关法律、法规、标准和规范以及合同要求；</w:t>
      </w:r>
    </w:p>
    <w:p>
      <w:pPr>
        <w:spacing w:line="360" w:lineRule="auto"/>
        <w:ind w:firstLine="480" w:firstLineChars="200"/>
        <w:rPr>
          <w:rFonts w:ascii="宋体" w:hAnsi="宋体" w:eastAsia="宋体"/>
          <w:sz w:val="24"/>
          <w:szCs w:val="24"/>
        </w:rPr>
      </w:pPr>
      <w:r>
        <w:rPr>
          <w:rFonts w:hint="eastAsia" w:ascii="宋体" w:hAnsi="宋体" w:eastAsia="宋体"/>
          <w:sz w:val="24"/>
          <w:szCs w:val="24"/>
        </w:rPr>
        <w:t>②终验收时的一般验收标准与要求：</w:t>
      </w:r>
    </w:p>
    <w:p>
      <w:pPr>
        <w:spacing w:line="360" w:lineRule="auto"/>
        <w:ind w:firstLine="480" w:firstLineChars="200"/>
        <w:rPr>
          <w:rFonts w:ascii="宋体" w:hAnsi="宋体" w:eastAsia="宋体"/>
          <w:sz w:val="24"/>
          <w:szCs w:val="24"/>
        </w:rPr>
      </w:pPr>
      <w:r>
        <w:rPr>
          <w:rFonts w:hint="eastAsia" w:ascii="宋体" w:hAnsi="宋体" w:eastAsia="宋体"/>
          <w:sz w:val="24"/>
          <w:szCs w:val="24"/>
        </w:rPr>
        <w:t>a.资料齐全性、完整性和有效性。</w:t>
      </w:r>
    </w:p>
    <w:p>
      <w:pPr>
        <w:spacing w:line="360" w:lineRule="auto"/>
        <w:ind w:firstLine="480" w:firstLineChars="200"/>
        <w:rPr>
          <w:rFonts w:ascii="宋体" w:hAnsi="宋体" w:eastAsia="宋体"/>
          <w:sz w:val="24"/>
          <w:szCs w:val="24"/>
        </w:rPr>
      </w:pPr>
      <w:r>
        <w:rPr>
          <w:rFonts w:hint="eastAsia" w:ascii="宋体" w:hAnsi="宋体" w:eastAsia="宋体"/>
          <w:sz w:val="24"/>
          <w:szCs w:val="24"/>
        </w:rPr>
        <w:t>b.设备（或材料）应运行稳定、可靠、安全，无异常声音和非正常振动。设备不允许出现漏水、漏液、漏气（汽）、漏电。</w:t>
      </w:r>
    </w:p>
    <w:p>
      <w:pPr>
        <w:spacing w:line="360" w:lineRule="auto"/>
        <w:ind w:firstLine="480" w:firstLineChars="200"/>
        <w:rPr>
          <w:rFonts w:ascii="宋体" w:hAnsi="宋体" w:eastAsia="宋体"/>
          <w:sz w:val="24"/>
          <w:szCs w:val="24"/>
        </w:rPr>
      </w:pPr>
      <w:r>
        <w:rPr>
          <w:rFonts w:hint="eastAsia" w:ascii="宋体" w:hAnsi="宋体" w:eastAsia="宋体"/>
          <w:sz w:val="24"/>
          <w:szCs w:val="24"/>
        </w:rPr>
        <w:t>c.设备（或材料）应有完整的标牌，且清晰易见；</w:t>
      </w:r>
    </w:p>
    <w:p>
      <w:pPr>
        <w:spacing w:line="360" w:lineRule="auto"/>
        <w:ind w:firstLine="480" w:firstLineChars="200"/>
        <w:rPr>
          <w:rFonts w:ascii="宋体" w:hAnsi="宋体" w:eastAsia="宋体"/>
          <w:sz w:val="24"/>
          <w:szCs w:val="24"/>
        </w:rPr>
      </w:pPr>
      <w:r>
        <w:rPr>
          <w:rFonts w:hint="eastAsia" w:ascii="宋体" w:hAnsi="宋体" w:eastAsia="宋体"/>
          <w:sz w:val="24"/>
          <w:szCs w:val="24"/>
        </w:rPr>
        <w:t>③ 终验收条件</w:t>
      </w:r>
    </w:p>
    <w:p>
      <w:pPr>
        <w:spacing w:line="360" w:lineRule="auto"/>
        <w:ind w:firstLine="480" w:firstLineChars="200"/>
        <w:rPr>
          <w:rFonts w:ascii="宋体" w:hAnsi="宋体" w:eastAsia="宋体"/>
          <w:sz w:val="24"/>
          <w:szCs w:val="24"/>
        </w:rPr>
      </w:pPr>
      <w:r>
        <w:rPr>
          <w:rFonts w:hint="eastAsia" w:ascii="宋体" w:hAnsi="宋体" w:eastAsia="宋体"/>
          <w:sz w:val="24"/>
          <w:szCs w:val="24"/>
        </w:rPr>
        <w:t>依据招标文件、投标文件、答疑文件、技术交流文件等形成并达成一致的技术协议书和合同规定的终验收条件验收。</w:t>
      </w:r>
    </w:p>
    <w:p>
      <w:pPr>
        <w:pStyle w:val="135"/>
        <w:spacing w:line="360" w:lineRule="auto"/>
        <w:outlineLvl w:val="1"/>
        <w:rPr>
          <w:rFonts w:ascii="宋体" w:hAnsi="宋体" w:eastAsia="宋体"/>
          <w:b/>
          <w:bCs w:val="0"/>
          <w:iCs/>
          <w:color w:val="auto"/>
          <w:sz w:val="28"/>
        </w:rPr>
      </w:pPr>
      <w:r>
        <w:rPr>
          <w:rFonts w:ascii="宋体" w:hAnsi="宋体" w:eastAsia="宋体"/>
          <w:b/>
          <w:bCs w:val="0"/>
          <w:iCs/>
          <w:color w:val="auto"/>
          <w:sz w:val="28"/>
        </w:rPr>
        <w:t>第六章  投标技术文件一般要求</w:t>
      </w:r>
      <w:bookmarkEnd w:id="39"/>
    </w:p>
    <w:p>
      <w:pPr>
        <w:pStyle w:val="122"/>
        <w:spacing w:line="360" w:lineRule="auto"/>
        <w:rPr>
          <w:rFonts w:ascii="宋体" w:hAnsi="宋体"/>
          <w:color w:val="auto"/>
        </w:rPr>
      </w:pPr>
      <w:r>
        <w:rPr>
          <w:rFonts w:ascii="宋体" w:hAnsi="宋体"/>
          <w:color w:val="auto"/>
        </w:rPr>
        <w:t>一、技术文件一般内容要求</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6.1备品备件、易损件和专用耗材明细表：</w:t>
      </w:r>
    </w:p>
    <w:p>
      <w:pPr>
        <w:adjustRightInd w:val="0"/>
        <w:snapToGrid w:val="0"/>
        <w:spacing w:line="360" w:lineRule="auto"/>
        <w:ind w:firstLine="2160" w:firstLineChars="900"/>
        <w:rPr>
          <w:rFonts w:ascii="宋体" w:hAnsi="宋体" w:eastAsia="宋体" w:cs="宋体"/>
          <w:sz w:val="24"/>
          <w:szCs w:val="24"/>
        </w:rPr>
      </w:pPr>
      <w:r>
        <w:rPr>
          <w:rFonts w:hint="eastAsia" w:ascii="宋体" w:hAnsi="宋体" w:eastAsia="宋体" w:cs="宋体"/>
          <w:sz w:val="24"/>
          <w:szCs w:val="24"/>
        </w:rPr>
        <w:t>备品备件、易损件和专用耗材明细表             单位：元</w:t>
      </w:r>
    </w:p>
    <w:tbl>
      <w:tblPr>
        <w:tblStyle w:val="40"/>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序号</w:t>
            </w:r>
          </w:p>
        </w:tc>
        <w:tc>
          <w:tcPr>
            <w:tcW w:w="1924"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名称</w:t>
            </w:r>
          </w:p>
        </w:tc>
        <w:tc>
          <w:tcPr>
            <w:tcW w:w="1236"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型号规格</w:t>
            </w:r>
          </w:p>
        </w:tc>
        <w:tc>
          <w:tcPr>
            <w:tcW w:w="720"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单位</w:t>
            </w:r>
          </w:p>
        </w:tc>
        <w:tc>
          <w:tcPr>
            <w:tcW w:w="720"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数量</w:t>
            </w:r>
          </w:p>
        </w:tc>
        <w:tc>
          <w:tcPr>
            <w:tcW w:w="720"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单价</w:t>
            </w:r>
          </w:p>
        </w:tc>
        <w:tc>
          <w:tcPr>
            <w:tcW w:w="720"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总价</w:t>
            </w:r>
          </w:p>
        </w:tc>
        <w:tc>
          <w:tcPr>
            <w:tcW w:w="2235"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p>
        </w:tc>
        <w:tc>
          <w:tcPr>
            <w:tcW w:w="1924" w:type="dxa"/>
          </w:tcPr>
          <w:p>
            <w:pPr>
              <w:adjustRightInd w:val="0"/>
              <w:snapToGrid w:val="0"/>
              <w:spacing w:line="360" w:lineRule="auto"/>
              <w:rPr>
                <w:rFonts w:ascii="宋体" w:hAnsi="宋体" w:eastAsia="宋体" w:cs="宋体"/>
                <w:sz w:val="24"/>
                <w:szCs w:val="24"/>
              </w:rPr>
            </w:pPr>
          </w:p>
        </w:tc>
        <w:tc>
          <w:tcPr>
            <w:tcW w:w="1236" w:type="dxa"/>
          </w:tcPr>
          <w:p>
            <w:pPr>
              <w:adjustRightInd w:val="0"/>
              <w:snapToGrid w:val="0"/>
              <w:spacing w:line="360" w:lineRule="auto"/>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2235" w:type="dxa"/>
          </w:tcPr>
          <w:p>
            <w:pPr>
              <w:adjustRightInd w:val="0"/>
              <w:snapToGrid w:val="0"/>
              <w:spacing w:line="360" w:lineRule="auto"/>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p>
        </w:tc>
        <w:tc>
          <w:tcPr>
            <w:tcW w:w="1924" w:type="dxa"/>
          </w:tcPr>
          <w:p>
            <w:pPr>
              <w:adjustRightInd w:val="0"/>
              <w:snapToGrid w:val="0"/>
              <w:spacing w:line="360" w:lineRule="auto"/>
              <w:rPr>
                <w:rFonts w:ascii="宋体" w:hAnsi="宋体" w:eastAsia="宋体" w:cs="宋体"/>
                <w:sz w:val="24"/>
                <w:szCs w:val="24"/>
              </w:rPr>
            </w:pPr>
          </w:p>
        </w:tc>
        <w:tc>
          <w:tcPr>
            <w:tcW w:w="1236" w:type="dxa"/>
          </w:tcPr>
          <w:p>
            <w:pPr>
              <w:adjustRightInd w:val="0"/>
              <w:snapToGrid w:val="0"/>
              <w:spacing w:line="360" w:lineRule="auto"/>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2235" w:type="dxa"/>
          </w:tcPr>
          <w:p>
            <w:pPr>
              <w:adjustRightInd w:val="0"/>
              <w:snapToGrid w:val="0"/>
              <w:spacing w:line="360" w:lineRule="auto"/>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p>
        </w:tc>
        <w:tc>
          <w:tcPr>
            <w:tcW w:w="1924" w:type="dxa"/>
          </w:tcPr>
          <w:p>
            <w:pPr>
              <w:adjustRightInd w:val="0"/>
              <w:snapToGrid w:val="0"/>
              <w:spacing w:line="360" w:lineRule="auto"/>
              <w:rPr>
                <w:rFonts w:ascii="宋体" w:hAnsi="宋体" w:eastAsia="宋体" w:cs="宋体"/>
                <w:sz w:val="24"/>
                <w:szCs w:val="24"/>
              </w:rPr>
            </w:pPr>
          </w:p>
        </w:tc>
        <w:tc>
          <w:tcPr>
            <w:tcW w:w="1236" w:type="dxa"/>
          </w:tcPr>
          <w:p>
            <w:pPr>
              <w:adjustRightInd w:val="0"/>
              <w:snapToGrid w:val="0"/>
              <w:spacing w:line="360" w:lineRule="auto"/>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2235" w:type="dxa"/>
          </w:tcPr>
          <w:p>
            <w:pPr>
              <w:adjustRightInd w:val="0"/>
              <w:snapToGrid w:val="0"/>
              <w:spacing w:line="360" w:lineRule="auto"/>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p>
        </w:tc>
        <w:tc>
          <w:tcPr>
            <w:tcW w:w="1924" w:type="dxa"/>
          </w:tcPr>
          <w:p>
            <w:pPr>
              <w:adjustRightInd w:val="0"/>
              <w:snapToGrid w:val="0"/>
              <w:spacing w:line="360" w:lineRule="auto"/>
              <w:rPr>
                <w:rFonts w:ascii="宋体" w:hAnsi="宋体" w:eastAsia="宋体" w:cs="宋体"/>
                <w:sz w:val="24"/>
                <w:szCs w:val="24"/>
              </w:rPr>
            </w:pPr>
          </w:p>
        </w:tc>
        <w:tc>
          <w:tcPr>
            <w:tcW w:w="1236" w:type="dxa"/>
          </w:tcPr>
          <w:p>
            <w:pPr>
              <w:adjustRightInd w:val="0"/>
              <w:snapToGrid w:val="0"/>
              <w:spacing w:line="360" w:lineRule="auto"/>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2235" w:type="dxa"/>
          </w:tcPr>
          <w:p>
            <w:pPr>
              <w:adjustRightInd w:val="0"/>
              <w:snapToGrid w:val="0"/>
              <w:spacing w:line="360" w:lineRule="auto"/>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p>
        </w:tc>
        <w:tc>
          <w:tcPr>
            <w:tcW w:w="1924" w:type="dxa"/>
          </w:tcPr>
          <w:p>
            <w:pPr>
              <w:adjustRightInd w:val="0"/>
              <w:snapToGrid w:val="0"/>
              <w:spacing w:line="360" w:lineRule="auto"/>
              <w:rPr>
                <w:rFonts w:ascii="宋体" w:hAnsi="宋体" w:eastAsia="宋体" w:cs="宋体"/>
                <w:sz w:val="24"/>
                <w:szCs w:val="24"/>
              </w:rPr>
            </w:pPr>
          </w:p>
        </w:tc>
        <w:tc>
          <w:tcPr>
            <w:tcW w:w="1236" w:type="dxa"/>
          </w:tcPr>
          <w:p>
            <w:pPr>
              <w:adjustRightInd w:val="0"/>
              <w:snapToGrid w:val="0"/>
              <w:spacing w:line="360" w:lineRule="auto"/>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2235" w:type="dxa"/>
          </w:tcPr>
          <w:p>
            <w:pPr>
              <w:adjustRightInd w:val="0"/>
              <w:snapToGrid w:val="0"/>
              <w:spacing w:line="360" w:lineRule="auto"/>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p>
        </w:tc>
        <w:tc>
          <w:tcPr>
            <w:tcW w:w="1924" w:type="dxa"/>
          </w:tcPr>
          <w:p>
            <w:pPr>
              <w:adjustRightInd w:val="0"/>
              <w:snapToGrid w:val="0"/>
              <w:spacing w:line="360" w:lineRule="auto"/>
              <w:rPr>
                <w:rFonts w:ascii="宋体" w:hAnsi="宋体" w:eastAsia="宋体" w:cs="宋体"/>
                <w:sz w:val="24"/>
                <w:szCs w:val="24"/>
              </w:rPr>
            </w:pPr>
          </w:p>
        </w:tc>
        <w:tc>
          <w:tcPr>
            <w:tcW w:w="1236" w:type="dxa"/>
          </w:tcPr>
          <w:p>
            <w:pPr>
              <w:adjustRightInd w:val="0"/>
              <w:snapToGrid w:val="0"/>
              <w:spacing w:line="360" w:lineRule="auto"/>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2235" w:type="dxa"/>
          </w:tcPr>
          <w:p>
            <w:pPr>
              <w:adjustRightInd w:val="0"/>
              <w:snapToGrid w:val="0"/>
              <w:spacing w:line="360" w:lineRule="auto"/>
              <w:rPr>
                <w:rFonts w:ascii="宋体" w:hAnsi="宋体" w:eastAsia="宋体" w:cs="宋体"/>
                <w:sz w:val="24"/>
                <w:szCs w:val="24"/>
              </w:rPr>
            </w:pPr>
          </w:p>
        </w:tc>
      </w:tr>
    </w:tbl>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6.5  本条款表格中的制造商，应当为全称或公认的简称。</w:t>
      </w:r>
    </w:p>
    <w:p>
      <w:pPr>
        <w:pStyle w:val="122"/>
        <w:spacing w:line="360" w:lineRule="auto"/>
        <w:rPr>
          <w:rFonts w:ascii="宋体" w:hAnsi="宋体" w:cs="宋体"/>
          <w:color w:val="auto"/>
        </w:rPr>
      </w:pPr>
      <w:r>
        <w:rPr>
          <w:rFonts w:hint="eastAsia" w:ascii="宋体" w:hAnsi="宋体" w:cs="宋体"/>
          <w:color w:val="auto"/>
        </w:rPr>
        <w:t>二、技术文件中货物报价格式要求</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五</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p>
    <w:p>
      <w:pPr>
        <w:keepNext/>
        <w:keepLines/>
        <w:rPr>
          <w:rFonts w:ascii="Times New Roman" w:hAnsi="Times New Roman" w:eastAsia="宋体" w:cs="Times New Roman"/>
          <w:b/>
          <w:bCs/>
          <w:color w:val="000000"/>
          <w:sz w:val="24"/>
          <w:szCs w:val="24"/>
        </w:rPr>
      </w:pPr>
    </w:p>
    <w:p>
      <w:pPr>
        <w:pStyle w:val="21"/>
        <w:rPr>
          <w:rFonts w:ascii="Times New Roman" w:hAnsi="Times New Roman" w:eastAsia="宋体" w:cs="Times New Roman"/>
          <w:b/>
          <w:bCs/>
          <w:color w:val="000000"/>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pPr>
        <w:pStyle w:val="21"/>
        <w:rPr>
          <w:rFonts w:ascii="Times New Roman" w:hAnsi="Times New Roman" w:eastAsia="宋体" w:cs="Times New Roman"/>
          <w:b/>
          <w:bCs/>
          <w:color w:val="000000"/>
          <w:sz w:val="24"/>
          <w:szCs w:val="24"/>
        </w:rPr>
        <w:sectPr>
          <w:footerReference r:id="rId14" w:type="first"/>
          <w:headerReference r:id="rId12" w:type="default"/>
          <w:footerReference r:id="rId13"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40" w:name="_Toc639004"/>
      <w:bookmarkStart w:id="41" w:name="_Toc353881012"/>
      <w:bookmarkStart w:id="42" w:name="_Toc212369550"/>
      <w:bookmarkStart w:id="43" w:name="_Toc25811"/>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40"/>
      <w:bookmarkEnd w:id="41"/>
      <w:bookmarkEnd w:id="42"/>
      <w:bookmarkEnd w:id="43"/>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szCs w:val="24"/>
          <w:highlight w:val="yellow"/>
          <w:u w:val="single"/>
        </w:rPr>
        <w:t>中</w:t>
      </w:r>
      <w:r>
        <w:rPr>
          <w:rFonts w:hint="eastAsia" w:ascii="宋体" w:hAnsi="宋体" w:eastAsia="宋体" w:cs="宋体"/>
          <w:sz w:val="24"/>
          <w:szCs w:val="24"/>
          <w:highlight w:val="yellow"/>
          <w:u w:val="single"/>
        </w:rPr>
        <w:t>国重汽集团济南商用车制造公司智能驾驶校准工站改造项目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21"/>
        <w:rPr>
          <w:rFonts w:ascii="黑体" w:hAnsi="Calibri" w:eastAsia="黑体" w:cs="Times New Roman"/>
          <w:color w:val="000000"/>
          <w:sz w:val="24"/>
          <w:szCs w:val="24"/>
        </w:rPr>
      </w:pPr>
    </w:p>
    <w:p>
      <w:pPr>
        <w:pStyle w:val="21"/>
        <w:rPr>
          <w:rFonts w:ascii="黑体" w:hAnsi="Calibri" w:eastAsia="黑体" w:cs="Times New Roman"/>
          <w:color w:val="000000"/>
          <w:sz w:val="24"/>
          <w:szCs w:val="24"/>
        </w:rPr>
      </w:pPr>
    </w:p>
    <w:p>
      <w:pPr>
        <w:pStyle w:val="21"/>
        <w:rPr>
          <w:rFonts w:ascii="黑体" w:hAnsi="Calibri" w:eastAsia="黑体" w:cs="Times New Roman"/>
          <w:color w:val="000000"/>
          <w:sz w:val="24"/>
          <w:szCs w:val="24"/>
        </w:rPr>
      </w:pPr>
    </w:p>
    <w:p>
      <w:pPr>
        <w:pStyle w:val="21"/>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宋体"/>
          <w:sz w:val="24"/>
          <w:szCs w:val="24"/>
          <w:highlight w:val="yellow"/>
          <w:u w:val="single"/>
        </w:rPr>
        <w:t>中国重汽集团济南商用车制造公司智能驾驶校准工站改造项目</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21"/>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32"/>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1" w:hRule="atLeast"/>
        </w:trPr>
        <w:tc>
          <w:tcPr>
            <w:tcW w:w="1956" w:type="dxa"/>
          </w:tcPr>
          <w:p>
            <w:pPr>
              <w:pStyle w:val="134"/>
              <w:spacing w:before="114"/>
              <w:ind w:left="720"/>
              <w:rPr>
                <w:rFonts w:hint="eastAsia"/>
              </w:rPr>
            </w:pPr>
            <w:r>
              <w:t xml:space="preserve">企业名称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4"/>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4"/>
              <w:spacing w:before="114"/>
              <w:ind w:left="720"/>
              <w:rPr>
                <w:rFonts w:hint="eastAsia"/>
              </w:rPr>
            </w:pPr>
            <w:r>
              <w:t xml:space="preserve">企业地址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4"/>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34"/>
              <w:spacing w:before="111"/>
              <w:ind w:left="720"/>
              <w:rPr>
                <w:rFonts w:hint="eastAsia"/>
              </w:rPr>
            </w:pPr>
            <w:r>
              <w:t xml:space="preserve">企业性质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4"/>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34"/>
              <w:spacing w:before="111"/>
              <w:ind w:left="509"/>
              <w:rPr>
                <w:rFonts w:hint="eastAsia"/>
                <w:highlight w:val="yellow"/>
              </w:rPr>
            </w:pPr>
            <w:r>
              <w:t xml:space="preserve">企业法人代表  </w:t>
            </w:r>
          </w:p>
        </w:tc>
        <w:tc>
          <w:tcPr>
            <w:tcW w:w="4680" w:type="dxa"/>
            <w:gridSpan w:val="4"/>
          </w:tcPr>
          <w:p>
            <w:pPr>
              <w:pStyle w:val="4"/>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pPr>
              <w:pStyle w:val="134"/>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4"/>
              <w:spacing w:before="114"/>
              <w:ind w:left="720"/>
              <w:rPr>
                <w:rFonts w:hint="eastAsia"/>
              </w:rPr>
            </w:pPr>
            <w:r>
              <w:t xml:space="preserve">品牌区分 </w:t>
            </w:r>
          </w:p>
        </w:tc>
        <w:tc>
          <w:tcPr>
            <w:tcW w:w="7500" w:type="dxa"/>
            <w:gridSpan w:val="6"/>
          </w:tcPr>
          <w:p>
            <w:pPr>
              <w:pStyle w:val="134"/>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4"/>
              <w:spacing w:before="178"/>
              <w:ind w:left="720"/>
              <w:rPr>
                <w:rFonts w:hint="eastAsia"/>
              </w:rPr>
            </w:pPr>
            <w:r>
              <w:t xml:space="preserve">品牌名称 </w:t>
            </w:r>
          </w:p>
        </w:tc>
        <w:tc>
          <w:tcPr>
            <w:tcW w:w="3583" w:type="dxa"/>
            <w:gridSpan w:val="3"/>
            <w:vAlign w:val="center"/>
          </w:tcPr>
          <w:p>
            <w:pPr>
              <w:widowControl/>
              <w:rPr>
                <w:rFonts w:hint="eastAsia" w:ascii="宋体" w:hAnsi="宋体" w:eastAsia="仿宋_GB2312"/>
                <w:kern w:val="0"/>
                <w:szCs w:val="21"/>
                <w:lang w:bidi="ar"/>
              </w:rPr>
            </w:pPr>
          </w:p>
        </w:tc>
        <w:tc>
          <w:tcPr>
            <w:tcW w:w="1097" w:type="dxa"/>
          </w:tcPr>
          <w:p>
            <w:pPr>
              <w:pStyle w:val="134"/>
              <w:spacing w:before="15"/>
              <w:ind w:left="279"/>
              <w:rPr>
                <w:rFonts w:hint="eastAsia"/>
              </w:rPr>
            </w:pPr>
            <w:r>
              <w:rPr>
                <w:spacing w:val="-2"/>
              </w:rPr>
              <w:t>质量</w:t>
            </w:r>
            <w:r>
              <w:t xml:space="preserve"> </w:t>
            </w:r>
          </w:p>
          <w:p>
            <w:pPr>
              <w:pStyle w:val="134"/>
              <w:spacing w:before="30" w:line="277" w:lineRule="exact"/>
              <w:ind w:left="279"/>
              <w:rPr>
                <w:rFonts w:hint="eastAsia"/>
              </w:rPr>
            </w:pPr>
            <w:r>
              <w:rPr>
                <w:rFonts w:hint="eastAsia"/>
              </w:rPr>
              <w:t>体系</w:t>
            </w:r>
          </w:p>
        </w:tc>
        <w:tc>
          <w:tcPr>
            <w:tcW w:w="2820" w:type="dxa"/>
            <w:gridSpan w:val="2"/>
          </w:tcPr>
          <w:p>
            <w:pPr>
              <w:pStyle w:val="134"/>
              <w:spacing w:before="158"/>
              <w:jc w:val="center"/>
              <w:rPr>
                <w:rFonts w:hint="eastAsia"/>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34"/>
              <w:spacing w:before="149"/>
              <w:ind w:left="3345" w:right="3223"/>
              <w:jc w:val="center"/>
              <w:rPr>
                <w:rFonts w:hint="eastAsia"/>
              </w:rP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hint="eastAsia" w:ascii="宋体" w:hAnsi="宋体" w:eastAsia="宋体" w:cs="宋体"/>
                <w:szCs w:val="21"/>
              </w:rPr>
            </w:pPr>
          </w:p>
        </w:tc>
        <w:tc>
          <w:tcPr>
            <w:tcW w:w="1530"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hint="eastAsia" w:ascii="宋体" w:hAnsi="宋体" w:eastAsia="宋体" w:cs="宋体"/>
                <w:szCs w:val="21"/>
              </w:rPr>
            </w:pPr>
          </w:p>
        </w:tc>
        <w:tc>
          <w:tcPr>
            <w:tcW w:w="1097" w:type="dxa"/>
            <w:vAlign w:val="center"/>
          </w:tcPr>
          <w:p>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hint="eastAsia"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pPr>
              <w:widowControl/>
              <w:jc w:val="left"/>
              <w:rPr>
                <w:rFonts w:hint="eastAsia" w:ascii="宋体" w:hAnsi="宋体" w:eastAsia="宋体" w:cs="宋体"/>
                <w:kern w:val="0"/>
                <w:szCs w:val="21"/>
                <w:lang w:bidi="ar"/>
              </w:rPr>
            </w:pPr>
          </w:p>
        </w:tc>
      </w:tr>
    </w:tbl>
    <w:p>
      <w:pPr>
        <w:pStyle w:val="21"/>
        <w:rPr>
          <w:rFonts w:ascii="Times New Roman" w:hAnsi="Times New Roman" w:eastAsia="宋体" w:cs="Times New Roman"/>
          <w:b/>
          <w:bCs/>
          <w:color w:val="000000"/>
          <w:sz w:val="24"/>
          <w:szCs w:val="24"/>
        </w:rPr>
      </w:pPr>
    </w:p>
    <w:p>
      <w:pPr>
        <w:pStyle w:val="21"/>
        <w:rPr>
          <w:rFonts w:ascii="Times New Roman" w:hAnsi="Times New Roman" w:eastAsia="宋体" w:cs="Times New Roman"/>
          <w:b/>
          <w:bCs/>
          <w:color w:val="000000"/>
          <w:sz w:val="24"/>
          <w:szCs w:val="24"/>
        </w:rPr>
      </w:pPr>
    </w:p>
    <w:p>
      <w:pPr>
        <w:pStyle w:val="21"/>
        <w:rPr>
          <w:rFonts w:ascii="Times New Roman" w:hAnsi="Times New Roman" w:eastAsia="宋体" w:cs="Times New Roman"/>
          <w:b/>
          <w:bCs/>
          <w:color w:val="000000"/>
          <w:sz w:val="24"/>
          <w:szCs w:val="24"/>
        </w:rPr>
      </w:pPr>
    </w:p>
    <w:p>
      <w:pPr>
        <w:pStyle w:val="21"/>
        <w:rPr>
          <w:rFonts w:ascii="Times New Roman" w:hAnsi="Times New Roman" w:eastAsia="宋体" w:cs="Times New Roman"/>
          <w:b/>
          <w:bCs/>
          <w:color w:val="000000"/>
          <w:sz w:val="24"/>
          <w:szCs w:val="24"/>
        </w:rPr>
      </w:pPr>
    </w:p>
    <w:p>
      <w:pPr>
        <w:pStyle w:val="21"/>
        <w:rPr>
          <w:rFonts w:ascii="Times New Roman" w:hAnsi="Times New Roman" w:eastAsia="宋体" w:cs="Times New Roman"/>
          <w:b/>
          <w:bCs/>
          <w:color w:val="000000"/>
          <w:sz w:val="24"/>
          <w:szCs w:val="24"/>
        </w:rPr>
      </w:pPr>
    </w:p>
    <w:p>
      <w:pPr>
        <w:pStyle w:val="21"/>
        <w:rPr>
          <w:rFonts w:ascii="Times New Roman" w:hAnsi="Times New Roman" w:eastAsia="宋体" w:cs="Times New Roman"/>
          <w:b/>
          <w:bCs/>
          <w:color w:val="000000"/>
          <w:sz w:val="24"/>
          <w:szCs w:val="24"/>
        </w:rPr>
      </w:pPr>
    </w:p>
    <w:p>
      <w:pPr>
        <w:pStyle w:val="21"/>
        <w:rPr>
          <w:rFonts w:ascii="Times New Roman" w:hAnsi="Times New Roman" w:eastAsia="宋体" w:cs="Times New Roman"/>
          <w:b/>
          <w:bCs/>
          <w:color w:val="000000"/>
          <w:sz w:val="24"/>
          <w:szCs w:val="24"/>
        </w:rPr>
      </w:pPr>
    </w:p>
    <w:p>
      <w:pPr>
        <w:pStyle w:val="21"/>
        <w:rPr>
          <w:rFonts w:ascii="Times New Roman" w:hAnsi="Times New Roman" w:eastAsia="宋体" w:cs="Times New Roman"/>
          <w:b/>
          <w:bCs/>
          <w:color w:val="000000"/>
          <w:sz w:val="24"/>
          <w:szCs w:val="24"/>
        </w:rPr>
      </w:pPr>
    </w:p>
    <w:p>
      <w:pPr>
        <w:pStyle w:val="21"/>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21"/>
        <w:rPr>
          <w:rFonts w:ascii="Times New Roman" w:hAnsi="Times New Roman" w:eastAsia="宋体" w:cs="Times New Roman"/>
          <w:b/>
          <w:bCs/>
          <w:color w:val="000000"/>
          <w:sz w:val="24"/>
          <w:szCs w:val="24"/>
        </w:rPr>
      </w:pP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pPr>
              <w:spacing w:line="440" w:lineRule="exact"/>
              <w:jc w:val="center"/>
              <w:rPr>
                <w:rFonts w:hint="eastAsia"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实收资金（万元）</w:t>
            </w:r>
          </w:p>
        </w:tc>
        <w:tc>
          <w:tcPr>
            <w:tcW w:w="3865" w:type="dxa"/>
            <w:gridSpan w:val="3"/>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2021年</w:t>
            </w:r>
          </w:p>
        </w:tc>
        <w:tc>
          <w:tcPr>
            <w:tcW w:w="1288"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流动资产（万元）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非流动资产（万元）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营业收入（万元）</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年底资产总值（万元）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年底负债总值（万元）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净利润（万元）</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未分配利润（万元）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16" w:type="first"/>
          <w:footerReference r:id="rId15"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highlight w:val="yellow"/>
          <w:u w:val="single"/>
        </w:rPr>
        <w:t>中国重汽集团济南商用车制造公司智能驾驶校准工站改造项目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18" w:type="first"/>
          <w:footerReference r:id="rId17"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yellow"/>
          <w:u w:val="single"/>
        </w:rPr>
        <w:t>中国重汽集团济南商用车制造公司智能驾驶校准工站改造项目</w:t>
      </w:r>
      <w:r>
        <w:rPr>
          <w:rFonts w:ascii="宋体" w:hAnsi="宋体" w:eastAsia="宋体" w:cs="Times New Roman"/>
          <w:color w:val="000000"/>
          <w:sz w:val="24"/>
          <w:szCs w:val="24"/>
        </w:rPr>
        <w:t xml:space="preserve">                                                           </w:t>
      </w:r>
    </w:p>
    <w:tbl>
      <w:tblPr>
        <w:tblStyle w:val="40"/>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bl>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rPr>
          <w:rFonts w:ascii="宋体" w:hAnsi="Calibri" w:eastAsia="宋体" w:cs="宋体"/>
          <w:b/>
          <w:bCs/>
          <w:color w:val="000000"/>
          <w:sz w:val="28"/>
          <w:szCs w:val="20"/>
        </w:rPr>
      </w:pPr>
    </w:p>
    <w:p>
      <w:pPr>
        <w:rPr>
          <w:rFonts w:ascii="宋体" w:hAnsi="Calibri" w:eastAsia="宋体" w:cs="宋体"/>
          <w:b/>
          <w:bCs/>
          <w:color w:val="000000"/>
          <w:sz w:val="28"/>
          <w:szCs w:val="20"/>
        </w:rPr>
        <w:sectPr>
          <w:footerReference r:id="rId20" w:type="first"/>
          <w:footerReference r:id="rId19"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highlight w:val="yellow"/>
        </w:rPr>
        <w:t>2022年1月1日</w:t>
      </w:r>
      <w:r>
        <w:rPr>
          <w:rFonts w:hint="eastAsia" w:ascii="Times New Roman" w:hAnsi="Times New Roman" w:eastAsia="宋体" w:cs="Times New Roman"/>
          <w:b/>
          <w:bCs/>
          <w:color w:val="000000"/>
          <w:sz w:val="24"/>
          <w:szCs w:val="24"/>
        </w:rPr>
        <w:t>至今同类项目业绩一览表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yellow"/>
          <w:u w:val="single"/>
        </w:rPr>
        <w:t>中国重汽集团济南商用车制造公司智能驾驶校准工站改造项目</w:t>
      </w:r>
      <w:r>
        <w:rPr>
          <w:rFonts w:ascii="宋体" w:hAnsi="宋体" w:eastAsia="宋体" w:cs="Times New Roman"/>
          <w:color w:val="000000"/>
          <w:sz w:val="24"/>
          <w:szCs w:val="24"/>
        </w:rPr>
        <w:t xml:space="preserve">                                                            </w:t>
      </w:r>
    </w:p>
    <w:tbl>
      <w:tblPr>
        <w:tblStyle w:val="40"/>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rPr>
              <w:t>22</w:t>
            </w:r>
            <w:r>
              <w:rPr>
                <w:rFonts w:ascii="宋体" w:hAnsi="宋体" w:eastAsia="宋体" w:cs="宋体"/>
                <w:sz w:val="24"/>
                <w:szCs w:val="24"/>
                <w:highlight w:val="yellow"/>
              </w:rPr>
              <w:t>年1月1日至今所有业绩合同总额汇总（必填）</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提供2022年1月1日以来同类产品的制造销售业绩（用户名单、联系方式）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footerReference r:id="rId21"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hint="eastAsia" w:ascii="宋体" w:hAnsi="宋体" w:eastAsia="宋体" w:cs="Times New Roman"/>
          <w:szCs w:val="20"/>
        </w:rPr>
      </w:pPr>
      <w:r>
        <w:rPr>
          <w:rFonts w:ascii="宋体" w:hAnsi="宋体" w:eastAsia="宋体" w:cs="Times New Roman"/>
          <w:szCs w:val="20"/>
        </w:rPr>
        <w:t xml:space="preserve">                                               </w:t>
      </w:r>
    </w:p>
    <w:p>
      <w:pPr>
        <w:spacing w:line="360" w:lineRule="auto"/>
        <w:rPr>
          <w:rFonts w:hint="eastAsia"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w:t>
      </w:r>
      <w:r>
        <w:rPr>
          <w:rFonts w:hint="eastAsia" w:ascii="宋体" w:hAnsi="宋体" w:eastAsia="宋体" w:cs="宋体"/>
          <w:sz w:val="24"/>
          <w:szCs w:val="24"/>
          <w:highlight w:val="yellow"/>
          <w:u w:val="single"/>
        </w:rPr>
        <w:t>中国重汽集团济南商用车制造公司智能驾驶校准工站改造项目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hint="eastAsia"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3" w:type="first"/>
          <w:footerReference r:id="rId22"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yellow"/>
          <w:u w:val="single"/>
        </w:rPr>
        <w:t>中国重汽集团济南商用车制造公司智能驾驶校准工站改造项目</w:t>
      </w:r>
      <w:r>
        <w:rPr>
          <w:rFonts w:ascii="宋体" w:hAnsi="宋体" w:eastAsia="宋体" w:cs="Times New Roman"/>
          <w:color w:val="000000"/>
          <w:sz w:val="24"/>
          <w:szCs w:val="24"/>
        </w:rPr>
        <w:t xml:space="preserve">                                                      </w:t>
      </w:r>
    </w:p>
    <w:tbl>
      <w:tblPr>
        <w:tblStyle w:val="40"/>
        <w:tblW w:w="90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1522"/>
        <w:gridCol w:w="850"/>
        <w:gridCol w:w="2276"/>
        <w:gridCol w:w="1103"/>
        <w:gridCol w:w="1246"/>
        <w:gridCol w:w="706"/>
        <w:gridCol w:w="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9" w:hRule="atLeast"/>
          <w:jc w:val="center"/>
        </w:trPr>
        <w:tc>
          <w:tcPr>
            <w:tcW w:w="67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22"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5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6"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6"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6" w:type="dxa"/>
            <w:vAlign w:val="center"/>
          </w:tcPr>
          <w:p>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700" w:type="dxa"/>
            <w:vAlign w:val="center"/>
          </w:tcPr>
          <w:p>
            <w:pPr>
              <w:jc w:val="center"/>
              <w:rPr>
                <w:rFonts w:hint="eastAsia" w:ascii="等线" w:hAnsi="等线" w:eastAsia="等线" w:cs="Times New Roman"/>
                <w:b/>
                <w:szCs w:val="20"/>
              </w:rPr>
            </w:pPr>
            <w:r>
              <w:rPr>
                <w:rFonts w:hint="eastAsia" w:ascii="等线" w:hAnsi="等线" w:eastAsia="等线"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6" w:hRule="atLeast"/>
          <w:jc w:val="center"/>
        </w:trPr>
        <w:tc>
          <w:tcPr>
            <w:tcW w:w="678"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22" w:type="dxa"/>
            <w:vAlign w:val="center"/>
          </w:tcPr>
          <w:p>
            <w:pPr>
              <w:jc w:val="left"/>
              <w:rPr>
                <w:rFonts w:hint="eastAsia" w:ascii="宋体" w:hAnsi="宋体" w:eastAsia="宋体" w:cs="宋体"/>
                <w:color w:val="000000"/>
                <w:kern w:val="0"/>
                <w:sz w:val="20"/>
                <w:szCs w:val="20"/>
                <w:lang w:bidi="ar"/>
              </w:rPr>
            </w:pPr>
            <w:r>
              <w:rPr>
                <w:rFonts w:hint="eastAsia" w:ascii="宋体" w:hAnsi="宋体" w:eastAsia="宋体" w:cs="宋体"/>
                <w:sz w:val="20"/>
              </w:rPr>
              <w:t>中国重汽集团卡车公司AEBS+BSD工站建设项目</w:t>
            </w:r>
          </w:p>
        </w:tc>
        <w:tc>
          <w:tcPr>
            <w:tcW w:w="850" w:type="dxa"/>
            <w:vAlign w:val="center"/>
          </w:tcPr>
          <w:p>
            <w:pPr>
              <w:spacing w:line="360" w:lineRule="auto"/>
              <w:jc w:val="center"/>
              <w:rPr>
                <w:rFonts w:ascii="Times New Roman" w:hAnsi="Times New Roman" w:eastAsia="宋体" w:cs="Times New Roman"/>
                <w:b/>
                <w:szCs w:val="20"/>
              </w:rPr>
            </w:pPr>
            <w:r>
              <w:rPr>
                <w:rFonts w:hint="eastAsia" w:ascii="宋体" w:hAnsi="宋体" w:eastAsia="宋体" w:cs="宋体"/>
                <w:sz w:val="20"/>
              </w:rPr>
              <w:t>4</w:t>
            </w:r>
          </w:p>
        </w:tc>
        <w:tc>
          <w:tcPr>
            <w:tcW w:w="2276" w:type="dxa"/>
            <w:vAlign w:val="center"/>
          </w:tcPr>
          <w:p>
            <w:pPr>
              <w:jc w:val="center"/>
              <w:rPr>
                <w:rFonts w:hint="eastAsia" w:ascii="等线" w:hAnsi="等线" w:eastAsia="等线" w:cs="Times New Roman"/>
                <w:b/>
                <w:szCs w:val="20"/>
              </w:rPr>
            </w:pPr>
            <w:r>
              <w:rPr>
                <w:rFonts w:hint="eastAsia" w:ascii="等线" w:hAnsi="等线" w:eastAsia="等线" w:cs="Times New Roman"/>
                <w:b/>
                <w:szCs w:val="20"/>
              </w:rPr>
              <w:t>不含税价：</w:t>
            </w:r>
          </w:p>
          <w:p>
            <w:pPr>
              <w:jc w:val="center"/>
              <w:rPr>
                <w:rFonts w:hint="eastAsia"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3" w:type="dxa"/>
            <w:vAlign w:val="center"/>
          </w:tcPr>
          <w:p>
            <w:pPr>
              <w:jc w:val="center"/>
              <w:rPr>
                <w:rFonts w:ascii="Times New Roman" w:hAnsi="Times New Roman" w:eastAsia="宋体" w:cs="Times New Roman"/>
                <w:b/>
                <w:szCs w:val="20"/>
              </w:rPr>
            </w:pPr>
          </w:p>
        </w:tc>
        <w:tc>
          <w:tcPr>
            <w:tcW w:w="1246" w:type="dxa"/>
            <w:vAlign w:val="center"/>
          </w:tcPr>
          <w:p>
            <w:pPr>
              <w:jc w:val="center"/>
              <w:rPr>
                <w:rFonts w:ascii="Times New Roman" w:hAnsi="Times New Roman" w:eastAsia="宋体" w:cs="Times New Roman"/>
                <w:b/>
                <w:szCs w:val="20"/>
              </w:rPr>
            </w:pPr>
          </w:p>
        </w:tc>
        <w:tc>
          <w:tcPr>
            <w:tcW w:w="706" w:type="dxa"/>
            <w:vAlign w:val="center"/>
          </w:tcPr>
          <w:p>
            <w:pPr>
              <w:jc w:val="center"/>
              <w:rPr>
                <w:rFonts w:ascii="Times New Roman" w:hAnsi="Times New Roman" w:eastAsia="宋体" w:cs="Times New Roman"/>
                <w:b/>
                <w:szCs w:val="20"/>
              </w:rPr>
            </w:pPr>
          </w:p>
        </w:tc>
        <w:tc>
          <w:tcPr>
            <w:tcW w:w="700" w:type="dxa"/>
            <w:vAlign w:val="center"/>
          </w:tcPr>
          <w:p>
            <w:pPr>
              <w:jc w:val="center"/>
              <w:rPr>
                <w:rFonts w:ascii="Times New Roman" w:hAnsi="Times New Roman" w:eastAsia="宋体" w:cs="Times New Roman"/>
                <w:b/>
                <w:szCs w:val="20"/>
              </w:rPr>
            </w:pPr>
          </w:p>
        </w:tc>
      </w:tr>
    </w:tbl>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numPr>
          <w:ilvl w:val="0"/>
          <w:numId w:val="17"/>
        </w:numPr>
        <w:spacing w:line="520" w:lineRule="exact"/>
        <w:rPr>
          <w:rFonts w:hint="eastAsia" w:ascii="宋体" w:hAnsi="宋体" w:eastAsia="宋体" w:cs="Times New Roman"/>
          <w:b/>
          <w:bCs/>
          <w:szCs w:val="21"/>
        </w:rPr>
      </w:pPr>
      <w:r>
        <w:rPr>
          <w:rFonts w:hint="eastAsia" w:ascii="宋体" w:hAnsi="宋体" w:eastAsia="宋体" w:cs="Times New Roman"/>
          <w:b/>
          <w:bCs/>
          <w:szCs w:val="21"/>
        </w:rPr>
        <w:t>此表中的报价必须与相应的报价明细表中的报价一致。</w:t>
      </w:r>
    </w:p>
    <w:p>
      <w:pPr>
        <w:numPr>
          <w:ilvl w:val="0"/>
          <w:numId w:val="17"/>
        </w:numPr>
        <w:spacing w:line="520" w:lineRule="exact"/>
        <w:rPr>
          <w:rFonts w:hint="eastAsia" w:ascii="宋体" w:hAnsi="宋体" w:eastAsia="宋体" w:cs="Times New Roman"/>
          <w:b/>
          <w:bCs/>
          <w:szCs w:val="21"/>
        </w:rPr>
      </w:pP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hint="eastAsia" w:ascii="宋体" w:hAnsi="宋体" w:eastAsia="宋体" w:cs="宋体"/>
          <w:b/>
          <w:szCs w:val="20"/>
        </w:rPr>
      </w:pPr>
      <w:r>
        <w:rPr>
          <w:rFonts w:hint="eastAsia" w:ascii="宋体" w:hAnsi="宋体" w:eastAsia="宋体" w:cs="宋体"/>
          <w:b/>
          <w:szCs w:val="20"/>
        </w:rPr>
        <w:t>3.需写明含税价、不含税价格、税率。</w:t>
      </w:r>
    </w:p>
    <w:p>
      <w:pPr>
        <w:pStyle w:val="21"/>
        <w:rPr>
          <w:rFonts w:hint="eastAsia"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pStyle w:val="21"/>
        <w:sectPr>
          <w:pgSz w:w="11906" w:h="16838"/>
          <w:pgMar w:top="1588" w:right="1418" w:bottom="1134" w:left="1418" w:header="851" w:footer="992" w:gutter="0"/>
          <w:cols w:space="720" w:num="1"/>
          <w:titlePg/>
          <w:docGrid w:type="lines" w:linePitch="312" w:charSpace="0"/>
        </w:sectPr>
      </w:pPr>
    </w:p>
    <w:p>
      <w:pPr>
        <w:rPr>
          <w:rFonts w:hint="eastAsia" w:ascii="宋体" w:hAnsi="宋体" w:cs="宋体"/>
          <w:color w:val="000000"/>
          <w:sz w:val="24"/>
          <w:szCs w:val="24"/>
        </w:rPr>
      </w:pPr>
    </w:p>
    <w:p>
      <w:pPr>
        <w:pStyle w:val="4"/>
        <w:spacing w:after="0" w:line="240" w:lineRule="auto"/>
        <w:jc w:val="left"/>
        <w:rPr>
          <w:rFonts w:hint="eastAsia"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5"/>
        <w:spacing w:after="0"/>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2"/>
        <w:tblpPr w:leftFromText="180" w:rightFromText="180" w:vertAnchor="text" w:horzAnchor="page" w:tblpXSpec="center" w:tblpY="196"/>
        <w:tblOverlap w:val="never"/>
        <w:tblW w:w="1620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0"/>
        <w:gridCol w:w="2214"/>
        <w:gridCol w:w="1772"/>
        <w:gridCol w:w="2544"/>
        <w:gridCol w:w="973"/>
        <w:gridCol w:w="909"/>
        <w:gridCol w:w="2754"/>
        <w:gridCol w:w="1465"/>
        <w:gridCol w:w="1756"/>
        <w:gridCol w:w="123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jc w:val="center"/>
        </w:trPr>
        <w:tc>
          <w:tcPr>
            <w:tcW w:w="580" w:type="dxa"/>
            <w:vAlign w:val="center"/>
          </w:tcPr>
          <w:p>
            <w:pPr>
              <w:spacing w:before="97" w:line="186" w:lineRule="auto"/>
              <w:ind w:left="304"/>
              <w:jc w:val="center"/>
              <w:rPr>
                <w:rFonts w:hint="eastAsia" w:ascii="宋体" w:hAnsi="宋体" w:eastAsia="宋体" w:cs="宋体"/>
                <w:sz w:val="18"/>
                <w:szCs w:val="18"/>
              </w:rPr>
            </w:pPr>
            <w:r>
              <w:rPr>
                <w:rFonts w:hint="eastAsia" w:ascii="宋体" w:hAnsi="宋体" w:eastAsia="宋体" w:cs="宋体"/>
                <w:sz w:val="18"/>
                <w:szCs w:val="18"/>
              </w:rPr>
              <w:t>1</w:t>
            </w:r>
          </w:p>
        </w:tc>
        <w:tc>
          <w:tcPr>
            <w:tcW w:w="2214" w:type="dxa"/>
            <w:vAlign w:val="center"/>
          </w:tcPr>
          <w:p>
            <w:pPr>
              <w:spacing w:before="98" w:line="185" w:lineRule="auto"/>
              <w:ind w:left="1071"/>
              <w:jc w:val="center"/>
              <w:rPr>
                <w:rFonts w:hint="eastAsia" w:ascii="宋体" w:hAnsi="宋体" w:eastAsia="宋体" w:cs="宋体"/>
                <w:sz w:val="18"/>
                <w:szCs w:val="18"/>
              </w:rPr>
            </w:pPr>
            <w:r>
              <w:rPr>
                <w:rFonts w:hint="eastAsia" w:ascii="宋体" w:hAnsi="宋体" w:eastAsia="宋体" w:cs="宋体"/>
                <w:sz w:val="18"/>
                <w:szCs w:val="18"/>
              </w:rPr>
              <w:t>2</w:t>
            </w:r>
          </w:p>
        </w:tc>
        <w:tc>
          <w:tcPr>
            <w:tcW w:w="1772" w:type="dxa"/>
            <w:vAlign w:val="center"/>
          </w:tcPr>
          <w:p>
            <w:pPr>
              <w:spacing w:before="98" w:line="185" w:lineRule="auto"/>
              <w:jc w:val="center"/>
              <w:rPr>
                <w:rFonts w:hint="eastAsia" w:ascii="宋体" w:hAnsi="宋体" w:eastAsia="宋体" w:cs="宋体"/>
                <w:sz w:val="18"/>
                <w:szCs w:val="18"/>
              </w:rPr>
            </w:pPr>
            <w:r>
              <w:rPr>
                <w:rFonts w:hint="eastAsia" w:ascii="宋体" w:hAnsi="宋体" w:eastAsia="宋体" w:cs="宋体"/>
                <w:sz w:val="18"/>
                <w:szCs w:val="18"/>
              </w:rPr>
              <w:t>3</w:t>
            </w:r>
          </w:p>
        </w:tc>
        <w:tc>
          <w:tcPr>
            <w:tcW w:w="2544" w:type="dxa"/>
            <w:vAlign w:val="center"/>
          </w:tcPr>
          <w:p>
            <w:pPr>
              <w:spacing w:before="99" w:line="183" w:lineRule="auto"/>
              <w:jc w:val="center"/>
              <w:rPr>
                <w:rFonts w:hint="eastAsia" w:ascii="宋体" w:hAnsi="宋体" w:eastAsia="宋体" w:cs="宋体"/>
                <w:sz w:val="18"/>
                <w:szCs w:val="18"/>
              </w:rPr>
            </w:pPr>
            <w:r>
              <w:rPr>
                <w:rFonts w:hint="eastAsia" w:ascii="宋体" w:hAnsi="宋体" w:eastAsia="宋体" w:cs="宋体"/>
                <w:sz w:val="18"/>
                <w:szCs w:val="18"/>
              </w:rPr>
              <w:t>4</w:t>
            </w:r>
          </w:p>
        </w:tc>
        <w:tc>
          <w:tcPr>
            <w:tcW w:w="973" w:type="dxa"/>
            <w:vAlign w:val="center"/>
          </w:tcPr>
          <w:p>
            <w:pPr>
              <w:spacing w:before="98" w:line="185" w:lineRule="auto"/>
              <w:jc w:val="center"/>
              <w:rPr>
                <w:rFonts w:hint="eastAsia" w:ascii="宋体" w:hAnsi="宋体" w:eastAsia="宋体" w:cs="宋体"/>
                <w:sz w:val="18"/>
                <w:szCs w:val="18"/>
              </w:rPr>
            </w:pPr>
            <w:r>
              <w:rPr>
                <w:rFonts w:hint="eastAsia" w:ascii="宋体" w:hAnsi="宋体" w:eastAsia="宋体" w:cs="宋体"/>
                <w:sz w:val="18"/>
                <w:szCs w:val="18"/>
              </w:rPr>
              <w:t>5</w:t>
            </w:r>
          </w:p>
        </w:tc>
        <w:tc>
          <w:tcPr>
            <w:tcW w:w="909" w:type="dxa"/>
            <w:vAlign w:val="center"/>
          </w:tcPr>
          <w:p>
            <w:pPr>
              <w:spacing w:before="100" w:line="182" w:lineRule="auto"/>
              <w:jc w:val="center"/>
              <w:rPr>
                <w:rFonts w:hint="eastAsia" w:ascii="宋体" w:hAnsi="宋体" w:eastAsia="宋体" w:cs="宋体"/>
                <w:sz w:val="18"/>
                <w:szCs w:val="18"/>
              </w:rPr>
            </w:pPr>
            <w:r>
              <w:rPr>
                <w:rFonts w:hint="eastAsia" w:ascii="宋体" w:hAnsi="宋体" w:eastAsia="宋体" w:cs="宋体"/>
                <w:sz w:val="18"/>
                <w:szCs w:val="18"/>
              </w:rPr>
              <w:t>6</w:t>
            </w:r>
          </w:p>
        </w:tc>
        <w:tc>
          <w:tcPr>
            <w:tcW w:w="2754" w:type="dxa"/>
            <w:tcBorders>
              <w:left w:val="single" w:color="000000" w:sz="4" w:space="0"/>
            </w:tcBorders>
            <w:vAlign w:val="center"/>
          </w:tcPr>
          <w:p>
            <w:pPr>
              <w:spacing w:before="100" w:line="182" w:lineRule="auto"/>
              <w:ind w:left="1007"/>
              <w:jc w:val="center"/>
              <w:rPr>
                <w:rFonts w:hint="eastAsia" w:ascii="宋体" w:hAnsi="宋体" w:eastAsia="宋体" w:cs="宋体"/>
                <w:sz w:val="18"/>
                <w:szCs w:val="18"/>
              </w:rPr>
            </w:pPr>
            <w:r>
              <w:rPr>
                <w:rFonts w:hint="eastAsia" w:ascii="宋体" w:hAnsi="宋体" w:eastAsia="宋体" w:cs="宋体"/>
                <w:sz w:val="18"/>
                <w:szCs w:val="18"/>
              </w:rPr>
              <w:t>7</w:t>
            </w:r>
          </w:p>
        </w:tc>
        <w:tc>
          <w:tcPr>
            <w:tcW w:w="1465" w:type="dxa"/>
            <w:vAlign w:val="center"/>
          </w:tcPr>
          <w:p>
            <w:pPr>
              <w:spacing w:before="100" w:line="182" w:lineRule="auto"/>
              <w:jc w:val="center"/>
              <w:rPr>
                <w:rFonts w:hint="eastAsia" w:ascii="宋体" w:hAnsi="宋体" w:eastAsia="宋体" w:cs="宋体"/>
                <w:sz w:val="18"/>
                <w:szCs w:val="18"/>
              </w:rPr>
            </w:pPr>
            <w:r>
              <w:rPr>
                <w:rFonts w:hint="eastAsia" w:ascii="宋体" w:hAnsi="宋体" w:eastAsia="宋体" w:cs="宋体"/>
                <w:sz w:val="18"/>
                <w:szCs w:val="18"/>
              </w:rPr>
              <w:t>8</w:t>
            </w:r>
          </w:p>
        </w:tc>
        <w:tc>
          <w:tcPr>
            <w:tcW w:w="1756" w:type="dxa"/>
            <w:vAlign w:val="center"/>
          </w:tcPr>
          <w:p>
            <w:pPr>
              <w:spacing w:before="100" w:line="182" w:lineRule="auto"/>
              <w:jc w:val="center"/>
              <w:rPr>
                <w:rFonts w:hint="eastAsia" w:ascii="宋体" w:hAnsi="宋体" w:eastAsia="宋体" w:cs="宋体"/>
                <w:sz w:val="18"/>
                <w:szCs w:val="18"/>
              </w:rPr>
            </w:pPr>
            <w:r>
              <w:rPr>
                <w:rFonts w:hint="eastAsia" w:ascii="宋体" w:hAnsi="宋体" w:eastAsia="宋体" w:cs="宋体"/>
                <w:sz w:val="18"/>
                <w:szCs w:val="18"/>
              </w:rPr>
              <w:t>9</w:t>
            </w:r>
          </w:p>
        </w:tc>
        <w:tc>
          <w:tcPr>
            <w:tcW w:w="1238" w:type="dxa"/>
            <w:vAlign w:val="center"/>
          </w:tcPr>
          <w:p>
            <w:pPr>
              <w:spacing w:before="99" w:line="183" w:lineRule="auto"/>
              <w:jc w:val="center"/>
              <w:rPr>
                <w:rFonts w:hint="eastAsia" w:ascii="宋体" w:hAnsi="宋体" w:eastAsia="宋体" w:cs="宋体"/>
                <w:sz w:val="18"/>
                <w:szCs w:val="18"/>
              </w:rPr>
            </w:pPr>
            <w:r>
              <w:rPr>
                <w:rFonts w:hint="eastAsia" w:ascii="宋体" w:hAnsi="宋体" w:eastAsia="宋体" w:cs="宋体"/>
                <w:sz w:val="18"/>
                <w:szCs w:val="18"/>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jc w:val="center"/>
        </w:trPr>
        <w:tc>
          <w:tcPr>
            <w:tcW w:w="580" w:type="dxa"/>
            <w:vAlign w:val="center"/>
          </w:tcPr>
          <w:p>
            <w:pPr>
              <w:spacing w:line="221" w:lineRule="auto"/>
              <w:jc w:val="center"/>
              <w:rPr>
                <w:rFonts w:hint="eastAsia" w:ascii="宋体" w:hAnsi="宋体" w:eastAsia="宋体" w:cs="宋体"/>
                <w:b/>
                <w:bCs/>
                <w:spacing w:val="-1"/>
                <w:sz w:val="18"/>
                <w:szCs w:val="18"/>
              </w:rPr>
            </w:pPr>
            <w:r>
              <w:rPr>
                <w:rFonts w:hint="eastAsia" w:ascii="宋体" w:hAnsi="宋体" w:eastAsia="宋体" w:cs="宋体"/>
                <w:b/>
                <w:bCs/>
                <w:spacing w:val="-1"/>
                <w:sz w:val="18"/>
                <w:szCs w:val="18"/>
              </w:rPr>
              <w:t>序号</w:t>
            </w:r>
          </w:p>
        </w:tc>
        <w:tc>
          <w:tcPr>
            <w:tcW w:w="2214" w:type="dxa"/>
            <w:vAlign w:val="center"/>
          </w:tcPr>
          <w:p>
            <w:pPr>
              <w:spacing w:line="221" w:lineRule="auto"/>
              <w:jc w:val="center"/>
              <w:rPr>
                <w:rFonts w:hint="eastAsia" w:ascii="宋体" w:hAnsi="宋体" w:eastAsia="宋体" w:cs="宋体"/>
                <w:b/>
                <w:bCs/>
                <w:spacing w:val="-1"/>
                <w:sz w:val="18"/>
                <w:szCs w:val="18"/>
              </w:rPr>
            </w:pPr>
            <w:r>
              <w:rPr>
                <w:rFonts w:hint="eastAsia" w:ascii="宋体" w:hAnsi="宋体" w:eastAsia="宋体" w:cs="宋体"/>
                <w:b/>
                <w:bCs/>
                <w:spacing w:val="-1"/>
                <w:sz w:val="18"/>
                <w:szCs w:val="18"/>
              </w:rPr>
              <w:t>货物名称</w:t>
            </w:r>
          </w:p>
        </w:tc>
        <w:tc>
          <w:tcPr>
            <w:tcW w:w="1772" w:type="dxa"/>
            <w:vAlign w:val="center"/>
          </w:tcPr>
          <w:p>
            <w:pPr>
              <w:spacing w:line="221" w:lineRule="auto"/>
              <w:jc w:val="center"/>
              <w:rPr>
                <w:rFonts w:hint="eastAsia" w:ascii="宋体" w:hAnsi="宋体" w:eastAsia="宋体" w:cs="宋体"/>
                <w:b/>
                <w:bCs/>
                <w:spacing w:val="-1"/>
                <w:sz w:val="18"/>
                <w:szCs w:val="18"/>
              </w:rPr>
            </w:pPr>
            <w:r>
              <w:rPr>
                <w:rFonts w:hint="eastAsia" w:ascii="宋体" w:hAnsi="宋体" w:eastAsia="宋体" w:cs="宋体"/>
                <w:b/>
                <w:bCs/>
                <w:spacing w:val="-1"/>
                <w:sz w:val="18"/>
                <w:szCs w:val="18"/>
              </w:rPr>
              <w:t>工序和工艺要求</w:t>
            </w:r>
          </w:p>
        </w:tc>
        <w:tc>
          <w:tcPr>
            <w:tcW w:w="2544" w:type="dxa"/>
            <w:vAlign w:val="center"/>
          </w:tcPr>
          <w:p>
            <w:pPr>
              <w:spacing w:line="221" w:lineRule="auto"/>
              <w:jc w:val="center"/>
              <w:rPr>
                <w:rFonts w:hint="eastAsia" w:ascii="宋体" w:hAnsi="宋体" w:eastAsia="宋体" w:cs="宋体"/>
                <w:spacing w:val="-1"/>
                <w:sz w:val="18"/>
                <w:szCs w:val="18"/>
              </w:rPr>
            </w:pPr>
            <w:r>
              <w:rPr>
                <w:rFonts w:hint="eastAsia" w:ascii="宋体" w:hAnsi="宋体" w:eastAsia="宋体" w:cs="宋体"/>
                <w:spacing w:val="-1"/>
                <w:sz w:val="18"/>
                <w:szCs w:val="18"/>
              </w:rPr>
              <w:t>型号和规格</w:t>
            </w:r>
          </w:p>
        </w:tc>
        <w:tc>
          <w:tcPr>
            <w:tcW w:w="973" w:type="dxa"/>
            <w:vAlign w:val="center"/>
          </w:tcPr>
          <w:p>
            <w:pPr>
              <w:spacing w:line="221" w:lineRule="auto"/>
              <w:jc w:val="center"/>
              <w:rPr>
                <w:rFonts w:hint="eastAsia" w:ascii="宋体" w:hAnsi="宋体" w:eastAsia="宋体" w:cs="宋体"/>
                <w:spacing w:val="-1"/>
                <w:sz w:val="18"/>
                <w:szCs w:val="18"/>
              </w:rPr>
            </w:pPr>
            <w:r>
              <w:rPr>
                <w:rFonts w:hint="eastAsia" w:ascii="宋体" w:hAnsi="宋体" w:eastAsia="宋体" w:cs="宋体"/>
                <w:spacing w:val="-1"/>
                <w:sz w:val="18"/>
                <w:szCs w:val="18"/>
              </w:rPr>
              <w:t>数量</w:t>
            </w:r>
          </w:p>
        </w:tc>
        <w:tc>
          <w:tcPr>
            <w:tcW w:w="909" w:type="dxa"/>
            <w:vAlign w:val="center"/>
          </w:tcPr>
          <w:p>
            <w:pPr>
              <w:spacing w:line="221" w:lineRule="auto"/>
              <w:jc w:val="center"/>
              <w:rPr>
                <w:rFonts w:hint="eastAsia" w:ascii="宋体" w:hAnsi="宋体" w:eastAsia="宋体" w:cs="宋体"/>
                <w:spacing w:val="-1"/>
                <w:sz w:val="18"/>
                <w:szCs w:val="18"/>
              </w:rPr>
            </w:pPr>
            <w:r>
              <w:rPr>
                <w:rFonts w:hint="eastAsia" w:ascii="宋体" w:hAnsi="宋体" w:eastAsia="宋体" w:cs="宋体"/>
                <w:spacing w:val="-1"/>
                <w:sz w:val="18"/>
                <w:szCs w:val="18"/>
              </w:rPr>
              <w:t>单位</w:t>
            </w:r>
          </w:p>
        </w:tc>
        <w:tc>
          <w:tcPr>
            <w:tcW w:w="2754" w:type="dxa"/>
            <w:tcBorders>
              <w:left w:val="single" w:color="000000" w:sz="4" w:space="0"/>
            </w:tcBorders>
            <w:vAlign w:val="center"/>
          </w:tcPr>
          <w:p>
            <w:pPr>
              <w:spacing w:line="221" w:lineRule="auto"/>
              <w:jc w:val="center"/>
              <w:rPr>
                <w:rFonts w:hint="eastAsia" w:ascii="宋体" w:hAnsi="宋体" w:eastAsia="宋体" w:cs="宋体"/>
                <w:spacing w:val="-1"/>
                <w:sz w:val="18"/>
                <w:szCs w:val="18"/>
              </w:rPr>
            </w:pPr>
            <w:r>
              <w:rPr>
                <w:rFonts w:hint="eastAsia" w:ascii="宋体" w:hAnsi="宋体" w:eastAsia="宋体" w:cs="宋体"/>
                <w:spacing w:val="-1"/>
                <w:sz w:val="18"/>
                <w:szCs w:val="18"/>
              </w:rPr>
              <w:t>原产地和制造商名称</w:t>
            </w:r>
          </w:p>
        </w:tc>
        <w:tc>
          <w:tcPr>
            <w:tcW w:w="1465" w:type="dxa"/>
            <w:vAlign w:val="center"/>
          </w:tcPr>
          <w:p>
            <w:pPr>
              <w:spacing w:line="221" w:lineRule="auto"/>
              <w:jc w:val="center"/>
              <w:rPr>
                <w:rFonts w:hint="eastAsia" w:ascii="宋体" w:hAnsi="宋体" w:eastAsia="宋体" w:cs="宋体"/>
                <w:spacing w:val="-1"/>
                <w:sz w:val="18"/>
                <w:szCs w:val="18"/>
              </w:rPr>
            </w:pPr>
            <w:r>
              <w:rPr>
                <w:rFonts w:hint="eastAsia" w:ascii="宋体" w:hAnsi="宋体" w:eastAsia="宋体" w:cs="宋体"/>
                <w:spacing w:val="-1"/>
                <w:sz w:val="18"/>
                <w:szCs w:val="18"/>
              </w:rPr>
              <w:t>单价（不含税）</w:t>
            </w:r>
          </w:p>
          <w:p>
            <w:pPr>
              <w:spacing w:line="221" w:lineRule="auto"/>
              <w:jc w:val="center"/>
              <w:rPr>
                <w:rFonts w:hint="eastAsia" w:ascii="宋体" w:hAnsi="宋体" w:eastAsia="宋体" w:cs="宋体"/>
                <w:spacing w:val="-1"/>
                <w:sz w:val="18"/>
                <w:szCs w:val="18"/>
              </w:rPr>
            </w:pPr>
            <w:r>
              <w:rPr>
                <w:rFonts w:hint="eastAsia" w:ascii="宋体" w:hAnsi="宋体" w:eastAsia="宋体" w:cs="宋体"/>
                <w:spacing w:val="-1"/>
                <w:sz w:val="18"/>
                <w:szCs w:val="18"/>
              </w:rPr>
              <w:t>(元)</w:t>
            </w:r>
          </w:p>
        </w:tc>
        <w:tc>
          <w:tcPr>
            <w:tcW w:w="1756" w:type="dxa"/>
            <w:vAlign w:val="center"/>
          </w:tcPr>
          <w:p>
            <w:pPr>
              <w:spacing w:line="221" w:lineRule="auto"/>
              <w:jc w:val="center"/>
              <w:rPr>
                <w:rFonts w:hint="eastAsia" w:ascii="宋体" w:hAnsi="宋体" w:eastAsia="宋体" w:cs="宋体"/>
                <w:spacing w:val="-1"/>
                <w:sz w:val="18"/>
                <w:szCs w:val="18"/>
              </w:rPr>
            </w:pPr>
            <w:r>
              <w:rPr>
                <w:rFonts w:hint="eastAsia" w:ascii="宋体" w:hAnsi="宋体" w:eastAsia="宋体" w:cs="宋体"/>
                <w:spacing w:val="-1"/>
                <w:sz w:val="18"/>
                <w:szCs w:val="18"/>
              </w:rPr>
              <w:t>总价[4×7]（不含税）(元)</w:t>
            </w:r>
          </w:p>
        </w:tc>
        <w:tc>
          <w:tcPr>
            <w:tcW w:w="1238" w:type="dxa"/>
            <w:vAlign w:val="center"/>
          </w:tcPr>
          <w:p>
            <w:pPr>
              <w:spacing w:line="221" w:lineRule="auto"/>
              <w:jc w:val="center"/>
              <w:rPr>
                <w:rFonts w:hint="eastAsia" w:ascii="宋体" w:hAnsi="宋体" w:eastAsia="宋体" w:cs="宋体"/>
                <w:spacing w:val="-1"/>
                <w:sz w:val="18"/>
                <w:szCs w:val="18"/>
              </w:rPr>
            </w:pPr>
            <w:r>
              <w:rPr>
                <w:rFonts w:hint="eastAsia" w:ascii="宋体" w:hAnsi="宋体" w:eastAsia="宋体" w:cs="宋体"/>
                <w:spacing w:val="-1"/>
                <w:sz w:val="18"/>
                <w:szCs w:val="18"/>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16205" w:type="dxa"/>
            <w:gridSpan w:val="10"/>
            <w:vAlign w:val="center"/>
          </w:tcPr>
          <w:p>
            <w:pPr>
              <w:jc w:val="center"/>
              <w:rPr>
                <w:rFonts w:hint="eastAsia" w:ascii="宋体" w:hAnsi="宋体" w:eastAsia="宋体" w:cs="宋体"/>
                <w:sz w:val="18"/>
                <w:szCs w:val="18"/>
              </w:rPr>
            </w:pPr>
            <w:r>
              <w:rPr>
                <w:rFonts w:hint="eastAsia" w:ascii="宋体" w:hAnsi="宋体" w:eastAsia="宋体" w:cs="宋体"/>
                <w:b/>
                <w:bCs/>
                <w:sz w:val="18"/>
                <w:szCs w:val="18"/>
              </w:rPr>
              <w:t>一、</w:t>
            </w:r>
            <w:r>
              <w:rPr>
                <w:rFonts w:hint="eastAsia" w:ascii="宋体" w:hAnsi="宋体" w:eastAsia="宋体" w:cs="宋体"/>
                <w:sz w:val="20"/>
              </w:rPr>
              <w:t>中国重汽集团卡车公司AEBS+BSD工站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580" w:type="dxa"/>
            <w:vAlign w:val="center"/>
          </w:tcPr>
          <w:p>
            <w:pPr>
              <w:pStyle w:val="130"/>
              <w:adjustRightInd w:val="0"/>
              <w:snapToGrid w:val="0"/>
              <w:ind w:firstLine="0" w:firstLineChars="0"/>
              <w:jc w:val="center"/>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1</w:t>
            </w:r>
          </w:p>
        </w:tc>
        <w:tc>
          <w:tcPr>
            <w:tcW w:w="2214" w:type="dxa"/>
            <w:vAlign w:val="center"/>
          </w:tcPr>
          <w:p>
            <w:pPr>
              <w:widowControl/>
              <w:jc w:val="center"/>
              <w:textAlignment w:val="center"/>
              <w:rPr>
                <w:rFonts w:hint="eastAsia" w:ascii="宋体" w:hAnsi="宋体" w:eastAsia="宋体" w:cs="宋体"/>
                <w:b/>
                <w:bCs/>
                <w:color w:val="000000"/>
                <w:kern w:val="0"/>
                <w:sz w:val="18"/>
                <w:szCs w:val="18"/>
                <w:lang w:bidi="ar"/>
              </w:rPr>
            </w:pPr>
            <w:r>
              <w:rPr>
                <w:rFonts w:hint="eastAsia" w:ascii="宋体" w:hAnsi="宋体" w:eastAsia="宋体" w:cs="宋体"/>
                <w:color w:val="000000"/>
                <w:sz w:val="18"/>
                <w:szCs w:val="18"/>
              </w:rPr>
              <w:t>AEBS标定工站</w:t>
            </w:r>
          </w:p>
        </w:tc>
        <w:tc>
          <w:tcPr>
            <w:tcW w:w="1772" w:type="dxa"/>
            <w:vMerge w:val="restart"/>
            <w:vAlign w:val="center"/>
          </w:tcPr>
          <w:p>
            <w:pPr>
              <w:widowControl/>
              <w:jc w:val="center"/>
              <w:textAlignment w:val="center"/>
              <w:rPr>
                <w:rFonts w:hint="eastAsia" w:ascii="宋体" w:hAnsi="宋体" w:eastAsia="宋体" w:cs="宋体"/>
                <w:b/>
                <w:bCs/>
                <w:color w:val="000000"/>
                <w:kern w:val="0"/>
                <w:sz w:val="18"/>
                <w:szCs w:val="18"/>
                <w:lang w:bidi="ar"/>
              </w:rPr>
            </w:pPr>
            <w:bookmarkStart w:id="44" w:name="OLE_LINK6"/>
            <w:r>
              <w:rPr>
                <w:rFonts w:hint="eastAsia" w:ascii="宋体" w:hAnsi="宋体" w:eastAsia="宋体" w:cs="宋体"/>
                <w:color w:val="000000"/>
                <w:kern w:val="0"/>
                <w:sz w:val="18"/>
                <w:szCs w:val="18"/>
                <w:lang w:bidi="ar"/>
              </w:rPr>
              <w:t>调试车间</w:t>
            </w:r>
            <w:bookmarkEnd w:id="44"/>
          </w:p>
        </w:tc>
        <w:tc>
          <w:tcPr>
            <w:tcW w:w="2544" w:type="dxa"/>
            <w:vAlign w:val="center"/>
          </w:tcPr>
          <w:p>
            <w:pPr>
              <w:jc w:val="center"/>
              <w:rPr>
                <w:rFonts w:hint="eastAsia" w:ascii="宋体" w:hAnsi="宋体" w:eastAsia="宋体" w:cs="宋体"/>
                <w:b/>
                <w:bCs/>
                <w:sz w:val="18"/>
                <w:szCs w:val="18"/>
              </w:rPr>
            </w:pPr>
          </w:p>
        </w:tc>
        <w:tc>
          <w:tcPr>
            <w:tcW w:w="973" w:type="dxa"/>
            <w:vAlign w:val="center"/>
          </w:tcPr>
          <w:p>
            <w:pPr>
              <w:jc w:val="center"/>
              <w:rPr>
                <w:rFonts w:hint="eastAsia" w:ascii="宋体" w:hAnsi="宋体" w:eastAsia="宋体" w:cs="宋体"/>
                <w:b/>
                <w:bCs/>
                <w:sz w:val="18"/>
                <w:szCs w:val="18"/>
              </w:rPr>
            </w:pPr>
            <w:r>
              <w:rPr>
                <w:rFonts w:hint="eastAsia" w:ascii="宋体" w:hAnsi="宋体" w:eastAsia="宋体" w:cs="宋体"/>
                <w:b/>
                <w:bCs/>
                <w:sz w:val="18"/>
                <w:szCs w:val="18"/>
              </w:rPr>
              <w:t>4</w:t>
            </w:r>
          </w:p>
        </w:tc>
        <w:tc>
          <w:tcPr>
            <w:tcW w:w="909" w:type="dxa"/>
            <w:vAlign w:val="center"/>
          </w:tcPr>
          <w:p>
            <w:pPr>
              <w:jc w:val="center"/>
              <w:rPr>
                <w:rFonts w:hint="eastAsia" w:ascii="宋体" w:hAnsi="宋体" w:eastAsia="宋体" w:cs="宋体"/>
                <w:b/>
                <w:bCs/>
                <w:sz w:val="18"/>
                <w:szCs w:val="18"/>
              </w:rPr>
            </w:pPr>
            <w:r>
              <w:rPr>
                <w:rFonts w:hint="eastAsia" w:ascii="宋体" w:hAnsi="宋体" w:eastAsia="宋体" w:cs="宋体"/>
                <w:b/>
                <w:bCs/>
                <w:sz w:val="18"/>
                <w:szCs w:val="18"/>
              </w:rPr>
              <w:t>套</w:t>
            </w:r>
          </w:p>
        </w:tc>
        <w:tc>
          <w:tcPr>
            <w:tcW w:w="2754" w:type="dxa"/>
            <w:tcBorders>
              <w:left w:val="single" w:color="000000" w:sz="4" w:space="0"/>
            </w:tcBorders>
            <w:vAlign w:val="center"/>
          </w:tcPr>
          <w:p>
            <w:pPr>
              <w:jc w:val="center"/>
              <w:rPr>
                <w:rFonts w:hint="eastAsia" w:ascii="宋体" w:hAnsi="宋体" w:eastAsia="宋体" w:cs="宋体"/>
                <w:b/>
                <w:bCs/>
                <w:sz w:val="18"/>
                <w:szCs w:val="18"/>
              </w:rPr>
            </w:pPr>
          </w:p>
        </w:tc>
        <w:tc>
          <w:tcPr>
            <w:tcW w:w="1465" w:type="dxa"/>
            <w:vAlign w:val="center"/>
          </w:tcPr>
          <w:p>
            <w:pPr>
              <w:jc w:val="center"/>
              <w:rPr>
                <w:rFonts w:hint="eastAsia" w:ascii="宋体" w:hAnsi="宋体" w:eastAsia="宋体" w:cs="宋体"/>
                <w:b/>
                <w:bCs/>
                <w:sz w:val="18"/>
                <w:szCs w:val="18"/>
              </w:rPr>
            </w:pPr>
          </w:p>
        </w:tc>
        <w:tc>
          <w:tcPr>
            <w:tcW w:w="1756" w:type="dxa"/>
            <w:vAlign w:val="center"/>
          </w:tcPr>
          <w:p>
            <w:pPr>
              <w:jc w:val="center"/>
              <w:rPr>
                <w:rFonts w:hint="eastAsia" w:ascii="宋体" w:hAnsi="宋体" w:eastAsia="宋体" w:cs="宋体"/>
                <w:b/>
                <w:bCs/>
                <w:sz w:val="18"/>
                <w:szCs w:val="18"/>
              </w:rPr>
            </w:pPr>
          </w:p>
        </w:tc>
        <w:tc>
          <w:tcPr>
            <w:tcW w:w="1238" w:type="dxa"/>
            <w:vAlign w:val="center"/>
          </w:tcPr>
          <w:p>
            <w:pPr>
              <w:jc w:val="center"/>
              <w:rPr>
                <w:rFonts w:hint="eastAsia" w:ascii="宋体" w:hAnsi="宋体" w:eastAsia="宋体" w:cs="宋体"/>
                <w:b/>
                <w:bCs/>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580" w:type="dxa"/>
            <w:vAlign w:val="center"/>
          </w:tcPr>
          <w:p>
            <w:pPr>
              <w:pStyle w:val="130"/>
              <w:adjustRightInd w:val="0"/>
              <w:snapToGrid w:val="0"/>
              <w:ind w:firstLine="0" w:firstLineChars="0"/>
              <w:jc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1.1</w:t>
            </w:r>
          </w:p>
        </w:tc>
        <w:tc>
          <w:tcPr>
            <w:tcW w:w="2214" w:type="dxa"/>
            <w:vAlign w:val="center"/>
          </w:tcPr>
          <w:p>
            <w:pPr>
              <w:widowControl/>
              <w:jc w:val="center"/>
              <w:textAlignment w:val="center"/>
              <w:rPr>
                <w:rFonts w:hint="eastAsia" w:ascii="宋体" w:hAnsi="宋体" w:eastAsia="宋体" w:cs="宋体"/>
                <w:color w:val="000000"/>
                <w:kern w:val="0"/>
                <w:sz w:val="18"/>
                <w:szCs w:val="18"/>
                <w:lang w:bidi="ar"/>
              </w:rPr>
            </w:pPr>
          </w:p>
        </w:tc>
        <w:tc>
          <w:tcPr>
            <w:tcW w:w="1772" w:type="dxa"/>
            <w:vMerge w:val="continue"/>
            <w:vAlign w:val="center"/>
          </w:tcPr>
          <w:p>
            <w:pPr>
              <w:widowControl/>
              <w:jc w:val="center"/>
              <w:textAlignment w:val="center"/>
              <w:rPr>
                <w:rFonts w:hint="eastAsia" w:ascii="宋体" w:hAnsi="宋体" w:eastAsia="宋体" w:cs="宋体"/>
                <w:color w:val="000000"/>
                <w:kern w:val="0"/>
                <w:sz w:val="18"/>
                <w:szCs w:val="18"/>
                <w:lang w:bidi="ar"/>
              </w:rPr>
            </w:pPr>
          </w:p>
        </w:tc>
        <w:tc>
          <w:tcPr>
            <w:tcW w:w="2544" w:type="dxa"/>
            <w:vAlign w:val="center"/>
          </w:tcPr>
          <w:p>
            <w:pPr>
              <w:jc w:val="center"/>
              <w:rPr>
                <w:rFonts w:hint="eastAsia" w:ascii="宋体" w:hAnsi="宋体" w:eastAsia="宋体" w:cs="宋体"/>
                <w:sz w:val="18"/>
                <w:szCs w:val="18"/>
              </w:rPr>
            </w:pPr>
          </w:p>
        </w:tc>
        <w:tc>
          <w:tcPr>
            <w:tcW w:w="973" w:type="dxa"/>
            <w:vAlign w:val="center"/>
          </w:tcPr>
          <w:p>
            <w:pPr>
              <w:jc w:val="center"/>
              <w:rPr>
                <w:rFonts w:hint="eastAsia" w:ascii="宋体" w:hAnsi="宋体" w:eastAsia="宋体" w:cs="宋体"/>
                <w:sz w:val="18"/>
                <w:szCs w:val="18"/>
              </w:rPr>
            </w:pPr>
          </w:p>
        </w:tc>
        <w:tc>
          <w:tcPr>
            <w:tcW w:w="909" w:type="dxa"/>
            <w:vAlign w:val="center"/>
          </w:tcPr>
          <w:p>
            <w:pPr>
              <w:jc w:val="center"/>
              <w:rPr>
                <w:rFonts w:hint="eastAsia" w:ascii="宋体" w:hAnsi="宋体" w:eastAsia="宋体" w:cs="宋体"/>
                <w:sz w:val="18"/>
                <w:szCs w:val="18"/>
              </w:rPr>
            </w:pPr>
          </w:p>
        </w:tc>
        <w:tc>
          <w:tcPr>
            <w:tcW w:w="2754" w:type="dxa"/>
            <w:tcBorders>
              <w:left w:val="single" w:color="000000" w:sz="4" w:space="0"/>
            </w:tcBorders>
            <w:vAlign w:val="center"/>
          </w:tcPr>
          <w:p>
            <w:pPr>
              <w:jc w:val="center"/>
              <w:rPr>
                <w:rFonts w:hint="eastAsia" w:ascii="宋体" w:hAnsi="宋体" w:eastAsia="宋体" w:cs="宋体"/>
                <w:sz w:val="18"/>
                <w:szCs w:val="18"/>
              </w:rPr>
            </w:pPr>
          </w:p>
        </w:tc>
        <w:tc>
          <w:tcPr>
            <w:tcW w:w="1465" w:type="dxa"/>
            <w:vAlign w:val="center"/>
          </w:tcPr>
          <w:p>
            <w:pPr>
              <w:jc w:val="center"/>
              <w:rPr>
                <w:rFonts w:hint="eastAsia" w:ascii="宋体" w:hAnsi="宋体" w:eastAsia="宋体" w:cs="宋体"/>
                <w:sz w:val="18"/>
                <w:szCs w:val="18"/>
              </w:rPr>
            </w:pPr>
          </w:p>
        </w:tc>
        <w:tc>
          <w:tcPr>
            <w:tcW w:w="1756" w:type="dxa"/>
            <w:vAlign w:val="center"/>
          </w:tcPr>
          <w:p>
            <w:pPr>
              <w:jc w:val="center"/>
              <w:rPr>
                <w:rFonts w:hint="eastAsia" w:ascii="宋体" w:hAnsi="宋体" w:eastAsia="宋体" w:cs="宋体"/>
                <w:sz w:val="18"/>
                <w:szCs w:val="18"/>
              </w:rPr>
            </w:pPr>
          </w:p>
        </w:tc>
        <w:tc>
          <w:tcPr>
            <w:tcW w:w="1238" w:type="dxa"/>
            <w:vAlign w:val="center"/>
          </w:tcPr>
          <w:p>
            <w:pPr>
              <w:jc w:val="center"/>
              <w:rPr>
                <w:rFonts w:hint="eastAsia" w:ascii="宋体" w:hAnsi="宋体" w:eastAsia="宋体" w:cs="宋体"/>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580" w:type="dxa"/>
            <w:vAlign w:val="center"/>
          </w:tcPr>
          <w:p>
            <w:pPr>
              <w:pStyle w:val="130"/>
              <w:adjustRightInd w:val="0"/>
              <w:snapToGrid w:val="0"/>
              <w:ind w:firstLine="0" w:firstLineChars="0"/>
              <w:jc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1.2</w:t>
            </w:r>
          </w:p>
        </w:tc>
        <w:tc>
          <w:tcPr>
            <w:tcW w:w="2214" w:type="dxa"/>
            <w:vAlign w:val="center"/>
          </w:tcPr>
          <w:p>
            <w:pPr>
              <w:overflowPunct w:val="0"/>
              <w:jc w:val="center"/>
              <w:rPr>
                <w:rFonts w:hint="eastAsia" w:ascii="宋体" w:hAnsi="宋体" w:eastAsia="宋体" w:cs="宋体"/>
                <w:bCs/>
                <w:sz w:val="18"/>
                <w:szCs w:val="18"/>
              </w:rPr>
            </w:pPr>
          </w:p>
        </w:tc>
        <w:tc>
          <w:tcPr>
            <w:tcW w:w="1772" w:type="dxa"/>
            <w:vMerge w:val="continue"/>
            <w:vAlign w:val="center"/>
          </w:tcPr>
          <w:p>
            <w:pPr>
              <w:widowControl/>
              <w:jc w:val="center"/>
              <w:textAlignment w:val="center"/>
              <w:rPr>
                <w:rFonts w:hint="eastAsia" w:ascii="宋体" w:hAnsi="宋体" w:eastAsia="宋体" w:cs="宋体"/>
                <w:color w:val="000000"/>
                <w:kern w:val="0"/>
                <w:sz w:val="18"/>
                <w:szCs w:val="18"/>
                <w:lang w:bidi="ar"/>
              </w:rPr>
            </w:pPr>
          </w:p>
        </w:tc>
        <w:tc>
          <w:tcPr>
            <w:tcW w:w="2544" w:type="dxa"/>
            <w:vAlign w:val="center"/>
          </w:tcPr>
          <w:p>
            <w:pPr>
              <w:jc w:val="center"/>
              <w:rPr>
                <w:rFonts w:hint="eastAsia" w:ascii="宋体" w:hAnsi="宋体" w:eastAsia="宋体" w:cs="宋体"/>
                <w:sz w:val="18"/>
                <w:szCs w:val="18"/>
              </w:rPr>
            </w:pPr>
          </w:p>
        </w:tc>
        <w:tc>
          <w:tcPr>
            <w:tcW w:w="973" w:type="dxa"/>
            <w:vAlign w:val="center"/>
          </w:tcPr>
          <w:p>
            <w:pPr>
              <w:jc w:val="center"/>
              <w:rPr>
                <w:rFonts w:hint="eastAsia" w:ascii="宋体" w:hAnsi="宋体" w:eastAsia="宋体" w:cs="宋体"/>
                <w:sz w:val="18"/>
                <w:szCs w:val="18"/>
              </w:rPr>
            </w:pPr>
          </w:p>
        </w:tc>
        <w:tc>
          <w:tcPr>
            <w:tcW w:w="909" w:type="dxa"/>
            <w:vAlign w:val="center"/>
          </w:tcPr>
          <w:p>
            <w:pPr>
              <w:jc w:val="center"/>
              <w:rPr>
                <w:rFonts w:hint="eastAsia" w:ascii="宋体" w:hAnsi="宋体" w:eastAsia="宋体" w:cs="宋体"/>
                <w:sz w:val="18"/>
                <w:szCs w:val="18"/>
              </w:rPr>
            </w:pPr>
          </w:p>
        </w:tc>
        <w:tc>
          <w:tcPr>
            <w:tcW w:w="2754" w:type="dxa"/>
            <w:tcBorders>
              <w:left w:val="single" w:color="000000" w:sz="4" w:space="0"/>
            </w:tcBorders>
            <w:vAlign w:val="center"/>
          </w:tcPr>
          <w:p>
            <w:pPr>
              <w:jc w:val="center"/>
              <w:rPr>
                <w:rFonts w:hint="eastAsia" w:ascii="宋体" w:hAnsi="宋体" w:eastAsia="宋体" w:cs="宋体"/>
                <w:sz w:val="18"/>
                <w:szCs w:val="18"/>
              </w:rPr>
            </w:pPr>
          </w:p>
        </w:tc>
        <w:tc>
          <w:tcPr>
            <w:tcW w:w="1465" w:type="dxa"/>
            <w:vAlign w:val="center"/>
          </w:tcPr>
          <w:p>
            <w:pPr>
              <w:jc w:val="center"/>
              <w:rPr>
                <w:rFonts w:hint="eastAsia" w:ascii="宋体" w:hAnsi="宋体" w:eastAsia="宋体" w:cs="宋体"/>
                <w:sz w:val="18"/>
                <w:szCs w:val="18"/>
              </w:rPr>
            </w:pPr>
          </w:p>
        </w:tc>
        <w:tc>
          <w:tcPr>
            <w:tcW w:w="1756" w:type="dxa"/>
            <w:vAlign w:val="center"/>
          </w:tcPr>
          <w:p>
            <w:pPr>
              <w:jc w:val="center"/>
              <w:rPr>
                <w:rFonts w:hint="eastAsia" w:ascii="宋体" w:hAnsi="宋体" w:eastAsia="宋体" w:cs="宋体"/>
                <w:sz w:val="18"/>
                <w:szCs w:val="18"/>
              </w:rPr>
            </w:pPr>
          </w:p>
        </w:tc>
        <w:tc>
          <w:tcPr>
            <w:tcW w:w="1238" w:type="dxa"/>
            <w:vAlign w:val="center"/>
          </w:tcPr>
          <w:p>
            <w:pPr>
              <w:jc w:val="center"/>
              <w:rPr>
                <w:rFonts w:hint="eastAsia" w:ascii="宋体" w:hAnsi="宋体" w:eastAsia="宋体" w:cs="宋体"/>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580" w:type="dxa"/>
            <w:vAlign w:val="center"/>
          </w:tcPr>
          <w:p>
            <w:pPr>
              <w:pStyle w:val="130"/>
              <w:adjustRightInd w:val="0"/>
              <w:snapToGrid w:val="0"/>
              <w:ind w:firstLine="0" w:firstLineChars="0"/>
              <w:jc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1.3</w:t>
            </w:r>
          </w:p>
        </w:tc>
        <w:tc>
          <w:tcPr>
            <w:tcW w:w="2214" w:type="dxa"/>
            <w:vAlign w:val="center"/>
          </w:tcPr>
          <w:p>
            <w:pPr>
              <w:overflowPunct w:val="0"/>
              <w:jc w:val="center"/>
              <w:rPr>
                <w:rFonts w:hint="eastAsia" w:ascii="宋体" w:hAnsi="宋体" w:eastAsia="宋体" w:cs="宋体"/>
                <w:bCs/>
                <w:sz w:val="18"/>
                <w:szCs w:val="18"/>
              </w:rPr>
            </w:pPr>
          </w:p>
        </w:tc>
        <w:tc>
          <w:tcPr>
            <w:tcW w:w="1772" w:type="dxa"/>
            <w:vMerge w:val="continue"/>
            <w:vAlign w:val="center"/>
          </w:tcPr>
          <w:p>
            <w:pPr>
              <w:widowControl/>
              <w:jc w:val="center"/>
              <w:textAlignment w:val="center"/>
              <w:rPr>
                <w:rFonts w:hint="eastAsia" w:ascii="宋体" w:hAnsi="宋体" w:eastAsia="宋体" w:cs="宋体"/>
                <w:color w:val="000000"/>
                <w:kern w:val="0"/>
                <w:sz w:val="18"/>
                <w:szCs w:val="18"/>
                <w:lang w:bidi="ar"/>
              </w:rPr>
            </w:pPr>
          </w:p>
        </w:tc>
        <w:tc>
          <w:tcPr>
            <w:tcW w:w="2544" w:type="dxa"/>
            <w:vAlign w:val="center"/>
          </w:tcPr>
          <w:p>
            <w:pPr>
              <w:jc w:val="center"/>
              <w:rPr>
                <w:rFonts w:hint="eastAsia" w:ascii="宋体" w:hAnsi="宋体" w:eastAsia="宋体" w:cs="宋体"/>
                <w:sz w:val="18"/>
                <w:szCs w:val="18"/>
              </w:rPr>
            </w:pPr>
          </w:p>
        </w:tc>
        <w:tc>
          <w:tcPr>
            <w:tcW w:w="973" w:type="dxa"/>
            <w:vAlign w:val="center"/>
          </w:tcPr>
          <w:p>
            <w:pPr>
              <w:jc w:val="center"/>
              <w:rPr>
                <w:rFonts w:hint="eastAsia" w:ascii="宋体" w:hAnsi="宋体" w:eastAsia="宋体" w:cs="宋体"/>
                <w:sz w:val="18"/>
                <w:szCs w:val="18"/>
              </w:rPr>
            </w:pPr>
          </w:p>
        </w:tc>
        <w:tc>
          <w:tcPr>
            <w:tcW w:w="909" w:type="dxa"/>
            <w:vAlign w:val="center"/>
          </w:tcPr>
          <w:p>
            <w:pPr>
              <w:jc w:val="center"/>
              <w:rPr>
                <w:rFonts w:hint="eastAsia" w:ascii="宋体" w:hAnsi="宋体" w:eastAsia="宋体" w:cs="宋体"/>
                <w:sz w:val="18"/>
                <w:szCs w:val="18"/>
              </w:rPr>
            </w:pPr>
          </w:p>
        </w:tc>
        <w:tc>
          <w:tcPr>
            <w:tcW w:w="2754" w:type="dxa"/>
            <w:tcBorders>
              <w:left w:val="single" w:color="000000" w:sz="4" w:space="0"/>
            </w:tcBorders>
            <w:vAlign w:val="center"/>
          </w:tcPr>
          <w:p>
            <w:pPr>
              <w:jc w:val="center"/>
              <w:rPr>
                <w:rFonts w:hint="eastAsia" w:ascii="宋体" w:hAnsi="宋体" w:eastAsia="宋体" w:cs="宋体"/>
                <w:sz w:val="18"/>
                <w:szCs w:val="18"/>
              </w:rPr>
            </w:pPr>
          </w:p>
        </w:tc>
        <w:tc>
          <w:tcPr>
            <w:tcW w:w="1465" w:type="dxa"/>
            <w:vAlign w:val="center"/>
          </w:tcPr>
          <w:p>
            <w:pPr>
              <w:jc w:val="center"/>
              <w:rPr>
                <w:rFonts w:hint="eastAsia" w:ascii="宋体" w:hAnsi="宋体" w:eastAsia="宋体" w:cs="宋体"/>
                <w:sz w:val="18"/>
                <w:szCs w:val="18"/>
              </w:rPr>
            </w:pPr>
          </w:p>
        </w:tc>
        <w:tc>
          <w:tcPr>
            <w:tcW w:w="1756" w:type="dxa"/>
            <w:vAlign w:val="center"/>
          </w:tcPr>
          <w:p>
            <w:pPr>
              <w:jc w:val="center"/>
              <w:rPr>
                <w:rFonts w:hint="eastAsia" w:ascii="宋体" w:hAnsi="宋体" w:eastAsia="宋体" w:cs="宋体"/>
                <w:sz w:val="18"/>
                <w:szCs w:val="18"/>
              </w:rPr>
            </w:pPr>
          </w:p>
        </w:tc>
        <w:tc>
          <w:tcPr>
            <w:tcW w:w="1238" w:type="dxa"/>
            <w:vAlign w:val="center"/>
          </w:tcPr>
          <w:p>
            <w:pPr>
              <w:jc w:val="center"/>
              <w:rPr>
                <w:rFonts w:hint="eastAsia" w:ascii="宋体" w:hAnsi="宋体" w:eastAsia="宋体" w:cs="宋体"/>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580" w:type="dxa"/>
            <w:vAlign w:val="center"/>
          </w:tcPr>
          <w:p>
            <w:pPr>
              <w:pStyle w:val="130"/>
              <w:adjustRightInd w:val="0"/>
              <w:snapToGrid w:val="0"/>
              <w:ind w:firstLine="0" w:firstLineChars="0"/>
              <w:jc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1.4</w:t>
            </w:r>
          </w:p>
        </w:tc>
        <w:tc>
          <w:tcPr>
            <w:tcW w:w="2214" w:type="dxa"/>
            <w:vAlign w:val="center"/>
          </w:tcPr>
          <w:p>
            <w:pPr>
              <w:overflowPunct w:val="0"/>
              <w:jc w:val="center"/>
              <w:rPr>
                <w:rFonts w:hint="eastAsia" w:ascii="宋体" w:hAnsi="宋体" w:eastAsia="宋体" w:cs="宋体"/>
                <w:bCs/>
                <w:sz w:val="18"/>
                <w:szCs w:val="18"/>
              </w:rPr>
            </w:pPr>
          </w:p>
        </w:tc>
        <w:tc>
          <w:tcPr>
            <w:tcW w:w="1772" w:type="dxa"/>
            <w:vMerge w:val="continue"/>
            <w:vAlign w:val="center"/>
          </w:tcPr>
          <w:p>
            <w:pPr>
              <w:widowControl/>
              <w:jc w:val="center"/>
              <w:textAlignment w:val="center"/>
              <w:rPr>
                <w:rFonts w:hint="eastAsia" w:ascii="宋体" w:hAnsi="宋体" w:eastAsia="宋体" w:cs="宋体"/>
                <w:color w:val="000000"/>
                <w:kern w:val="0"/>
                <w:sz w:val="18"/>
                <w:szCs w:val="18"/>
                <w:lang w:bidi="ar"/>
              </w:rPr>
            </w:pPr>
          </w:p>
        </w:tc>
        <w:tc>
          <w:tcPr>
            <w:tcW w:w="2544" w:type="dxa"/>
            <w:vAlign w:val="center"/>
          </w:tcPr>
          <w:p>
            <w:pPr>
              <w:jc w:val="center"/>
              <w:rPr>
                <w:rFonts w:hint="eastAsia" w:ascii="宋体" w:hAnsi="宋体" w:eastAsia="宋体" w:cs="宋体"/>
                <w:sz w:val="18"/>
                <w:szCs w:val="18"/>
              </w:rPr>
            </w:pPr>
          </w:p>
        </w:tc>
        <w:tc>
          <w:tcPr>
            <w:tcW w:w="973" w:type="dxa"/>
            <w:vAlign w:val="center"/>
          </w:tcPr>
          <w:p>
            <w:pPr>
              <w:jc w:val="center"/>
              <w:rPr>
                <w:rFonts w:hint="eastAsia" w:ascii="宋体" w:hAnsi="宋体" w:eastAsia="宋体" w:cs="宋体"/>
                <w:sz w:val="18"/>
                <w:szCs w:val="18"/>
              </w:rPr>
            </w:pPr>
          </w:p>
        </w:tc>
        <w:tc>
          <w:tcPr>
            <w:tcW w:w="909" w:type="dxa"/>
            <w:vAlign w:val="center"/>
          </w:tcPr>
          <w:p>
            <w:pPr>
              <w:jc w:val="center"/>
              <w:rPr>
                <w:rFonts w:hint="eastAsia" w:ascii="宋体" w:hAnsi="宋体" w:eastAsia="宋体" w:cs="宋体"/>
                <w:sz w:val="18"/>
                <w:szCs w:val="18"/>
              </w:rPr>
            </w:pPr>
          </w:p>
        </w:tc>
        <w:tc>
          <w:tcPr>
            <w:tcW w:w="2754" w:type="dxa"/>
            <w:tcBorders>
              <w:left w:val="single" w:color="000000" w:sz="4" w:space="0"/>
            </w:tcBorders>
            <w:vAlign w:val="center"/>
          </w:tcPr>
          <w:p>
            <w:pPr>
              <w:jc w:val="center"/>
              <w:rPr>
                <w:rFonts w:hint="eastAsia" w:ascii="宋体" w:hAnsi="宋体" w:eastAsia="宋体" w:cs="宋体"/>
                <w:sz w:val="18"/>
                <w:szCs w:val="18"/>
              </w:rPr>
            </w:pPr>
          </w:p>
        </w:tc>
        <w:tc>
          <w:tcPr>
            <w:tcW w:w="1465" w:type="dxa"/>
            <w:vAlign w:val="center"/>
          </w:tcPr>
          <w:p>
            <w:pPr>
              <w:jc w:val="center"/>
              <w:rPr>
                <w:rFonts w:hint="eastAsia" w:ascii="宋体" w:hAnsi="宋体" w:eastAsia="宋体" w:cs="宋体"/>
                <w:sz w:val="18"/>
                <w:szCs w:val="18"/>
              </w:rPr>
            </w:pPr>
          </w:p>
        </w:tc>
        <w:tc>
          <w:tcPr>
            <w:tcW w:w="1756" w:type="dxa"/>
            <w:vAlign w:val="center"/>
          </w:tcPr>
          <w:p>
            <w:pPr>
              <w:jc w:val="center"/>
              <w:rPr>
                <w:rFonts w:hint="eastAsia" w:ascii="宋体" w:hAnsi="宋体" w:eastAsia="宋体" w:cs="宋体"/>
                <w:sz w:val="18"/>
                <w:szCs w:val="18"/>
              </w:rPr>
            </w:pPr>
          </w:p>
        </w:tc>
        <w:tc>
          <w:tcPr>
            <w:tcW w:w="1238" w:type="dxa"/>
            <w:vAlign w:val="center"/>
          </w:tcPr>
          <w:p>
            <w:pPr>
              <w:jc w:val="center"/>
              <w:rPr>
                <w:rFonts w:hint="eastAsia" w:ascii="宋体" w:hAnsi="宋体" w:eastAsia="宋体" w:cs="宋体"/>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580" w:type="dxa"/>
            <w:vAlign w:val="center"/>
          </w:tcPr>
          <w:p>
            <w:pPr>
              <w:pStyle w:val="130"/>
              <w:adjustRightInd w:val="0"/>
              <w:snapToGrid w:val="0"/>
              <w:ind w:firstLine="0" w:firstLineChars="0"/>
              <w:jc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1.5</w:t>
            </w:r>
          </w:p>
        </w:tc>
        <w:tc>
          <w:tcPr>
            <w:tcW w:w="2214" w:type="dxa"/>
            <w:vAlign w:val="center"/>
          </w:tcPr>
          <w:p>
            <w:pPr>
              <w:overflowPunct w:val="0"/>
              <w:jc w:val="center"/>
              <w:rPr>
                <w:rFonts w:hint="eastAsia" w:ascii="宋体" w:hAnsi="宋体" w:eastAsia="宋体" w:cs="宋体"/>
                <w:bCs/>
                <w:sz w:val="18"/>
                <w:szCs w:val="18"/>
              </w:rPr>
            </w:pPr>
          </w:p>
        </w:tc>
        <w:tc>
          <w:tcPr>
            <w:tcW w:w="1772" w:type="dxa"/>
            <w:vMerge w:val="continue"/>
            <w:vAlign w:val="center"/>
          </w:tcPr>
          <w:p>
            <w:pPr>
              <w:widowControl/>
              <w:jc w:val="center"/>
              <w:textAlignment w:val="center"/>
              <w:rPr>
                <w:rFonts w:hint="eastAsia" w:ascii="宋体" w:hAnsi="宋体" w:eastAsia="宋体" w:cs="宋体"/>
                <w:color w:val="000000"/>
                <w:kern w:val="0"/>
                <w:sz w:val="18"/>
                <w:szCs w:val="18"/>
                <w:lang w:bidi="ar"/>
              </w:rPr>
            </w:pPr>
          </w:p>
        </w:tc>
        <w:tc>
          <w:tcPr>
            <w:tcW w:w="2544" w:type="dxa"/>
            <w:vAlign w:val="center"/>
          </w:tcPr>
          <w:p>
            <w:pPr>
              <w:jc w:val="center"/>
              <w:rPr>
                <w:rFonts w:hint="eastAsia" w:ascii="宋体" w:hAnsi="宋体" w:eastAsia="宋体" w:cs="宋体"/>
                <w:sz w:val="18"/>
                <w:szCs w:val="18"/>
              </w:rPr>
            </w:pPr>
          </w:p>
        </w:tc>
        <w:tc>
          <w:tcPr>
            <w:tcW w:w="973" w:type="dxa"/>
            <w:vAlign w:val="center"/>
          </w:tcPr>
          <w:p>
            <w:pPr>
              <w:jc w:val="center"/>
              <w:rPr>
                <w:rFonts w:hint="eastAsia" w:ascii="宋体" w:hAnsi="宋体" w:eastAsia="宋体" w:cs="宋体"/>
                <w:sz w:val="18"/>
                <w:szCs w:val="18"/>
              </w:rPr>
            </w:pPr>
          </w:p>
        </w:tc>
        <w:tc>
          <w:tcPr>
            <w:tcW w:w="909" w:type="dxa"/>
            <w:vAlign w:val="center"/>
          </w:tcPr>
          <w:p>
            <w:pPr>
              <w:jc w:val="center"/>
              <w:rPr>
                <w:rFonts w:hint="eastAsia" w:ascii="宋体" w:hAnsi="宋体" w:eastAsia="宋体" w:cs="宋体"/>
                <w:sz w:val="18"/>
                <w:szCs w:val="18"/>
              </w:rPr>
            </w:pPr>
          </w:p>
        </w:tc>
        <w:tc>
          <w:tcPr>
            <w:tcW w:w="2754" w:type="dxa"/>
            <w:tcBorders>
              <w:left w:val="single" w:color="000000" w:sz="4" w:space="0"/>
            </w:tcBorders>
            <w:vAlign w:val="center"/>
          </w:tcPr>
          <w:p>
            <w:pPr>
              <w:jc w:val="center"/>
              <w:rPr>
                <w:rFonts w:hint="eastAsia" w:ascii="宋体" w:hAnsi="宋体" w:eastAsia="宋体" w:cs="宋体"/>
                <w:sz w:val="18"/>
                <w:szCs w:val="18"/>
              </w:rPr>
            </w:pPr>
          </w:p>
        </w:tc>
        <w:tc>
          <w:tcPr>
            <w:tcW w:w="1465" w:type="dxa"/>
            <w:vAlign w:val="center"/>
          </w:tcPr>
          <w:p>
            <w:pPr>
              <w:jc w:val="center"/>
              <w:rPr>
                <w:rFonts w:hint="eastAsia" w:ascii="宋体" w:hAnsi="宋体" w:eastAsia="宋体" w:cs="宋体"/>
                <w:sz w:val="18"/>
                <w:szCs w:val="18"/>
              </w:rPr>
            </w:pPr>
          </w:p>
        </w:tc>
        <w:tc>
          <w:tcPr>
            <w:tcW w:w="1756" w:type="dxa"/>
            <w:vAlign w:val="center"/>
          </w:tcPr>
          <w:p>
            <w:pPr>
              <w:jc w:val="center"/>
              <w:rPr>
                <w:rFonts w:hint="eastAsia" w:ascii="宋体" w:hAnsi="宋体" w:eastAsia="宋体" w:cs="宋体"/>
                <w:sz w:val="18"/>
                <w:szCs w:val="18"/>
              </w:rPr>
            </w:pPr>
          </w:p>
        </w:tc>
        <w:tc>
          <w:tcPr>
            <w:tcW w:w="1238" w:type="dxa"/>
            <w:vAlign w:val="center"/>
          </w:tcPr>
          <w:p>
            <w:pPr>
              <w:tabs>
                <w:tab w:val="left" w:pos="384"/>
              </w:tabs>
              <w:jc w:val="center"/>
              <w:rPr>
                <w:rFonts w:hint="eastAsia" w:ascii="宋体" w:hAnsi="宋体" w:eastAsia="宋体" w:cs="宋体"/>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580" w:type="dxa"/>
            <w:vAlign w:val="center"/>
          </w:tcPr>
          <w:p>
            <w:pPr>
              <w:pStyle w:val="130"/>
              <w:adjustRightInd w:val="0"/>
              <w:snapToGrid w:val="0"/>
              <w:ind w:firstLine="0" w:firstLineChars="0"/>
              <w:jc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1.6</w:t>
            </w:r>
          </w:p>
        </w:tc>
        <w:tc>
          <w:tcPr>
            <w:tcW w:w="2214" w:type="dxa"/>
            <w:vAlign w:val="center"/>
          </w:tcPr>
          <w:p>
            <w:pPr>
              <w:overflowPunct w:val="0"/>
              <w:jc w:val="center"/>
              <w:rPr>
                <w:rFonts w:hint="eastAsia" w:ascii="宋体" w:hAnsi="宋体" w:eastAsia="宋体" w:cs="宋体"/>
                <w:bCs/>
                <w:sz w:val="18"/>
                <w:szCs w:val="18"/>
              </w:rPr>
            </w:pPr>
          </w:p>
        </w:tc>
        <w:tc>
          <w:tcPr>
            <w:tcW w:w="1772" w:type="dxa"/>
            <w:vMerge w:val="continue"/>
            <w:vAlign w:val="center"/>
          </w:tcPr>
          <w:p>
            <w:pPr>
              <w:widowControl/>
              <w:jc w:val="center"/>
              <w:textAlignment w:val="center"/>
              <w:rPr>
                <w:rFonts w:hint="eastAsia" w:ascii="宋体" w:hAnsi="宋体" w:eastAsia="宋体" w:cs="宋体"/>
                <w:color w:val="000000"/>
                <w:kern w:val="0"/>
                <w:sz w:val="18"/>
                <w:szCs w:val="18"/>
                <w:lang w:bidi="ar"/>
              </w:rPr>
            </w:pPr>
          </w:p>
        </w:tc>
        <w:tc>
          <w:tcPr>
            <w:tcW w:w="2544" w:type="dxa"/>
            <w:vAlign w:val="center"/>
          </w:tcPr>
          <w:p>
            <w:pPr>
              <w:jc w:val="center"/>
              <w:rPr>
                <w:rFonts w:hint="eastAsia" w:ascii="宋体" w:hAnsi="宋体" w:eastAsia="宋体" w:cs="宋体"/>
                <w:sz w:val="18"/>
                <w:szCs w:val="18"/>
              </w:rPr>
            </w:pPr>
          </w:p>
        </w:tc>
        <w:tc>
          <w:tcPr>
            <w:tcW w:w="973" w:type="dxa"/>
            <w:vAlign w:val="center"/>
          </w:tcPr>
          <w:p>
            <w:pPr>
              <w:jc w:val="center"/>
              <w:rPr>
                <w:rFonts w:hint="eastAsia" w:ascii="宋体" w:hAnsi="宋体" w:eastAsia="宋体" w:cs="宋体"/>
                <w:sz w:val="18"/>
                <w:szCs w:val="18"/>
              </w:rPr>
            </w:pPr>
          </w:p>
        </w:tc>
        <w:tc>
          <w:tcPr>
            <w:tcW w:w="909" w:type="dxa"/>
            <w:vAlign w:val="center"/>
          </w:tcPr>
          <w:p>
            <w:pPr>
              <w:jc w:val="center"/>
              <w:rPr>
                <w:rFonts w:hint="eastAsia" w:ascii="宋体" w:hAnsi="宋体" w:eastAsia="宋体" w:cs="宋体"/>
                <w:sz w:val="18"/>
                <w:szCs w:val="18"/>
              </w:rPr>
            </w:pPr>
          </w:p>
        </w:tc>
        <w:tc>
          <w:tcPr>
            <w:tcW w:w="2754" w:type="dxa"/>
            <w:tcBorders>
              <w:left w:val="single" w:color="000000" w:sz="4" w:space="0"/>
            </w:tcBorders>
            <w:vAlign w:val="center"/>
          </w:tcPr>
          <w:p>
            <w:pPr>
              <w:jc w:val="center"/>
              <w:rPr>
                <w:rFonts w:hint="eastAsia" w:ascii="宋体" w:hAnsi="宋体" w:eastAsia="宋体" w:cs="宋体"/>
                <w:sz w:val="18"/>
                <w:szCs w:val="18"/>
              </w:rPr>
            </w:pPr>
          </w:p>
        </w:tc>
        <w:tc>
          <w:tcPr>
            <w:tcW w:w="1465" w:type="dxa"/>
            <w:vAlign w:val="center"/>
          </w:tcPr>
          <w:p>
            <w:pPr>
              <w:jc w:val="center"/>
              <w:rPr>
                <w:rFonts w:hint="eastAsia" w:ascii="宋体" w:hAnsi="宋体" w:eastAsia="宋体" w:cs="宋体"/>
                <w:sz w:val="18"/>
                <w:szCs w:val="18"/>
              </w:rPr>
            </w:pPr>
          </w:p>
        </w:tc>
        <w:tc>
          <w:tcPr>
            <w:tcW w:w="1756" w:type="dxa"/>
            <w:vAlign w:val="center"/>
          </w:tcPr>
          <w:p>
            <w:pPr>
              <w:jc w:val="center"/>
              <w:rPr>
                <w:rFonts w:hint="eastAsia" w:ascii="宋体" w:hAnsi="宋体" w:eastAsia="宋体" w:cs="宋体"/>
                <w:sz w:val="18"/>
                <w:szCs w:val="18"/>
              </w:rPr>
            </w:pPr>
          </w:p>
        </w:tc>
        <w:tc>
          <w:tcPr>
            <w:tcW w:w="1238" w:type="dxa"/>
            <w:vAlign w:val="center"/>
          </w:tcPr>
          <w:p>
            <w:pPr>
              <w:jc w:val="center"/>
              <w:rPr>
                <w:rFonts w:hint="eastAsia" w:ascii="宋体" w:hAnsi="宋体" w:eastAsia="宋体" w:cs="宋体"/>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580" w:type="dxa"/>
            <w:vAlign w:val="center"/>
          </w:tcPr>
          <w:p>
            <w:pPr>
              <w:pStyle w:val="130"/>
              <w:adjustRightInd w:val="0"/>
              <w:snapToGrid w:val="0"/>
              <w:ind w:firstLine="0" w:firstLineChars="0"/>
              <w:jc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1.7</w:t>
            </w:r>
          </w:p>
        </w:tc>
        <w:tc>
          <w:tcPr>
            <w:tcW w:w="2214" w:type="dxa"/>
            <w:vAlign w:val="center"/>
          </w:tcPr>
          <w:p>
            <w:pPr>
              <w:overflowPunct w:val="0"/>
              <w:jc w:val="center"/>
              <w:rPr>
                <w:rFonts w:hint="eastAsia" w:ascii="宋体" w:hAnsi="宋体" w:eastAsia="宋体" w:cs="宋体"/>
                <w:bCs/>
                <w:sz w:val="18"/>
                <w:szCs w:val="18"/>
              </w:rPr>
            </w:pPr>
          </w:p>
        </w:tc>
        <w:tc>
          <w:tcPr>
            <w:tcW w:w="1772" w:type="dxa"/>
            <w:vMerge w:val="continue"/>
            <w:vAlign w:val="center"/>
          </w:tcPr>
          <w:p>
            <w:pPr>
              <w:widowControl/>
              <w:jc w:val="center"/>
              <w:textAlignment w:val="center"/>
              <w:rPr>
                <w:rFonts w:hint="eastAsia" w:ascii="宋体" w:hAnsi="宋体" w:eastAsia="宋体" w:cs="宋体"/>
                <w:color w:val="000000"/>
                <w:kern w:val="0"/>
                <w:sz w:val="18"/>
                <w:szCs w:val="18"/>
                <w:lang w:bidi="ar"/>
              </w:rPr>
            </w:pPr>
          </w:p>
        </w:tc>
        <w:tc>
          <w:tcPr>
            <w:tcW w:w="2544" w:type="dxa"/>
            <w:vAlign w:val="center"/>
          </w:tcPr>
          <w:p>
            <w:pPr>
              <w:jc w:val="center"/>
              <w:rPr>
                <w:rFonts w:hint="eastAsia" w:ascii="宋体" w:hAnsi="宋体" w:eastAsia="宋体" w:cs="宋体"/>
                <w:sz w:val="18"/>
                <w:szCs w:val="18"/>
              </w:rPr>
            </w:pPr>
          </w:p>
        </w:tc>
        <w:tc>
          <w:tcPr>
            <w:tcW w:w="973" w:type="dxa"/>
            <w:vAlign w:val="center"/>
          </w:tcPr>
          <w:p>
            <w:pPr>
              <w:jc w:val="center"/>
              <w:rPr>
                <w:rFonts w:hint="eastAsia" w:ascii="宋体" w:hAnsi="宋体" w:eastAsia="宋体" w:cs="宋体"/>
                <w:sz w:val="18"/>
                <w:szCs w:val="18"/>
              </w:rPr>
            </w:pPr>
          </w:p>
        </w:tc>
        <w:tc>
          <w:tcPr>
            <w:tcW w:w="909" w:type="dxa"/>
            <w:vAlign w:val="center"/>
          </w:tcPr>
          <w:p>
            <w:pPr>
              <w:jc w:val="center"/>
              <w:rPr>
                <w:rFonts w:hint="eastAsia" w:ascii="宋体" w:hAnsi="宋体" w:eastAsia="宋体" w:cs="宋体"/>
                <w:sz w:val="18"/>
                <w:szCs w:val="18"/>
              </w:rPr>
            </w:pPr>
          </w:p>
        </w:tc>
        <w:tc>
          <w:tcPr>
            <w:tcW w:w="2754" w:type="dxa"/>
            <w:tcBorders>
              <w:left w:val="single" w:color="000000" w:sz="4" w:space="0"/>
            </w:tcBorders>
            <w:vAlign w:val="center"/>
          </w:tcPr>
          <w:p>
            <w:pPr>
              <w:jc w:val="center"/>
              <w:rPr>
                <w:rFonts w:hint="eastAsia" w:ascii="宋体" w:hAnsi="宋体" w:eastAsia="宋体" w:cs="宋体"/>
                <w:sz w:val="18"/>
                <w:szCs w:val="18"/>
              </w:rPr>
            </w:pPr>
          </w:p>
        </w:tc>
        <w:tc>
          <w:tcPr>
            <w:tcW w:w="1465" w:type="dxa"/>
            <w:vAlign w:val="center"/>
          </w:tcPr>
          <w:p>
            <w:pPr>
              <w:jc w:val="center"/>
              <w:rPr>
                <w:rFonts w:hint="eastAsia" w:ascii="宋体" w:hAnsi="宋体" w:eastAsia="宋体" w:cs="宋体"/>
                <w:sz w:val="18"/>
                <w:szCs w:val="18"/>
              </w:rPr>
            </w:pPr>
          </w:p>
        </w:tc>
        <w:tc>
          <w:tcPr>
            <w:tcW w:w="1756" w:type="dxa"/>
            <w:vAlign w:val="center"/>
          </w:tcPr>
          <w:p>
            <w:pPr>
              <w:jc w:val="center"/>
              <w:rPr>
                <w:rFonts w:hint="eastAsia" w:ascii="宋体" w:hAnsi="宋体" w:eastAsia="宋体" w:cs="宋体"/>
                <w:sz w:val="18"/>
                <w:szCs w:val="18"/>
              </w:rPr>
            </w:pPr>
          </w:p>
        </w:tc>
        <w:tc>
          <w:tcPr>
            <w:tcW w:w="1238" w:type="dxa"/>
            <w:vAlign w:val="center"/>
          </w:tcPr>
          <w:p>
            <w:pPr>
              <w:jc w:val="center"/>
              <w:rPr>
                <w:rFonts w:hint="eastAsia" w:ascii="宋体" w:hAnsi="宋体" w:eastAsia="宋体" w:cs="宋体"/>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580" w:type="dxa"/>
            <w:vAlign w:val="center"/>
          </w:tcPr>
          <w:p>
            <w:pPr>
              <w:pStyle w:val="130"/>
              <w:adjustRightInd w:val="0"/>
              <w:snapToGrid w:val="0"/>
              <w:ind w:firstLine="0" w:firstLineChars="0"/>
              <w:jc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1.8</w:t>
            </w:r>
          </w:p>
        </w:tc>
        <w:tc>
          <w:tcPr>
            <w:tcW w:w="2214" w:type="dxa"/>
            <w:vAlign w:val="center"/>
          </w:tcPr>
          <w:p>
            <w:pPr>
              <w:overflowPunct w:val="0"/>
              <w:jc w:val="center"/>
              <w:rPr>
                <w:rFonts w:hint="eastAsia" w:ascii="宋体" w:hAnsi="宋体" w:eastAsia="宋体" w:cs="宋体"/>
                <w:bCs/>
                <w:sz w:val="18"/>
                <w:szCs w:val="18"/>
              </w:rPr>
            </w:pPr>
          </w:p>
        </w:tc>
        <w:tc>
          <w:tcPr>
            <w:tcW w:w="1772" w:type="dxa"/>
            <w:vMerge w:val="continue"/>
            <w:vAlign w:val="center"/>
          </w:tcPr>
          <w:p>
            <w:pPr>
              <w:widowControl/>
              <w:jc w:val="center"/>
              <w:textAlignment w:val="center"/>
              <w:rPr>
                <w:rFonts w:hint="eastAsia" w:ascii="宋体" w:hAnsi="宋体" w:eastAsia="宋体" w:cs="宋体"/>
                <w:color w:val="000000"/>
                <w:kern w:val="0"/>
                <w:sz w:val="18"/>
                <w:szCs w:val="18"/>
                <w:lang w:bidi="ar"/>
              </w:rPr>
            </w:pPr>
          </w:p>
        </w:tc>
        <w:tc>
          <w:tcPr>
            <w:tcW w:w="2544" w:type="dxa"/>
            <w:vAlign w:val="center"/>
          </w:tcPr>
          <w:p>
            <w:pPr>
              <w:jc w:val="center"/>
              <w:rPr>
                <w:rFonts w:hint="eastAsia" w:ascii="宋体" w:hAnsi="宋体" w:eastAsia="宋体" w:cs="宋体"/>
                <w:sz w:val="18"/>
                <w:szCs w:val="18"/>
              </w:rPr>
            </w:pPr>
          </w:p>
        </w:tc>
        <w:tc>
          <w:tcPr>
            <w:tcW w:w="973" w:type="dxa"/>
            <w:vAlign w:val="center"/>
          </w:tcPr>
          <w:p>
            <w:pPr>
              <w:jc w:val="center"/>
              <w:rPr>
                <w:rFonts w:hint="eastAsia" w:ascii="宋体" w:hAnsi="宋体" w:eastAsia="宋体" w:cs="宋体"/>
                <w:sz w:val="18"/>
                <w:szCs w:val="18"/>
              </w:rPr>
            </w:pPr>
          </w:p>
        </w:tc>
        <w:tc>
          <w:tcPr>
            <w:tcW w:w="909" w:type="dxa"/>
            <w:vAlign w:val="center"/>
          </w:tcPr>
          <w:p>
            <w:pPr>
              <w:jc w:val="center"/>
              <w:rPr>
                <w:rFonts w:hint="eastAsia" w:ascii="宋体" w:hAnsi="宋体" w:eastAsia="宋体" w:cs="宋体"/>
                <w:sz w:val="18"/>
                <w:szCs w:val="18"/>
              </w:rPr>
            </w:pPr>
          </w:p>
        </w:tc>
        <w:tc>
          <w:tcPr>
            <w:tcW w:w="2754" w:type="dxa"/>
            <w:tcBorders>
              <w:left w:val="single" w:color="000000" w:sz="4" w:space="0"/>
            </w:tcBorders>
            <w:vAlign w:val="center"/>
          </w:tcPr>
          <w:p>
            <w:pPr>
              <w:jc w:val="center"/>
              <w:rPr>
                <w:rFonts w:hint="eastAsia" w:ascii="宋体" w:hAnsi="宋体" w:eastAsia="宋体" w:cs="宋体"/>
                <w:sz w:val="18"/>
                <w:szCs w:val="18"/>
              </w:rPr>
            </w:pPr>
          </w:p>
        </w:tc>
        <w:tc>
          <w:tcPr>
            <w:tcW w:w="1465" w:type="dxa"/>
            <w:vAlign w:val="center"/>
          </w:tcPr>
          <w:p>
            <w:pPr>
              <w:jc w:val="center"/>
              <w:rPr>
                <w:rFonts w:hint="eastAsia" w:ascii="宋体" w:hAnsi="宋体" w:eastAsia="宋体" w:cs="宋体"/>
                <w:sz w:val="18"/>
                <w:szCs w:val="18"/>
              </w:rPr>
            </w:pPr>
          </w:p>
        </w:tc>
        <w:tc>
          <w:tcPr>
            <w:tcW w:w="1756" w:type="dxa"/>
            <w:vAlign w:val="center"/>
          </w:tcPr>
          <w:p>
            <w:pPr>
              <w:jc w:val="center"/>
              <w:rPr>
                <w:rFonts w:hint="eastAsia" w:ascii="宋体" w:hAnsi="宋体" w:eastAsia="宋体" w:cs="宋体"/>
                <w:sz w:val="18"/>
                <w:szCs w:val="18"/>
              </w:rPr>
            </w:pPr>
          </w:p>
        </w:tc>
        <w:tc>
          <w:tcPr>
            <w:tcW w:w="1238" w:type="dxa"/>
            <w:vAlign w:val="center"/>
          </w:tcPr>
          <w:p>
            <w:pPr>
              <w:jc w:val="center"/>
              <w:rPr>
                <w:rFonts w:hint="eastAsia" w:ascii="宋体" w:hAnsi="宋体" w:eastAsia="宋体" w:cs="宋体"/>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580" w:type="dxa"/>
            <w:vAlign w:val="center"/>
          </w:tcPr>
          <w:p>
            <w:pPr>
              <w:pStyle w:val="130"/>
              <w:adjustRightInd w:val="0"/>
              <w:snapToGrid w:val="0"/>
              <w:ind w:firstLine="0" w:firstLineChars="0"/>
              <w:jc w:val="center"/>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2</w:t>
            </w:r>
          </w:p>
        </w:tc>
        <w:tc>
          <w:tcPr>
            <w:tcW w:w="2214" w:type="dxa"/>
            <w:vAlign w:val="center"/>
          </w:tcPr>
          <w:p>
            <w:pPr>
              <w:widowControl/>
              <w:jc w:val="center"/>
              <w:textAlignment w:val="center"/>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BSD标定工站</w:t>
            </w:r>
          </w:p>
        </w:tc>
        <w:tc>
          <w:tcPr>
            <w:tcW w:w="1772" w:type="dxa"/>
            <w:vMerge w:val="restart"/>
            <w:vAlign w:val="center"/>
          </w:tcPr>
          <w:p>
            <w:pPr>
              <w:widowControl/>
              <w:jc w:val="center"/>
              <w:textAlignment w:val="center"/>
              <w:rPr>
                <w:rFonts w:hint="eastAsia" w:ascii="宋体" w:hAnsi="宋体" w:eastAsia="宋体" w:cs="宋体"/>
                <w:b/>
                <w:bCs/>
                <w:color w:val="000000"/>
                <w:kern w:val="0"/>
                <w:sz w:val="18"/>
                <w:szCs w:val="18"/>
                <w:lang w:bidi="ar"/>
              </w:rPr>
            </w:pPr>
            <w:r>
              <w:rPr>
                <w:rFonts w:hint="eastAsia" w:ascii="宋体" w:hAnsi="宋体" w:eastAsia="宋体" w:cs="宋体"/>
                <w:color w:val="000000"/>
                <w:kern w:val="0"/>
                <w:sz w:val="18"/>
                <w:szCs w:val="18"/>
                <w:lang w:bidi="ar"/>
              </w:rPr>
              <w:t>调试车间</w:t>
            </w:r>
          </w:p>
        </w:tc>
        <w:tc>
          <w:tcPr>
            <w:tcW w:w="2544" w:type="dxa"/>
            <w:vAlign w:val="center"/>
          </w:tcPr>
          <w:p>
            <w:pPr>
              <w:jc w:val="center"/>
              <w:rPr>
                <w:rFonts w:hint="eastAsia" w:ascii="宋体" w:hAnsi="宋体" w:eastAsia="宋体" w:cs="宋体"/>
                <w:b/>
                <w:bCs/>
                <w:sz w:val="18"/>
                <w:szCs w:val="18"/>
              </w:rPr>
            </w:pPr>
          </w:p>
        </w:tc>
        <w:tc>
          <w:tcPr>
            <w:tcW w:w="973" w:type="dxa"/>
            <w:vAlign w:val="center"/>
          </w:tcPr>
          <w:p>
            <w:pPr>
              <w:jc w:val="center"/>
              <w:rPr>
                <w:rFonts w:hint="eastAsia" w:ascii="宋体" w:hAnsi="宋体" w:eastAsia="宋体" w:cs="宋体"/>
                <w:b/>
                <w:bCs/>
                <w:sz w:val="18"/>
                <w:szCs w:val="18"/>
              </w:rPr>
            </w:pPr>
            <w:r>
              <w:rPr>
                <w:rFonts w:hint="eastAsia" w:ascii="宋体" w:hAnsi="宋体" w:eastAsia="宋体" w:cs="宋体"/>
                <w:b/>
                <w:bCs/>
                <w:sz w:val="18"/>
                <w:szCs w:val="18"/>
              </w:rPr>
              <w:t>5</w:t>
            </w:r>
          </w:p>
        </w:tc>
        <w:tc>
          <w:tcPr>
            <w:tcW w:w="909" w:type="dxa"/>
            <w:vAlign w:val="center"/>
          </w:tcPr>
          <w:p>
            <w:pPr>
              <w:jc w:val="center"/>
              <w:rPr>
                <w:rFonts w:hint="eastAsia" w:ascii="宋体" w:hAnsi="宋体" w:eastAsia="宋体" w:cs="宋体"/>
                <w:b/>
                <w:bCs/>
                <w:sz w:val="18"/>
                <w:szCs w:val="18"/>
              </w:rPr>
            </w:pPr>
            <w:r>
              <w:rPr>
                <w:rFonts w:hint="eastAsia" w:ascii="宋体" w:hAnsi="宋体" w:eastAsia="宋体" w:cs="宋体"/>
                <w:b/>
                <w:bCs/>
                <w:sz w:val="18"/>
                <w:szCs w:val="18"/>
              </w:rPr>
              <w:t>套</w:t>
            </w:r>
          </w:p>
        </w:tc>
        <w:tc>
          <w:tcPr>
            <w:tcW w:w="2754" w:type="dxa"/>
            <w:tcBorders>
              <w:left w:val="single" w:color="000000" w:sz="4" w:space="0"/>
            </w:tcBorders>
            <w:vAlign w:val="center"/>
          </w:tcPr>
          <w:p>
            <w:pPr>
              <w:jc w:val="center"/>
              <w:rPr>
                <w:rFonts w:hint="eastAsia" w:ascii="宋体" w:hAnsi="宋体" w:eastAsia="宋体" w:cs="宋体"/>
                <w:b/>
                <w:bCs/>
                <w:sz w:val="18"/>
                <w:szCs w:val="18"/>
              </w:rPr>
            </w:pPr>
          </w:p>
        </w:tc>
        <w:tc>
          <w:tcPr>
            <w:tcW w:w="1465" w:type="dxa"/>
            <w:vAlign w:val="center"/>
          </w:tcPr>
          <w:p>
            <w:pPr>
              <w:jc w:val="center"/>
              <w:rPr>
                <w:rFonts w:hint="eastAsia" w:ascii="宋体" w:hAnsi="宋体" w:eastAsia="宋体" w:cs="宋体"/>
                <w:b/>
                <w:bCs/>
                <w:sz w:val="18"/>
                <w:szCs w:val="18"/>
              </w:rPr>
            </w:pPr>
          </w:p>
        </w:tc>
        <w:tc>
          <w:tcPr>
            <w:tcW w:w="1756" w:type="dxa"/>
            <w:vAlign w:val="center"/>
          </w:tcPr>
          <w:p>
            <w:pPr>
              <w:jc w:val="center"/>
              <w:rPr>
                <w:rFonts w:hint="eastAsia" w:ascii="宋体" w:hAnsi="宋体" w:eastAsia="宋体" w:cs="宋体"/>
                <w:b/>
                <w:bCs/>
                <w:sz w:val="18"/>
                <w:szCs w:val="18"/>
              </w:rPr>
            </w:pPr>
          </w:p>
        </w:tc>
        <w:tc>
          <w:tcPr>
            <w:tcW w:w="1238" w:type="dxa"/>
            <w:vAlign w:val="center"/>
          </w:tcPr>
          <w:p>
            <w:pPr>
              <w:jc w:val="center"/>
              <w:rPr>
                <w:rFonts w:hint="eastAsia" w:ascii="宋体" w:hAnsi="宋体" w:eastAsia="宋体" w:cs="宋体"/>
                <w:b/>
                <w:bCs/>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580" w:type="dxa"/>
            <w:vAlign w:val="center"/>
          </w:tcPr>
          <w:p>
            <w:pPr>
              <w:pStyle w:val="130"/>
              <w:adjustRightInd w:val="0"/>
              <w:snapToGrid w:val="0"/>
              <w:ind w:firstLine="0" w:firstLineChars="0"/>
              <w:jc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2.1</w:t>
            </w:r>
          </w:p>
        </w:tc>
        <w:tc>
          <w:tcPr>
            <w:tcW w:w="2214" w:type="dxa"/>
            <w:vAlign w:val="center"/>
          </w:tcPr>
          <w:p>
            <w:pPr>
              <w:widowControl/>
              <w:jc w:val="center"/>
              <w:textAlignment w:val="center"/>
              <w:rPr>
                <w:rFonts w:hint="eastAsia" w:ascii="宋体" w:hAnsi="宋体" w:eastAsia="宋体" w:cs="宋体"/>
                <w:color w:val="000000"/>
                <w:kern w:val="0"/>
                <w:sz w:val="18"/>
                <w:szCs w:val="18"/>
                <w:lang w:bidi="ar"/>
              </w:rPr>
            </w:pPr>
          </w:p>
        </w:tc>
        <w:tc>
          <w:tcPr>
            <w:tcW w:w="1772" w:type="dxa"/>
            <w:vMerge w:val="continue"/>
            <w:vAlign w:val="center"/>
          </w:tcPr>
          <w:p>
            <w:pPr>
              <w:widowControl/>
              <w:jc w:val="center"/>
              <w:textAlignment w:val="center"/>
              <w:rPr>
                <w:rFonts w:hint="eastAsia" w:ascii="宋体" w:hAnsi="宋体" w:eastAsia="宋体" w:cs="宋体"/>
                <w:color w:val="000000"/>
                <w:kern w:val="0"/>
                <w:sz w:val="18"/>
                <w:szCs w:val="18"/>
                <w:lang w:bidi="ar"/>
              </w:rPr>
            </w:pPr>
          </w:p>
        </w:tc>
        <w:tc>
          <w:tcPr>
            <w:tcW w:w="2544" w:type="dxa"/>
            <w:vAlign w:val="center"/>
          </w:tcPr>
          <w:p>
            <w:pPr>
              <w:jc w:val="center"/>
              <w:rPr>
                <w:rFonts w:hint="eastAsia" w:ascii="宋体" w:hAnsi="宋体" w:eastAsia="宋体" w:cs="宋体"/>
                <w:sz w:val="18"/>
                <w:szCs w:val="18"/>
              </w:rPr>
            </w:pPr>
          </w:p>
        </w:tc>
        <w:tc>
          <w:tcPr>
            <w:tcW w:w="973" w:type="dxa"/>
            <w:vAlign w:val="center"/>
          </w:tcPr>
          <w:p>
            <w:pPr>
              <w:jc w:val="center"/>
              <w:rPr>
                <w:rFonts w:hint="eastAsia" w:ascii="宋体" w:hAnsi="宋体" w:eastAsia="宋体" w:cs="宋体"/>
                <w:sz w:val="18"/>
                <w:szCs w:val="18"/>
              </w:rPr>
            </w:pPr>
          </w:p>
        </w:tc>
        <w:tc>
          <w:tcPr>
            <w:tcW w:w="909" w:type="dxa"/>
            <w:vAlign w:val="center"/>
          </w:tcPr>
          <w:p>
            <w:pPr>
              <w:jc w:val="center"/>
              <w:rPr>
                <w:rFonts w:hint="eastAsia" w:ascii="宋体" w:hAnsi="宋体" w:eastAsia="宋体" w:cs="宋体"/>
                <w:sz w:val="18"/>
                <w:szCs w:val="18"/>
              </w:rPr>
            </w:pPr>
          </w:p>
        </w:tc>
        <w:tc>
          <w:tcPr>
            <w:tcW w:w="2754" w:type="dxa"/>
            <w:tcBorders>
              <w:left w:val="single" w:color="000000" w:sz="4" w:space="0"/>
            </w:tcBorders>
            <w:vAlign w:val="center"/>
          </w:tcPr>
          <w:p>
            <w:pPr>
              <w:jc w:val="center"/>
              <w:rPr>
                <w:rFonts w:hint="eastAsia" w:ascii="宋体" w:hAnsi="宋体" w:eastAsia="宋体" w:cs="宋体"/>
                <w:sz w:val="18"/>
                <w:szCs w:val="18"/>
              </w:rPr>
            </w:pPr>
          </w:p>
        </w:tc>
        <w:tc>
          <w:tcPr>
            <w:tcW w:w="1465" w:type="dxa"/>
            <w:vAlign w:val="center"/>
          </w:tcPr>
          <w:p>
            <w:pPr>
              <w:jc w:val="center"/>
              <w:rPr>
                <w:rFonts w:hint="eastAsia" w:ascii="宋体" w:hAnsi="宋体" w:eastAsia="宋体" w:cs="宋体"/>
                <w:sz w:val="18"/>
                <w:szCs w:val="18"/>
              </w:rPr>
            </w:pPr>
          </w:p>
        </w:tc>
        <w:tc>
          <w:tcPr>
            <w:tcW w:w="1756" w:type="dxa"/>
            <w:vAlign w:val="center"/>
          </w:tcPr>
          <w:p>
            <w:pPr>
              <w:jc w:val="center"/>
              <w:rPr>
                <w:rFonts w:hint="eastAsia" w:ascii="宋体" w:hAnsi="宋体" w:eastAsia="宋体" w:cs="宋体"/>
                <w:sz w:val="18"/>
                <w:szCs w:val="18"/>
              </w:rPr>
            </w:pPr>
          </w:p>
        </w:tc>
        <w:tc>
          <w:tcPr>
            <w:tcW w:w="1238" w:type="dxa"/>
            <w:vAlign w:val="center"/>
          </w:tcPr>
          <w:p>
            <w:pPr>
              <w:jc w:val="center"/>
              <w:rPr>
                <w:rFonts w:hint="eastAsia" w:ascii="宋体" w:hAnsi="宋体" w:eastAsia="宋体" w:cs="宋体"/>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580" w:type="dxa"/>
            <w:vAlign w:val="center"/>
          </w:tcPr>
          <w:p>
            <w:pPr>
              <w:pStyle w:val="130"/>
              <w:adjustRightInd w:val="0"/>
              <w:snapToGrid w:val="0"/>
              <w:ind w:firstLine="0" w:firstLineChars="0"/>
              <w:jc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2.2</w:t>
            </w:r>
          </w:p>
        </w:tc>
        <w:tc>
          <w:tcPr>
            <w:tcW w:w="2214" w:type="dxa"/>
            <w:vAlign w:val="center"/>
          </w:tcPr>
          <w:p>
            <w:pPr>
              <w:overflowPunct w:val="0"/>
              <w:jc w:val="center"/>
              <w:rPr>
                <w:rFonts w:hint="eastAsia" w:ascii="宋体" w:hAnsi="宋体" w:eastAsia="宋体" w:cs="宋体"/>
                <w:bCs/>
                <w:sz w:val="18"/>
                <w:szCs w:val="18"/>
              </w:rPr>
            </w:pPr>
          </w:p>
        </w:tc>
        <w:tc>
          <w:tcPr>
            <w:tcW w:w="1772" w:type="dxa"/>
            <w:vMerge w:val="continue"/>
            <w:vAlign w:val="center"/>
          </w:tcPr>
          <w:p>
            <w:pPr>
              <w:widowControl/>
              <w:jc w:val="center"/>
              <w:textAlignment w:val="center"/>
              <w:rPr>
                <w:rFonts w:hint="eastAsia" w:ascii="宋体" w:hAnsi="宋体" w:eastAsia="宋体" w:cs="宋体"/>
                <w:color w:val="000000"/>
                <w:kern w:val="0"/>
                <w:sz w:val="18"/>
                <w:szCs w:val="18"/>
                <w:lang w:bidi="ar"/>
              </w:rPr>
            </w:pPr>
          </w:p>
        </w:tc>
        <w:tc>
          <w:tcPr>
            <w:tcW w:w="2544" w:type="dxa"/>
            <w:vAlign w:val="center"/>
          </w:tcPr>
          <w:p>
            <w:pPr>
              <w:jc w:val="center"/>
              <w:rPr>
                <w:rFonts w:hint="eastAsia" w:ascii="宋体" w:hAnsi="宋体" w:eastAsia="宋体" w:cs="宋体"/>
                <w:sz w:val="18"/>
                <w:szCs w:val="18"/>
              </w:rPr>
            </w:pPr>
          </w:p>
        </w:tc>
        <w:tc>
          <w:tcPr>
            <w:tcW w:w="973" w:type="dxa"/>
            <w:vAlign w:val="center"/>
          </w:tcPr>
          <w:p>
            <w:pPr>
              <w:jc w:val="center"/>
              <w:rPr>
                <w:rFonts w:hint="eastAsia" w:ascii="宋体" w:hAnsi="宋体" w:eastAsia="宋体" w:cs="宋体"/>
                <w:sz w:val="18"/>
                <w:szCs w:val="18"/>
              </w:rPr>
            </w:pPr>
          </w:p>
        </w:tc>
        <w:tc>
          <w:tcPr>
            <w:tcW w:w="909" w:type="dxa"/>
            <w:vAlign w:val="center"/>
          </w:tcPr>
          <w:p>
            <w:pPr>
              <w:jc w:val="center"/>
              <w:rPr>
                <w:rFonts w:hint="eastAsia" w:ascii="宋体" w:hAnsi="宋体" w:eastAsia="宋体" w:cs="宋体"/>
                <w:sz w:val="18"/>
                <w:szCs w:val="18"/>
              </w:rPr>
            </w:pPr>
          </w:p>
        </w:tc>
        <w:tc>
          <w:tcPr>
            <w:tcW w:w="2754" w:type="dxa"/>
            <w:tcBorders>
              <w:left w:val="single" w:color="000000" w:sz="4" w:space="0"/>
            </w:tcBorders>
            <w:vAlign w:val="center"/>
          </w:tcPr>
          <w:p>
            <w:pPr>
              <w:jc w:val="center"/>
              <w:rPr>
                <w:rFonts w:hint="eastAsia" w:ascii="宋体" w:hAnsi="宋体" w:eastAsia="宋体" w:cs="宋体"/>
                <w:sz w:val="18"/>
                <w:szCs w:val="18"/>
              </w:rPr>
            </w:pPr>
          </w:p>
        </w:tc>
        <w:tc>
          <w:tcPr>
            <w:tcW w:w="1465" w:type="dxa"/>
            <w:vAlign w:val="center"/>
          </w:tcPr>
          <w:p>
            <w:pPr>
              <w:jc w:val="center"/>
              <w:rPr>
                <w:rFonts w:hint="eastAsia" w:ascii="宋体" w:hAnsi="宋体" w:eastAsia="宋体" w:cs="宋体"/>
                <w:sz w:val="18"/>
                <w:szCs w:val="18"/>
              </w:rPr>
            </w:pPr>
          </w:p>
        </w:tc>
        <w:tc>
          <w:tcPr>
            <w:tcW w:w="1756" w:type="dxa"/>
            <w:vAlign w:val="center"/>
          </w:tcPr>
          <w:p>
            <w:pPr>
              <w:jc w:val="center"/>
              <w:rPr>
                <w:rFonts w:hint="eastAsia" w:ascii="宋体" w:hAnsi="宋体" w:eastAsia="宋体" w:cs="宋体"/>
                <w:sz w:val="18"/>
                <w:szCs w:val="18"/>
              </w:rPr>
            </w:pPr>
          </w:p>
        </w:tc>
        <w:tc>
          <w:tcPr>
            <w:tcW w:w="1238" w:type="dxa"/>
            <w:vAlign w:val="center"/>
          </w:tcPr>
          <w:p>
            <w:pPr>
              <w:jc w:val="center"/>
              <w:rPr>
                <w:rFonts w:hint="eastAsia" w:ascii="宋体" w:hAnsi="宋体" w:eastAsia="宋体" w:cs="宋体"/>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580" w:type="dxa"/>
            <w:vAlign w:val="center"/>
          </w:tcPr>
          <w:p>
            <w:pPr>
              <w:pStyle w:val="130"/>
              <w:adjustRightInd w:val="0"/>
              <w:snapToGrid w:val="0"/>
              <w:ind w:firstLine="0" w:firstLineChars="0"/>
              <w:jc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2.3</w:t>
            </w:r>
          </w:p>
        </w:tc>
        <w:tc>
          <w:tcPr>
            <w:tcW w:w="2214" w:type="dxa"/>
            <w:vAlign w:val="center"/>
          </w:tcPr>
          <w:p>
            <w:pPr>
              <w:overflowPunct w:val="0"/>
              <w:jc w:val="center"/>
              <w:rPr>
                <w:rFonts w:hint="eastAsia" w:ascii="宋体" w:hAnsi="宋体" w:eastAsia="宋体" w:cs="宋体"/>
                <w:bCs/>
                <w:sz w:val="18"/>
                <w:szCs w:val="18"/>
              </w:rPr>
            </w:pPr>
          </w:p>
        </w:tc>
        <w:tc>
          <w:tcPr>
            <w:tcW w:w="1772" w:type="dxa"/>
            <w:vMerge w:val="continue"/>
            <w:vAlign w:val="center"/>
          </w:tcPr>
          <w:p>
            <w:pPr>
              <w:widowControl/>
              <w:jc w:val="center"/>
              <w:textAlignment w:val="center"/>
              <w:rPr>
                <w:rFonts w:hint="eastAsia" w:ascii="宋体" w:hAnsi="宋体" w:eastAsia="宋体" w:cs="宋体"/>
                <w:color w:val="000000"/>
                <w:kern w:val="0"/>
                <w:sz w:val="18"/>
                <w:szCs w:val="18"/>
                <w:lang w:bidi="ar"/>
              </w:rPr>
            </w:pPr>
          </w:p>
        </w:tc>
        <w:tc>
          <w:tcPr>
            <w:tcW w:w="2544" w:type="dxa"/>
            <w:vAlign w:val="center"/>
          </w:tcPr>
          <w:p>
            <w:pPr>
              <w:jc w:val="center"/>
              <w:rPr>
                <w:rFonts w:hint="eastAsia" w:ascii="宋体" w:hAnsi="宋体" w:eastAsia="宋体" w:cs="宋体"/>
                <w:sz w:val="18"/>
                <w:szCs w:val="18"/>
              </w:rPr>
            </w:pPr>
          </w:p>
        </w:tc>
        <w:tc>
          <w:tcPr>
            <w:tcW w:w="973" w:type="dxa"/>
            <w:vAlign w:val="center"/>
          </w:tcPr>
          <w:p>
            <w:pPr>
              <w:jc w:val="center"/>
              <w:rPr>
                <w:rFonts w:hint="eastAsia" w:ascii="宋体" w:hAnsi="宋体" w:eastAsia="宋体" w:cs="宋体"/>
                <w:sz w:val="18"/>
                <w:szCs w:val="18"/>
              </w:rPr>
            </w:pPr>
          </w:p>
        </w:tc>
        <w:tc>
          <w:tcPr>
            <w:tcW w:w="909" w:type="dxa"/>
            <w:vAlign w:val="center"/>
          </w:tcPr>
          <w:p>
            <w:pPr>
              <w:jc w:val="center"/>
              <w:rPr>
                <w:rFonts w:hint="eastAsia" w:ascii="宋体" w:hAnsi="宋体" w:eastAsia="宋体" w:cs="宋体"/>
                <w:sz w:val="18"/>
                <w:szCs w:val="18"/>
              </w:rPr>
            </w:pPr>
          </w:p>
        </w:tc>
        <w:tc>
          <w:tcPr>
            <w:tcW w:w="2754" w:type="dxa"/>
            <w:tcBorders>
              <w:left w:val="single" w:color="000000" w:sz="4" w:space="0"/>
            </w:tcBorders>
            <w:vAlign w:val="center"/>
          </w:tcPr>
          <w:p>
            <w:pPr>
              <w:jc w:val="center"/>
              <w:rPr>
                <w:rFonts w:hint="eastAsia" w:ascii="宋体" w:hAnsi="宋体" w:eastAsia="宋体" w:cs="宋体"/>
                <w:sz w:val="18"/>
                <w:szCs w:val="18"/>
              </w:rPr>
            </w:pPr>
          </w:p>
        </w:tc>
        <w:tc>
          <w:tcPr>
            <w:tcW w:w="1465" w:type="dxa"/>
            <w:vAlign w:val="center"/>
          </w:tcPr>
          <w:p>
            <w:pPr>
              <w:jc w:val="center"/>
              <w:rPr>
                <w:rFonts w:hint="eastAsia" w:ascii="宋体" w:hAnsi="宋体" w:eastAsia="宋体" w:cs="宋体"/>
                <w:sz w:val="18"/>
                <w:szCs w:val="18"/>
              </w:rPr>
            </w:pPr>
          </w:p>
        </w:tc>
        <w:tc>
          <w:tcPr>
            <w:tcW w:w="1756" w:type="dxa"/>
            <w:vAlign w:val="center"/>
          </w:tcPr>
          <w:p>
            <w:pPr>
              <w:jc w:val="center"/>
              <w:rPr>
                <w:rFonts w:hint="eastAsia" w:ascii="宋体" w:hAnsi="宋体" w:eastAsia="宋体" w:cs="宋体"/>
                <w:sz w:val="18"/>
                <w:szCs w:val="18"/>
              </w:rPr>
            </w:pPr>
          </w:p>
        </w:tc>
        <w:tc>
          <w:tcPr>
            <w:tcW w:w="1238" w:type="dxa"/>
            <w:vAlign w:val="center"/>
          </w:tcPr>
          <w:p>
            <w:pPr>
              <w:jc w:val="center"/>
              <w:rPr>
                <w:rFonts w:hint="eastAsia" w:ascii="宋体" w:hAnsi="宋体" w:eastAsia="宋体" w:cs="宋体"/>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580" w:type="dxa"/>
            <w:vAlign w:val="center"/>
          </w:tcPr>
          <w:p>
            <w:pPr>
              <w:pStyle w:val="130"/>
              <w:adjustRightInd w:val="0"/>
              <w:snapToGrid w:val="0"/>
              <w:ind w:firstLine="0" w:firstLineChars="0"/>
              <w:jc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2.4</w:t>
            </w:r>
          </w:p>
        </w:tc>
        <w:tc>
          <w:tcPr>
            <w:tcW w:w="2214" w:type="dxa"/>
            <w:vAlign w:val="center"/>
          </w:tcPr>
          <w:p>
            <w:pPr>
              <w:overflowPunct w:val="0"/>
              <w:jc w:val="center"/>
              <w:rPr>
                <w:rFonts w:hint="eastAsia" w:ascii="宋体" w:hAnsi="宋体" w:eastAsia="宋体" w:cs="宋体"/>
                <w:bCs/>
                <w:sz w:val="18"/>
                <w:szCs w:val="18"/>
              </w:rPr>
            </w:pPr>
          </w:p>
        </w:tc>
        <w:tc>
          <w:tcPr>
            <w:tcW w:w="1772" w:type="dxa"/>
            <w:vMerge w:val="continue"/>
            <w:vAlign w:val="center"/>
          </w:tcPr>
          <w:p>
            <w:pPr>
              <w:widowControl/>
              <w:jc w:val="center"/>
              <w:textAlignment w:val="center"/>
              <w:rPr>
                <w:rFonts w:hint="eastAsia" w:ascii="宋体" w:hAnsi="宋体" w:eastAsia="宋体" w:cs="宋体"/>
                <w:color w:val="000000"/>
                <w:kern w:val="0"/>
                <w:sz w:val="18"/>
                <w:szCs w:val="18"/>
                <w:lang w:bidi="ar"/>
              </w:rPr>
            </w:pPr>
          </w:p>
        </w:tc>
        <w:tc>
          <w:tcPr>
            <w:tcW w:w="2544" w:type="dxa"/>
            <w:vAlign w:val="center"/>
          </w:tcPr>
          <w:p>
            <w:pPr>
              <w:jc w:val="center"/>
              <w:rPr>
                <w:rFonts w:hint="eastAsia" w:ascii="宋体" w:hAnsi="宋体" w:eastAsia="宋体" w:cs="宋体"/>
                <w:sz w:val="18"/>
                <w:szCs w:val="18"/>
              </w:rPr>
            </w:pPr>
          </w:p>
        </w:tc>
        <w:tc>
          <w:tcPr>
            <w:tcW w:w="973" w:type="dxa"/>
            <w:vAlign w:val="center"/>
          </w:tcPr>
          <w:p>
            <w:pPr>
              <w:overflowPunct w:val="0"/>
              <w:jc w:val="center"/>
              <w:rPr>
                <w:rFonts w:hint="eastAsia" w:ascii="宋体" w:hAnsi="宋体" w:eastAsia="宋体" w:cs="宋体"/>
                <w:bCs/>
                <w:sz w:val="18"/>
                <w:szCs w:val="18"/>
              </w:rPr>
            </w:pPr>
          </w:p>
        </w:tc>
        <w:tc>
          <w:tcPr>
            <w:tcW w:w="909" w:type="dxa"/>
            <w:vAlign w:val="center"/>
          </w:tcPr>
          <w:p>
            <w:pPr>
              <w:jc w:val="center"/>
              <w:rPr>
                <w:rFonts w:hint="eastAsia" w:ascii="宋体" w:hAnsi="宋体" w:eastAsia="宋体" w:cs="宋体"/>
                <w:sz w:val="18"/>
                <w:szCs w:val="18"/>
              </w:rPr>
            </w:pPr>
          </w:p>
        </w:tc>
        <w:tc>
          <w:tcPr>
            <w:tcW w:w="2754" w:type="dxa"/>
            <w:tcBorders>
              <w:left w:val="single" w:color="000000" w:sz="4" w:space="0"/>
            </w:tcBorders>
            <w:vAlign w:val="center"/>
          </w:tcPr>
          <w:p>
            <w:pPr>
              <w:jc w:val="center"/>
              <w:rPr>
                <w:rFonts w:hint="eastAsia" w:ascii="宋体" w:hAnsi="宋体" w:eastAsia="宋体" w:cs="宋体"/>
                <w:sz w:val="18"/>
                <w:szCs w:val="18"/>
              </w:rPr>
            </w:pPr>
          </w:p>
        </w:tc>
        <w:tc>
          <w:tcPr>
            <w:tcW w:w="1465" w:type="dxa"/>
            <w:vAlign w:val="center"/>
          </w:tcPr>
          <w:p>
            <w:pPr>
              <w:jc w:val="center"/>
              <w:rPr>
                <w:rFonts w:hint="eastAsia" w:ascii="宋体" w:hAnsi="宋体" w:eastAsia="宋体" w:cs="宋体"/>
                <w:sz w:val="18"/>
                <w:szCs w:val="18"/>
              </w:rPr>
            </w:pPr>
          </w:p>
        </w:tc>
        <w:tc>
          <w:tcPr>
            <w:tcW w:w="1756" w:type="dxa"/>
            <w:vAlign w:val="center"/>
          </w:tcPr>
          <w:p>
            <w:pPr>
              <w:jc w:val="center"/>
              <w:rPr>
                <w:rFonts w:hint="eastAsia" w:ascii="宋体" w:hAnsi="宋体" w:eastAsia="宋体" w:cs="宋体"/>
                <w:sz w:val="18"/>
                <w:szCs w:val="18"/>
              </w:rPr>
            </w:pPr>
          </w:p>
        </w:tc>
        <w:tc>
          <w:tcPr>
            <w:tcW w:w="1238" w:type="dxa"/>
            <w:vAlign w:val="center"/>
          </w:tcPr>
          <w:p>
            <w:pPr>
              <w:jc w:val="center"/>
              <w:rPr>
                <w:rFonts w:hint="eastAsia" w:ascii="宋体" w:hAnsi="宋体" w:eastAsia="宋体" w:cs="宋体"/>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580" w:type="dxa"/>
            <w:vAlign w:val="center"/>
          </w:tcPr>
          <w:p>
            <w:pPr>
              <w:pStyle w:val="130"/>
              <w:adjustRightInd w:val="0"/>
              <w:snapToGrid w:val="0"/>
              <w:ind w:firstLine="0" w:firstLineChars="0"/>
              <w:jc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2.5</w:t>
            </w:r>
          </w:p>
        </w:tc>
        <w:tc>
          <w:tcPr>
            <w:tcW w:w="2214" w:type="dxa"/>
            <w:vAlign w:val="center"/>
          </w:tcPr>
          <w:p>
            <w:pPr>
              <w:overflowPunct w:val="0"/>
              <w:jc w:val="center"/>
              <w:rPr>
                <w:rFonts w:hint="eastAsia" w:ascii="宋体" w:hAnsi="宋体" w:eastAsia="宋体" w:cs="宋体"/>
                <w:bCs/>
                <w:sz w:val="18"/>
                <w:szCs w:val="18"/>
              </w:rPr>
            </w:pPr>
          </w:p>
        </w:tc>
        <w:tc>
          <w:tcPr>
            <w:tcW w:w="1772" w:type="dxa"/>
            <w:vMerge w:val="continue"/>
            <w:vAlign w:val="center"/>
          </w:tcPr>
          <w:p>
            <w:pPr>
              <w:widowControl/>
              <w:jc w:val="center"/>
              <w:textAlignment w:val="center"/>
              <w:rPr>
                <w:rFonts w:hint="eastAsia" w:ascii="宋体" w:hAnsi="宋体" w:eastAsia="宋体" w:cs="宋体"/>
                <w:color w:val="000000"/>
                <w:kern w:val="0"/>
                <w:sz w:val="18"/>
                <w:szCs w:val="18"/>
                <w:lang w:bidi="ar"/>
              </w:rPr>
            </w:pPr>
          </w:p>
        </w:tc>
        <w:tc>
          <w:tcPr>
            <w:tcW w:w="2544" w:type="dxa"/>
            <w:vAlign w:val="center"/>
          </w:tcPr>
          <w:p>
            <w:pPr>
              <w:jc w:val="center"/>
              <w:rPr>
                <w:rFonts w:hint="eastAsia" w:ascii="宋体" w:hAnsi="宋体" w:eastAsia="宋体" w:cs="宋体"/>
                <w:sz w:val="18"/>
                <w:szCs w:val="18"/>
              </w:rPr>
            </w:pPr>
          </w:p>
        </w:tc>
        <w:tc>
          <w:tcPr>
            <w:tcW w:w="973" w:type="dxa"/>
            <w:vAlign w:val="center"/>
          </w:tcPr>
          <w:p>
            <w:pPr>
              <w:overflowPunct w:val="0"/>
              <w:jc w:val="center"/>
              <w:rPr>
                <w:rFonts w:hint="eastAsia" w:ascii="宋体" w:hAnsi="宋体" w:eastAsia="宋体" w:cs="宋体"/>
                <w:bCs/>
                <w:sz w:val="18"/>
                <w:szCs w:val="18"/>
              </w:rPr>
            </w:pPr>
          </w:p>
        </w:tc>
        <w:tc>
          <w:tcPr>
            <w:tcW w:w="909" w:type="dxa"/>
            <w:vAlign w:val="center"/>
          </w:tcPr>
          <w:p>
            <w:pPr>
              <w:jc w:val="center"/>
              <w:rPr>
                <w:rFonts w:hint="eastAsia" w:ascii="宋体" w:hAnsi="宋体" w:eastAsia="宋体" w:cs="宋体"/>
                <w:sz w:val="18"/>
                <w:szCs w:val="18"/>
              </w:rPr>
            </w:pPr>
          </w:p>
        </w:tc>
        <w:tc>
          <w:tcPr>
            <w:tcW w:w="2754" w:type="dxa"/>
            <w:tcBorders>
              <w:left w:val="single" w:color="000000" w:sz="4" w:space="0"/>
            </w:tcBorders>
            <w:vAlign w:val="center"/>
          </w:tcPr>
          <w:p>
            <w:pPr>
              <w:jc w:val="center"/>
              <w:rPr>
                <w:rFonts w:hint="eastAsia" w:ascii="宋体" w:hAnsi="宋体" w:eastAsia="宋体" w:cs="宋体"/>
                <w:sz w:val="18"/>
                <w:szCs w:val="18"/>
              </w:rPr>
            </w:pPr>
          </w:p>
        </w:tc>
        <w:tc>
          <w:tcPr>
            <w:tcW w:w="1465" w:type="dxa"/>
            <w:vAlign w:val="center"/>
          </w:tcPr>
          <w:p>
            <w:pPr>
              <w:jc w:val="center"/>
              <w:rPr>
                <w:rFonts w:hint="eastAsia" w:ascii="宋体" w:hAnsi="宋体" w:eastAsia="宋体" w:cs="宋体"/>
                <w:sz w:val="18"/>
                <w:szCs w:val="18"/>
              </w:rPr>
            </w:pPr>
          </w:p>
        </w:tc>
        <w:tc>
          <w:tcPr>
            <w:tcW w:w="1756" w:type="dxa"/>
            <w:vAlign w:val="center"/>
          </w:tcPr>
          <w:p>
            <w:pPr>
              <w:jc w:val="center"/>
              <w:rPr>
                <w:rFonts w:hint="eastAsia" w:ascii="宋体" w:hAnsi="宋体" w:eastAsia="宋体" w:cs="宋体"/>
                <w:sz w:val="18"/>
                <w:szCs w:val="18"/>
              </w:rPr>
            </w:pPr>
          </w:p>
        </w:tc>
        <w:tc>
          <w:tcPr>
            <w:tcW w:w="1238" w:type="dxa"/>
            <w:vAlign w:val="center"/>
          </w:tcPr>
          <w:p>
            <w:pPr>
              <w:jc w:val="center"/>
              <w:rPr>
                <w:rFonts w:hint="eastAsia" w:ascii="宋体" w:hAnsi="宋体" w:eastAsia="宋体" w:cs="宋体"/>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580" w:type="dxa"/>
            <w:vAlign w:val="center"/>
          </w:tcPr>
          <w:p>
            <w:pPr>
              <w:pStyle w:val="130"/>
              <w:adjustRightInd w:val="0"/>
              <w:snapToGrid w:val="0"/>
              <w:ind w:firstLine="0" w:firstLineChars="0"/>
              <w:jc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2.6</w:t>
            </w:r>
          </w:p>
        </w:tc>
        <w:tc>
          <w:tcPr>
            <w:tcW w:w="2214" w:type="dxa"/>
            <w:vAlign w:val="center"/>
          </w:tcPr>
          <w:p>
            <w:pPr>
              <w:overflowPunct w:val="0"/>
              <w:jc w:val="center"/>
              <w:rPr>
                <w:rFonts w:hint="eastAsia" w:ascii="宋体" w:hAnsi="宋体" w:eastAsia="宋体" w:cs="宋体"/>
                <w:bCs/>
                <w:sz w:val="18"/>
                <w:szCs w:val="18"/>
              </w:rPr>
            </w:pPr>
          </w:p>
        </w:tc>
        <w:tc>
          <w:tcPr>
            <w:tcW w:w="1772" w:type="dxa"/>
            <w:vMerge w:val="continue"/>
            <w:vAlign w:val="center"/>
          </w:tcPr>
          <w:p>
            <w:pPr>
              <w:widowControl/>
              <w:jc w:val="center"/>
              <w:textAlignment w:val="center"/>
              <w:rPr>
                <w:rFonts w:hint="eastAsia" w:ascii="宋体" w:hAnsi="宋体" w:eastAsia="宋体" w:cs="宋体"/>
                <w:color w:val="000000"/>
                <w:kern w:val="0"/>
                <w:sz w:val="18"/>
                <w:szCs w:val="18"/>
                <w:lang w:bidi="ar"/>
              </w:rPr>
            </w:pPr>
          </w:p>
        </w:tc>
        <w:tc>
          <w:tcPr>
            <w:tcW w:w="2544" w:type="dxa"/>
            <w:vAlign w:val="center"/>
          </w:tcPr>
          <w:p>
            <w:pPr>
              <w:jc w:val="center"/>
              <w:rPr>
                <w:rFonts w:hint="eastAsia" w:ascii="宋体" w:hAnsi="宋体" w:eastAsia="宋体" w:cs="宋体"/>
                <w:sz w:val="18"/>
                <w:szCs w:val="18"/>
              </w:rPr>
            </w:pPr>
          </w:p>
        </w:tc>
        <w:tc>
          <w:tcPr>
            <w:tcW w:w="973" w:type="dxa"/>
            <w:vAlign w:val="center"/>
          </w:tcPr>
          <w:p>
            <w:pPr>
              <w:overflowPunct w:val="0"/>
              <w:jc w:val="center"/>
              <w:rPr>
                <w:rFonts w:hint="eastAsia" w:ascii="宋体" w:hAnsi="宋体" w:eastAsia="宋体" w:cs="宋体"/>
                <w:bCs/>
                <w:sz w:val="18"/>
                <w:szCs w:val="18"/>
              </w:rPr>
            </w:pPr>
          </w:p>
        </w:tc>
        <w:tc>
          <w:tcPr>
            <w:tcW w:w="909" w:type="dxa"/>
            <w:vAlign w:val="center"/>
          </w:tcPr>
          <w:p>
            <w:pPr>
              <w:jc w:val="center"/>
              <w:rPr>
                <w:rFonts w:hint="eastAsia" w:ascii="宋体" w:hAnsi="宋体" w:eastAsia="宋体" w:cs="宋体"/>
                <w:sz w:val="18"/>
                <w:szCs w:val="18"/>
              </w:rPr>
            </w:pPr>
          </w:p>
        </w:tc>
        <w:tc>
          <w:tcPr>
            <w:tcW w:w="2754" w:type="dxa"/>
            <w:tcBorders>
              <w:left w:val="single" w:color="000000" w:sz="4" w:space="0"/>
            </w:tcBorders>
            <w:vAlign w:val="center"/>
          </w:tcPr>
          <w:p>
            <w:pPr>
              <w:jc w:val="center"/>
              <w:rPr>
                <w:rFonts w:hint="eastAsia" w:ascii="宋体" w:hAnsi="宋体" w:eastAsia="宋体" w:cs="宋体"/>
                <w:sz w:val="18"/>
                <w:szCs w:val="18"/>
              </w:rPr>
            </w:pPr>
          </w:p>
        </w:tc>
        <w:tc>
          <w:tcPr>
            <w:tcW w:w="1465" w:type="dxa"/>
            <w:vAlign w:val="center"/>
          </w:tcPr>
          <w:p>
            <w:pPr>
              <w:jc w:val="center"/>
              <w:rPr>
                <w:rFonts w:hint="eastAsia" w:ascii="宋体" w:hAnsi="宋体" w:eastAsia="宋体" w:cs="宋体"/>
                <w:sz w:val="18"/>
                <w:szCs w:val="18"/>
              </w:rPr>
            </w:pPr>
          </w:p>
        </w:tc>
        <w:tc>
          <w:tcPr>
            <w:tcW w:w="1756" w:type="dxa"/>
            <w:vAlign w:val="center"/>
          </w:tcPr>
          <w:p>
            <w:pPr>
              <w:jc w:val="center"/>
              <w:rPr>
                <w:rFonts w:hint="eastAsia" w:ascii="宋体" w:hAnsi="宋体" w:eastAsia="宋体" w:cs="宋体"/>
                <w:sz w:val="18"/>
                <w:szCs w:val="18"/>
              </w:rPr>
            </w:pPr>
          </w:p>
        </w:tc>
        <w:tc>
          <w:tcPr>
            <w:tcW w:w="1238" w:type="dxa"/>
            <w:vAlign w:val="center"/>
          </w:tcPr>
          <w:p>
            <w:pPr>
              <w:jc w:val="center"/>
              <w:rPr>
                <w:rFonts w:hint="eastAsia" w:ascii="宋体" w:hAnsi="宋体" w:eastAsia="宋体" w:cs="宋体"/>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580" w:type="dxa"/>
            <w:vAlign w:val="center"/>
          </w:tcPr>
          <w:p>
            <w:pPr>
              <w:pStyle w:val="130"/>
              <w:adjustRightInd w:val="0"/>
              <w:snapToGrid w:val="0"/>
              <w:ind w:firstLine="0" w:firstLineChars="0"/>
              <w:jc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2.7</w:t>
            </w:r>
          </w:p>
        </w:tc>
        <w:tc>
          <w:tcPr>
            <w:tcW w:w="2214" w:type="dxa"/>
            <w:vAlign w:val="center"/>
          </w:tcPr>
          <w:p>
            <w:pPr>
              <w:overflowPunct w:val="0"/>
              <w:jc w:val="center"/>
              <w:rPr>
                <w:rFonts w:hint="eastAsia" w:ascii="宋体" w:hAnsi="宋体" w:eastAsia="宋体" w:cs="宋体"/>
                <w:bCs/>
                <w:sz w:val="18"/>
                <w:szCs w:val="18"/>
              </w:rPr>
            </w:pPr>
          </w:p>
        </w:tc>
        <w:tc>
          <w:tcPr>
            <w:tcW w:w="1772" w:type="dxa"/>
            <w:vMerge w:val="continue"/>
            <w:vAlign w:val="center"/>
          </w:tcPr>
          <w:p>
            <w:pPr>
              <w:widowControl/>
              <w:jc w:val="center"/>
              <w:textAlignment w:val="center"/>
              <w:rPr>
                <w:rFonts w:hint="eastAsia" w:ascii="宋体" w:hAnsi="宋体" w:eastAsia="宋体" w:cs="宋体"/>
                <w:color w:val="000000"/>
                <w:kern w:val="0"/>
                <w:sz w:val="18"/>
                <w:szCs w:val="18"/>
                <w:lang w:bidi="ar"/>
              </w:rPr>
            </w:pPr>
          </w:p>
        </w:tc>
        <w:tc>
          <w:tcPr>
            <w:tcW w:w="2544" w:type="dxa"/>
            <w:vAlign w:val="center"/>
          </w:tcPr>
          <w:p>
            <w:pPr>
              <w:jc w:val="center"/>
              <w:rPr>
                <w:rFonts w:hint="eastAsia" w:ascii="宋体" w:hAnsi="宋体" w:eastAsia="宋体" w:cs="宋体"/>
                <w:sz w:val="18"/>
                <w:szCs w:val="18"/>
              </w:rPr>
            </w:pPr>
          </w:p>
        </w:tc>
        <w:tc>
          <w:tcPr>
            <w:tcW w:w="973" w:type="dxa"/>
            <w:vAlign w:val="center"/>
          </w:tcPr>
          <w:p>
            <w:pPr>
              <w:overflowPunct w:val="0"/>
              <w:jc w:val="center"/>
              <w:rPr>
                <w:rFonts w:hint="eastAsia" w:ascii="宋体" w:hAnsi="宋体" w:eastAsia="宋体" w:cs="宋体"/>
                <w:bCs/>
                <w:sz w:val="18"/>
                <w:szCs w:val="18"/>
              </w:rPr>
            </w:pPr>
          </w:p>
        </w:tc>
        <w:tc>
          <w:tcPr>
            <w:tcW w:w="909" w:type="dxa"/>
            <w:vAlign w:val="center"/>
          </w:tcPr>
          <w:p>
            <w:pPr>
              <w:jc w:val="center"/>
              <w:rPr>
                <w:rFonts w:hint="eastAsia" w:ascii="宋体" w:hAnsi="宋体" w:eastAsia="宋体" w:cs="宋体"/>
                <w:sz w:val="18"/>
                <w:szCs w:val="18"/>
              </w:rPr>
            </w:pPr>
          </w:p>
        </w:tc>
        <w:tc>
          <w:tcPr>
            <w:tcW w:w="2754" w:type="dxa"/>
            <w:tcBorders>
              <w:left w:val="single" w:color="000000" w:sz="4" w:space="0"/>
            </w:tcBorders>
            <w:vAlign w:val="center"/>
          </w:tcPr>
          <w:p>
            <w:pPr>
              <w:jc w:val="center"/>
              <w:rPr>
                <w:rFonts w:hint="eastAsia" w:ascii="宋体" w:hAnsi="宋体" w:eastAsia="宋体" w:cs="宋体"/>
                <w:sz w:val="18"/>
                <w:szCs w:val="18"/>
              </w:rPr>
            </w:pPr>
          </w:p>
        </w:tc>
        <w:tc>
          <w:tcPr>
            <w:tcW w:w="1465" w:type="dxa"/>
            <w:vAlign w:val="center"/>
          </w:tcPr>
          <w:p>
            <w:pPr>
              <w:jc w:val="center"/>
              <w:rPr>
                <w:rFonts w:hint="eastAsia" w:ascii="宋体" w:hAnsi="宋体" w:eastAsia="宋体" w:cs="宋体"/>
                <w:sz w:val="18"/>
                <w:szCs w:val="18"/>
              </w:rPr>
            </w:pPr>
          </w:p>
        </w:tc>
        <w:tc>
          <w:tcPr>
            <w:tcW w:w="1756" w:type="dxa"/>
            <w:vAlign w:val="center"/>
          </w:tcPr>
          <w:p>
            <w:pPr>
              <w:jc w:val="center"/>
              <w:rPr>
                <w:rFonts w:hint="eastAsia" w:ascii="宋体" w:hAnsi="宋体" w:eastAsia="宋体" w:cs="宋体"/>
                <w:sz w:val="18"/>
                <w:szCs w:val="18"/>
              </w:rPr>
            </w:pPr>
          </w:p>
        </w:tc>
        <w:tc>
          <w:tcPr>
            <w:tcW w:w="1238" w:type="dxa"/>
            <w:vAlign w:val="center"/>
          </w:tcPr>
          <w:p>
            <w:pPr>
              <w:jc w:val="center"/>
              <w:rPr>
                <w:rFonts w:hint="eastAsia" w:ascii="宋体" w:hAnsi="宋体" w:eastAsia="宋体" w:cs="宋体"/>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580" w:type="dxa"/>
            <w:vAlign w:val="center"/>
          </w:tcPr>
          <w:p>
            <w:pPr>
              <w:pStyle w:val="130"/>
              <w:adjustRightInd w:val="0"/>
              <w:snapToGrid w:val="0"/>
              <w:ind w:firstLine="0" w:firstLineChars="0"/>
              <w:jc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2.8</w:t>
            </w:r>
          </w:p>
        </w:tc>
        <w:tc>
          <w:tcPr>
            <w:tcW w:w="2214" w:type="dxa"/>
            <w:vAlign w:val="center"/>
          </w:tcPr>
          <w:p>
            <w:pPr>
              <w:overflowPunct w:val="0"/>
              <w:jc w:val="center"/>
              <w:rPr>
                <w:rFonts w:hint="eastAsia" w:ascii="宋体" w:hAnsi="宋体" w:eastAsia="宋体" w:cs="宋体"/>
                <w:bCs/>
                <w:sz w:val="18"/>
                <w:szCs w:val="18"/>
              </w:rPr>
            </w:pPr>
          </w:p>
        </w:tc>
        <w:tc>
          <w:tcPr>
            <w:tcW w:w="1772" w:type="dxa"/>
            <w:vMerge w:val="continue"/>
            <w:vAlign w:val="center"/>
          </w:tcPr>
          <w:p>
            <w:pPr>
              <w:widowControl/>
              <w:jc w:val="center"/>
              <w:textAlignment w:val="center"/>
              <w:rPr>
                <w:rFonts w:hint="eastAsia" w:ascii="宋体" w:hAnsi="宋体" w:eastAsia="宋体" w:cs="宋体"/>
                <w:color w:val="000000"/>
                <w:kern w:val="0"/>
                <w:sz w:val="18"/>
                <w:szCs w:val="18"/>
                <w:lang w:bidi="ar"/>
              </w:rPr>
            </w:pPr>
          </w:p>
        </w:tc>
        <w:tc>
          <w:tcPr>
            <w:tcW w:w="2544" w:type="dxa"/>
            <w:vAlign w:val="center"/>
          </w:tcPr>
          <w:p>
            <w:pPr>
              <w:jc w:val="center"/>
              <w:rPr>
                <w:rFonts w:hint="eastAsia" w:ascii="宋体" w:hAnsi="宋体" w:eastAsia="宋体" w:cs="宋体"/>
                <w:sz w:val="18"/>
                <w:szCs w:val="18"/>
              </w:rPr>
            </w:pPr>
          </w:p>
        </w:tc>
        <w:tc>
          <w:tcPr>
            <w:tcW w:w="973" w:type="dxa"/>
            <w:vAlign w:val="center"/>
          </w:tcPr>
          <w:p>
            <w:pPr>
              <w:overflowPunct w:val="0"/>
              <w:jc w:val="center"/>
              <w:rPr>
                <w:rFonts w:hint="eastAsia" w:ascii="宋体" w:hAnsi="宋体" w:eastAsia="宋体" w:cs="宋体"/>
                <w:bCs/>
                <w:sz w:val="18"/>
                <w:szCs w:val="18"/>
              </w:rPr>
            </w:pPr>
          </w:p>
        </w:tc>
        <w:tc>
          <w:tcPr>
            <w:tcW w:w="909" w:type="dxa"/>
            <w:vAlign w:val="center"/>
          </w:tcPr>
          <w:p>
            <w:pPr>
              <w:jc w:val="center"/>
              <w:rPr>
                <w:rFonts w:hint="eastAsia" w:ascii="宋体" w:hAnsi="宋体" w:eastAsia="宋体" w:cs="宋体"/>
                <w:sz w:val="18"/>
                <w:szCs w:val="18"/>
              </w:rPr>
            </w:pPr>
          </w:p>
        </w:tc>
        <w:tc>
          <w:tcPr>
            <w:tcW w:w="2754" w:type="dxa"/>
            <w:tcBorders>
              <w:left w:val="single" w:color="000000" w:sz="4" w:space="0"/>
            </w:tcBorders>
            <w:vAlign w:val="center"/>
          </w:tcPr>
          <w:p>
            <w:pPr>
              <w:jc w:val="center"/>
              <w:rPr>
                <w:rFonts w:hint="eastAsia" w:ascii="宋体" w:hAnsi="宋体" w:eastAsia="宋体" w:cs="宋体"/>
                <w:sz w:val="18"/>
                <w:szCs w:val="18"/>
              </w:rPr>
            </w:pPr>
          </w:p>
        </w:tc>
        <w:tc>
          <w:tcPr>
            <w:tcW w:w="1465" w:type="dxa"/>
            <w:vAlign w:val="center"/>
          </w:tcPr>
          <w:p>
            <w:pPr>
              <w:jc w:val="center"/>
              <w:rPr>
                <w:rFonts w:hint="eastAsia" w:ascii="宋体" w:hAnsi="宋体" w:eastAsia="宋体" w:cs="宋体"/>
                <w:sz w:val="18"/>
                <w:szCs w:val="18"/>
              </w:rPr>
            </w:pPr>
          </w:p>
        </w:tc>
        <w:tc>
          <w:tcPr>
            <w:tcW w:w="1756" w:type="dxa"/>
            <w:vAlign w:val="center"/>
          </w:tcPr>
          <w:p>
            <w:pPr>
              <w:jc w:val="center"/>
              <w:rPr>
                <w:rFonts w:hint="eastAsia" w:ascii="宋体" w:hAnsi="宋体" w:eastAsia="宋体" w:cs="宋体"/>
                <w:sz w:val="18"/>
                <w:szCs w:val="18"/>
              </w:rPr>
            </w:pPr>
          </w:p>
        </w:tc>
        <w:tc>
          <w:tcPr>
            <w:tcW w:w="1238" w:type="dxa"/>
            <w:vAlign w:val="center"/>
          </w:tcPr>
          <w:p>
            <w:pPr>
              <w:jc w:val="center"/>
              <w:rPr>
                <w:rFonts w:hint="eastAsia" w:ascii="宋体" w:hAnsi="宋体" w:eastAsia="宋体" w:cs="宋体"/>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580" w:type="dxa"/>
            <w:vAlign w:val="center"/>
          </w:tcPr>
          <w:p>
            <w:pPr>
              <w:pStyle w:val="130"/>
              <w:adjustRightInd w:val="0"/>
              <w:snapToGrid w:val="0"/>
              <w:ind w:firstLine="0" w:firstLineChars="0"/>
              <w:jc w:val="center"/>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3</w:t>
            </w:r>
          </w:p>
        </w:tc>
        <w:tc>
          <w:tcPr>
            <w:tcW w:w="2214" w:type="dxa"/>
            <w:vAlign w:val="center"/>
          </w:tcPr>
          <w:p>
            <w:pPr>
              <w:overflowPunct w:val="0"/>
              <w:jc w:val="center"/>
              <w:rPr>
                <w:rFonts w:hint="eastAsia" w:ascii="宋体" w:hAnsi="宋体" w:eastAsia="宋体" w:cs="宋体"/>
                <w:b/>
                <w:bCs/>
                <w:sz w:val="18"/>
                <w:szCs w:val="18"/>
              </w:rPr>
            </w:pPr>
            <w:r>
              <w:rPr>
                <w:rFonts w:hint="eastAsia" w:ascii="宋体" w:hAnsi="宋体" w:eastAsia="宋体" w:cs="宋体"/>
                <w:b/>
                <w:bCs/>
                <w:sz w:val="18"/>
                <w:szCs w:val="18"/>
              </w:rPr>
              <w:t>土建</w:t>
            </w:r>
          </w:p>
        </w:tc>
        <w:tc>
          <w:tcPr>
            <w:tcW w:w="1772" w:type="dxa"/>
            <w:vMerge w:val="restart"/>
            <w:vAlign w:val="center"/>
          </w:tcPr>
          <w:p>
            <w:pPr>
              <w:widowControl/>
              <w:jc w:val="center"/>
              <w:textAlignment w:val="center"/>
              <w:rPr>
                <w:rFonts w:hint="eastAsia" w:ascii="宋体" w:hAnsi="宋体" w:eastAsia="宋体" w:cs="宋体"/>
                <w:b/>
                <w:bCs/>
                <w:color w:val="000000"/>
                <w:kern w:val="0"/>
                <w:sz w:val="18"/>
                <w:szCs w:val="18"/>
                <w:lang w:bidi="ar"/>
              </w:rPr>
            </w:pPr>
          </w:p>
        </w:tc>
        <w:tc>
          <w:tcPr>
            <w:tcW w:w="2544" w:type="dxa"/>
            <w:vAlign w:val="center"/>
          </w:tcPr>
          <w:p>
            <w:pPr>
              <w:jc w:val="center"/>
              <w:rPr>
                <w:rFonts w:hint="eastAsia" w:ascii="宋体" w:hAnsi="宋体" w:eastAsia="宋体" w:cs="宋体"/>
                <w:b/>
                <w:bCs/>
                <w:sz w:val="18"/>
                <w:szCs w:val="18"/>
              </w:rPr>
            </w:pPr>
          </w:p>
        </w:tc>
        <w:tc>
          <w:tcPr>
            <w:tcW w:w="973" w:type="dxa"/>
            <w:vAlign w:val="center"/>
          </w:tcPr>
          <w:p>
            <w:pPr>
              <w:overflowPunct w:val="0"/>
              <w:jc w:val="center"/>
              <w:rPr>
                <w:rFonts w:hint="eastAsia" w:ascii="宋体" w:hAnsi="宋体" w:eastAsia="宋体" w:cs="宋体"/>
                <w:b/>
                <w:bCs/>
                <w:sz w:val="18"/>
                <w:szCs w:val="18"/>
              </w:rPr>
            </w:pPr>
          </w:p>
        </w:tc>
        <w:tc>
          <w:tcPr>
            <w:tcW w:w="909" w:type="dxa"/>
            <w:vAlign w:val="center"/>
          </w:tcPr>
          <w:p>
            <w:pPr>
              <w:jc w:val="center"/>
              <w:rPr>
                <w:rFonts w:hint="eastAsia" w:ascii="宋体" w:hAnsi="宋体" w:eastAsia="宋体" w:cs="宋体"/>
                <w:b/>
                <w:bCs/>
                <w:sz w:val="18"/>
                <w:szCs w:val="18"/>
              </w:rPr>
            </w:pPr>
          </w:p>
        </w:tc>
        <w:tc>
          <w:tcPr>
            <w:tcW w:w="2754" w:type="dxa"/>
            <w:tcBorders>
              <w:left w:val="single" w:color="000000" w:sz="4" w:space="0"/>
            </w:tcBorders>
            <w:vAlign w:val="center"/>
          </w:tcPr>
          <w:p>
            <w:pPr>
              <w:jc w:val="center"/>
              <w:rPr>
                <w:rFonts w:hint="eastAsia" w:ascii="宋体" w:hAnsi="宋体" w:eastAsia="宋体" w:cs="宋体"/>
                <w:b/>
                <w:bCs/>
                <w:sz w:val="18"/>
                <w:szCs w:val="18"/>
              </w:rPr>
            </w:pPr>
          </w:p>
        </w:tc>
        <w:tc>
          <w:tcPr>
            <w:tcW w:w="1465" w:type="dxa"/>
            <w:vAlign w:val="center"/>
          </w:tcPr>
          <w:p>
            <w:pPr>
              <w:jc w:val="center"/>
              <w:rPr>
                <w:rFonts w:hint="eastAsia" w:ascii="宋体" w:hAnsi="宋体" w:eastAsia="宋体" w:cs="宋体"/>
                <w:b/>
                <w:bCs/>
                <w:sz w:val="18"/>
                <w:szCs w:val="18"/>
              </w:rPr>
            </w:pPr>
          </w:p>
        </w:tc>
        <w:tc>
          <w:tcPr>
            <w:tcW w:w="1756" w:type="dxa"/>
            <w:vAlign w:val="center"/>
          </w:tcPr>
          <w:p>
            <w:pPr>
              <w:jc w:val="center"/>
              <w:rPr>
                <w:rFonts w:hint="eastAsia" w:ascii="宋体" w:hAnsi="宋体" w:eastAsia="宋体" w:cs="宋体"/>
                <w:b/>
                <w:bCs/>
                <w:sz w:val="18"/>
                <w:szCs w:val="18"/>
              </w:rPr>
            </w:pPr>
          </w:p>
        </w:tc>
        <w:tc>
          <w:tcPr>
            <w:tcW w:w="1238" w:type="dxa"/>
            <w:vAlign w:val="center"/>
          </w:tcPr>
          <w:p>
            <w:pPr>
              <w:jc w:val="center"/>
              <w:rPr>
                <w:rFonts w:hint="eastAsia" w:ascii="宋体" w:hAnsi="宋体" w:eastAsia="宋体" w:cs="宋体"/>
                <w:b/>
                <w:bCs/>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580" w:type="dxa"/>
            <w:vAlign w:val="center"/>
          </w:tcPr>
          <w:p>
            <w:pPr>
              <w:pStyle w:val="130"/>
              <w:adjustRightInd w:val="0"/>
              <w:snapToGrid w:val="0"/>
              <w:ind w:firstLine="0" w:firstLineChars="0"/>
              <w:jc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3.1</w:t>
            </w:r>
          </w:p>
        </w:tc>
        <w:tc>
          <w:tcPr>
            <w:tcW w:w="2214" w:type="dxa"/>
            <w:vAlign w:val="center"/>
          </w:tcPr>
          <w:p>
            <w:pPr>
              <w:overflowPunct w:val="0"/>
              <w:jc w:val="center"/>
              <w:rPr>
                <w:rFonts w:hint="eastAsia" w:ascii="宋体" w:hAnsi="宋体" w:eastAsia="宋体" w:cs="宋体"/>
                <w:bCs/>
                <w:sz w:val="18"/>
                <w:szCs w:val="18"/>
              </w:rPr>
            </w:pPr>
          </w:p>
        </w:tc>
        <w:tc>
          <w:tcPr>
            <w:tcW w:w="1772" w:type="dxa"/>
            <w:vMerge w:val="continue"/>
            <w:vAlign w:val="center"/>
          </w:tcPr>
          <w:p>
            <w:pPr>
              <w:widowControl/>
              <w:jc w:val="center"/>
              <w:textAlignment w:val="center"/>
              <w:rPr>
                <w:rFonts w:hint="eastAsia" w:ascii="宋体" w:hAnsi="宋体" w:eastAsia="宋体" w:cs="宋体"/>
                <w:color w:val="000000"/>
                <w:kern w:val="0"/>
                <w:sz w:val="18"/>
                <w:szCs w:val="18"/>
                <w:lang w:bidi="ar"/>
              </w:rPr>
            </w:pPr>
          </w:p>
        </w:tc>
        <w:tc>
          <w:tcPr>
            <w:tcW w:w="2544" w:type="dxa"/>
            <w:vAlign w:val="center"/>
          </w:tcPr>
          <w:p>
            <w:pPr>
              <w:jc w:val="center"/>
              <w:rPr>
                <w:rFonts w:hint="eastAsia" w:ascii="宋体" w:hAnsi="宋体" w:eastAsia="宋体" w:cs="宋体"/>
                <w:sz w:val="18"/>
                <w:szCs w:val="18"/>
              </w:rPr>
            </w:pPr>
          </w:p>
        </w:tc>
        <w:tc>
          <w:tcPr>
            <w:tcW w:w="973" w:type="dxa"/>
            <w:vAlign w:val="center"/>
          </w:tcPr>
          <w:p>
            <w:pPr>
              <w:overflowPunct w:val="0"/>
              <w:jc w:val="center"/>
              <w:rPr>
                <w:rFonts w:hint="eastAsia" w:ascii="宋体" w:hAnsi="宋体" w:eastAsia="宋体" w:cs="宋体"/>
                <w:bCs/>
                <w:sz w:val="18"/>
                <w:szCs w:val="18"/>
              </w:rPr>
            </w:pPr>
          </w:p>
        </w:tc>
        <w:tc>
          <w:tcPr>
            <w:tcW w:w="909" w:type="dxa"/>
            <w:vAlign w:val="center"/>
          </w:tcPr>
          <w:p>
            <w:pPr>
              <w:jc w:val="center"/>
              <w:rPr>
                <w:rFonts w:hint="eastAsia" w:ascii="宋体" w:hAnsi="宋体" w:eastAsia="宋体" w:cs="宋体"/>
                <w:sz w:val="18"/>
                <w:szCs w:val="18"/>
              </w:rPr>
            </w:pPr>
          </w:p>
        </w:tc>
        <w:tc>
          <w:tcPr>
            <w:tcW w:w="2754" w:type="dxa"/>
            <w:tcBorders>
              <w:left w:val="single" w:color="000000" w:sz="4" w:space="0"/>
            </w:tcBorders>
            <w:vAlign w:val="center"/>
          </w:tcPr>
          <w:p>
            <w:pPr>
              <w:jc w:val="center"/>
              <w:rPr>
                <w:rFonts w:hint="eastAsia" w:ascii="宋体" w:hAnsi="宋体" w:eastAsia="宋体" w:cs="宋体"/>
                <w:sz w:val="18"/>
                <w:szCs w:val="18"/>
              </w:rPr>
            </w:pPr>
          </w:p>
        </w:tc>
        <w:tc>
          <w:tcPr>
            <w:tcW w:w="1465" w:type="dxa"/>
            <w:vAlign w:val="center"/>
          </w:tcPr>
          <w:p>
            <w:pPr>
              <w:jc w:val="center"/>
              <w:rPr>
                <w:rFonts w:hint="eastAsia" w:ascii="宋体" w:hAnsi="宋体" w:eastAsia="宋体" w:cs="宋体"/>
                <w:sz w:val="18"/>
                <w:szCs w:val="18"/>
              </w:rPr>
            </w:pPr>
          </w:p>
        </w:tc>
        <w:tc>
          <w:tcPr>
            <w:tcW w:w="1756" w:type="dxa"/>
            <w:vAlign w:val="center"/>
          </w:tcPr>
          <w:p>
            <w:pPr>
              <w:jc w:val="center"/>
              <w:rPr>
                <w:rFonts w:hint="eastAsia" w:ascii="宋体" w:hAnsi="宋体" w:eastAsia="宋体" w:cs="宋体"/>
                <w:sz w:val="18"/>
                <w:szCs w:val="18"/>
              </w:rPr>
            </w:pPr>
          </w:p>
        </w:tc>
        <w:tc>
          <w:tcPr>
            <w:tcW w:w="1238" w:type="dxa"/>
            <w:vAlign w:val="center"/>
          </w:tcPr>
          <w:p>
            <w:pPr>
              <w:jc w:val="center"/>
              <w:rPr>
                <w:rFonts w:hint="eastAsia" w:ascii="宋体" w:hAnsi="宋体" w:eastAsia="宋体" w:cs="宋体"/>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580" w:type="dxa"/>
            <w:vAlign w:val="center"/>
          </w:tcPr>
          <w:p>
            <w:pPr>
              <w:pStyle w:val="130"/>
              <w:adjustRightInd w:val="0"/>
              <w:snapToGrid w:val="0"/>
              <w:ind w:firstLine="0" w:firstLineChars="0"/>
              <w:jc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3.2</w:t>
            </w:r>
          </w:p>
        </w:tc>
        <w:tc>
          <w:tcPr>
            <w:tcW w:w="2214" w:type="dxa"/>
            <w:vAlign w:val="center"/>
          </w:tcPr>
          <w:p>
            <w:pPr>
              <w:overflowPunct w:val="0"/>
              <w:jc w:val="center"/>
              <w:rPr>
                <w:rFonts w:hint="eastAsia" w:ascii="宋体" w:hAnsi="宋体" w:eastAsia="宋体" w:cs="宋体"/>
                <w:bCs/>
                <w:sz w:val="18"/>
                <w:szCs w:val="18"/>
              </w:rPr>
            </w:pPr>
          </w:p>
        </w:tc>
        <w:tc>
          <w:tcPr>
            <w:tcW w:w="1772" w:type="dxa"/>
            <w:vMerge w:val="continue"/>
            <w:vAlign w:val="center"/>
          </w:tcPr>
          <w:p>
            <w:pPr>
              <w:widowControl/>
              <w:jc w:val="center"/>
              <w:textAlignment w:val="center"/>
              <w:rPr>
                <w:rFonts w:hint="eastAsia" w:ascii="宋体" w:hAnsi="宋体" w:eastAsia="宋体" w:cs="宋体"/>
                <w:color w:val="000000"/>
                <w:kern w:val="0"/>
                <w:sz w:val="18"/>
                <w:szCs w:val="18"/>
                <w:lang w:bidi="ar"/>
              </w:rPr>
            </w:pPr>
          </w:p>
        </w:tc>
        <w:tc>
          <w:tcPr>
            <w:tcW w:w="2544" w:type="dxa"/>
            <w:vAlign w:val="center"/>
          </w:tcPr>
          <w:p>
            <w:pPr>
              <w:jc w:val="center"/>
              <w:rPr>
                <w:rFonts w:hint="eastAsia" w:ascii="宋体" w:hAnsi="宋体" w:eastAsia="宋体" w:cs="宋体"/>
                <w:sz w:val="18"/>
                <w:szCs w:val="18"/>
              </w:rPr>
            </w:pPr>
          </w:p>
        </w:tc>
        <w:tc>
          <w:tcPr>
            <w:tcW w:w="973" w:type="dxa"/>
            <w:vAlign w:val="center"/>
          </w:tcPr>
          <w:p>
            <w:pPr>
              <w:overflowPunct w:val="0"/>
              <w:jc w:val="center"/>
              <w:rPr>
                <w:rFonts w:hint="eastAsia" w:ascii="宋体" w:hAnsi="宋体" w:eastAsia="宋体" w:cs="宋体"/>
                <w:bCs/>
                <w:sz w:val="18"/>
                <w:szCs w:val="18"/>
              </w:rPr>
            </w:pPr>
          </w:p>
        </w:tc>
        <w:tc>
          <w:tcPr>
            <w:tcW w:w="909" w:type="dxa"/>
            <w:vAlign w:val="center"/>
          </w:tcPr>
          <w:p>
            <w:pPr>
              <w:jc w:val="center"/>
              <w:rPr>
                <w:rFonts w:hint="eastAsia" w:ascii="宋体" w:hAnsi="宋体" w:eastAsia="宋体" w:cs="宋体"/>
                <w:sz w:val="18"/>
                <w:szCs w:val="18"/>
              </w:rPr>
            </w:pPr>
          </w:p>
        </w:tc>
        <w:tc>
          <w:tcPr>
            <w:tcW w:w="2754" w:type="dxa"/>
            <w:tcBorders>
              <w:left w:val="single" w:color="000000" w:sz="4" w:space="0"/>
            </w:tcBorders>
            <w:vAlign w:val="center"/>
          </w:tcPr>
          <w:p>
            <w:pPr>
              <w:jc w:val="center"/>
              <w:rPr>
                <w:rFonts w:hint="eastAsia" w:ascii="宋体" w:hAnsi="宋体" w:eastAsia="宋体" w:cs="宋体"/>
                <w:sz w:val="18"/>
                <w:szCs w:val="18"/>
              </w:rPr>
            </w:pPr>
          </w:p>
        </w:tc>
        <w:tc>
          <w:tcPr>
            <w:tcW w:w="1465" w:type="dxa"/>
            <w:vAlign w:val="center"/>
          </w:tcPr>
          <w:p>
            <w:pPr>
              <w:jc w:val="center"/>
              <w:rPr>
                <w:rFonts w:hint="eastAsia" w:ascii="宋体" w:hAnsi="宋体" w:eastAsia="宋体" w:cs="宋体"/>
                <w:sz w:val="18"/>
                <w:szCs w:val="18"/>
              </w:rPr>
            </w:pPr>
          </w:p>
        </w:tc>
        <w:tc>
          <w:tcPr>
            <w:tcW w:w="1756" w:type="dxa"/>
            <w:vAlign w:val="center"/>
          </w:tcPr>
          <w:p>
            <w:pPr>
              <w:jc w:val="center"/>
              <w:rPr>
                <w:rFonts w:hint="eastAsia" w:ascii="宋体" w:hAnsi="宋体" w:eastAsia="宋体" w:cs="宋体"/>
                <w:sz w:val="18"/>
                <w:szCs w:val="18"/>
              </w:rPr>
            </w:pPr>
          </w:p>
        </w:tc>
        <w:tc>
          <w:tcPr>
            <w:tcW w:w="1238" w:type="dxa"/>
            <w:vAlign w:val="center"/>
          </w:tcPr>
          <w:p>
            <w:pPr>
              <w:jc w:val="center"/>
              <w:rPr>
                <w:rFonts w:hint="eastAsia" w:ascii="宋体" w:hAnsi="宋体" w:eastAsia="宋体" w:cs="宋体"/>
                <w:sz w:val="18"/>
                <w:szCs w:val="18"/>
              </w:rPr>
            </w:pPr>
          </w:p>
        </w:tc>
      </w:tr>
    </w:tbl>
    <w:p>
      <w:pPr>
        <w:spacing w:before="52" w:line="221" w:lineRule="auto"/>
        <w:ind w:left="9"/>
        <w:rPr>
          <w:rFonts w:hint="eastAsia" w:ascii="宋体" w:hAnsi="宋体" w:eastAsia="宋体" w:cs="宋体"/>
          <w:szCs w:val="21"/>
          <w14:textOutline w14:w="3835" w14:cap="flat" w14:cmpd="sng" w14:algn="ctr">
            <w14:solidFill>
              <w14:srgbClr w14:val="000000"/>
            </w14:solidFill>
            <w14:prstDash w14:val="solid"/>
            <w14:miter w14:val="0"/>
          </w14:textOutline>
        </w:rPr>
      </w:pPr>
    </w:p>
    <w:p>
      <w:pPr>
        <w:spacing w:before="52" w:line="221" w:lineRule="auto"/>
        <w:ind w:left="9"/>
        <w:rPr>
          <w:rFonts w:hint="eastAsia" w:ascii="宋体" w:hAnsi="宋体" w:eastAsia="宋体" w:cs="宋体"/>
          <w:szCs w:val="21"/>
          <w14:textOutline w14:w="3835" w14:cap="flat" w14:cmpd="sng" w14:algn="ctr">
            <w14:solidFill>
              <w14:srgbClr w14:val="000000"/>
            </w14:solidFill>
            <w14:prstDash w14:val="solid"/>
            <w14:miter w14:val="0"/>
          </w14:textOutline>
        </w:rPr>
      </w:pPr>
    </w:p>
    <w:p>
      <w:pPr>
        <w:spacing w:before="52" w:line="221" w:lineRule="auto"/>
        <w:ind w:left="9"/>
        <w:rPr>
          <w:rFonts w:hint="eastAsia" w:ascii="宋体" w:hAnsi="宋体" w:eastAsia="宋体" w:cs="宋体"/>
          <w:szCs w:val="21"/>
          <w14:textOutline w14:w="3835" w14:cap="flat" w14:cmpd="sng" w14:algn="ctr">
            <w14:solidFill>
              <w14:srgbClr w14:val="000000"/>
            </w14:solidFill>
            <w14:prstDash w14:val="solid"/>
            <w14:miter w14:val="0"/>
          </w14:textOutline>
        </w:rPr>
      </w:pPr>
    </w:p>
    <w:p>
      <w:pPr>
        <w:spacing w:before="58" w:line="219" w:lineRule="auto"/>
        <w:ind w:left="8"/>
        <w:rPr>
          <w:rFonts w:hint="eastAsia" w:ascii="宋体" w:hAnsi="宋体" w:eastAsia="宋体" w:cs="宋体"/>
          <w:spacing w:val="-8"/>
          <w:szCs w:val="21"/>
        </w:rPr>
      </w:pPr>
    </w:p>
    <w:p>
      <w:pPr>
        <w:spacing w:before="58" w:line="219" w:lineRule="auto"/>
        <w:ind w:left="8"/>
        <w:rPr>
          <w:rFonts w:hint="eastAsia"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85" w:line="198" w:lineRule="auto"/>
        <w:rPr>
          <w:rFonts w:hint="eastAsia" w:ascii="宋体" w:hAnsi="宋体" w:eastAsia="宋体" w:cs="宋体"/>
          <w:spacing w:val="-4"/>
          <w:sz w:val="24"/>
          <w:szCs w:val="24"/>
        </w:rPr>
      </w:pPr>
    </w:p>
    <w:p>
      <w:pPr>
        <w:spacing w:before="85" w:line="198" w:lineRule="auto"/>
        <w:rPr>
          <w:rFonts w:hint="eastAsia" w:ascii="宋体" w:hAnsi="宋体" w:eastAsia="宋体" w:cs="宋体"/>
          <w:spacing w:val="-4"/>
          <w:sz w:val="24"/>
          <w:szCs w:val="24"/>
        </w:rPr>
      </w:pPr>
      <w:r>
        <w:rPr>
          <w:rFonts w:hint="eastAsia" w:ascii="宋体" w:hAnsi="宋体" w:eastAsia="宋体" w:cs="宋体"/>
          <w:spacing w:val="-4"/>
          <w:sz w:val="24"/>
          <w:szCs w:val="24"/>
        </w:rPr>
        <w:t xml:space="preserve">投标人(章)：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tabs>
          <w:tab w:val="left" w:pos="1055"/>
        </w:tabs>
        <w:rPr>
          <w:rFonts w:hint="eastAsia" w:ascii="宋体" w:hAnsi="宋体" w:eastAsia="宋体" w:cs="宋体"/>
          <w:szCs w:val="21"/>
        </w:rPr>
        <w:sectPr>
          <w:footerReference r:id="rId24" w:type="default"/>
          <w:pgSz w:w="16841" w:h="11907" w:orient="landscape"/>
          <w:pgMar w:top="400" w:right="1387" w:bottom="1168" w:left="1473" w:header="0" w:footer="990" w:gutter="0"/>
          <w:cols w:equalWidth="0" w:num="1">
            <w:col w:w="13980"/>
          </w:cols>
        </w:sectPr>
      </w:pPr>
      <w:r>
        <w:rPr>
          <w:rFonts w:hint="eastAsia" w:ascii="宋体" w:hAnsi="宋体" w:eastAsia="宋体" w:cs="宋体"/>
          <w:szCs w:val="21"/>
        </w:rPr>
        <w:tab/>
      </w:r>
    </w:p>
    <w:p>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2"/>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hint="eastAsia" w:ascii="Arial"/>
              </w:rPr>
            </w:pPr>
          </w:p>
          <w:p>
            <w:pPr>
              <w:spacing w:before="68" w:line="222" w:lineRule="auto"/>
              <w:ind w:left="194"/>
              <w:rPr>
                <w:rFonts w:hint="eastAsia" w:ascii="宋体" w:hAnsi="宋体" w:eastAsia="宋体" w:cs="宋体"/>
                <w:szCs w:val="21"/>
              </w:rPr>
            </w:pPr>
            <w:r>
              <w:rPr>
                <w:rFonts w:ascii="宋体" w:hAnsi="宋体" w:eastAsia="宋体" w:cs="宋体"/>
                <w:spacing w:val="-1"/>
                <w:szCs w:val="21"/>
              </w:rPr>
              <w:t>序号</w:t>
            </w:r>
          </w:p>
        </w:tc>
        <w:tc>
          <w:tcPr>
            <w:tcW w:w="3530" w:type="dxa"/>
            <w:vMerge w:val="restart"/>
            <w:tcBorders>
              <w:bottom w:val="nil"/>
            </w:tcBorders>
          </w:tcPr>
          <w:p>
            <w:pPr>
              <w:spacing w:line="295" w:lineRule="auto"/>
              <w:rPr>
                <w:rFonts w:hint="eastAsia" w:ascii="Arial"/>
              </w:rPr>
            </w:pPr>
          </w:p>
          <w:p>
            <w:pPr>
              <w:spacing w:before="68" w:line="221" w:lineRule="auto"/>
              <w:ind w:left="1476"/>
              <w:rPr>
                <w:rFonts w:hint="eastAsia" w:ascii="宋体" w:hAnsi="宋体" w:eastAsia="宋体" w:cs="宋体"/>
                <w:szCs w:val="21"/>
              </w:rPr>
            </w:pPr>
            <w:r>
              <w:rPr>
                <w:rFonts w:ascii="宋体" w:hAnsi="宋体" w:eastAsia="宋体" w:cs="宋体"/>
                <w:spacing w:val="-1"/>
                <w:szCs w:val="21"/>
              </w:rPr>
              <w:t>内  容</w:t>
            </w:r>
          </w:p>
        </w:tc>
        <w:tc>
          <w:tcPr>
            <w:tcW w:w="2159" w:type="dxa"/>
          </w:tcPr>
          <w:p>
            <w:pPr>
              <w:spacing w:before="130" w:line="221" w:lineRule="auto"/>
              <w:ind w:left="766"/>
              <w:rPr>
                <w:rFonts w:hint="eastAsia" w:ascii="宋体" w:hAnsi="宋体" w:eastAsia="宋体" w:cs="宋体"/>
                <w:szCs w:val="21"/>
              </w:rPr>
            </w:pPr>
            <w:r>
              <w:rPr>
                <w:rFonts w:ascii="宋体" w:hAnsi="宋体" w:eastAsia="宋体" w:cs="宋体"/>
                <w:spacing w:val="-1"/>
                <w:szCs w:val="21"/>
              </w:rPr>
              <w:t>数  量</w:t>
            </w:r>
          </w:p>
        </w:tc>
        <w:tc>
          <w:tcPr>
            <w:tcW w:w="2186" w:type="dxa"/>
          </w:tcPr>
          <w:p>
            <w:pPr>
              <w:spacing w:before="131" w:line="219" w:lineRule="auto"/>
              <w:jc w:val="center"/>
              <w:rPr>
                <w:rFonts w:hint="eastAsia" w:ascii="宋体" w:hAnsi="宋体" w:eastAsia="宋体" w:cs="宋体"/>
                <w:spacing w:val="-1"/>
                <w:szCs w:val="21"/>
              </w:rPr>
            </w:pPr>
            <w:r>
              <w:rPr>
                <w:rFonts w:ascii="宋体" w:hAnsi="宋体" w:eastAsia="宋体" w:cs="宋体"/>
                <w:spacing w:val="-1"/>
                <w:szCs w:val="21"/>
              </w:rPr>
              <w:t>单价(元)</w:t>
            </w:r>
            <w:r>
              <w:rPr>
                <w:rFonts w:hint="eastAsia" w:ascii="宋体" w:hAnsi="宋体" w:eastAsia="宋体" w:cs="宋体"/>
                <w:spacing w:val="-1"/>
                <w:szCs w:val="21"/>
              </w:rPr>
              <w:t>（不含税）</w:t>
            </w:r>
          </w:p>
        </w:tc>
        <w:tc>
          <w:tcPr>
            <w:tcW w:w="2596" w:type="dxa"/>
          </w:tcPr>
          <w:p>
            <w:pPr>
              <w:spacing w:before="131" w:line="219" w:lineRule="auto"/>
              <w:jc w:val="center"/>
              <w:rPr>
                <w:rFonts w:hint="eastAsia" w:ascii="宋体" w:hAnsi="宋体" w:eastAsia="宋体" w:cs="宋体"/>
                <w:spacing w:val="-1"/>
                <w:szCs w:val="21"/>
              </w:rPr>
            </w:pPr>
            <w:r>
              <w:rPr>
                <w:rFonts w:ascii="宋体" w:hAnsi="宋体" w:eastAsia="宋体" w:cs="宋体"/>
                <w:spacing w:val="-1"/>
                <w:szCs w:val="21"/>
              </w:rPr>
              <w:t>总价(元)</w:t>
            </w:r>
            <w:r>
              <w:rPr>
                <w:rFonts w:hint="eastAsia" w:ascii="宋体" w:hAnsi="宋体" w:eastAsia="宋体" w:cs="宋体"/>
                <w:spacing w:val="-1"/>
                <w:szCs w:val="21"/>
              </w:rPr>
              <w:t>（不含税）</w:t>
            </w:r>
          </w:p>
        </w:tc>
        <w:tc>
          <w:tcPr>
            <w:tcW w:w="2164" w:type="dxa"/>
          </w:tcPr>
          <w:p>
            <w:pPr>
              <w:spacing w:before="130" w:line="222" w:lineRule="auto"/>
              <w:ind w:left="770"/>
              <w:rPr>
                <w:rFonts w:hint="eastAsia" w:ascii="宋体" w:hAnsi="宋体" w:eastAsia="宋体" w:cs="宋体"/>
                <w:szCs w:val="21"/>
              </w:rPr>
            </w:pPr>
            <w:r>
              <w:rPr>
                <w:rFonts w:ascii="宋体" w:hAnsi="宋体" w:eastAsia="宋体" w:cs="宋体"/>
                <w:spacing w:val="-1"/>
                <w:szCs w:val="21"/>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hint="eastAsia" w:ascii="Arial"/>
              </w:rPr>
            </w:pPr>
          </w:p>
        </w:tc>
        <w:tc>
          <w:tcPr>
            <w:tcW w:w="3530" w:type="dxa"/>
            <w:vMerge w:val="continue"/>
            <w:tcBorders>
              <w:top w:val="nil"/>
            </w:tcBorders>
          </w:tcPr>
          <w:p>
            <w:pPr>
              <w:rPr>
                <w:rFonts w:hint="eastAsia" w:ascii="Arial"/>
              </w:rPr>
            </w:pPr>
          </w:p>
        </w:tc>
        <w:tc>
          <w:tcPr>
            <w:tcW w:w="2159" w:type="dxa"/>
          </w:tcPr>
          <w:p>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hint="eastAsia"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restart"/>
            <w:tcBorders>
              <w:bottom w:val="nil"/>
            </w:tcBorders>
          </w:tcPr>
          <w:p>
            <w:pPr>
              <w:spacing w:line="295" w:lineRule="auto"/>
              <w:rPr>
                <w:rFonts w:hint="eastAsia" w:ascii="Arial"/>
              </w:rPr>
            </w:pPr>
          </w:p>
          <w:p>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pPr>
              <w:spacing w:before="212" w:line="221" w:lineRule="auto"/>
              <w:ind w:left="1241"/>
              <w:rPr>
                <w:rFonts w:hint="eastAsia" w:ascii="宋体" w:hAnsi="宋体" w:eastAsia="宋体" w:cs="宋体"/>
                <w:spacing w:val="-1"/>
                <w:szCs w:val="21"/>
              </w:rPr>
            </w:pPr>
            <w:r>
              <w:rPr>
                <w:rFonts w:hint="eastAsia" w:ascii="宋体" w:hAnsi="宋体" w:eastAsia="宋体" w:cs="宋体"/>
                <w:color w:val="000000"/>
                <w:kern w:val="0"/>
                <w:szCs w:val="21"/>
                <w:lang w:bidi="ar"/>
              </w:rPr>
              <w:t>日常备件/文件及资料</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continue"/>
            <w:tcBorders>
              <w:top w:val="nil"/>
            </w:tcBorders>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hint="eastAsia" w:ascii="宋体" w:hAnsi="宋体" w:eastAsia="宋体" w:cs="宋体"/>
                <w:szCs w:val="21"/>
              </w:rPr>
            </w:pPr>
            <w:r>
              <w:rPr>
                <w:rFonts w:hint="eastAsia" w:ascii="宋体" w:hAnsi="宋体" w:eastAsia="宋体" w:cs="宋体"/>
                <w:szCs w:val="21"/>
              </w:rPr>
              <w:t>4</w:t>
            </w:r>
          </w:p>
        </w:tc>
        <w:tc>
          <w:tcPr>
            <w:tcW w:w="3530" w:type="dxa"/>
          </w:tcPr>
          <w:p>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continue"/>
            <w:tcBorders>
              <w:top w:val="nil"/>
            </w:tcBorders>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hint="eastAsia" w:ascii="宋体" w:hAnsi="宋体" w:eastAsia="宋体" w:cs="宋体"/>
                <w:szCs w:val="21"/>
              </w:rPr>
            </w:pPr>
            <w:r>
              <w:rPr>
                <w:rFonts w:hint="eastAsia" w:ascii="宋体" w:hAnsi="宋体" w:eastAsia="宋体" w:cs="宋体"/>
                <w:szCs w:val="21"/>
              </w:rPr>
              <w:t>5</w:t>
            </w:r>
          </w:p>
        </w:tc>
        <w:tc>
          <w:tcPr>
            <w:tcW w:w="3530" w:type="dxa"/>
          </w:tcPr>
          <w:p>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hint="eastAsia" w:ascii="宋体" w:hAnsi="宋体" w:eastAsia="宋体" w:cs="宋体"/>
                <w:szCs w:val="21"/>
              </w:rPr>
            </w:pPr>
            <w:r>
              <w:rPr>
                <w:rFonts w:hint="eastAsia" w:ascii="宋体" w:hAnsi="宋体" w:eastAsia="宋体" w:cs="宋体"/>
                <w:szCs w:val="21"/>
              </w:rPr>
              <w:t>6</w:t>
            </w:r>
          </w:p>
        </w:tc>
        <w:tc>
          <w:tcPr>
            <w:tcW w:w="3530" w:type="dxa"/>
          </w:tcPr>
          <w:p>
            <w:pPr>
              <w:spacing w:before="211" w:line="221" w:lineRule="auto"/>
              <w:ind w:left="1557"/>
              <w:rPr>
                <w:rFonts w:hint="eastAsia" w:ascii="宋体" w:hAnsi="宋体" w:eastAsia="宋体" w:cs="宋体"/>
                <w:spacing w:val="-2"/>
                <w:szCs w:val="21"/>
              </w:rPr>
            </w:pPr>
            <w:r>
              <w:rPr>
                <w:rFonts w:ascii="宋体" w:hAnsi="宋体" w:eastAsia="宋体" w:cs="宋体"/>
                <w:spacing w:val="-2"/>
                <w:szCs w:val="21"/>
              </w:rPr>
              <w:t>其他</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6"/>
              <w:rPr>
                <w:rFonts w:hint="eastAsia" w:ascii="宋体" w:hAnsi="宋体" w:eastAsia="宋体" w:cs="宋体"/>
                <w:spacing w:val="-2"/>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line="172" w:lineRule="exact"/>
        <w:rPr>
          <w:rFonts w:hint="eastAsia"/>
        </w:rPr>
      </w:pPr>
    </w:p>
    <w:p>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rFonts w:hint="eastAsia"/>
          <w:sz w:val="24"/>
          <w:szCs w:val="24"/>
        </w:rPr>
        <w:sectPr>
          <w:footerReference r:id="rId25" w:type="default"/>
          <w:pgSz w:w="16841" w:h="11907"/>
          <w:pgMar w:top="400" w:right="1699" w:bottom="1184" w:left="1481" w:header="0" w:footer="1022" w:gutter="0"/>
          <w:cols w:space="720" w:num="1"/>
        </w:sectPr>
      </w:pPr>
    </w:p>
    <w:p>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rPr>
          <w:rFonts w:hint="eastAsia"/>
        </w:rPr>
      </w:pPr>
    </w:p>
    <w:p>
      <w:pPr>
        <w:spacing w:line="20" w:lineRule="exact"/>
        <w:rPr>
          <w:rFonts w:hint="eastAsia"/>
        </w:rPr>
      </w:pPr>
    </w:p>
    <w:tbl>
      <w:tblPr>
        <w:tblStyle w:val="132"/>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0" w:line="186" w:lineRule="auto"/>
              <w:jc w:val="center"/>
              <w:rPr>
                <w:rFonts w:hint="eastAsia" w:ascii="宋体" w:hAnsi="宋体" w:eastAsia="宋体" w:cs="宋体"/>
                <w:szCs w:val="21"/>
              </w:rPr>
            </w:pPr>
            <w:r>
              <w:rPr>
                <w:rFonts w:ascii="宋体" w:hAnsi="宋体" w:eastAsia="宋体" w:cs="宋体"/>
                <w:szCs w:val="21"/>
              </w:rPr>
              <w:t>1</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rPr>
              <w:t>安装调试</w:t>
            </w:r>
          </w:p>
        </w:tc>
        <w:tc>
          <w:tcPr>
            <w:tcW w:w="1126" w:type="dxa"/>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tcPr>
          <w:p>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2" w:line="185" w:lineRule="auto"/>
              <w:jc w:val="center"/>
              <w:rPr>
                <w:rFonts w:hint="eastAsia" w:ascii="宋体" w:hAnsi="宋体" w:eastAsia="宋体" w:cs="宋体"/>
                <w:szCs w:val="21"/>
              </w:rPr>
            </w:pPr>
            <w:r>
              <w:rPr>
                <w:rFonts w:ascii="宋体" w:hAnsi="宋体" w:eastAsia="宋体" w:cs="宋体"/>
                <w:szCs w:val="21"/>
              </w:rPr>
              <w:t>2</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tcPr>
          <w:p>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pPr>
              <w:spacing w:before="303" w:line="183" w:lineRule="auto"/>
              <w:jc w:val="center"/>
              <w:rPr>
                <w:rFonts w:hint="eastAsia" w:ascii="宋体" w:hAnsi="宋体" w:eastAsia="宋体" w:cs="宋体"/>
                <w:szCs w:val="21"/>
              </w:rPr>
            </w:pPr>
            <w:r>
              <w:rPr>
                <w:rFonts w:ascii="宋体" w:hAnsi="宋体" w:eastAsia="宋体" w:cs="宋体"/>
                <w:szCs w:val="21"/>
              </w:rPr>
              <w:t>3</w:t>
            </w:r>
          </w:p>
        </w:tc>
        <w:tc>
          <w:tcPr>
            <w:tcW w:w="3625" w:type="dxa"/>
            <w:vAlign w:val="center"/>
          </w:tcPr>
          <w:p>
            <w:pPr>
              <w:spacing w:before="266" w:line="221" w:lineRule="auto"/>
              <w:jc w:val="center"/>
              <w:rPr>
                <w:rFonts w:hint="eastAsia" w:ascii="宋体" w:hAnsi="宋体" w:eastAsia="宋体" w:cs="宋体"/>
                <w:szCs w:val="21"/>
              </w:rPr>
            </w:pPr>
            <w:r>
              <w:rPr>
                <w:rFonts w:hint="eastAsia" w:ascii="宋体" w:hAnsi="宋体" w:eastAsia="宋体" w:cs="宋体"/>
                <w:spacing w:val="-2"/>
                <w:szCs w:val="21"/>
              </w:rPr>
              <w:t>技术</w:t>
            </w:r>
            <w:r>
              <w:rPr>
                <w:rFonts w:ascii="宋体" w:hAnsi="宋体" w:eastAsia="宋体" w:cs="宋体"/>
                <w:spacing w:val="-2"/>
                <w:szCs w:val="21"/>
              </w:rPr>
              <w:t>培</w:t>
            </w:r>
            <w:r>
              <w:rPr>
                <w:rFonts w:ascii="宋体" w:hAnsi="宋体" w:eastAsia="宋体" w:cs="宋体"/>
                <w:spacing w:val="-1"/>
                <w:szCs w:val="21"/>
              </w:rPr>
              <w:t>训费</w:t>
            </w:r>
          </w:p>
        </w:tc>
        <w:tc>
          <w:tcPr>
            <w:tcW w:w="1126" w:type="dxa"/>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tcPr>
          <w:p>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6" w:line="182" w:lineRule="auto"/>
              <w:jc w:val="center"/>
              <w:rPr>
                <w:rFonts w:hint="eastAsia" w:ascii="宋体" w:hAnsi="宋体" w:eastAsia="宋体" w:cs="宋体"/>
                <w:szCs w:val="21"/>
              </w:rPr>
            </w:pPr>
            <w:r>
              <w:rPr>
                <w:rFonts w:hint="eastAsia" w:ascii="宋体" w:hAnsi="宋体" w:eastAsia="宋体" w:cs="宋体"/>
                <w:szCs w:val="21"/>
              </w:rPr>
              <w:t>4</w:t>
            </w:r>
          </w:p>
        </w:tc>
        <w:tc>
          <w:tcPr>
            <w:tcW w:w="3625" w:type="dxa"/>
            <w:vAlign w:val="center"/>
          </w:tcPr>
          <w:p>
            <w:pPr>
              <w:spacing w:before="268" w:line="221" w:lineRule="auto"/>
              <w:jc w:val="center"/>
              <w:rPr>
                <w:rFonts w:hint="eastAsia"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tcPr>
          <w:p>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rPr>
          <w:rFonts w:hint="eastAsia"/>
        </w:rPr>
      </w:pPr>
    </w:p>
    <w:p>
      <w:pPr>
        <w:pStyle w:val="21"/>
      </w:pPr>
    </w:p>
    <w:p>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hint="eastAsia" w:ascii="宋体" w:hAnsi="宋体" w:eastAsia="宋体" w:cs="宋体"/>
          <w:spacing w:val="-1"/>
          <w:sz w:val="24"/>
          <w:szCs w:val="24"/>
        </w:rPr>
        <w:sectPr>
          <w:footerReference r:id="rId26" w:type="default"/>
          <w:pgSz w:w="16841" w:h="11907"/>
          <w:pgMar w:top="400" w:right="1699" w:bottom="1184" w:left="1481" w:header="0" w:footer="1022" w:gutter="0"/>
          <w:cols w:space="720" w:num="1"/>
        </w:sectPr>
      </w:pPr>
    </w:p>
    <w:p>
      <w:pPr>
        <w:pStyle w:val="5"/>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32"/>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pPr>
              <w:spacing w:before="100" w:line="186" w:lineRule="auto"/>
              <w:ind w:left="223"/>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pPr>
              <w:spacing w:before="101" w:line="185" w:lineRule="auto"/>
              <w:ind w:left="122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pPr>
              <w:spacing w:before="102" w:line="183" w:lineRule="auto"/>
              <w:ind w:left="100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pPr>
              <w:spacing w:before="101" w:line="185" w:lineRule="auto"/>
              <w:ind w:left="371"/>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pPr>
              <w:spacing w:before="103" w:line="182" w:lineRule="auto"/>
              <w:ind w:left="107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pPr>
              <w:spacing w:before="102" w:line="183" w:lineRule="auto"/>
              <w:ind w:left="58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pPr>
              <w:spacing w:before="103" w:line="182" w:lineRule="auto"/>
              <w:ind w:left="101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pPr>
              <w:spacing w:before="102" w:line="183" w:lineRule="auto"/>
              <w:ind w:left="516"/>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pPr>
              <w:spacing w:before="102" w:line="183" w:lineRule="auto"/>
              <w:ind w:left="51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4×6]（不含税）(元)</w:t>
            </w:r>
          </w:p>
        </w:tc>
        <w:tc>
          <w:tcPr>
            <w:tcW w:w="112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spacing w:before="237" w:line="186" w:lineRule="auto"/>
              <w:ind w:left="223"/>
              <w:rPr>
                <w:rFonts w:hint="eastAsia" w:ascii="宋体" w:hAnsi="宋体" w:eastAsia="宋体" w:cs="宋体"/>
                <w:szCs w:val="21"/>
              </w:rPr>
            </w:pPr>
            <w:r>
              <w:rPr>
                <w:rFonts w:ascii="宋体" w:hAnsi="宋体" w:eastAsia="宋体" w:cs="宋体"/>
                <w:szCs w:val="21"/>
              </w:rPr>
              <w:t>1</w:t>
            </w:r>
          </w:p>
        </w:tc>
        <w:tc>
          <w:tcPr>
            <w:tcW w:w="2543" w:type="dxa"/>
          </w:tcPr>
          <w:p>
            <w:pPr>
              <w:rPr>
                <w:rFonts w:hint="eastAsia" w:ascii="Arial"/>
              </w:rPr>
            </w:pPr>
          </w:p>
        </w:tc>
        <w:tc>
          <w:tcPr>
            <w:tcW w:w="2100" w:type="dxa"/>
          </w:tcPr>
          <w:p>
            <w:pPr>
              <w:rPr>
                <w:rFonts w:hint="eastAsia" w:ascii="Arial"/>
              </w:rPr>
            </w:pPr>
          </w:p>
        </w:tc>
        <w:tc>
          <w:tcPr>
            <w:tcW w:w="840" w:type="dxa"/>
          </w:tcPr>
          <w:p>
            <w:pP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spacing w:before="239" w:line="185" w:lineRule="auto"/>
              <w:ind w:left="210"/>
              <w:rPr>
                <w:rFonts w:hint="eastAsia" w:ascii="宋体" w:hAnsi="宋体" w:eastAsia="宋体" w:cs="宋体"/>
                <w:szCs w:val="21"/>
              </w:rPr>
            </w:pPr>
            <w:r>
              <w:rPr>
                <w:rFonts w:ascii="宋体" w:hAnsi="宋体" w:eastAsia="宋体" w:cs="宋体"/>
                <w:szCs w:val="21"/>
              </w:rPr>
              <w:t>2</w:t>
            </w:r>
          </w:p>
        </w:tc>
        <w:tc>
          <w:tcPr>
            <w:tcW w:w="2543" w:type="dxa"/>
          </w:tcPr>
          <w:p>
            <w:pPr>
              <w:rPr>
                <w:rFonts w:hint="eastAsia" w:ascii="Arial"/>
              </w:rPr>
            </w:pPr>
          </w:p>
        </w:tc>
        <w:tc>
          <w:tcPr>
            <w:tcW w:w="2100" w:type="dxa"/>
          </w:tcPr>
          <w:p>
            <w:pPr>
              <w:rPr>
                <w:rFonts w:hint="eastAsia" w:ascii="Arial"/>
              </w:rPr>
            </w:pPr>
          </w:p>
        </w:tc>
        <w:tc>
          <w:tcPr>
            <w:tcW w:w="840" w:type="dxa"/>
          </w:tcPr>
          <w:p>
            <w:pP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rPr>
                <w:rFonts w:hint="eastAsia" w:ascii="Arial"/>
              </w:rPr>
            </w:pPr>
          </w:p>
        </w:tc>
        <w:tc>
          <w:tcPr>
            <w:tcW w:w="2543" w:type="dxa"/>
          </w:tcPr>
          <w:p>
            <w:pPr>
              <w:rPr>
                <w:rFonts w:hint="eastAsia" w:ascii="Arial"/>
              </w:rPr>
            </w:pPr>
          </w:p>
        </w:tc>
        <w:tc>
          <w:tcPr>
            <w:tcW w:w="2100" w:type="dxa"/>
          </w:tcPr>
          <w:p>
            <w:pPr>
              <w:rPr>
                <w:rFonts w:hint="eastAsia" w:ascii="Arial"/>
              </w:rPr>
            </w:pPr>
          </w:p>
        </w:tc>
        <w:tc>
          <w:tcPr>
            <w:tcW w:w="840" w:type="dxa"/>
          </w:tcPr>
          <w:p>
            <w:pP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hint="eastAsia" w:ascii="Arial"/>
              </w:rPr>
            </w:pPr>
          </w:p>
        </w:tc>
        <w:tc>
          <w:tcPr>
            <w:tcW w:w="2543" w:type="dxa"/>
          </w:tcPr>
          <w:p>
            <w:pPr>
              <w:rPr>
                <w:rFonts w:hint="eastAsia" w:ascii="Arial"/>
              </w:rPr>
            </w:pPr>
          </w:p>
        </w:tc>
        <w:tc>
          <w:tcPr>
            <w:tcW w:w="2100" w:type="dxa"/>
          </w:tcPr>
          <w:p>
            <w:pPr>
              <w:rPr>
                <w:rFonts w:hint="eastAsia" w:ascii="Arial"/>
              </w:rPr>
            </w:pPr>
          </w:p>
        </w:tc>
        <w:tc>
          <w:tcPr>
            <w:tcW w:w="840" w:type="dxa"/>
          </w:tcPr>
          <w:p>
            <w:pP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hint="eastAsia" w:ascii="Arial"/>
              </w:rPr>
            </w:pPr>
          </w:p>
        </w:tc>
        <w:tc>
          <w:tcPr>
            <w:tcW w:w="2543" w:type="dxa"/>
          </w:tcPr>
          <w:p>
            <w:pPr>
              <w:rPr>
                <w:rFonts w:hint="eastAsia" w:ascii="Arial"/>
              </w:rPr>
            </w:pPr>
          </w:p>
        </w:tc>
        <w:tc>
          <w:tcPr>
            <w:tcW w:w="2100" w:type="dxa"/>
          </w:tcPr>
          <w:p>
            <w:pPr>
              <w:rPr>
                <w:rFonts w:hint="eastAsia" w:ascii="Arial"/>
              </w:rPr>
            </w:pPr>
          </w:p>
        </w:tc>
        <w:tc>
          <w:tcPr>
            <w:tcW w:w="840" w:type="dxa"/>
          </w:tcPr>
          <w:p>
            <w:pP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hint="eastAsia" w:ascii="宋体" w:hAnsi="宋体" w:eastAsia="宋体" w:cs="宋体"/>
          <w:spacing w:val="-2"/>
          <w:sz w:val="24"/>
          <w:szCs w:val="24"/>
        </w:rPr>
        <w:sectPr>
          <w:footerReference r:id="rId27" w:type="default"/>
          <w:pgSz w:w="16841" w:h="11907"/>
          <w:pgMar w:top="400" w:right="1500" w:bottom="1184" w:left="1480" w:header="0" w:footer="1022" w:gutter="0"/>
          <w:cols w:space="720" w:num="1"/>
        </w:sectPr>
      </w:pPr>
    </w:p>
    <w:p>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hint="eastAsia"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rPr>
          <w:rFonts w:hint="eastAsia"/>
        </w:rPr>
      </w:pPr>
    </w:p>
    <w:tbl>
      <w:tblPr>
        <w:tblStyle w:val="132"/>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hint="eastAsia"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hint="eastAsia"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hint="eastAsia"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hint="eastAsia" w:ascii="Arial"/>
              </w:rPr>
            </w:pPr>
          </w:p>
          <w:p>
            <w:pPr>
              <w:spacing w:before="68" w:line="183" w:lineRule="auto"/>
              <w:ind w:left="497"/>
              <w:rPr>
                <w:rFonts w:hint="eastAsia"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hint="eastAsia"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pPr>
        <w:spacing w:line="291" w:lineRule="auto"/>
        <w:rPr>
          <w:rFonts w:hint="eastAsia" w:ascii="Arial"/>
        </w:rPr>
      </w:pPr>
    </w:p>
    <w:p>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21"/>
      </w:pPr>
    </w:p>
    <w:p>
      <w:pPr>
        <w:pStyle w:val="21"/>
      </w:pPr>
    </w:p>
    <w:p>
      <w:pPr>
        <w:spacing w:before="140" w:line="220" w:lineRule="auto"/>
        <w:ind w:left="2" w:firstLine="464" w:firstLineChars="200"/>
        <w:rPr>
          <w:rFonts w:hint="eastAsia" w:ascii="宋体" w:hAnsi="宋体" w:eastAsia="宋体" w:cs="宋体"/>
          <w:spacing w:val="-2"/>
          <w:szCs w:val="21"/>
        </w:rPr>
        <w:sectPr>
          <w:footerReference r:id="rId28"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ascii="Calibri" w:hAnsi="Calibri" w:eastAsia="宋体" w:cs="Times New Roman"/>
          <w:szCs w:val="20"/>
        </w:rPr>
      </w:pPr>
    </w:p>
    <w:tbl>
      <w:tblPr>
        <w:tblStyle w:val="40"/>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sz w:val="24"/>
                <w:szCs w:val="24"/>
                <w:highlight w:val="yellow"/>
                <w:u w:val="single"/>
              </w:rPr>
              <w:t>中国重汽集团济南商用车制造公司智能驾驶校准工站改造项目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hint="eastAsia"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hint="eastAsia" w:ascii="Arial"/>
        </w:rPr>
      </w:pPr>
    </w:p>
    <w:p>
      <w:pPr>
        <w:spacing w:before="75" w:line="228" w:lineRule="auto"/>
        <w:ind w:left="134"/>
        <w:rPr>
          <w:rFonts w:hint="eastAsia"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szCs w:val="24"/>
          <w:highlight w:val="yellow"/>
          <w:u w:val="single"/>
        </w:rPr>
        <w:t>中国重汽集团济南商用车制造公司智能驾驶校准工站改造项目</w:t>
      </w:r>
    </w:p>
    <w:p>
      <w:pPr>
        <w:spacing w:before="306" w:line="227" w:lineRule="auto"/>
        <w:ind w:left="205"/>
        <w:rPr>
          <w:rFonts w:hint="eastAsia"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Pr>
        <w:rPr>
          <w:rFonts w:hint="eastAsia"/>
        </w:rPr>
      </w:pPr>
    </w:p>
    <w:p>
      <w:pPr>
        <w:spacing w:line="109" w:lineRule="exact"/>
        <w:rPr>
          <w:rFonts w:hint="eastAsia"/>
        </w:rPr>
      </w:pPr>
    </w:p>
    <w:tbl>
      <w:tblPr>
        <w:tblStyle w:val="132"/>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hint="eastAsia"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hint="eastAsia"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eastAsia="宋体"/>
          <w:sz w:val="24"/>
          <w:szCs w:val="24"/>
        </w:rPr>
        <w:sectPr>
          <w:footerReference r:id="rId29"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highlight w:val="yellow"/>
          <w:u w:val="single"/>
        </w:rPr>
        <w:t>中国重汽集团济南商用车制造公司智能驾驶校准工站改造项目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21"/>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40"/>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sz w:val="24"/>
                <w:szCs w:val="24"/>
                <w:highlight w:val="yellow"/>
                <w:u w:val="single"/>
              </w:rPr>
              <w:t>中国重汽集团济南商用车制造公司智能驾驶校准工站改造项目</w:t>
            </w: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21"/>
      </w:pPr>
    </w:p>
    <w:p>
      <w:pPr>
        <w:jc w:val="right"/>
        <w:rPr>
          <w:rFonts w:hint="eastAsia" w:asciiTheme="minorEastAsia" w:hAnsiTheme="minorEastAsia" w:cstheme="minorEastAsia"/>
          <w:sz w:val="20"/>
          <w:szCs w:val="20"/>
        </w:rPr>
      </w:pPr>
    </w:p>
    <w:p>
      <w:pPr>
        <w:jc w:val="right"/>
        <w:rPr>
          <w:rFonts w:hint="eastAsia" w:asciiTheme="minorEastAsia" w:hAnsiTheme="minorEastAsia" w:cstheme="minorEastAsia"/>
          <w:sz w:val="20"/>
          <w:szCs w:val="20"/>
        </w:rPr>
      </w:pPr>
    </w:p>
    <w:p>
      <w:pPr>
        <w:rPr>
          <w:rFonts w:hint="eastAsia"/>
        </w:rPr>
        <w:sectPr>
          <w:headerReference r:id="rId31" w:type="first"/>
          <w:footerReference r:id="rId33" w:type="first"/>
          <w:headerReference r:id="rId30" w:type="default"/>
          <w:footerReference r:id="rId32" w:type="default"/>
          <w:pgSz w:w="11906" w:h="16838"/>
          <w:pgMar w:top="1588" w:right="1418" w:bottom="1134" w:left="1418" w:header="851" w:footer="992" w:gutter="0"/>
          <w:cols w:space="720" w:num="1"/>
          <w:titlePg/>
          <w:docGrid w:type="lines" w:linePitch="312" w:charSpace="0"/>
        </w:sectPr>
      </w:pPr>
    </w:p>
    <w:p>
      <w:pPr>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附件14技术标评分标准</w:t>
      </w:r>
    </w:p>
    <w:p>
      <w:pPr>
        <w:rPr>
          <w:rFonts w:hint="eastAsia" w:ascii="宋体" w:hAnsi="宋体" w:eastAsia="宋体" w:cs="Times New Roman"/>
          <w:b/>
          <w:bCs/>
          <w:sz w:val="24"/>
          <w:szCs w:val="24"/>
        </w:rPr>
      </w:pPr>
    </w:p>
    <w:p>
      <w:pPr>
        <w:pStyle w:val="21"/>
      </w:pPr>
      <w:r>
        <w:drawing>
          <wp:inline distT="0" distB="0" distL="114300" distR="114300">
            <wp:extent cx="4845050" cy="5702300"/>
            <wp:effectExtent l="0" t="0" r="6350" b="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39"/>
                    <a:stretch>
                      <a:fillRect/>
                    </a:stretch>
                  </pic:blipFill>
                  <pic:spPr>
                    <a:xfrm>
                      <a:off x="0" y="0"/>
                      <a:ext cx="4845050" cy="5702300"/>
                    </a:xfrm>
                    <a:prstGeom prst="rect">
                      <a:avLst/>
                    </a:prstGeom>
                    <a:noFill/>
                    <a:ln>
                      <a:noFill/>
                    </a:ln>
                  </pic:spPr>
                </pic:pic>
              </a:graphicData>
            </a:graphic>
          </wp:inline>
        </w:drawing>
      </w:r>
    </w:p>
    <w:p>
      <w:pPr>
        <w:rPr>
          <w:rFonts w:hint="eastAsia" w:ascii="宋体" w:hAnsi="宋体" w:eastAsia="宋体" w:cs="宋体"/>
          <w:b/>
          <w:bCs/>
          <w:color w:val="000000"/>
          <w:sz w:val="24"/>
          <w:szCs w:val="24"/>
        </w:rPr>
      </w:pPr>
    </w:p>
    <w:p>
      <w:pPr>
        <w:pStyle w:val="21"/>
        <w:outlineLvl w:val="2"/>
        <w:rPr>
          <w:rFonts w:hint="eastAsia" w:hAnsi="宋体" w:eastAsia="宋体" w:cs="宋体"/>
          <w:b/>
          <w:bCs/>
          <w:color w:val="000000"/>
          <w:sz w:val="24"/>
          <w:szCs w:val="24"/>
        </w:rPr>
      </w:pPr>
      <w:r>
        <w:rPr>
          <w:rFonts w:hint="eastAsia" w:hAnsi="宋体" w:eastAsia="宋体" w:cs="宋体"/>
          <w:b/>
          <w:bCs/>
          <w:color w:val="000000"/>
          <w:sz w:val="24"/>
          <w:szCs w:val="24"/>
        </w:rPr>
        <w:t>附件15 SRM非生产供应商注册操作手册</w:t>
      </w:r>
    </w:p>
    <w:p>
      <w:pPr>
        <w:pStyle w:val="21"/>
        <w:rPr>
          <w:rFonts w:eastAsia="宋体"/>
        </w:rPr>
      </w:pP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pPr>
        <w:snapToGrid w:val="0"/>
        <w:spacing w:line="312" w:lineRule="auto"/>
        <w:rPr>
          <w:rFonts w:hint="eastAsia"/>
        </w:rPr>
      </w:pPr>
      <w:r>
        <w:drawing>
          <wp:inline distT="0" distB="0" distL="0" distR="0">
            <wp:extent cx="5760085" cy="29330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7"/>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rPr>
          <w:rFonts w:hint="eastAsia"/>
        </w:rPr>
      </w:pPr>
      <w:r>
        <w:drawing>
          <wp:inline distT="0" distB="0" distL="0" distR="0">
            <wp:extent cx="5760085" cy="2766695"/>
            <wp:effectExtent l="0" t="0" r="5715" b="190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8"/>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rPr>
          <w:rFonts w:hint="eastAsia"/>
        </w:rPr>
      </w:pPr>
      <w:r>
        <w:drawing>
          <wp:inline distT="0" distB="0" distL="0" distR="0">
            <wp:extent cx="5760085" cy="2869565"/>
            <wp:effectExtent l="0" t="0" r="5715" b="63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9"/>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rPr>
          <w:rFonts w:hint="eastAsia"/>
        </w:rPr>
      </w:pPr>
      <w:r>
        <w:drawing>
          <wp:inline distT="0" distB="0" distL="0" distR="0">
            <wp:extent cx="5760085" cy="2853055"/>
            <wp:effectExtent l="0" t="0" r="5715" b="444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0"/>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pStyle w:val="21"/>
      </w:pPr>
    </w:p>
    <w:p>
      <w:pPr>
        <w:rPr>
          <w:rFonts w:hint="eastAsia"/>
        </w:rPr>
      </w:pPr>
      <w:r>
        <w:drawing>
          <wp:inline distT="0" distB="0" distL="0" distR="0">
            <wp:extent cx="5760085" cy="2809875"/>
            <wp:effectExtent l="0" t="0" r="5715" b="9525"/>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1"/>
                    <a:stretch>
                      <a:fillRect/>
                    </a:stretch>
                  </pic:blipFill>
                  <pic:spPr>
                    <a:xfrm>
                      <a:off x="0" y="0"/>
                      <a:ext cx="5760085" cy="2810122"/>
                    </a:xfrm>
                    <a:prstGeom prst="rect">
                      <a:avLst/>
                    </a:prstGeom>
                  </pic:spPr>
                </pic:pic>
              </a:graphicData>
            </a:graphic>
          </wp:inline>
        </w:drawing>
      </w:r>
    </w:p>
    <w:p>
      <w:pPr>
        <w:pStyle w:val="21"/>
      </w:pPr>
      <w:r>
        <w:drawing>
          <wp:inline distT="0" distB="0" distL="0" distR="0">
            <wp:extent cx="5760085" cy="2820035"/>
            <wp:effectExtent l="0" t="0" r="5715" b="1206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2"/>
                    <a:stretch>
                      <a:fillRect/>
                    </a:stretch>
                  </pic:blipFill>
                  <pic:spPr>
                    <a:xfrm>
                      <a:off x="0" y="0"/>
                      <a:ext cx="5760085" cy="2820042"/>
                    </a:xfrm>
                    <a:prstGeom prst="rect">
                      <a:avLst/>
                    </a:prstGeom>
                  </pic:spPr>
                </pic:pic>
              </a:graphicData>
            </a:graphic>
          </wp:inline>
        </w:drawing>
      </w:r>
    </w:p>
    <w:p>
      <w:pPr>
        <w:pStyle w:val="21"/>
      </w:pP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pPr>
        <w:pStyle w:val="21"/>
      </w:pPr>
      <w:r>
        <w:rPr>
          <w:rFonts w:hint="eastAsia" w:hAnsi="宋体" w:eastAsia="宋体" w:cs="宋体"/>
          <w:b/>
          <w:bCs/>
          <w:color w:val="000000"/>
          <w:sz w:val="24"/>
          <w:szCs w:val="28"/>
          <w:highlight w:val="yellow"/>
        </w:rPr>
        <w:t>2.配套能力“供货类别”填“工艺设备”，业务主管部门选择“工艺工匠研究院”。</w:t>
      </w:r>
    </w:p>
    <w:p>
      <w:pPr>
        <w:pStyle w:val="21"/>
        <w:sectPr>
          <w:pgSz w:w="11906" w:h="16838"/>
          <w:pgMar w:top="1588" w:right="1418" w:bottom="1134" w:left="1418" w:header="851" w:footer="992" w:gutter="0"/>
          <w:cols w:space="720" w:num="1"/>
          <w:titlePg/>
          <w:docGrid w:type="lines" w:linePitch="312" w:charSpace="0"/>
        </w:sectPr>
      </w:pPr>
    </w:p>
    <w:p>
      <w:pPr>
        <w:pStyle w:val="21"/>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8"/>
          <w:rFonts w:hint="eastAsia" w:ascii="宋体" w:hAnsi="宋体" w:eastAsia="宋体" w:cs="宋体"/>
          <w:sz w:val="24"/>
          <w:szCs w:val="24"/>
        </w:rPr>
        <w:t>https://ecaitong.sinotruk.com:8012/</w:t>
      </w:r>
      <w:r>
        <w:rPr>
          <w:rStyle w:val="48"/>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pPr>
        <w:rPr>
          <w:rFonts w:hint="eastAsia"/>
        </w:rPr>
      </w:pPr>
      <w:r>
        <w:drawing>
          <wp:inline distT="0" distB="0" distL="0" distR="0">
            <wp:extent cx="5760085" cy="2269490"/>
            <wp:effectExtent l="0" t="0" r="5715" b="3810"/>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3"/>
                    <a:stretch>
                      <a:fillRect/>
                    </a:stretch>
                  </pic:blipFill>
                  <pic:spPr>
                    <a:xfrm>
                      <a:off x="0" y="0"/>
                      <a:ext cx="5760085" cy="2269864"/>
                    </a:xfrm>
                    <a:prstGeom prst="rect">
                      <a:avLst/>
                    </a:prstGeom>
                  </pic:spPr>
                </pic:pic>
              </a:graphicData>
            </a:graphic>
          </wp:inline>
        </w:drawing>
      </w:r>
    </w:p>
    <w:p>
      <w:pPr>
        <w:rPr>
          <w:rFonts w:hint="eastAsia"/>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4"/>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pStyle w:val="21"/>
      </w:pPr>
      <w:r>
        <w:rPr>
          <w:rFonts w:hint="eastAsia" w:hAnsi="宋体" w:eastAsia="宋体" w:cs="宋体"/>
          <w:color w:val="000000"/>
          <w:sz w:val="24"/>
          <w:szCs w:val="28"/>
          <w:highlight w:val="yellow"/>
        </w:rPr>
        <w:t>注意：系统内的投标报价单位为“万元”，如开标现场发现填错报价，即直接淘汰。</w:t>
      </w:r>
    </w:p>
    <w:p>
      <w:pPr>
        <w:pStyle w:val="5"/>
        <w:ind w:left="425" w:hanging="425"/>
        <w:rPr>
          <w:rFonts w:eastAsia="Arial" w:cs="Arial"/>
          <w:color w:val="000000"/>
        </w:rPr>
      </w:pPr>
      <w:r>
        <w:rPr>
          <w:rFonts w:eastAsia="Arial" w:cs="Arial"/>
          <w:color w:val="000000"/>
        </w:rPr>
        <w:drawing>
          <wp:inline distT="0" distB="0" distL="0" distR="0">
            <wp:extent cx="5490210" cy="2668905"/>
            <wp:effectExtent l="0" t="0" r="8890" b="1079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5"/>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6"/>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5"/>
        <w:ind w:left="425" w:hanging="425"/>
        <w:rPr>
          <w:rFonts w:eastAsia="Arial" w:cs="Arial"/>
          <w:color w:val="000000"/>
        </w:rPr>
      </w:pPr>
      <w:r>
        <w:rPr>
          <w:rFonts w:eastAsia="Arial" w:cs="Arial"/>
          <w:color w:val="000000"/>
        </w:rPr>
        <w:drawing>
          <wp:inline distT="0" distB="0" distL="0" distR="0">
            <wp:extent cx="5490210" cy="2544445"/>
            <wp:effectExtent l="0" t="0" r="8890" b="8255"/>
            <wp:docPr id="31" name="picture" descr="descript"/>
            <wp:cNvGraphicFramePr/>
            <a:graphic xmlns:a="http://schemas.openxmlformats.org/drawingml/2006/main">
              <a:graphicData uri="http://schemas.openxmlformats.org/drawingml/2006/picture">
                <pic:pic xmlns:pic="http://schemas.openxmlformats.org/drawingml/2006/picture">
                  <pic:nvPicPr>
                    <pic:cNvPr id="31" name="picture" descr="descript"/>
                    <pic:cNvPicPr/>
                  </pic:nvPicPr>
                  <pic:blipFill>
                    <a:blip r:embed="rId57"/>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pPr>
        <w:rPr>
          <w:rFonts w:hint="eastAsia"/>
        </w:rPr>
      </w:pPr>
      <w:r>
        <w:drawing>
          <wp:inline distT="0" distB="0" distL="0" distR="0">
            <wp:extent cx="5760085" cy="1956435"/>
            <wp:effectExtent l="0" t="0" r="5715" b="12065"/>
            <wp:docPr id="32" name="picture" descr="descript"/>
            <wp:cNvGraphicFramePr/>
            <a:graphic xmlns:a="http://schemas.openxmlformats.org/drawingml/2006/main">
              <a:graphicData uri="http://schemas.openxmlformats.org/drawingml/2006/picture">
                <pic:pic xmlns:pic="http://schemas.openxmlformats.org/drawingml/2006/picture">
                  <pic:nvPicPr>
                    <pic:cNvPr id="32" name="picture" descr="descript"/>
                    <pic:cNvPicPr/>
                  </pic:nvPicPr>
                  <pic:blipFill>
                    <a:blip r:embed="rId58"/>
                    <a:stretch>
                      <a:fillRect/>
                    </a:stretch>
                  </pic:blipFill>
                  <pic:spPr>
                    <a:xfrm>
                      <a:off x="0" y="0"/>
                      <a:ext cx="5760085" cy="1956600"/>
                    </a:xfrm>
                    <a:prstGeom prst="rect">
                      <a:avLst/>
                    </a:prstGeom>
                  </pic:spPr>
                </pic:pic>
              </a:graphicData>
            </a:graphic>
          </wp:inline>
        </w:drawing>
      </w:r>
    </w:p>
    <w:p>
      <w:pPr>
        <w:pStyle w:val="21"/>
        <w:rPr>
          <w:rFonts w:hint="eastAsia" w:hAnsi="宋体" w:eastAsia="宋体" w:cs="Times New Roman"/>
          <w:b/>
          <w:color w:val="000000"/>
          <w:sz w:val="24"/>
          <w:szCs w:val="24"/>
        </w:rPr>
      </w:pPr>
    </w:p>
    <w:p>
      <w:pPr>
        <w:pStyle w:val="21"/>
        <w:rPr>
          <w:rFonts w:hint="eastAsia" w:hAnsi="宋体" w:eastAsia="宋体" w:cs="Times New Roman"/>
          <w:b/>
          <w:color w:val="000000"/>
          <w:sz w:val="24"/>
          <w:szCs w:val="24"/>
        </w:rPr>
      </w:pPr>
    </w:p>
    <w:p>
      <w:pPr>
        <w:pStyle w:val="21"/>
        <w:rPr>
          <w:rFonts w:hint="eastAsia" w:hAnsi="宋体" w:eastAsia="宋体" w:cs="Times New Roman"/>
          <w:b/>
          <w:color w:val="000000"/>
          <w:sz w:val="24"/>
          <w:szCs w:val="24"/>
        </w:rPr>
      </w:pPr>
    </w:p>
    <w:p>
      <w:pPr>
        <w:pStyle w:val="21"/>
        <w:rPr>
          <w:rFonts w:hint="eastAsia" w:hAnsi="宋体" w:eastAsia="宋体" w:cs="Times New Roman"/>
          <w:b/>
          <w:color w:val="000000"/>
          <w:sz w:val="24"/>
          <w:szCs w:val="24"/>
        </w:rPr>
      </w:pPr>
    </w:p>
    <w:p>
      <w:pPr>
        <w:pStyle w:val="21"/>
        <w:rPr>
          <w:rFonts w:hint="eastAsia" w:hAnsi="宋体" w:eastAsia="宋体" w:cs="Times New Roman"/>
          <w:b/>
          <w:color w:val="000000"/>
          <w:sz w:val="24"/>
          <w:szCs w:val="24"/>
        </w:rPr>
      </w:pPr>
    </w:p>
    <w:p>
      <w:pPr>
        <w:pStyle w:val="21"/>
        <w:rPr>
          <w:rFonts w:hint="eastAsia" w:hAnsi="宋体" w:eastAsia="宋体" w:cs="Times New Roman"/>
          <w:b/>
          <w:color w:val="000000"/>
          <w:sz w:val="24"/>
          <w:szCs w:val="24"/>
        </w:rPr>
      </w:pPr>
    </w:p>
    <w:p>
      <w:pPr>
        <w:pStyle w:val="21"/>
        <w:rPr>
          <w:rFonts w:hint="eastAsia" w:hAnsi="宋体" w:eastAsia="宋体" w:cs="Times New Roman"/>
          <w:b/>
          <w:color w:val="000000"/>
          <w:sz w:val="24"/>
          <w:szCs w:val="24"/>
        </w:rPr>
      </w:pPr>
    </w:p>
    <w:p>
      <w:pPr>
        <w:rPr>
          <w:rFonts w:ascii="宋体" w:hAnsi="宋体" w:eastAsia="宋体" w:cs="宋体"/>
          <w:color w:val="000000"/>
          <w:sz w:val="24"/>
          <w:szCs w:val="24"/>
        </w:rPr>
      </w:pPr>
    </w:p>
    <w:sectPr>
      <w:headerReference r:id="rId35" w:type="first"/>
      <w:footerReference r:id="rId37" w:type="first"/>
      <w:headerReference r:id="rId34" w:type="default"/>
      <w:footerReference r:id="rId36" w:type="default"/>
      <w:pgSz w:w="11907" w:h="16840"/>
      <w:pgMar w:top="1304" w:right="1418" w:bottom="1304" w:left="1418" w:header="724" w:footer="851" w:gutter="0"/>
      <w:cols w:space="720" w:num="1"/>
      <w:docGrid w:linePitch="290" w:charSpace="-393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MiSans Demibold">
    <w:altName w:val="微软雅黑"/>
    <w:panose1 w:val="00000000000000000000"/>
    <w:charset w:val="86"/>
    <w:family w:val="auto"/>
    <w:pitch w:val="default"/>
    <w:sig w:usb0="00000000" w:usb1="00000000"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524538594" name="文本框 5245385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Ef+VG42AgAAZQQAAA4AAAAAAAAAAQAgAAAAHwEAAGRycy9lMm9Eb2MueG1s&#10;UEsFBgAAAAAGAAYAWQEAAMc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rFonts w:hint="eastAsia"/>
      </w:rPr>
    </w:pPr>
    <w: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rPr>
        <w:rFonts w:hint="eastAsia"/>
      </w:rPr>
    </w:pPr>
    <w: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rFonts w:hint="eastAsia"/>
      </w:rPr>
    </w:pPr>
    <w: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rPr>
        <w:rFonts w:hint="eastAsia"/>
      </w:rPr>
    </w:pPr>
    <w: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rFonts w:hint="eastAsia"/>
      </w:rPr>
    </w:pPr>
    <w: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hint="eastAsia" w:ascii="宋体" w:hAnsi="宋体" w:eastAsia="宋体" w:cs="宋体"/>
        <w:sz w:val="18"/>
        <w:szCs w:val="18"/>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rPr>
        <w:rFonts w:hint="eastAsia"/>
      </w:rPr>
    </w:pPr>
    <w: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rFonts w:hint="eastAsia"/>
      </w:rPr>
    </w:pPr>
    <w: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hint="eastAsia" w:ascii="宋体" w:hAnsi="宋体" w:eastAsia="宋体" w:cs="宋体"/>
        <w:sz w:val="18"/>
        <w:szCs w:val="18"/>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782279" name="文本框 227822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ZPxHOzICAABjBAAADgAAAAAAAAABACAAAAAfAQAAZHJzL2Uyb0RvYy54bWxQSwUG&#10;AAAAAAYABgBZAQAAww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hint="eastAsia"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pStyle w:val="26"/>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rPr>
                              <w:rFonts w:hint="eastAsia"/>
                            </w:rPr>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Scb8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yUnG/KwIAAFcEAAAOAAAAAAAAAAEAIAAAAB8BAABkcnMvZTJvRG9jLnhtbFBLBQYAAAAABgAG&#10;AFkBAAC8BQAAAAA=&#10;">
              <v:fill on="f" focussize="0,0"/>
              <v:stroke on="f" weight="0.5pt"/>
              <v:imagedata o:title=""/>
              <o:lock v:ext="edit" aspectratio="f"/>
              <v:textbox inset="0mm,0mm,0mm,0mm" style="mso-fit-shape-to-text:t;">
                <w:txbxContent>
                  <w:p>
                    <w:pPr>
                      <w:pStyle w:val="26"/>
                      <w:rPr>
                        <w:rFonts w:hint="eastAsia"/>
                      </w:rPr>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rFonts w:hint="eastAsia"/>
      </w:rPr>
    </w:pPr>
    <w: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83</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tabs>
        <w:tab w:val="clear" w:pos="4153"/>
      </w:tabs>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72539467" name="文本框 2725394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MHbHJU2AgAAZQQAAA4AAAAAAAAAAQAgAAAAHwEAAGRycy9lMm9Eb2MueG1s&#10;UEsFBgAAAAAGAAYAWQEAAMcFA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p>
  <w:p>
    <w:pPr>
      <w:pStyle w:val="2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rFonts w:hint="eastAsia"/>
      </w:rPr>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p3Fpgz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p3FpgzAgAAZQQAAA4AAAAAAAAAAQAgAAAAHwEAAGRycy9lMm9Eb2MueG1sUEsF&#10;BgAAAAAGAAYAWQEAAMQ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rPr>
        <w:rFonts w:hint="eastAsia"/>
      </w:rPr>
    </w:pPr>
    <w: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rFonts w:hint="eastAsia"/>
      </w:rPr>
    </w:pPr>
    <w: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rPr>
        <w:rFonts w:hint="eastAsia"/>
      </w:rPr>
    </w:pPr>
    <w: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0"/>
      </w:pBdr>
    </w:pPr>
    <w:r>
      <w:pict>
        <v:shape id="PowerPlusWaterMarkObject9734095" o:spid="_x0000_s1025" o:spt="136" type="#_x0000_t136" style="position:absolute;left:0pt;margin-left:458.8pt;margin-top:569.65pt;height:14pt;width:125pt;mso-position-horizontal-relative:margin;mso-position-vertical-relative:margin;rotation:-2949120f;z-index:-251629568;mso-width-relative:page;mso-height-relative:page;" fillcolor="#CCCCCC" filled="t" stroked="f" coordsize="21600,21600">
          <v:path/>
          <v:fill on="t" opacity="26214f" focussize="0,0"/>
          <v:stroke on="f"/>
          <v:imagedata o:title=""/>
          <o:lock v:ext="edit" aspectratio="t"/>
          <v:textpath on="t" fitshape="t" fitpath="t" trim="t" xscale="f" string="赵静0792132025-07-01" style="font-family:汉仪旗黑KW 55S;font-size:14pt;v-text-align:center;"/>
        </v:shape>
      </w:pict>
    </w:r>
    <w:r>
      <w:pict>
        <v:shape id="PowerPlusWaterMarkObject8981870" o:spid="_x0000_s1026" o:spt="136" type="#_x0000_t136" style="position:absolute;left:0pt;margin-left:349.2pt;margin-top:679.25pt;height:14pt;width:125pt;mso-position-horizontal-relative:margin;mso-position-vertical-relative:margin;rotation:-2949120f;z-index:-251630592;mso-width-relative:page;mso-height-relative:page;" fillcolor="#CCCCCC" filled="t" stroked="f" coordsize="21600,21600">
          <v:path/>
          <v:fill on="t" opacity="26214f" focussize="0,0"/>
          <v:stroke on="f"/>
          <v:imagedata o:title=""/>
          <o:lock v:ext="edit" aspectratio="t"/>
          <v:textpath on="t" fitshape="t" fitpath="t" trim="t" xscale="f" string="赵静0792132025-07-01" style="font-family:汉仪旗黑KW 55S;font-size:14pt;v-text-align:center;"/>
        </v:shape>
      </w:pict>
    </w:r>
    <w:r>
      <w:pict>
        <v:shape id="PowerPlusWaterMarkObject8668833" o:spid="_x0000_s1027" o:spt="136" type="#_x0000_t136" style="position:absolute;left:0pt;margin-left:239.6pt;margin-top:788.85pt;height:14pt;width:125pt;mso-position-horizontal-relative:margin;mso-position-vertical-relative:margin;rotation:-2949120f;z-index:-251631616;mso-width-relative:page;mso-height-relative:page;" fillcolor="#CCCCCC" filled="t" stroked="f" coordsize="21600,21600">
          <v:path/>
          <v:fill on="t" opacity="26214f" focussize="0,0"/>
          <v:stroke on="f"/>
          <v:imagedata o:title=""/>
          <o:lock v:ext="edit" aspectratio="t"/>
          <v:textpath on="t" fitshape="t" fitpath="t" trim="t" xscale="f" string="赵静0792132025-07-01" style="font-family:汉仪旗黑KW 55S;font-size:14pt;v-text-align:center;"/>
        </v:shape>
      </w:pict>
    </w:r>
    <w:r>
      <w:pict>
        <v:shape id="PowerPlusWaterMarkObject8458486" o:spid="_x0000_s1028" o:spt="136" type="#_x0000_t136" style="position:absolute;left:0pt;margin-left:458.8pt;margin-top:364.3pt;height:14pt;width:125pt;mso-position-horizontal-relative:margin;mso-position-vertical-relative:margin;rotation:-2949120f;z-index:-251632640;mso-width-relative:page;mso-height-relative:page;" fillcolor="#CCCCCC" filled="t" stroked="f" coordsize="21600,21600">
          <v:path/>
          <v:fill on="t" opacity="26214f" focussize="0,0"/>
          <v:stroke on="f"/>
          <v:imagedata o:title=""/>
          <o:lock v:ext="edit" aspectratio="t"/>
          <v:textpath on="t" fitshape="t" fitpath="t" trim="t" xscale="f" string="赵静0792132025-07-01" style="font-family:汉仪旗黑KW 55S;font-size:14pt;v-text-align:center;"/>
        </v:shape>
      </w:pict>
    </w:r>
    <w:r>
      <w:pict>
        <v:shape id="PowerPlusWaterMarkObject8000621" o:spid="_x0000_s1029" o:spt="136" type="#_x0000_t136" style="position:absolute;left:0pt;margin-left:349.2pt;margin-top:473.9pt;height:14pt;width:125pt;mso-position-horizontal-relative:margin;mso-position-vertical-relative:margin;rotation:-2949120f;z-index:-251633664;mso-width-relative:page;mso-height-relative:page;" fillcolor="#CCCCCC" filled="t" stroked="f" coordsize="21600,21600">
          <v:path/>
          <v:fill on="t" opacity="26214f" focussize="0,0"/>
          <v:stroke on="f"/>
          <v:imagedata o:title=""/>
          <o:lock v:ext="edit" aspectratio="t"/>
          <v:textpath on="t" fitshape="t" fitpath="t" trim="t" xscale="f" string="赵静0792132025-07-01" style="font-family:汉仪旗黑KW 55S;font-size:14pt;v-text-align:center;"/>
        </v:shape>
      </w:pict>
    </w:r>
    <w:r>
      <w:pict>
        <v:shape id="PowerPlusWaterMarkObject7803470" o:spid="_x0000_s1030" o:spt="136" type="#_x0000_t136" style="position:absolute;left:0pt;margin-left:239.6pt;margin-top:583.5pt;height:14pt;width:125pt;mso-position-horizontal-relative:margin;mso-position-vertical-relative:margin;rotation:-2949120f;z-index:-251634688;mso-width-relative:page;mso-height-relative:page;" fillcolor="#CCCCCC" filled="t" stroked="f" coordsize="21600,21600">
          <v:path/>
          <v:fill on="t" opacity="26214f" focussize="0,0"/>
          <v:stroke on="f"/>
          <v:imagedata o:title=""/>
          <o:lock v:ext="edit" aspectratio="t"/>
          <v:textpath on="t" fitshape="t" fitpath="t" trim="t" xscale="f" string="赵静0792132025-07-01" style="font-family:汉仪旗黑KW 55S;font-size:14pt;v-text-align:center;"/>
        </v:shape>
      </w:pict>
    </w:r>
    <w:r>
      <w:pict>
        <v:shape id="PowerPlusWaterMarkObject7651934" o:spid="_x0000_s1031" o:spt="136" type="#_x0000_t136" style="position:absolute;left:0pt;margin-left:130pt;margin-top:693.1pt;height:14pt;width:125pt;mso-position-horizontal-relative:margin;mso-position-vertical-relative:margin;rotation:-2949120f;z-index:-251635712;mso-width-relative:page;mso-height-relative:page;" fillcolor="#CCCCCC" filled="t" stroked="f" coordsize="21600,21600">
          <v:path/>
          <v:fill on="t" opacity="26214f" focussize="0,0"/>
          <v:stroke on="f"/>
          <v:imagedata o:title=""/>
          <o:lock v:ext="edit" aspectratio="t"/>
          <v:textpath on="t" fitshape="t" fitpath="t" trim="t" xscale="f" string="赵静0792132025-07-01" style="font-family:汉仪旗黑KW 55S;font-size:14pt;v-text-align:center;"/>
        </v:shape>
      </w:pict>
    </w:r>
    <w:r>
      <w:pict>
        <v:shape id="PowerPlusWaterMarkObject6937365" o:spid="_x0000_s1032" o:spt="136" type="#_x0000_t136" style="position:absolute;left:0pt;margin-left:20.4pt;margin-top:802.7pt;height:14pt;width:125pt;mso-position-horizontal-relative:margin;mso-position-vertical-relative:margin;rotation:-2949120f;z-index:-251636736;mso-width-relative:page;mso-height-relative:page;" fillcolor="#CCCCCC" filled="t" stroked="f" coordsize="21600,21600">
          <v:path/>
          <v:fill on="t" opacity="26214f" focussize="0,0"/>
          <v:stroke on="f"/>
          <v:imagedata o:title=""/>
          <o:lock v:ext="edit" aspectratio="t"/>
          <v:textpath on="t" fitshape="t" fitpath="t" trim="t" xscale="f" string="赵静0792132025-07-01" style="font-family:汉仪旗黑KW 55S;font-size:14pt;v-text-align:center;"/>
        </v:shape>
      </w:pict>
    </w:r>
    <w:r>
      <w:pict>
        <v:shape id="PowerPlusWaterMarkObject6685415" o:spid="_x0000_s1033" o:spt="136" type="#_x0000_t136" style="position:absolute;left:0pt;margin-left:458.8pt;margin-top:158.95pt;height:14pt;width:125pt;mso-position-horizontal-relative:margin;mso-position-vertical-relative:margin;rotation:-2949120f;z-index:-251637760;mso-width-relative:page;mso-height-relative:page;" fillcolor="#CCCCCC" filled="t" stroked="f" coordsize="21600,21600">
          <v:path/>
          <v:fill on="t" opacity="26214f" focussize="0,0"/>
          <v:stroke on="f"/>
          <v:imagedata o:title=""/>
          <o:lock v:ext="edit" aspectratio="t"/>
          <v:textpath on="t" fitshape="t" fitpath="t" trim="t" xscale="f" string="赵静0792132025-07-01" style="font-family:汉仪旗黑KW 55S;font-size:14pt;v-text-align:center;"/>
        </v:shape>
      </w:pict>
    </w:r>
    <w:r>
      <w:pict>
        <v:shape id="PowerPlusWaterMarkObject6608209" o:spid="_x0000_s1034" o:spt="136" type="#_x0000_t136" style="position:absolute;left:0pt;margin-left:349.2pt;margin-top:268.55pt;height:14pt;width:125pt;mso-position-horizontal-relative:margin;mso-position-vertical-relative:margin;rotation:-2949120f;z-index:-251638784;mso-width-relative:page;mso-height-relative:page;" fillcolor="#CCCCCC" filled="t" stroked="f" coordsize="21600,21600">
          <v:path/>
          <v:fill on="t" opacity="26214f" focussize="0,0"/>
          <v:stroke on="f"/>
          <v:imagedata o:title=""/>
          <o:lock v:ext="edit" aspectratio="t"/>
          <v:textpath on="t" fitshape="t" fitpath="t" trim="t" xscale="f" string="赵静0792132025-07-01" style="font-family:汉仪旗黑KW 55S;font-size:14pt;v-text-align:center;"/>
        </v:shape>
      </w:pict>
    </w:r>
    <w:r>
      <w:pict>
        <v:shape id="PowerPlusWaterMarkObject5823517" o:spid="_x0000_s1035" o:spt="136" type="#_x0000_t136" style="position:absolute;left:0pt;margin-left:239.6pt;margin-top:378.15pt;height:14pt;width:125pt;mso-position-horizontal-relative:margin;mso-position-vertical-relative:margin;rotation:-2949120f;z-index:-251639808;mso-width-relative:page;mso-height-relative:page;" fillcolor="#CCCCCC" filled="t" stroked="f" coordsize="21600,21600">
          <v:path/>
          <v:fill on="t" opacity="26214f" focussize="0,0"/>
          <v:stroke on="f"/>
          <v:imagedata o:title=""/>
          <o:lock v:ext="edit" aspectratio="t"/>
          <v:textpath on="t" fitshape="t" fitpath="t" trim="t" xscale="f" string="赵静0792132025-07-01" style="font-family:汉仪旗黑KW 55S;font-size:14pt;v-text-align:center;"/>
        </v:shape>
      </w:pict>
    </w:r>
    <w:r>
      <w:pict>
        <v:shape id="PowerPlusWaterMarkObject5748766" o:spid="_x0000_s1036" o:spt="136" type="#_x0000_t136" style="position:absolute;left:0pt;margin-left:130pt;margin-top:487.75pt;height:14pt;width:125pt;mso-position-horizontal-relative:margin;mso-position-vertical-relative:margin;rotation:-2949120f;z-index:-251640832;mso-width-relative:page;mso-height-relative:page;" fillcolor="#CCCCCC" filled="t" stroked="f" coordsize="21600,21600">
          <v:path/>
          <v:fill on="t" opacity="26214f" focussize="0,0"/>
          <v:stroke on="f"/>
          <v:imagedata o:title=""/>
          <o:lock v:ext="edit" aspectratio="t"/>
          <v:textpath on="t" fitshape="t" fitpath="t" trim="t" xscale="f" string="赵静0792132025-07-01" style="font-family:汉仪旗黑KW 55S;font-size:14pt;v-text-align:center;"/>
        </v:shape>
      </w:pict>
    </w:r>
    <w:r>
      <w:pict>
        <v:shape id="PowerPlusWaterMarkObject4886457" o:spid="_x0000_s1037" o:spt="136" type="#_x0000_t136" style="position:absolute;left:0pt;margin-left:20.4pt;margin-top:597.35pt;height:14pt;width:125pt;mso-position-horizontal-relative:margin;mso-position-vertical-relative:margin;rotation:-2949120f;z-index:-251641856;mso-width-relative:page;mso-height-relative:page;" fillcolor="#CCCCCC" filled="t" stroked="f" coordsize="21600,21600">
          <v:path/>
          <v:fill on="t" opacity="26214f" focussize="0,0"/>
          <v:stroke on="f"/>
          <v:imagedata o:title=""/>
          <o:lock v:ext="edit" aspectratio="t"/>
          <v:textpath on="t" fitshape="t" fitpath="t" trim="t" xscale="f" string="赵静0792132025-07-01" style="font-family:汉仪旗黑KW 55S;font-size:14pt;v-text-align:center;"/>
        </v:shape>
      </w:pict>
    </w:r>
    <w:r>
      <w:pict>
        <v:shape id="PowerPlusWaterMarkObject4696331" o:spid="_x0000_s1038" o:spt="136" type="#_x0000_t136" style="position:absolute;left:0pt;margin-left:-89.2pt;margin-top:706.95pt;height:14pt;width:125pt;mso-position-horizontal-relative:margin;mso-position-vertical-relative:margin;rotation:-2949120f;z-index:-251642880;mso-width-relative:page;mso-height-relative:page;" fillcolor="#CCCCCC" filled="t" stroked="f" coordsize="21600,21600">
          <v:path/>
          <v:fill on="t" opacity="26214f" focussize="0,0"/>
          <v:stroke on="f"/>
          <v:imagedata o:title=""/>
          <o:lock v:ext="edit" aspectratio="t"/>
          <v:textpath on="t" fitshape="t" fitpath="t" trim="t" xscale="f" string="赵静0792132025-07-01" style="font-family:汉仪旗黑KW 55S;font-size:14pt;v-text-align:center;"/>
        </v:shape>
      </w:pict>
    </w:r>
    <w:r>
      <w:pict>
        <v:shape id="PowerPlusWaterMarkObject4549347" o:spid="_x0000_s1039" o:spt="136" type="#_x0000_t136" style="position:absolute;left:0pt;margin-left:458.8pt;margin-top:-46.35pt;height:14pt;width:125pt;mso-position-horizontal-relative:margin;mso-position-vertical-relative:margin;rotation:-2949120f;z-index:-251642880;mso-width-relative:page;mso-height-relative:page;" fillcolor="#CCCCCC" filled="t" stroked="f" coordsize="21600,21600">
          <v:path/>
          <v:fill on="t" opacity="26214f" focussize="0,0"/>
          <v:stroke on="f"/>
          <v:imagedata o:title=""/>
          <o:lock v:ext="edit" aspectratio="t"/>
          <v:textpath on="t" fitshape="t" fitpath="t" trim="t" xscale="f" string="赵静0792132025-07-01" style="font-family:汉仪旗黑KW 55S;font-size:14pt;v-text-align:center;"/>
        </v:shape>
      </w:pict>
    </w:r>
    <w:r>
      <w:pict>
        <v:shape id="PowerPlusWaterMarkObject4411741" o:spid="_x0000_s1040" o:spt="136" type="#_x0000_t136" style="position:absolute;left:0pt;margin-left:349.2pt;margin-top:63.25pt;height:14pt;width:125pt;mso-position-horizontal-relative:margin;mso-position-vertical-relative:margin;rotation:-2949120f;z-index:-251643904;mso-width-relative:page;mso-height-relative:page;" fillcolor="#CCCCCC" filled="t" stroked="f" coordsize="21600,21600">
          <v:path/>
          <v:fill on="t" opacity="26214f" focussize="0,0"/>
          <v:stroke on="f"/>
          <v:imagedata o:title=""/>
          <o:lock v:ext="edit" aspectratio="t"/>
          <v:textpath on="t" fitshape="t" fitpath="t" trim="t" xscale="f" string="赵静0792132025-07-01" style="font-family:汉仪旗黑KW 55S;font-size:14pt;v-text-align:center;"/>
        </v:shape>
      </w:pict>
    </w:r>
    <w:r>
      <w:pict>
        <v:shape id="PowerPlusWaterMarkObject3924834" o:spid="_x0000_s1041" o:spt="136" type="#_x0000_t136" style="position:absolute;left:0pt;margin-left:239.6pt;margin-top:172.85pt;height:14pt;width:125pt;mso-position-horizontal-relative:margin;mso-position-vertical-relative:margin;rotation:-2949120f;z-index:-251644928;mso-width-relative:page;mso-height-relative:page;" fillcolor="#CCCCCC" filled="t" stroked="f" coordsize="21600,21600">
          <v:path/>
          <v:fill on="t" opacity="26214f" focussize="0,0"/>
          <v:stroke on="f"/>
          <v:imagedata o:title=""/>
          <o:lock v:ext="edit" aspectratio="t"/>
          <v:textpath on="t" fitshape="t" fitpath="t" trim="t" xscale="f" string="赵静0792132025-07-01" style="font-family:汉仪旗黑KW 55S;font-size:14pt;v-text-align:center;"/>
        </v:shape>
      </w:pict>
    </w:r>
    <w:r>
      <w:pict>
        <v:shape id="PowerPlusWaterMarkObject3029602" o:spid="_x0000_s1042" o:spt="136" type="#_x0000_t136" style="position:absolute;left:0pt;margin-left:130pt;margin-top:282.45pt;height:14pt;width:125pt;mso-position-horizontal-relative:margin;mso-position-vertical-relative:margin;rotation:-2949120f;z-index:-251645952;mso-width-relative:page;mso-height-relative:page;" fillcolor="#CCCCCC" filled="t" stroked="f" coordsize="21600,21600">
          <v:path/>
          <v:fill on="t" opacity="26214f" focussize="0,0"/>
          <v:stroke on="f"/>
          <v:imagedata o:title=""/>
          <o:lock v:ext="edit" aspectratio="t"/>
          <v:textpath on="t" fitshape="t" fitpath="t" trim="t" xscale="f" string="赵静0792132025-07-01" style="font-family:汉仪旗黑KW 55S;font-size:14pt;v-text-align:center;"/>
        </v:shape>
      </w:pict>
    </w:r>
    <w:r>
      <w:pict>
        <v:shape id="PowerPlusWaterMarkObject2785649" o:spid="_x0000_s1043" o:spt="136" type="#_x0000_t136" style="position:absolute;left:0pt;margin-left:20.4pt;margin-top:392.05pt;height:14pt;width:125pt;mso-position-horizontal-relative:margin;mso-position-vertical-relative:margin;rotation:-2949120f;z-index:-251646976;mso-width-relative:page;mso-height-relative:page;" fillcolor="#CCCCCC" filled="t" stroked="f" coordsize="21600,21600">
          <v:path/>
          <v:fill on="t" opacity="26214f" focussize="0,0"/>
          <v:stroke on="f"/>
          <v:imagedata o:title=""/>
          <o:lock v:ext="edit" aspectratio="t"/>
          <v:textpath on="t" fitshape="t" fitpath="t" trim="t" xscale="f" string="赵静0792132025-07-01" style="font-family:汉仪旗黑KW 55S;font-size:14pt;v-text-align:center;"/>
        </v:shape>
      </w:pict>
    </w:r>
    <w:r>
      <w:pict>
        <v:shape id="PowerPlusWaterMarkObject2396923" o:spid="_x0000_s1044" o:spt="136" type="#_x0000_t136" style="position:absolute;left:0pt;margin-left:-89.2pt;margin-top:501.65pt;height:14pt;width:125pt;mso-position-horizontal-relative:margin;mso-position-vertical-relative:margin;rotation:-2949120f;z-index:-251648000;mso-width-relative:page;mso-height-relative:page;" fillcolor="#CCCCCC" filled="t" stroked="f" coordsize="21600,21600">
          <v:path/>
          <v:fill on="t" opacity="26214f" focussize="0,0"/>
          <v:stroke on="f"/>
          <v:imagedata o:title=""/>
          <o:lock v:ext="edit" aspectratio="t"/>
          <v:textpath on="t" fitshape="t" fitpath="t" trim="t" xscale="f" string="赵静0792132025-07-01" style="font-family:汉仪旗黑KW 55S;font-size:14pt;v-text-align:center;"/>
        </v:shape>
      </w:pict>
    </w:r>
    <w:r>
      <w:pict>
        <v:shape id="PowerPlusWaterMarkObject2019023" o:spid="_x0000_s1045" o:spt="136" type="#_x0000_t136" style="position:absolute;left:0pt;margin-left:239.6pt;margin-top:-32.5pt;height:14pt;width:125pt;mso-position-horizontal-relative:margin;mso-position-vertical-relative:margin;rotation:-2949120f;z-index:-251649024;mso-width-relative:page;mso-height-relative:page;" fillcolor="#CCCCCC" filled="t" stroked="f" coordsize="21600,21600">
          <v:path/>
          <v:fill on="t" opacity="26214f" focussize="0,0"/>
          <v:stroke on="f"/>
          <v:imagedata o:title=""/>
          <o:lock v:ext="edit" aspectratio="t"/>
          <v:textpath on="t" fitshape="t" fitpath="t" trim="t" xscale="f" string="赵静0792132025-07-01" style="font-family:汉仪旗黑KW 55S;font-size:14pt;v-text-align:center;"/>
        </v:shape>
      </w:pict>
    </w:r>
    <w:r>
      <w:pict>
        <v:shape id="PowerPlusWaterMarkObject1813491" o:spid="_x0000_s1046" o:spt="136" type="#_x0000_t136" style="position:absolute;left:0pt;margin-left:130pt;margin-top:77.1pt;height:14pt;width:125pt;mso-position-horizontal-relative:margin;mso-position-vertical-relative:margin;rotation:-2949120f;z-index:-251650048;mso-width-relative:page;mso-height-relative:page;" fillcolor="#CCCCCC" filled="t" stroked="f" coordsize="21600,21600">
          <v:path/>
          <v:fill on="t" opacity="26214f" focussize="0,0"/>
          <v:stroke on="f"/>
          <v:imagedata o:title=""/>
          <o:lock v:ext="edit" aspectratio="t"/>
          <v:textpath on="t" fitshape="t" fitpath="t" trim="t" xscale="f" string="赵静0792132025-07-01" style="font-family:汉仪旗黑KW 55S;font-size:14pt;v-text-align:center;"/>
        </v:shape>
      </w:pict>
    </w:r>
    <w:r>
      <w:pict>
        <v:shape id="PowerPlusWaterMarkObject1301979" o:spid="_x0000_s1047" o:spt="136" type="#_x0000_t136" style="position:absolute;left:0pt;margin-left:20.4pt;margin-top:186.7pt;height:14pt;width:125pt;mso-position-horizontal-relative:margin;mso-position-vertical-relative:margin;rotation:-2949120f;z-index:-251651072;mso-width-relative:page;mso-height-relative:page;" fillcolor="#CCCCCC" filled="t" stroked="f" coordsize="21600,21600">
          <v:path/>
          <v:fill on="t" opacity="26214f" focussize="0,0"/>
          <v:stroke on="f"/>
          <v:imagedata o:title=""/>
          <o:lock v:ext="edit" aspectratio="t"/>
          <v:textpath on="t" fitshape="t" fitpath="t" trim="t" xscale="f" string="赵静0792132025-07-01" style="font-family:汉仪旗黑KW 55S;font-size:14pt;v-text-align:center;"/>
        </v:shape>
      </w:pict>
    </w:r>
    <w:r>
      <w:pict>
        <v:shape id="PowerPlusWaterMarkObject961539" o:spid="_x0000_s1048" o:spt="136" type="#_x0000_t136" style="position:absolute;left:0pt;margin-left:-89.2pt;margin-top:296.3pt;height:14pt;width:125pt;mso-position-horizontal-relative:margin;mso-position-vertical-relative:margin;rotation:-2949120f;z-index:-251652096;mso-width-relative:page;mso-height-relative:page;" fillcolor="#CCCCCC" filled="t" stroked="f" coordsize="21600,21600">
          <v:path/>
          <v:fill on="t" opacity="26214f" focussize="0,0"/>
          <v:stroke on="f"/>
          <v:imagedata o:title=""/>
          <o:lock v:ext="edit" aspectratio="t"/>
          <v:textpath on="t" fitshape="t" fitpath="t" trim="t" xscale="f" string="赵静0792132025-07-01" style="font-family:汉仪旗黑KW 55S;font-size:14pt;v-text-align:center;"/>
        </v:shape>
      </w:pict>
    </w:r>
    <w:r>
      <w:pict>
        <v:shape id="PowerPlusWaterMarkObject653124" o:spid="_x0000_s1049" o:spt="136" type="#_x0000_t136" style="position:absolute;left:0pt;margin-left:20.4pt;margin-top:-18.65pt;height:14pt;width:125pt;mso-position-horizontal-relative:margin;mso-position-vertical-relative:margin;rotation:-2949120f;z-index:-251653120;mso-width-relative:page;mso-height-relative:page;" fillcolor="#CCCCCC" filled="t" stroked="f" coordsize="21600,21600">
          <v:path/>
          <v:fill on="t" opacity="26214f" focussize="0,0"/>
          <v:stroke on="f"/>
          <v:imagedata o:title=""/>
          <o:lock v:ext="edit" aspectratio="t"/>
          <v:textpath on="t" fitshape="t" fitpath="t" trim="t" xscale="f" string="赵静0792132025-07-01" style="font-family:汉仪旗黑KW 55S;font-size:14pt;v-text-align:center;"/>
        </v:shape>
      </w:pict>
    </w:r>
    <w:r>
      <w:pict>
        <v:shape id="PowerPlusWaterMarkObject218769" o:spid="_x0000_s1050" o:spt="136" type="#_x0000_t136" style="position:absolute;left:0pt;margin-left:-89.2pt;margin-top:90.95pt;height:14pt;width:125pt;mso-position-horizontal-relative:margin;mso-position-vertical-relative:margin;rotation:-2949120f;z-index:-251654144;mso-width-relative:page;mso-height-relative:page;" fillcolor="#CCCCCC" filled="t" stroked="f" coordsize="21600,21600">
          <v:path/>
          <v:fill on="t" opacity="26214f" focussize="0,0"/>
          <v:stroke on="f"/>
          <v:imagedata o:title=""/>
          <o:lock v:ext="edit" aspectratio="t"/>
          <v:textpath on="t" fitshape="t" fitpath="t" trim="t" xscale="f" string="赵静0792132025-07-01" style="font-family:汉仪旗黑KW 55S;font-size:14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1"/>
      </w:pBdr>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p>
  <w:p>
    <w:pPr>
      <w:pStyle w:val="27"/>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p>
  <w:p>
    <w:pPr>
      <w:pStyle w:val="27"/>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F66907"/>
    <w:multiLevelType w:val="multilevel"/>
    <w:tmpl w:val="A0F66907"/>
    <w:lvl w:ilvl="0" w:tentative="0">
      <w:start w:val="1"/>
      <w:numFmt w:val="decimal"/>
      <w:suff w:val="space"/>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1">
    <w:nsid w:val="A6849FB6"/>
    <w:multiLevelType w:val="singleLevel"/>
    <w:tmpl w:val="A6849FB6"/>
    <w:lvl w:ilvl="0" w:tentative="0">
      <w:start w:val="2"/>
      <w:numFmt w:val="chineseCounting"/>
      <w:suff w:val="nothing"/>
      <w:lvlText w:val="%1、"/>
      <w:lvlJc w:val="left"/>
      <w:rPr>
        <w:rFonts w:hint="eastAsia"/>
      </w:rPr>
    </w:lvl>
  </w:abstractNum>
  <w:abstractNum w:abstractNumId="2">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3">
    <w:nsid w:val="E643252F"/>
    <w:multiLevelType w:val="singleLevel"/>
    <w:tmpl w:val="E643252F"/>
    <w:lvl w:ilvl="0" w:tentative="0">
      <w:start w:val="1"/>
      <w:numFmt w:val="decimal"/>
      <w:lvlText w:val="%1."/>
      <w:lvlJc w:val="left"/>
      <w:pPr>
        <w:tabs>
          <w:tab w:val="left" w:pos="312"/>
        </w:tabs>
      </w:pPr>
    </w:lvl>
  </w:abstractNum>
  <w:abstractNum w:abstractNumId="4">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5">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6">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7">
    <w:nsid w:val="269B4CC2"/>
    <w:multiLevelType w:val="multilevel"/>
    <w:tmpl w:val="269B4CC2"/>
    <w:lvl w:ilvl="0" w:tentative="0">
      <w:start w:val="1"/>
      <w:numFmt w:val="decimal"/>
      <w:pStyle w:val="142"/>
      <w:suff w:val="space"/>
      <w:lvlText w:val="%1."/>
      <w:lvlJc w:val="left"/>
      <w:pPr>
        <w:ind w:left="567" w:hanging="425"/>
      </w:pPr>
      <w:rPr>
        <w:rFonts w:hint="eastAsia"/>
      </w:rPr>
    </w:lvl>
    <w:lvl w:ilvl="1" w:tentative="0">
      <w:start w:val="1"/>
      <w:numFmt w:val="decimal"/>
      <w:pStyle w:val="143"/>
      <w:suff w:val="space"/>
      <w:lvlText w:val="%1.%2."/>
      <w:lvlJc w:val="left"/>
      <w:pPr>
        <w:ind w:left="425" w:hanging="425"/>
      </w:pPr>
      <w:rPr>
        <w:rFonts w:hint="eastAsia"/>
      </w:rPr>
    </w:lvl>
    <w:lvl w:ilvl="2" w:tentative="0">
      <w:start w:val="1"/>
      <w:numFmt w:val="decimal"/>
      <w:pStyle w:val="144"/>
      <w:suff w:val="space"/>
      <w:lvlText w:val="%1.%2.%3."/>
      <w:lvlJc w:val="left"/>
      <w:pPr>
        <w:ind w:left="425" w:hanging="425"/>
      </w:pPr>
      <w:rPr>
        <w:rFonts w:hint="eastAsia"/>
      </w:rPr>
    </w:lvl>
    <w:lvl w:ilvl="3" w:tentative="0">
      <w:start w:val="1"/>
      <w:numFmt w:val="decimal"/>
      <w:suff w:val="space"/>
      <w:lvlText w:val="%1.%2.%3.%4."/>
      <w:lvlJc w:val="left"/>
      <w:pPr>
        <w:ind w:left="425" w:hanging="425"/>
      </w:pPr>
      <w:rPr>
        <w:rFonts w:hint="eastAsia"/>
      </w:rPr>
    </w:lvl>
    <w:lvl w:ilvl="4" w:tentative="0">
      <w:start w:val="1"/>
      <w:numFmt w:val="decimal"/>
      <w:suff w:val="space"/>
      <w:lvlText w:val="%1.%2.%3.%4.%5."/>
      <w:lvlJc w:val="left"/>
      <w:pPr>
        <w:ind w:left="425" w:hanging="425"/>
      </w:pPr>
      <w:rPr>
        <w:rFonts w:hint="eastAsia"/>
      </w:rPr>
    </w:lvl>
    <w:lvl w:ilvl="5" w:tentative="0">
      <w:start w:val="1"/>
      <w:numFmt w:val="decimal"/>
      <w:suff w:val="space"/>
      <w:lvlText w:val="%1.%2.%3.%4.%5.%6."/>
      <w:lvlJc w:val="left"/>
      <w:pPr>
        <w:ind w:left="425" w:hanging="425"/>
      </w:pPr>
      <w:rPr>
        <w:rFonts w:hint="eastAsia"/>
      </w:rPr>
    </w:lvl>
    <w:lvl w:ilvl="6" w:tentative="0">
      <w:start w:val="1"/>
      <w:numFmt w:val="decimal"/>
      <w:suff w:val="space"/>
      <w:lvlText w:val="%1.%2.%3.%4.%5.%6.%7."/>
      <w:lvlJc w:val="left"/>
      <w:pPr>
        <w:ind w:left="425" w:hanging="425"/>
      </w:pPr>
      <w:rPr>
        <w:rFonts w:hint="eastAsia"/>
      </w:rPr>
    </w:lvl>
    <w:lvl w:ilvl="7" w:tentative="0">
      <w:start w:val="1"/>
      <w:numFmt w:val="decimal"/>
      <w:suff w:val="space"/>
      <w:lvlText w:val="%1.%2.%3.%4.%5.%6.%7.%8."/>
      <w:lvlJc w:val="left"/>
      <w:pPr>
        <w:ind w:left="425" w:hanging="425"/>
      </w:pPr>
      <w:rPr>
        <w:rFonts w:hint="eastAsia"/>
      </w:rPr>
    </w:lvl>
    <w:lvl w:ilvl="8" w:tentative="0">
      <w:start w:val="1"/>
      <w:numFmt w:val="decimal"/>
      <w:suff w:val="space"/>
      <w:lvlText w:val="%1.%2.%3.%4.%5.%6.%7.%8.%9."/>
      <w:lvlJc w:val="left"/>
      <w:pPr>
        <w:ind w:left="425" w:hanging="425"/>
      </w:pPr>
      <w:rPr>
        <w:rFonts w:hint="eastAsia"/>
      </w:rPr>
    </w:lvl>
  </w:abstractNum>
  <w:abstractNum w:abstractNumId="8">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9">
    <w:nsid w:val="38681AE8"/>
    <w:multiLevelType w:val="multilevel"/>
    <w:tmpl w:val="38681AE8"/>
    <w:lvl w:ilvl="0" w:tentative="0">
      <w:start w:val="1"/>
      <w:numFmt w:val="lowerLetter"/>
      <w:lvlText w:val="%1)"/>
      <w:lvlJc w:val="left"/>
      <w:pPr>
        <w:tabs>
          <w:tab w:val="left" w:pos="6"/>
        </w:tabs>
        <w:ind w:left="403" w:firstLine="23"/>
      </w:pPr>
      <w:rPr>
        <w:rFonts w:hint="default"/>
      </w:rPr>
    </w:lvl>
    <w:lvl w:ilvl="1" w:tentative="0">
      <w:start w:val="1"/>
      <w:numFmt w:val="lowerLetter"/>
      <w:lvlText w:val="%2)"/>
      <w:lvlJc w:val="left"/>
      <w:pPr>
        <w:tabs>
          <w:tab w:val="left" w:pos="1575"/>
        </w:tabs>
        <w:ind w:left="1575" w:hanging="420"/>
      </w:pPr>
    </w:lvl>
    <w:lvl w:ilvl="2" w:tentative="0">
      <w:start w:val="1"/>
      <w:numFmt w:val="lowerRoman"/>
      <w:lvlText w:val="%3."/>
      <w:lvlJc w:val="right"/>
      <w:pPr>
        <w:tabs>
          <w:tab w:val="left" w:pos="1995"/>
        </w:tabs>
        <w:ind w:left="1995" w:hanging="420"/>
      </w:pPr>
    </w:lvl>
    <w:lvl w:ilvl="3" w:tentative="0">
      <w:start w:val="1"/>
      <w:numFmt w:val="decimal"/>
      <w:lvlText w:val="%4."/>
      <w:lvlJc w:val="left"/>
      <w:pPr>
        <w:tabs>
          <w:tab w:val="left" w:pos="2415"/>
        </w:tabs>
        <w:ind w:left="2415" w:hanging="420"/>
      </w:pPr>
    </w:lvl>
    <w:lvl w:ilvl="4" w:tentative="0">
      <w:start w:val="1"/>
      <w:numFmt w:val="lowerLetter"/>
      <w:lvlText w:val="%5)"/>
      <w:lvlJc w:val="left"/>
      <w:pPr>
        <w:tabs>
          <w:tab w:val="left" w:pos="2835"/>
        </w:tabs>
        <w:ind w:left="2835" w:hanging="420"/>
      </w:pPr>
    </w:lvl>
    <w:lvl w:ilvl="5" w:tentative="0">
      <w:start w:val="1"/>
      <w:numFmt w:val="lowerRoman"/>
      <w:lvlText w:val="%6."/>
      <w:lvlJc w:val="right"/>
      <w:pPr>
        <w:tabs>
          <w:tab w:val="left" w:pos="3255"/>
        </w:tabs>
        <w:ind w:left="3255" w:hanging="420"/>
      </w:pPr>
    </w:lvl>
    <w:lvl w:ilvl="6" w:tentative="0">
      <w:start w:val="1"/>
      <w:numFmt w:val="decimal"/>
      <w:lvlText w:val="%7."/>
      <w:lvlJc w:val="left"/>
      <w:pPr>
        <w:tabs>
          <w:tab w:val="left" w:pos="3675"/>
        </w:tabs>
        <w:ind w:left="3675" w:hanging="420"/>
      </w:pPr>
    </w:lvl>
    <w:lvl w:ilvl="7" w:tentative="0">
      <w:start w:val="1"/>
      <w:numFmt w:val="lowerLetter"/>
      <w:lvlText w:val="%8)"/>
      <w:lvlJc w:val="left"/>
      <w:pPr>
        <w:tabs>
          <w:tab w:val="left" w:pos="4095"/>
        </w:tabs>
        <w:ind w:left="4095" w:hanging="420"/>
      </w:pPr>
    </w:lvl>
    <w:lvl w:ilvl="8" w:tentative="0">
      <w:start w:val="1"/>
      <w:numFmt w:val="lowerRoman"/>
      <w:lvlText w:val="%9."/>
      <w:lvlJc w:val="right"/>
      <w:pPr>
        <w:tabs>
          <w:tab w:val="left" w:pos="4515"/>
        </w:tabs>
        <w:ind w:left="4515" w:hanging="420"/>
      </w:pPr>
    </w:lvl>
  </w:abstractNum>
  <w:abstractNum w:abstractNumId="10">
    <w:nsid w:val="39A4E181"/>
    <w:multiLevelType w:val="singleLevel"/>
    <w:tmpl w:val="39A4E181"/>
    <w:lvl w:ilvl="0" w:tentative="0">
      <w:start w:val="1"/>
      <w:numFmt w:val="bullet"/>
      <w:lvlText w:val=""/>
      <w:lvlJc w:val="left"/>
      <w:pPr>
        <w:ind w:left="420" w:hanging="420"/>
      </w:pPr>
      <w:rPr>
        <w:rFonts w:hint="default" w:ascii="Wingdings" w:hAnsi="Wingdings"/>
      </w:rPr>
    </w:lvl>
  </w:abstractNum>
  <w:abstractNum w:abstractNumId="11">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2">
    <w:nsid w:val="48B7ABA5"/>
    <w:multiLevelType w:val="singleLevel"/>
    <w:tmpl w:val="48B7ABA5"/>
    <w:lvl w:ilvl="0" w:tentative="0">
      <w:start w:val="1"/>
      <w:numFmt w:val="decimal"/>
      <w:lvlText w:val="%1."/>
      <w:lvlJc w:val="left"/>
      <w:pPr>
        <w:tabs>
          <w:tab w:val="left" w:pos="312"/>
        </w:tabs>
      </w:pPr>
    </w:lvl>
  </w:abstractNum>
  <w:abstractNum w:abstractNumId="13">
    <w:nsid w:val="646260FA"/>
    <w:multiLevelType w:val="multilevel"/>
    <w:tmpl w:val="646260FA"/>
    <w:lvl w:ilvl="0" w:tentative="0">
      <w:start w:val="1"/>
      <w:numFmt w:val="decimal"/>
      <w:pStyle w:val="139"/>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4">
    <w:nsid w:val="6E8C6948"/>
    <w:multiLevelType w:val="singleLevel"/>
    <w:tmpl w:val="6E8C6948"/>
    <w:lvl w:ilvl="0" w:tentative="0">
      <w:start w:val="1"/>
      <w:numFmt w:val="chineseCounting"/>
      <w:suff w:val="space"/>
      <w:lvlText w:val="第%1部分"/>
      <w:lvlJc w:val="left"/>
      <w:rPr>
        <w:rFonts w:hint="eastAsia"/>
      </w:rPr>
    </w:lvl>
  </w:abstractNum>
  <w:abstractNum w:abstractNumId="15">
    <w:nsid w:val="77DE7897"/>
    <w:multiLevelType w:val="singleLevel"/>
    <w:tmpl w:val="77DE7897"/>
    <w:lvl w:ilvl="0" w:tentative="0">
      <w:start w:val="1"/>
      <w:numFmt w:val="decimal"/>
      <w:lvlText w:val="%1."/>
      <w:lvlJc w:val="left"/>
      <w:pPr>
        <w:tabs>
          <w:tab w:val="left" w:pos="312"/>
        </w:tabs>
      </w:pPr>
    </w:lvl>
  </w:abstractNum>
  <w:abstractNum w:abstractNumId="16">
    <w:nsid w:val="7A612DE2"/>
    <w:multiLevelType w:val="singleLevel"/>
    <w:tmpl w:val="7A612DE2"/>
    <w:lvl w:ilvl="0" w:tentative="0">
      <w:start w:val="2"/>
      <w:numFmt w:val="decimal"/>
      <w:lvlText w:val="%1."/>
      <w:lvlJc w:val="left"/>
      <w:pPr>
        <w:tabs>
          <w:tab w:val="left" w:pos="312"/>
        </w:tabs>
      </w:pPr>
    </w:lvl>
  </w:abstractNum>
  <w:num w:numId="1">
    <w:abstractNumId w:val="13"/>
  </w:num>
  <w:num w:numId="2">
    <w:abstractNumId w:val="7"/>
  </w:num>
  <w:num w:numId="3">
    <w:abstractNumId w:val="0"/>
  </w:num>
  <w:num w:numId="4">
    <w:abstractNumId w:val="14"/>
  </w:num>
  <w:num w:numId="5">
    <w:abstractNumId w:val="15"/>
  </w:num>
  <w:num w:numId="6">
    <w:abstractNumId w:val="1"/>
  </w:num>
  <w:num w:numId="7">
    <w:abstractNumId w:val="16"/>
  </w:num>
  <w:num w:numId="8">
    <w:abstractNumId w:val="6"/>
  </w:num>
  <w:num w:numId="9">
    <w:abstractNumId w:val="4"/>
  </w:num>
  <w:num w:numId="10">
    <w:abstractNumId w:val="11"/>
  </w:num>
  <w:num w:numId="11">
    <w:abstractNumId w:val="2"/>
  </w:num>
  <w:num w:numId="12">
    <w:abstractNumId w:val="8"/>
  </w:num>
  <w:num w:numId="13">
    <w:abstractNumId w:val="5"/>
  </w:num>
  <w:num w:numId="14">
    <w:abstractNumId w:val="12"/>
  </w:num>
  <w:num w:numId="15">
    <w:abstractNumId w:val="10"/>
  </w:num>
  <w:num w:numId="16">
    <w:abstractNumId w:val="9"/>
  </w:num>
  <w:num w:numId="17">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王梦蛟">
    <w15:presenceInfo w15:providerId="AD" w15:userId="S-1-5-21-1613297828-3816166737-2323151284-10672"/>
  </w15:person>
  <w15:person w15:author="丿Y">
    <w15:presenceInfo w15:providerId="None" w15:userId="丿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6836"/>
    <w:rsid w:val="000473E5"/>
    <w:rsid w:val="0005777A"/>
    <w:rsid w:val="00065382"/>
    <w:rsid w:val="00080223"/>
    <w:rsid w:val="000A5309"/>
    <w:rsid w:val="000D6A51"/>
    <w:rsid w:val="000F45A3"/>
    <w:rsid w:val="00112DFA"/>
    <w:rsid w:val="0011696A"/>
    <w:rsid w:val="001679E2"/>
    <w:rsid w:val="00196AE8"/>
    <w:rsid w:val="001C1EE3"/>
    <w:rsid w:val="001C713C"/>
    <w:rsid w:val="001D75B9"/>
    <w:rsid w:val="001E142F"/>
    <w:rsid w:val="00200F05"/>
    <w:rsid w:val="00220056"/>
    <w:rsid w:val="00225276"/>
    <w:rsid w:val="002348BD"/>
    <w:rsid w:val="002421AA"/>
    <w:rsid w:val="002626ED"/>
    <w:rsid w:val="00265A40"/>
    <w:rsid w:val="00282FDE"/>
    <w:rsid w:val="0029130A"/>
    <w:rsid w:val="002E0899"/>
    <w:rsid w:val="003A4540"/>
    <w:rsid w:val="003B4D7D"/>
    <w:rsid w:val="003B78D1"/>
    <w:rsid w:val="003E0AB3"/>
    <w:rsid w:val="003E2209"/>
    <w:rsid w:val="003F7614"/>
    <w:rsid w:val="00401C42"/>
    <w:rsid w:val="004076DE"/>
    <w:rsid w:val="00460AFB"/>
    <w:rsid w:val="00470130"/>
    <w:rsid w:val="00483B0A"/>
    <w:rsid w:val="00495476"/>
    <w:rsid w:val="004B5126"/>
    <w:rsid w:val="004F2C1B"/>
    <w:rsid w:val="004F7838"/>
    <w:rsid w:val="004F7F0F"/>
    <w:rsid w:val="005029EC"/>
    <w:rsid w:val="00503391"/>
    <w:rsid w:val="00552960"/>
    <w:rsid w:val="0056018A"/>
    <w:rsid w:val="00567344"/>
    <w:rsid w:val="005829DC"/>
    <w:rsid w:val="00585AA6"/>
    <w:rsid w:val="005B1C8D"/>
    <w:rsid w:val="005C0B4E"/>
    <w:rsid w:val="005C421F"/>
    <w:rsid w:val="005F16F0"/>
    <w:rsid w:val="005F7C90"/>
    <w:rsid w:val="00620954"/>
    <w:rsid w:val="00635AAF"/>
    <w:rsid w:val="0065185D"/>
    <w:rsid w:val="0065513B"/>
    <w:rsid w:val="006617C1"/>
    <w:rsid w:val="00680629"/>
    <w:rsid w:val="00686C52"/>
    <w:rsid w:val="006A619E"/>
    <w:rsid w:val="006F1414"/>
    <w:rsid w:val="00701E4B"/>
    <w:rsid w:val="007432BF"/>
    <w:rsid w:val="007525BF"/>
    <w:rsid w:val="0077033B"/>
    <w:rsid w:val="007800DC"/>
    <w:rsid w:val="007838AA"/>
    <w:rsid w:val="00783D5E"/>
    <w:rsid w:val="00785FD6"/>
    <w:rsid w:val="007B212D"/>
    <w:rsid w:val="007F4254"/>
    <w:rsid w:val="00806A61"/>
    <w:rsid w:val="00824BFD"/>
    <w:rsid w:val="008453B3"/>
    <w:rsid w:val="0087545A"/>
    <w:rsid w:val="00877C62"/>
    <w:rsid w:val="008B3245"/>
    <w:rsid w:val="008D3B56"/>
    <w:rsid w:val="008D5CEF"/>
    <w:rsid w:val="00923B4B"/>
    <w:rsid w:val="009360F9"/>
    <w:rsid w:val="00951A84"/>
    <w:rsid w:val="00960A9E"/>
    <w:rsid w:val="009638AA"/>
    <w:rsid w:val="00964F00"/>
    <w:rsid w:val="009B511E"/>
    <w:rsid w:val="009E0F5E"/>
    <w:rsid w:val="009F79C0"/>
    <w:rsid w:val="00A21EB2"/>
    <w:rsid w:val="00A31561"/>
    <w:rsid w:val="00A54E95"/>
    <w:rsid w:val="00A72243"/>
    <w:rsid w:val="00A80564"/>
    <w:rsid w:val="00A960B2"/>
    <w:rsid w:val="00AB0969"/>
    <w:rsid w:val="00AB2985"/>
    <w:rsid w:val="00AE6633"/>
    <w:rsid w:val="00B01FF1"/>
    <w:rsid w:val="00B50BEF"/>
    <w:rsid w:val="00B60486"/>
    <w:rsid w:val="00B72516"/>
    <w:rsid w:val="00B92C97"/>
    <w:rsid w:val="00BA3C70"/>
    <w:rsid w:val="00BA4841"/>
    <w:rsid w:val="00BB4E42"/>
    <w:rsid w:val="00BF7D8A"/>
    <w:rsid w:val="00C01073"/>
    <w:rsid w:val="00C06582"/>
    <w:rsid w:val="00C54CE1"/>
    <w:rsid w:val="00C74645"/>
    <w:rsid w:val="00C855F6"/>
    <w:rsid w:val="00C92F53"/>
    <w:rsid w:val="00CD5223"/>
    <w:rsid w:val="00CE5010"/>
    <w:rsid w:val="00CE6E17"/>
    <w:rsid w:val="00D0528A"/>
    <w:rsid w:val="00D11B37"/>
    <w:rsid w:val="00D408EF"/>
    <w:rsid w:val="00D5145C"/>
    <w:rsid w:val="00D53EB2"/>
    <w:rsid w:val="00D64DAE"/>
    <w:rsid w:val="00D729A1"/>
    <w:rsid w:val="00DB5225"/>
    <w:rsid w:val="00DD1E5E"/>
    <w:rsid w:val="00DD22CF"/>
    <w:rsid w:val="00DD78F4"/>
    <w:rsid w:val="00DE6417"/>
    <w:rsid w:val="00E1627A"/>
    <w:rsid w:val="00E34C35"/>
    <w:rsid w:val="00E650A8"/>
    <w:rsid w:val="00E878B4"/>
    <w:rsid w:val="00EB3D00"/>
    <w:rsid w:val="00EC2BAA"/>
    <w:rsid w:val="00F31447"/>
    <w:rsid w:val="00F71720"/>
    <w:rsid w:val="00F801ED"/>
    <w:rsid w:val="00FE040F"/>
    <w:rsid w:val="00FE42B3"/>
    <w:rsid w:val="0133784E"/>
    <w:rsid w:val="01357C66"/>
    <w:rsid w:val="014832F2"/>
    <w:rsid w:val="014D51C1"/>
    <w:rsid w:val="01714809"/>
    <w:rsid w:val="01C52478"/>
    <w:rsid w:val="01CA3F1A"/>
    <w:rsid w:val="02184C85"/>
    <w:rsid w:val="027408EE"/>
    <w:rsid w:val="02963F39"/>
    <w:rsid w:val="02BA7274"/>
    <w:rsid w:val="03251978"/>
    <w:rsid w:val="0325718A"/>
    <w:rsid w:val="038B0255"/>
    <w:rsid w:val="039E25ED"/>
    <w:rsid w:val="03A10C87"/>
    <w:rsid w:val="042921B6"/>
    <w:rsid w:val="04AD02B8"/>
    <w:rsid w:val="04DF17D4"/>
    <w:rsid w:val="05151950"/>
    <w:rsid w:val="05412745"/>
    <w:rsid w:val="05491761"/>
    <w:rsid w:val="05946D18"/>
    <w:rsid w:val="05A351AD"/>
    <w:rsid w:val="05C234EE"/>
    <w:rsid w:val="05D95918"/>
    <w:rsid w:val="05DF009E"/>
    <w:rsid w:val="05F9748A"/>
    <w:rsid w:val="06032214"/>
    <w:rsid w:val="060B4B7B"/>
    <w:rsid w:val="06132F28"/>
    <w:rsid w:val="06160D68"/>
    <w:rsid w:val="06266F78"/>
    <w:rsid w:val="063E7B7A"/>
    <w:rsid w:val="06582413"/>
    <w:rsid w:val="067C1AC3"/>
    <w:rsid w:val="067E33B8"/>
    <w:rsid w:val="069C2954"/>
    <w:rsid w:val="06C11211"/>
    <w:rsid w:val="06E82FCB"/>
    <w:rsid w:val="06F34B95"/>
    <w:rsid w:val="07571DAC"/>
    <w:rsid w:val="078A0D17"/>
    <w:rsid w:val="07B436A2"/>
    <w:rsid w:val="08000695"/>
    <w:rsid w:val="08332819"/>
    <w:rsid w:val="08E64121"/>
    <w:rsid w:val="090D5816"/>
    <w:rsid w:val="0942017F"/>
    <w:rsid w:val="094D5FE4"/>
    <w:rsid w:val="09BA1FBB"/>
    <w:rsid w:val="09CB139F"/>
    <w:rsid w:val="09D73678"/>
    <w:rsid w:val="0A0106F5"/>
    <w:rsid w:val="0A112AB7"/>
    <w:rsid w:val="0A447F32"/>
    <w:rsid w:val="0AD71BC7"/>
    <w:rsid w:val="0AD85D26"/>
    <w:rsid w:val="0ADB7197"/>
    <w:rsid w:val="0AF420EB"/>
    <w:rsid w:val="0B2B2BF5"/>
    <w:rsid w:val="0B2F3908"/>
    <w:rsid w:val="0B3F6206"/>
    <w:rsid w:val="0BDB06E0"/>
    <w:rsid w:val="0BE12DB6"/>
    <w:rsid w:val="0C0A3890"/>
    <w:rsid w:val="0C345AD1"/>
    <w:rsid w:val="0C626CE4"/>
    <w:rsid w:val="0C8D0717"/>
    <w:rsid w:val="0C943AA2"/>
    <w:rsid w:val="0D0C2B7B"/>
    <w:rsid w:val="0D9308F8"/>
    <w:rsid w:val="0E0908A4"/>
    <w:rsid w:val="0E1A1D85"/>
    <w:rsid w:val="0E2350DD"/>
    <w:rsid w:val="0E696120"/>
    <w:rsid w:val="0E750568"/>
    <w:rsid w:val="0EB93A32"/>
    <w:rsid w:val="0F2D7A80"/>
    <w:rsid w:val="0F36499C"/>
    <w:rsid w:val="0F4277E5"/>
    <w:rsid w:val="0FA75561"/>
    <w:rsid w:val="0FB83603"/>
    <w:rsid w:val="0FCA77F1"/>
    <w:rsid w:val="0FCD5DCC"/>
    <w:rsid w:val="10221B8C"/>
    <w:rsid w:val="10270545"/>
    <w:rsid w:val="108A1D4B"/>
    <w:rsid w:val="10A10111"/>
    <w:rsid w:val="10BE093E"/>
    <w:rsid w:val="10F371DB"/>
    <w:rsid w:val="110F6D60"/>
    <w:rsid w:val="111B0FE9"/>
    <w:rsid w:val="115F67A8"/>
    <w:rsid w:val="118B5473"/>
    <w:rsid w:val="119A7465"/>
    <w:rsid w:val="11C07DA5"/>
    <w:rsid w:val="11E04CE1"/>
    <w:rsid w:val="12175CCF"/>
    <w:rsid w:val="12491386"/>
    <w:rsid w:val="12746E74"/>
    <w:rsid w:val="12B0299F"/>
    <w:rsid w:val="12C960AA"/>
    <w:rsid w:val="12E60579"/>
    <w:rsid w:val="130D3C66"/>
    <w:rsid w:val="13695B36"/>
    <w:rsid w:val="1372609F"/>
    <w:rsid w:val="14092DB2"/>
    <w:rsid w:val="145A6A37"/>
    <w:rsid w:val="1467440F"/>
    <w:rsid w:val="14F73019"/>
    <w:rsid w:val="15433A9B"/>
    <w:rsid w:val="15D102A0"/>
    <w:rsid w:val="15D13671"/>
    <w:rsid w:val="15FC2F04"/>
    <w:rsid w:val="15FD3709"/>
    <w:rsid w:val="16181FAC"/>
    <w:rsid w:val="166050EB"/>
    <w:rsid w:val="168756A0"/>
    <w:rsid w:val="16F94849"/>
    <w:rsid w:val="17045E51"/>
    <w:rsid w:val="172011D4"/>
    <w:rsid w:val="17252C3B"/>
    <w:rsid w:val="173F0A2E"/>
    <w:rsid w:val="1763167C"/>
    <w:rsid w:val="17770BC2"/>
    <w:rsid w:val="17793FC0"/>
    <w:rsid w:val="17860E2F"/>
    <w:rsid w:val="17A119AA"/>
    <w:rsid w:val="17AF1095"/>
    <w:rsid w:val="17C55E7C"/>
    <w:rsid w:val="18586F2B"/>
    <w:rsid w:val="192F3CC4"/>
    <w:rsid w:val="1935690C"/>
    <w:rsid w:val="196A7EB6"/>
    <w:rsid w:val="19A766B9"/>
    <w:rsid w:val="19BD7FCA"/>
    <w:rsid w:val="19BE4F9F"/>
    <w:rsid w:val="19CE76BA"/>
    <w:rsid w:val="19F26070"/>
    <w:rsid w:val="19F97C8B"/>
    <w:rsid w:val="1A1523CE"/>
    <w:rsid w:val="1A21343D"/>
    <w:rsid w:val="1AA730BD"/>
    <w:rsid w:val="1ABD4410"/>
    <w:rsid w:val="1AF018E1"/>
    <w:rsid w:val="1B333D5D"/>
    <w:rsid w:val="1B587618"/>
    <w:rsid w:val="1B5F19C7"/>
    <w:rsid w:val="1C1C709B"/>
    <w:rsid w:val="1C8E7F7E"/>
    <w:rsid w:val="1C9F6814"/>
    <w:rsid w:val="1D5C514E"/>
    <w:rsid w:val="1D834723"/>
    <w:rsid w:val="1D85395E"/>
    <w:rsid w:val="1D865D14"/>
    <w:rsid w:val="1D8705EC"/>
    <w:rsid w:val="1E43150B"/>
    <w:rsid w:val="1EA93E80"/>
    <w:rsid w:val="1EC024D4"/>
    <w:rsid w:val="1ED33FB6"/>
    <w:rsid w:val="1EE81332"/>
    <w:rsid w:val="1EED2D98"/>
    <w:rsid w:val="1F32415A"/>
    <w:rsid w:val="1F5A4199"/>
    <w:rsid w:val="1F7E2174"/>
    <w:rsid w:val="1FC32513"/>
    <w:rsid w:val="20107567"/>
    <w:rsid w:val="208717DB"/>
    <w:rsid w:val="209124BE"/>
    <w:rsid w:val="20AB56C6"/>
    <w:rsid w:val="20FB1961"/>
    <w:rsid w:val="2176507C"/>
    <w:rsid w:val="21BA10C4"/>
    <w:rsid w:val="21BE35AF"/>
    <w:rsid w:val="21C11174"/>
    <w:rsid w:val="22244B28"/>
    <w:rsid w:val="22467FD4"/>
    <w:rsid w:val="22784511"/>
    <w:rsid w:val="229451FD"/>
    <w:rsid w:val="22A12DB6"/>
    <w:rsid w:val="23352606"/>
    <w:rsid w:val="234E7F91"/>
    <w:rsid w:val="23533917"/>
    <w:rsid w:val="236356D1"/>
    <w:rsid w:val="23A91C83"/>
    <w:rsid w:val="23C962E8"/>
    <w:rsid w:val="23CF2D5A"/>
    <w:rsid w:val="246439BC"/>
    <w:rsid w:val="247E4FED"/>
    <w:rsid w:val="24B30BE8"/>
    <w:rsid w:val="24C6643F"/>
    <w:rsid w:val="24E34060"/>
    <w:rsid w:val="24EF2718"/>
    <w:rsid w:val="253A0491"/>
    <w:rsid w:val="253D4C0F"/>
    <w:rsid w:val="25994AC3"/>
    <w:rsid w:val="25E036B2"/>
    <w:rsid w:val="25E9082A"/>
    <w:rsid w:val="25F42473"/>
    <w:rsid w:val="26894267"/>
    <w:rsid w:val="26AF2D79"/>
    <w:rsid w:val="26B34B91"/>
    <w:rsid w:val="270D66E8"/>
    <w:rsid w:val="27514612"/>
    <w:rsid w:val="27597388"/>
    <w:rsid w:val="278B0DAB"/>
    <w:rsid w:val="279C6B0E"/>
    <w:rsid w:val="27A241B6"/>
    <w:rsid w:val="27A64735"/>
    <w:rsid w:val="27CC4DF2"/>
    <w:rsid w:val="281864F2"/>
    <w:rsid w:val="28316337"/>
    <w:rsid w:val="286903EF"/>
    <w:rsid w:val="287F5DD3"/>
    <w:rsid w:val="288047CB"/>
    <w:rsid w:val="289E62FA"/>
    <w:rsid w:val="291E2CA6"/>
    <w:rsid w:val="29331862"/>
    <w:rsid w:val="29747366"/>
    <w:rsid w:val="299E147F"/>
    <w:rsid w:val="29AB2E3A"/>
    <w:rsid w:val="29C32A87"/>
    <w:rsid w:val="29CF26DC"/>
    <w:rsid w:val="2A02463D"/>
    <w:rsid w:val="2A1C5DA0"/>
    <w:rsid w:val="2A200D39"/>
    <w:rsid w:val="2A507EFF"/>
    <w:rsid w:val="2A6579DF"/>
    <w:rsid w:val="2AB01365"/>
    <w:rsid w:val="2ADC05A4"/>
    <w:rsid w:val="2B0423C1"/>
    <w:rsid w:val="2B4544FA"/>
    <w:rsid w:val="2B6F0D7F"/>
    <w:rsid w:val="2B797443"/>
    <w:rsid w:val="2B8716BD"/>
    <w:rsid w:val="2B8B76FF"/>
    <w:rsid w:val="2B9D1BD3"/>
    <w:rsid w:val="2BC22DD1"/>
    <w:rsid w:val="2BD5034F"/>
    <w:rsid w:val="2C0B6845"/>
    <w:rsid w:val="2C1876BF"/>
    <w:rsid w:val="2C60275E"/>
    <w:rsid w:val="2C9E432B"/>
    <w:rsid w:val="2D025012"/>
    <w:rsid w:val="2D4178F0"/>
    <w:rsid w:val="2DA535EC"/>
    <w:rsid w:val="2DAE631A"/>
    <w:rsid w:val="2DD877E0"/>
    <w:rsid w:val="2DE616C9"/>
    <w:rsid w:val="2DFC2451"/>
    <w:rsid w:val="2E3422F8"/>
    <w:rsid w:val="2E392F37"/>
    <w:rsid w:val="2E6D31FB"/>
    <w:rsid w:val="2E6E566D"/>
    <w:rsid w:val="2E7F188E"/>
    <w:rsid w:val="2EBC0905"/>
    <w:rsid w:val="2EC73739"/>
    <w:rsid w:val="2EFB1B0E"/>
    <w:rsid w:val="2F5C684F"/>
    <w:rsid w:val="303A20E7"/>
    <w:rsid w:val="307776D1"/>
    <w:rsid w:val="30862574"/>
    <w:rsid w:val="30B631E1"/>
    <w:rsid w:val="311933AA"/>
    <w:rsid w:val="317D15BB"/>
    <w:rsid w:val="31A67308"/>
    <w:rsid w:val="31D07E6C"/>
    <w:rsid w:val="323F65DA"/>
    <w:rsid w:val="32412074"/>
    <w:rsid w:val="325B63D6"/>
    <w:rsid w:val="32745B63"/>
    <w:rsid w:val="32A0644D"/>
    <w:rsid w:val="32DE0199"/>
    <w:rsid w:val="335B2774"/>
    <w:rsid w:val="33A4642E"/>
    <w:rsid w:val="33A877AB"/>
    <w:rsid w:val="33D4039C"/>
    <w:rsid w:val="33D47E05"/>
    <w:rsid w:val="33F85C46"/>
    <w:rsid w:val="340017FF"/>
    <w:rsid w:val="3413677D"/>
    <w:rsid w:val="342B544B"/>
    <w:rsid w:val="343839A4"/>
    <w:rsid w:val="345E036E"/>
    <w:rsid w:val="347B7410"/>
    <w:rsid w:val="348B076C"/>
    <w:rsid w:val="34DE1E4F"/>
    <w:rsid w:val="34F07DB1"/>
    <w:rsid w:val="358D07D1"/>
    <w:rsid w:val="35B0692A"/>
    <w:rsid w:val="35D354B8"/>
    <w:rsid w:val="35D4025C"/>
    <w:rsid w:val="35F516ED"/>
    <w:rsid w:val="35FC2392"/>
    <w:rsid w:val="362666BC"/>
    <w:rsid w:val="368A6B11"/>
    <w:rsid w:val="36A77DAA"/>
    <w:rsid w:val="36E24308"/>
    <w:rsid w:val="37081C24"/>
    <w:rsid w:val="37085B1F"/>
    <w:rsid w:val="372E04CB"/>
    <w:rsid w:val="37742729"/>
    <w:rsid w:val="37C85FF9"/>
    <w:rsid w:val="37DB5D8E"/>
    <w:rsid w:val="38D139F9"/>
    <w:rsid w:val="38D55634"/>
    <w:rsid w:val="38E070F2"/>
    <w:rsid w:val="38F030C9"/>
    <w:rsid w:val="390B0AC4"/>
    <w:rsid w:val="390D33AB"/>
    <w:rsid w:val="391E6D06"/>
    <w:rsid w:val="39CE5179"/>
    <w:rsid w:val="3A074847"/>
    <w:rsid w:val="3A5C3ADB"/>
    <w:rsid w:val="3AA90FE6"/>
    <w:rsid w:val="3AA9318F"/>
    <w:rsid w:val="3AB62DA0"/>
    <w:rsid w:val="3AC61BD3"/>
    <w:rsid w:val="3B273268"/>
    <w:rsid w:val="3B3B6363"/>
    <w:rsid w:val="3B7D3FD5"/>
    <w:rsid w:val="3B823DDF"/>
    <w:rsid w:val="3C084B3D"/>
    <w:rsid w:val="3C237ED3"/>
    <w:rsid w:val="3C8C6152"/>
    <w:rsid w:val="3C91192E"/>
    <w:rsid w:val="3CAA596A"/>
    <w:rsid w:val="3CB1587B"/>
    <w:rsid w:val="3CB735F2"/>
    <w:rsid w:val="3D186684"/>
    <w:rsid w:val="3D363C36"/>
    <w:rsid w:val="3D4C7C96"/>
    <w:rsid w:val="3D8B2178"/>
    <w:rsid w:val="3DB34909"/>
    <w:rsid w:val="3DD115F5"/>
    <w:rsid w:val="3DE435F0"/>
    <w:rsid w:val="3DE5122C"/>
    <w:rsid w:val="3DF37E53"/>
    <w:rsid w:val="3E8D3E63"/>
    <w:rsid w:val="3EC149E9"/>
    <w:rsid w:val="3ED26DE9"/>
    <w:rsid w:val="3EED17D0"/>
    <w:rsid w:val="3F0C0304"/>
    <w:rsid w:val="3FE25AA0"/>
    <w:rsid w:val="3FEC147E"/>
    <w:rsid w:val="4024153A"/>
    <w:rsid w:val="403703F1"/>
    <w:rsid w:val="40376375"/>
    <w:rsid w:val="40E35E83"/>
    <w:rsid w:val="40EF47EC"/>
    <w:rsid w:val="412732B7"/>
    <w:rsid w:val="4127791F"/>
    <w:rsid w:val="41281794"/>
    <w:rsid w:val="413C1FDF"/>
    <w:rsid w:val="416C63B3"/>
    <w:rsid w:val="41806A69"/>
    <w:rsid w:val="41911D83"/>
    <w:rsid w:val="41B0259C"/>
    <w:rsid w:val="41BC6F1C"/>
    <w:rsid w:val="41EF2363"/>
    <w:rsid w:val="41F77860"/>
    <w:rsid w:val="424A4B98"/>
    <w:rsid w:val="42581D3A"/>
    <w:rsid w:val="4262787F"/>
    <w:rsid w:val="42FE0080"/>
    <w:rsid w:val="43315D2E"/>
    <w:rsid w:val="43824A1C"/>
    <w:rsid w:val="4390486D"/>
    <w:rsid w:val="43D110E1"/>
    <w:rsid w:val="43E873C9"/>
    <w:rsid w:val="441540A8"/>
    <w:rsid w:val="441618DE"/>
    <w:rsid w:val="44250817"/>
    <w:rsid w:val="44905B1F"/>
    <w:rsid w:val="44FC5A9D"/>
    <w:rsid w:val="45007767"/>
    <w:rsid w:val="45316885"/>
    <w:rsid w:val="4577147D"/>
    <w:rsid w:val="45A95EE9"/>
    <w:rsid w:val="45B04CAF"/>
    <w:rsid w:val="45FB0F21"/>
    <w:rsid w:val="46167166"/>
    <w:rsid w:val="461A2194"/>
    <w:rsid w:val="465E515F"/>
    <w:rsid w:val="46DC4FD4"/>
    <w:rsid w:val="47200EE3"/>
    <w:rsid w:val="47435AC2"/>
    <w:rsid w:val="47544B78"/>
    <w:rsid w:val="47587AF7"/>
    <w:rsid w:val="47745A86"/>
    <w:rsid w:val="47E239AC"/>
    <w:rsid w:val="480C3F11"/>
    <w:rsid w:val="480F4B73"/>
    <w:rsid w:val="48334AEC"/>
    <w:rsid w:val="48DB38E3"/>
    <w:rsid w:val="49001B5E"/>
    <w:rsid w:val="490552B7"/>
    <w:rsid w:val="49376DB0"/>
    <w:rsid w:val="49804BB7"/>
    <w:rsid w:val="49826DCB"/>
    <w:rsid w:val="499013E7"/>
    <w:rsid w:val="49C8088A"/>
    <w:rsid w:val="49CB3D06"/>
    <w:rsid w:val="4A301C93"/>
    <w:rsid w:val="4A3302AB"/>
    <w:rsid w:val="4A7F3A12"/>
    <w:rsid w:val="4AC85D49"/>
    <w:rsid w:val="4AE308A9"/>
    <w:rsid w:val="4B294DDA"/>
    <w:rsid w:val="4B3E12AC"/>
    <w:rsid w:val="4B8C6928"/>
    <w:rsid w:val="4B9A1456"/>
    <w:rsid w:val="4BA32C82"/>
    <w:rsid w:val="4BB072A9"/>
    <w:rsid w:val="4BD73978"/>
    <w:rsid w:val="4BE70627"/>
    <w:rsid w:val="4C0A5AE1"/>
    <w:rsid w:val="4C130AB8"/>
    <w:rsid w:val="4C391ADB"/>
    <w:rsid w:val="4C5A284D"/>
    <w:rsid w:val="4C63431C"/>
    <w:rsid w:val="4CA82FB2"/>
    <w:rsid w:val="4CB96B43"/>
    <w:rsid w:val="4CC75FCC"/>
    <w:rsid w:val="4CD63947"/>
    <w:rsid w:val="4CFC49F4"/>
    <w:rsid w:val="4D073D73"/>
    <w:rsid w:val="4D1E27BA"/>
    <w:rsid w:val="4D23574A"/>
    <w:rsid w:val="4D4C4DB0"/>
    <w:rsid w:val="4D6238ED"/>
    <w:rsid w:val="4D7322D5"/>
    <w:rsid w:val="4D8C696A"/>
    <w:rsid w:val="4DD7034C"/>
    <w:rsid w:val="4DE312CB"/>
    <w:rsid w:val="4DF5318E"/>
    <w:rsid w:val="4E134587"/>
    <w:rsid w:val="4E1A188D"/>
    <w:rsid w:val="4E1F4862"/>
    <w:rsid w:val="4E2E4393"/>
    <w:rsid w:val="4E535EF2"/>
    <w:rsid w:val="4E7A2F19"/>
    <w:rsid w:val="4EA00A78"/>
    <w:rsid w:val="4EF11A75"/>
    <w:rsid w:val="4F08773C"/>
    <w:rsid w:val="4F31409F"/>
    <w:rsid w:val="4F5E670E"/>
    <w:rsid w:val="4F846A83"/>
    <w:rsid w:val="50070E2C"/>
    <w:rsid w:val="504B57F2"/>
    <w:rsid w:val="50762272"/>
    <w:rsid w:val="509A4341"/>
    <w:rsid w:val="50A043F1"/>
    <w:rsid w:val="50C62BC7"/>
    <w:rsid w:val="50F72A66"/>
    <w:rsid w:val="5123368C"/>
    <w:rsid w:val="5130747C"/>
    <w:rsid w:val="515C765A"/>
    <w:rsid w:val="516610D8"/>
    <w:rsid w:val="51905BB3"/>
    <w:rsid w:val="519311FF"/>
    <w:rsid w:val="51946FCB"/>
    <w:rsid w:val="51DD796B"/>
    <w:rsid w:val="51DF373B"/>
    <w:rsid w:val="527C45B1"/>
    <w:rsid w:val="52EF4CB5"/>
    <w:rsid w:val="52F959F0"/>
    <w:rsid w:val="5302488E"/>
    <w:rsid w:val="53136173"/>
    <w:rsid w:val="535B2C72"/>
    <w:rsid w:val="53872D10"/>
    <w:rsid w:val="53876B42"/>
    <w:rsid w:val="539A4AC7"/>
    <w:rsid w:val="53A454FB"/>
    <w:rsid w:val="53D004E8"/>
    <w:rsid w:val="542631B6"/>
    <w:rsid w:val="545F0C78"/>
    <w:rsid w:val="54647343"/>
    <w:rsid w:val="549E0BC0"/>
    <w:rsid w:val="54A61722"/>
    <w:rsid w:val="54B31FAF"/>
    <w:rsid w:val="54E26C0B"/>
    <w:rsid w:val="54FB4092"/>
    <w:rsid w:val="551648E7"/>
    <w:rsid w:val="55326D63"/>
    <w:rsid w:val="555D1A10"/>
    <w:rsid w:val="55C0659E"/>
    <w:rsid w:val="55CE2B4A"/>
    <w:rsid w:val="56AC4A78"/>
    <w:rsid w:val="56DB16B9"/>
    <w:rsid w:val="5739721D"/>
    <w:rsid w:val="574436DA"/>
    <w:rsid w:val="57772F69"/>
    <w:rsid w:val="577A3463"/>
    <w:rsid w:val="57F967AD"/>
    <w:rsid w:val="58052975"/>
    <w:rsid w:val="58E525CA"/>
    <w:rsid w:val="58FD43FD"/>
    <w:rsid w:val="59080439"/>
    <w:rsid w:val="593D045A"/>
    <w:rsid w:val="5960739E"/>
    <w:rsid w:val="59896D0A"/>
    <w:rsid w:val="59B72684"/>
    <w:rsid w:val="59CC6E29"/>
    <w:rsid w:val="59CE7D0B"/>
    <w:rsid w:val="59E44E92"/>
    <w:rsid w:val="5A082249"/>
    <w:rsid w:val="5A9355F9"/>
    <w:rsid w:val="5A9579AE"/>
    <w:rsid w:val="5AA63999"/>
    <w:rsid w:val="5AC468CD"/>
    <w:rsid w:val="5AD813C2"/>
    <w:rsid w:val="5B1634F8"/>
    <w:rsid w:val="5B1A029B"/>
    <w:rsid w:val="5B342B9A"/>
    <w:rsid w:val="5B5953B0"/>
    <w:rsid w:val="5B5B1AB4"/>
    <w:rsid w:val="5B630802"/>
    <w:rsid w:val="5B807F68"/>
    <w:rsid w:val="5B9F5D96"/>
    <w:rsid w:val="5BFB631F"/>
    <w:rsid w:val="5C034D53"/>
    <w:rsid w:val="5C903B7A"/>
    <w:rsid w:val="5CA179F5"/>
    <w:rsid w:val="5CE0366C"/>
    <w:rsid w:val="5D2109C8"/>
    <w:rsid w:val="5D51568E"/>
    <w:rsid w:val="5E1D6F56"/>
    <w:rsid w:val="5E52187F"/>
    <w:rsid w:val="5E6A13CD"/>
    <w:rsid w:val="5E705D15"/>
    <w:rsid w:val="5E92274E"/>
    <w:rsid w:val="5E93326C"/>
    <w:rsid w:val="5E9F1A7A"/>
    <w:rsid w:val="5EAA6F51"/>
    <w:rsid w:val="5EFB4BA4"/>
    <w:rsid w:val="5F154986"/>
    <w:rsid w:val="5F2924A8"/>
    <w:rsid w:val="5F5F46B5"/>
    <w:rsid w:val="5F895CFD"/>
    <w:rsid w:val="5FB25360"/>
    <w:rsid w:val="5FBA3CC0"/>
    <w:rsid w:val="5FD90D61"/>
    <w:rsid w:val="60177697"/>
    <w:rsid w:val="602329DB"/>
    <w:rsid w:val="602C13CC"/>
    <w:rsid w:val="607777D6"/>
    <w:rsid w:val="60911000"/>
    <w:rsid w:val="60BC76A1"/>
    <w:rsid w:val="610B7637"/>
    <w:rsid w:val="615F5624"/>
    <w:rsid w:val="61717D74"/>
    <w:rsid w:val="61847970"/>
    <w:rsid w:val="61AD71CC"/>
    <w:rsid w:val="61BE4076"/>
    <w:rsid w:val="61D215CF"/>
    <w:rsid w:val="622C5484"/>
    <w:rsid w:val="625C563D"/>
    <w:rsid w:val="626A1704"/>
    <w:rsid w:val="62AD7E76"/>
    <w:rsid w:val="62B362C8"/>
    <w:rsid w:val="62C1330E"/>
    <w:rsid w:val="630C5A29"/>
    <w:rsid w:val="6342085E"/>
    <w:rsid w:val="636F415C"/>
    <w:rsid w:val="63AD38BC"/>
    <w:rsid w:val="64785A9C"/>
    <w:rsid w:val="64917820"/>
    <w:rsid w:val="64AA1CC5"/>
    <w:rsid w:val="65057650"/>
    <w:rsid w:val="651D5BE5"/>
    <w:rsid w:val="65220A04"/>
    <w:rsid w:val="655F1E1A"/>
    <w:rsid w:val="656B2909"/>
    <w:rsid w:val="65914A0B"/>
    <w:rsid w:val="65A3045D"/>
    <w:rsid w:val="65D97752"/>
    <w:rsid w:val="65E25E59"/>
    <w:rsid w:val="661047DD"/>
    <w:rsid w:val="66240220"/>
    <w:rsid w:val="6627512B"/>
    <w:rsid w:val="662B29CB"/>
    <w:rsid w:val="66307F76"/>
    <w:rsid w:val="664513B6"/>
    <w:rsid w:val="66580EAF"/>
    <w:rsid w:val="66694D0D"/>
    <w:rsid w:val="667B4472"/>
    <w:rsid w:val="6690502B"/>
    <w:rsid w:val="66F041A8"/>
    <w:rsid w:val="67056EA1"/>
    <w:rsid w:val="671109C3"/>
    <w:rsid w:val="6721178A"/>
    <w:rsid w:val="6739399A"/>
    <w:rsid w:val="673F39DE"/>
    <w:rsid w:val="674C5D22"/>
    <w:rsid w:val="67663AF8"/>
    <w:rsid w:val="67762CFD"/>
    <w:rsid w:val="6777598C"/>
    <w:rsid w:val="677A678D"/>
    <w:rsid w:val="67936CBD"/>
    <w:rsid w:val="68011379"/>
    <w:rsid w:val="68252C37"/>
    <w:rsid w:val="68817BAC"/>
    <w:rsid w:val="68861B72"/>
    <w:rsid w:val="689A5E59"/>
    <w:rsid w:val="68E91861"/>
    <w:rsid w:val="68EB0D11"/>
    <w:rsid w:val="68EE72DF"/>
    <w:rsid w:val="690F0B4D"/>
    <w:rsid w:val="692E2EB0"/>
    <w:rsid w:val="69485FEA"/>
    <w:rsid w:val="694C7BCA"/>
    <w:rsid w:val="69677DC0"/>
    <w:rsid w:val="69937EC7"/>
    <w:rsid w:val="69D64558"/>
    <w:rsid w:val="69D700BA"/>
    <w:rsid w:val="6A042548"/>
    <w:rsid w:val="6A1A53E9"/>
    <w:rsid w:val="6A3F387A"/>
    <w:rsid w:val="6A471EFD"/>
    <w:rsid w:val="6A7E1930"/>
    <w:rsid w:val="6A7F64C7"/>
    <w:rsid w:val="6A90616B"/>
    <w:rsid w:val="6AB51A05"/>
    <w:rsid w:val="6AB57116"/>
    <w:rsid w:val="6AE73176"/>
    <w:rsid w:val="6B17424A"/>
    <w:rsid w:val="6B2218FA"/>
    <w:rsid w:val="6B691672"/>
    <w:rsid w:val="6BC8641A"/>
    <w:rsid w:val="6BE97F42"/>
    <w:rsid w:val="6C296590"/>
    <w:rsid w:val="6C2F509B"/>
    <w:rsid w:val="6C445033"/>
    <w:rsid w:val="6C5E6A51"/>
    <w:rsid w:val="6C6513C3"/>
    <w:rsid w:val="6C744268"/>
    <w:rsid w:val="6CD62D03"/>
    <w:rsid w:val="6CD97FB6"/>
    <w:rsid w:val="6D4B22B8"/>
    <w:rsid w:val="6D4F2026"/>
    <w:rsid w:val="6D930013"/>
    <w:rsid w:val="6DAC6487"/>
    <w:rsid w:val="6DF672E1"/>
    <w:rsid w:val="6E1A1656"/>
    <w:rsid w:val="6E231DD6"/>
    <w:rsid w:val="6E5A5288"/>
    <w:rsid w:val="6E5D2F46"/>
    <w:rsid w:val="6E8B2C1F"/>
    <w:rsid w:val="6EA97E5C"/>
    <w:rsid w:val="6EC40E24"/>
    <w:rsid w:val="6EE013EE"/>
    <w:rsid w:val="6EE079F1"/>
    <w:rsid w:val="6EE42C42"/>
    <w:rsid w:val="6F7F7CB0"/>
    <w:rsid w:val="6FE0165C"/>
    <w:rsid w:val="6FE6309C"/>
    <w:rsid w:val="6FF0551E"/>
    <w:rsid w:val="70222744"/>
    <w:rsid w:val="706D2B21"/>
    <w:rsid w:val="707B1384"/>
    <w:rsid w:val="70857A34"/>
    <w:rsid w:val="70985D3C"/>
    <w:rsid w:val="70F40FA1"/>
    <w:rsid w:val="71047C73"/>
    <w:rsid w:val="7109004F"/>
    <w:rsid w:val="71103167"/>
    <w:rsid w:val="712614E6"/>
    <w:rsid w:val="712E56F7"/>
    <w:rsid w:val="71642194"/>
    <w:rsid w:val="71691ABB"/>
    <w:rsid w:val="7169386A"/>
    <w:rsid w:val="71AE1AEA"/>
    <w:rsid w:val="71CF3B6C"/>
    <w:rsid w:val="71F80F33"/>
    <w:rsid w:val="722013F6"/>
    <w:rsid w:val="722922C6"/>
    <w:rsid w:val="728121EC"/>
    <w:rsid w:val="732D4B5D"/>
    <w:rsid w:val="73393C88"/>
    <w:rsid w:val="7362513F"/>
    <w:rsid w:val="7372081D"/>
    <w:rsid w:val="73740A39"/>
    <w:rsid w:val="73771D49"/>
    <w:rsid w:val="73A1354E"/>
    <w:rsid w:val="74A11E7D"/>
    <w:rsid w:val="74A8528C"/>
    <w:rsid w:val="74B25745"/>
    <w:rsid w:val="74C12F49"/>
    <w:rsid w:val="74F97739"/>
    <w:rsid w:val="75590B0A"/>
    <w:rsid w:val="7582279F"/>
    <w:rsid w:val="75843EB5"/>
    <w:rsid w:val="75BB71AF"/>
    <w:rsid w:val="75F01962"/>
    <w:rsid w:val="75F86E00"/>
    <w:rsid w:val="75FC2261"/>
    <w:rsid w:val="760E19DF"/>
    <w:rsid w:val="761B75CE"/>
    <w:rsid w:val="76676A53"/>
    <w:rsid w:val="76B620A1"/>
    <w:rsid w:val="76F20814"/>
    <w:rsid w:val="774216E6"/>
    <w:rsid w:val="77462524"/>
    <w:rsid w:val="7754544E"/>
    <w:rsid w:val="77A21064"/>
    <w:rsid w:val="77E34EB2"/>
    <w:rsid w:val="781564B8"/>
    <w:rsid w:val="78224ACF"/>
    <w:rsid w:val="783D4D66"/>
    <w:rsid w:val="785D5F3F"/>
    <w:rsid w:val="788A2AAC"/>
    <w:rsid w:val="789645EE"/>
    <w:rsid w:val="78CD6DCC"/>
    <w:rsid w:val="78D07CAF"/>
    <w:rsid w:val="78DE12D7"/>
    <w:rsid w:val="78FC2038"/>
    <w:rsid w:val="78FC33D7"/>
    <w:rsid w:val="79210683"/>
    <w:rsid w:val="792417A2"/>
    <w:rsid w:val="799C3465"/>
    <w:rsid w:val="79A23716"/>
    <w:rsid w:val="79B14EC4"/>
    <w:rsid w:val="79BE1ECC"/>
    <w:rsid w:val="79C95345"/>
    <w:rsid w:val="79CC2B05"/>
    <w:rsid w:val="7A2A6B4A"/>
    <w:rsid w:val="7A681070"/>
    <w:rsid w:val="7A860C7C"/>
    <w:rsid w:val="7AAD79E7"/>
    <w:rsid w:val="7AB879FE"/>
    <w:rsid w:val="7B005560"/>
    <w:rsid w:val="7B3264DD"/>
    <w:rsid w:val="7B7374F2"/>
    <w:rsid w:val="7B81188A"/>
    <w:rsid w:val="7B9E2902"/>
    <w:rsid w:val="7BA434D7"/>
    <w:rsid w:val="7BC854E2"/>
    <w:rsid w:val="7C0562EC"/>
    <w:rsid w:val="7C27683F"/>
    <w:rsid w:val="7C86057F"/>
    <w:rsid w:val="7C8B6DF3"/>
    <w:rsid w:val="7CA37BEE"/>
    <w:rsid w:val="7CB14B4D"/>
    <w:rsid w:val="7CF26969"/>
    <w:rsid w:val="7D25523C"/>
    <w:rsid w:val="7DB23041"/>
    <w:rsid w:val="7E5F7809"/>
    <w:rsid w:val="7EB22415"/>
    <w:rsid w:val="7ED56C53"/>
    <w:rsid w:val="7EEA1BAF"/>
    <w:rsid w:val="7F5460D4"/>
    <w:rsid w:val="7F552892"/>
    <w:rsid w:val="7FFD786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0" w:semiHidden="0" w:name="heading 5"/>
    <w:lsdException w:qFormat="1" w:uiPriority="0" w:semiHidden="0"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0"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50"/>
    <w:qFormat/>
    <w:uiPriority w:val="9"/>
    <w:pPr>
      <w:keepNext/>
      <w:keepLines/>
      <w:jc w:val="center"/>
      <w:outlineLvl w:val="0"/>
    </w:pPr>
    <w:rPr>
      <w:b/>
      <w:bCs/>
      <w:kern w:val="44"/>
      <w:sz w:val="36"/>
      <w:szCs w:val="44"/>
    </w:rPr>
  </w:style>
  <w:style w:type="paragraph" w:styleId="3">
    <w:name w:val="heading 2"/>
    <w:basedOn w:val="1"/>
    <w:next w:val="1"/>
    <w:link w:val="51"/>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52"/>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6">
    <w:name w:val="heading 5"/>
    <w:basedOn w:val="1"/>
    <w:next w:val="1"/>
    <w:unhideWhenUsed/>
    <w:qFormat/>
    <w:uiPriority w:val="0"/>
    <w:pPr>
      <w:keepNext/>
      <w:keepLines/>
      <w:spacing w:before="280" w:after="290" w:line="376" w:lineRule="auto"/>
      <w:outlineLvl w:val="4"/>
    </w:pPr>
    <w:rPr>
      <w:rFonts w:ascii="Times New Roman" w:hAnsi="Times New Roman" w:eastAsia="宋体" w:cs="Times New Roman"/>
      <w:b/>
      <w:bCs/>
      <w:sz w:val="28"/>
      <w:szCs w:val="28"/>
    </w:rPr>
  </w:style>
  <w:style w:type="paragraph" w:styleId="7">
    <w:name w:val="heading 6"/>
    <w:basedOn w:val="1"/>
    <w:next w:val="1"/>
    <w:unhideWhenUsed/>
    <w:qFormat/>
    <w:uiPriority w:val="0"/>
    <w:pPr>
      <w:keepNext/>
      <w:keepLines/>
      <w:spacing w:before="240" w:after="64" w:line="320" w:lineRule="auto"/>
      <w:outlineLvl w:val="5"/>
    </w:pPr>
    <w:rPr>
      <w:rFonts w:ascii="等线 Light" w:hAnsi="等线 Light" w:eastAsia="等线 Light" w:cs="Times New Roman"/>
      <w:b/>
      <w:bCs/>
      <w:sz w:val="24"/>
      <w:szCs w:val="24"/>
    </w:rPr>
  </w:style>
  <w:style w:type="character" w:default="1" w:styleId="42">
    <w:name w:val="Default Paragraph Font"/>
    <w:semiHidden/>
    <w:unhideWhenUsed/>
    <w:uiPriority w:val="1"/>
  </w:style>
  <w:style w:type="table" w:default="1" w:styleId="40">
    <w:name w:val="Normal Table"/>
    <w:semiHidden/>
    <w:unhideWhenUsed/>
    <w:uiPriority w:val="99"/>
    <w:tblPr>
      <w:tblCellMar>
        <w:top w:w="0" w:type="dxa"/>
        <w:left w:w="108" w:type="dxa"/>
        <w:bottom w:w="0" w:type="dxa"/>
        <w:right w:w="108" w:type="dxa"/>
      </w:tblCellMar>
    </w:tblPr>
  </w:style>
  <w:style w:type="paragraph" w:styleId="8">
    <w:name w:val="toc 7"/>
    <w:basedOn w:val="1"/>
    <w:next w:val="1"/>
    <w:qFormat/>
    <w:uiPriority w:val="39"/>
    <w:pPr>
      <w:ind w:left="1440"/>
      <w:jc w:val="left"/>
    </w:pPr>
    <w:rPr>
      <w:rFonts w:ascii="Calibri" w:hAnsi="Calibri" w:eastAsia="宋体" w:cs="Times New Roman"/>
      <w:sz w:val="18"/>
      <w:szCs w:val="18"/>
    </w:rPr>
  </w:style>
  <w:style w:type="paragraph" w:styleId="9">
    <w:name w:val="Normal Indent"/>
    <w:basedOn w:val="1"/>
    <w:qFormat/>
    <w:uiPriority w:val="0"/>
    <w:pPr>
      <w:ind w:firstLine="420"/>
    </w:pPr>
    <w:rPr>
      <w:rFonts w:ascii="Times New Roman" w:hAnsi="Times New Roman"/>
      <w:kern w:val="0"/>
      <w:sz w:val="20"/>
      <w:szCs w:val="20"/>
    </w:rPr>
  </w:style>
  <w:style w:type="paragraph" w:styleId="10">
    <w:name w:val="caption"/>
    <w:basedOn w:val="1"/>
    <w:next w:val="1"/>
    <w:qFormat/>
    <w:uiPriority w:val="35"/>
    <w:pPr>
      <w:spacing w:before="152" w:after="160"/>
    </w:pPr>
    <w:rPr>
      <w:rFonts w:ascii="Arial" w:hAnsi="Arial" w:eastAsia="黑体" w:cs="Arial"/>
      <w:sz w:val="20"/>
      <w:szCs w:val="20"/>
    </w:rPr>
  </w:style>
  <w:style w:type="paragraph" w:styleId="11">
    <w:name w:val="Document Map"/>
    <w:basedOn w:val="1"/>
    <w:link w:val="73"/>
    <w:qFormat/>
    <w:uiPriority w:val="0"/>
    <w:pPr>
      <w:shd w:val="clear" w:color="auto" w:fill="000080"/>
    </w:pPr>
    <w:rPr>
      <w:sz w:val="24"/>
    </w:rPr>
  </w:style>
  <w:style w:type="paragraph" w:styleId="12">
    <w:name w:val="toa heading"/>
    <w:basedOn w:val="1"/>
    <w:next w:val="1"/>
    <w:qFormat/>
    <w:uiPriority w:val="99"/>
    <w:pPr>
      <w:spacing w:before="120"/>
    </w:pPr>
    <w:rPr>
      <w:rFonts w:ascii="Arial" w:hAnsi="Arial" w:eastAsia="宋体" w:cs="Arial"/>
      <w:sz w:val="24"/>
      <w:szCs w:val="24"/>
    </w:rPr>
  </w:style>
  <w:style w:type="paragraph" w:styleId="13">
    <w:name w:val="annotation text"/>
    <w:basedOn w:val="1"/>
    <w:link w:val="64"/>
    <w:qFormat/>
    <w:uiPriority w:val="0"/>
    <w:pPr>
      <w:jc w:val="left"/>
    </w:pPr>
  </w:style>
  <w:style w:type="paragraph" w:styleId="14">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5">
    <w:name w:val="Body Text"/>
    <w:basedOn w:val="1"/>
    <w:next w:val="16"/>
    <w:link w:val="85"/>
    <w:qFormat/>
    <w:uiPriority w:val="0"/>
    <w:pPr>
      <w:adjustRightInd w:val="0"/>
      <w:spacing w:before="120" w:after="120" w:afterLines="50" w:line="280" w:lineRule="atLeast"/>
      <w:textAlignment w:val="baseline"/>
    </w:pPr>
    <w:rPr>
      <w:rFonts w:ascii="Calibri" w:hAnsi="Calibri" w:eastAsia="新宋体" w:cs="Times New Roman"/>
      <w:szCs w:val="21"/>
    </w:rPr>
  </w:style>
  <w:style w:type="paragraph" w:styleId="16">
    <w:name w:val="Body Text 2"/>
    <w:basedOn w:val="1"/>
    <w:qFormat/>
    <w:uiPriority w:val="0"/>
    <w:pPr>
      <w:spacing w:line="360" w:lineRule="auto"/>
    </w:pPr>
    <w:rPr>
      <w:rFonts w:eastAsia="宋体"/>
      <w:sz w:val="24"/>
    </w:rPr>
  </w:style>
  <w:style w:type="paragraph" w:styleId="17">
    <w:name w:val="Body Text Indent"/>
    <w:basedOn w:val="1"/>
    <w:link w:val="82"/>
    <w:qFormat/>
    <w:uiPriority w:val="99"/>
    <w:pPr>
      <w:spacing w:after="120"/>
      <w:ind w:left="420" w:leftChars="200"/>
    </w:pPr>
    <w:rPr>
      <w:rFonts w:ascii="Calibri" w:hAnsi="Calibri" w:eastAsia="宋体" w:cs="Times New Roman"/>
      <w:szCs w:val="20"/>
    </w:rPr>
  </w:style>
  <w:style w:type="paragraph" w:styleId="18">
    <w:name w:val="index 4"/>
    <w:basedOn w:val="1"/>
    <w:next w:val="1"/>
    <w:qFormat/>
    <w:uiPriority w:val="0"/>
    <w:pPr>
      <w:ind w:left="600" w:leftChars="600"/>
    </w:pPr>
  </w:style>
  <w:style w:type="paragraph" w:styleId="19">
    <w:name w:val="toc 5"/>
    <w:basedOn w:val="1"/>
    <w:next w:val="1"/>
    <w:qFormat/>
    <w:uiPriority w:val="39"/>
    <w:pPr>
      <w:ind w:left="960"/>
      <w:jc w:val="left"/>
    </w:pPr>
    <w:rPr>
      <w:rFonts w:ascii="Calibri" w:hAnsi="Calibri" w:eastAsia="宋体" w:cs="Times New Roman"/>
      <w:sz w:val="18"/>
      <w:szCs w:val="18"/>
    </w:rPr>
  </w:style>
  <w:style w:type="paragraph" w:styleId="20">
    <w:name w:val="toc 3"/>
    <w:basedOn w:val="1"/>
    <w:next w:val="1"/>
    <w:qFormat/>
    <w:uiPriority w:val="39"/>
    <w:pPr>
      <w:ind w:left="480"/>
      <w:jc w:val="left"/>
    </w:pPr>
    <w:rPr>
      <w:rFonts w:ascii="Calibri" w:hAnsi="Calibri" w:eastAsia="宋体" w:cs="Times New Roman"/>
      <w:i/>
      <w:iCs/>
      <w:sz w:val="20"/>
      <w:szCs w:val="20"/>
    </w:rPr>
  </w:style>
  <w:style w:type="paragraph" w:styleId="21">
    <w:name w:val="Plain Text"/>
    <w:basedOn w:val="1"/>
    <w:link w:val="75"/>
    <w:qFormat/>
    <w:uiPriority w:val="0"/>
    <w:rPr>
      <w:rFonts w:ascii="宋体" w:hAnsi="Courier New"/>
    </w:rPr>
  </w:style>
  <w:style w:type="paragraph" w:styleId="22">
    <w:name w:val="toc 8"/>
    <w:basedOn w:val="1"/>
    <w:next w:val="1"/>
    <w:qFormat/>
    <w:uiPriority w:val="39"/>
    <w:pPr>
      <w:ind w:left="1680"/>
      <w:jc w:val="left"/>
    </w:pPr>
    <w:rPr>
      <w:rFonts w:ascii="Calibri" w:hAnsi="Calibri" w:eastAsia="宋体" w:cs="Times New Roman"/>
      <w:sz w:val="18"/>
      <w:szCs w:val="18"/>
    </w:rPr>
  </w:style>
  <w:style w:type="paragraph" w:styleId="23">
    <w:name w:val="Date"/>
    <w:basedOn w:val="1"/>
    <w:next w:val="1"/>
    <w:link w:val="66"/>
    <w:qFormat/>
    <w:uiPriority w:val="0"/>
    <w:pPr>
      <w:ind w:left="100" w:leftChars="2500"/>
    </w:pPr>
    <w:rPr>
      <w:sz w:val="24"/>
    </w:rPr>
  </w:style>
  <w:style w:type="paragraph" w:styleId="24">
    <w:name w:val="Body Text Indent 2"/>
    <w:basedOn w:val="1"/>
    <w:link w:val="54"/>
    <w:qFormat/>
    <w:uiPriority w:val="0"/>
    <w:pPr>
      <w:spacing w:after="120" w:line="480" w:lineRule="auto"/>
      <w:ind w:left="420" w:leftChars="200"/>
    </w:pPr>
  </w:style>
  <w:style w:type="paragraph" w:styleId="25">
    <w:name w:val="Balloon Text"/>
    <w:basedOn w:val="1"/>
    <w:link w:val="70"/>
    <w:qFormat/>
    <w:uiPriority w:val="0"/>
    <w:rPr>
      <w:sz w:val="18"/>
    </w:rPr>
  </w:style>
  <w:style w:type="paragraph" w:styleId="26">
    <w:name w:val="footer"/>
    <w:basedOn w:val="1"/>
    <w:link w:val="76"/>
    <w:qFormat/>
    <w:uiPriority w:val="0"/>
    <w:pPr>
      <w:tabs>
        <w:tab w:val="center" w:pos="4153"/>
        <w:tab w:val="right" w:pos="8306"/>
      </w:tabs>
      <w:snapToGrid w:val="0"/>
      <w:jc w:val="left"/>
    </w:pPr>
    <w:rPr>
      <w:sz w:val="18"/>
    </w:rPr>
  </w:style>
  <w:style w:type="paragraph" w:styleId="27">
    <w:name w:val="header"/>
    <w:basedOn w:val="1"/>
    <w:link w:val="62"/>
    <w:qFormat/>
    <w:uiPriority w:val="0"/>
    <w:pPr>
      <w:pBdr>
        <w:bottom w:val="single" w:color="auto" w:sz="6" w:space="1"/>
      </w:pBdr>
      <w:tabs>
        <w:tab w:val="center" w:pos="4153"/>
        <w:tab w:val="right" w:pos="8306"/>
      </w:tabs>
      <w:snapToGrid w:val="0"/>
      <w:jc w:val="center"/>
    </w:pPr>
    <w:rPr>
      <w:sz w:val="18"/>
    </w:rPr>
  </w:style>
  <w:style w:type="paragraph" w:styleId="28">
    <w:name w:val="toc 1"/>
    <w:basedOn w:val="1"/>
    <w:next w:val="1"/>
    <w:qFormat/>
    <w:uiPriority w:val="0"/>
    <w:pPr>
      <w:spacing w:line="360" w:lineRule="auto"/>
      <w:jc w:val="left"/>
    </w:pPr>
    <w:rPr>
      <w:rFonts w:ascii="宋体" w:hAnsi="宋体" w:eastAsia="宋体" w:cs="Times New Roman"/>
      <w:b/>
      <w:caps/>
      <w:color w:val="FF0000"/>
      <w:szCs w:val="21"/>
    </w:rPr>
  </w:style>
  <w:style w:type="paragraph" w:styleId="29">
    <w:name w:val="toc 4"/>
    <w:basedOn w:val="1"/>
    <w:next w:val="1"/>
    <w:qFormat/>
    <w:uiPriority w:val="39"/>
    <w:pPr>
      <w:ind w:left="720"/>
      <w:jc w:val="left"/>
    </w:pPr>
    <w:rPr>
      <w:rFonts w:ascii="Calibri" w:hAnsi="Calibri" w:eastAsia="宋体" w:cs="Times New Roman"/>
      <w:sz w:val="18"/>
      <w:szCs w:val="18"/>
    </w:rPr>
  </w:style>
  <w:style w:type="paragraph" w:styleId="30">
    <w:name w:val="List"/>
    <w:basedOn w:val="1"/>
    <w:qFormat/>
    <w:uiPriority w:val="99"/>
    <w:pPr>
      <w:ind w:left="420" w:hanging="420"/>
    </w:pPr>
    <w:rPr>
      <w:rFonts w:ascii="Times New Roman" w:hAnsi="Times New Roman" w:eastAsia="宋体" w:cs="Times New Roman"/>
      <w:szCs w:val="20"/>
    </w:rPr>
  </w:style>
  <w:style w:type="paragraph" w:styleId="31">
    <w:name w:val="toc 6"/>
    <w:basedOn w:val="1"/>
    <w:next w:val="1"/>
    <w:qFormat/>
    <w:uiPriority w:val="39"/>
    <w:pPr>
      <w:ind w:left="1200"/>
      <w:jc w:val="left"/>
    </w:pPr>
    <w:rPr>
      <w:rFonts w:ascii="Calibri" w:hAnsi="Calibri" w:eastAsia="宋体" w:cs="Times New Roman"/>
      <w:sz w:val="18"/>
      <w:szCs w:val="18"/>
    </w:rPr>
  </w:style>
  <w:style w:type="paragraph" w:styleId="32">
    <w:name w:val="Body Text Indent 3"/>
    <w:basedOn w:val="1"/>
    <w:link w:val="56"/>
    <w:qFormat/>
    <w:uiPriority w:val="0"/>
    <w:pPr>
      <w:spacing w:after="120"/>
      <w:ind w:left="420" w:leftChars="200"/>
    </w:pPr>
    <w:rPr>
      <w:sz w:val="16"/>
    </w:rPr>
  </w:style>
  <w:style w:type="paragraph" w:styleId="33">
    <w:name w:val="toc 2"/>
    <w:basedOn w:val="1"/>
    <w:next w:val="1"/>
    <w:unhideWhenUsed/>
    <w:qFormat/>
    <w:uiPriority w:val="39"/>
    <w:pPr>
      <w:ind w:left="420" w:leftChars="200"/>
    </w:pPr>
    <w:rPr>
      <w:rFonts w:ascii="Calibri" w:hAnsi="Calibri" w:eastAsia="宋体" w:cs="Times New Roman"/>
      <w:szCs w:val="20"/>
    </w:rPr>
  </w:style>
  <w:style w:type="paragraph" w:styleId="34">
    <w:name w:val="toc 9"/>
    <w:basedOn w:val="1"/>
    <w:next w:val="1"/>
    <w:qFormat/>
    <w:uiPriority w:val="39"/>
    <w:pPr>
      <w:ind w:left="1920"/>
      <w:jc w:val="left"/>
    </w:pPr>
    <w:rPr>
      <w:rFonts w:ascii="Calibri" w:hAnsi="Calibri" w:eastAsia="宋体" w:cs="Times New Roman"/>
      <w:sz w:val="18"/>
      <w:szCs w:val="18"/>
    </w:rPr>
  </w:style>
  <w:style w:type="paragraph" w:styleId="35">
    <w:name w:val="Normal (Web)"/>
    <w:basedOn w:val="1"/>
    <w:qFormat/>
    <w:uiPriority w:val="99"/>
    <w:rPr>
      <w:rFonts w:ascii="Calibri" w:hAnsi="Calibri" w:eastAsia="宋体" w:cs="Times New Roman"/>
      <w:sz w:val="24"/>
      <w:szCs w:val="20"/>
    </w:rPr>
  </w:style>
  <w:style w:type="paragraph" w:styleId="36">
    <w:name w:val="index 1"/>
    <w:basedOn w:val="1"/>
    <w:next w:val="1"/>
    <w:qFormat/>
    <w:uiPriority w:val="99"/>
    <w:rPr>
      <w:rFonts w:ascii="Calibri" w:hAnsi="Calibri" w:eastAsia="宋体" w:cs="Times New Roman"/>
      <w:sz w:val="24"/>
      <w:szCs w:val="24"/>
    </w:rPr>
  </w:style>
  <w:style w:type="paragraph" w:styleId="37">
    <w:name w:val="Title"/>
    <w:basedOn w:val="1"/>
    <w:next w:val="1"/>
    <w:link w:val="65"/>
    <w:qFormat/>
    <w:uiPriority w:val="0"/>
    <w:pPr>
      <w:spacing w:before="160" w:after="40" w:line="240" w:lineRule="atLeast"/>
      <w:ind w:left="425" w:hanging="425"/>
      <w:jc w:val="center"/>
      <w:outlineLvl w:val="0"/>
    </w:pPr>
    <w:rPr>
      <w:rFonts w:ascii="Arial" w:hAnsi="Arial"/>
      <w:b/>
      <w:sz w:val="32"/>
    </w:rPr>
  </w:style>
  <w:style w:type="paragraph" w:styleId="38">
    <w:name w:val="annotation subject"/>
    <w:basedOn w:val="13"/>
    <w:next w:val="13"/>
    <w:link w:val="55"/>
    <w:qFormat/>
    <w:uiPriority w:val="0"/>
    <w:rPr>
      <w:b/>
    </w:rPr>
  </w:style>
  <w:style w:type="paragraph" w:styleId="39">
    <w:name w:val="Body Text First Indent 2"/>
    <w:basedOn w:val="17"/>
    <w:semiHidden/>
    <w:qFormat/>
    <w:uiPriority w:val="99"/>
    <w:pPr>
      <w:spacing w:line="276" w:lineRule="auto"/>
      <w:ind w:firstLine="420" w:firstLineChars="200"/>
      <w:jc w:val="left"/>
    </w:pPr>
  </w:style>
  <w:style w:type="table" w:styleId="41">
    <w:name w:val="Table Grid"/>
    <w:basedOn w:val="40"/>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basedOn w:val="42"/>
    <w:qFormat/>
    <w:uiPriority w:val="22"/>
    <w:rPr>
      <w:b/>
    </w:rPr>
  </w:style>
  <w:style w:type="character" w:styleId="44">
    <w:name w:val="page number"/>
    <w:basedOn w:val="42"/>
    <w:qFormat/>
    <w:uiPriority w:val="99"/>
    <w:rPr>
      <w:rFonts w:cs="Times New Roman"/>
    </w:rPr>
  </w:style>
  <w:style w:type="character" w:styleId="45">
    <w:name w:val="FollowedHyperlink"/>
    <w:basedOn w:val="42"/>
    <w:qFormat/>
    <w:uiPriority w:val="99"/>
    <w:rPr>
      <w:color w:val="800080"/>
      <w:u w:val="single"/>
    </w:rPr>
  </w:style>
  <w:style w:type="character" w:styleId="46">
    <w:name w:val="Emphasis"/>
    <w:qFormat/>
    <w:uiPriority w:val="99"/>
    <w:rPr>
      <w:rFonts w:cs="Times New Roman"/>
      <w:color w:val="auto"/>
    </w:rPr>
  </w:style>
  <w:style w:type="character" w:styleId="47">
    <w:name w:val="HTML Acronym"/>
    <w:basedOn w:val="42"/>
    <w:qFormat/>
    <w:uiPriority w:val="99"/>
  </w:style>
  <w:style w:type="character" w:styleId="48">
    <w:name w:val="Hyperlink"/>
    <w:basedOn w:val="42"/>
    <w:qFormat/>
    <w:uiPriority w:val="99"/>
    <w:rPr>
      <w:color w:val="1F4F88"/>
      <w:u w:val="none"/>
    </w:rPr>
  </w:style>
  <w:style w:type="character" w:styleId="49">
    <w:name w:val="annotation reference"/>
    <w:basedOn w:val="42"/>
    <w:qFormat/>
    <w:uiPriority w:val="99"/>
    <w:rPr>
      <w:sz w:val="21"/>
    </w:rPr>
  </w:style>
  <w:style w:type="character" w:customStyle="1" w:styleId="50">
    <w:name w:val="标题 1 字符"/>
    <w:basedOn w:val="42"/>
    <w:link w:val="2"/>
    <w:qFormat/>
    <w:uiPriority w:val="9"/>
    <w:rPr>
      <w:rFonts w:ascii="Calibri" w:hAnsi="Calibri" w:eastAsia="宋体" w:cs="Times New Roman"/>
      <w:b/>
      <w:bCs/>
      <w:kern w:val="44"/>
      <w:sz w:val="36"/>
      <w:szCs w:val="44"/>
    </w:rPr>
  </w:style>
  <w:style w:type="character" w:customStyle="1" w:styleId="51">
    <w:name w:val="标题 2 字符"/>
    <w:basedOn w:val="42"/>
    <w:link w:val="3"/>
    <w:qFormat/>
    <w:uiPriority w:val="9"/>
    <w:rPr>
      <w:rFonts w:ascii="Arial" w:hAnsi="Arial" w:eastAsia="宋体" w:cs="Times New Roman"/>
      <w:b/>
      <w:bCs/>
      <w:sz w:val="24"/>
      <w:szCs w:val="32"/>
    </w:rPr>
  </w:style>
  <w:style w:type="character" w:customStyle="1" w:styleId="52">
    <w:name w:val="标题 3 字符"/>
    <w:basedOn w:val="42"/>
    <w:link w:val="4"/>
    <w:semiHidden/>
    <w:qFormat/>
    <w:uiPriority w:val="9"/>
    <w:rPr>
      <w:rFonts w:ascii="Calibri" w:hAnsi="Calibri" w:eastAsia="宋体" w:cs="Times New Roman"/>
      <w:b/>
      <w:bCs/>
      <w:sz w:val="32"/>
      <w:szCs w:val="32"/>
    </w:rPr>
  </w:style>
  <w:style w:type="character" w:customStyle="1" w:styleId="53">
    <w:name w:val="Char Char3"/>
    <w:qFormat/>
    <w:uiPriority w:val="0"/>
    <w:rPr>
      <w:rFonts w:ascii="宋体" w:hAnsi="Courier New" w:eastAsia="宋体"/>
      <w:kern w:val="2"/>
      <w:sz w:val="21"/>
      <w:lang w:val="en-US" w:eastAsia="zh-CN"/>
    </w:rPr>
  </w:style>
  <w:style w:type="character" w:customStyle="1" w:styleId="54">
    <w:name w:val="正文文本缩进 2 字符"/>
    <w:link w:val="24"/>
    <w:qFormat/>
    <w:locked/>
    <w:uiPriority w:val="0"/>
  </w:style>
  <w:style w:type="character" w:customStyle="1" w:styleId="55">
    <w:name w:val="批注主题 字符"/>
    <w:link w:val="38"/>
    <w:qFormat/>
    <w:locked/>
    <w:uiPriority w:val="0"/>
    <w:rPr>
      <w:b/>
    </w:rPr>
  </w:style>
  <w:style w:type="character" w:customStyle="1" w:styleId="56">
    <w:name w:val="正文文本缩进 3 字符"/>
    <w:link w:val="32"/>
    <w:qFormat/>
    <w:locked/>
    <w:uiPriority w:val="0"/>
    <w:rPr>
      <w:sz w:val="16"/>
    </w:rPr>
  </w:style>
  <w:style w:type="character" w:customStyle="1" w:styleId="57">
    <w:name w:val="纯文本 Char"/>
    <w:qFormat/>
    <w:uiPriority w:val="0"/>
    <w:rPr>
      <w:rFonts w:ascii="宋体" w:hAnsi="Courier New" w:eastAsia="宋体"/>
      <w:kern w:val="2"/>
      <w:sz w:val="21"/>
      <w:lang w:val="en-US" w:eastAsia="zh-CN"/>
    </w:rPr>
  </w:style>
  <w:style w:type="character" w:customStyle="1" w:styleId="58">
    <w:name w:val="Char Char2"/>
    <w:qFormat/>
    <w:uiPriority w:val="0"/>
    <w:rPr>
      <w:rFonts w:ascii="宋体" w:hAnsi="Courier New"/>
      <w:kern w:val="2"/>
      <w:sz w:val="21"/>
    </w:rPr>
  </w:style>
  <w:style w:type="character" w:customStyle="1" w:styleId="59">
    <w:name w:val="列出段落 字符"/>
    <w:link w:val="60"/>
    <w:qFormat/>
    <w:locked/>
    <w:uiPriority w:val="34"/>
    <w:rPr>
      <w:sz w:val="22"/>
    </w:rPr>
  </w:style>
  <w:style w:type="paragraph" w:customStyle="1" w:styleId="60">
    <w:name w:val="列出段落1"/>
    <w:basedOn w:val="1"/>
    <w:link w:val="59"/>
    <w:qFormat/>
    <w:uiPriority w:val="34"/>
    <w:pPr>
      <w:ind w:firstLine="420" w:firstLineChars="200"/>
    </w:pPr>
    <w:rPr>
      <w:sz w:val="22"/>
    </w:rPr>
  </w:style>
  <w:style w:type="character" w:customStyle="1" w:styleId="61">
    <w:name w:val="apple-converted-space"/>
    <w:basedOn w:val="42"/>
    <w:qFormat/>
    <w:uiPriority w:val="0"/>
    <w:rPr>
      <w:rFonts w:cs="Times New Roman"/>
    </w:rPr>
  </w:style>
  <w:style w:type="character" w:customStyle="1" w:styleId="62">
    <w:name w:val="页眉 字符"/>
    <w:link w:val="27"/>
    <w:qFormat/>
    <w:locked/>
    <w:uiPriority w:val="0"/>
    <w:rPr>
      <w:sz w:val="18"/>
    </w:rPr>
  </w:style>
  <w:style w:type="character" w:customStyle="1" w:styleId="63">
    <w:name w:val="BODY TEXT Char"/>
    <w:qFormat/>
    <w:locked/>
    <w:uiPriority w:val="0"/>
    <w:rPr>
      <w:rFonts w:eastAsia="新宋体"/>
      <w:kern w:val="2"/>
      <w:sz w:val="21"/>
    </w:rPr>
  </w:style>
  <w:style w:type="character" w:customStyle="1" w:styleId="64">
    <w:name w:val="批注文字 字符"/>
    <w:link w:val="13"/>
    <w:qFormat/>
    <w:locked/>
    <w:uiPriority w:val="0"/>
  </w:style>
  <w:style w:type="character" w:customStyle="1" w:styleId="65">
    <w:name w:val="标题 字符"/>
    <w:link w:val="37"/>
    <w:qFormat/>
    <w:locked/>
    <w:uiPriority w:val="0"/>
    <w:rPr>
      <w:rFonts w:ascii="Arial" w:hAnsi="Arial"/>
      <w:b/>
      <w:sz w:val="32"/>
    </w:rPr>
  </w:style>
  <w:style w:type="character" w:customStyle="1" w:styleId="66">
    <w:name w:val="日期 字符"/>
    <w:link w:val="23"/>
    <w:qFormat/>
    <w:locked/>
    <w:uiPriority w:val="0"/>
    <w:rPr>
      <w:sz w:val="24"/>
    </w:rPr>
  </w:style>
  <w:style w:type="character" w:customStyle="1" w:styleId="67">
    <w:name w:val="ATXT_Bullets Zchn"/>
    <w:link w:val="68"/>
    <w:qFormat/>
    <w:locked/>
    <w:uiPriority w:val="99"/>
    <w:rPr>
      <w:rFonts w:ascii="Arial" w:hAnsi="Arial"/>
      <w:lang w:val="de-AT" w:eastAsia="zh-CN"/>
    </w:rPr>
  </w:style>
  <w:style w:type="paragraph" w:customStyle="1" w:styleId="68">
    <w:name w:val="ATXT_Bullets"/>
    <w:link w:val="67"/>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9">
    <w:name w:val="Char Char5"/>
    <w:qFormat/>
    <w:uiPriority w:val="0"/>
    <w:rPr>
      <w:rFonts w:ascii="宋体" w:hAnsi="Courier New" w:eastAsia="宋体"/>
      <w:kern w:val="2"/>
      <w:sz w:val="21"/>
      <w:lang w:val="en-US" w:eastAsia="zh-CN"/>
    </w:rPr>
  </w:style>
  <w:style w:type="character" w:customStyle="1" w:styleId="70">
    <w:name w:val="批注框文本 字符"/>
    <w:link w:val="25"/>
    <w:qFormat/>
    <w:locked/>
    <w:uiPriority w:val="0"/>
    <w:rPr>
      <w:sz w:val="18"/>
    </w:rPr>
  </w:style>
  <w:style w:type="character" w:customStyle="1" w:styleId="71">
    <w:name w:val="批注文字 Char"/>
    <w:qFormat/>
    <w:uiPriority w:val="0"/>
    <w:rPr>
      <w:kern w:val="2"/>
    </w:rPr>
  </w:style>
  <w:style w:type="character" w:customStyle="1" w:styleId="72">
    <w:name w:val="批注主题 Char"/>
    <w:qFormat/>
    <w:uiPriority w:val="0"/>
    <w:rPr>
      <w:b/>
      <w:kern w:val="2"/>
    </w:rPr>
  </w:style>
  <w:style w:type="character" w:customStyle="1" w:styleId="73">
    <w:name w:val="文档结构图 字符"/>
    <w:link w:val="11"/>
    <w:qFormat/>
    <w:locked/>
    <w:uiPriority w:val="0"/>
    <w:rPr>
      <w:sz w:val="24"/>
      <w:shd w:val="clear" w:color="auto" w:fill="000080"/>
    </w:rPr>
  </w:style>
  <w:style w:type="character" w:customStyle="1" w:styleId="74">
    <w:name w:val="HTML Markup"/>
    <w:qFormat/>
    <w:uiPriority w:val="0"/>
    <w:rPr>
      <w:vanish/>
      <w:color w:val="FF0000"/>
    </w:rPr>
  </w:style>
  <w:style w:type="character" w:customStyle="1" w:styleId="75">
    <w:name w:val="纯文本 字符"/>
    <w:link w:val="21"/>
    <w:qFormat/>
    <w:locked/>
    <w:uiPriority w:val="0"/>
    <w:rPr>
      <w:rFonts w:ascii="宋体" w:hAnsi="Courier New"/>
    </w:rPr>
  </w:style>
  <w:style w:type="character" w:customStyle="1" w:styleId="76">
    <w:name w:val="页脚 字符"/>
    <w:link w:val="26"/>
    <w:qFormat/>
    <w:locked/>
    <w:uiPriority w:val="99"/>
    <w:rPr>
      <w:sz w:val="18"/>
    </w:rPr>
  </w:style>
  <w:style w:type="character" w:customStyle="1" w:styleId="77">
    <w:name w:val="Default Char"/>
    <w:link w:val="78"/>
    <w:qFormat/>
    <w:locked/>
    <w:uiPriority w:val="0"/>
    <w:rPr>
      <w:rFonts w:ascii="仿宋_GB2312" w:eastAsia="仿宋_GB2312"/>
      <w:color w:val="000000"/>
      <w:sz w:val="24"/>
    </w:rPr>
  </w:style>
  <w:style w:type="paragraph" w:customStyle="1" w:styleId="78">
    <w:name w:val="Default"/>
    <w:link w:val="77"/>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9">
    <w:name w:val="页脚 Char"/>
    <w:qFormat/>
    <w:locked/>
    <w:uiPriority w:val="99"/>
    <w:rPr>
      <w:sz w:val="18"/>
    </w:rPr>
  </w:style>
  <w:style w:type="character" w:customStyle="1" w:styleId="80">
    <w:name w:val="批注文字 字符1"/>
    <w:basedOn w:val="42"/>
    <w:semiHidden/>
    <w:qFormat/>
    <w:uiPriority w:val="99"/>
  </w:style>
  <w:style w:type="character" w:customStyle="1" w:styleId="81">
    <w:name w:val="批注文字 字符11"/>
    <w:basedOn w:val="42"/>
    <w:qFormat/>
    <w:uiPriority w:val="0"/>
    <w:rPr>
      <w:rFonts w:cs="Times New Roman"/>
      <w:kern w:val="2"/>
      <w:sz w:val="21"/>
    </w:rPr>
  </w:style>
  <w:style w:type="character" w:customStyle="1" w:styleId="82">
    <w:name w:val="正文文本缩进 字符"/>
    <w:basedOn w:val="42"/>
    <w:link w:val="17"/>
    <w:qFormat/>
    <w:uiPriority w:val="99"/>
    <w:rPr>
      <w:rFonts w:ascii="Calibri" w:hAnsi="Calibri" w:eastAsia="宋体" w:cs="Times New Roman"/>
      <w:szCs w:val="20"/>
    </w:rPr>
  </w:style>
  <w:style w:type="character" w:customStyle="1" w:styleId="83">
    <w:name w:val="文档结构图 字符1"/>
    <w:basedOn w:val="42"/>
    <w:semiHidden/>
    <w:qFormat/>
    <w:uiPriority w:val="99"/>
    <w:rPr>
      <w:rFonts w:ascii="Microsoft YaHei UI" w:eastAsia="Microsoft YaHei UI"/>
      <w:sz w:val="18"/>
      <w:szCs w:val="18"/>
    </w:rPr>
  </w:style>
  <w:style w:type="character" w:customStyle="1" w:styleId="84">
    <w:name w:val="文档结构图 字符11"/>
    <w:basedOn w:val="42"/>
    <w:semiHidden/>
    <w:qFormat/>
    <w:uiPriority w:val="99"/>
    <w:rPr>
      <w:rFonts w:ascii="Microsoft YaHei UI" w:eastAsia="Microsoft YaHei UI" w:cs="Times New Roman"/>
      <w:kern w:val="2"/>
      <w:sz w:val="18"/>
      <w:szCs w:val="18"/>
    </w:rPr>
  </w:style>
  <w:style w:type="character" w:customStyle="1" w:styleId="85">
    <w:name w:val="正文文本 字符"/>
    <w:basedOn w:val="42"/>
    <w:link w:val="15"/>
    <w:qFormat/>
    <w:uiPriority w:val="99"/>
    <w:rPr>
      <w:rFonts w:ascii="Calibri" w:hAnsi="Calibri" w:eastAsia="新宋体" w:cs="Times New Roman"/>
      <w:szCs w:val="21"/>
    </w:rPr>
  </w:style>
  <w:style w:type="character" w:customStyle="1" w:styleId="86">
    <w:name w:val="纯文本 字符1"/>
    <w:basedOn w:val="42"/>
    <w:semiHidden/>
    <w:qFormat/>
    <w:uiPriority w:val="99"/>
    <w:rPr>
      <w:rFonts w:hAnsi="Courier New" w:cs="Courier New" w:asciiTheme="minorEastAsia"/>
    </w:rPr>
  </w:style>
  <w:style w:type="character" w:customStyle="1" w:styleId="87">
    <w:name w:val="纯文本 字符11"/>
    <w:basedOn w:val="42"/>
    <w:qFormat/>
    <w:uiPriority w:val="0"/>
    <w:rPr>
      <w:rFonts w:hAnsi="Courier New" w:cs="Courier New" w:asciiTheme="minorEastAsia" w:eastAsiaTheme="minorEastAsia"/>
      <w:kern w:val="2"/>
      <w:sz w:val="21"/>
    </w:rPr>
  </w:style>
  <w:style w:type="character" w:customStyle="1" w:styleId="88">
    <w:name w:val="页眉 字符1"/>
    <w:basedOn w:val="42"/>
    <w:semiHidden/>
    <w:qFormat/>
    <w:uiPriority w:val="99"/>
    <w:rPr>
      <w:sz w:val="18"/>
      <w:szCs w:val="18"/>
    </w:rPr>
  </w:style>
  <w:style w:type="character" w:customStyle="1" w:styleId="89">
    <w:name w:val="页眉 字符11"/>
    <w:basedOn w:val="42"/>
    <w:semiHidden/>
    <w:qFormat/>
    <w:uiPriority w:val="99"/>
    <w:rPr>
      <w:rFonts w:cs="Times New Roman"/>
      <w:kern w:val="2"/>
      <w:sz w:val="18"/>
      <w:szCs w:val="18"/>
    </w:rPr>
  </w:style>
  <w:style w:type="character" w:customStyle="1" w:styleId="90">
    <w:name w:val="批注框文本 字符1"/>
    <w:basedOn w:val="42"/>
    <w:semiHidden/>
    <w:qFormat/>
    <w:uiPriority w:val="99"/>
    <w:rPr>
      <w:sz w:val="18"/>
      <w:szCs w:val="18"/>
    </w:rPr>
  </w:style>
  <w:style w:type="character" w:customStyle="1" w:styleId="91">
    <w:name w:val="批注框文本 字符11"/>
    <w:basedOn w:val="42"/>
    <w:semiHidden/>
    <w:qFormat/>
    <w:uiPriority w:val="99"/>
    <w:rPr>
      <w:rFonts w:cs="Times New Roman"/>
      <w:kern w:val="2"/>
      <w:sz w:val="18"/>
      <w:szCs w:val="18"/>
    </w:rPr>
  </w:style>
  <w:style w:type="character" w:customStyle="1" w:styleId="92">
    <w:name w:val="日期 字符1"/>
    <w:basedOn w:val="42"/>
    <w:semiHidden/>
    <w:qFormat/>
    <w:uiPriority w:val="99"/>
  </w:style>
  <w:style w:type="character" w:customStyle="1" w:styleId="93">
    <w:name w:val="日期 字符11"/>
    <w:basedOn w:val="42"/>
    <w:semiHidden/>
    <w:qFormat/>
    <w:uiPriority w:val="99"/>
    <w:rPr>
      <w:rFonts w:cs="Times New Roman"/>
      <w:kern w:val="2"/>
      <w:sz w:val="21"/>
    </w:rPr>
  </w:style>
  <w:style w:type="character" w:customStyle="1" w:styleId="94">
    <w:name w:val="页脚 字符1"/>
    <w:basedOn w:val="42"/>
    <w:semiHidden/>
    <w:qFormat/>
    <w:uiPriority w:val="99"/>
    <w:rPr>
      <w:sz w:val="18"/>
      <w:szCs w:val="18"/>
    </w:rPr>
  </w:style>
  <w:style w:type="character" w:customStyle="1" w:styleId="95">
    <w:name w:val="页脚 字符11"/>
    <w:basedOn w:val="42"/>
    <w:semiHidden/>
    <w:qFormat/>
    <w:uiPriority w:val="99"/>
    <w:rPr>
      <w:rFonts w:cs="Times New Roman"/>
      <w:kern w:val="2"/>
      <w:sz w:val="18"/>
      <w:szCs w:val="18"/>
    </w:rPr>
  </w:style>
  <w:style w:type="character" w:customStyle="1" w:styleId="96">
    <w:name w:val="正文文本缩进 2 字符1"/>
    <w:basedOn w:val="42"/>
    <w:semiHidden/>
    <w:qFormat/>
    <w:uiPriority w:val="99"/>
  </w:style>
  <w:style w:type="character" w:customStyle="1" w:styleId="97">
    <w:name w:val="正文文本缩进 2 字符11"/>
    <w:basedOn w:val="42"/>
    <w:semiHidden/>
    <w:qFormat/>
    <w:uiPriority w:val="99"/>
    <w:rPr>
      <w:rFonts w:cs="Times New Roman"/>
      <w:kern w:val="2"/>
      <w:sz w:val="21"/>
    </w:rPr>
  </w:style>
  <w:style w:type="character" w:customStyle="1" w:styleId="98">
    <w:name w:val="正文文本缩进 3 字符1"/>
    <w:basedOn w:val="42"/>
    <w:semiHidden/>
    <w:qFormat/>
    <w:uiPriority w:val="99"/>
    <w:rPr>
      <w:sz w:val="16"/>
      <w:szCs w:val="16"/>
    </w:rPr>
  </w:style>
  <w:style w:type="character" w:customStyle="1" w:styleId="99">
    <w:name w:val="正文文本缩进 3 字符11"/>
    <w:basedOn w:val="42"/>
    <w:semiHidden/>
    <w:qFormat/>
    <w:uiPriority w:val="99"/>
    <w:rPr>
      <w:rFonts w:cs="Times New Roman"/>
      <w:kern w:val="2"/>
      <w:sz w:val="16"/>
      <w:szCs w:val="16"/>
    </w:rPr>
  </w:style>
  <w:style w:type="character" w:customStyle="1" w:styleId="100">
    <w:name w:val="批注主题 字符1"/>
    <w:basedOn w:val="80"/>
    <w:semiHidden/>
    <w:qFormat/>
    <w:uiPriority w:val="99"/>
    <w:rPr>
      <w:b/>
      <w:bCs/>
    </w:rPr>
  </w:style>
  <w:style w:type="character" w:customStyle="1" w:styleId="101">
    <w:name w:val="批注主题 字符11"/>
    <w:basedOn w:val="81"/>
    <w:semiHidden/>
    <w:qFormat/>
    <w:uiPriority w:val="99"/>
    <w:rPr>
      <w:rFonts w:cs="Times New Roman"/>
      <w:b/>
      <w:bCs/>
      <w:kern w:val="2"/>
      <w:sz w:val="21"/>
    </w:rPr>
  </w:style>
  <w:style w:type="character" w:customStyle="1" w:styleId="102">
    <w:name w:val="标题 字符1"/>
    <w:basedOn w:val="42"/>
    <w:qFormat/>
    <w:uiPriority w:val="10"/>
    <w:rPr>
      <w:rFonts w:asciiTheme="majorHAnsi" w:hAnsiTheme="majorHAnsi" w:eastAsiaTheme="majorEastAsia" w:cstheme="majorBidi"/>
      <w:b/>
      <w:bCs/>
      <w:sz w:val="32"/>
      <w:szCs w:val="32"/>
    </w:rPr>
  </w:style>
  <w:style w:type="character" w:customStyle="1" w:styleId="103">
    <w:name w:val="标题 字符11"/>
    <w:basedOn w:val="42"/>
    <w:qFormat/>
    <w:uiPriority w:val="10"/>
    <w:rPr>
      <w:rFonts w:cs="Times New Roman" w:asciiTheme="majorHAnsi" w:hAnsiTheme="majorHAnsi" w:eastAsiaTheme="majorEastAsia"/>
      <w:b/>
      <w:bCs/>
      <w:kern w:val="2"/>
      <w:sz w:val="32"/>
      <w:szCs w:val="32"/>
    </w:rPr>
  </w:style>
  <w:style w:type="paragraph" w:customStyle="1" w:styleId="104">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5">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6">
    <w:name w:val="二级列表 Char"/>
    <w:basedOn w:val="1"/>
    <w:qFormat/>
    <w:uiPriority w:val="0"/>
    <w:rPr>
      <w:rFonts w:ascii="Calibri" w:hAnsi="Calibri" w:eastAsia="宋体" w:cs="Times New Roman"/>
      <w:szCs w:val="20"/>
    </w:rPr>
  </w:style>
  <w:style w:type="paragraph" w:customStyle="1" w:styleId="107">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8">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9">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0">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1">
    <w:name w:val="Char Char Char Char Char Char Char"/>
    <w:basedOn w:val="1"/>
    <w:qFormat/>
    <w:uiPriority w:val="0"/>
    <w:rPr>
      <w:rFonts w:ascii="Verdana" w:hAnsi="Verdana" w:eastAsia="宋体" w:cs="Times New Roman"/>
      <w:kern w:val="0"/>
      <w:sz w:val="20"/>
      <w:szCs w:val="20"/>
      <w:lang w:eastAsia="en-US"/>
    </w:rPr>
  </w:style>
  <w:style w:type="paragraph" w:customStyle="1" w:styleId="112">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3">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4">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5">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6">
    <w:name w:val="标书正文格式"/>
    <w:basedOn w:val="21"/>
    <w:link w:val="118"/>
    <w:qFormat/>
    <w:uiPriority w:val="0"/>
    <w:pPr>
      <w:spacing w:line="360" w:lineRule="auto"/>
      <w:ind w:firstLine="200" w:firstLineChars="200"/>
    </w:pPr>
    <w:rPr>
      <w:rFonts w:hAnsi="宋体"/>
      <w:color w:val="000000"/>
      <w:sz w:val="24"/>
      <w:szCs w:val="24"/>
    </w:rPr>
  </w:style>
  <w:style w:type="paragraph" w:customStyle="1" w:styleId="117">
    <w:name w:val="标书二级标题"/>
    <w:basedOn w:val="3"/>
    <w:link w:val="120"/>
    <w:qFormat/>
    <w:uiPriority w:val="0"/>
    <w:pPr>
      <w:spacing w:line="240" w:lineRule="auto"/>
      <w:jc w:val="left"/>
    </w:pPr>
    <w:rPr>
      <w:rFonts w:ascii="宋体" w:hAnsi="宋体" w:eastAsia="黑体"/>
      <w:b w:val="0"/>
      <w:sz w:val="28"/>
      <w:szCs w:val="30"/>
    </w:rPr>
  </w:style>
  <w:style w:type="character" w:customStyle="1" w:styleId="118">
    <w:name w:val="标书正文格式 字符"/>
    <w:link w:val="116"/>
    <w:qFormat/>
    <w:locked/>
    <w:uiPriority w:val="0"/>
    <w:rPr>
      <w:rFonts w:ascii="宋体" w:hAnsi="宋体"/>
      <w:color w:val="000000"/>
      <w:sz w:val="24"/>
      <w:szCs w:val="24"/>
    </w:rPr>
  </w:style>
  <w:style w:type="paragraph" w:customStyle="1" w:styleId="119">
    <w:name w:val="标书表格"/>
    <w:basedOn w:val="1"/>
    <w:link w:val="121"/>
    <w:qFormat/>
    <w:uiPriority w:val="0"/>
    <w:pPr>
      <w:jc w:val="center"/>
    </w:pPr>
    <w:rPr>
      <w:rFonts w:ascii="Times New Roman" w:hAnsi="Times New Roman" w:eastAsia="宋体" w:cs="Times New Roman"/>
      <w:b/>
      <w:szCs w:val="20"/>
    </w:rPr>
  </w:style>
  <w:style w:type="character" w:customStyle="1" w:styleId="120">
    <w:name w:val="标书二级标题 字符"/>
    <w:link w:val="117"/>
    <w:qFormat/>
    <w:locked/>
    <w:uiPriority w:val="0"/>
    <w:rPr>
      <w:rFonts w:ascii="宋体" w:hAnsi="宋体" w:eastAsia="黑体" w:cs="Times New Roman"/>
      <w:bCs/>
      <w:sz w:val="28"/>
      <w:szCs w:val="30"/>
    </w:rPr>
  </w:style>
  <w:style w:type="character" w:customStyle="1" w:styleId="121">
    <w:name w:val="标书表格 字符"/>
    <w:link w:val="119"/>
    <w:qFormat/>
    <w:locked/>
    <w:uiPriority w:val="0"/>
    <w:rPr>
      <w:rFonts w:ascii="Times New Roman" w:hAnsi="Times New Roman" w:eastAsia="宋体" w:cs="Times New Roman"/>
      <w:b/>
      <w:szCs w:val="20"/>
    </w:rPr>
  </w:style>
  <w:style w:type="paragraph" w:customStyle="1" w:styleId="122">
    <w:name w:val="标书三级标题"/>
    <w:basedOn w:val="4"/>
    <w:next w:val="116"/>
    <w:link w:val="123"/>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3">
    <w:name w:val="标书三级标题 字符"/>
    <w:link w:val="122"/>
    <w:qFormat/>
    <w:locked/>
    <w:uiPriority w:val="0"/>
    <w:rPr>
      <w:rFonts w:ascii="Times New Roman" w:hAnsi="Times New Roman" w:eastAsia="宋体" w:cs="Times New Roman"/>
      <w:b/>
      <w:bCs/>
      <w:color w:val="000000"/>
      <w:sz w:val="24"/>
      <w:szCs w:val="24"/>
    </w:rPr>
  </w:style>
  <w:style w:type="character" w:customStyle="1" w:styleId="124">
    <w:name w:val="标三级标题 字符"/>
    <w:link w:val="125"/>
    <w:qFormat/>
    <w:locked/>
    <w:uiPriority w:val="0"/>
    <w:rPr>
      <w:b/>
      <w:color w:val="000000"/>
      <w:sz w:val="24"/>
    </w:rPr>
  </w:style>
  <w:style w:type="paragraph" w:customStyle="1" w:styleId="125">
    <w:name w:val="标三级标题"/>
    <w:basedOn w:val="122"/>
    <w:link w:val="124"/>
    <w:qFormat/>
    <w:uiPriority w:val="0"/>
    <w:rPr>
      <w:rFonts w:asciiTheme="minorHAnsi" w:hAnsiTheme="minorHAnsi" w:eastAsiaTheme="minorEastAsia" w:cstheme="minorBidi"/>
      <w:bCs w:val="0"/>
      <w:szCs w:val="22"/>
    </w:rPr>
  </w:style>
  <w:style w:type="character" w:customStyle="1" w:styleId="126">
    <w:name w:val="标正文 字符"/>
    <w:link w:val="127"/>
    <w:qFormat/>
    <w:locked/>
    <w:uiPriority w:val="0"/>
    <w:rPr>
      <w:rFonts w:ascii="宋体" w:eastAsia="宋体"/>
      <w:color w:val="000000"/>
      <w:sz w:val="24"/>
    </w:rPr>
  </w:style>
  <w:style w:type="paragraph" w:customStyle="1" w:styleId="127">
    <w:name w:val="标正文"/>
    <w:basedOn w:val="116"/>
    <w:link w:val="126"/>
    <w:qFormat/>
    <w:uiPriority w:val="0"/>
    <w:pPr>
      <w:ind w:firstLine="480"/>
    </w:pPr>
    <w:rPr>
      <w:rFonts w:eastAsia="宋体" w:hAnsiTheme="minorHAnsi"/>
      <w:szCs w:val="22"/>
    </w:rPr>
  </w:style>
  <w:style w:type="paragraph" w:customStyle="1" w:styleId="128">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9">
    <w:name w:val="HR正文表格"/>
    <w:basedOn w:val="1"/>
    <w:qFormat/>
    <w:uiPriority w:val="0"/>
    <w:pPr>
      <w:spacing w:beforeLines="25" w:afterLines="25" w:line="300" w:lineRule="auto"/>
    </w:pPr>
    <w:rPr>
      <w:szCs w:val="24"/>
    </w:rPr>
  </w:style>
  <w:style w:type="paragraph" w:styleId="130">
    <w:name w:val="List Paragraph"/>
    <w:basedOn w:val="1"/>
    <w:qFormat/>
    <w:uiPriority w:val="99"/>
    <w:pPr>
      <w:ind w:firstLine="420" w:firstLineChars="200"/>
    </w:pPr>
  </w:style>
  <w:style w:type="paragraph" w:customStyle="1" w:styleId="131">
    <w:name w:val="WPSOffice手动目录 1"/>
    <w:qFormat/>
    <w:uiPriority w:val="0"/>
    <w:rPr>
      <w:rFonts w:ascii="Times New Roman" w:hAnsi="Times New Roman" w:eastAsia="宋体" w:cs="Times New Roman"/>
      <w:lang w:val="en-US" w:eastAsia="zh-CN" w:bidi="ar-SA"/>
    </w:rPr>
  </w:style>
  <w:style w:type="table" w:customStyle="1" w:styleId="132">
    <w:name w:val="Table Normal"/>
    <w:semiHidden/>
    <w:unhideWhenUsed/>
    <w:qFormat/>
    <w:uiPriority w:val="0"/>
    <w:tblPr>
      <w:tblCellMar>
        <w:top w:w="0" w:type="dxa"/>
        <w:left w:w="0" w:type="dxa"/>
        <w:bottom w:w="0" w:type="dxa"/>
        <w:right w:w="0" w:type="dxa"/>
      </w:tblCellMar>
    </w:tblPr>
  </w:style>
  <w:style w:type="character" w:customStyle="1" w:styleId="133">
    <w:name w:val="NormalCharacter"/>
    <w:qFormat/>
    <w:uiPriority w:val="0"/>
  </w:style>
  <w:style w:type="paragraph" w:customStyle="1" w:styleId="134">
    <w:name w:val="Table Paragraph"/>
    <w:basedOn w:val="1"/>
    <w:qFormat/>
    <w:uiPriority w:val="1"/>
    <w:rPr>
      <w:rFonts w:ascii="宋体" w:hAnsi="宋体" w:eastAsia="宋体" w:cs="宋体"/>
    </w:rPr>
  </w:style>
  <w:style w:type="paragraph" w:customStyle="1" w:styleId="135">
    <w:name w:val="标书一级标题"/>
    <w:basedOn w:val="2"/>
    <w:qFormat/>
    <w:uiPriority w:val="0"/>
    <w:rPr>
      <w:rFonts w:eastAsia="黑体"/>
      <w:b w:val="0"/>
      <w:color w:val="000000"/>
      <w:sz w:val="30"/>
      <w:szCs w:val="24"/>
    </w:rPr>
  </w:style>
  <w:style w:type="paragraph" w:customStyle="1" w:styleId="136">
    <w:name w:val="首行缩进"/>
    <w:basedOn w:val="1"/>
    <w:qFormat/>
    <w:uiPriority w:val="0"/>
    <w:pPr>
      <w:ind w:firstLine="480" w:firstLineChars="200"/>
    </w:pPr>
    <w:rPr>
      <w:lang w:val="zh-CN"/>
    </w:rPr>
  </w:style>
  <w:style w:type="paragraph" w:customStyle="1" w:styleId="137">
    <w:name w:val="编号行"/>
    <w:basedOn w:val="1"/>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8">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39">
    <w:name w:val="正文表标题"/>
    <w:next w:val="138"/>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40">
    <w:name w:val="Table Text"/>
    <w:basedOn w:val="1"/>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paragraph" w:customStyle="1" w:styleId="141">
    <w:name w:val="K2-A4"/>
    <w:basedOn w:val="5"/>
    <w:qFormat/>
    <w:uiPriority w:val="0"/>
    <w:pPr>
      <w:spacing w:before="0" w:after="0" w:line="360" w:lineRule="auto"/>
    </w:pPr>
    <w:rPr>
      <w:rFonts w:ascii="Times New Roman" w:hAnsi="Times New Roman" w:eastAsia="宋体" w:cs="Times New Roman"/>
      <w:bCs/>
      <w:sz w:val="21"/>
      <w:szCs w:val="28"/>
    </w:rPr>
  </w:style>
  <w:style w:type="paragraph" w:customStyle="1" w:styleId="142">
    <w:name w:val="一级标题"/>
    <w:next w:val="1"/>
    <w:qFormat/>
    <w:uiPriority w:val="0"/>
    <w:pPr>
      <w:numPr>
        <w:ilvl w:val="0"/>
        <w:numId w:val="2"/>
      </w:numPr>
      <w:spacing w:before="240" w:beforeLines="100" w:line="480" w:lineRule="auto"/>
      <w:outlineLvl w:val="3"/>
    </w:pPr>
    <w:rPr>
      <w:rFonts w:ascii="宋体" w:hAnsi="宋体" w:eastAsia="宋体" w:cs="Times New Roman"/>
      <w:b/>
      <w:bCs/>
      <w:kern w:val="2"/>
      <w:sz w:val="24"/>
      <w:szCs w:val="24"/>
      <w:lang w:val="en-US" w:eastAsia="zh-CN" w:bidi="ar-SA"/>
    </w:rPr>
  </w:style>
  <w:style w:type="paragraph" w:customStyle="1" w:styleId="143">
    <w:name w:val="二级标题"/>
    <w:next w:val="1"/>
    <w:qFormat/>
    <w:uiPriority w:val="0"/>
    <w:pPr>
      <w:numPr>
        <w:ilvl w:val="1"/>
        <w:numId w:val="2"/>
      </w:numPr>
      <w:spacing w:line="360" w:lineRule="auto"/>
      <w:outlineLvl w:val="4"/>
    </w:pPr>
    <w:rPr>
      <w:rFonts w:ascii="宋体" w:hAnsi="宋体" w:eastAsia="宋体" w:cs="MiSans Demibold"/>
      <w:b/>
      <w:bCs/>
      <w:kern w:val="2"/>
      <w:sz w:val="24"/>
      <w:szCs w:val="24"/>
      <w:lang w:val="en-US" w:eastAsia="zh-CN" w:bidi="ar-SA"/>
    </w:rPr>
  </w:style>
  <w:style w:type="paragraph" w:customStyle="1" w:styleId="144">
    <w:name w:val="三级标题"/>
    <w:next w:val="1"/>
    <w:qFormat/>
    <w:uiPriority w:val="0"/>
    <w:pPr>
      <w:numPr>
        <w:ilvl w:val="2"/>
        <w:numId w:val="2"/>
      </w:numPr>
      <w:spacing w:line="360" w:lineRule="auto"/>
      <w:outlineLvl w:val="5"/>
    </w:pPr>
    <w:rPr>
      <w:rFonts w:ascii="宋体" w:hAnsi="宋体" w:eastAsia="宋体" w:cstheme="minorBidi"/>
      <w:b/>
      <w:kern w:val="2"/>
      <w:sz w:val="24"/>
      <w:szCs w:val="24"/>
      <w:lang w:val="en-US" w:eastAsia="zh-CN" w:bidi="ar-SA"/>
    </w:rPr>
  </w:style>
  <w:style w:type="paragraph" w:customStyle="1" w:styleId="145">
    <w:name w:val="表格"/>
    <w:basedOn w:val="1"/>
    <w:qFormat/>
    <w:uiPriority w:val="0"/>
    <w:pPr>
      <w:spacing w:line="300" w:lineRule="auto"/>
    </w:pPr>
    <w:rPr>
      <w:rFonts w:ascii="Times New Roman" w:hAnsi="Times New Roman" w:eastAsia="宋体"/>
      <w:szCs w:val="21"/>
    </w:rPr>
  </w:style>
  <w:style w:type="paragraph" w:customStyle="1" w:styleId="146">
    <w:name w:val="HR正文"/>
    <w:basedOn w:val="1"/>
    <w:qFormat/>
    <w:uiPriority w:val="0"/>
    <w:pPr>
      <w:spacing w:line="300" w:lineRule="auto"/>
      <w:jc w:val="left"/>
    </w:pPr>
    <w:rPr>
      <w:sz w:val="24"/>
      <w:szCs w:val="24"/>
    </w:rPr>
  </w:style>
  <w:style w:type="paragraph" w:customStyle="1" w:styleId="147">
    <w:name w:val="FAW正文"/>
    <w:basedOn w:val="1"/>
    <w:qFormat/>
    <w:uiPriority w:val="0"/>
    <w:pPr>
      <w:spacing w:line="300" w:lineRule="auto"/>
      <w:ind w:firstLine="200" w:firstLineChars="200"/>
    </w:pPr>
    <w:rPr>
      <w:rFonts w:ascii="Times New Roman" w:hAnsi="Times New Roman" w:eastAsia="宋体" w:cs="Times New Roman"/>
      <w:sz w:val="24"/>
      <w:szCs w:val="24"/>
    </w:rPr>
  </w:style>
  <w:style w:type="paragraph" w:customStyle="1" w:styleId="148">
    <w:name w:val="正文文本2"/>
    <w:basedOn w:val="1"/>
    <w:qFormat/>
    <w:uiPriority w:val="0"/>
    <w:pPr>
      <w:adjustRightInd w:val="0"/>
      <w:spacing w:before="120" w:after="120" w:afterLines="50" w:line="280" w:lineRule="atLeast"/>
      <w:textAlignment w:val="baseline"/>
    </w:pPr>
    <w:rPr>
      <w:rFonts w:eastAsia="新宋体"/>
      <w:szCs w:val="21"/>
    </w:rPr>
  </w:style>
  <w:style w:type="table" w:customStyle="1" w:styleId="149">
    <w:name w:val="网格型1"/>
    <w:basedOn w:val="40"/>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50">
    <w:name w:val="font11"/>
    <w:basedOn w:val="42"/>
    <w:qFormat/>
    <w:uiPriority w:val="0"/>
    <w:rPr>
      <w:rFonts w:ascii="微软雅黑" w:hAnsi="微软雅黑" w:eastAsia="微软雅黑" w:cs="微软雅黑"/>
      <w:color w:val="000000"/>
      <w:sz w:val="24"/>
      <w:szCs w:val="24"/>
      <w:u w:val="none"/>
    </w:rPr>
  </w:style>
  <w:style w:type="paragraph" w:customStyle="1" w:styleId="151">
    <w:name w:val="Revision"/>
    <w:hidden/>
    <w:unhideWhenUsed/>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3" Type="http://schemas.microsoft.com/office/2011/relationships/people" Target="people.xml"/><Relationship Id="rId62" Type="http://schemas.openxmlformats.org/officeDocument/2006/relationships/fontTable" Target="fontTable.xml"/><Relationship Id="rId61" Type="http://schemas.openxmlformats.org/officeDocument/2006/relationships/customXml" Target="../customXml/item2.xml"/><Relationship Id="rId60" Type="http://schemas.openxmlformats.org/officeDocument/2006/relationships/numbering" Target="numbering.xml"/><Relationship Id="rId6" Type="http://schemas.openxmlformats.org/officeDocument/2006/relationships/footer" Target="footer3.xml"/><Relationship Id="rId59" Type="http://schemas.openxmlformats.org/officeDocument/2006/relationships/customXml" Target="../customXml/item1.xml"/><Relationship Id="rId58" Type="http://schemas.openxmlformats.org/officeDocument/2006/relationships/image" Target="media/image20.png"/><Relationship Id="rId57" Type="http://schemas.openxmlformats.org/officeDocument/2006/relationships/image" Target="media/image19.png"/><Relationship Id="rId56" Type="http://schemas.openxmlformats.org/officeDocument/2006/relationships/image" Target="media/image18.png"/><Relationship Id="rId55" Type="http://schemas.openxmlformats.org/officeDocument/2006/relationships/image" Target="media/image17.png"/><Relationship Id="rId54" Type="http://schemas.openxmlformats.org/officeDocument/2006/relationships/image" Target="media/image16.png"/><Relationship Id="rId53" Type="http://schemas.openxmlformats.org/officeDocument/2006/relationships/image" Target="media/image15.png"/><Relationship Id="rId52" Type="http://schemas.openxmlformats.org/officeDocument/2006/relationships/image" Target="media/image14.png"/><Relationship Id="rId51" Type="http://schemas.openxmlformats.org/officeDocument/2006/relationships/image" Target="media/image13.png"/><Relationship Id="rId50" Type="http://schemas.openxmlformats.org/officeDocument/2006/relationships/image" Target="media/image12.png"/><Relationship Id="rId5" Type="http://schemas.openxmlformats.org/officeDocument/2006/relationships/header" Target="header1.xml"/><Relationship Id="rId49" Type="http://schemas.openxmlformats.org/officeDocument/2006/relationships/image" Target="media/image11.png"/><Relationship Id="rId48" Type="http://schemas.openxmlformats.org/officeDocument/2006/relationships/image" Target="media/image10.png"/><Relationship Id="rId47" Type="http://schemas.openxmlformats.org/officeDocument/2006/relationships/image" Target="media/image9.png"/><Relationship Id="rId46" Type="http://schemas.openxmlformats.org/officeDocument/2006/relationships/image" Target="media/image8.png"/><Relationship Id="rId45" Type="http://schemas.openxmlformats.org/officeDocument/2006/relationships/image" Target="media/image7.png"/><Relationship Id="rId44" Type="http://schemas.openxmlformats.org/officeDocument/2006/relationships/image" Target="media/image6.png"/><Relationship Id="rId43" Type="http://schemas.openxmlformats.org/officeDocument/2006/relationships/image" Target="media/image5.png"/><Relationship Id="rId42" Type="http://schemas.openxmlformats.org/officeDocument/2006/relationships/image" Target="media/image4.png"/><Relationship Id="rId41" Type="http://schemas.openxmlformats.org/officeDocument/2006/relationships/image" Target="media/image3.png"/><Relationship Id="rId40" Type="http://schemas.openxmlformats.org/officeDocument/2006/relationships/image" Target="media/image2.png"/><Relationship Id="rId4" Type="http://schemas.openxmlformats.org/officeDocument/2006/relationships/footer" Target="footer2.xml"/><Relationship Id="rId39" Type="http://schemas.openxmlformats.org/officeDocument/2006/relationships/image" Target="media/image1.png"/><Relationship Id="rId38" Type="http://schemas.openxmlformats.org/officeDocument/2006/relationships/theme" Target="theme/theme1.xml"/><Relationship Id="rId37" Type="http://schemas.openxmlformats.org/officeDocument/2006/relationships/footer" Target="footer27.xml"/><Relationship Id="rId36" Type="http://schemas.openxmlformats.org/officeDocument/2006/relationships/footer" Target="footer26.xml"/><Relationship Id="rId35" Type="http://schemas.openxmlformats.org/officeDocument/2006/relationships/header" Target="header8.xml"/><Relationship Id="rId34" Type="http://schemas.openxmlformats.org/officeDocument/2006/relationships/header" Target="header7.xml"/><Relationship Id="rId33" Type="http://schemas.openxmlformats.org/officeDocument/2006/relationships/footer" Target="footer25.xml"/><Relationship Id="rId32" Type="http://schemas.openxmlformats.org/officeDocument/2006/relationships/footer" Target="footer24.xml"/><Relationship Id="rId31" Type="http://schemas.openxmlformats.org/officeDocument/2006/relationships/header" Target="header6.xml"/><Relationship Id="rId30" Type="http://schemas.openxmlformats.org/officeDocument/2006/relationships/header" Target="header5.xml"/><Relationship Id="rId3" Type="http://schemas.openxmlformats.org/officeDocument/2006/relationships/footer" Target="footer1.xml"/><Relationship Id="rId29" Type="http://schemas.openxmlformats.org/officeDocument/2006/relationships/footer" Target="footer23.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5"/>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51E63C8-B0BA-427B-A23A-3082FD0D2F49}">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31</Pages>
  <Words>9411</Words>
  <Characters>10448</Characters>
  <Lines>870</Lines>
  <Paragraphs>620</Paragraphs>
  <TotalTime>5</TotalTime>
  <ScaleCrop>false</ScaleCrop>
  <LinksUpToDate>false</LinksUpToDate>
  <CharactersWithSpaces>19239</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2025-09-17T02:16:00Z</dcterms:created>
  <dc:creator>ZQNet</dc:creator>
  <cp:lastModifiedBy>赵力</cp:lastModifiedBy>
  <cp:lastPrinted>2024-06-21T03:25:00Z</cp:lastPrinted>
  <dcterms:modified xsi:type="dcterms:W3CDTF">2025-10-29T02:16:05Z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ED02EB12B8294FE5807EAA5D2C3C24E0</vt:lpwstr>
  </property>
  <property fmtid="{D5CDD505-2E9C-101B-9397-08002B2CF9AE}" pid="4" name="KSOTemplateDocerSaveRecord">
    <vt:lpwstr>eyJoZGlkIjoiN2NmMjQwZTk4NDg2NzYxZjgwMTY5ZTgyNmVkZmIxZGYiLCJ1c2VySWQiOiIxMzk0NDkwMzA3In0=</vt:lpwstr>
  </property>
</Properties>
</file>