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B41F6">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14:paraId="273EC9B5">
      <w:pPr>
        <w:pStyle w:val="2"/>
        <w:jc w:val="center"/>
        <w:rPr>
          <w:rFonts w:hint="default"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零部件部400T冲床增加四套落料模项目</w:t>
      </w:r>
    </w:p>
    <w:p w14:paraId="613FEC3F">
      <w:pPr>
        <w:jc w:val="center"/>
        <w:rPr>
          <w:rFonts w:hint="eastAsia" w:ascii="黑体" w:hAnsi="宋体" w:eastAsia="黑体"/>
          <w:sz w:val="56"/>
          <w:szCs w:val="84"/>
        </w:rPr>
      </w:pPr>
    </w:p>
    <w:p w14:paraId="775B4BD3">
      <w:pPr>
        <w:pStyle w:val="2"/>
        <w:rPr>
          <w:rFonts w:hint="eastAsia"/>
        </w:rPr>
      </w:pPr>
    </w:p>
    <w:p w14:paraId="7FAA973C">
      <w:pPr>
        <w:pStyle w:val="2"/>
        <w:rPr>
          <w:rFonts w:hint="eastAsia"/>
        </w:rPr>
      </w:pPr>
    </w:p>
    <w:p w14:paraId="337EA8CB">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招</w:t>
      </w:r>
    </w:p>
    <w:p w14:paraId="22CE4FEB">
      <w:pPr>
        <w:jc w:val="center"/>
        <w:rPr>
          <w:rFonts w:hint="eastAsia" w:ascii="宋体" w:hAnsi="宋体" w:cs="Times New Roman"/>
          <w:color w:val="auto"/>
          <w:kern w:val="2"/>
          <w:sz w:val="44"/>
          <w:szCs w:val="48"/>
          <w:lang w:val="en-US" w:eastAsia="zh-CN" w:bidi="ar-SA"/>
        </w:rPr>
      </w:pPr>
    </w:p>
    <w:p w14:paraId="298CADD3">
      <w:pPr>
        <w:pStyle w:val="2"/>
        <w:rPr>
          <w:rFonts w:hint="eastAsia"/>
          <w:lang w:val="en-US" w:eastAsia="zh-CN"/>
        </w:rPr>
      </w:pPr>
    </w:p>
    <w:p w14:paraId="621C6B77">
      <w:pPr>
        <w:pStyle w:val="2"/>
        <w:rPr>
          <w:rFonts w:hint="eastAsia"/>
          <w:lang w:val="en-US" w:eastAsia="zh-CN"/>
        </w:rPr>
      </w:pPr>
    </w:p>
    <w:p w14:paraId="2A84997A">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标</w:t>
      </w:r>
    </w:p>
    <w:p w14:paraId="76BA3004">
      <w:pPr>
        <w:jc w:val="center"/>
        <w:rPr>
          <w:rFonts w:hint="eastAsia" w:ascii="宋体" w:hAnsi="宋体" w:eastAsia="宋体" w:cs="Times New Roman"/>
          <w:color w:val="auto"/>
          <w:kern w:val="2"/>
          <w:sz w:val="44"/>
          <w:szCs w:val="48"/>
          <w:lang w:val="en-US" w:eastAsia="zh-CN" w:bidi="ar-SA"/>
        </w:rPr>
      </w:pPr>
    </w:p>
    <w:p w14:paraId="15252B68">
      <w:pPr>
        <w:pStyle w:val="2"/>
        <w:rPr>
          <w:rFonts w:hint="eastAsia"/>
          <w:lang w:val="en-US" w:eastAsia="zh-CN"/>
        </w:rPr>
      </w:pPr>
    </w:p>
    <w:p w14:paraId="5F6168BF">
      <w:pPr>
        <w:pStyle w:val="2"/>
        <w:rPr>
          <w:rFonts w:hint="eastAsia"/>
          <w:lang w:val="en-US" w:eastAsia="zh-CN"/>
        </w:rPr>
      </w:pPr>
    </w:p>
    <w:p w14:paraId="0281A6D2">
      <w:pPr>
        <w:jc w:val="center"/>
        <w:rPr>
          <w:rFonts w:ascii="黑体" w:hAnsi="宋体" w:eastAsia="黑体"/>
          <w:sz w:val="56"/>
          <w:szCs w:val="84"/>
        </w:rPr>
      </w:pPr>
      <w:r>
        <w:rPr>
          <w:rFonts w:hint="eastAsia" w:ascii="宋体" w:hAnsi="宋体" w:eastAsia="宋体" w:cs="Times New Roman"/>
          <w:color w:val="auto"/>
          <w:kern w:val="2"/>
          <w:sz w:val="44"/>
          <w:szCs w:val="48"/>
          <w:lang w:val="en-US" w:eastAsia="zh-CN" w:bidi="ar-SA"/>
        </w:rPr>
        <w:t>书</w:t>
      </w:r>
    </w:p>
    <w:p w14:paraId="17F092D5">
      <w:pPr>
        <w:rPr>
          <w:rFonts w:ascii="黑体" w:hAnsi="宋体" w:eastAsia="黑体"/>
          <w:sz w:val="56"/>
          <w:szCs w:val="84"/>
        </w:rPr>
      </w:pPr>
    </w:p>
    <w:p w14:paraId="365D69FE">
      <w:pPr>
        <w:ind w:right="2240" w:firstLine="1280" w:firstLineChars="400"/>
        <w:jc w:val="left"/>
        <w:rPr>
          <w:rFonts w:ascii="华文仿宋" w:hAnsi="华文仿宋" w:eastAsia="华文仿宋"/>
          <w:sz w:val="32"/>
          <w:szCs w:val="28"/>
        </w:rPr>
      </w:pPr>
    </w:p>
    <w:p w14:paraId="3F8E4FE1">
      <w:pPr>
        <w:ind w:right="2240" w:firstLine="1280" w:firstLineChars="400"/>
        <w:jc w:val="left"/>
        <w:rPr>
          <w:rFonts w:ascii="华文仿宋" w:hAnsi="华文仿宋" w:eastAsia="华文仿宋"/>
          <w:sz w:val="32"/>
          <w:szCs w:val="28"/>
        </w:rPr>
      </w:pPr>
    </w:p>
    <w:p w14:paraId="40E29120">
      <w:pPr>
        <w:ind w:right="2240" w:firstLine="1280" w:firstLineChars="400"/>
        <w:jc w:val="left"/>
        <w:rPr>
          <w:rFonts w:ascii="华文仿宋" w:hAnsi="华文仿宋" w:eastAsia="华文仿宋"/>
          <w:sz w:val="32"/>
          <w:szCs w:val="28"/>
        </w:rPr>
      </w:pPr>
    </w:p>
    <w:p w14:paraId="0876F4B4">
      <w:pPr>
        <w:pStyle w:val="2"/>
        <w:rPr>
          <w:rFonts w:ascii="华文仿宋" w:hAnsi="华文仿宋" w:eastAsia="华文仿宋"/>
          <w:sz w:val="32"/>
          <w:szCs w:val="28"/>
        </w:rPr>
      </w:pPr>
    </w:p>
    <w:p w14:paraId="3E6768B0">
      <w:pPr>
        <w:pStyle w:val="2"/>
        <w:rPr>
          <w:rFonts w:ascii="华文仿宋" w:hAnsi="华文仿宋" w:eastAsia="华文仿宋"/>
          <w:sz w:val="32"/>
          <w:szCs w:val="28"/>
        </w:rPr>
      </w:pPr>
    </w:p>
    <w:p w14:paraId="20617F46">
      <w:pPr>
        <w:jc w:val="left"/>
        <w:rPr>
          <w:rFonts w:ascii="华文仿宋" w:hAnsi="华文仿宋" w:eastAsia="华文仿宋"/>
          <w:sz w:val="32"/>
          <w:szCs w:val="28"/>
        </w:rPr>
      </w:pPr>
    </w:p>
    <w:p w14:paraId="5B82BE76">
      <w:pPr>
        <w:pStyle w:val="2"/>
      </w:pPr>
    </w:p>
    <w:p w14:paraId="4D4AAFD0">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p>
    <w:p w14:paraId="41F01909">
      <w:pPr>
        <w:pStyle w:val="2"/>
        <w:rPr>
          <w:rFonts w:ascii="宋体" w:hAnsi="宋体"/>
          <w:b/>
          <w:bCs/>
          <w:sz w:val="48"/>
          <w:szCs w:val="48"/>
        </w:rPr>
      </w:pPr>
    </w:p>
    <w:p w14:paraId="0E4295D2">
      <w:pPr>
        <w:spacing w:line="480" w:lineRule="auto"/>
        <w:jc w:val="center"/>
        <w:rPr>
          <w:rFonts w:ascii="宋体" w:hAnsi="宋体"/>
          <w:b/>
          <w:bCs/>
          <w:sz w:val="48"/>
          <w:szCs w:val="48"/>
        </w:rPr>
      </w:pPr>
      <w:r>
        <w:rPr>
          <w:rFonts w:ascii="宋体" w:hAnsi="宋体"/>
          <w:b/>
          <w:bCs/>
          <w:sz w:val="48"/>
          <w:szCs w:val="48"/>
        </w:rPr>
        <w:t>目   录</w:t>
      </w:r>
    </w:p>
    <w:p w14:paraId="65255A52">
      <w:pPr>
        <w:ind w:right="280"/>
        <w:jc w:val="center"/>
        <w:rPr>
          <w:rFonts w:ascii="黑体" w:hAnsi="Courier New" w:eastAsia="黑体"/>
          <w:b/>
          <w:bCs/>
          <w:sz w:val="36"/>
          <w:szCs w:val="36"/>
        </w:rPr>
      </w:pPr>
    </w:p>
    <w:p w14:paraId="5A52152B">
      <w:pPr>
        <w:ind w:right="280"/>
        <w:jc w:val="center"/>
        <w:rPr>
          <w:rFonts w:ascii="黑体" w:hAnsi="Courier New" w:eastAsia="黑体"/>
          <w:b/>
          <w:bCs/>
          <w:sz w:val="36"/>
          <w:szCs w:val="36"/>
        </w:rPr>
      </w:pPr>
    </w:p>
    <w:p w14:paraId="7B829387">
      <w:pPr>
        <w:pStyle w:val="15"/>
      </w:pPr>
      <w:r>
        <w:rPr>
          <w:rFonts w:hint="eastAsia"/>
        </w:rPr>
        <w:t>第一章 招标公告</w:t>
      </w:r>
    </w:p>
    <w:p w14:paraId="59860934">
      <w:pPr>
        <w:pStyle w:val="15"/>
      </w:pPr>
    </w:p>
    <w:p w14:paraId="3051B23C">
      <w:pPr>
        <w:pStyle w:val="15"/>
      </w:pPr>
      <w:r>
        <w:rPr>
          <w:rFonts w:hint="eastAsia"/>
        </w:rPr>
        <w:t>第</w:t>
      </w:r>
      <w:r>
        <w:rPr>
          <w:rFonts w:hint="eastAsia"/>
          <w:lang w:eastAsia="zh-CN"/>
        </w:rPr>
        <w:t>二</w:t>
      </w:r>
      <w:r>
        <w:rPr>
          <w:rFonts w:hint="eastAsia"/>
        </w:rPr>
        <w:t>章  技术协议书</w:t>
      </w:r>
    </w:p>
    <w:p w14:paraId="735D3579">
      <w:pPr>
        <w:rPr>
          <w:rFonts w:hint="eastAsia"/>
        </w:rPr>
      </w:pPr>
    </w:p>
    <w:p w14:paraId="7CB9D044">
      <w:pPr>
        <w:rPr>
          <w:rFonts w:hint="eastAsia"/>
        </w:rPr>
      </w:pPr>
    </w:p>
    <w:p w14:paraId="4D169486">
      <w:pPr>
        <w:pStyle w:val="15"/>
        <w:numPr>
          <w:ilvl w:val="0"/>
          <w:numId w:val="1"/>
        </w:numPr>
        <w:rPr>
          <w:rFonts w:hint="eastAsia"/>
        </w:rPr>
      </w:pPr>
      <w:r>
        <w:rPr>
          <w:rFonts w:hint="eastAsia"/>
        </w:rPr>
        <w:t xml:space="preserve"> 合同模板</w:t>
      </w:r>
    </w:p>
    <w:p w14:paraId="3B72D1B1">
      <w:pPr>
        <w:numPr>
          <w:ilvl w:val="0"/>
          <w:numId w:val="0"/>
        </w:numPr>
        <w:rPr>
          <w:rFonts w:hint="eastAsia" w:ascii="宋体" w:hAnsi="宋体" w:eastAsia="宋体" w:cs="Times New Roman"/>
          <w:b/>
          <w:caps/>
          <w:kern w:val="2"/>
          <w:sz w:val="28"/>
          <w:szCs w:val="28"/>
          <w:lang w:val="en-US" w:eastAsia="zh-CN" w:bidi="ar-SA"/>
        </w:rPr>
      </w:pPr>
    </w:p>
    <w:p w14:paraId="4A1B042C">
      <w:pPr>
        <w:numPr>
          <w:ilvl w:val="0"/>
          <w:numId w:val="0"/>
        </w:numPr>
        <w:rPr>
          <w:rFonts w:hint="eastAsia" w:ascii="宋体" w:hAnsi="宋体" w:eastAsia="宋体" w:cs="Times New Roman"/>
          <w:b/>
          <w:caps/>
          <w:kern w:val="2"/>
          <w:sz w:val="28"/>
          <w:szCs w:val="28"/>
          <w:lang w:val="en-US" w:eastAsia="zh-CN" w:bidi="ar-SA"/>
        </w:rPr>
      </w:pPr>
    </w:p>
    <w:p w14:paraId="6DCD6A6B">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14:paraId="6E837B70">
      <w:pPr>
        <w:pStyle w:val="15"/>
        <w:rPr>
          <w:rFonts w:hint="eastAsia"/>
        </w:rPr>
      </w:pPr>
    </w:p>
    <w:p w14:paraId="51919EBF">
      <w:pPr>
        <w:pStyle w:val="15"/>
      </w:pPr>
    </w:p>
    <w:p w14:paraId="61E4DA2A"/>
    <w:p w14:paraId="47F38D57">
      <w:pPr>
        <w:ind w:right="280"/>
        <w:jc w:val="center"/>
        <w:rPr>
          <w:rFonts w:ascii="黑体" w:hAnsi="Courier New" w:eastAsia="黑体"/>
          <w:b/>
          <w:bCs/>
          <w:sz w:val="36"/>
          <w:szCs w:val="36"/>
        </w:rPr>
      </w:pPr>
    </w:p>
    <w:p w14:paraId="0475C143">
      <w:pPr>
        <w:ind w:right="280"/>
        <w:jc w:val="center"/>
        <w:rPr>
          <w:rFonts w:ascii="黑体" w:hAnsi="Courier New" w:eastAsia="黑体"/>
          <w:b/>
          <w:bCs/>
          <w:sz w:val="36"/>
          <w:szCs w:val="36"/>
        </w:rPr>
      </w:pPr>
    </w:p>
    <w:p w14:paraId="2D90F103">
      <w:pPr>
        <w:ind w:right="280"/>
        <w:jc w:val="center"/>
        <w:rPr>
          <w:rFonts w:ascii="黑体" w:hAnsi="Courier New" w:eastAsia="黑体"/>
          <w:b/>
          <w:bCs/>
          <w:sz w:val="36"/>
          <w:szCs w:val="36"/>
        </w:rPr>
      </w:pPr>
    </w:p>
    <w:p w14:paraId="1F42DF51">
      <w:pPr>
        <w:ind w:right="280"/>
        <w:jc w:val="center"/>
        <w:rPr>
          <w:rFonts w:ascii="黑体" w:hAnsi="Courier New" w:eastAsia="黑体"/>
          <w:b/>
          <w:bCs/>
          <w:sz w:val="36"/>
          <w:szCs w:val="36"/>
        </w:rPr>
      </w:pPr>
    </w:p>
    <w:p w14:paraId="4302204A">
      <w:pPr>
        <w:ind w:right="280"/>
        <w:jc w:val="center"/>
        <w:rPr>
          <w:rFonts w:ascii="黑体" w:hAnsi="Courier New" w:eastAsia="黑体"/>
          <w:b/>
          <w:bCs/>
          <w:sz w:val="36"/>
          <w:szCs w:val="36"/>
        </w:rPr>
      </w:pPr>
    </w:p>
    <w:p w14:paraId="720F83D9">
      <w:pPr>
        <w:ind w:right="280"/>
        <w:jc w:val="center"/>
        <w:rPr>
          <w:rFonts w:ascii="黑体" w:hAnsi="Courier New" w:eastAsia="黑体"/>
          <w:b/>
          <w:bCs/>
          <w:sz w:val="36"/>
          <w:szCs w:val="36"/>
        </w:rPr>
      </w:pPr>
    </w:p>
    <w:p w14:paraId="51EB5588">
      <w:pPr>
        <w:ind w:right="280"/>
        <w:jc w:val="center"/>
        <w:rPr>
          <w:rFonts w:ascii="黑体" w:hAnsi="Courier New" w:eastAsia="黑体"/>
          <w:b/>
          <w:bCs/>
          <w:sz w:val="36"/>
          <w:szCs w:val="36"/>
        </w:rPr>
      </w:pPr>
    </w:p>
    <w:p w14:paraId="253A8373">
      <w:pPr>
        <w:ind w:right="280"/>
        <w:jc w:val="center"/>
        <w:rPr>
          <w:rFonts w:ascii="黑体" w:hAnsi="Courier New" w:eastAsia="黑体"/>
          <w:b/>
          <w:bCs/>
          <w:sz w:val="36"/>
          <w:szCs w:val="36"/>
        </w:rPr>
      </w:pPr>
    </w:p>
    <w:p w14:paraId="0F73E23F">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49AF2B27">
      <w:pPr>
        <w:pStyle w:val="10"/>
        <w:numPr>
          <w:ilvl w:val="0"/>
          <w:numId w:val="2"/>
        </w:numPr>
        <w:spacing w:line="360" w:lineRule="auto"/>
        <w:rPr>
          <w:rFonts w:ascii="黑体" w:eastAsia="黑体"/>
          <w:b/>
          <w:bCs/>
          <w:sz w:val="28"/>
        </w:rPr>
      </w:pPr>
      <w:r>
        <w:rPr>
          <w:rFonts w:hint="eastAsia" w:ascii="黑体" w:eastAsia="黑体"/>
          <w:b/>
          <w:bCs/>
          <w:sz w:val="28"/>
        </w:rPr>
        <w:t>项目名称</w:t>
      </w:r>
    </w:p>
    <w:p w14:paraId="40918BF1">
      <w:pPr>
        <w:ind w:firstLine="840" w:firstLineChars="400"/>
        <w:rPr>
          <w:rFonts w:hint="eastAsia"/>
          <w:lang w:val="en-US" w:eastAsia="zh-CN"/>
        </w:rPr>
      </w:pPr>
      <w:r>
        <w:rPr>
          <w:rFonts w:hint="eastAsia"/>
        </w:rPr>
        <w:t>项目名称：</w:t>
      </w:r>
      <w:bookmarkStart w:id="0" w:name="OLE_LINK1"/>
      <w:r>
        <w:rPr>
          <w:rFonts w:hint="eastAsia"/>
          <w:lang w:eastAsia="zh-CN"/>
        </w:rPr>
        <w:t>零部件部400T冲床增加四套落料模</w:t>
      </w:r>
    </w:p>
    <w:bookmarkEnd w:id="0"/>
    <w:p w14:paraId="76596EC7">
      <w:pPr>
        <w:pStyle w:val="10"/>
        <w:numPr>
          <w:ilvl w:val="0"/>
          <w:numId w:val="2"/>
        </w:numPr>
        <w:spacing w:line="360" w:lineRule="auto"/>
        <w:rPr>
          <w:rFonts w:ascii="黑体" w:eastAsia="黑体"/>
          <w:b/>
          <w:bCs/>
          <w:sz w:val="28"/>
        </w:rPr>
      </w:pPr>
      <w:r>
        <w:rPr>
          <w:rFonts w:hint="eastAsia" w:ascii="黑体" w:eastAsia="黑体"/>
          <w:b/>
          <w:bCs/>
          <w:sz w:val="28"/>
        </w:rPr>
        <w:t>招标内容</w:t>
      </w:r>
    </w:p>
    <w:p w14:paraId="51ABB7D3">
      <w:pPr>
        <w:pStyle w:val="10"/>
        <w:numPr>
          <w:ilvl w:val="0"/>
          <w:numId w:val="0"/>
        </w:numPr>
        <w:spacing w:line="360" w:lineRule="auto"/>
        <w:ind w:left="420" w:leftChars="200" w:firstLine="420" w:firstLineChars="200"/>
        <w:rPr>
          <w:rFonts w:hint="default" w:ascii="Times New Roman" w:hAnsi="Times New Roman" w:eastAsia="宋体" w:cs="Times New Roman"/>
          <w:kern w:val="2"/>
          <w:sz w:val="21"/>
          <w:szCs w:val="22"/>
          <w:lang w:val="en-US" w:eastAsia="zh-CN" w:bidi="ar-SA"/>
        </w:rPr>
      </w:pPr>
      <w:r>
        <w:rPr>
          <w:rFonts w:hint="eastAsia" w:ascii="宋体" w:hAnsi="宋体" w:cs="宋体"/>
          <w:highlight w:val="none"/>
          <w:lang w:val="en-US" w:eastAsia="zh-CN"/>
        </w:rPr>
        <w:t>400T冲床增加四套落料模，确保模具符合甲方</w:t>
      </w:r>
      <w:r>
        <w:rPr>
          <w:rFonts w:hint="eastAsia" w:hAnsi="宋体" w:cs="宋体"/>
          <w:highlight w:val="none"/>
          <w:lang w:val="en-US" w:eastAsia="zh-CN"/>
        </w:rPr>
        <w:t>技术</w:t>
      </w:r>
      <w:r>
        <w:rPr>
          <w:rFonts w:hint="eastAsia" w:ascii="宋体" w:hAnsi="宋体" w:cs="宋体"/>
          <w:highlight w:val="none"/>
          <w:lang w:val="en-US" w:eastAsia="zh-CN"/>
        </w:rPr>
        <w:t>要求，</w:t>
      </w:r>
      <w:r>
        <w:rPr>
          <w:rFonts w:hint="eastAsia" w:ascii="宋体" w:hAnsi="宋体" w:eastAsia="宋体" w:cs="宋体"/>
          <w:highlight w:val="none"/>
          <w:lang w:eastAsia="zh-CN"/>
        </w:rPr>
        <w:t>保证设备正常稳定运转</w:t>
      </w:r>
      <w:r>
        <w:rPr>
          <w:rFonts w:hint="eastAsia" w:ascii="Times New Roman" w:hAnsi="Times New Roman" w:cs="Times New Roman"/>
          <w:kern w:val="2"/>
          <w:sz w:val="21"/>
          <w:szCs w:val="22"/>
          <w:lang w:val="en-US" w:eastAsia="zh-CN" w:bidi="ar-SA"/>
        </w:rPr>
        <w:t>。</w:t>
      </w:r>
    </w:p>
    <w:p w14:paraId="2DEB4147">
      <w:pPr>
        <w:pStyle w:val="10"/>
        <w:numPr>
          <w:ilvl w:val="0"/>
          <w:numId w:val="2"/>
        </w:numPr>
        <w:spacing w:line="360" w:lineRule="auto"/>
        <w:rPr>
          <w:rFonts w:ascii="黑体" w:eastAsia="黑体"/>
          <w:b/>
          <w:bCs/>
          <w:sz w:val="28"/>
        </w:rPr>
      </w:pPr>
      <w:r>
        <w:rPr>
          <w:rFonts w:hint="eastAsia" w:ascii="黑体" w:eastAsia="黑体"/>
          <w:b/>
          <w:bCs/>
          <w:sz w:val="28"/>
        </w:rPr>
        <w:t>招标形式</w:t>
      </w:r>
    </w:p>
    <w:p w14:paraId="5A6FB622">
      <w:pPr>
        <w:pStyle w:val="10"/>
        <w:spacing w:line="360" w:lineRule="auto"/>
        <w:ind w:firstLine="840" w:firstLineChars="400"/>
        <w:rPr>
          <w:rFonts w:hint="eastAsia" w:eastAsia="宋体"/>
          <w:lang w:eastAsia="zh-CN"/>
        </w:rPr>
      </w:pPr>
      <w:r>
        <w:rPr>
          <w:rFonts w:hint="eastAsia"/>
        </w:rPr>
        <w:t>招标形式：</w:t>
      </w:r>
      <w:r>
        <w:rPr>
          <w:rFonts w:hint="eastAsia"/>
          <w:lang w:val="en-US" w:eastAsia="zh-CN"/>
        </w:rPr>
        <w:t>公开招标</w:t>
      </w:r>
    </w:p>
    <w:p w14:paraId="101DCCF1">
      <w:pPr>
        <w:pStyle w:val="10"/>
        <w:numPr>
          <w:ilvl w:val="0"/>
          <w:numId w:val="2"/>
        </w:numPr>
        <w:spacing w:line="360" w:lineRule="auto"/>
        <w:rPr>
          <w:rFonts w:ascii="黑体" w:eastAsia="黑体"/>
          <w:b/>
          <w:bCs/>
          <w:sz w:val="28"/>
        </w:rPr>
      </w:pPr>
      <w:r>
        <w:rPr>
          <w:rFonts w:hint="eastAsia" w:ascii="黑体" w:eastAsia="黑体"/>
          <w:b/>
          <w:bCs/>
          <w:sz w:val="28"/>
        </w:rPr>
        <w:t>议程安排</w:t>
      </w:r>
    </w:p>
    <w:p w14:paraId="05329417">
      <w:pPr>
        <w:pStyle w:val="10"/>
        <w:numPr>
          <w:ilvl w:val="0"/>
          <w:numId w:val="3"/>
        </w:numPr>
        <w:spacing w:line="360" w:lineRule="auto"/>
        <w:ind w:left="420"/>
        <w:rPr>
          <w:b/>
          <w:bCs/>
        </w:rPr>
      </w:pPr>
      <w:r>
        <w:rPr>
          <w:rFonts w:hint="eastAsia"/>
          <w:b/>
          <w:bCs/>
        </w:rPr>
        <w:t>答疑时间：</w:t>
      </w:r>
      <w:r>
        <w:rPr>
          <w:rFonts w:hint="eastAsia"/>
        </w:rPr>
        <w:t>截止至202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日下午</w:t>
      </w:r>
      <w:r>
        <w:t>17</w:t>
      </w:r>
      <w:r>
        <w:rPr>
          <w:rFonts w:hint="eastAsia"/>
        </w:rPr>
        <w:t>点前</w:t>
      </w:r>
    </w:p>
    <w:p w14:paraId="12F7E024">
      <w:pPr>
        <w:pStyle w:val="10"/>
        <w:numPr>
          <w:ilvl w:val="0"/>
          <w:numId w:val="3"/>
        </w:numPr>
        <w:spacing w:line="360" w:lineRule="auto"/>
        <w:ind w:left="420"/>
        <w:rPr>
          <w:rFonts w:hint="eastAsia"/>
          <w:b/>
          <w:bCs/>
          <w:highlight w:val="none"/>
        </w:rPr>
      </w:pPr>
      <w:r>
        <w:rPr>
          <w:rFonts w:hint="eastAsia"/>
          <w:b/>
          <w:bCs/>
        </w:rPr>
        <w:t>答疑方式：电话答疑。</w:t>
      </w:r>
    </w:p>
    <w:p w14:paraId="3CC216C5">
      <w:pPr>
        <w:pStyle w:val="10"/>
        <w:numPr>
          <w:ilvl w:val="0"/>
          <w:numId w:val="3"/>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15</w:t>
      </w:r>
      <w:r>
        <w:rPr>
          <w:rFonts w:hint="eastAsia"/>
          <w:highlight w:val="none"/>
        </w:rPr>
        <w:t>日上午9点开标。</w:t>
      </w:r>
      <w:r>
        <w:rPr>
          <w:rFonts w:hint="eastAsia"/>
          <w:highlight w:val="none"/>
          <w:lang w:eastAsia="zh-CN"/>
        </w:rPr>
        <w:t>（</w:t>
      </w:r>
      <w:r>
        <w:rPr>
          <w:rFonts w:hint="eastAsia"/>
          <w:color w:val="auto"/>
          <w:highlight w:val="none"/>
          <w:lang w:eastAsia="zh-CN"/>
        </w:rPr>
        <w:t>暂定</w:t>
      </w:r>
      <w:r>
        <w:rPr>
          <w:rFonts w:hint="eastAsia"/>
          <w:color w:val="auto"/>
          <w:highlight w:val="none"/>
          <w:lang w:val="en-US" w:eastAsia="zh-CN"/>
        </w:rPr>
        <w:t>,以电话通知为准</w:t>
      </w:r>
      <w:r>
        <w:rPr>
          <w:rFonts w:hint="eastAsia"/>
          <w:color w:val="auto"/>
          <w:highlight w:val="none"/>
          <w:lang w:eastAsia="zh-CN"/>
        </w:rPr>
        <w:t>）</w:t>
      </w:r>
    </w:p>
    <w:p w14:paraId="0D4F2F51">
      <w:pPr>
        <w:pStyle w:val="10"/>
        <w:numPr>
          <w:ilvl w:val="0"/>
          <w:numId w:val="3"/>
        </w:numPr>
        <w:spacing w:line="360" w:lineRule="auto"/>
        <w:ind w:left="420" w:leftChars="0" w:firstLine="0" w:firstLineChars="0"/>
        <w:rPr>
          <w:rFonts w:hint="eastAsia"/>
          <w:highlight w:val="none"/>
          <w:lang w:val="en-US" w:eastAsia="zh-CN"/>
        </w:rPr>
      </w:pPr>
      <w:r>
        <w:rPr>
          <w:rFonts w:hint="eastAsia"/>
          <w:b/>
          <w:bCs/>
          <w:highlight w:val="none"/>
          <w:lang w:val="en-US" w:eastAsia="zh-CN"/>
        </w:rPr>
        <w:t>技术事宜</w:t>
      </w:r>
      <w:r>
        <w:rPr>
          <w:rFonts w:hint="eastAsia"/>
          <w:b/>
          <w:bCs/>
          <w:highlight w:val="none"/>
        </w:rPr>
        <w:t>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 xml:space="preserve">5864774483 </w:t>
      </w:r>
    </w:p>
    <w:p w14:paraId="63804C78">
      <w:pPr>
        <w:pStyle w:val="10"/>
        <w:numPr>
          <w:ilvl w:val="0"/>
          <w:numId w:val="0"/>
        </w:numPr>
        <w:spacing w:line="360" w:lineRule="auto"/>
        <w:ind w:left="420" w:leftChars="0" w:firstLine="422" w:firstLineChars="200"/>
        <w:rPr>
          <w:rFonts w:hint="default"/>
          <w:highlight w:val="none"/>
          <w:lang w:val="en-US" w:eastAsia="zh-CN"/>
        </w:rPr>
      </w:pPr>
      <w:r>
        <w:rPr>
          <w:rFonts w:hint="eastAsia"/>
          <w:b/>
          <w:bCs/>
          <w:highlight w:val="none"/>
          <w:lang w:val="en-US" w:eastAsia="zh-CN"/>
        </w:rPr>
        <w:t>商务</w:t>
      </w:r>
      <w:r>
        <w:rPr>
          <w:rFonts w:hint="eastAsia"/>
          <w:b/>
          <w:bCs/>
          <w:highlight w:val="none"/>
        </w:rPr>
        <w:t>事宜联系人：</w:t>
      </w:r>
      <w:r>
        <w:rPr>
          <w:rFonts w:hint="eastAsia" w:ascii="宋体" w:eastAsia="宋体" w:cs="Times New Roman"/>
          <w:szCs w:val="22"/>
          <w:highlight w:val="none"/>
          <w:lang w:val="en-US" w:eastAsia="zh-CN"/>
        </w:rPr>
        <w:t xml:space="preserve">张卫波 </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5253846000</w:t>
      </w:r>
      <w:bookmarkStart w:id="3" w:name="_GoBack"/>
      <w:bookmarkEnd w:id="3"/>
    </w:p>
    <w:p w14:paraId="5034E17B">
      <w:pPr>
        <w:pStyle w:val="10"/>
        <w:numPr>
          <w:ilvl w:val="0"/>
          <w:numId w:val="3"/>
        </w:numPr>
        <w:spacing w:line="360" w:lineRule="auto"/>
        <w:ind w:left="420" w:leftChars="0" w:firstLine="0" w:firstLineChars="0"/>
        <w:rPr>
          <w:rFonts w:hint="eastAsia"/>
          <w:highlight w:val="none"/>
          <w:lang w:val="en-US" w:eastAsia="zh-CN"/>
        </w:rPr>
      </w:pPr>
      <w:r>
        <w:rPr>
          <w:rFonts w:hint="eastAsia"/>
          <w:b/>
          <w:bCs/>
          <w:highlight w:val="none"/>
          <w:lang w:eastAsia="zh-CN"/>
        </w:rPr>
        <w:t>投标邮箱：</w:t>
      </w:r>
      <w:r>
        <w:rPr>
          <w:rFonts w:hint="eastAsia"/>
          <w:b/>
          <w:bCs/>
          <w:sz w:val="28"/>
          <w:szCs w:val="24"/>
          <w:highlight w:val="none"/>
          <w:lang w:val="en-US" w:eastAsia="zh-CN"/>
        </w:rPr>
        <w:t>wangzekai@sinotruk.com</w:t>
      </w:r>
      <w:r>
        <w:rPr>
          <w:rFonts w:hint="eastAsia"/>
          <w:highlight w:val="none"/>
          <w:lang w:val="en-US" w:eastAsia="zh-CN"/>
        </w:rPr>
        <w:t xml:space="preserve">  </w:t>
      </w:r>
    </w:p>
    <w:p w14:paraId="686A8E5D">
      <w:pPr>
        <w:pStyle w:val="10"/>
        <w:spacing w:line="360" w:lineRule="auto"/>
        <w:rPr>
          <w:rFonts w:ascii="黑体" w:eastAsia="黑体"/>
          <w:b/>
          <w:bCs/>
          <w:sz w:val="28"/>
          <w:highlight w:val="none"/>
        </w:rPr>
      </w:pPr>
      <w:r>
        <w:rPr>
          <w:rFonts w:hint="eastAsia" w:ascii="黑体" w:eastAsia="黑体"/>
          <w:b/>
          <w:bCs/>
          <w:sz w:val="28"/>
          <w:highlight w:val="none"/>
          <w:lang w:eastAsia="zh-CN"/>
        </w:rPr>
        <w:t>五</w:t>
      </w:r>
      <w:r>
        <w:rPr>
          <w:rFonts w:hint="eastAsia" w:ascii="黑体" w:eastAsia="黑体"/>
          <w:b/>
          <w:bCs/>
          <w:sz w:val="28"/>
          <w:highlight w:val="none"/>
        </w:rPr>
        <w:t>、投标须知</w:t>
      </w:r>
    </w:p>
    <w:p w14:paraId="07F8D75A">
      <w:pPr>
        <w:pStyle w:val="10"/>
        <w:spacing w:line="360" w:lineRule="auto"/>
        <w:ind w:firstLine="422" w:firstLineChars="200"/>
        <w:rPr>
          <w:b/>
          <w:highlight w:val="none"/>
        </w:rPr>
      </w:pPr>
      <w:r>
        <w:rPr>
          <w:rFonts w:hint="eastAsia"/>
          <w:b/>
          <w:highlight w:val="none"/>
        </w:rPr>
        <w:t>1.合格投标人：</w:t>
      </w:r>
    </w:p>
    <w:p w14:paraId="74DFF28A">
      <w:pPr>
        <w:pStyle w:val="10"/>
        <w:spacing w:line="360" w:lineRule="auto"/>
        <w:ind w:firstLine="420" w:firstLineChars="200"/>
        <w:rPr>
          <w:rFonts w:hint="eastAsia" w:eastAsia="宋体"/>
          <w:b/>
          <w:highlight w:val="none"/>
          <w:lang w:eastAsia="zh-CN"/>
        </w:rPr>
      </w:pPr>
      <w:r>
        <w:rPr>
          <w:rFonts w:hint="eastAsia"/>
          <w:highlight w:val="none"/>
        </w:rPr>
        <w:t>⑴投标人须遵守《中华人民共和国招标投标法》、《中华人民共和国民法典》及其它有关的法律和法规；为中华人民共和国境内注册的独立法人机构，具有独立承担民事责任能力</w:t>
      </w:r>
      <w:r>
        <w:rPr>
          <w:rFonts w:hint="eastAsia"/>
          <w:highlight w:val="none"/>
          <w:lang w:eastAsia="zh-CN"/>
        </w:rPr>
        <w:t>；</w:t>
      </w:r>
    </w:p>
    <w:p w14:paraId="0687F6E1">
      <w:pPr>
        <w:pStyle w:val="10"/>
        <w:spacing w:line="360" w:lineRule="auto"/>
        <w:ind w:firstLine="420" w:firstLineChars="200"/>
        <w:rPr>
          <w:rFonts w:hint="eastAsia" w:ascii="宋体" w:eastAsia="宋体" w:cs="Times New Roman"/>
          <w:szCs w:val="22"/>
          <w:highlight w:val="none"/>
          <w:lang w:val="en-US" w:eastAsia="zh-CN"/>
        </w:rPr>
      </w:pPr>
      <w:r>
        <w:rPr>
          <w:rFonts w:hint="eastAsia" w:ascii="宋体" w:eastAsia="宋体" w:cs="Times New Roman"/>
          <w:szCs w:val="22"/>
          <w:highlight w:val="none"/>
        </w:rPr>
        <w:t>⑵具有</w:t>
      </w:r>
      <w:r>
        <w:rPr>
          <w:rFonts w:hint="eastAsia" w:ascii="宋体" w:eastAsia="宋体" w:cs="Times New Roman"/>
          <w:szCs w:val="22"/>
          <w:highlight w:val="none"/>
          <w:lang w:val="en-US" w:eastAsia="zh-CN"/>
        </w:rPr>
        <w:t>模具设计、制造、销售</w:t>
      </w:r>
      <w:r>
        <w:rPr>
          <w:rFonts w:hint="eastAsia" w:cs="Times New Roman"/>
          <w:szCs w:val="22"/>
          <w:highlight w:val="none"/>
          <w:lang w:val="en-US" w:eastAsia="zh-CN"/>
        </w:rPr>
        <w:t>相关</w:t>
      </w:r>
      <w:r>
        <w:rPr>
          <w:rFonts w:hint="eastAsia" w:ascii="宋体" w:eastAsia="宋体" w:cs="Times New Roman"/>
          <w:szCs w:val="22"/>
          <w:highlight w:val="none"/>
          <w:lang w:val="en-US" w:eastAsia="zh-CN"/>
        </w:rPr>
        <w:t>资质，注册资金</w:t>
      </w:r>
      <w:r>
        <w:rPr>
          <w:rFonts w:hint="eastAsia" w:cs="Times New Roman"/>
          <w:szCs w:val="22"/>
          <w:highlight w:val="none"/>
          <w:lang w:val="en-US" w:eastAsia="zh-CN"/>
        </w:rPr>
        <w:t>50</w:t>
      </w:r>
      <w:r>
        <w:rPr>
          <w:rFonts w:hint="eastAsia" w:ascii="宋体" w:eastAsia="宋体" w:cs="Times New Roman"/>
          <w:szCs w:val="22"/>
          <w:highlight w:val="none"/>
          <w:lang w:val="en-US" w:eastAsia="zh-CN"/>
        </w:rPr>
        <w:t>万元以上、截止至开标当日成立满三年以上</w:t>
      </w:r>
      <w:r>
        <w:rPr>
          <w:rFonts w:hint="eastAsia" w:cs="Times New Roman"/>
          <w:szCs w:val="22"/>
          <w:highlight w:val="none"/>
          <w:lang w:val="en-US" w:eastAsia="zh-CN"/>
        </w:rPr>
        <w:t>，</w:t>
      </w:r>
      <w:r>
        <w:rPr>
          <w:rFonts w:hint="eastAsia" w:ascii="宋体" w:eastAsia="宋体" w:cs="Times New Roman"/>
          <w:szCs w:val="22"/>
          <w:highlight w:val="none"/>
          <w:lang w:val="en-US" w:eastAsia="zh-CN"/>
        </w:rPr>
        <w:t>并在人员、设备、资金等方面具有承担本项目的能力</w:t>
      </w:r>
      <w:r>
        <w:rPr>
          <w:rFonts w:hint="eastAsia" w:ascii="宋体" w:eastAsia="宋体" w:cs="Times New Roman"/>
          <w:szCs w:val="22"/>
          <w:highlight w:val="none"/>
        </w:rPr>
        <w:t>；</w:t>
      </w:r>
    </w:p>
    <w:p w14:paraId="5B2238EC">
      <w:pPr>
        <w:pStyle w:val="10"/>
        <w:spacing w:line="360" w:lineRule="auto"/>
        <w:ind w:firstLine="420" w:firstLineChars="200"/>
        <w:rPr>
          <w:rFonts w:hint="eastAsia" w:ascii="宋体" w:eastAsia="宋体" w:cs="Times New Roman"/>
          <w:szCs w:val="22"/>
        </w:rPr>
      </w:pPr>
      <w:r>
        <w:rPr>
          <w:rFonts w:hint="eastAsia" w:ascii="宋体" w:eastAsia="宋体" w:cs="Times New Roman"/>
          <w:szCs w:val="22"/>
        </w:rPr>
        <w:t>⑶投标人须提供具有统一社会信用代码的新版营业执照副本原件或复印件</w:t>
      </w:r>
      <w:r>
        <w:rPr>
          <w:rFonts w:hint="eastAsia" w:ascii="宋体" w:eastAsia="宋体" w:cs="Times New Roman"/>
          <w:szCs w:val="22"/>
          <w:lang w:eastAsia="zh-CN"/>
        </w:rPr>
        <w:t>（</w:t>
      </w:r>
      <w:r>
        <w:rPr>
          <w:rFonts w:hint="eastAsia" w:ascii="宋体" w:eastAsia="宋体" w:cs="Times New Roman"/>
          <w:szCs w:val="22"/>
          <w:lang w:val="en-US" w:eastAsia="zh-CN"/>
        </w:rPr>
        <w:t>需盖章）</w:t>
      </w:r>
      <w:r>
        <w:rPr>
          <w:rFonts w:hint="eastAsia" w:cs="Times New Roman"/>
          <w:szCs w:val="22"/>
          <w:lang w:val="en-US" w:eastAsia="zh-CN"/>
        </w:rPr>
        <w:t>；</w:t>
      </w:r>
    </w:p>
    <w:p w14:paraId="0A49C151">
      <w:pPr>
        <w:pStyle w:val="10"/>
        <w:spacing w:line="360" w:lineRule="auto"/>
        <w:ind w:firstLine="420" w:firstLineChars="200"/>
        <w:rPr>
          <w:rFonts w:hint="eastAsia" w:eastAsia="宋体"/>
          <w:b/>
          <w:lang w:eastAsia="zh-CN"/>
        </w:rPr>
      </w:pPr>
      <w:r>
        <w:rPr>
          <w:rFonts w:hint="eastAsia"/>
        </w:rPr>
        <w:t>⑷具有良好的商业信誉，在国家企业信用信息公示系统中无行政处罚、列入经营异常名录和列入严重违法失信企业名单（黑名单）信息或上述信息已被移除</w:t>
      </w:r>
      <w:r>
        <w:rPr>
          <w:rFonts w:hint="eastAsia"/>
          <w:lang w:eastAsia="zh-CN"/>
        </w:rPr>
        <w:t>；</w:t>
      </w:r>
    </w:p>
    <w:p w14:paraId="2221569B">
      <w:pPr>
        <w:pStyle w:val="10"/>
        <w:spacing w:line="360" w:lineRule="auto"/>
        <w:ind w:firstLine="420" w:firstLineChars="200"/>
        <w:rPr>
          <w:rFonts w:hint="eastAsia" w:eastAsia="宋体"/>
          <w:lang w:eastAsia="zh-CN"/>
        </w:rPr>
      </w:pPr>
      <w:r>
        <w:rPr>
          <w:rFonts w:hint="eastAsia"/>
        </w:rPr>
        <w:t>⑸投标人在近三年内在经营活动中无违法记录</w:t>
      </w:r>
      <w:r>
        <w:rPr>
          <w:rFonts w:hint="eastAsia"/>
          <w:lang w:eastAsia="zh-CN"/>
        </w:rPr>
        <w:t>；</w:t>
      </w:r>
    </w:p>
    <w:p w14:paraId="1BBA89A6">
      <w:pPr>
        <w:pStyle w:val="10"/>
        <w:spacing w:line="360" w:lineRule="auto"/>
        <w:ind w:firstLine="420" w:firstLineChars="200"/>
        <w:rPr>
          <w:rFonts w:hint="eastAsia" w:eastAsia="宋体"/>
          <w:lang w:eastAsia="zh-CN"/>
        </w:rPr>
      </w:pPr>
      <w:r>
        <w:rPr>
          <w:rFonts w:hint="eastAsia"/>
        </w:rPr>
        <w:t>⑹具有健全的财务会计制度，财务状况和市场行为良好。没有处于被有权机关吊销营业执照、吊销资质、停业整顿、取消投标资格以及财产被接管、冻结或进入破产程序等</w:t>
      </w:r>
      <w:r>
        <w:rPr>
          <w:rFonts w:hint="eastAsia"/>
          <w:lang w:eastAsia="zh-CN"/>
        </w:rPr>
        <w:t>；</w:t>
      </w:r>
    </w:p>
    <w:p w14:paraId="28A30A37">
      <w:pPr>
        <w:pStyle w:val="10"/>
        <w:spacing w:line="360" w:lineRule="auto"/>
        <w:ind w:firstLine="420" w:firstLineChars="200"/>
        <w:rPr>
          <w:rFonts w:hint="eastAsia" w:eastAsia="宋体"/>
          <w:lang w:eastAsia="zh-CN"/>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r>
        <w:rPr>
          <w:rFonts w:hint="eastAsia"/>
          <w:lang w:eastAsia="zh-CN"/>
        </w:rPr>
        <w:t>；</w:t>
      </w:r>
    </w:p>
    <w:p w14:paraId="4076482E">
      <w:pPr>
        <w:pStyle w:val="10"/>
        <w:spacing w:line="360" w:lineRule="auto"/>
        <w:ind w:firstLine="420" w:firstLineChars="200"/>
        <w:rPr>
          <w:rFonts w:hint="eastAsia" w:eastAsia="宋体"/>
          <w:lang w:eastAsia="zh-CN"/>
        </w:rPr>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投标人须具有履行合同所必须的设备、财务、技术、服务等方面的资质和能力</w:t>
      </w:r>
      <w:r>
        <w:rPr>
          <w:rFonts w:hint="eastAsia"/>
          <w:lang w:eastAsia="zh-CN"/>
        </w:rPr>
        <w:t>。</w:t>
      </w:r>
    </w:p>
    <w:p w14:paraId="76A0F11E">
      <w:pPr>
        <w:pStyle w:val="10"/>
        <w:spacing w:line="360" w:lineRule="auto"/>
        <w:ind w:firstLine="420" w:firstLineChars="200"/>
        <w:rPr>
          <w:rFonts w:hint="eastAsia" w:eastAsia="宋体"/>
          <w:lang w:eastAsia="zh-CN"/>
        </w:rPr>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投标人须具有完全履行招标文件的所有要求的能力</w:t>
      </w:r>
      <w:r>
        <w:rPr>
          <w:rFonts w:hint="eastAsia"/>
          <w:lang w:eastAsia="zh-CN"/>
        </w:rPr>
        <w:t>。</w:t>
      </w:r>
    </w:p>
    <w:p w14:paraId="3CEB9414">
      <w:pPr>
        <w:pStyle w:val="10"/>
        <w:spacing w:line="360" w:lineRule="auto"/>
        <w:ind w:firstLine="420" w:firstLineChars="200"/>
        <w:rPr>
          <w:rFonts w:hint="eastAsia" w:eastAsia="宋体"/>
          <w:lang w:eastAsia="zh-CN"/>
        </w:rPr>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投标人须负责提供合理的便于运输的包装物，并承担相关费用</w:t>
      </w:r>
      <w:r>
        <w:rPr>
          <w:rFonts w:hint="eastAsia"/>
          <w:lang w:eastAsia="zh-CN"/>
        </w:rPr>
        <w:t>。</w:t>
      </w:r>
    </w:p>
    <w:p w14:paraId="1ECF9E29">
      <w:pPr>
        <w:pStyle w:val="10"/>
        <w:spacing w:line="360" w:lineRule="auto"/>
        <w:ind w:firstLine="420" w:firstLineChars="200"/>
        <w:rPr>
          <w:rFonts w:hint="eastAsia" w:eastAsia="宋体"/>
          <w:lang w:eastAsia="zh-CN"/>
        </w:rPr>
      </w:pPr>
      <w:r>
        <w:rPr>
          <w:rFonts w:hint="eastAsia"/>
        </w:rPr>
        <w:fldChar w:fldCharType="begin"/>
      </w:r>
      <w:r>
        <w:rPr>
          <w:rFonts w:hint="eastAsia"/>
        </w:rPr>
        <w:instrText xml:space="preserve"> = 11 \* GB2 \* MERGEFORMAT </w:instrText>
      </w:r>
      <w:r>
        <w:rPr>
          <w:rFonts w:hint="eastAsia"/>
        </w:rPr>
        <w:fldChar w:fldCharType="separate"/>
      </w:r>
      <w:r>
        <w:t>⑾</w:t>
      </w:r>
      <w:r>
        <w:rPr>
          <w:rFonts w:hint="eastAsia"/>
        </w:rPr>
        <w:fldChar w:fldCharType="end"/>
      </w:r>
      <w:r>
        <w:rPr>
          <w:rFonts w:hint="eastAsia"/>
        </w:rPr>
        <w:t>投标人须认可招标人的工作指令，包括节假日能正常开展工作的要求</w:t>
      </w:r>
      <w:r>
        <w:rPr>
          <w:rFonts w:hint="eastAsia"/>
          <w:lang w:eastAsia="zh-CN"/>
        </w:rPr>
        <w:t>。</w:t>
      </w:r>
    </w:p>
    <w:p w14:paraId="6A3D476E">
      <w:pPr>
        <w:pStyle w:val="10"/>
        <w:spacing w:line="360" w:lineRule="auto"/>
        <w:ind w:firstLine="420" w:firstLineChars="200"/>
        <w:rPr>
          <w:rFonts w:hint="eastAsia" w:eastAsia="宋体"/>
          <w:lang w:eastAsia="zh-CN"/>
        </w:rPr>
      </w:pPr>
      <w:r>
        <w:rPr>
          <w:rFonts w:hint="eastAsia"/>
        </w:rPr>
        <w:fldChar w:fldCharType="begin"/>
      </w:r>
      <w:r>
        <w:rPr>
          <w:rFonts w:hint="eastAsia"/>
        </w:rPr>
        <w:instrText xml:space="preserve"> = 12 \* GB2 \* MERGEFORMAT </w:instrText>
      </w:r>
      <w:r>
        <w:rPr>
          <w:rFonts w:hint="eastAsia"/>
        </w:rPr>
        <w:fldChar w:fldCharType="separate"/>
      </w:r>
      <w:r>
        <w:t>⑿</w:t>
      </w:r>
      <w:r>
        <w:rPr>
          <w:rFonts w:hint="eastAsia"/>
        </w:rPr>
        <w:fldChar w:fldCharType="end"/>
      </w:r>
      <w:r>
        <w:rPr>
          <w:rFonts w:hint="eastAsia"/>
        </w:rPr>
        <w:t>投标人必须是最终投标、签订合同的单位，不得以任何理由将已中标项目以任何形式转包给其他单位</w:t>
      </w:r>
      <w:r>
        <w:rPr>
          <w:rFonts w:hint="eastAsia"/>
          <w:lang w:eastAsia="zh-CN"/>
        </w:rPr>
        <w:t>。</w:t>
      </w:r>
    </w:p>
    <w:p w14:paraId="492B94FA">
      <w:pPr>
        <w:pStyle w:val="10"/>
        <w:spacing w:line="360" w:lineRule="auto"/>
        <w:rPr>
          <w:b/>
        </w:rPr>
      </w:pPr>
      <w:r>
        <w:rPr>
          <w:rFonts w:hint="eastAsia"/>
          <w:b/>
        </w:rPr>
        <w:t>2.投标文件格式组成</w:t>
      </w:r>
    </w:p>
    <w:p w14:paraId="7C44B9C7">
      <w:pPr>
        <w:pStyle w:val="10"/>
        <w:spacing w:line="360" w:lineRule="auto"/>
        <w:ind w:firstLine="422" w:firstLineChars="200"/>
        <w:rPr>
          <w:rFonts w:hint="eastAsia"/>
          <w:b/>
          <w:color w:val="auto"/>
          <w:highlight w:val="none"/>
          <w:lang w:val="en-US" w:eastAsia="zh-CN"/>
        </w:rPr>
      </w:pPr>
      <w:bookmarkStart w:id="1" w:name="_Toc37685731"/>
      <w:r>
        <w:rPr>
          <w:rFonts w:hint="eastAsia"/>
          <w:b/>
          <w:color w:val="auto"/>
          <w:highlight w:val="none"/>
          <w:lang w:val="en-US" w:eastAsia="zh-CN"/>
        </w:rPr>
        <w:t>2.4</w:t>
      </w:r>
      <w:r>
        <w:rPr>
          <w:rFonts w:hint="eastAsia"/>
          <w:b/>
          <w:color w:val="auto"/>
          <w:lang w:val="en-US" w:eastAsia="zh-CN"/>
        </w:rPr>
        <w:t>投标报价表</w:t>
      </w:r>
      <w:r>
        <w:rPr>
          <w:rFonts w:hint="eastAsia"/>
          <w:b/>
          <w:color w:val="auto"/>
          <w:highlight w:val="none"/>
          <w:lang w:val="en-US" w:eastAsia="zh-CN"/>
        </w:rPr>
        <w:t>（</w:t>
      </w:r>
      <w:r>
        <w:rPr>
          <w:rFonts w:hint="eastAsia"/>
          <w:b/>
          <w:color w:val="auto"/>
          <w:lang w:val="en-US" w:eastAsia="zh-CN"/>
        </w:rPr>
        <w:t>附件一</w:t>
      </w:r>
      <w:r>
        <w:rPr>
          <w:rFonts w:hint="eastAsia"/>
          <w:b/>
          <w:color w:val="auto"/>
          <w:highlight w:val="none"/>
          <w:lang w:val="en-US" w:eastAsia="zh-CN"/>
        </w:rPr>
        <w:t>）</w:t>
      </w:r>
    </w:p>
    <w:p w14:paraId="4970F8F8">
      <w:pPr>
        <w:pStyle w:val="10"/>
        <w:spacing w:line="360" w:lineRule="auto"/>
        <w:ind w:firstLine="422" w:firstLineChars="200"/>
        <w:rPr>
          <w:rFonts w:hint="eastAsia"/>
          <w:b/>
          <w:color w:val="auto"/>
          <w:lang w:val="en-US" w:eastAsia="zh-CN"/>
        </w:rPr>
      </w:pPr>
      <w:r>
        <w:rPr>
          <w:rFonts w:hint="eastAsia"/>
          <w:b/>
          <w:color w:val="auto"/>
          <w:lang w:val="en-US" w:eastAsia="zh-CN"/>
        </w:rPr>
        <w:t>2.5其他文件（</w:t>
      </w:r>
      <w:r>
        <w:rPr>
          <w:rFonts w:hint="eastAsia"/>
          <w:b/>
          <w:color w:val="auto"/>
          <w:highlight w:val="none"/>
          <w:lang w:val="en-US" w:eastAsia="zh-CN"/>
        </w:rPr>
        <w:t>附件二）</w:t>
      </w:r>
    </w:p>
    <w:p w14:paraId="7B862730">
      <w:pPr>
        <w:pStyle w:val="10"/>
        <w:spacing w:line="360" w:lineRule="auto"/>
        <w:ind w:firstLine="422" w:firstLineChars="200"/>
        <w:rPr>
          <w:rFonts w:hint="eastAsia"/>
          <w:b/>
          <w:color w:val="auto"/>
          <w:highlight w:val="none"/>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14:paraId="13798DE4">
      <w:pPr>
        <w:pStyle w:val="10"/>
        <w:numPr>
          <w:ilvl w:val="255"/>
          <w:numId w:val="0"/>
        </w:numPr>
        <w:spacing w:line="360" w:lineRule="auto"/>
        <w:rPr>
          <w:b/>
        </w:rPr>
      </w:pPr>
      <w:r>
        <w:rPr>
          <w:rFonts w:hint="eastAsia"/>
          <w:b/>
        </w:rPr>
        <w:t xml:space="preserve">3、报价： </w:t>
      </w:r>
    </w:p>
    <w:p w14:paraId="2ABA6EC7">
      <w:pPr>
        <w:pStyle w:val="10"/>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为公开招标，</w:t>
      </w:r>
      <w:r>
        <w:rPr>
          <w:rFonts w:hint="eastAsia"/>
          <w:lang w:eastAsia="zh-CN"/>
        </w:rPr>
        <w:t>依据技术协议要求内容，进行报价。</w:t>
      </w:r>
    </w:p>
    <w:p w14:paraId="760553BA">
      <w:pPr>
        <w:pStyle w:val="10"/>
        <w:numPr>
          <w:ilvl w:val="255"/>
          <w:numId w:val="0"/>
        </w:numPr>
        <w:spacing w:line="360" w:lineRule="auto"/>
        <w:ind w:left="420"/>
        <w:rPr>
          <w:highlight w:val="none"/>
        </w:rPr>
      </w:pPr>
      <w:r>
        <w:rPr>
          <w:rFonts w:hint="eastAsia"/>
          <w:highlight w:val="none"/>
        </w:rPr>
        <w:t>2.所有报价货币单位均为：元（人民币），含税</w:t>
      </w:r>
      <w:r>
        <w:rPr>
          <w:rFonts w:hint="eastAsia"/>
          <w:highlight w:val="none"/>
          <w:lang w:eastAsia="zh-CN"/>
        </w:rPr>
        <w:t>、含</w:t>
      </w:r>
      <w:r>
        <w:rPr>
          <w:rFonts w:hint="eastAsia"/>
          <w:highlight w:val="none"/>
          <w:lang w:val="en-US" w:eastAsia="zh-CN"/>
        </w:rPr>
        <w:t>人工、含安装、含</w:t>
      </w:r>
      <w:r>
        <w:rPr>
          <w:rFonts w:hint="eastAsia"/>
          <w:highlight w:val="none"/>
          <w:lang w:eastAsia="zh-CN"/>
        </w:rPr>
        <w:t>运费。</w:t>
      </w:r>
    </w:p>
    <w:p w14:paraId="01673376">
      <w:pPr>
        <w:spacing w:line="360" w:lineRule="auto"/>
        <w:ind w:firstLine="420" w:firstLineChars="200"/>
        <w:jc w:val="left"/>
        <w:rPr>
          <w:rFonts w:hint="eastAsia" w:ascii="宋体" w:hAnsi="Courier New" w:eastAsia="宋体" w:cs="Times New Roman"/>
          <w:kern w:val="2"/>
          <w:sz w:val="21"/>
          <w:szCs w:val="22"/>
          <w:highlight w:val="none"/>
          <w:lang w:val="en-US" w:eastAsia="zh-CN" w:bidi="ar-SA"/>
        </w:rPr>
      </w:pPr>
      <w:r>
        <w:rPr>
          <w:rFonts w:hint="eastAsia" w:ascii="宋体" w:hAnsi="Courier New" w:eastAsia="宋体" w:cs="Times New Roman"/>
          <w:kern w:val="2"/>
          <w:sz w:val="21"/>
          <w:szCs w:val="22"/>
          <w:highlight w:val="none"/>
          <w:lang w:val="en-US" w:eastAsia="zh-CN" w:bidi="ar-SA"/>
        </w:rPr>
        <w:t>3.结算方式：</w:t>
      </w:r>
      <w:r>
        <w:rPr>
          <w:rFonts w:hint="eastAsia" w:ascii="宋体" w:hAnsi="Courier New" w:cs="Times New Roman"/>
          <w:kern w:val="2"/>
          <w:sz w:val="21"/>
          <w:szCs w:val="22"/>
          <w:highlight w:val="none"/>
          <w:lang w:val="en-US" w:eastAsia="zh-CN" w:bidi="ar-SA"/>
        </w:rPr>
        <w:t>银行承兑汇票结算</w:t>
      </w:r>
    </w:p>
    <w:p w14:paraId="7C9E6102">
      <w:pPr>
        <w:spacing w:line="360" w:lineRule="auto"/>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cs="宋体"/>
          <w:highlight w:val="none"/>
          <w:lang w:val="en-US" w:eastAsia="zh-CN"/>
        </w:rPr>
        <w:t>增加400T冲床四套落料模，确保模具符合甲方要求，</w:t>
      </w:r>
      <w:r>
        <w:rPr>
          <w:rFonts w:hint="eastAsia" w:ascii="宋体" w:hAnsi="宋体" w:eastAsia="宋体" w:cs="宋体"/>
          <w:highlight w:val="none"/>
          <w:lang w:eastAsia="zh-CN"/>
        </w:rPr>
        <w:t>保证设备正常稳定运转</w:t>
      </w:r>
      <w:r>
        <w:rPr>
          <w:rFonts w:hint="eastAsia" w:ascii="宋体" w:hAnsi="宋体" w:cs="宋体"/>
          <w:highlight w:val="none"/>
          <w:lang w:eastAsia="zh-CN"/>
        </w:rPr>
        <w:t>，</w:t>
      </w:r>
      <w:r>
        <w:rPr>
          <w:rFonts w:hint="eastAsia" w:ascii="宋体" w:hAnsi="宋体" w:eastAsia="宋体" w:cs="宋体"/>
          <w:highlight w:val="none"/>
          <w:lang w:eastAsia="zh-CN"/>
        </w:rPr>
        <w:t>经甲方验收合格后，甲方出具书面验收单，乙方提供含税13％的全额增值税专用发票，依照公司财务制度审核无误挂账后次月支付</w:t>
      </w:r>
      <w:r>
        <w:rPr>
          <w:rFonts w:hint="eastAsia" w:ascii="宋体" w:hAnsi="宋体" w:eastAsia="宋体" w:cs="宋体"/>
          <w:highlight w:val="none"/>
          <w:lang w:val="en-US" w:eastAsia="zh-CN"/>
        </w:rPr>
        <w:t>95%</w:t>
      </w:r>
      <w:r>
        <w:rPr>
          <w:rFonts w:hint="eastAsia" w:ascii="宋体" w:hAnsi="宋体" w:eastAsia="宋体" w:cs="宋体"/>
          <w:highlight w:val="none"/>
          <w:lang w:eastAsia="zh-CN"/>
        </w:rPr>
        <w:t>。</w:t>
      </w:r>
    </w:p>
    <w:p w14:paraId="3B8FB1A5">
      <w:pPr>
        <w:spacing w:line="360" w:lineRule="auto"/>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lang w:eastAsia="zh-CN"/>
        </w:rPr>
        <w:t>剩余价款的</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 xml:space="preserve">%作为质量保证金，质量保证金在本合同约定的质量保证期内不计利息，待设备质量保证期满后，经甲方依照财务制度审核无误后 </w:t>
      </w:r>
      <w:r>
        <w:rPr>
          <w:rFonts w:hint="eastAsia" w:ascii="宋体" w:hAnsi="宋体" w:eastAsia="宋体" w:cs="宋体"/>
          <w:highlight w:val="none"/>
          <w:lang w:val="en-US" w:eastAsia="zh-CN"/>
        </w:rPr>
        <w:t>30</w:t>
      </w:r>
      <w:r>
        <w:rPr>
          <w:rFonts w:hint="eastAsia" w:ascii="宋体" w:hAnsi="宋体" w:eastAsia="宋体" w:cs="宋体"/>
          <w:highlight w:val="none"/>
          <w:lang w:eastAsia="zh-CN"/>
        </w:rPr>
        <w:t xml:space="preserve"> 日内支付；如有质量问题，质量保证金予以扣除。</w:t>
      </w:r>
    </w:p>
    <w:p w14:paraId="6853518C">
      <w:pPr>
        <w:pStyle w:val="10"/>
        <w:numPr>
          <w:ilvl w:val="255"/>
          <w:numId w:val="0"/>
        </w:numPr>
        <w:spacing w:line="360" w:lineRule="auto"/>
        <w:rPr>
          <w:b/>
        </w:rPr>
      </w:pPr>
      <w:r>
        <w:rPr>
          <w:rFonts w:hint="eastAsia"/>
          <w:b/>
          <w:lang w:val="en-US" w:eastAsia="zh-CN"/>
        </w:rPr>
        <w:t>4</w:t>
      </w:r>
      <w:r>
        <w:rPr>
          <w:rFonts w:hint="eastAsia"/>
          <w:b/>
        </w:rPr>
        <w:t>、其他</w:t>
      </w:r>
    </w:p>
    <w:p w14:paraId="0AB3E8A6">
      <w:pPr>
        <w:pStyle w:val="10"/>
        <w:spacing w:line="360" w:lineRule="auto"/>
        <w:ind w:firstLine="420" w:firstLineChars="200"/>
      </w:pPr>
      <w:r>
        <w:rPr>
          <w:rFonts w:hint="eastAsia"/>
        </w:rPr>
        <w:t>投标人须认可招标人由于招标人上级集团公司政策变化引起的随时终止合同的要求。</w:t>
      </w:r>
    </w:p>
    <w:p w14:paraId="436C4E5D">
      <w:pPr>
        <w:pStyle w:val="10"/>
        <w:numPr>
          <w:ilvl w:val="255"/>
          <w:numId w:val="0"/>
        </w:numPr>
        <w:spacing w:line="360" w:lineRule="auto"/>
        <w:rPr>
          <w:rFonts w:ascii="黑体" w:eastAsia="黑体"/>
          <w:b/>
          <w:bCs/>
          <w:sz w:val="28"/>
        </w:rPr>
      </w:pPr>
      <w:r>
        <w:rPr>
          <w:rFonts w:hint="eastAsia" w:ascii="黑体" w:eastAsia="黑体"/>
          <w:b/>
          <w:bCs/>
          <w:sz w:val="28"/>
        </w:rPr>
        <w:t>七、开标、评标</w:t>
      </w:r>
    </w:p>
    <w:p w14:paraId="45F9A433">
      <w:pPr>
        <w:pStyle w:val="10"/>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298D285C">
      <w:pPr>
        <w:pStyle w:val="10"/>
        <w:spacing w:line="360" w:lineRule="auto"/>
        <w:ind w:firstLine="420" w:firstLineChars="200"/>
        <w:rPr>
          <w:highlight w:val="none"/>
        </w:rPr>
      </w:pPr>
      <w:r>
        <w:rPr>
          <w:rFonts w:hint="eastAsia"/>
          <w:lang w:eastAsia="zh-CN"/>
        </w:rPr>
        <w:t>（</w:t>
      </w:r>
      <w:r>
        <w:rPr>
          <w:rFonts w:hint="eastAsia"/>
          <w:lang w:val="en-US" w:eastAsia="zh-CN"/>
        </w:rPr>
        <w:t>1</w:t>
      </w:r>
      <w:r>
        <w:rPr>
          <w:rFonts w:hint="eastAsia"/>
          <w:lang w:eastAsia="zh-CN"/>
        </w:rPr>
        <w:t>）</w:t>
      </w:r>
      <w:r>
        <w:rPr>
          <w:rFonts w:hint="eastAsia"/>
          <w:lang w:val="en-US" w:eastAsia="zh-CN"/>
        </w:rPr>
        <w:t>投标人在邮箱内进行报价，</w:t>
      </w:r>
      <w:r>
        <w:rPr>
          <w:rFonts w:hint="eastAsia"/>
          <w:lang w:eastAsia="zh-CN"/>
        </w:rPr>
        <w:t>招标人组织公司相关部门</w:t>
      </w:r>
      <w:r>
        <w:rPr>
          <w:rFonts w:hint="eastAsia"/>
          <w:lang w:val="en-US" w:eastAsia="zh-CN"/>
        </w:rPr>
        <w:t>共同开标进行报价汇总，确定中标乙方。</w:t>
      </w:r>
    </w:p>
    <w:p w14:paraId="7AEA8F17">
      <w:pPr>
        <w:pStyle w:val="10"/>
        <w:spacing w:line="360" w:lineRule="auto"/>
        <w:ind w:firstLine="420" w:firstLineChars="200"/>
        <w:rPr>
          <w:rFonts w:hint="eastAsia" w:ascii="宋体" w:eastAsia="宋体" w:cs="Times New Roman"/>
          <w:szCs w:val="22"/>
          <w:highlight w:val="none"/>
          <w:lang w:eastAsia="zh-CN"/>
        </w:rPr>
      </w:pPr>
      <w:r>
        <w:rPr>
          <w:rFonts w:hint="eastAsia" w:ascii="宋体" w:eastAsia="宋体" w:cs="Times New Roman"/>
          <w:szCs w:val="22"/>
          <w:highlight w:val="none"/>
          <w:lang w:val="en-US" w:eastAsia="zh-CN"/>
        </w:rPr>
        <w:t>（2）</w:t>
      </w:r>
      <w:r>
        <w:rPr>
          <w:rFonts w:hint="eastAsia" w:ascii="宋体" w:eastAsia="宋体" w:cs="Times New Roman"/>
          <w:szCs w:val="22"/>
          <w:highlight w:val="none"/>
          <w:lang w:eastAsia="zh-CN"/>
        </w:rPr>
        <w:t>所有报价货币单位均为：元（人民币，含税）。</w:t>
      </w:r>
    </w:p>
    <w:p w14:paraId="201839FB">
      <w:pPr>
        <w:pStyle w:val="10"/>
        <w:spacing w:line="360" w:lineRule="auto"/>
        <w:ind w:firstLine="420" w:firstLineChars="200"/>
        <w:rPr>
          <w:rFonts w:hint="eastAsia" w:ascii="宋体" w:eastAsia="宋体" w:cs="Times New Roman"/>
          <w:szCs w:val="22"/>
          <w:lang w:val="en-US" w:eastAsia="zh-CN"/>
        </w:rPr>
      </w:pPr>
      <w:r>
        <w:rPr>
          <w:rFonts w:hint="eastAsia" w:ascii="宋体" w:eastAsia="宋体" w:cs="Times New Roman"/>
          <w:szCs w:val="22"/>
          <w:lang w:val="en-US" w:eastAsia="zh-CN"/>
        </w:rPr>
        <w:t>（3）质量保证期为12个月。</w:t>
      </w:r>
    </w:p>
    <w:p w14:paraId="7171EFEA">
      <w:pPr>
        <w:pStyle w:val="10"/>
        <w:spacing w:line="360" w:lineRule="auto"/>
        <w:ind w:firstLine="420" w:firstLineChars="200"/>
        <w:rPr>
          <w:rFonts w:hint="default" w:ascii="宋体" w:eastAsia="宋体" w:cs="Times New Roman"/>
          <w:szCs w:val="22"/>
          <w:lang w:val="en-US" w:eastAsia="zh-CN"/>
        </w:rPr>
      </w:pPr>
      <w:r>
        <w:rPr>
          <w:rFonts w:hint="eastAsia" w:cs="Times New Roman"/>
          <w:szCs w:val="22"/>
          <w:lang w:val="en-US" w:eastAsia="zh-CN"/>
        </w:rPr>
        <w:t>（4）开标价为第一轮报价，每轮淘汰最高报价，合理低价中标。</w:t>
      </w:r>
    </w:p>
    <w:p w14:paraId="7CB77523">
      <w:pPr>
        <w:pStyle w:val="10"/>
        <w:spacing w:line="360" w:lineRule="auto"/>
        <w:rPr>
          <w:rFonts w:ascii="黑体" w:eastAsia="黑体"/>
          <w:b/>
          <w:bCs/>
          <w:sz w:val="28"/>
        </w:rPr>
      </w:pPr>
      <w:r>
        <w:rPr>
          <w:rFonts w:hint="eastAsia" w:ascii="黑体" w:eastAsia="黑体"/>
          <w:b/>
          <w:bCs/>
          <w:sz w:val="28"/>
        </w:rPr>
        <w:t>八、合同签订</w:t>
      </w:r>
    </w:p>
    <w:p w14:paraId="3A5D95DE">
      <w:pPr>
        <w:pStyle w:val="10"/>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2066943E">
      <w:pPr>
        <w:pStyle w:val="10"/>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65E6F970">
      <w:pPr>
        <w:pStyle w:val="10"/>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42DC66D3">
      <w:pPr>
        <w:pStyle w:val="10"/>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1A1CCE74">
      <w:pPr>
        <w:pStyle w:val="10"/>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6329223E">
      <w:pPr>
        <w:pStyle w:val="10"/>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274DD8C5">
      <w:pPr>
        <w:pStyle w:val="10"/>
        <w:spacing w:line="360" w:lineRule="auto"/>
        <w:ind w:firstLine="420" w:firstLineChars="200"/>
        <w:rPr>
          <w:szCs w:val="21"/>
        </w:rPr>
      </w:pPr>
      <w:r>
        <w:rPr>
          <w:rFonts w:hint="eastAsia"/>
        </w:rPr>
        <w:t>7.中标人须认可招标人由于招标人上级集团公司政策变化引起的随时终止项目的要求。</w:t>
      </w:r>
    </w:p>
    <w:p w14:paraId="15E107EE">
      <w:pPr>
        <w:pStyle w:val="10"/>
        <w:spacing w:line="360" w:lineRule="auto"/>
        <w:rPr>
          <w:rFonts w:ascii="黑体" w:eastAsia="黑体"/>
          <w:b/>
          <w:bCs/>
          <w:sz w:val="28"/>
        </w:rPr>
      </w:pPr>
      <w:r>
        <w:rPr>
          <w:rFonts w:hint="eastAsia" w:ascii="黑体" w:eastAsia="黑体"/>
          <w:b/>
          <w:bCs/>
          <w:sz w:val="28"/>
        </w:rPr>
        <w:t>九、废标及终止招标</w:t>
      </w:r>
    </w:p>
    <w:p w14:paraId="0559EDB8">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AB911F3">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430A2C7F">
      <w:pPr>
        <w:spacing w:line="520" w:lineRule="exact"/>
        <w:ind w:right="2" w:firstLine="420" w:firstLineChars="200"/>
        <w:rPr>
          <w:rFonts w:ascii="宋体"/>
        </w:rPr>
      </w:pPr>
      <w:r>
        <w:rPr>
          <w:rFonts w:hint="eastAsia" w:ascii="宋体"/>
        </w:rPr>
        <w:t>⑵投标人在报价有效期内撤回投标；</w:t>
      </w:r>
    </w:p>
    <w:p w14:paraId="45485D7D">
      <w:pPr>
        <w:spacing w:line="520" w:lineRule="exact"/>
        <w:ind w:right="2" w:firstLine="420" w:firstLineChars="200"/>
        <w:rPr>
          <w:rFonts w:ascii="宋体"/>
        </w:rPr>
      </w:pPr>
      <w:r>
        <w:rPr>
          <w:rFonts w:hint="eastAsia" w:ascii="宋体"/>
        </w:rPr>
        <w:t>⑶在整个评标过程中，投标人有企图影响评标结果公正性的任何活动；</w:t>
      </w:r>
    </w:p>
    <w:p w14:paraId="76A32103">
      <w:pPr>
        <w:spacing w:line="520" w:lineRule="exact"/>
        <w:ind w:right="2" w:firstLine="420" w:firstLineChars="200"/>
        <w:rPr>
          <w:rFonts w:ascii="宋体"/>
        </w:rPr>
      </w:pPr>
      <w:r>
        <w:rPr>
          <w:rFonts w:hint="eastAsia" w:ascii="宋体"/>
        </w:rPr>
        <w:t>⑷投标人以任何方式诋毁其他投标人；</w:t>
      </w:r>
    </w:p>
    <w:p w14:paraId="598FEE25">
      <w:pPr>
        <w:spacing w:line="520" w:lineRule="exact"/>
        <w:ind w:right="2" w:firstLine="420" w:firstLineChars="200"/>
        <w:rPr>
          <w:rFonts w:ascii="宋体"/>
        </w:rPr>
      </w:pPr>
      <w:r>
        <w:rPr>
          <w:rFonts w:hint="eastAsia" w:ascii="宋体"/>
        </w:rPr>
        <w:t>⑸投标人串通投标；</w:t>
      </w:r>
    </w:p>
    <w:p w14:paraId="602A5EB9">
      <w:pPr>
        <w:spacing w:line="520" w:lineRule="exact"/>
        <w:ind w:right="2" w:firstLine="420" w:firstLineChars="200"/>
        <w:rPr>
          <w:rFonts w:ascii="宋体"/>
        </w:rPr>
      </w:pPr>
      <w:r>
        <w:rPr>
          <w:rFonts w:hint="eastAsia" w:ascii="宋体"/>
        </w:rPr>
        <w:t>⑹以他人名义投标或者以其他方式弄虚作假，骗取中标的；</w:t>
      </w:r>
    </w:p>
    <w:p w14:paraId="5145E58C">
      <w:pPr>
        <w:spacing w:line="520" w:lineRule="exact"/>
        <w:ind w:right="2" w:firstLine="420" w:firstLineChars="200"/>
        <w:rPr>
          <w:rFonts w:ascii="宋体"/>
        </w:rPr>
      </w:pPr>
      <w:r>
        <w:rPr>
          <w:rFonts w:hint="eastAsia" w:ascii="宋体"/>
        </w:rPr>
        <w:t>⑺中标人不按规定签订合同；</w:t>
      </w:r>
    </w:p>
    <w:p w14:paraId="32E92A2D">
      <w:pPr>
        <w:spacing w:line="520" w:lineRule="exact"/>
        <w:ind w:right="2" w:firstLine="420" w:firstLineChars="200"/>
        <w:rPr>
          <w:rFonts w:ascii="宋体"/>
        </w:rPr>
      </w:pPr>
      <w:r>
        <w:rPr>
          <w:rFonts w:hint="eastAsia" w:ascii="宋体"/>
        </w:rPr>
        <w:t>⑻法律、法规规定的其他情况。</w:t>
      </w:r>
    </w:p>
    <w:p w14:paraId="1A883214">
      <w:pPr>
        <w:spacing w:line="520" w:lineRule="exact"/>
        <w:ind w:right="2" w:firstLine="420" w:firstLineChars="200"/>
        <w:rPr>
          <w:rFonts w:ascii="宋体"/>
        </w:rPr>
      </w:pPr>
      <w:r>
        <w:rPr>
          <w:rFonts w:hint="eastAsia" w:ascii="宋体"/>
        </w:rPr>
        <w:t>2.出现下列情形之一，招标人有权否决所有投标人的投标，并终止招标。</w:t>
      </w:r>
    </w:p>
    <w:p w14:paraId="5837CA6B">
      <w:pPr>
        <w:spacing w:line="520" w:lineRule="exact"/>
        <w:ind w:right="2" w:firstLine="420" w:firstLineChars="200"/>
        <w:rPr>
          <w:rFonts w:ascii="宋体"/>
        </w:rPr>
      </w:pPr>
      <w:r>
        <w:rPr>
          <w:rFonts w:hint="eastAsia" w:ascii="宋体"/>
        </w:rPr>
        <w:t>⑴出现影响采购公正的违法、违规行为的。</w:t>
      </w:r>
    </w:p>
    <w:p w14:paraId="4F806113">
      <w:pPr>
        <w:spacing w:line="520" w:lineRule="exact"/>
        <w:ind w:right="2" w:firstLine="420" w:firstLineChars="200"/>
        <w:rPr>
          <w:rFonts w:ascii="宋体"/>
        </w:rPr>
      </w:pPr>
      <w:r>
        <w:rPr>
          <w:rFonts w:hint="eastAsia" w:ascii="宋体"/>
        </w:rPr>
        <w:t>⑵因重大变故，采购任务取消的。</w:t>
      </w:r>
    </w:p>
    <w:p w14:paraId="06AA9A43">
      <w:pPr>
        <w:spacing w:line="520" w:lineRule="exact"/>
        <w:ind w:right="2" w:firstLine="420" w:firstLineChars="200"/>
        <w:rPr>
          <w:rFonts w:ascii="宋体"/>
        </w:rPr>
      </w:pPr>
      <w:r>
        <w:rPr>
          <w:rFonts w:hint="eastAsia" w:ascii="宋体"/>
        </w:rPr>
        <w:t>⑶招标人认为其他应终止招标的情形。</w:t>
      </w:r>
    </w:p>
    <w:p w14:paraId="57BC591F">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035A90F4">
      <w:pPr>
        <w:pStyle w:val="10"/>
        <w:spacing w:line="360" w:lineRule="auto"/>
        <w:rPr>
          <w:rFonts w:ascii="黑体" w:eastAsia="黑体"/>
          <w:b/>
          <w:bCs/>
          <w:sz w:val="28"/>
        </w:rPr>
      </w:pPr>
      <w:r>
        <w:rPr>
          <w:rFonts w:hint="eastAsia" w:ascii="黑体" w:eastAsia="黑体"/>
          <w:b/>
          <w:bCs/>
          <w:sz w:val="28"/>
        </w:rPr>
        <w:t>十、中标人瑕疵滞后发现的处理原则</w:t>
      </w:r>
    </w:p>
    <w:p w14:paraId="547342C9">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6361803B">
      <w:pPr>
        <w:pStyle w:val="10"/>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5682FE22">
      <w:pPr>
        <w:pStyle w:val="10"/>
        <w:numPr>
          <w:ilvl w:val="0"/>
          <w:numId w:val="4"/>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0E0D843D">
      <w:pPr>
        <w:pStyle w:val="10"/>
        <w:numPr>
          <w:ilvl w:val="0"/>
          <w:numId w:val="4"/>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14:paraId="3CBBE8CE">
      <w:pPr>
        <w:rPr>
          <w:rFonts w:eastAsia="黑体"/>
          <w:color w:val="00B050"/>
          <w:sz w:val="36"/>
          <w:szCs w:val="36"/>
        </w:rPr>
      </w:pPr>
    </w:p>
    <w:bookmarkEnd w:id="1"/>
    <w:p w14:paraId="36426703">
      <w:pPr>
        <w:rPr>
          <w:rFonts w:eastAsia="黑体"/>
          <w:color w:val="00B050"/>
          <w:sz w:val="36"/>
          <w:szCs w:val="36"/>
        </w:rPr>
      </w:pPr>
    </w:p>
    <w:p w14:paraId="2F9F4450">
      <w:pPr>
        <w:rPr>
          <w:rFonts w:eastAsia="黑体"/>
          <w:color w:val="00B050"/>
          <w:sz w:val="36"/>
          <w:szCs w:val="36"/>
        </w:rPr>
      </w:pPr>
    </w:p>
    <w:p w14:paraId="107F35F2">
      <w:pPr>
        <w:rPr>
          <w:rFonts w:eastAsia="黑体"/>
          <w:color w:val="00B050"/>
          <w:sz w:val="36"/>
          <w:szCs w:val="36"/>
        </w:rPr>
      </w:pPr>
    </w:p>
    <w:p w14:paraId="7155E442">
      <w:pPr>
        <w:rPr>
          <w:rFonts w:eastAsia="黑体"/>
          <w:color w:val="00B050"/>
          <w:sz w:val="36"/>
          <w:szCs w:val="36"/>
        </w:rPr>
      </w:pPr>
    </w:p>
    <w:p w14:paraId="59C6BC6A">
      <w:pPr>
        <w:rPr>
          <w:rFonts w:eastAsia="黑体"/>
          <w:color w:val="00B050"/>
          <w:sz w:val="36"/>
          <w:szCs w:val="36"/>
        </w:rPr>
      </w:pPr>
    </w:p>
    <w:p w14:paraId="22939AA2">
      <w:pPr>
        <w:rPr>
          <w:rFonts w:eastAsia="黑体"/>
          <w:color w:val="00B050"/>
          <w:sz w:val="36"/>
          <w:szCs w:val="36"/>
        </w:rPr>
      </w:pPr>
    </w:p>
    <w:p w14:paraId="5B3F5531">
      <w:pPr>
        <w:pStyle w:val="2"/>
        <w:rPr>
          <w:rFonts w:eastAsia="黑体"/>
          <w:color w:val="00B050"/>
          <w:sz w:val="36"/>
          <w:szCs w:val="36"/>
        </w:rPr>
      </w:pPr>
    </w:p>
    <w:p w14:paraId="3ED6F4E4">
      <w:pPr>
        <w:pStyle w:val="10"/>
        <w:spacing w:line="360" w:lineRule="auto"/>
        <w:jc w:val="both"/>
        <w:rPr>
          <w:rFonts w:hint="eastAsia" w:ascii="黑体" w:eastAsia="黑体"/>
          <w:b/>
          <w:bCs/>
          <w:sz w:val="36"/>
          <w:szCs w:val="36"/>
        </w:rPr>
      </w:pPr>
    </w:p>
    <w:p w14:paraId="7BE354DC">
      <w:pPr>
        <w:pStyle w:val="10"/>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14:paraId="675FA908">
      <w:pPr>
        <w:spacing w:before="120" w:beforeLines="50" w:after="120" w:afterLines="50"/>
        <w:outlineLvl w:val="0"/>
        <w:rPr>
          <w:rFonts w:hint="eastAsia"/>
          <w:b/>
          <w:sz w:val="28"/>
        </w:rPr>
      </w:pPr>
      <w:r>
        <w:rPr>
          <w:rFonts w:hint="eastAsia"/>
          <w:b/>
          <w:sz w:val="28"/>
        </w:rPr>
        <w:t>一、项目内容</w:t>
      </w:r>
    </w:p>
    <w:p w14:paraId="53AB138F">
      <w:pPr>
        <w:pStyle w:val="2"/>
        <w:numPr>
          <w:ilvl w:val="0"/>
          <w:numId w:val="0"/>
        </w:numPr>
        <w:rPr>
          <w:rFonts w:hint="default" w:ascii="宋体"/>
          <w:sz w:val="24"/>
          <w:lang w:val="en-US"/>
        </w:rPr>
      </w:pPr>
      <w:r>
        <w:rPr>
          <w:rFonts w:hint="eastAsia" w:ascii="宋体" w:hAnsi="宋体"/>
          <w:sz w:val="24"/>
        </w:rPr>
        <w:t>1、</w:t>
      </w:r>
      <w:r>
        <w:rPr>
          <w:rFonts w:hint="eastAsia" w:ascii="宋体" w:hAnsi="Times New Roman" w:eastAsia="宋体" w:cs="Times New Roman"/>
          <w:kern w:val="2"/>
          <w:sz w:val="21"/>
          <w:szCs w:val="22"/>
          <w:lang w:val="en-US" w:eastAsia="zh-CN" w:bidi="ar-SA"/>
        </w:rPr>
        <w:t>制作工件编号为CFB2180C010012（附工件图）冲床落料模一套，具体规格以现场实际测量为准，材质为Dc53或者优于Dc53,硬度不低于5</w:t>
      </w:r>
      <w:r>
        <w:rPr>
          <w:rFonts w:hint="eastAsia" w:ascii="宋体" w:hAnsi="Times New Roman" w:cs="Times New Roman"/>
          <w:kern w:val="2"/>
          <w:sz w:val="21"/>
          <w:szCs w:val="22"/>
          <w:lang w:val="en-US" w:eastAsia="zh-CN" w:bidi="ar-SA"/>
        </w:rPr>
        <w:t>5</w:t>
      </w:r>
      <w:r>
        <w:rPr>
          <w:rFonts w:hint="eastAsia" w:ascii="宋体" w:hAnsi="Times New Roman" w:eastAsia="宋体" w:cs="Times New Roman"/>
          <w:kern w:val="2"/>
          <w:sz w:val="21"/>
          <w:szCs w:val="22"/>
          <w:lang w:val="en-US" w:eastAsia="zh-CN" w:bidi="ar-SA"/>
        </w:rPr>
        <w:t>HRC，</w:t>
      </w:r>
      <w:r>
        <w:rPr>
          <w:rFonts w:hint="eastAsia" w:ascii="宋体" w:hAnsi="Times New Roman" w:eastAsia="宋体" w:cs="Times New Roman"/>
          <w:color w:val="auto"/>
          <w:kern w:val="2"/>
          <w:sz w:val="21"/>
          <w:szCs w:val="22"/>
          <w:lang w:val="en-US" w:eastAsia="zh-CN" w:bidi="ar-SA"/>
        </w:rPr>
        <w:t>滚珠材质为Cr12Mov，滚珠硬度不低于60HRC。</w:t>
      </w:r>
    </w:p>
    <w:p w14:paraId="428695CB">
      <w:pPr>
        <w:pStyle w:val="2"/>
        <w:rPr>
          <w:rFonts w:hint="eastAsia"/>
          <w:lang w:val="en-US" w:eastAsia="zh-CN"/>
        </w:rPr>
      </w:pPr>
      <w:r>
        <w:rPr>
          <w:rFonts w:hint="eastAsia"/>
        </w:rPr>
        <w:t xml:space="preserve">           </w:t>
      </w:r>
      <w:r>
        <w:rPr>
          <w:rFonts w:hint="eastAsia"/>
          <w:lang w:val="en-US" w:eastAsia="zh-CN"/>
        </w:rPr>
        <w:t xml:space="preserve"> </w:t>
      </w:r>
    </w:p>
    <w:p w14:paraId="009C8E4B">
      <w:pPr>
        <w:pStyle w:val="2"/>
        <w:numPr>
          <w:ilvl w:val="0"/>
          <w:numId w:val="0"/>
        </w:numPr>
        <w:ind w:leftChars="0"/>
        <w:jc w:val="center"/>
      </w:pPr>
      <w:r>
        <w:drawing>
          <wp:inline distT="0" distB="0" distL="114300" distR="114300">
            <wp:extent cx="3571875" cy="5619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571875" cy="5619750"/>
                    </a:xfrm>
                    <a:prstGeom prst="rect">
                      <a:avLst/>
                    </a:prstGeom>
                    <a:noFill/>
                    <a:ln>
                      <a:noFill/>
                    </a:ln>
                  </pic:spPr>
                </pic:pic>
              </a:graphicData>
            </a:graphic>
          </wp:inline>
        </w:drawing>
      </w:r>
    </w:p>
    <w:p w14:paraId="4CCA2315">
      <w:pPr>
        <w:pStyle w:val="2"/>
        <w:numPr>
          <w:ilvl w:val="0"/>
          <w:numId w:val="0"/>
        </w:numPr>
        <w:rPr>
          <w:rFonts w:hint="default" w:ascii="宋体"/>
          <w:sz w:val="24"/>
          <w:lang w:val="en-US"/>
        </w:rPr>
      </w:pPr>
      <w:r>
        <w:rPr>
          <w:rFonts w:hint="eastAsia" w:hAnsi="宋体"/>
          <w:sz w:val="24"/>
          <w:lang w:val="en-US" w:eastAsia="zh-CN"/>
        </w:rPr>
        <w:t>2、</w:t>
      </w:r>
      <w:r>
        <w:rPr>
          <w:rFonts w:hint="eastAsia" w:ascii="宋体" w:hAnsi="Times New Roman" w:eastAsia="宋体" w:cs="Times New Roman"/>
          <w:kern w:val="2"/>
          <w:sz w:val="21"/>
          <w:szCs w:val="22"/>
          <w:lang w:val="en-US" w:eastAsia="zh-CN" w:bidi="ar-SA"/>
        </w:rPr>
        <w:t>制作工件编号为25FDE01500015（附工件图）冲床落料模一套，具体规格以现场实际测量为准，材质为Cr12MoV或同等及以上材质的合金钢,硬度不低于5</w:t>
      </w:r>
      <w:r>
        <w:rPr>
          <w:rFonts w:hint="eastAsia" w:ascii="宋体" w:hAnsi="Times New Roman" w:cs="Times New Roman"/>
          <w:kern w:val="2"/>
          <w:sz w:val="21"/>
          <w:szCs w:val="22"/>
          <w:lang w:val="en-US" w:eastAsia="zh-CN" w:bidi="ar-SA"/>
        </w:rPr>
        <w:t>5</w:t>
      </w:r>
      <w:r>
        <w:rPr>
          <w:rFonts w:hint="eastAsia" w:ascii="宋体" w:hAnsi="Times New Roman" w:eastAsia="宋体" w:cs="Times New Roman"/>
          <w:kern w:val="2"/>
          <w:sz w:val="21"/>
          <w:szCs w:val="22"/>
          <w:lang w:val="en-US" w:eastAsia="zh-CN" w:bidi="ar-SA"/>
        </w:rPr>
        <w:t>HRC，</w:t>
      </w:r>
      <w:r>
        <w:rPr>
          <w:rFonts w:hint="eastAsia" w:ascii="宋体" w:hAnsi="Times New Roman" w:eastAsia="宋体" w:cs="Times New Roman"/>
          <w:color w:val="auto"/>
          <w:kern w:val="2"/>
          <w:sz w:val="21"/>
          <w:szCs w:val="22"/>
          <w:lang w:val="en-US" w:eastAsia="zh-CN" w:bidi="ar-SA"/>
        </w:rPr>
        <w:t>滚珠材质为Cr12Mov，滚珠硬度不低于60HRC。</w:t>
      </w:r>
    </w:p>
    <w:p w14:paraId="53003BC8">
      <w:pPr>
        <w:pStyle w:val="2"/>
        <w:numPr>
          <w:ilvl w:val="0"/>
          <w:numId w:val="0"/>
        </w:numPr>
        <w:ind w:leftChars="0"/>
        <w:jc w:val="center"/>
      </w:pPr>
      <w:r>
        <w:drawing>
          <wp:inline distT="0" distB="0" distL="114300" distR="114300">
            <wp:extent cx="3667125" cy="3276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67125" cy="3276600"/>
                    </a:xfrm>
                    <a:prstGeom prst="rect">
                      <a:avLst/>
                    </a:prstGeom>
                    <a:noFill/>
                    <a:ln>
                      <a:noFill/>
                    </a:ln>
                  </pic:spPr>
                </pic:pic>
              </a:graphicData>
            </a:graphic>
          </wp:inline>
        </w:drawing>
      </w:r>
    </w:p>
    <w:p w14:paraId="1A79065B">
      <w:pPr>
        <w:pStyle w:val="2"/>
        <w:jc w:val="center"/>
        <w:rPr>
          <w:rFonts w:hint="eastAsia"/>
          <w:lang w:val="en-US" w:eastAsia="zh-CN"/>
        </w:rPr>
      </w:pPr>
    </w:p>
    <w:p w14:paraId="61155E34">
      <w:pPr>
        <w:pStyle w:val="2"/>
        <w:numPr>
          <w:ilvl w:val="0"/>
          <w:numId w:val="0"/>
        </w:numPr>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3、制作工件编号为31FGFA0510026（附工件图）冲床落料模一套，具体规格以现场实际测量为准，</w:t>
      </w:r>
      <w:r>
        <w:rPr>
          <w:rFonts w:hint="eastAsia" w:ascii="宋体" w:hAnsi="Times New Roman" w:eastAsia="宋体" w:cs="Times New Roman"/>
          <w:kern w:val="2"/>
          <w:sz w:val="21"/>
          <w:szCs w:val="22"/>
          <w:lang w:val="en-US" w:eastAsia="zh-CN" w:bidi="ar-SA"/>
        </w:rPr>
        <w:t>材质为Dc53或者优于Dc53的合金钢</w:t>
      </w:r>
      <w:r>
        <w:rPr>
          <w:rFonts w:hint="eastAsia" w:ascii="宋体" w:hAnsi="Times New Roman" w:eastAsia="宋体" w:cs="Times New Roman"/>
          <w:color w:val="auto"/>
          <w:kern w:val="2"/>
          <w:sz w:val="21"/>
          <w:szCs w:val="22"/>
          <w:lang w:val="en-US" w:eastAsia="zh-CN" w:bidi="ar-SA"/>
        </w:rPr>
        <w:t>,硬度不低于55HRC，滚珠材质为Cr12Mov，滚珠硬度不低于60HRC。</w:t>
      </w:r>
    </w:p>
    <w:p w14:paraId="68A3A28C">
      <w:pPr>
        <w:pStyle w:val="2"/>
        <w:numPr>
          <w:ilvl w:val="0"/>
          <w:numId w:val="0"/>
        </w:numPr>
        <w:jc w:val="center"/>
        <w:rPr>
          <w:rFonts w:hint="eastAsia" w:ascii="宋体"/>
          <w:sz w:val="24"/>
          <w:lang w:val="en-US" w:eastAsia="zh-CN"/>
        </w:rPr>
      </w:pPr>
      <w:r>
        <w:drawing>
          <wp:inline distT="0" distB="0" distL="114300" distR="114300">
            <wp:extent cx="3362325" cy="23431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3362325" cy="2343150"/>
                    </a:xfrm>
                    <a:prstGeom prst="rect">
                      <a:avLst/>
                    </a:prstGeom>
                    <a:noFill/>
                    <a:ln>
                      <a:noFill/>
                    </a:ln>
                  </pic:spPr>
                </pic:pic>
              </a:graphicData>
            </a:graphic>
          </wp:inline>
        </w:drawing>
      </w:r>
    </w:p>
    <w:p w14:paraId="5BC3F5E6">
      <w:pPr>
        <w:pStyle w:val="2"/>
        <w:numPr>
          <w:ilvl w:val="0"/>
          <w:numId w:val="0"/>
        </w:numPr>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4、制作工件编号为CFB1350010016（附工件图）冲床落料模一套，具体规格以现场实际测量为准，材质为Cr12MoV或同等及以上材质的合金钢,硬度不低于55HRC，滚珠材质为Cr12Mov，滚珠硬度不低于60HRC。</w:t>
      </w:r>
    </w:p>
    <w:p w14:paraId="2FFE9B7A">
      <w:pPr>
        <w:pStyle w:val="2"/>
        <w:numPr>
          <w:ilvl w:val="0"/>
          <w:numId w:val="0"/>
        </w:numPr>
        <w:ind w:leftChars="0"/>
        <w:jc w:val="center"/>
        <w:rPr>
          <w:rFonts w:hint="eastAsia" w:ascii="宋体"/>
          <w:sz w:val="24"/>
          <w:lang w:val="en-US" w:eastAsia="zh-CN"/>
        </w:rPr>
      </w:pPr>
      <w:r>
        <w:drawing>
          <wp:inline distT="0" distB="0" distL="114300" distR="114300">
            <wp:extent cx="3344545" cy="2120900"/>
            <wp:effectExtent l="0" t="0" r="8255" b="1270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3344545" cy="2120900"/>
                    </a:xfrm>
                    <a:prstGeom prst="rect">
                      <a:avLst/>
                    </a:prstGeom>
                    <a:noFill/>
                    <a:ln>
                      <a:noFill/>
                    </a:ln>
                  </pic:spPr>
                </pic:pic>
              </a:graphicData>
            </a:graphic>
          </wp:inline>
        </w:drawing>
      </w:r>
    </w:p>
    <w:p w14:paraId="663A99A5">
      <w:pPr>
        <w:pStyle w:val="2"/>
        <w:numPr>
          <w:ilvl w:val="0"/>
          <w:numId w:val="0"/>
        </w:numPr>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5、模具整体热处理，淬硬层深度不小于3mm，</w:t>
      </w:r>
      <w:r>
        <w:rPr>
          <w:rFonts w:hint="eastAsia" w:ascii="宋体" w:hAnsi="Times New Roman" w:eastAsia="宋体" w:cs="Times New Roman"/>
          <w:color w:val="auto"/>
          <w:kern w:val="2"/>
          <w:sz w:val="21"/>
          <w:szCs w:val="22"/>
          <w:lang w:val="en-US" w:eastAsia="zh-TW" w:bidi="ar-SA"/>
        </w:rPr>
        <w:t>粗糙度不</w:t>
      </w:r>
      <w:r>
        <w:rPr>
          <w:rFonts w:hint="eastAsia" w:ascii="宋体" w:hAnsi="Times New Roman" w:eastAsia="宋体" w:cs="Times New Roman"/>
          <w:color w:val="auto"/>
          <w:kern w:val="2"/>
          <w:sz w:val="21"/>
          <w:szCs w:val="22"/>
          <w:lang w:val="en-US" w:eastAsia="zh-CN" w:bidi="ar-SA"/>
        </w:rPr>
        <w:t>大于0.8um。</w:t>
      </w:r>
    </w:p>
    <w:p w14:paraId="43DBD18E">
      <w:pPr>
        <w:spacing w:before="120" w:beforeLines="50" w:after="120" w:afterLines="50"/>
        <w:outlineLvl w:val="0"/>
        <w:rPr>
          <w:rFonts w:hint="eastAsia"/>
          <w:b/>
          <w:sz w:val="28"/>
        </w:rPr>
      </w:pPr>
      <w:r>
        <w:rPr>
          <w:rFonts w:hint="eastAsia"/>
          <w:b/>
          <w:sz w:val="28"/>
        </w:rPr>
        <w:t>二、技术要求</w:t>
      </w:r>
    </w:p>
    <w:p w14:paraId="2F271576">
      <w:pPr>
        <w:spacing w:line="440" w:lineRule="exact"/>
        <w:ind w:firstLine="420" w:firstLineChars="200"/>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1、 乙方需根据下料工件进行现场测量确认，并出具正式设计图纸。图纸经双方技术确认签字后方可制作。实施过程中若有方案调整等情况，乙方需出具正式书面文件，经甲方同意后方可实施。</w:t>
      </w:r>
    </w:p>
    <w:p w14:paraId="3BFC1755">
      <w:pPr>
        <w:spacing w:line="440" w:lineRule="exact"/>
        <w:ind w:firstLine="420" w:firstLineChars="200"/>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2、乙方负责模具运输、装卸，运输过程应具备防护措施，保证模具无磕碰、无变形。运输、装卸过程中造成模具损伤，由乙方负责。模具所有表面在发货运送前应做润滑防护措施，防止表面氧化。</w:t>
      </w:r>
    </w:p>
    <w:p w14:paraId="1574A202">
      <w:pPr>
        <w:spacing w:line="440" w:lineRule="exact"/>
        <w:ind w:firstLine="420" w:firstLineChars="200"/>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3、发货前乙方需提模具供材质报告，热处理、精度、尺寸、硬度等检测报告。货物到达现场后，双方对模具技术参数检验核实。（若检验不合格，由乙方免费更换，并以合同总款的 10%/件 进行处罚）。</w:t>
      </w:r>
    </w:p>
    <w:p w14:paraId="2A671B03">
      <w:pPr>
        <w:pStyle w:val="64"/>
        <w:numPr>
          <w:ilvl w:val="0"/>
          <w:numId w:val="0"/>
        </w:numPr>
        <w:spacing w:line="494" w:lineRule="exact"/>
        <w:ind w:firstLine="420" w:firstLineChars="200"/>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4、新模具不应有麻点、锈迹、磕碰、划痕。模具使用中本体及槽口无划痕、无裂纹、无变形；</w:t>
      </w:r>
      <w:r>
        <w:rPr>
          <w:rFonts w:hint="eastAsia" w:ascii="宋体" w:hAnsi="宋体" w:eastAsia="宋体" w:cs="Times New Roman"/>
          <w:kern w:val="2"/>
          <w:sz w:val="24"/>
          <w:szCs w:val="24"/>
          <w:lang w:val="en-US" w:eastAsia="zh-CN" w:bidi="ar-SA"/>
        </w:rPr>
        <w:t>无质量缺陷</w:t>
      </w:r>
      <w:r>
        <w:rPr>
          <w:rFonts w:hint="eastAsia" w:cs="Times New Roman"/>
          <w:kern w:val="2"/>
          <w:sz w:val="24"/>
          <w:szCs w:val="24"/>
          <w:lang w:val="en-US" w:eastAsia="zh-CN" w:bidi="ar-SA"/>
        </w:rPr>
        <w:t>，</w:t>
      </w:r>
      <w:r>
        <w:rPr>
          <w:rFonts w:hint="eastAsia" w:ascii="宋体" w:hAnsi="Times New Roman" w:eastAsia="宋体" w:cs="Times New Roman"/>
          <w:color w:val="auto"/>
          <w:kern w:val="2"/>
          <w:sz w:val="21"/>
          <w:szCs w:val="22"/>
          <w:lang w:val="en-US" w:eastAsia="zh-CN" w:bidi="ar-SA"/>
        </w:rPr>
        <w:t>模具直线度为0.05mm/m,全长直线度不大于0.2mm。</w:t>
      </w:r>
    </w:p>
    <w:p w14:paraId="7D0E4D83">
      <w:pPr>
        <w:spacing w:line="440" w:lineRule="exact"/>
        <w:ind w:firstLine="420" w:firstLineChars="200"/>
        <w:rPr>
          <w:rFonts w:hint="eastAsia" w:ascii="宋体" w:hAnsi="Times New Roman" w:eastAsia="宋体" w:cs="Times New Roman"/>
          <w:color w:val="auto"/>
          <w:kern w:val="2"/>
          <w:sz w:val="21"/>
          <w:szCs w:val="22"/>
          <w:lang w:val="en-US" w:eastAsia="zh-CN" w:bidi="ar-SA"/>
        </w:rPr>
      </w:pPr>
      <w:r>
        <w:rPr>
          <w:rFonts w:hint="eastAsia" w:ascii="宋体" w:hAnsi="Times New Roman" w:eastAsia="宋体" w:cs="Times New Roman"/>
          <w:color w:val="auto"/>
          <w:kern w:val="2"/>
          <w:sz w:val="21"/>
          <w:szCs w:val="22"/>
          <w:lang w:val="en-US" w:eastAsia="zh-CN" w:bidi="ar-SA"/>
        </w:rPr>
        <w:t>5、乙方需提供模具全套设计图纸，纸质版和电子版各1份，其他相关事宜按国家相关行业标准实施。</w:t>
      </w:r>
    </w:p>
    <w:p w14:paraId="701C3484">
      <w:pPr>
        <w:spacing w:before="120" w:beforeLines="50" w:after="120" w:afterLines="50"/>
        <w:outlineLvl w:val="0"/>
        <w:rPr>
          <w:rFonts w:hint="eastAsia" w:ascii="Calibri" w:hAnsi="Calibri"/>
          <w:color w:val="000000"/>
          <w:sz w:val="24"/>
          <w:szCs w:val="22"/>
        </w:rPr>
      </w:pPr>
      <w:r>
        <w:rPr>
          <w:rFonts w:hint="eastAsia"/>
          <w:b/>
          <w:sz w:val="28"/>
        </w:rPr>
        <w:t>三、总体要求</w:t>
      </w:r>
    </w:p>
    <w:p w14:paraId="362CE1D1">
      <w:pPr>
        <w:adjustRightInd w:val="0"/>
        <w:snapToGrid w:val="0"/>
        <w:spacing w:line="360" w:lineRule="auto"/>
        <w:ind w:firstLine="482" w:firstLineChars="200"/>
        <w:rPr>
          <w:rFonts w:hint="eastAsia" w:ascii="宋体" w:hAnsi="宋体" w:eastAsia="宋体" w:cs="宋体"/>
          <w:b/>
          <w:bCs/>
          <w:color w:val="000000"/>
          <w:sz w:val="24"/>
          <w:szCs w:val="22"/>
        </w:rPr>
      </w:pPr>
      <w:r>
        <w:rPr>
          <w:rFonts w:hint="eastAsia" w:ascii="宋体" w:hAnsi="宋体" w:eastAsia="宋体" w:cs="宋体"/>
          <w:b/>
          <w:bCs/>
          <w:color w:val="000000"/>
          <w:sz w:val="24"/>
          <w:szCs w:val="22"/>
        </w:rPr>
        <w:t>项目工作内容包括但不限于以下部分，</w:t>
      </w:r>
      <w:r>
        <w:rPr>
          <w:rFonts w:hint="eastAsia" w:ascii="宋体" w:hAnsi="宋体" w:eastAsia="宋体" w:cs="宋体"/>
          <w:b/>
          <w:bCs/>
          <w:color w:val="000000"/>
          <w:sz w:val="24"/>
          <w:szCs w:val="22"/>
          <w:lang w:eastAsia="zh-CN"/>
        </w:rPr>
        <w:t>乙方</w:t>
      </w:r>
      <w:r>
        <w:rPr>
          <w:rFonts w:hint="eastAsia" w:ascii="宋体" w:hAnsi="宋体" w:eastAsia="宋体" w:cs="宋体"/>
          <w:b/>
          <w:bCs/>
          <w:color w:val="000000"/>
          <w:sz w:val="24"/>
          <w:szCs w:val="22"/>
        </w:rPr>
        <w:t>对项目的完整性负责：</w:t>
      </w:r>
    </w:p>
    <w:p w14:paraId="1E828B78">
      <w:pPr>
        <w:keepNext/>
        <w:keepLines/>
        <w:adjustRightInd w:val="0"/>
        <w:snapToGrid w:val="0"/>
        <w:spacing w:line="360" w:lineRule="auto"/>
        <w:outlineLvl w:val="3"/>
        <w:rPr>
          <w:rFonts w:hint="eastAsia" w:ascii="宋体" w:hAnsi="宋体" w:eastAsia="宋体" w:cs="宋体"/>
          <w:b/>
          <w:bCs/>
          <w:color w:val="000000"/>
          <w:sz w:val="24"/>
          <w:szCs w:val="28"/>
        </w:rPr>
      </w:pPr>
      <w:r>
        <w:rPr>
          <w:rFonts w:hint="eastAsia" w:ascii="宋体" w:hAnsi="宋体" w:eastAsia="宋体" w:cs="宋体"/>
          <w:b/>
          <w:bCs/>
          <w:color w:val="000000"/>
          <w:sz w:val="24"/>
          <w:szCs w:val="28"/>
        </w:rPr>
        <w:t>1、工艺方案的详细设计</w:t>
      </w:r>
    </w:p>
    <w:p w14:paraId="7BFBD5F0">
      <w:pPr>
        <w:adjustRightInd w:val="0"/>
        <w:snapToGrid w:val="0"/>
        <w:spacing w:line="360" w:lineRule="auto"/>
        <w:ind w:firstLine="480" w:firstLineChars="200"/>
        <w:rPr>
          <w:rFonts w:ascii="NKGHNB+Arial" w:eastAsia="NKGHNB+Arial" w:cs="NKGHNB+Arial"/>
          <w:color w:val="000000"/>
          <w:kern w:val="0"/>
        </w:rPr>
      </w:pPr>
      <w:r>
        <w:rPr>
          <w:rFonts w:hint="eastAsia" w:ascii="Calibri" w:hAnsi="Calibri"/>
          <w:color w:val="000000"/>
          <w:sz w:val="24"/>
          <w:szCs w:val="22"/>
        </w:rPr>
        <w:t>模</w:t>
      </w:r>
      <w:r>
        <w:rPr>
          <w:rFonts w:hint="eastAsia"/>
          <w:color w:val="000000"/>
          <w:sz w:val="24"/>
          <w:szCs w:val="22"/>
          <w:lang w:val="en-US" w:eastAsia="zh-CN"/>
        </w:rPr>
        <w:t>具</w:t>
      </w:r>
      <w:r>
        <w:rPr>
          <w:rFonts w:hint="eastAsia" w:ascii="Calibri" w:hAnsi="Calibri"/>
          <w:color w:val="000000"/>
          <w:sz w:val="24"/>
          <w:szCs w:val="22"/>
        </w:rPr>
        <w:t>的设计、供货、制造、运输、安装、调试及项目管理；</w:t>
      </w:r>
    </w:p>
    <w:p w14:paraId="70360643">
      <w:pPr>
        <w:keepNext/>
        <w:keepLines/>
        <w:adjustRightInd w:val="0"/>
        <w:snapToGrid w:val="0"/>
        <w:spacing w:line="360" w:lineRule="auto"/>
        <w:outlineLvl w:val="3"/>
        <w:rPr>
          <w:rFonts w:hint="eastAsia" w:ascii="宋体" w:hAnsi="宋体" w:eastAsia="宋体" w:cs="宋体"/>
          <w:b/>
          <w:bCs/>
          <w:color w:val="000000"/>
          <w:sz w:val="24"/>
          <w:szCs w:val="28"/>
        </w:rPr>
      </w:pPr>
      <w:r>
        <w:rPr>
          <w:rFonts w:hint="eastAsia" w:ascii="宋体" w:hAnsi="宋体" w:eastAsia="宋体" w:cs="宋体"/>
          <w:bCs/>
          <w:color w:val="000000"/>
          <w:sz w:val="24"/>
          <w:szCs w:val="28"/>
        </w:rPr>
        <w:t>2、</w:t>
      </w:r>
      <w:r>
        <w:rPr>
          <w:rFonts w:hint="eastAsia" w:ascii="宋体" w:hAnsi="宋体" w:eastAsia="宋体" w:cs="宋体"/>
          <w:b/>
          <w:bCs/>
          <w:color w:val="000000"/>
          <w:sz w:val="24"/>
          <w:szCs w:val="28"/>
        </w:rPr>
        <w:t>运输服务</w:t>
      </w:r>
    </w:p>
    <w:p w14:paraId="5F78358E">
      <w:pPr>
        <w:adjustRightInd w:val="0"/>
        <w:snapToGrid w:val="0"/>
        <w:spacing w:line="360" w:lineRule="auto"/>
        <w:ind w:firstLine="480" w:firstLineChars="200"/>
        <w:rPr>
          <w:rFonts w:ascii="Calibri" w:hAnsi="Calibri"/>
          <w:color w:val="000000"/>
          <w:sz w:val="24"/>
          <w:szCs w:val="22"/>
        </w:rPr>
      </w:pPr>
      <w:r>
        <w:rPr>
          <w:rFonts w:hint="eastAsia"/>
          <w:color w:val="000000"/>
          <w:sz w:val="24"/>
          <w:szCs w:val="22"/>
          <w:lang w:eastAsia="zh-CN"/>
        </w:rPr>
        <w:t>乙方</w:t>
      </w:r>
      <w:r>
        <w:rPr>
          <w:rFonts w:hint="eastAsia" w:ascii="Calibri" w:hAnsi="Calibri"/>
          <w:color w:val="000000"/>
          <w:sz w:val="24"/>
          <w:szCs w:val="22"/>
        </w:rPr>
        <w:t>应负责将设备运到目的地，并必须做到设备（或材料）在任何运输过程中不受损坏和遗失。</w:t>
      </w:r>
    </w:p>
    <w:p w14:paraId="0348DDDD">
      <w:pPr>
        <w:keepNext/>
        <w:keepLines/>
        <w:adjustRightInd w:val="0"/>
        <w:snapToGrid w:val="0"/>
        <w:spacing w:line="360" w:lineRule="auto"/>
        <w:outlineLvl w:val="3"/>
        <w:rPr>
          <w:rFonts w:hint="eastAsia" w:ascii="宋体" w:hAnsi="宋体" w:eastAsia="宋体" w:cs="宋体"/>
          <w:b/>
          <w:bCs/>
          <w:color w:val="000000"/>
          <w:sz w:val="24"/>
          <w:szCs w:val="28"/>
        </w:rPr>
      </w:pPr>
      <w:r>
        <w:rPr>
          <w:rFonts w:hint="eastAsia" w:ascii="宋体" w:hAnsi="宋体" w:eastAsia="宋体" w:cs="宋体"/>
          <w:bCs/>
          <w:color w:val="000000"/>
          <w:sz w:val="24"/>
          <w:szCs w:val="28"/>
        </w:rPr>
        <w:t>3、</w:t>
      </w:r>
      <w:r>
        <w:rPr>
          <w:rFonts w:hint="eastAsia" w:ascii="宋体" w:hAnsi="宋体" w:eastAsia="宋体" w:cs="宋体"/>
          <w:b/>
          <w:bCs/>
          <w:color w:val="000000"/>
          <w:sz w:val="24"/>
          <w:szCs w:val="28"/>
        </w:rPr>
        <w:t>工期及安全</w:t>
      </w:r>
    </w:p>
    <w:p w14:paraId="5693C484">
      <w:pPr>
        <w:spacing w:line="440" w:lineRule="exact"/>
        <w:ind w:firstLine="480" w:firstLineChars="200"/>
        <w:rPr>
          <w:rFonts w:hint="eastAsia" w:ascii="宋体" w:hAnsi="宋体"/>
          <w:sz w:val="24"/>
        </w:rPr>
      </w:pPr>
      <w:r>
        <w:rPr>
          <w:rFonts w:hint="eastAsia" w:ascii="Calibri" w:hAnsi="Calibri"/>
          <w:color w:val="000000"/>
          <w:sz w:val="24"/>
          <w:szCs w:val="22"/>
        </w:rPr>
        <w:t>3.1、</w:t>
      </w:r>
      <w:r>
        <w:rPr>
          <w:rFonts w:hint="eastAsia" w:ascii="宋体" w:hAnsi="宋体"/>
          <w:bCs/>
          <w:sz w:val="24"/>
        </w:rPr>
        <w:t>合同</w:t>
      </w:r>
      <w:r>
        <w:rPr>
          <w:rFonts w:hint="eastAsia" w:ascii="宋体" w:hAnsi="宋体" w:eastAsia="宋体"/>
          <w:bCs/>
          <w:sz w:val="24"/>
        </w:rPr>
        <w:t>生效后</w:t>
      </w:r>
      <w:r>
        <w:rPr>
          <w:rFonts w:hint="eastAsia" w:ascii="宋体" w:hAnsi="宋体"/>
          <w:bCs/>
          <w:sz w:val="24"/>
          <w:lang w:val="en-US" w:eastAsia="zh-CN"/>
        </w:rPr>
        <w:t>30</w:t>
      </w:r>
      <w:r>
        <w:rPr>
          <w:rFonts w:hint="eastAsia" w:ascii="宋体" w:hAnsi="宋体" w:eastAsia="宋体"/>
          <w:bCs/>
          <w:sz w:val="24"/>
        </w:rPr>
        <w:t>天内到</w:t>
      </w:r>
      <w:r>
        <w:rPr>
          <w:rFonts w:hint="eastAsia" w:ascii="宋体" w:hAnsi="宋体"/>
          <w:bCs/>
          <w:sz w:val="24"/>
        </w:rPr>
        <w:t>货,模具安装完成后，需</w:t>
      </w:r>
      <w:r>
        <w:rPr>
          <w:rFonts w:hint="eastAsia" w:ascii="宋体" w:hAnsi="宋体"/>
          <w:sz w:val="24"/>
        </w:rPr>
        <w:t>现场验证模具3天,要求模具验证阶段乙方现场全程跟踪处理相关问题。</w:t>
      </w:r>
    </w:p>
    <w:p w14:paraId="12770F44">
      <w:pPr>
        <w:spacing w:line="440" w:lineRule="exact"/>
        <w:ind w:firstLine="468" w:firstLineChars="195"/>
        <w:rPr>
          <w:rFonts w:ascii="Calibri" w:hAnsi="Calibri"/>
          <w:color w:val="000000"/>
        </w:rPr>
      </w:pPr>
      <w:r>
        <w:rPr>
          <w:rFonts w:hint="eastAsia" w:ascii="宋体" w:hAnsi="宋体"/>
          <w:bCs/>
          <w:sz w:val="24"/>
        </w:rPr>
        <w:t>3.2乙方在甲方现场施工期间，必须遵守甲方的现场及安全方面管理规定，并做好自身安全工作，若出现安全责任事故，乙方承担全部责任。</w:t>
      </w:r>
    </w:p>
    <w:p w14:paraId="451F8719">
      <w:pPr>
        <w:keepNext/>
        <w:keepLines/>
        <w:adjustRightInd w:val="0"/>
        <w:snapToGrid w:val="0"/>
        <w:spacing w:line="360" w:lineRule="auto"/>
        <w:outlineLvl w:val="3"/>
        <w:rPr>
          <w:rFonts w:hint="eastAsia" w:ascii="宋体" w:hAnsi="宋体" w:eastAsia="宋体" w:cs="宋体"/>
          <w:b/>
          <w:bCs/>
          <w:color w:val="000000"/>
          <w:sz w:val="24"/>
          <w:szCs w:val="28"/>
        </w:rPr>
      </w:pPr>
      <w:r>
        <w:rPr>
          <w:rFonts w:hint="eastAsia" w:ascii="宋体" w:hAnsi="宋体" w:eastAsia="宋体" w:cs="宋体"/>
          <w:bCs/>
          <w:color w:val="000000"/>
          <w:sz w:val="24"/>
          <w:szCs w:val="28"/>
        </w:rPr>
        <w:t>4、</w:t>
      </w:r>
      <w:r>
        <w:rPr>
          <w:rFonts w:hint="eastAsia" w:ascii="宋体" w:hAnsi="宋体" w:eastAsia="宋体" w:cs="宋体"/>
          <w:b/>
          <w:bCs/>
          <w:color w:val="000000"/>
          <w:sz w:val="24"/>
          <w:szCs w:val="28"/>
        </w:rPr>
        <w:t>项目验收</w:t>
      </w:r>
    </w:p>
    <w:p w14:paraId="5DB4964B">
      <w:pPr>
        <w:adjustRightInd w:val="0"/>
        <w:snapToGrid w:val="0"/>
        <w:spacing w:line="360" w:lineRule="auto"/>
        <w:rPr>
          <w:rFonts w:ascii="Calibri" w:hAnsi="Calibri"/>
          <w:color w:val="000000"/>
          <w:sz w:val="24"/>
          <w:szCs w:val="22"/>
        </w:rPr>
      </w:pPr>
      <w:r>
        <w:rPr>
          <w:rFonts w:hint="eastAsia" w:ascii="Calibri" w:hAnsi="Calibri"/>
          <w:color w:val="000000"/>
          <w:sz w:val="24"/>
          <w:szCs w:val="22"/>
        </w:rPr>
        <w:t>设备验收依据：双方签订的技术协议、双方会签的图纸、安全规范和标准、防火规范和标准、环保规范和标准、设备采用材质合格证明及分析报告。</w:t>
      </w:r>
    </w:p>
    <w:p w14:paraId="438C12F0">
      <w:pPr>
        <w:adjustRightInd w:val="0"/>
        <w:snapToGrid w:val="0"/>
        <w:spacing w:line="360" w:lineRule="auto"/>
        <w:rPr>
          <w:rFonts w:ascii="Calibri" w:hAnsi="Calibri" w:cs="宋体"/>
          <w:color w:val="000000"/>
          <w:kern w:val="0"/>
          <w:sz w:val="24"/>
          <w:szCs w:val="22"/>
        </w:rPr>
      </w:pPr>
      <w:r>
        <w:rPr>
          <w:rFonts w:hint="eastAsia" w:ascii="Calibri" w:hAnsi="Calibri"/>
          <w:color w:val="000000"/>
          <w:sz w:val="24"/>
          <w:szCs w:val="22"/>
        </w:rPr>
        <w:t>设备验收内容</w:t>
      </w:r>
    </w:p>
    <w:tbl>
      <w:tblPr>
        <w:tblStyle w:val="20"/>
        <w:tblW w:w="508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653"/>
        <w:gridCol w:w="3852"/>
        <w:gridCol w:w="4321"/>
      </w:tblGrid>
      <w:tr w14:paraId="599728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5" w:hRule="atLeast"/>
          <w:tblHeader/>
          <w:jc w:val="center"/>
        </w:trPr>
        <w:tc>
          <w:tcPr>
            <w:tcW w:w="324" w:type="pct"/>
            <w:noWrap w:val="0"/>
            <w:vAlign w:val="center"/>
          </w:tcPr>
          <w:p w14:paraId="68CA17B6">
            <w:pPr>
              <w:tabs>
                <w:tab w:val="left" w:pos="840"/>
              </w:tabs>
              <w:adjustRightInd w:val="0"/>
              <w:snapToGrid w:val="0"/>
              <w:spacing w:before="100" w:beforeAutospacing="1" w:after="100" w:afterAutospacing="1"/>
              <w:jc w:val="center"/>
              <w:rPr>
                <w:rFonts w:ascii="宋体" w:hAnsi="宋体" w:cs="Arial"/>
                <w:color w:val="000000"/>
                <w:sz w:val="24"/>
              </w:rPr>
            </w:pPr>
            <w:r>
              <w:rPr>
                <w:rFonts w:hint="eastAsia" w:ascii="宋体" w:hAnsi="宋体" w:cs="Arial"/>
                <w:color w:val="000000"/>
                <w:sz w:val="24"/>
              </w:rPr>
              <w:t>序号</w:t>
            </w:r>
          </w:p>
        </w:tc>
        <w:tc>
          <w:tcPr>
            <w:tcW w:w="346" w:type="pct"/>
            <w:noWrap w:val="0"/>
            <w:vAlign w:val="center"/>
          </w:tcPr>
          <w:p w14:paraId="112C21FD">
            <w:pPr>
              <w:tabs>
                <w:tab w:val="left" w:pos="840"/>
              </w:tabs>
              <w:adjustRightInd w:val="0"/>
              <w:snapToGrid w:val="0"/>
              <w:spacing w:before="100" w:beforeAutospacing="1" w:after="100" w:afterAutospacing="1"/>
              <w:jc w:val="center"/>
              <w:rPr>
                <w:rFonts w:ascii="宋体" w:hAnsi="宋体" w:cs="Arial"/>
                <w:color w:val="000000"/>
                <w:sz w:val="24"/>
              </w:rPr>
            </w:pPr>
            <w:r>
              <w:rPr>
                <w:rFonts w:hint="eastAsia" w:ascii="宋体" w:hAnsi="宋体" w:cs="Arial"/>
                <w:color w:val="000000"/>
                <w:sz w:val="24"/>
              </w:rPr>
              <w:t>验收阶段</w:t>
            </w:r>
          </w:p>
        </w:tc>
        <w:tc>
          <w:tcPr>
            <w:tcW w:w="2040" w:type="pct"/>
            <w:noWrap w:val="0"/>
            <w:vAlign w:val="center"/>
          </w:tcPr>
          <w:p w14:paraId="14D7BFAC">
            <w:pPr>
              <w:tabs>
                <w:tab w:val="left" w:pos="840"/>
              </w:tabs>
              <w:adjustRightInd w:val="0"/>
              <w:snapToGrid w:val="0"/>
              <w:spacing w:before="100" w:beforeAutospacing="1" w:after="100" w:afterAutospacing="1"/>
              <w:jc w:val="center"/>
              <w:rPr>
                <w:rFonts w:ascii="宋体" w:hAnsi="宋体" w:cs="Arial"/>
                <w:color w:val="000000"/>
                <w:sz w:val="24"/>
              </w:rPr>
            </w:pPr>
            <w:r>
              <w:rPr>
                <w:rFonts w:hint="eastAsia" w:ascii="宋体" w:hAnsi="宋体" w:cs="Arial"/>
                <w:color w:val="000000"/>
                <w:sz w:val="24"/>
              </w:rPr>
              <w:t>内容</w:t>
            </w:r>
          </w:p>
        </w:tc>
        <w:tc>
          <w:tcPr>
            <w:tcW w:w="2288" w:type="pct"/>
            <w:noWrap w:val="0"/>
            <w:vAlign w:val="center"/>
          </w:tcPr>
          <w:p w14:paraId="5EF31B68">
            <w:pPr>
              <w:tabs>
                <w:tab w:val="left" w:pos="840"/>
              </w:tabs>
              <w:adjustRightInd w:val="0"/>
              <w:snapToGrid w:val="0"/>
              <w:spacing w:before="100" w:beforeAutospacing="1" w:after="100" w:afterAutospacing="1"/>
              <w:jc w:val="center"/>
              <w:rPr>
                <w:rFonts w:ascii="宋体" w:hAnsi="宋体" w:cs="Arial"/>
                <w:color w:val="000000"/>
                <w:sz w:val="24"/>
              </w:rPr>
            </w:pPr>
            <w:r>
              <w:rPr>
                <w:rFonts w:hint="eastAsia" w:ascii="宋体" w:hAnsi="宋体" w:cs="Arial"/>
                <w:color w:val="000000"/>
                <w:sz w:val="24"/>
              </w:rPr>
              <w:t>验收标准及依据</w:t>
            </w:r>
          </w:p>
        </w:tc>
      </w:tr>
      <w:tr w14:paraId="070C4B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324" w:type="pct"/>
            <w:noWrap w:val="0"/>
            <w:vAlign w:val="center"/>
          </w:tcPr>
          <w:p w14:paraId="671E8CAC">
            <w:pPr>
              <w:tabs>
                <w:tab w:val="left" w:pos="840"/>
              </w:tabs>
              <w:adjustRightInd w:val="0"/>
              <w:snapToGrid w:val="0"/>
              <w:spacing w:before="100" w:beforeAutospacing="1" w:after="100" w:afterAutospacing="1"/>
              <w:jc w:val="center"/>
              <w:rPr>
                <w:rFonts w:hint="eastAsia" w:ascii="宋体" w:hAnsi="宋体" w:cs="Arial"/>
                <w:color w:val="000000"/>
                <w:sz w:val="24"/>
              </w:rPr>
            </w:pPr>
            <w:r>
              <w:rPr>
                <w:rFonts w:hint="eastAsia" w:ascii="宋体" w:hAnsi="宋体" w:cs="Arial"/>
                <w:color w:val="000000"/>
                <w:sz w:val="24"/>
              </w:rPr>
              <w:t>1</w:t>
            </w:r>
          </w:p>
        </w:tc>
        <w:tc>
          <w:tcPr>
            <w:tcW w:w="346" w:type="pct"/>
            <w:noWrap w:val="0"/>
            <w:vAlign w:val="center"/>
          </w:tcPr>
          <w:p w14:paraId="2060F28B">
            <w:pPr>
              <w:tabs>
                <w:tab w:val="left" w:pos="840"/>
              </w:tabs>
              <w:adjustRightInd w:val="0"/>
              <w:snapToGrid w:val="0"/>
              <w:spacing w:before="100" w:beforeAutospacing="1" w:after="100" w:afterAutospacing="1"/>
              <w:jc w:val="center"/>
              <w:rPr>
                <w:rFonts w:ascii="宋体" w:hAnsi="宋体" w:cs="Arial"/>
                <w:color w:val="000000"/>
                <w:sz w:val="24"/>
              </w:rPr>
            </w:pPr>
            <w:r>
              <w:rPr>
                <w:rFonts w:hint="eastAsia" w:ascii="宋体" w:hAnsi="宋体" w:cs="Arial"/>
                <w:color w:val="000000"/>
                <w:sz w:val="24"/>
              </w:rPr>
              <w:t>安装调试验收</w:t>
            </w:r>
          </w:p>
        </w:tc>
        <w:tc>
          <w:tcPr>
            <w:tcW w:w="2040" w:type="pct"/>
            <w:noWrap w:val="0"/>
            <w:vAlign w:val="center"/>
          </w:tcPr>
          <w:p w14:paraId="7F4BEF04">
            <w:pPr>
              <w:keepNext w:val="0"/>
              <w:keepLines w:val="0"/>
              <w:widowControl/>
              <w:numPr>
                <w:ilvl w:val="0"/>
                <w:numId w:val="0"/>
              </w:numPr>
              <w:suppressLineNumbers w:val="0"/>
              <w:spacing w:before="0" w:beforeAutospacing="1" w:after="0" w:afterAutospacing="1"/>
              <w:ind w:firstLine="480" w:firstLineChars="200"/>
              <w:jc w:val="left"/>
              <w:rPr>
                <w:rFonts w:hint="eastAsia" w:ascii="宋体" w:hAnsi="宋体" w:cs="Arial"/>
                <w:color w:val="000000"/>
                <w:sz w:val="24"/>
              </w:rPr>
            </w:pPr>
            <w:r>
              <w:rPr>
                <w:rFonts w:hint="eastAsia" w:ascii="宋体" w:cs="宋体"/>
                <w:sz w:val="24"/>
                <w:lang w:val="zh-CN"/>
              </w:rPr>
              <w:t>满足安装、调试及工艺设备参数要求，以试件的方式进行参数收集，</w:t>
            </w:r>
            <w:r>
              <w:rPr>
                <w:rFonts w:hint="eastAsia" w:ascii="宋体" w:cs="宋体"/>
                <w:sz w:val="24"/>
                <w:lang w:val="en-US" w:eastAsia="zh-CN"/>
              </w:rPr>
              <w:t>模具冲压件尺寸符合图纸要求，质量满足甲方检验标准。</w:t>
            </w:r>
            <w:r>
              <w:rPr>
                <w:rFonts w:hint="default" w:ascii="宋体" w:cs="宋体"/>
                <w:sz w:val="24"/>
                <w:lang w:val="en-US" w:eastAsia="zh-CN"/>
              </w:rPr>
              <w:t>模具连续冲压1000件无故障，冲压节拍满足甲方生产节拍要求。</w:t>
            </w:r>
          </w:p>
        </w:tc>
        <w:tc>
          <w:tcPr>
            <w:tcW w:w="2288" w:type="pct"/>
            <w:noWrap w:val="0"/>
            <w:vAlign w:val="center"/>
          </w:tcPr>
          <w:p w14:paraId="156F2594">
            <w:pPr>
              <w:tabs>
                <w:tab w:val="left" w:pos="840"/>
              </w:tabs>
              <w:adjustRightInd w:val="0"/>
              <w:snapToGrid w:val="0"/>
              <w:jc w:val="left"/>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、工程承包合同</w:t>
            </w:r>
          </w:p>
          <w:p w14:paraId="09A39246">
            <w:pPr>
              <w:tabs>
                <w:tab w:val="left" w:pos="840"/>
              </w:tabs>
              <w:adjustRightInd w:val="0"/>
              <w:snapToGrid w:val="0"/>
              <w:jc w:val="left"/>
              <w:rPr>
                <w:rFonts w:ascii="宋体" w:hAnsi="宋体" w:cs="Arial"/>
                <w:color w:val="000000"/>
                <w:sz w:val="24"/>
              </w:rPr>
            </w:pPr>
            <w:r>
              <w:rPr>
                <w:rFonts w:ascii="宋体" w:hAnsi="宋体" w:cs="Arial"/>
                <w:color w:val="000000"/>
                <w:sz w:val="24"/>
              </w:rPr>
              <w:t>2</w:t>
            </w:r>
            <w:r>
              <w:rPr>
                <w:rFonts w:hint="eastAsia" w:ascii="宋体" w:hAnsi="宋体" w:cs="Arial"/>
                <w:color w:val="000000"/>
                <w:sz w:val="24"/>
              </w:rPr>
              <w:t>、技术协议</w:t>
            </w:r>
          </w:p>
          <w:p w14:paraId="56BB978D">
            <w:pPr>
              <w:autoSpaceDE w:val="0"/>
              <w:autoSpaceDN w:val="0"/>
              <w:adjustRightInd w:val="0"/>
              <w:jc w:val="left"/>
              <w:rPr>
                <w:rFonts w:ascii="宋体"/>
                <w:color w:val="000000"/>
                <w:kern w:val="0"/>
                <w:sz w:val="24"/>
                <w:szCs w:val="24"/>
              </w:rPr>
            </w:pPr>
            <w:r>
              <w:rPr>
                <w:rFonts w:hint="eastAsia" w:ascii="宋体" w:hAnsi="宋体" w:cs="Arial"/>
                <w:color w:val="000000"/>
                <w:kern w:val="0"/>
                <w:sz w:val="24"/>
                <w:szCs w:val="24"/>
              </w:rPr>
              <w:t>3、双方共同签字验收报告。</w:t>
            </w:r>
          </w:p>
          <w:p w14:paraId="1B239E49">
            <w:pPr>
              <w:tabs>
                <w:tab w:val="left" w:pos="840"/>
              </w:tabs>
              <w:adjustRightInd w:val="0"/>
              <w:snapToGrid w:val="0"/>
              <w:jc w:val="left"/>
              <w:rPr>
                <w:rFonts w:ascii="宋体" w:hAnsi="宋体" w:cs="Arial"/>
                <w:color w:val="000000"/>
                <w:sz w:val="24"/>
              </w:rPr>
            </w:pPr>
            <w:r>
              <w:rPr>
                <w:rFonts w:hint="eastAsia" w:ascii="宋体" w:hAnsi="宋体" w:cs="Arial"/>
                <w:color w:val="000000"/>
                <w:sz w:val="24"/>
              </w:rPr>
              <w:t>4、国家的相关法规。</w:t>
            </w:r>
          </w:p>
        </w:tc>
      </w:tr>
      <w:tr w14:paraId="1C3D58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324" w:type="pct"/>
            <w:noWrap w:val="0"/>
            <w:vAlign w:val="center"/>
          </w:tcPr>
          <w:p w14:paraId="3416A59C">
            <w:pPr>
              <w:tabs>
                <w:tab w:val="left" w:pos="840"/>
              </w:tabs>
              <w:adjustRightInd w:val="0"/>
              <w:snapToGrid w:val="0"/>
              <w:spacing w:before="100" w:beforeAutospacing="1" w:after="100" w:afterAutospacing="1"/>
              <w:jc w:val="center"/>
              <w:rPr>
                <w:rFonts w:hint="eastAsia" w:ascii="宋体" w:hAnsi="宋体" w:cs="Arial"/>
                <w:color w:val="000000"/>
                <w:sz w:val="24"/>
              </w:rPr>
            </w:pPr>
            <w:r>
              <w:rPr>
                <w:rFonts w:hint="eastAsia" w:ascii="宋体" w:hAnsi="宋体" w:cs="Arial"/>
                <w:color w:val="000000"/>
                <w:sz w:val="24"/>
              </w:rPr>
              <w:t>2</w:t>
            </w:r>
          </w:p>
        </w:tc>
        <w:tc>
          <w:tcPr>
            <w:tcW w:w="346" w:type="pct"/>
            <w:noWrap w:val="0"/>
            <w:vAlign w:val="center"/>
          </w:tcPr>
          <w:p w14:paraId="71D0F167">
            <w:pPr>
              <w:tabs>
                <w:tab w:val="left" w:pos="840"/>
              </w:tabs>
              <w:adjustRightInd w:val="0"/>
              <w:snapToGrid w:val="0"/>
              <w:spacing w:before="100" w:beforeAutospacing="1" w:after="100" w:afterAutospacing="1"/>
              <w:jc w:val="center"/>
              <w:rPr>
                <w:rFonts w:ascii="宋体" w:hAnsi="宋体" w:cs="Arial"/>
                <w:color w:val="000000"/>
                <w:sz w:val="24"/>
              </w:rPr>
            </w:pPr>
            <w:r>
              <w:rPr>
                <w:rFonts w:hint="eastAsia" w:ascii="宋体" w:hAnsi="宋体" w:cs="Arial"/>
                <w:color w:val="000000"/>
                <w:sz w:val="24"/>
              </w:rPr>
              <w:t>最终验收</w:t>
            </w:r>
          </w:p>
        </w:tc>
        <w:tc>
          <w:tcPr>
            <w:tcW w:w="2040" w:type="pct"/>
            <w:noWrap w:val="0"/>
            <w:vAlign w:val="center"/>
          </w:tcPr>
          <w:p w14:paraId="7963F259">
            <w:pPr>
              <w:spacing w:line="440" w:lineRule="exact"/>
              <w:ind w:firstLine="480" w:firstLineChars="200"/>
              <w:rPr>
                <w:rFonts w:hint="eastAsia" w:ascii="宋体" w:hAnsi="宋体"/>
                <w:sz w:val="24"/>
              </w:rPr>
            </w:pPr>
            <w:r>
              <w:rPr>
                <w:rFonts w:hint="eastAsia" w:ascii="宋体" w:cs="宋体"/>
                <w:sz w:val="24"/>
                <w:lang w:val="zh-CN"/>
              </w:rPr>
              <w:t>模具安装完后，试运行</w:t>
            </w:r>
            <w:r>
              <w:rPr>
                <w:rFonts w:hint="eastAsia" w:ascii="宋体" w:cs="宋体"/>
                <w:sz w:val="24"/>
              </w:rPr>
              <w:t>7</w:t>
            </w:r>
            <w:r>
              <w:rPr>
                <w:rFonts w:hint="eastAsia" w:ascii="宋体" w:cs="宋体"/>
                <w:sz w:val="24"/>
                <w:lang w:val="zh-CN"/>
              </w:rPr>
              <w:t>天,双方依据技术要求进行验收，验收合格后，进入质保期。</w:t>
            </w:r>
          </w:p>
          <w:p w14:paraId="12A14534">
            <w:pPr>
              <w:tabs>
                <w:tab w:val="left" w:pos="840"/>
              </w:tabs>
              <w:adjustRightInd w:val="0"/>
              <w:snapToGrid w:val="0"/>
              <w:rPr>
                <w:rFonts w:ascii="宋体" w:hAnsi="宋体" w:cs="Arial"/>
                <w:color w:val="000000"/>
                <w:sz w:val="24"/>
              </w:rPr>
            </w:pPr>
          </w:p>
        </w:tc>
        <w:tc>
          <w:tcPr>
            <w:tcW w:w="2288" w:type="pct"/>
            <w:noWrap w:val="0"/>
            <w:vAlign w:val="center"/>
          </w:tcPr>
          <w:p w14:paraId="005004BC">
            <w:pPr>
              <w:tabs>
                <w:tab w:val="left" w:pos="840"/>
              </w:tabs>
              <w:adjustRightInd w:val="0"/>
              <w:snapToGrid w:val="0"/>
              <w:jc w:val="left"/>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、工程承包合同</w:t>
            </w:r>
          </w:p>
          <w:p w14:paraId="4A67C067">
            <w:pPr>
              <w:tabs>
                <w:tab w:val="left" w:pos="840"/>
              </w:tabs>
              <w:adjustRightInd w:val="0"/>
              <w:snapToGrid w:val="0"/>
              <w:jc w:val="left"/>
              <w:rPr>
                <w:rFonts w:ascii="宋体" w:hAnsi="宋体" w:cs="Arial"/>
                <w:color w:val="000000"/>
                <w:sz w:val="24"/>
              </w:rPr>
            </w:pPr>
            <w:r>
              <w:rPr>
                <w:rFonts w:ascii="宋体" w:hAnsi="宋体" w:cs="Arial"/>
                <w:color w:val="000000"/>
                <w:sz w:val="24"/>
              </w:rPr>
              <w:t>2</w:t>
            </w:r>
            <w:r>
              <w:rPr>
                <w:rFonts w:hint="eastAsia" w:ascii="宋体" w:hAnsi="宋体" w:cs="Arial"/>
                <w:color w:val="000000"/>
                <w:sz w:val="24"/>
              </w:rPr>
              <w:t>、技术协议</w:t>
            </w:r>
          </w:p>
          <w:p w14:paraId="0AF36E70">
            <w:pPr>
              <w:tabs>
                <w:tab w:val="left" w:pos="840"/>
              </w:tabs>
              <w:adjustRightInd w:val="0"/>
              <w:snapToGrid w:val="0"/>
              <w:jc w:val="left"/>
              <w:rPr>
                <w:rFonts w:ascii="宋体" w:hAnsi="宋体" w:cs="Arial"/>
                <w:color w:val="000000"/>
                <w:sz w:val="24"/>
              </w:rPr>
            </w:pPr>
            <w:r>
              <w:rPr>
                <w:rFonts w:hint="eastAsia" w:ascii="宋体" w:hAnsi="宋体" w:cs="Arial"/>
                <w:color w:val="000000"/>
                <w:sz w:val="24"/>
              </w:rPr>
              <w:t>3、双方共同签字最终验收报告</w:t>
            </w:r>
          </w:p>
          <w:p w14:paraId="7D47047B">
            <w:pPr>
              <w:tabs>
                <w:tab w:val="left" w:pos="840"/>
              </w:tabs>
              <w:adjustRightInd w:val="0"/>
              <w:snapToGrid w:val="0"/>
              <w:jc w:val="left"/>
              <w:rPr>
                <w:rFonts w:ascii="宋体" w:hAnsi="宋体" w:cs="Arial"/>
                <w:color w:val="000000"/>
                <w:sz w:val="24"/>
              </w:rPr>
            </w:pPr>
            <w:r>
              <w:rPr>
                <w:rFonts w:ascii="宋体" w:hAnsi="宋体" w:cs="Arial"/>
                <w:color w:val="000000"/>
                <w:sz w:val="24"/>
              </w:rPr>
              <w:t>5</w:t>
            </w:r>
            <w:r>
              <w:rPr>
                <w:rFonts w:hint="eastAsia" w:ascii="宋体" w:hAnsi="宋体" w:cs="Arial"/>
                <w:color w:val="000000"/>
                <w:sz w:val="24"/>
              </w:rPr>
              <w:t>、国家的相关法规。</w:t>
            </w:r>
          </w:p>
        </w:tc>
      </w:tr>
    </w:tbl>
    <w:p w14:paraId="66D069C4">
      <w:pPr>
        <w:tabs>
          <w:tab w:val="left" w:pos="840"/>
        </w:tabs>
        <w:adjustRightInd w:val="0"/>
        <w:snapToGrid w:val="0"/>
        <w:spacing w:line="360" w:lineRule="auto"/>
        <w:rPr>
          <w:rFonts w:ascii="宋体" w:hAnsi="宋体" w:cs="Arial"/>
          <w:color w:val="000000"/>
          <w:sz w:val="24"/>
        </w:rPr>
      </w:pPr>
    </w:p>
    <w:p w14:paraId="1635C23A">
      <w:pPr>
        <w:keepNext/>
        <w:keepLines/>
        <w:adjustRightInd w:val="0"/>
        <w:snapToGrid w:val="0"/>
        <w:spacing w:line="360" w:lineRule="auto"/>
        <w:outlineLvl w:val="3"/>
        <w:rPr>
          <w:rFonts w:hint="eastAsia" w:ascii="宋体" w:hAnsi="宋体" w:eastAsia="宋体" w:cs="宋体"/>
          <w:b/>
          <w:bCs w:val="0"/>
          <w:color w:val="000000"/>
          <w:sz w:val="24"/>
          <w:szCs w:val="28"/>
        </w:rPr>
      </w:pPr>
      <w:r>
        <w:rPr>
          <w:rFonts w:hint="eastAsia" w:ascii="宋体" w:hAnsi="宋体" w:eastAsia="宋体" w:cs="宋体"/>
          <w:b/>
          <w:bCs w:val="0"/>
          <w:color w:val="000000"/>
          <w:sz w:val="24"/>
          <w:szCs w:val="28"/>
        </w:rPr>
        <w:t>5 质量担保</w:t>
      </w:r>
    </w:p>
    <w:p w14:paraId="22A9E546">
      <w:pPr>
        <w:adjustRightInd w:val="0"/>
        <w:snapToGrid w:val="0"/>
        <w:spacing w:line="360" w:lineRule="auto"/>
        <w:ind w:firstLine="480" w:firstLineChars="200"/>
        <w:rPr>
          <w:rFonts w:hint="eastAsia" w:ascii="Calibri" w:hAnsi="Calibri" w:cs="Times New Roman"/>
          <w:color w:val="000000"/>
          <w:sz w:val="24"/>
          <w:szCs w:val="22"/>
          <w:lang w:val="en-US" w:eastAsia="zh-CN"/>
        </w:rPr>
      </w:pPr>
      <w:r>
        <w:rPr>
          <w:rFonts w:hint="eastAsia" w:ascii="Calibri" w:hAnsi="Calibri"/>
          <w:color w:val="000000"/>
          <w:sz w:val="24"/>
          <w:szCs w:val="22"/>
          <w:lang w:val="en-US" w:eastAsia="zh-CN"/>
        </w:rPr>
        <w:t>5.1乙方必须提供所提供模具12个月的质量担保，</w:t>
      </w:r>
      <w:r>
        <w:rPr>
          <w:rFonts w:hint="eastAsia" w:ascii="Calibri" w:hAnsi="Calibri" w:cs="Times New Roman"/>
          <w:color w:val="000000"/>
          <w:sz w:val="24"/>
          <w:szCs w:val="22"/>
          <w:lang w:val="en-US" w:eastAsia="zh-CN"/>
        </w:rPr>
        <w:t>滚珠保证6个月内不出现划痕现象。</w:t>
      </w:r>
    </w:p>
    <w:p w14:paraId="175237A4">
      <w:pPr>
        <w:adjustRightInd w:val="0"/>
        <w:snapToGrid w:val="0"/>
        <w:spacing w:line="360" w:lineRule="auto"/>
        <w:ind w:firstLine="480" w:firstLineChars="200"/>
        <w:rPr>
          <w:rFonts w:hint="eastAsia" w:ascii="Calibri" w:hAnsi="Calibri"/>
          <w:color w:val="000000"/>
          <w:sz w:val="24"/>
          <w:szCs w:val="22"/>
          <w:lang w:val="en-US" w:eastAsia="zh-CN"/>
        </w:rPr>
      </w:pPr>
      <w:r>
        <w:rPr>
          <w:rFonts w:hint="eastAsia" w:ascii="Calibri" w:hAnsi="Calibri"/>
          <w:color w:val="000000"/>
          <w:sz w:val="24"/>
          <w:szCs w:val="22"/>
          <w:lang w:val="en-US" w:eastAsia="zh-CN"/>
        </w:rPr>
        <w:t>5.2任何没有指明的部件或设备的组件都将达到质量担保周期。</w:t>
      </w:r>
    </w:p>
    <w:p w14:paraId="226B4A57">
      <w:pPr>
        <w:adjustRightInd w:val="0"/>
        <w:snapToGrid w:val="0"/>
        <w:spacing w:line="360" w:lineRule="auto"/>
        <w:ind w:firstLine="480" w:firstLineChars="200"/>
        <w:rPr>
          <w:rFonts w:hint="eastAsia" w:ascii="Calibri" w:hAnsi="Calibri"/>
          <w:color w:val="000000"/>
          <w:sz w:val="24"/>
          <w:szCs w:val="22"/>
        </w:rPr>
      </w:pPr>
      <w:r>
        <w:rPr>
          <w:rFonts w:hint="eastAsia" w:ascii="Calibri" w:hAnsi="Calibri"/>
          <w:color w:val="000000"/>
          <w:sz w:val="24"/>
          <w:szCs w:val="22"/>
          <w:lang w:val="en-US" w:eastAsia="zh-CN"/>
        </w:rPr>
        <w:t>5.3在质量担保期内任何更换的部分将要提供从更换日开</w:t>
      </w:r>
      <w:r>
        <w:rPr>
          <w:rFonts w:hint="eastAsia" w:ascii="Calibri" w:hAnsi="Calibri"/>
          <w:color w:val="000000"/>
          <w:sz w:val="24"/>
          <w:szCs w:val="22"/>
        </w:rPr>
        <w:t>始的12个月的担保。</w:t>
      </w:r>
    </w:p>
    <w:p w14:paraId="4F436199">
      <w:pPr>
        <w:adjustRightInd w:val="0"/>
        <w:snapToGrid w:val="0"/>
        <w:spacing w:line="360" w:lineRule="auto"/>
        <w:ind w:firstLine="480" w:firstLineChars="200"/>
        <w:rPr>
          <w:rFonts w:hint="eastAsia" w:ascii="Calibri" w:hAnsi="Calibri"/>
          <w:color w:val="000000"/>
          <w:sz w:val="24"/>
          <w:szCs w:val="22"/>
          <w:lang w:val="en-US" w:eastAsia="zh-CN"/>
        </w:rPr>
      </w:pPr>
      <w:r>
        <w:rPr>
          <w:rFonts w:hint="eastAsia" w:ascii="Calibri" w:hAnsi="Calibri"/>
          <w:color w:val="000000"/>
          <w:sz w:val="24"/>
          <w:szCs w:val="22"/>
          <w:lang w:val="en-US" w:eastAsia="zh-CN"/>
        </w:rPr>
        <w:t>5.4质量担保期从设备通过终验收并投入生产开始。</w:t>
      </w:r>
    </w:p>
    <w:p w14:paraId="76D7207D">
      <w:pPr>
        <w:keepNext/>
        <w:keepLines/>
        <w:adjustRightInd w:val="0"/>
        <w:snapToGrid w:val="0"/>
        <w:spacing w:line="360" w:lineRule="auto"/>
        <w:outlineLvl w:val="3"/>
        <w:rPr>
          <w:rFonts w:hint="eastAsia" w:ascii="宋体" w:hAnsi="宋体" w:eastAsia="宋体" w:cs="宋体"/>
          <w:bCs/>
          <w:color w:val="000000"/>
          <w:sz w:val="24"/>
          <w:szCs w:val="28"/>
        </w:rPr>
      </w:pPr>
      <w:r>
        <w:rPr>
          <w:rFonts w:hint="eastAsia" w:ascii="宋体" w:hAnsi="宋体" w:eastAsia="宋体" w:cs="宋体"/>
          <w:bCs/>
          <w:color w:val="000000"/>
          <w:sz w:val="24"/>
          <w:szCs w:val="28"/>
        </w:rPr>
        <w:t>6</w:t>
      </w:r>
      <w:r>
        <w:rPr>
          <w:rFonts w:hint="eastAsia" w:ascii="宋体" w:hAnsi="宋体" w:eastAsia="宋体" w:cs="宋体"/>
          <w:b/>
          <w:color w:val="000000"/>
          <w:sz w:val="24"/>
          <w:szCs w:val="28"/>
        </w:rPr>
        <w:t>培训、售中售后服务</w:t>
      </w:r>
    </w:p>
    <w:p w14:paraId="21CE3BD1">
      <w:pPr>
        <w:adjustRightInd w:val="0"/>
        <w:snapToGrid w:val="0"/>
        <w:spacing w:line="360" w:lineRule="auto"/>
        <w:ind w:firstLine="480" w:firstLineChars="200"/>
        <w:rPr>
          <w:rFonts w:hint="eastAsia" w:ascii="Calibri" w:hAnsi="Calibri"/>
          <w:color w:val="000000"/>
          <w:sz w:val="24"/>
          <w:szCs w:val="22"/>
          <w:lang w:val="en-US" w:eastAsia="zh-CN"/>
        </w:rPr>
      </w:pPr>
      <w:r>
        <w:rPr>
          <w:rFonts w:hint="eastAsia" w:ascii="Calibri" w:hAnsi="Calibri"/>
          <w:color w:val="000000"/>
          <w:sz w:val="24"/>
          <w:szCs w:val="22"/>
          <w:lang w:val="en-US" w:eastAsia="zh-CN"/>
        </w:rPr>
        <w:t>6.1、</w:t>
      </w:r>
      <w:r>
        <w:rPr>
          <w:rFonts w:hint="eastAsia"/>
          <w:color w:val="000000"/>
          <w:sz w:val="24"/>
          <w:szCs w:val="22"/>
          <w:lang w:val="en-US" w:eastAsia="zh-CN"/>
        </w:rPr>
        <w:t>乙方</w:t>
      </w:r>
      <w:r>
        <w:rPr>
          <w:rFonts w:hint="eastAsia" w:ascii="Calibri" w:hAnsi="Calibri"/>
          <w:color w:val="000000"/>
          <w:sz w:val="24"/>
          <w:szCs w:val="22"/>
          <w:lang w:val="en-US" w:eastAsia="zh-CN"/>
        </w:rPr>
        <w:t>应免费有计划的对车间工艺技术人员、管理人员；操作工、设备管理及维护人员；管理及维护人员进行技术培训，受训人员要达到能熟练掌握各岗位的基本操作技能，具备独立操作和维修设备的能力，确保生产线正常运行。</w:t>
      </w:r>
    </w:p>
    <w:p w14:paraId="15637970">
      <w:pPr>
        <w:adjustRightInd w:val="0"/>
        <w:snapToGrid w:val="0"/>
        <w:spacing w:line="360" w:lineRule="auto"/>
        <w:ind w:firstLine="480" w:firstLineChars="200"/>
        <w:rPr>
          <w:rFonts w:hint="eastAsia" w:ascii="Calibri" w:hAnsi="Calibri"/>
          <w:color w:val="000000"/>
          <w:sz w:val="24"/>
          <w:szCs w:val="22"/>
          <w:lang w:val="en-US" w:eastAsia="zh-CN"/>
        </w:rPr>
      </w:pPr>
      <w:r>
        <w:rPr>
          <w:rFonts w:hint="eastAsia" w:ascii="Calibri" w:hAnsi="Calibri"/>
          <w:color w:val="000000"/>
          <w:sz w:val="24"/>
          <w:szCs w:val="22"/>
          <w:lang w:val="en-US" w:eastAsia="zh-CN"/>
        </w:rPr>
        <w:t>6.2、设备投入使用后保修一年，一年内正常使用出现质量问题，由</w:t>
      </w:r>
      <w:r>
        <w:rPr>
          <w:rFonts w:hint="eastAsia"/>
          <w:color w:val="000000"/>
          <w:sz w:val="24"/>
          <w:szCs w:val="22"/>
          <w:lang w:val="en-US" w:eastAsia="zh-CN"/>
        </w:rPr>
        <w:t>乙方</w:t>
      </w:r>
      <w:r>
        <w:rPr>
          <w:rFonts w:hint="eastAsia" w:ascii="Calibri" w:hAnsi="Calibri"/>
          <w:color w:val="000000"/>
          <w:sz w:val="24"/>
          <w:szCs w:val="22"/>
          <w:lang w:val="en-US" w:eastAsia="zh-CN"/>
        </w:rPr>
        <w:t>免费维修；因使用维护不当，违规操作，造成损坏，不在维修范围内。</w:t>
      </w:r>
    </w:p>
    <w:p w14:paraId="46188918">
      <w:pPr>
        <w:adjustRightInd w:val="0"/>
        <w:snapToGrid w:val="0"/>
        <w:spacing w:line="360" w:lineRule="auto"/>
        <w:ind w:firstLine="480" w:firstLineChars="200"/>
        <w:rPr>
          <w:rFonts w:hint="eastAsia" w:ascii="Calibri" w:hAnsi="Calibri"/>
          <w:color w:val="000000"/>
          <w:sz w:val="24"/>
          <w:szCs w:val="22"/>
          <w:lang w:val="en-US" w:eastAsia="zh-CN"/>
        </w:rPr>
      </w:pPr>
      <w:r>
        <w:rPr>
          <w:rFonts w:hint="eastAsia" w:ascii="Calibri" w:hAnsi="Calibri"/>
          <w:color w:val="000000"/>
          <w:sz w:val="24"/>
          <w:szCs w:val="22"/>
          <w:lang w:val="en-US" w:eastAsia="zh-CN"/>
        </w:rPr>
        <w:t>6.3、操作人员设有专人，并按操作说明进行维护保养和操作工作。</w:t>
      </w:r>
    </w:p>
    <w:p w14:paraId="033E19A9">
      <w:pPr>
        <w:widowControl/>
        <w:adjustRightInd w:val="0"/>
        <w:snapToGrid w:val="0"/>
        <w:spacing w:line="360" w:lineRule="auto"/>
        <w:jc w:val="left"/>
        <w:rPr>
          <w:rFonts w:hint="default" w:ascii="宋体" w:hAnsi="宋体"/>
          <w:snapToGrid w:val="0"/>
          <w:kern w:val="0"/>
          <w:sz w:val="20"/>
          <w:szCs w:val="20"/>
          <w:lang w:val="en-US" w:eastAsia="zh-CN"/>
        </w:rPr>
      </w:pPr>
    </w:p>
    <w:p w14:paraId="4B580804">
      <w:pPr>
        <w:pStyle w:val="10"/>
        <w:spacing w:line="360" w:lineRule="auto"/>
        <w:rPr>
          <w:rFonts w:hint="eastAsia" w:hAnsi="宋体"/>
          <w:sz w:val="24"/>
          <w:szCs w:val="28"/>
          <w:highlight w:val="none"/>
        </w:rPr>
      </w:pPr>
    </w:p>
    <w:p w14:paraId="4656F9FF">
      <w:pPr>
        <w:pStyle w:val="10"/>
        <w:spacing w:line="360" w:lineRule="auto"/>
        <w:rPr>
          <w:rFonts w:hint="eastAsia" w:hAnsi="宋体"/>
          <w:sz w:val="24"/>
          <w:szCs w:val="28"/>
          <w:highlight w:val="none"/>
        </w:rPr>
      </w:pPr>
    </w:p>
    <w:p w14:paraId="7831365A">
      <w:pPr>
        <w:pStyle w:val="10"/>
        <w:spacing w:line="360" w:lineRule="auto"/>
        <w:rPr>
          <w:rFonts w:hint="eastAsia" w:hAnsi="宋体"/>
          <w:sz w:val="24"/>
          <w:szCs w:val="28"/>
          <w:highlight w:val="none"/>
        </w:rPr>
      </w:pPr>
    </w:p>
    <w:p w14:paraId="69FBA158">
      <w:pPr>
        <w:pStyle w:val="10"/>
        <w:spacing w:line="360" w:lineRule="auto"/>
        <w:rPr>
          <w:rFonts w:hint="eastAsia" w:hAnsi="宋体"/>
          <w:sz w:val="24"/>
          <w:szCs w:val="28"/>
          <w:highlight w:val="none"/>
        </w:rPr>
      </w:pPr>
    </w:p>
    <w:p w14:paraId="46770F5E">
      <w:pPr>
        <w:pStyle w:val="10"/>
        <w:spacing w:line="360" w:lineRule="auto"/>
        <w:rPr>
          <w:rFonts w:hint="eastAsia" w:hAnsi="宋体"/>
          <w:sz w:val="24"/>
          <w:szCs w:val="28"/>
          <w:highlight w:val="none"/>
        </w:rPr>
      </w:pPr>
    </w:p>
    <w:p w14:paraId="3928EA88">
      <w:pPr>
        <w:pStyle w:val="10"/>
        <w:spacing w:line="360" w:lineRule="auto"/>
        <w:rPr>
          <w:rFonts w:hint="eastAsia" w:hAnsi="宋体"/>
          <w:sz w:val="24"/>
          <w:szCs w:val="28"/>
          <w:highlight w:val="none"/>
        </w:rPr>
      </w:pPr>
    </w:p>
    <w:p w14:paraId="0B7B03C7">
      <w:pPr>
        <w:pStyle w:val="10"/>
        <w:spacing w:line="360" w:lineRule="auto"/>
        <w:rPr>
          <w:rFonts w:hint="eastAsia" w:hAnsi="宋体"/>
          <w:sz w:val="24"/>
          <w:szCs w:val="28"/>
          <w:highlight w:val="none"/>
        </w:rPr>
      </w:pPr>
    </w:p>
    <w:p w14:paraId="06090B79">
      <w:pPr>
        <w:jc w:val="center"/>
        <w:rPr>
          <w:rFonts w:hint="eastAsia" w:eastAsia="黑体"/>
          <w:b/>
          <w:bCs/>
          <w:sz w:val="36"/>
          <w:szCs w:val="36"/>
        </w:rPr>
      </w:pPr>
    </w:p>
    <w:p w14:paraId="33E8346E">
      <w:pPr>
        <w:jc w:val="center"/>
        <w:rPr>
          <w:rFonts w:hint="eastAsia" w:eastAsia="黑体"/>
          <w:b/>
          <w:bCs/>
          <w:sz w:val="36"/>
          <w:szCs w:val="36"/>
        </w:rPr>
      </w:pPr>
    </w:p>
    <w:p w14:paraId="0CA0BBFE">
      <w:pPr>
        <w:jc w:val="center"/>
        <w:rPr>
          <w:rFonts w:hint="eastAsia" w:eastAsia="黑体"/>
          <w:b/>
          <w:bCs/>
          <w:sz w:val="36"/>
          <w:szCs w:val="36"/>
        </w:rPr>
      </w:pPr>
    </w:p>
    <w:p w14:paraId="6CF980AD">
      <w:pPr>
        <w:jc w:val="center"/>
        <w:rPr>
          <w:rFonts w:hint="eastAsia" w:eastAsia="黑体"/>
          <w:b/>
          <w:bCs/>
          <w:sz w:val="36"/>
          <w:szCs w:val="36"/>
        </w:rPr>
      </w:pPr>
    </w:p>
    <w:p w14:paraId="24BA95AB">
      <w:pPr>
        <w:jc w:val="center"/>
        <w:rPr>
          <w:rFonts w:hint="eastAsia" w:eastAsia="黑体"/>
          <w:b/>
          <w:bCs/>
          <w:sz w:val="36"/>
          <w:szCs w:val="36"/>
        </w:rPr>
      </w:pPr>
    </w:p>
    <w:p w14:paraId="4328D70D">
      <w:pPr>
        <w:jc w:val="center"/>
        <w:rPr>
          <w:rFonts w:hint="eastAsia" w:eastAsia="黑体"/>
          <w:b/>
          <w:bCs/>
          <w:sz w:val="36"/>
          <w:szCs w:val="36"/>
        </w:rPr>
      </w:pPr>
    </w:p>
    <w:p w14:paraId="2E5BF001">
      <w:pPr>
        <w:jc w:val="center"/>
        <w:rPr>
          <w:rFonts w:hint="eastAsia" w:eastAsia="黑体"/>
          <w:b/>
          <w:bCs/>
          <w:sz w:val="36"/>
          <w:szCs w:val="36"/>
        </w:rPr>
      </w:pPr>
    </w:p>
    <w:p w14:paraId="43740595">
      <w:pPr>
        <w:jc w:val="center"/>
        <w:rPr>
          <w:rFonts w:hint="eastAsia" w:eastAsia="黑体"/>
          <w:b/>
          <w:bCs/>
          <w:sz w:val="36"/>
          <w:szCs w:val="36"/>
        </w:rPr>
      </w:pPr>
    </w:p>
    <w:p w14:paraId="3E424AEB">
      <w:pPr>
        <w:jc w:val="center"/>
        <w:rPr>
          <w:rFonts w:hint="eastAsia" w:eastAsia="黑体"/>
          <w:b/>
          <w:bCs/>
          <w:sz w:val="36"/>
          <w:szCs w:val="36"/>
        </w:rPr>
      </w:pPr>
    </w:p>
    <w:p w14:paraId="04FF4A46">
      <w:pPr>
        <w:jc w:val="center"/>
        <w:rPr>
          <w:rFonts w:hint="eastAsia" w:eastAsia="黑体"/>
          <w:b/>
          <w:bCs/>
          <w:sz w:val="36"/>
          <w:szCs w:val="36"/>
        </w:rPr>
      </w:pPr>
    </w:p>
    <w:p w14:paraId="77FAD781">
      <w:pPr>
        <w:jc w:val="center"/>
        <w:rPr>
          <w:rFonts w:hint="eastAsia" w:eastAsia="黑体"/>
          <w:b/>
          <w:bCs/>
          <w:sz w:val="36"/>
          <w:szCs w:val="36"/>
        </w:rPr>
      </w:pPr>
    </w:p>
    <w:p w14:paraId="486C4AA1">
      <w:pPr>
        <w:jc w:val="center"/>
        <w:rPr>
          <w:rFonts w:hint="eastAsia" w:eastAsia="黑体"/>
          <w:b/>
          <w:bCs/>
          <w:sz w:val="36"/>
          <w:szCs w:val="36"/>
        </w:rPr>
      </w:pPr>
    </w:p>
    <w:p w14:paraId="35BBA7A2">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14:paraId="244A0505">
      <w:pPr>
        <w:adjustRightInd w:val="0"/>
        <w:snapToGrid w:val="0"/>
        <w:spacing w:line="360" w:lineRule="auto"/>
        <w:jc w:val="left"/>
        <w:rPr>
          <w:rFonts w:ascii="宋体" w:hAnsi="宋体"/>
          <w:sz w:val="20"/>
        </w:rPr>
      </w:pPr>
    </w:p>
    <w:p w14:paraId="0EE4EC4E">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78B8CA16">
      <w:pPr>
        <w:adjustRightInd w:val="0"/>
        <w:snapToGrid w:val="0"/>
        <w:spacing w:line="360" w:lineRule="auto"/>
        <w:jc w:val="left"/>
        <w:rPr>
          <w:rFonts w:ascii="宋体" w:hAnsi="宋体"/>
          <w:sz w:val="20"/>
        </w:rPr>
      </w:pPr>
    </w:p>
    <w:p w14:paraId="5D27C951">
      <w:pPr>
        <w:adjustRightInd w:val="0"/>
        <w:snapToGrid w:val="0"/>
        <w:spacing w:line="360" w:lineRule="auto"/>
        <w:jc w:val="center"/>
        <w:rPr>
          <w:rFonts w:ascii="宋体" w:hAnsi="宋体"/>
          <w:b/>
          <w:sz w:val="52"/>
          <w:szCs w:val="36"/>
        </w:rPr>
      </w:pPr>
      <w:r>
        <w:rPr>
          <w:rFonts w:hint="eastAsia" w:ascii="宋体" w:hAnsi="宋体"/>
          <w:b/>
          <w:bCs/>
          <w:sz w:val="52"/>
          <w:szCs w:val="36"/>
          <w:lang w:val="en-US" w:eastAsia="zh-CN"/>
        </w:rPr>
        <w:t>冲床增加落料模</w:t>
      </w:r>
      <w:r>
        <w:rPr>
          <w:rFonts w:ascii="宋体" w:hAnsi="宋体"/>
          <w:b/>
          <w:bCs/>
          <w:sz w:val="52"/>
          <w:szCs w:val="36"/>
        </w:rPr>
        <w:t>合同</w:t>
      </w:r>
    </w:p>
    <w:p w14:paraId="1E42A1A5">
      <w:pPr>
        <w:adjustRightInd w:val="0"/>
        <w:snapToGrid w:val="0"/>
        <w:spacing w:line="360" w:lineRule="auto"/>
        <w:jc w:val="left"/>
        <w:rPr>
          <w:rFonts w:ascii="宋体" w:hAnsi="宋体"/>
          <w:b/>
          <w:sz w:val="36"/>
          <w:szCs w:val="36"/>
        </w:rPr>
      </w:pPr>
    </w:p>
    <w:p w14:paraId="463569BA">
      <w:pPr>
        <w:adjustRightInd w:val="0"/>
        <w:snapToGrid w:val="0"/>
        <w:spacing w:line="360" w:lineRule="auto"/>
        <w:jc w:val="left"/>
        <w:rPr>
          <w:rFonts w:ascii="宋体" w:hAnsi="宋体"/>
          <w:b/>
          <w:sz w:val="36"/>
          <w:szCs w:val="36"/>
        </w:rPr>
      </w:pPr>
    </w:p>
    <w:p w14:paraId="52333A64">
      <w:pPr>
        <w:adjustRightInd w:val="0"/>
        <w:snapToGrid w:val="0"/>
        <w:spacing w:line="360" w:lineRule="auto"/>
        <w:jc w:val="left"/>
        <w:rPr>
          <w:rFonts w:ascii="宋体" w:hAnsi="宋体"/>
          <w:b/>
          <w:sz w:val="36"/>
          <w:szCs w:val="36"/>
        </w:rPr>
      </w:pPr>
    </w:p>
    <w:p w14:paraId="457ECB1F">
      <w:pPr>
        <w:adjustRightInd w:val="0"/>
        <w:snapToGrid w:val="0"/>
        <w:spacing w:line="360" w:lineRule="auto"/>
        <w:jc w:val="left"/>
        <w:rPr>
          <w:rFonts w:ascii="宋体" w:hAnsi="宋体"/>
          <w:b/>
          <w:sz w:val="36"/>
          <w:szCs w:val="36"/>
        </w:rPr>
      </w:pPr>
    </w:p>
    <w:p w14:paraId="66F2876F">
      <w:pPr>
        <w:adjustRightInd w:val="0"/>
        <w:snapToGrid w:val="0"/>
        <w:spacing w:line="360" w:lineRule="auto"/>
        <w:jc w:val="left"/>
        <w:rPr>
          <w:rFonts w:ascii="宋体" w:hAnsi="宋体"/>
          <w:b/>
          <w:sz w:val="36"/>
          <w:szCs w:val="36"/>
        </w:rPr>
      </w:pPr>
    </w:p>
    <w:p w14:paraId="486C3C71">
      <w:pPr>
        <w:adjustRightInd w:val="0"/>
        <w:snapToGrid w:val="0"/>
        <w:spacing w:line="360" w:lineRule="auto"/>
        <w:jc w:val="left"/>
        <w:rPr>
          <w:rFonts w:ascii="宋体" w:hAnsi="宋体"/>
          <w:b/>
          <w:sz w:val="36"/>
          <w:szCs w:val="36"/>
        </w:rPr>
      </w:pPr>
    </w:p>
    <w:p w14:paraId="1AF6F64A">
      <w:pPr>
        <w:adjustRightInd w:val="0"/>
        <w:snapToGrid w:val="0"/>
        <w:spacing w:line="360" w:lineRule="auto"/>
        <w:jc w:val="left"/>
        <w:rPr>
          <w:rFonts w:ascii="宋体" w:hAnsi="宋体"/>
          <w:b/>
          <w:sz w:val="36"/>
          <w:szCs w:val="36"/>
        </w:rPr>
      </w:pPr>
    </w:p>
    <w:p w14:paraId="5D7B55A9">
      <w:pPr>
        <w:adjustRightInd w:val="0"/>
        <w:snapToGrid w:val="0"/>
        <w:spacing w:line="360" w:lineRule="auto"/>
        <w:jc w:val="left"/>
        <w:rPr>
          <w:rFonts w:ascii="宋体" w:hAnsi="宋体"/>
          <w:b/>
          <w:sz w:val="36"/>
          <w:szCs w:val="36"/>
        </w:rPr>
      </w:pPr>
    </w:p>
    <w:p w14:paraId="2BCDD868">
      <w:pPr>
        <w:adjustRightInd w:val="0"/>
        <w:snapToGrid w:val="0"/>
        <w:spacing w:line="360" w:lineRule="auto"/>
        <w:jc w:val="left"/>
        <w:rPr>
          <w:rFonts w:ascii="宋体" w:hAnsi="宋体"/>
          <w:b/>
          <w:sz w:val="36"/>
          <w:szCs w:val="36"/>
        </w:rPr>
      </w:pPr>
    </w:p>
    <w:p w14:paraId="56E9A560">
      <w:pPr>
        <w:adjustRightInd w:val="0"/>
        <w:snapToGrid w:val="0"/>
        <w:spacing w:line="360" w:lineRule="auto"/>
        <w:jc w:val="left"/>
        <w:rPr>
          <w:rFonts w:ascii="宋体" w:hAnsi="宋体"/>
          <w:b/>
          <w:sz w:val="36"/>
          <w:szCs w:val="36"/>
        </w:rPr>
      </w:pPr>
    </w:p>
    <w:p w14:paraId="57A1BDD7">
      <w:pPr>
        <w:adjustRightInd w:val="0"/>
        <w:snapToGrid w:val="0"/>
        <w:spacing w:line="360" w:lineRule="auto"/>
        <w:jc w:val="left"/>
        <w:rPr>
          <w:rFonts w:ascii="宋体" w:hAnsi="宋体"/>
          <w:b/>
          <w:sz w:val="36"/>
          <w:szCs w:val="36"/>
        </w:rPr>
      </w:pPr>
    </w:p>
    <w:p w14:paraId="180368CF">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39E39996">
      <w:pPr>
        <w:adjustRightInd w:val="0"/>
        <w:snapToGrid w:val="0"/>
        <w:spacing w:line="360" w:lineRule="auto"/>
        <w:jc w:val="left"/>
        <w:rPr>
          <w:rFonts w:ascii="宋体" w:hAnsi="宋体"/>
          <w:b/>
          <w:sz w:val="28"/>
          <w:szCs w:val="36"/>
        </w:rPr>
      </w:pPr>
    </w:p>
    <w:p w14:paraId="21A32D6A">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0460AD7B">
      <w:pPr>
        <w:adjustRightInd w:val="0"/>
        <w:snapToGrid w:val="0"/>
        <w:spacing w:line="360" w:lineRule="auto"/>
        <w:ind w:firstLine="1124" w:firstLineChars="400"/>
        <w:jc w:val="left"/>
        <w:rPr>
          <w:rFonts w:ascii="宋体" w:hAnsi="宋体"/>
          <w:b/>
          <w:sz w:val="28"/>
          <w:szCs w:val="36"/>
        </w:rPr>
      </w:pPr>
    </w:p>
    <w:p w14:paraId="6E66A6CF">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14:paraId="7476EB2D">
      <w:pPr>
        <w:spacing w:line="360" w:lineRule="auto"/>
      </w:pPr>
    </w:p>
    <w:p w14:paraId="1EF05B78">
      <w:pPr>
        <w:spacing w:line="360" w:lineRule="auto"/>
        <w:rPr>
          <w:rFonts w:hint="eastAsia" w:ascii="宋体" w:hAnsi="宋体" w:eastAsia="宋体" w:cs="宋体"/>
          <w:bCs/>
          <w:sz w:val="22"/>
          <w:szCs w:val="22"/>
          <w:lang w:eastAsia="zh-CN"/>
        </w:rPr>
      </w:pPr>
      <w:r>
        <w:rPr>
          <w:rFonts w:hint="eastAsia" w:ascii="宋体" w:hAnsi="宋体" w:cs="宋体"/>
          <w:bCs/>
          <w:sz w:val="22"/>
          <w:szCs w:val="22"/>
        </w:rPr>
        <w:t>甲方（委托方）：</w:t>
      </w:r>
      <w:r>
        <w:rPr>
          <w:rFonts w:hint="eastAsia" w:ascii="宋体" w:hAnsi="宋体" w:cs="宋体"/>
          <w:bCs/>
          <w:sz w:val="22"/>
          <w:szCs w:val="22"/>
          <w:lang w:eastAsia="zh-CN"/>
        </w:rPr>
        <w:t>中国重汽集团泰安五岳专用汽车有限公司</w:t>
      </w:r>
    </w:p>
    <w:p w14:paraId="13F86290">
      <w:pPr>
        <w:spacing w:line="360" w:lineRule="auto"/>
        <w:rPr>
          <w:rFonts w:ascii="宋体" w:hAnsi="宋体" w:cs="宋体"/>
          <w:bCs/>
          <w:sz w:val="22"/>
          <w:szCs w:val="22"/>
        </w:rPr>
      </w:pPr>
    </w:p>
    <w:p w14:paraId="7F4409B9">
      <w:pPr>
        <w:spacing w:line="360" w:lineRule="auto"/>
        <w:rPr>
          <w:rFonts w:ascii="宋体" w:hAnsi="宋体" w:cs="宋体"/>
          <w:bCs/>
          <w:sz w:val="22"/>
          <w:szCs w:val="22"/>
        </w:rPr>
      </w:pPr>
      <w:r>
        <w:rPr>
          <w:rFonts w:hint="eastAsia" w:ascii="宋体" w:hAnsi="宋体" w:cs="宋体"/>
          <w:bCs/>
          <w:sz w:val="22"/>
          <w:szCs w:val="22"/>
        </w:rPr>
        <w:t>乙方（承揽方）：</w:t>
      </w:r>
    </w:p>
    <w:p w14:paraId="2A1BFA03">
      <w:pPr>
        <w:spacing w:line="360" w:lineRule="auto"/>
        <w:rPr>
          <w:rFonts w:ascii="宋体" w:hAnsi="宋体" w:cs="宋体"/>
          <w:bCs/>
          <w:sz w:val="22"/>
          <w:szCs w:val="22"/>
        </w:rPr>
      </w:pPr>
    </w:p>
    <w:p w14:paraId="65AF92EF">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w:t>
      </w:r>
      <w:r>
        <w:rPr>
          <w:rFonts w:hint="eastAsia" w:ascii="宋体" w:hAnsi="宋体" w:cs="宋体"/>
          <w:sz w:val="22"/>
          <w:szCs w:val="22"/>
          <w:lang w:eastAsia="zh-CN"/>
        </w:rPr>
        <w:t>改造</w:t>
      </w:r>
      <w:r>
        <w:rPr>
          <w:rFonts w:hint="eastAsia" w:ascii="宋体" w:hAnsi="宋体" w:cs="宋体"/>
          <w:sz w:val="22"/>
          <w:szCs w:val="22"/>
        </w:rPr>
        <w:t>，经双方充分协商，订立本合同，以便共同遵守。</w:t>
      </w:r>
    </w:p>
    <w:p w14:paraId="4E2D6810">
      <w:pPr>
        <w:numPr>
          <w:ilvl w:val="0"/>
          <w:numId w:val="5"/>
        </w:numPr>
        <w:spacing w:line="360" w:lineRule="auto"/>
        <w:rPr>
          <w:rFonts w:hint="eastAsia" w:ascii="宋体" w:hAnsi="宋体" w:cs="宋体"/>
          <w:b/>
          <w:sz w:val="20"/>
        </w:rPr>
      </w:pPr>
      <w:r>
        <w:rPr>
          <w:rFonts w:hint="eastAsia" w:ascii="宋体" w:hAnsi="宋体" w:cs="宋体"/>
          <w:b/>
          <w:sz w:val="20"/>
          <w:lang w:eastAsia="zh-CN"/>
        </w:rPr>
        <w:t>设备明细</w:t>
      </w:r>
      <w:r>
        <w:rPr>
          <w:rFonts w:hint="eastAsia" w:ascii="宋体" w:hAnsi="宋体" w:cs="宋体"/>
          <w:b/>
          <w:sz w:val="20"/>
        </w:rPr>
        <w:t>：</w:t>
      </w:r>
    </w:p>
    <w:tbl>
      <w:tblPr>
        <w:tblStyle w:val="21"/>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520"/>
        <w:gridCol w:w="1575"/>
        <w:gridCol w:w="1365"/>
        <w:gridCol w:w="1365"/>
      </w:tblGrid>
      <w:tr w14:paraId="6BF6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1C0CB653">
            <w:pPr>
              <w:jc w:val="center"/>
              <w:rPr>
                <w:rFonts w:hint="default" w:ascii="仿宋" w:hAnsi="仿宋" w:eastAsia="仿宋" w:cs="仿宋"/>
                <w:sz w:val="21"/>
                <w:szCs w:val="21"/>
                <w:vertAlign w:val="baseline"/>
                <w:lang w:val="en-US" w:eastAsia="zh-CN"/>
              </w:rPr>
            </w:pPr>
          </w:p>
        </w:tc>
        <w:tc>
          <w:tcPr>
            <w:tcW w:w="2520" w:type="dxa"/>
          </w:tcPr>
          <w:p w14:paraId="6F98C41A">
            <w:pPr>
              <w:jc w:val="center"/>
              <w:rPr>
                <w:rFonts w:hint="default" w:ascii="仿宋" w:hAnsi="仿宋" w:eastAsia="仿宋" w:cs="仿宋"/>
                <w:sz w:val="21"/>
                <w:szCs w:val="21"/>
                <w:vertAlign w:val="baseline"/>
                <w:lang w:val="en-US" w:eastAsia="zh-CN"/>
              </w:rPr>
            </w:pPr>
          </w:p>
        </w:tc>
        <w:tc>
          <w:tcPr>
            <w:tcW w:w="1575" w:type="dxa"/>
          </w:tcPr>
          <w:p w14:paraId="0017CC5E">
            <w:pPr>
              <w:jc w:val="center"/>
              <w:rPr>
                <w:rFonts w:hint="default" w:ascii="仿宋" w:hAnsi="仿宋" w:eastAsia="仿宋" w:cs="仿宋"/>
                <w:sz w:val="21"/>
                <w:szCs w:val="21"/>
                <w:vertAlign w:val="baseline"/>
                <w:lang w:val="en-US" w:eastAsia="zh-CN"/>
              </w:rPr>
            </w:pPr>
          </w:p>
        </w:tc>
        <w:tc>
          <w:tcPr>
            <w:tcW w:w="1365" w:type="dxa"/>
            <w:vAlign w:val="top"/>
          </w:tcPr>
          <w:p w14:paraId="5865A57E">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37D07AA5">
            <w:pPr>
              <w:jc w:val="center"/>
              <w:rPr>
                <w:rFonts w:hint="eastAsia" w:ascii="仿宋" w:hAnsi="仿宋" w:eastAsia="仿宋" w:cs="仿宋"/>
                <w:sz w:val="21"/>
                <w:szCs w:val="21"/>
                <w:vertAlign w:val="baseline"/>
                <w:lang w:val="en-US" w:eastAsia="zh-CN"/>
              </w:rPr>
            </w:pPr>
          </w:p>
        </w:tc>
      </w:tr>
      <w:tr w14:paraId="5385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38199BAA">
            <w:pPr>
              <w:jc w:val="center"/>
              <w:rPr>
                <w:rFonts w:hint="default" w:ascii="仿宋" w:hAnsi="仿宋" w:eastAsia="仿宋" w:cs="仿宋"/>
                <w:sz w:val="21"/>
                <w:szCs w:val="21"/>
                <w:vertAlign w:val="baseline"/>
                <w:lang w:val="en-US" w:eastAsia="zh-CN"/>
              </w:rPr>
            </w:pPr>
          </w:p>
        </w:tc>
        <w:tc>
          <w:tcPr>
            <w:tcW w:w="2520" w:type="dxa"/>
          </w:tcPr>
          <w:p w14:paraId="0695BBC0">
            <w:pPr>
              <w:jc w:val="center"/>
              <w:rPr>
                <w:rFonts w:hint="default" w:ascii="仿宋" w:hAnsi="仿宋" w:eastAsia="仿宋" w:cs="仿宋"/>
                <w:sz w:val="21"/>
                <w:szCs w:val="21"/>
                <w:vertAlign w:val="baseline"/>
                <w:lang w:val="en-US" w:eastAsia="zh-CN"/>
              </w:rPr>
            </w:pPr>
          </w:p>
        </w:tc>
        <w:tc>
          <w:tcPr>
            <w:tcW w:w="1575" w:type="dxa"/>
          </w:tcPr>
          <w:p w14:paraId="366F33D1">
            <w:pPr>
              <w:jc w:val="center"/>
              <w:rPr>
                <w:rFonts w:hint="default" w:ascii="仿宋" w:hAnsi="仿宋" w:eastAsia="仿宋" w:cs="仿宋"/>
                <w:sz w:val="21"/>
                <w:szCs w:val="21"/>
                <w:vertAlign w:val="baseline"/>
                <w:lang w:val="en-US" w:eastAsia="zh-CN"/>
              </w:rPr>
            </w:pPr>
          </w:p>
        </w:tc>
        <w:tc>
          <w:tcPr>
            <w:tcW w:w="1365" w:type="dxa"/>
            <w:vAlign w:val="top"/>
          </w:tcPr>
          <w:p w14:paraId="0E39E52B">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1907D34B">
            <w:pPr>
              <w:jc w:val="center"/>
              <w:rPr>
                <w:rFonts w:hint="eastAsia" w:ascii="仿宋" w:hAnsi="仿宋" w:eastAsia="仿宋" w:cs="仿宋"/>
                <w:sz w:val="21"/>
                <w:szCs w:val="21"/>
                <w:vertAlign w:val="baseline"/>
                <w:lang w:val="en-US" w:eastAsia="zh-CN"/>
              </w:rPr>
            </w:pPr>
          </w:p>
        </w:tc>
      </w:tr>
      <w:tr w14:paraId="42B7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2D2DF5EF">
            <w:pPr>
              <w:jc w:val="center"/>
              <w:rPr>
                <w:rFonts w:hint="default" w:ascii="仿宋" w:hAnsi="仿宋" w:eastAsia="仿宋" w:cs="仿宋"/>
                <w:sz w:val="21"/>
                <w:szCs w:val="21"/>
                <w:vertAlign w:val="baseline"/>
                <w:lang w:val="en-US" w:eastAsia="zh-CN"/>
              </w:rPr>
            </w:pPr>
          </w:p>
        </w:tc>
        <w:tc>
          <w:tcPr>
            <w:tcW w:w="2520" w:type="dxa"/>
          </w:tcPr>
          <w:p w14:paraId="135E6721">
            <w:pPr>
              <w:jc w:val="center"/>
              <w:rPr>
                <w:rFonts w:hint="default" w:ascii="仿宋" w:hAnsi="仿宋" w:eastAsia="仿宋" w:cs="仿宋"/>
                <w:sz w:val="21"/>
                <w:szCs w:val="21"/>
                <w:vertAlign w:val="baseline"/>
                <w:lang w:val="en-US" w:eastAsia="zh-CN"/>
              </w:rPr>
            </w:pPr>
          </w:p>
        </w:tc>
        <w:tc>
          <w:tcPr>
            <w:tcW w:w="1575" w:type="dxa"/>
          </w:tcPr>
          <w:p w14:paraId="25055645">
            <w:pPr>
              <w:jc w:val="center"/>
              <w:rPr>
                <w:rFonts w:hint="default" w:ascii="仿宋" w:hAnsi="仿宋" w:eastAsia="仿宋" w:cs="仿宋"/>
                <w:sz w:val="21"/>
                <w:szCs w:val="21"/>
                <w:vertAlign w:val="baseline"/>
                <w:lang w:val="en-US" w:eastAsia="zh-CN"/>
              </w:rPr>
            </w:pPr>
          </w:p>
        </w:tc>
        <w:tc>
          <w:tcPr>
            <w:tcW w:w="1365" w:type="dxa"/>
            <w:vAlign w:val="top"/>
          </w:tcPr>
          <w:p w14:paraId="4AE3A08B">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29C586CD">
            <w:pPr>
              <w:jc w:val="center"/>
              <w:rPr>
                <w:rFonts w:hint="eastAsia" w:ascii="仿宋" w:hAnsi="仿宋" w:eastAsia="仿宋" w:cs="仿宋"/>
                <w:sz w:val="21"/>
                <w:szCs w:val="21"/>
                <w:vertAlign w:val="baseline"/>
                <w:lang w:val="en-US" w:eastAsia="zh-CN"/>
              </w:rPr>
            </w:pPr>
          </w:p>
        </w:tc>
      </w:tr>
      <w:tr w14:paraId="5920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1A67F6B8">
            <w:pPr>
              <w:jc w:val="center"/>
              <w:rPr>
                <w:rFonts w:hint="default" w:ascii="仿宋" w:hAnsi="仿宋" w:eastAsia="仿宋" w:cs="仿宋"/>
                <w:sz w:val="21"/>
                <w:szCs w:val="21"/>
                <w:vertAlign w:val="baseline"/>
                <w:lang w:val="en-US" w:eastAsia="zh-CN"/>
              </w:rPr>
            </w:pPr>
          </w:p>
        </w:tc>
        <w:tc>
          <w:tcPr>
            <w:tcW w:w="2520" w:type="dxa"/>
          </w:tcPr>
          <w:p w14:paraId="2F41BEED">
            <w:pPr>
              <w:jc w:val="center"/>
              <w:rPr>
                <w:rFonts w:hint="default" w:ascii="仿宋" w:hAnsi="仿宋" w:eastAsia="仿宋" w:cs="仿宋"/>
                <w:sz w:val="21"/>
                <w:szCs w:val="21"/>
                <w:vertAlign w:val="baseline"/>
                <w:lang w:val="en-US" w:eastAsia="zh-CN"/>
              </w:rPr>
            </w:pPr>
          </w:p>
        </w:tc>
        <w:tc>
          <w:tcPr>
            <w:tcW w:w="1575" w:type="dxa"/>
          </w:tcPr>
          <w:p w14:paraId="3B9F98F9">
            <w:pPr>
              <w:jc w:val="center"/>
              <w:rPr>
                <w:rFonts w:hint="default" w:ascii="仿宋" w:hAnsi="仿宋" w:eastAsia="仿宋" w:cs="仿宋"/>
                <w:sz w:val="21"/>
                <w:szCs w:val="21"/>
                <w:vertAlign w:val="baseline"/>
                <w:lang w:val="en-US" w:eastAsia="zh-CN"/>
              </w:rPr>
            </w:pPr>
          </w:p>
        </w:tc>
        <w:tc>
          <w:tcPr>
            <w:tcW w:w="1365" w:type="dxa"/>
            <w:vAlign w:val="top"/>
          </w:tcPr>
          <w:p w14:paraId="3763E7F2">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200C3BDA">
            <w:pPr>
              <w:jc w:val="center"/>
              <w:rPr>
                <w:rFonts w:hint="eastAsia" w:ascii="仿宋" w:hAnsi="仿宋" w:eastAsia="仿宋" w:cs="仿宋"/>
                <w:sz w:val="21"/>
                <w:szCs w:val="21"/>
                <w:vertAlign w:val="baseline"/>
                <w:lang w:val="en-US" w:eastAsia="zh-CN"/>
              </w:rPr>
            </w:pPr>
          </w:p>
        </w:tc>
      </w:tr>
      <w:tr w14:paraId="4B19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2F17C9FE">
            <w:pPr>
              <w:jc w:val="center"/>
              <w:rPr>
                <w:rFonts w:hint="default" w:ascii="仿宋" w:hAnsi="仿宋" w:eastAsia="仿宋" w:cs="仿宋"/>
                <w:sz w:val="21"/>
                <w:szCs w:val="21"/>
                <w:vertAlign w:val="baseline"/>
                <w:lang w:val="en-US" w:eastAsia="zh-CN"/>
              </w:rPr>
            </w:pPr>
          </w:p>
        </w:tc>
        <w:tc>
          <w:tcPr>
            <w:tcW w:w="2520" w:type="dxa"/>
          </w:tcPr>
          <w:p w14:paraId="119BAE47">
            <w:pPr>
              <w:jc w:val="center"/>
              <w:rPr>
                <w:rFonts w:hint="default" w:ascii="仿宋" w:hAnsi="仿宋" w:eastAsia="仿宋" w:cs="仿宋"/>
                <w:sz w:val="21"/>
                <w:szCs w:val="21"/>
                <w:vertAlign w:val="baseline"/>
                <w:lang w:val="en-US" w:eastAsia="zh-CN"/>
              </w:rPr>
            </w:pPr>
          </w:p>
        </w:tc>
        <w:tc>
          <w:tcPr>
            <w:tcW w:w="1575" w:type="dxa"/>
          </w:tcPr>
          <w:p w14:paraId="085B3EF2">
            <w:pPr>
              <w:jc w:val="center"/>
              <w:rPr>
                <w:rFonts w:hint="eastAsia" w:ascii="仿宋" w:hAnsi="仿宋" w:eastAsia="仿宋" w:cs="仿宋"/>
                <w:sz w:val="21"/>
                <w:szCs w:val="21"/>
                <w:vertAlign w:val="baseline"/>
                <w:lang w:val="en-US" w:eastAsia="zh-CN"/>
              </w:rPr>
            </w:pPr>
          </w:p>
        </w:tc>
        <w:tc>
          <w:tcPr>
            <w:tcW w:w="1365" w:type="dxa"/>
            <w:vAlign w:val="top"/>
          </w:tcPr>
          <w:p w14:paraId="2E31AD30">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2A251414">
            <w:pPr>
              <w:jc w:val="center"/>
              <w:rPr>
                <w:rFonts w:hint="eastAsia" w:ascii="仿宋" w:hAnsi="仿宋" w:eastAsia="仿宋" w:cs="仿宋"/>
                <w:sz w:val="21"/>
                <w:szCs w:val="21"/>
                <w:vertAlign w:val="baseline"/>
                <w:lang w:val="en-US" w:eastAsia="zh-CN"/>
              </w:rPr>
            </w:pPr>
          </w:p>
        </w:tc>
      </w:tr>
      <w:tr w14:paraId="066D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14:paraId="69308F7D">
            <w:pPr>
              <w:jc w:val="center"/>
              <w:rPr>
                <w:rFonts w:hint="default" w:ascii="仿宋" w:hAnsi="仿宋" w:eastAsia="仿宋" w:cs="仿宋"/>
                <w:sz w:val="21"/>
                <w:szCs w:val="21"/>
                <w:vertAlign w:val="baseline"/>
                <w:lang w:val="en-US" w:eastAsia="zh-CN"/>
              </w:rPr>
            </w:pPr>
          </w:p>
        </w:tc>
        <w:tc>
          <w:tcPr>
            <w:tcW w:w="2520" w:type="dxa"/>
          </w:tcPr>
          <w:p w14:paraId="092BAFD4">
            <w:pPr>
              <w:jc w:val="center"/>
              <w:rPr>
                <w:rFonts w:hint="default" w:ascii="仿宋" w:hAnsi="仿宋" w:eastAsia="仿宋" w:cs="仿宋"/>
                <w:sz w:val="21"/>
                <w:szCs w:val="21"/>
                <w:vertAlign w:val="baseline"/>
                <w:lang w:val="en-US" w:eastAsia="zh-CN"/>
              </w:rPr>
            </w:pPr>
          </w:p>
        </w:tc>
        <w:tc>
          <w:tcPr>
            <w:tcW w:w="1575" w:type="dxa"/>
          </w:tcPr>
          <w:p w14:paraId="7513AA95">
            <w:pPr>
              <w:jc w:val="center"/>
              <w:rPr>
                <w:rFonts w:hint="default" w:ascii="仿宋" w:hAnsi="仿宋" w:eastAsia="仿宋" w:cs="仿宋"/>
                <w:sz w:val="21"/>
                <w:szCs w:val="21"/>
                <w:vertAlign w:val="baseline"/>
                <w:lang w:val="en-US" w:eastAsia="zh-CN"/>
              </w:rPr>
            </w:pPr>
          </w:p>
        </w:tc>
        <w:tc>
          <w:tcPr>
            <w:tcW w:w="1365" w:type="dxa"/>
            <w:vAlign w:val="top"/>
          </w:tcPr>
          <w:p w14:paraId="33B580CA">
            <w:pPr>
              <w:jc w:val="center"/>
              <w:rPr>
                <w:rFonts w:hint="eastAsia" w:ascii="仿宋" w:hAnsi="仿宋" w:eastAsia="仿宋" w:cs="仿宋"/>
                <w:kern w:val="2"/>
                <w:sz w:val="21"/>
                <w:szCs w:val="21"/>
                <w:vertAlign w:val="baseline"/>
                <w:lang w:val="en-US" w:eastAsia="zh-CN" w:bidi="ar-SA"/>
              </w:rPr>
            </w:pPr>
          </w:p>
        </w:tc>
        <w:tc>
          <w:tcPr>
            <w:tcW w:w="1365" w:type="dxa"/>
            <w:vAlign w:val="top"/>
          </w:tcPr>
          <w:p w14:paraId="394AC12C">
            <w:pPr>
              <w:jc w:val="center"/>
              <w:rPr>
                <w:rFonts w:hint="eastAsia" w:ascii="仿宋" w:hAnsi="仿宋" w:eastAsia="仿宋" w:cs="仿宋"/>
                <w:sz w:val="21"/>
                <w:szCs w:val="21"/>
                <w:vertAlign w:val="baseline"/>
                <w:lang w:val="en-US" w:eastAsia="zh-CN"/>
              </w:rPr>
            </w:pPr>
          </w:p>
        </w:tc>
      </w:tr>
    </w:tbl>
    <w:p w14:paraId="3102A4A4">
      <w:pPr>
        <w:numPr>
          <w:ilvl w:val="0"/>
          <w:numId w:val="0"/>
        </w:numPr>
        <w:ind w:firstLine="660" w:firstLineChars="300"/>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（含税、含安装、含人工、含运费）</w:t>
      </w:r>
    </w:p>
    <w:p w14:paraId="714CC0B9">
      <w:pPr>
        <w:spacing w:line="360" w:lineRule="auto"/>
        <w:rPr>
          <w:rFonts w:ascii="宋体" w:hAnsi="宋体" w:cs="宋体"/>
          <w:b/>
          <w:sz w:val="20"/>
        </w:rPr>
      </w:pPr>
      <w:r>
        <w:rPr>
          <w:rFonts w:hint="eastAsia" w:ascii="宋体" w:hAnsi="宋体" w:cs="宋体"/>
          <w:b/>
          <w:sz w:val="20"/>
        </w:rPr>
        <w:t>二、</w:t>
      </w:r>
      <w:r>
        <w:rPr>
          <w:rFonts w:hint="eastAsia" w:ascii="宋体" w:hAnsi="宋体" w:cs="宋体"/>
          <w:b/>
          <w:sz w:val="20"/>
          <w:lang w:eastAsia="zh-CN"/>
        </w:rPr>
        <w:t>改造</w:t>
      </w:r>
      <w:r>
        <w:rPr>
          <w:rFonts w:hint="eastAsia" w:ascii="宋体" w:hAnsi="宋体" w:cs="宋体"/>
          <w:b/>
          <w:sz w:val="20"/>
        </w:rPr>
        <w:t>内容</w:t>
      </w:r>
    </w:p>
    <w:p w14:paraId="54AFDA2F">
      <w:pPr>
        <w:spacing w:line="360" w:lineRule="auto"/>
        <w:ind w:firstLine="400" w:firstLineChars="200"/>
        <w:rPr>
          <w:rFonts w:ascii="宋体" w:hAnsi="宋体" w:cs="宋体"/>
          <w:sz w:val="20"/>
        </w:rPr>
      </w:pPr>
      <w:r>
        <w:rPr>
          <w:rFonts w:hint="eastAsia" w:ascii="宋体" w:hAnsi="宋体" w:cs="宋体"/>
          <w:sz w:val="20"/>
          <w:lang w:eastAsia="zh-CN"/>
        </w:rPr>
        <w:t>改造</w:t>
      </w:r>
      <w:r>
        <w:rPr>
          <w:rFonts w:hint="eastAsia" w:ascii="宋体" w:hAnsi="宋体" w:cs="宋体"/>
          <w:sz w:val="20"/>
        </w:rPr>
        <w:t>方式：按双方签订的技术协议相关内容进行</w:t>
      </w:r>
      <w:r>
        <w:rPr>
          <w:rFonts w:hint="eastAsia" w:ascii="宋体" w:hAnsi="宋体" w:cs="宋体"/>
          <w:sz w:val="20"/>
          <w:lang w:eastAsia="zh-CN"/>
        </w:rPr>
        <w:t>改造</w:t>
      </w:r>
      <w:r>
        <w:rPr>
          <w:rFonts w:hint="eastAsia" w:ascii="宋体" w:hAnsi="宋体" w:cs="宋体"/>
          <w:sz w:val="20"/>
        </w:rPr>
        <w:t>。技术协议作为本合同附件。</w:t>
      </w:r>
    </w:p>
    <w:p w14:paraId="29FB14C1">
      <w:pPr>
        <w:spacing w:line="360" w:lineRule="auto"/>
        <w:ind w:left="394" w:hanging="394" w:hangingChars="196"/>
        <w:rPr>
          <w:rFonts w:ascii="宋体" w:hAnsi="宋体" w:cs="宋体"/>
          <w:sz w:val="20"/>
        </w:rPr>
      </w:pPr>
      <w:r>
        <w:rPr>
          <w:rFonts w:hint="eastAsia" w:ascii="宋体" w:hAnsi="宋体" w:cs="宋体"/>
          <w:b/>
          <w:sz w:val="20"/>
        </w:rPr>
        <w:t>三、运输要求</w:t>
      </w:r>
    </w:p>
    <w:p w14:paraId="79DB3B89">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16D3F6CC">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02F3142F">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2FB37B9D">
      <w:pPr>
        <w:spacing w:line="360" w:lineRule="auto"/>
        <w:ind w:firstLine="400" w:firstLineChars="200"/>
        <w:rPr>
          <w:rFonts w:ascii="宋体" w:hAnsi="宋体" w:cs="宋体"/>
          <w:sz w:val="20"/>
        </w:rPr>
      </w:pPr>
      <w:r>
        <w:rPr>
          <w:rFonts w:hint="eastAsia" w:ascii="宋体" w:hAnsi="宋体" w:cs="宋体"/>
          <w:sz w:val="20"/>
        </w:rPr>
        <w:t>1.3乙方现场对设备情况予以确认，有异议及时提出，乙方一旦接收，则视为甲方的设备符合乙方确认的状态，并适合运输，以后所发现的设备部件缺失等情况由乙方负责补齐。</w:t>
      </w:r>
    </w:p>
    <w:p w14:paraId="421F7484">
      <w:pPr>
        <w:spacing w:line="360" w:lineRule="auto"/>
        <w:rPr>
          <w:rFonts w:ascii="宋体" w:hAnsi="宋体" w:cs="宋体"/>
          <w:b/>
          <w:sz w:val="20"/>
        </w:rPr>
      </w:pPr>
      <w:r>
        <w:rPr>
          <w:rFonts w:hint="eastAsia" w:ascii="宋体" w:hAnsi="宋体" w:cs="宋体"/>
          <w:b/>
          <w:sz w:val="20"/>
        </w:rPr>
        <w:t>四、包装标准、包装物的供应与回收：</w:t>
      </w:r>
    </w:p>
    <w:p w14:paraId="59DFC769">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0112BDEE">
      <w:pPr>
        <w:spacing w:line="360" w:lineRule="auto"/>
        <w:ind w:firstLine="400" w:firstLineChars="200"/>
        <w:rPr>
          <w:rFonts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6BAEC207">
      <w:pPr>
        <w:spacing w:line="360" w:lineRule="auto"/>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658BA0BA">
      <w:pPr>
        <w:spacing w:line="360" w:lineRule="auto"/>
        <w:ind w:firstLine="400" w:firstLineChars="200"/>
        <w:rPr>
          <w:rFonts w:ascii="宋体" w:hAnsi="宋体" w:cs="宋体"/>
          <w:sz w:val="20"/>
        </w:rPr>
      </w:pPr>
      <w:r>
        <w:rPr>
          <w:rFonts w:hint="eastAsia" w:ascii="宋体" w:hAnsi="宋体" w:cs="宋体"/>
          <w:sz w:val="20"/>
        </w:rPr>
        <w:t>按双方签订的技术协议相关内容验收。</w:t>
      </w:r>
    </w:p>
    <w:p w14:paraId="1DA1D94A">
      <w:pPr>
        <w:spacing w:line="360" w:lineRule="auto"/>
        <w:rPr>
          <w:rFonts w:ascii="宋体" w:hAnsi="宋体" w:cs="宋体"/>
          <w:b/>
          <w:sz w:val="20"/>
        </w:rPr>
      </w:pPr>
      <w:r>
        <w:rPr>
          <w:rFonts w:hint="eastAsia" w:ascii="宋体" w:hAnsi="宋体" w:cs="宋体"/>
          <w:b/>
          <w:sz w:val="20"/>
        </w:rPr>
        <w:t>六、结算及付款方式：</w:t>
      </w:r>
    </w:p>
    <w:p w14:paraId="15530869">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szCs w:val="20"/>
        </w:rPr>
        <w:t>合同总价款为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14:paraId="5C941407">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电汇</w:t>
      </w:r>
      <w:r>
        <w:rPr>
          <w:rFonts w:hint="eastAsia" w:ascii="宋体" w:hAnsi="宋体" w:cs="宋体"/>
          <w:sz w:val="20"/>
          <w:u w:val="single"/>
        </w:rPr>
        <w:t xml:space="preserve"> </w:t>
      </w:r>
      <w:r>
        <w:rPr>
          <w:rFonts w:hint="eastAsia" w:ascii="宋体" w:hAnsi="宋体" w:cs="宋体"/>
          <w:sz w:val="20"/>
        </w:rPr>
        <w:t>。</w:t>
      </w:r>
    </w:p>
    <w:p w14:paraId="7DBA4657">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1.2.1设备到货安装</w:t>
      </w:r>
      <w:r>
        <w:rPr>
          <w:rFonts w:hint="eastAsia" w:ascii="宋体" w:hAnsi="宋体" w:cs="宋体"/>
          <w:sz w:val="20"/>
          <w:szCs w:val="20"/>
          <w:lang w:eastAsia="zh-CN"/>
        </w:rPr>
        <w:t>完毕</w:t>
      </w:r>
      <w:r>
        <w:rPr>
          <w:rFonts w:hint="eastAsia" w:ascii="宋体" w:hAnsi="宋体" w:cs="宋体"/>
          <w:sz w:val="20"/>
          <w:szCs w:val="20"/>
          <w:lang w:val="en-US" w:eastAsia="zh-CN"/>
        </w:rPr>
        <w:t>后</w:t>
      </w:r>
      <w:r>
        <w:rPr>
          <w:rFonts w:hint="eastAsia" w:ascii="宋体" w:hAnsi="宋体" w:cs="宋体"/>
          <w:sz w:val="20"/>
          <w:szCs w:val="20"/>
          <w:lang w:eastAsia="zh-CN"/>
        </w:rPr>
        <w:t>，经甲方验收合格后，甲方出具书面验收单，乙方提供含税13％的全额增值税专用发票，依照公司财务制度审核无误挂账后次月支付</w:t>
      </w:r>
      <w:r>
        <w:rPr>
          <w:rFonts w:hint="eastAsia" w:ascii="宋体" w:hAnsi="宋体" w:cs="宋体"/>
          <w:sz w:val="20"/>
          <w:szCs w:val="20"/>
          <w:lang w:val="en-US" w:eastAsia="zh-CN"/>
        </w:rPr>
        <w:t>95%</w:t>
      </w:r>
      <w:r>
        <w:rPr>
          <w:rFonts w:hint="eastAsia" w:ascii="宋体" w:hAnsi="宋体" w:cs="宋体"/>
          <w:sz w:val="20"/>
          <w:szCs w:val="20"/>
          <w:lang w:eastAsia="zh-CN"/>
        </w:rPr>
        <w:t>。</w:t>
      </w:r>
    </w:p>
    <w:p w14:paraId="733A8401">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1.2.2</w:t>
      </w:r>
      <w:r>
        <w:rPr>
          <w:rFonts w:hint="eastAsia" w:ascii="宋体" w:hAnsi="宋体" w:cs="宋体"/>
          <w:sz w:val="20"/>
          <w:szCs w:val="20"/>
          <w:lang w:eastAsia="zh-CN"/>
        </w:rPr>
        <w:t>剩余价款的</w:t>
      </w:r>
      <w:r>
        <w:rPr>
          <w:rFonts w:hint="eastAsia" w:ascii="宋体" w:hAnsi="宋体" w:cs="宋体"/>
          <w:sz w:val="20"/>
          <w:szCs w:val="20"/>
          <w:lang w:val="en-US" w:eastAsia="zh-CN"/>
        </w:rPr>
        <w:t>5</w:t>
      </w:r>
      <w:r>
        <w:rPr>
          <w:rFonts w:hint="eastAsia" w:ascii="宋体" w:hAnsi="宋体" w:cs="宋体"/>
          <w:sz w:val="20"/>
          <w:szCs w:val="20"/>
          <w:lang w:eastAsia="zh-CN"/>
        </w:rPr>
        <w:t xml:space="preserve">%作为质量保证金，质量保证金在本合同约定的质量保证期内不计利息，待设备质量保证期满后，经甲方依照财务制度审核无误后 </w:t>
      </w:r>
      <w:r>
        <w:rPr>
          <w:rFonts w:hint="eastAsia" w:ascii="宋体" w:hAnsi="宋体" w:cs="宋体"/>
          <w:sz w:val="20"/>
          <w:szCs w:val="20"/>
          <w:lang w:val="en-US" w:eastAsia="zh-CN"/>
        </w:rPr>
        <w:t>30</w:t>
      </w:r>
      <w:r>
        <w:rPr>
          <w:rFonts w:hint="eastAsia" w:ascii="宋体" w:hAnsi="宋体" w:cs="宋体"/>
          <w:sz w:val="20"/>
          <w:szCs w:val="20"/>
          <w:lang w:eastAsia="zh-CN"/>
        </w:rPr>
        <w:t xml:space="preserve"> 日内支付；如有质量问题，质量保证金予以扣除。</w:t>
      </w:r>
    </w:p>
    <w:p w14:paraId="350380CE">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2FE9D512">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lang w:val="en-US" w:eastAsia="zh-CN"/>
        </w:rPr>
        <w:t>6个月</w:t>
      </w:r>
      <w:r>
        <w:rPr>
          <w:rFonts w:hint="eastAsia" w:ascii="宋体" w:hAnsi="宋体" w:cs="宋体"/>
          <w:sz w:val="20"/>
        </w:rPr>
        <w:t>。</w:t>
      </w:r>
    </w:p>
    <w:p w14:paraId="79015FCB">
      <w:pPr>
        <w:spacing w:line="360" w:lineRule="auto"/>
        <w:ind w:firstLine="400" w:firstLineChars="200"/>
        <w:rPr>
          <w:rFonts w:ascii="宋体" w:hAnsi="宋体" w:cs="宋体"/>
          <w:sz w:val="20"/>
        </w:rPr>
      </w:pPr>
      <w:r>
        <w:rPr>
          <w:rFonts w:hint="eastAsia" w:ascii="宋体" w:hAnsi="宋体" w:cs="宋体"/>
          <w:sz w:val="20"/>
        </w:rPr>
        <w:t xml:space="preserve">2、若在质量保证期内该设备出现质量问题，乙方须应根据甲方的要求在 </w:t>
      </w:r>
      <w:r>
        <w:rPr>
          <w:rFonts w:hint="eastAsia" w:ascii="宋体" w:hAnsi="宋体" w:cs="宋体"/>
          <w:sz w:val="20"/>
          <w:lang w:val="en-US" w:eastAsia="zh-CN"/>
        </w:rPr>
        <w:t>2</w:t>
      </w:r>
      <w:r>
        <w:rPr>
          <w:rFonts w:hint="eastAsia" w:ascii="宋体" w:hAnsi="宋体" w:cs="宋体"/>
          <w:sz w:val="20"/>
        </w:rPr>
        <w:t xml:space="preserve"> 小时内答复或 </w:t>
      </w:r>
      <w:r>
        <w:rPr>
          <w:rFonts w:hint="eastAsia" w:ascii="宋体" w:hAnsi="宋体" w:cs="宋体"/>
          <w:sz w:val="20"/>
          <w:lang w:val="en-US" w:eastAsia="zh-CN"/>
        </w:rPr>
        <w:t>5</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小时内派员现场服务，费用由乙方承担。甲方有权从质量保证金中扣除相应费用，若质量保证金不足以补偿甲方因此所受到的损失，乙方须向甲方赔偿差额部分。质量保证期在重新验收合格后延长半年。</w:t>
      </w:r>
    </w:p>
    <w:p w14:paraId="37432EB9">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439713C9">
      <w:pPr>
        <w:spacing w:line="360" w:lineRule="auto"/>
        <w:ind w:right="-105" w:rightChars="-50"/>
        <w:rPr>
          <w:rFonts w:ascii="宋体" w:hAnsi="宋体" w:cs="宋体"/>
          <w:b/>
          <w:sz w:val="20"/>
        </w:rPr>
      </w:pPr>
      <w:r>
        <w:rPr>
          <w:rFonts w:hint="eastAsia" w:ascii="宋体" w:hAnsi="宋体" w:cs="宋体"/>
          <w:b/>
          <w:sz w:val="20"/>
        </w:rPr>
        <w:t>八、保密条款</w:t>
      </w:r>
    </w:p>
    <w:p w14:paraId="38FF9468">
      <w:pPr>
        <w:spacing w:line="360" w:lineRule="auto"/>
        <w:ind w:firstLine="400" w:firstLineChars="200"/>
        <w:rPr>
          <w:rFonts w:ascii="宋体" w:hAnsi="宋体" w:cs="宋体"/>
          <w:sz w:val="20"/>
        </w:rPr>
      </w:pPr>
      <w:r>
        <w:rPr>
          <w:rFonts w:hint="eastAsia" w:ascii="宋体" w:hAnsi="宋体" w:cs="宋体"/>
          <w:sz w:val="20"/>
        </w:rPr>
        <w:t>乙方在</w:t>
      </w:r>
      <w:r>
        <w:rPr>
          <w:rFonts w:hint="eastAsia" w:ascii="宋体" w:hAnsi="宋体" w:cs="宋体"/>
          <w:sz w:val="20"/>
          <w:lang w:eastAsia="zh-CN"/>
        </w:rPr>
        <w:t>改造</w:t>
      </w:r>
      <w:r>
        <w:rPr>
          <w:rFonts w:hint="eastAsia" w:ascii="宋体" w:hAnsi="宋体" w:cs="宋体"/>
          <w:sz w:val="20"/>
        </w:rPr>
        <w:t>过程中掌握的甲方的业务、产品、程序、研究或与之有关的一切数据、工艺、配方、图纸等，均属于甲方的商业秘密，未经甲方书面允许，乙方不得披露给任何第三人。设备</w:t>
      </w:r>
      <w:r>
        <w:rPr>
          <w:rFonts w:hint="eastAsia" w:ascii="宋体" w:hAnsi="宋体" w:cs="宋体"/>
          <w:sz w:val="20"/>
          <w:lang w:eastAsia="zh-CN"/>
        </w:rPr>
        <w:t>改造</w:t>
      </w:r>
      <w:r>
        <w:rPr>
          <w:rFonts w:hint="eastAsia" w:ascii="宋体" w:hAnsi="宋体" w:cs="宋体"/>
          <w:sz w:val="20"/>
        </w:rPr>
        <w:t xml:space="preserve">完成后，乙方须将掌握的上述商业秘密全部返还给甲方，不得以任何形式和载体备份自留。 </w:t>
      </w:r>
    </w:p>
    <w:p w14:paraId="3B988295">
      <w:pPr>
        <w:spacing w:line="360" w:lineRule="auto"/>
        <w:rPr>
          <w:rFonts w:ascii="宋体" w:hAnsi="宋体" w:cs="宋体"/>
          <w:b/>
          <w:sz w:val="20"/>
        </w:rPr>
      </w:pPr>
      <w:r>
        <w:rPr>
          <w:rFonts w:hint="eastAsia" w:ascii="宋体" w:hAnsi="宋体" w:cs="宋体"/>
          <w:b/>
          <w:sz w:val="20"/>
        </w:rPr>
        <w:t>九、其它约定</w:t>
      </w:r>
    </w:p>
    <w:p w14:paraId="0CCB8753">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EDA8496">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FC2654D">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14:paraId="7053A2FE">
      <w:pPr>
        <w:spacing w:line="360" w:lineRule="auto"/>
        <w:ind w:firstLine="400" w:firstLineChars="200"/>
        <w:rPr>
          <w:rFonts w:ascii="宋体" w:hAnsi="宋体" w:cs="宋体"/>
          <w:sz w:val="20"/>
        </w:rPr>
      </w:pPr>
      <w:r>
        <w:rPr>
          <w:rFonts w:hint="eastAsia" w:ascii="宋体" w:hAnsi="宋体" w:cs="宋体"/>
          <w:sz w:val="20"/>
        </w:rPr>
        <w:t>4、设备从拆解、运输、</w:t>
      </w:r>
      <w:r>
        <w:rPr>
          <w:rFonts w:hint="eastAsia" w:ascii="宋体" w:hAnsi="宋体" w:cs="宋体"/>
          <w:sz w:val="20"/>
          <w:lang w:eastAsia="zh-CN"/>
        </w:rPr>
        <w:t>改造</w:t>
      </w:r>
      <w:r>
        <w:rPr>
          <w:rFonts w:hint="eastAsia" w:ascii="宋体" w:hAnsi="宋体" w:cs="宋体"/>
          <w:sz w:val="20"/>
        </w:rPr>
        <w:t>至设备安装调试完成期间所发生的设备毁损风险及责任全部由乙方承担。</w:t>
      </w:r>
    </w:p>
    <w:p w14:paraId="21F23661">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299A09C2">
      <w:pPr>
        <w:spacing w:line="360" w:lineRule="auto"/>
        <w:rPr>
          <w:rFonts w:ascii="宋体" w:hAnsi="宋体" w:cs="宋体"/>
          <w:b/>
          <w:sz w:val="20"/>
        </w:rPr>
      </w:pPr>
      <w:r>
        <w:rPr>
          <w:rFonts w:hint="eastAsia" w:ascii="宋体" w:hAnsi="宋体" w:cs="宋体"/>
          <w:b/>
          <w:sz w:val="20"/>
        </w:rPr>
        <w:t>十、违约责任</w:t>
      </w:r>
    </w:p>
    <w:p w14:paraId="55A9D32D">
      <w:pPr>
        <w:spacing w:line="360" w:lineRule="auto"/>
        <w:ind w:firstLine="400" w:firstLineChars="200"/>
        <w:rPr>
          <w:rFonts w:ascii="宋体" w:hAnsi="宋体" w:cs="宋体"/>
          <w:sz w:val="20"/>
        </w:rPr>
      </w:pPr>
      <w:r>
        <w:rPr>
          <w:rFonts w:hint="eastAsia" w:ascii="宋体" w:hAnsi="宋体" w:cs="宋体"/>
          <w:sz w:val="20"/>
        </w:rPr>
        <w:t>乙方未按合同的约定完成工作的，甲方有权按照以下一种或多种方式要求乙方赔偿：</w:t>
      </w:r>
    </w:p>
    <w:p w14:paraId="699CAB5C">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lang w:val="en-US" w:eastAsia="zh-CN"/>
        </w:rPr>
        <w:t>5</w:t>
      </w:r>
      <w:r>
        <w:rPr>
          <w:rFonts w:hint="eastAsia" w:ascii="宋体" w:hAnsi="宋体" w:cs="宋体"/>
          <w:sz w:val="20"/>
        </w:rPr>
        <w:t>%的违约金。当违约金超过设备合同总金额的</w:t>
      </w:r>
      <w:r>
        <w:rPr>
          <w:rFonts w:hint="eastAsia" w:ascii="宋体" w:hAnsi="宋体" w:cs="宋体"/>
          <w:sz w:val="20"/>
          <w:lang w:val="en-US" w:eastAsia="zh-CN"/>
        </w:rPr>
        <w:t>20</w:t>
      </w:r>
      <w:r>
        <w:rPr>
          <w:rFonts w:hint="eastAsia" w:ascii="宋体" w:hAnsi="宋体" w:cs="宋体"/>
          <w:sz w:val="20"/>
        </w:rPr>
        <w:t>%时，甲方有权解除本合同，且乙方应当向甲方支付上述违约金，并赔偿由此给甲方造成的一切损失和费用。</w:t>
      </w:r>
    </w:p>
    <w:p w14:paraId="6FE61494">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14:paraId="07D2A0DA">
      <w:pPr>
        <w:spacing w:line="360" w:lineRule="auto"/>
        <w:ind w:firstLine="400" w:firstLineChars="200"/>
        <w:rPr>
          <w:rFonts w:ascii="宋体" w:hAnsi="宋体" w:cs="宋体"/>
          <w:sz w:val="20"/>
        </w:rPr>
      </w:pPr>
      <w:r>
        <w:rPr>
          <w:rFonts w:hint="eastAsia" w:ascii="宋体" w:hAnsi="宋体" w:cs="宋体"/>
          <w:sz w:val="20"/>
          <w:lang w:val="en-US" w:eastAsia="zh-CN"/>
        </w:rPr>
        <w:t>3</w:t>
      </w:r>
      <w:r>
        <w:rPr>
          <w:rFonts w:hint="eastAsia" w:ascii="宋体" w:hAnsi="宋体" w:cs="宋体"/>
          <w:sz w:val="20"/>
        </w:rPr>
        <w:t>、如果乙方违反本合同其他约定（包括本合同及所有附件），应赔偿因此给甲方造成的一切损失。</w:t>
      </w:r>
    </w:p>
    <w:p w14:paraId="11B111D7">
      <w:pPr>
        <w:spacing w:line="360" w:lineRule="auto"/>
        <w:rPr>
          <w:rFonts w:ascii="宋体" w:hAnsi="宋体" w:cs="宋体"/>
          <w:b/>
          <w:sz w:val="20"/>
        </w:rPr>
      </w:pPr>
      <w:r>
        <w:rPr>
          <w:rFonts w:hint="eastAsia" w:ascii="宋体" w:hAnsi="宋体" w:cs="宋体"/>
          <w:b/>
          <w:sz w:val="20"/>
        </w:rPr>
        <w:t>十一、纠纷的处理</w:t>
      </w:r>
    </w:p>
    <w:p w14:paraId="4E53E09B">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7011F1AE">
      <w:pPr>
        <w:spacing w:line="360" w:lineRule="auto"/>
        <w:rPr>
          <w:rFonts w:ascii="宋体" w:hAnsi="宋体" w:cs="宋体"/>
          <w:b/>
          <w:sz w:val="20"/>
        </w:rPr>
      </w:pPr>
      <w:r>
        <w:rPr>
          <w:rFonts w:hint="eastAsia" w:ascii="宋体" w:hAnsi="宋体" w:cs="宋体"/>
          <w:b/>
          <w:sz w:val="20"/>
        </w:rPr>
        <w:t>十二、附件</w:t>
      </w:r>
    </w:p>
    <w:p w14:paraId="604CB7B1">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572C3969">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03E48146">
      <w:pPr>
        <w:spacing w:line="360" w:lineRule="auto"/>
        <w:ind w:firstLine="400" w:firstLineChars="200"/>
        <w:rPr>
          <w:rFonts w:hint="eastAsia" w:ascii="宋体" w:hAnsi="宋体" w:eastAsia="宋体" w:cs="宋体"/>
          <w:sz w:val="20"/>
          <w:szCs w:val="22"/>
        </w:rPr>
      </w:pPr>
      <w:r>
        <w:rPr>
          <w:rFonts w:hint="eastAsia" w:ascii="宋体" w:hAnsi="宋体" w:eastAsia="宋体" w:cs="宋体"/>
          <w:sz w:val="20"/>
          <w:szCs w:val="22"/>
          <w:lang w:val="en-US" w:eastAsia="zh-CN"/>
        </w:rPr>
        <w:t>3、</w:t>
      </w:r>
      <w:r>
        <w:rPr>
          <w:rFonts w:hint="eastAsia" w:ascii="宋体" w:hAnsi="宋体" w:eastAsia="宋体" w:cs="宋体"/>
          <w:sz w:val="20"/>
          <w:szCs w:val="22"/>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7F8A07AC">
      <w:pPr>
        <w:spacing w:line="360" w:lineRule="auto"/>
        <w:ind w:firstLine="400" w:firstLineChars="200"/>
        <w:rPr>
          <w:rFonts w:hint="eastAsia" w:ascii="宋体" w:hAnsi="宋体" w:eastAsia="宋体" w:cs="宋体"/>
          <w:sz w:val="20"/>
          <w:szCs w:val="22"/>
          <w:lang w:val="en-US" w:eastAsia="zh-CN"/>
        </w:rPr>
      </w:pPr>
      <w:r>
        <w:rPr>
          <w:rFonts w:hint="eastAsia" w:ascii="宋体" w:hAnsi="宋体" w:eastAsia="宋体" w:cs="宋体"/>
          <w:sz w:val="20"/>
          <w:szCs w:val="22"/>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7354288C">
      <w:pPr>
        <w:spacing w:line="360" w:lineRule="auto"/>
        <w:ind w:firstLine="400" w:firstLineChars="200"/>
        <w:rPr>
          <w:rFonts w:ascii="宋体" w:hAnsi="宋体" w:cs="宋体"/>
          <w:sz w:val="20"/>
        </w:rPr>
      </w:pPr>
      <w:r>
        <w:rPr>
          <w:rFonts w:hint="eastAsia" w:ascii="宋体" w:hAnsi="宋体" w:eastAsia="宋体" w:cs="宋体"/>
          <w:sz w:val="20"/>
          <w:szCs w:val="22"/>
          <w:lang w:val="en-US" w:eastAsia="zh-CN"/>
        </w:rPr>
        <w:t>4</w:t>
      </w:r>
      <w:r>
        <w:rPr>
          <w:rFonts w:hint="eastAsia" w:ascii="宋体" w:hAnsi="宋体" w:eastAsia="宋体" w:cs="宋体"/>
          <w:sz w:val="20"/>
          <w:szCs w:val="22"/>
        </w:rPr>
        <w:t>、本合同自双方签署之日起生效。本合同一式四份，甲方三份，乙方一份。</w:t>
      </w:r>
    </w:p>
    <w:p w14:paraId="238D4CFF">
      <w:pPr>
        <w:spacing w:line="360" w:lineRule="auto"/>
        <w:ind w:firstLine="400" w:firstLineChars="200"/>
        <w:rPr>
          <w:rFonts w:ascii="宋体" w:hAnsi="宋体" w:cs="宋体"/>
          <w:sz w:val="20"/>
        </w:rPr>
      </w:pPr>
    </w:p>
    <w:p w14:paraId="5C0B95D9">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07B55AF4">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0D8C8FD6">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6A2377EA">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30F48043">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58246174">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7CE088E0">
      <w:pPr>
        <w:widowControl/>
        <w:adjustRightInd w:val="0"/>
        <w:snapToGrid w:val="0"/>
        <w:spacing w:line="360" w:lineRule="auto"/>
        <w:jc w:val="left"/>
        <w:rPr>
          <w:rFonts w:ascii="黑体"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5B8FD0B1">
      <w:pPr>
        <w:jc w:val="left"/>
        <w:rPr>
          <w:rFonts w:hint="eastAsia" w:ascii="黑体" w:hAnsi="黑体" w:eastAsia="黑体" w:cs="黑体"/>
          <w:b/>
          <w:bCs/>
          <w:kern w:val="2"/>
          <w:sz w:val="28"/>
          <w:szCs w:val="28"/>
          <w:lang w:val="en-US" w:eastAsia="zh-CN" w:bidi="ar-SA"/>
        </w:rPr>
      </w:pPr>
    </w:p>
    <w:p w14:paraId="2F5063B0">
      <w:pPr>
        <w:jc w:val="left"/>
        <w:rPr>
          <w:rFonts w:hint="eastAsia" w:ascii="黑体" w:hAnsi="黑体" w:eastAsia="黑体" w:cs="黑体"/>
          <w:b/>
          <w:bCs/>
          <w:kern w:val="2"/>
          <w:sz w:val="28"/>
          <w:szCs w:val="28"/>
          <w:lang w:val="en-US" w:eastAsia="zh-CN" w:bidi="ar-SA"/>
        </w:rPr>
      </w:pPr>
    </w:p>
    <w:p w14:paraId="6186728A">
      <w:pPr>
        <w:jc w:val="left"/>
        <w:rPr>
          <w:rFonts w:hint="eastAsia" w:ascii="黑体" w:hAnsi="黑体" w:eastAsia="黑体" w:cs="黑体"/>
          <w:b/>
          <w:bCs/>
          <w:kern w:val="2"/>
          <w:sz w:val="28"/>
          <w:szCs w:val="28"/>
          <w:lang w:val="en-US" w:eastAsia="zh-CN" w:bidi="ar-SA"/>
        </w:rPr>
      </w:pPr>
    </w:p>
    <w:p w14:paraId="76FB67B8">
      <w:pPr>
        <w:jc w:val="left"/>
        <w:rPr>
          <w:rFonts w:hint="eastAsia" w:ascii="黑体" w:hAnsi="黑体" w:eastAsia="黑体" w:cs="黑体"/>
          <w:b/>
          <w:bCs/>
          <w:kern w:val="2"/>
          <w:sz w:val="28"/>
          <w:szCs w:val="28"/>
          <w:lang w:val="en-US" w:eastAsia="zh-CN" w:bidi="ar-SA"/>
        </w:rPr>
      </w:pPr>
    </w:p>
    <w:p w14:paraId="1C06DC04">
      <w:pPr>
        <w:jc w:val="left"/>
        <w:rPr>
          <w:rFonts w:hint="eastAsia" w:ascii="黑体" w:hAnsi="黑体" w:eastAsia="黑体" w:cs="黑体"/>
          <w:b/>
          <w:bCs/>
          <w:kern w:val="2"/>
          <w:sz w:val="28"/>
          <w:szCs w:val="28"/>
          <w:lang w:val="en-US" w:eastAsia="zh-CN" w:bidi="ar-SA"/>
        </w:rPr>
      </w:pPr>
    </w:p>
    <w:p w14:paraId="481D6654">
      <w:pPr>
        <w:jc w:val="left"/>
        <w:rPr>
          <w:rFonts w:hint="eastAsia" w:ascii="黑体" w:hAnsi="黑体" w:eastAsia="黑体" w:cs="黑体"/>
          <w:b/>
          <w:bCs/>
          <w:kern w:val="2"/>
          <w:sz w:val="28"/>
          <w:szCs w:val="28"/>
          <w:lang w:val="en-US" w:eastAsia="zh-CN" w:bidi="ar-SA"/>
        </w:rPr>
      </w:pPr>
    </w:p>
    <w:p w14:paraId="227625C4">
      <w:pPr>
        <w:jc w:val="left"/>
        <w:rPr>
          <w:rFonts w:hint="eastAsia" w:ascii="黑体" w:hAnsi="黑体" w:eastAsia="黑体" w:cs="黑体"/>
          <w:b/>
          <w:bCs/>
          <w:kern w:val="2"/>
          <w:sz w:val="28"/>
          <w:szCs w:val="28"/>
          <w:lang w:val="en-US" w:eastAsia="zh-CN" w:bidi="ar-SA"/>
        </w:rPr>
      </w:pPr>
    </w:p>
    <w:p w14:paraId="28856669">
      <w:pPr>
        <w:jc w:val="left"/>
        <w:rPr>
          <w:rFonts w:hint="eastAsia" w:ascii="黑体" w:hAnsi="黑体" w:eastAsia="黑体" w:cs="黑体"/>
          <w:b/>
          <w:bCs/>
          <w:kern w:val="2"/>
          <w:sz w:val="28"/>
          <w:szCs w:val="28"/>
          <w:lang w:val="en-US" w:eastAsia="zh-CN" w:bidi="ar-SA"/>
        </w:rPr>
      </w:pPr>
    </w:p>
    <w:p w14:paraId="71CB44A1">
      <w:pPr>
        <w:pStyle w:val="2"/>
        <w:rPr>
          <w:rFonts w:hint="eastAsia" w:ascii="黑体" w:hAnsi="黑体" w:eastAsia="黑体" w:cs="黑体"/>
          <w:b/>
          <w:bCs/>
          <w:kern w:val="2"/>
          <w:sz w:val="28"/>
          <w:szCs w:val="28"/>
          <w:lang w:val="en-US" w:eastAsia="zh-CN" w:bidi="ar-SA"/>
        </w:rPr>
      </w:pPr>
    </w:p>
    <w:p w14:paraId="3E296513">
      <w:pPr>
        <w:pStyle w:val="2"/>
        <w:rPr>
          <w:rFonts w:hint="eastAsia" w:ascii="黑体" w:hAnsi="黑体" w:eastAsia="黑体" w:cs="黑体"/>
          <w:b/>
          <w:bCs/>
          <w:kern w:val="2"/>
          <w:sz w:val="28"/>
          <w:szCs w:val="28"/>
          <w:lang w:val="en-US" w:eastAsia="zh-CN" w:bidi="ar-SA"/>
        </w:rPr>
      </w:pPr>
    </w:p>
    <w:p w14:paraId="0CC39CB0">
      <w:pPr>
        <w:pStyle w:val="2"/>
        <w:rPr>
          <w:rFonts w:hint="eastAsia" w:ascii="黑体" w:hAnsi="黑体" w:eastAsia="黑体" w:cs="黑体"/>
          <w:b/>
          <w:bCs/>
          <w:kern w:val="2"/>
          <w:sz w:val="28"/>
          <w:szCs w:val="28"/>
          <w:lang w:val="en-US" w:eastAsia="zh-CN" w:bidi="ar-SA"/>
        </w:rPr>
      </w:pPr>
    </w:p>
    <w:p w14:paraId="06B91250">
      <w:pPr>
        <w:pStyle w:val="2"/>
        <w:rPr>
          <w:rFonts w:hint="eastAsia" w:ascii="黑体" w:hAnsi="黑体" w:eastAsia="黑体" w:cs="黑体"/>
          <w:b/>
          <w:bCs/>
          <w:kern w:val="2"/>
          <w:sz w:val="28"/>
          <w:szCs w:val="28"/>
          <w:lang w:val="en-US" w:eastAsia="zh-CN" w:bidi="ar-SA"/>
        </w:rPr>
      </w:pPr>
    </w:p>
    <w:p w14:paraId="68733ABC">
      <w:pPr>
        <w:pStyle w:val="2"/>
        <w:rPr>
          <w:rFonts w:hint="eastAsia" w:ascii="黑体" w:hAnsi="黑体" w:eastAsia="黑体" w:cs="黑体"/>
          <w:b/>
          <w:bCs/>
          <w:kern w:val="2"/>
          <w:sz w:val="28"/>
          <w:szCs w:val="28"/>
          <w:lang w:val="en-US" w:eastAsia="zh-CN" w:bidi="ar-SA"/>
        </w:rPr>
      </w:pPr>
    </w:p>
    <w:p w14:paraId="3ECDD94E">
      <w:pPr>
        <w:pStyle w:val="2"/>
        <w:rPr>
          <w:rFonts w:hint="eastAsia" w:ascii="黑体" w:hAnsi="黑体" w:eastAsia="黑体" w:cs="黑体"/>
          <w:b/>
          <w:bCs/>
          <w:kern w:val="2"/>
          <w:sz w:val="28"/>
          <w:szCs w:val="28"/>
          <w:lang w:val="en-US" w:eastAsia="zh-CN" w:bidi="ar-SA"/>
        </w:rPr>
      </w:pPr>
    </w:p>
    <w:p w14:paraId="65B9C3E3">
      <w:pPr>
        <w:pStyle w:val="2"/>
        <w:rPr>
          <w:rFonts w:hint="eastAsia" w:ascii="黑体" w:hAnsi="黑体" w:eastAsia="黑体" w:cs="黑体"/>
          <w:b/>
          <w:bCs/>
          <w:kern w:val="2"/>
          <w:sz w:val="28"/>
          <w:szCs w:val="28"/>
          <w:lang w:val="en-US" w:eastAsia="zh-CN" w:bidi="ar-SA"/>
        </w:rPr>
      </w:pPr>
    </w:p>
    <w:p w14:paraId="03466C4C">
      <w:pPr>
        <w:pStyle w:val="2"/>
        <w:rPr>
          <w:rFonts w:hint="eastAsia" w:ascii="黑体" w:hAnsi="黑体" w:eastAsia="黑体" w:cs="黑体"/>
          <w:b/>
          <w:bCs/>
          <w:kern w:val="2"/>
          <w:sz w:val="28"/>
          <w:szCs w:val="28"/>
          <w:lang w:val="en-US" w:eastAsia="zh-CN" w:bidi="ar-SA"/>
        </w:rPr>
      </w:pPr>
    </w:p>
    <w:p w14:paraId="1BB16391">
      <w:pPr>
        <w:jc w:val="left"/>
        <w:rPr>
          <w:rFonts w:hint="eastAsia" w:ascii="黑体" w:hAnsi="黑体" w:eastAsia="黑体" w:cs="黑体"/>
          <w:b/>
          <w:bCs/>
          <w:kern w:val="2"/>
          <w:sz w:val="28"/>
          <w:szCs w:val="28"/>
          <w:lang w:val="en-US" w:eastAsia="zh-CN" w:bidi="ar-SA"/>
        </w:rPr>
      </w:pPr>
    </w:p>
    <w:p w14:paraId="01012EC4">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7106A563">
      <w:pPr>
        <w:pStyle w:val="5"/>
        <w:spacing w:before="120" w:after="120" w:line="560" w:lineRule="exact"/>
        <w:rPr>
          <w:rFonts w:hint="eastAsia" w:ascii="宋体" w:hAnsi="宋体" w:cs="宋体"/>
          <w:sz w:val="24"/>
          <w:szCs w:val="24"/>
        </w:rPr>
      </w:pPr>
      <w:bookmarkStart w:id="2" w:name="_Toc13718"/>
      <w:r>
        <w:rPr>
          <w:rFonts w:hint="eastAsia" w:ascii="宋体" w:hAnsi="宋体" w:cs="宋体"/>
          <w:sz w:val="24"/>
          <w:szCs w:val="24"/>
        </w:rPr>
        <w:t>附件</w:t>
      </w:r>
      <w:r>
        <w:rPr>
          <w:rFonts w:hint="eastAsia" w:ascii="宋体" w:hAnsi="宋体" w:cs="宋体"/>
          <w:sz w:val="24"/>
          <w:szCs w:val="24"/>
          <w:lang w:eastAsia="zh-CN"/>
        </w:rPr>
        <w:t>一、投标报价表（可由</w:t>
      </w:r>
      <w:r>
        <w:rPr>
          <w:rFonts w:hint="eastAsia" w:ascii="宋体" w:hAnsi="宋体" w:cs="宋体"/>
          <w:sz w:val="24"/>
          <w:szCs w:val="24"/>
          <w:lang w:val="en-US" w:eastAsia="zh-CN"/>
        </w:rPr>
        <w:t>投标人自行编制</w:t>
      </w:r>
      <w:r>
        <w:rPr>
          <w:rFonts w:hint="eastAsia" w:ascii="宋体" w:hAnsi="宋体" w:cs="宋体"/>
          <w:sz w:val="24"/>
          <w:szCs w:val="24"/>
          <w:lang w:eastAsia="zh-CN"/>
        </w:rPr>
        <w:t>）</w:t>
      </w:r>
    </w:p>
    <w:p w14:paraId="2BC4A85F">
      <w:pPr>
        <w:pStyle w:val="8"/>
        <w:spacing w:after="0" w:line="320" w:lineRule="exact"/>
        <w:jc w:val="center"/>
        <w:rPr>
          <w:rFonts w:ascii="宋体" w:hAnsi="宋体"/>
          <w:b/>
          <w:bCs/>
          <w:sz w:val="32"/>
          <w:szCs w:val="32"/>
        </w:rPr>
      </w:pPr>
      <w:r>
        <w:rPr>
          <w:rFonts w:hint="eastAsia" w:ascii="宋体" w:hAnsi="宋体" w:cs="宋体"/>
          <w:b/>
          <w:bCs/>
          <w:sz w:val="32"/>
          <w:szCs w:val="32"/>
          <w:lang w:val="en-US" w:eastAsia="zh-CN"/>
        </w:rPr>
        <w:t>投标报价</w:t>
      </w:r>
      <w:r>
        <w:rPr>
          <w:rFonts w:hint="eastAsia" w:ascii="宋体" w:hAnsi="宋体" w:cs="宋体"/>
          <w:b/>
          <w:bCs/>
          <w:sz w:val="32"/>
          <w:szCs w:val="32"/>
        </w:rPr>
        <w:t>表</w:t>
      </w:r>
    </w:p>
    <w:p w14:paraId="1603B277">
      <w:pPr>
        <w:pStyle w:val="9"/>
        <w:spacing w:line="360" w:lineRule="exact"/>
        <w:ind w:left="0" w:leftChars="0" w:firstLine="0" w:firstLineChars="0"/>
        <w:rPr>
          <w:rFonts w:hint="eastAsia" w:ascii="宋体" w:hAnsi="宋体" w:cs="宋体"/>
          <w:sz w:val="24"/>
          <w:szCs w:val="24"/>
          <w:lang w:eastAsia="zh-CN"/>
        </w:rPr>
      </w:pPr>
      <w:r>
        <w:rPr>
          <w:rFonts w:hint="eastAsia" w:ascii="宋体" w:hAnsi="宋体" w:cs="宋体"/>
          <w:sz w:val="24"/>
          <w:szCs w:val="24"/>
        </w:rPr>
        <w:t>项目</w:t>
      </w:r>
      <w:r>
        <w:rPr>
          <w:rFonts w:hint="eastAsia" w:ascii="宋体" w:hAnsi="宋体" w:eastAsia="宋体" w:cs="宋体"/>
          <w:sz w:val="24"/>
          <w:szCs w:val="24"/>
        </w:rPr>
        <w:t>名称：</w:t>
      </w:r>
      <w:r>
        <w:rPr>
          <w:rFonts w:hint="eastAsia" w:ascii="宋体" w:hAnsi="宋体" w:cs="宋体"/>
          <w:sz w:val="24"/>
          <w:szCs w:val="24"/>
          <w:lang w:eastAsia="zh-CN"/>
        </w:rPr>
        <w:t>零部件部</w:t>
      </w:r>
      <w:r>
        <w:rPr>
          <w:rFonts w:hint="eastAsia" w:ascii="宋体" w:hAnsi="宋体" w:cs="宋体"/>
          <w:sz w:val="24"/>
          <w:szCs w:val="24"/>
          <w:lang w:val="en-US" w:eastAsia="zh-CN"/>
        </w:rPr>
        <w:t>225</w:t>
      </w:r>
      <w:r>
        <w:rPr>
          <w:rFonts w:hint="eastAsia" w:ascii="宋体" w:hAnsi="宋体" w:cs="宋体"/>
          <w:sz w:val="24"/>
          <w:szCs w:val="24"/>
          <w:lang w:eastAsia="zh-CN"/>
        </w:rPr>
        <w:t>T折弯机维修项目</w:t>
      </w:r>
    </w:p>
    <w:tbl>
      <w:tblPr>
        <w:tblStyle w:val="2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17"/>
        <w:gridCol w:w="1050"/>
        <w:gridCol w:w="1067"/>
        <w:gridCol w:w="833"/>
        <w:gridCol w:w="1261"/>
        <w:gridCol w:w="1524"/>
      </w:tblGrid>
      <w:tr w14:paraId="4E2F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20" w:type="dxa"/>
            <w:gridSpan w:val="7"/>
          </w:tcPr>
          <w:p w14:paraId="3480717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冲床模具明细</w:t>
            </w:r>
          </w:p>
        </w:tc>
      </w:tr>
      <w:tr w14:paraId="155B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68" w:type="dxa"/>
          </w:tcPr>
          <w:p w14:paraId="59D1FD30">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917" w:type="dxa"/>
          </w:tcPr>
          <w:p w14:paraId="69AA5ADE">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图纸编号</w:t>
            </w:r>
          </w:p>
        </w:tc>
        <w:tc>
          <w:tcPr>
            <w:tcW w:w="1050" w:type="dxa"/>
          </w:tcPr>
          <w:p w14:paraId="68FD03A9">
            <w:pPr>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硬度</w:t>
            </w:r>
          </w:p>
        </w:tc>
        <w:tc>
          <w:tcPr>
            <w:tcW w:w="1067" w:type="dxa"/>
          </w:tcPr>
          <w:p w14:paraId="2CBA1029">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材质</w:t>
            </w:r>
          </w:p>
        </w:tc>
        <w:tc>
          <w:tcPr>
            <w:tcW w:w="833" w:type="dxa"/>
          </w:tcPr>
          <w:p w14:paraId="31E31D0C">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材料厚度</w:t>
            </w:r>
            <w:r>
              <w:rPr>
                <w:rFonts w:hint="eastAsia" w:ascii="宋体" w:hAnsi="宋体" w:cs="宋体"/>
                <w:kern w:val="2"/>
                <w:sz w:val="24"/>
                <w:szCs w:val="24"/>
                <w:lang w:val="en-US" w:eastAsia="zh-CN" w:bidi="ar-SA"/>
              </w:rPr>
              <w:t>(mm)</w:t>
            </w:r>
          </w:p>
        </w:tc>
        <w:tc>
          <w:tcPr>
            <w:tcW w:w="1261" w:type="dxa"/>
          </w:tcPr>
          <w:p w14:paraId="4DC9349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使用设备</w:t>
            </w:r>
          </w:p>
        </w:tc>
        <w:tc>
          <w:tcPr>
            <w:tcW w:w="1524" w:type="dxa"/>
          </w:tcPr>
          <w:p w14:paraId="5F4A0ABF">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价格（万元）</w:t>
            </w:r>
          </w:p>
        </w:tc>
      </w:tr>
      <w:tr w14:paraId="747B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8" w:type="dxa"/>
          </w:tcPr>
          <w:p w14:paraId="09C8E6C7">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917" w:type="dxa"/>
          </w:tcPr>
          <w:p w14:paraId="26056A0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CFB2180C010012</w:t>
            </w:r>
          </w:p>
        </w:tc>
        <w:tc>
          <w:tcPr>
            <w:tcW w:w="1050" w:type="dxa"/>
          </w:tcPr>
          <w:p w14:paraId="1B357F75">
            <w:pPr>
              <w:jc w:val="center"/>
              <w:rPr>
                <w:rFonts w:hint="default" w:ascii="宋体" w:hAnsi="宋体" w:eastAsia="宋体" w:cs="宋体"/>
                <w:kern w:val="2"/>
                <w:sz w:val="24"/>
                <w:szCs w:val="24"/>
                <w:lang w:val="en-US" w:eastAsia="zh-CN" w:bidi="ar-SA"/>
              </w:rPr>
            </w:pPr>
            <w:r>
              <w:rPr>
                <w:rFonts w:hint="eastAsia" w:ascii="宋体" w:hAnsi="Times New Roman" w:cs="Times New Roman"/>
                <w:kern w:val="2"/>
                <w:sz w:val="21"/>
                <w:szCs w:val="22"/>
                <w:lang w:val="en-US" w:eastAsia="zh-CN" w:bidi="ar-SA"/>
              </w:rPr>
              <w:t>不低于</w:t>
            </w:r>
            <w:r>
              <w:rPr>
                <w:rFonts w:hint="eastAsia" w:ascii="宋体" w:hAnsi="Times New Roman" w:eastAsia="宋体" w:cs="Times New Roman"/>
                <w:kern w:val="2"/>
                <w:sz w:val="21"/>
                <w:szCs w:val="22"/>
                <w:lang w:val="en-US" w:eastAsia="zh-CN" w:bidi="ar-SA"/>
              </w:rPr>
              <w:t>5</w:t>
            </w:r>
            <w:r>
              <w:rPr>
                <w:rFonts w:hint="eastAsia" w:ascii="宋体" w:hAnsi="Times New Roman" w:cs="Times New Roman"/>
                <w:kern w:val="2"/>
                <w:sz w:val="21"/>
                <w:szCs w:val="22"/>
                <w:lang w:val="en-US" w:eastAsia="zh-CN" w:bidi="ar-SA"/>
              </w:rPr>
              <w:t>5</w:t>
            </w:r>
            <w:r>
              <w:rPr>
                <w:rFonts w:hint="eastAsia" w:ascii="宋体" w:hAnsi="Times New Roman" w:eastAsia="宋体" w:cs="Times New Roman"/>
                <w:kern w:val="2"/>
                <w:sz w:val="21"/>
                <w:szCs w:val="22"/>
                <w:lang w:val="en-US" w:eastAsia="zh-CN" w:bidi="ar-SA"/>
              </w:rPr>
              <w:t>HRC</w:t>
            </w:r>
          </w:p>
        </w:tc>
        <w:tc>
          <w:tcPr>
            <w:tcW w:w="1067" w:type="dxa"/>
          </w:tcPr>
          <w:p w14:paraId="59045CAB">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DC53</w:t>
            </w:r>
          </w:p>
        </w:tc>
        <w:tc>
          <w:tcPr>
            <w:tcW w:w="833" w:type="dxa"/>
          </w:tcPr>
          <w:p w14:paraId="491C6488">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261" w:type="dxa"/>
          </w:tcPr>
          <w:p w14:paraId="68545933">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400T冲床</w:t>
            </w:r>
          </w:p>
        </w:tc>
        <w:tc>
          <w:tcPr>
            <w:tcW w:w="1524" w:type="dxa"/>
          </w:tcPr>
          <w:p w14:paraId="27931156">
            <w:pPr>
              <w:jc w:val="center"/>
              <w:rPr>
                <w:rFonts w:hint="default" w:ascii="宋体" w:hAnsi="宋体" w:eastAsia="宋体" w:cs="宋体"/>
                <w:kern w:val="2"/>
                <w:sz w:val="24"/>
                <w:szCs w:val="24"/>
                <w:lang w:val="en-US" w:eastAsia="zh-CN" w:bidi="ar-SA"/>
              </w:rPr>
            </w:pPr>
          </w:p>
        </w:tc>
      </w:tr>
      <w:tr w14:paraId="37A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8" w:type="dxa"/>
          </w:tcPr>
          <w:p w14:paraId="27EC932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917" w:type="dxa"/>
          </w:tcPr>
          <w:p w14:paraId="003BC4AA">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25FDE01500015</w:t>
            </w:r>
          </w:p>
        </w:tc>
        <w:tc>
          <w:tcPr>
            <w:tcW w:w="1050" w:type="dxa"/>
          </w:tcPr>
          <w:p w14:paraId="12A163A0">
            <w:pPr>
              <w:jc w:val="center"/>
              <w:rPr>
                <w:rFonts w:hint="eastAsia" w:ascii="宋体" w:hAnsi="宋体" w:eastAsia="宋体" w:cs="宋体"/>
                <w:kern w:val="2"/>
                <w:sz w:val="24"/>
                <w:szCs w:val="24"/>
                <w:lang w:val="en-US" w:eastAsia="zh-CN" w:bidi="ar-SA"/>
              </w:rPr>
            </w:pPr>
            <w:r>
              <w:rPr>
                <w:rFonts w:hint="eastAsia" w:ascii="宋体" w:hAnsi="Times New Roman" w:cs="Times New Roman"/>
                <w:kern w:val="2"/>
                <w:sz w:val="21"/>
                <w:szCs w:val="22"/>
                <w:lang w:val="en-US" w:eastAsia="zh-CN" w:bidi="ar-SA"/>
              </w:rPr>
              <w:t>不低于</w:t>
            </w:r>
            <w:r>
              <w:rPr>
                <w:rFonts w:hint="eastAsia" w:ascii="宋体" w:hAnsi="Times New Roman" w:eastAsia="宋体" w:cs="Times New Roman"/>
                <w:kern w:val="2"/>
                <w:sz w:val="21"/>
                <w:szCs w:val="22"/>
                <w:lang w:val="en-US" w:eastAsia="zh-CN" w:bidi="ar-SA"/>
              </w:rPr>
              <w:t>5</w:t>
            </w:r>
            <w:r>
              <w:rPr>
                <w:rFonts w:hint="eastAsia" w:ascii="宋体" w:hAnsi="Times New Roman" w:cs="Times New Roman"/>
                <w:kern w:val="2"/>
                <w:sz w:val="21"/>
                <w:szCs w:val="22"/>
                <w:lang w:val="en-US" w:eastAsia="zh-CN" w:bidi="ar-SA"/>
              </w:rPr>
              <w:t>5</w:t>
            </w:r>
            <w:r>
              <w:rPr>
                <w:rFonts w:hint="eastAsia" w:ascii="宋体" w:hAnsi="Times New Roman" w:eastAsia="宋体" w:cs="Times New Roman"/>
                <w:kern w:val="2"/>
                <w:sz w:val="21"/>
                <w:szCs w:val="22"/>
                <w:lang w:val="en-US" w:eastAsia="zh-CN" w:bidi="ar-SA"/>
              </w:rPr>
              <w:t>HRC</w:t>
            </w:r>
          </w:p>
        </w:tc>
        <w:tc>
          <w:tcPr>
            <w:tcW w:w="1067" w:type="dxa"/>
          </w:tcPr>
          <w:p w14:paraId="6929EEA8">
            <w:pPr>
              <w:jc w:val="center"/>
              <w:rPr>
                <w:rFonts w:hint="default" w:ascii="宋体" w:hAnsi="宋体" w:eastAsia="宋体" w:cs="宋体"/>
                <w:kern w:val="2"/>
                <w:sz w:val="24"/>
                <w:szCs w:val="24"/>
                <w:lang w:val="en-US" w:eastAsia="zh-CN" w:bidi="ar-SA"/>
              </w:rPr>
            </w:pPr>
            <w:r>
              <w:rPr>
                <w:rFonts w:hint="eastAsia" w:ascii="宋体" w:hAnsi="Times New Roman" w:eastAsia="宋体" w:cs="Times New Roman"/>
                <w:kern w:val="2"/>
                <w:sz w:val="21"/>
                <w:szCs w:val="22"/>
                <w:lang w:val="en-US" w:eastAsia="zh-CN" w:bidi="ar-SA"/>
              </w:rPr>
              <w:t>Cr12MoV</w:t>
            </w:r>
            <w:r>
              <w:rPr>
                <w:rFonts w:hint="eastAsia" w:ascii="宋体" w:hAnsi="Times New Roman" w:cs="Times New Roman"/>
                <w:kern w:val="2"/>
                <w:sz w:val="21"/>
                <w:szCs w:val="22"/>
                <w:lang w:val="en-US" w:eastAsia="zh-CN" w:bidi="ar-SA"/>
              </w:rPr>
              <w:t>或优于此材质</w:t>
            </w:r>
          </w:p>
        </w:tc>
        <w:tc>
          <w:tcPr>
            <w:tcW w:w="833" w:type="dxa"/>
          </w:tcPr>
          <w:p w14:paraId="6BDBA7E0">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261" w:type="dxa"/>
            <w:vAlign w:val="top"/>
          </w:tcPr>
          <w:p w14:paraId="7F3BB187">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400T冲床</w:t>
            </w:r>
          </w:p>
        </w:tc>
        <w:tc>
          <w:tcPr>
            <w:tcW w:w="1524" w:type="dxa"/>
          </w:tcPr>
          <w:p w14:paraId="76DD813D">
            <w:pPr>
              <w:jc w:val="center"/>
              <w:rPr>
                <w:rFonts w:hint="default" w:ascii="宋体" w:hAnsi="宋体" w:eastAsia="宋体" w:cs="宋体"/>
                <w:kern w:val="2"/>
                <w:sz w:val="24"/>
                <w:szCs w:val="24"/>
                <w:lang w:val="en-US" w:eastAsia="zh-CN" w:bidi="ar-SA"/>
              </w:rPr>
            </w:pPr>
          </w:p>
        </w:tc>
      </w:tr>
      <w:tr w14:paraId="0A4D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8" w:type="dxa"/>
          </w:tcPr>
          <w:p w14:paraId="5BDC0ABC">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917" w:type="dxa"/>
          </w:tcPr>
          <w:p w14:paraId="14E5EE5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31FGFA0510026</w:t>
            </w:r>
          </w:p>
        </w:tc>
        <w:tc>
          <w:tcPr>
            <w:tcW w:w="1050" w:type="dxa"/>
          </w:tcPr>
          <w:p w14:paraId="489B350C">
            <w:pPr>
              <w:jc w:val="center"/>
              <w:rPr>
                <w:rFonts w:hint="default" w:ascii="宋体" w:hAnsi="宋体" w:eastAsia="宋体" w:cs="宋体"/>
                <w:kern w:val="2"/>
                <w:sz w:val="24"/>
                <w:szCs w:val="24"/>
                <w:lang w:val="en-US" w:eastAsia="zh-CN" w:bidi="ar-SA"/>
              </w:rPr>
            </w:pPr>
            <w:r>
              <w:rPr>
                <w:rFonts w:hint="eastAsia" w:ascii="宋体" w:hAnsi="Times New Roman" w:cs="Times New Roman"/>
                <w:kern w:val="2"/>
                <w:sz w:val="21"/>
                <w:szCs w:val="22"/>
                <w:lang w:val="en-US" w:eastAsia="zh-CN" w:bidi="ar-SA"/>
              </w:rPr>
              <w:t>不低于</w:t>
            </w:r>
            <w:r>
              <w:rPr>
                <w:rFonts w:hint="eastAsia" w:ascii="宋体" w:hAnsi="Times New Roman" w:eastAsia="宋体" w:cs="Times New Roman"/>
                <w:kern w:val="2"/>
                <w:sz w:val="21"/>
                <w:szCs w:val="22"/>
                <w:lang w:val="en-US" w:eastAsia="zh-CN" w:bidi="ar-SA"/>
              </w:rPr>
              <w:t>5</w:t>
            </w:r>
            <w:r>
              <w:rPr>
                <w:rFonts w:hint="eastAsia" w:ascii="宋体" w:hAnsi="Times New Roman" w:cs="Times New Roman"/>
                <w:kern w:val="2"/>
                <w:sz w:val="21"/>
                <w:szCs w:val="22"/>
                <w:lang w:val="en-US" w:eastAsia="zh-CN" w:bidi="ar-SA"/>
              </w:rPr>
              <w:t>5</w:t>
            </w:r>
            <w:r>
              <w:rPr>
                <w:rFonts w:hint="eastAsia" w:ascii="宋体" w:hAnsi="Times New Roman" w:eastAsia="宋体" w:cs="Times New Roman"/>
                <w:kern w:val="2"/>
                <w:sz w:val="21"/>
                <w:szCs w:val="22"/>
                <w:lang w:val="en-US" w:eastAsia="zh-CN" w:bidi="ar-SA"/>
              </w:rPr>
              <w:t>HRC</w:t>
            </w:r>
          </w:p>
        </w:tc>
        <w:tc>
          <w:tcPr>
            <w:tcW w:w="1067" w:type="dxa"/>
          </w:tcPr>
          <w:p w14:paraId="4B0D1A00">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DC53</w:t>
            </w:r>
          </w:p>
        </w:tc>
        <w:tc>
          <w:tcPr>
            <w:tcW w:w="833" w:type="dxa"/>
          </w:tcPr>
          <w:p w14:paraId="297297C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261" w:type="dxa"/>
            <w:vAlign w:val="top"/>
          </w:tcPr>
          <w:p w14:paraId="56720CD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400T冲床</w:t>
            </w:r>
          </w:p>
        </w:tc>
        <w:tc>
          <w:tcPr>
            <w:tcW w:w="1524" w:type="dxa"/>
          </w:tcPr>
          <w:p w14:paraId="45429A57">
            <w:pPr>
              <w:jc w:val="center"/>
              <w:rPr>
                <w:rFonts w:hint="default" w:ascii="宋体" w:hAnsi="宋体" w:eastAsia="宋体" w:cs="宋体"/>
                <w:kern w:val="2"/>
                <w:sz w:val="24"/>
                <w:szCs w:val="24"/>
                <w:lang w:val="en-US" w:eastAsia="zh-CN" w:bidi="ar-SA"/>
              </w:rPr>
            </w:pPr>
          </w:p>
        </w:tc>
      </w:tr>
      <w:tr w14:paraId="3C40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68" w:type="dxa"/>
          </w:tcPr>
          <w:p w14:paraId="05C3774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917" w:type="dxa"/>
          </w:tcPr>
          <w:p w14:paraId="793DA507">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CFB1350010016</w:t>
            </w:r>
          </w:p>
        </w:tc>
        <w:tc>
          <w:tcPr>
            <w:tcW w:w="1050" w:type="dxa"/>
          </w:tcPr>
          <w:p w14:paraId="46114C48">
            <w:pPr>
              <w:jc w:val="center"/>
              <w:rPr>
                <w:rFonts w:hint="eastAsia" w:ascii="宋体" w:hAnsi="宋体" w:eastAsia="宋体" w:cs="宋体"/>
                <w:kern w:val="2"/>
                <w:sz w:val="24"/>
                <w:szCs w:val="24"/>
                <w:lang w:val="en-US" w:eastAsia="zh-CN" w:bidi="ar-SA"/>
              </w:rPr>
            </w:pPr>
            <w:r>
              <w:rPr>
                <w:rFonts w:hint="eastAsia" w:ascii="宋体" w:hAnsi="Times New Roman" w:cs="Times New Roman"/>
                <w:kern w:val="2"/>
                <w:sz w:val="21"/>
                <w:szCs w:val="22"/>
                <w:lang w:val="en-US" w:eastAsia="zh-CN" w:bidi="ar-SA"/>
              </w:rPr>
              <w:t>不低于</w:t>
            </w:r>
            <w:r>
              <w:rPr>
                <w:rFonts w:hint="eastAsia" w:ascii="宋体" w:hAnsi="Times New Roman" w:eastAsia="宋体" w:cs="Times New Roman"/>
                <w:kern w:val="2"/>
                <w:sz w:val="21"/>
                <w:szCs w:val="22"/>
                <w:lang w:val="en-US" w:eastAsia="zh-CN" w:bidi="ar-SA"/>
              </w:rPr>
              <w:t>5</w:t>
            </w:r>
            <w:r>
              <w:rPr>
                <w:rFonts w:hint="eastAsia" w:ascii="宋体" w:hAnsi="Times New Roman" w:cs="Times New Roman"/>
                <w:kern w:val="2"/>
                <w:sz w:val="21"/>
                <w:szCs w:val="22"/>
                <w:lang w:val="en-US" w:eastAsia="zh-CN" w:bidi="ar-SA"/>
              </w:rPr>
              <w:t>5</w:t>
            </w:r>
            <w:r>
              <w:rPr>
                <w:rFonts w:hint="eastAsia" w:ascii="宋体" w:hAnsi="Times New Roman" w:eastAsia="宋体" w:cs="Times New Roman"/>
                <w:kern w:val="2"/>
                <w:sz w:val="21"/>
                <w:szCs w:val="22"/>
                <w:lang w:val="en-US" w:eastAsia="zh-CN" w:bidi="ar-SA"/>
              </w:rPr>
              <w:t>HRC</w:t>
            </w:r>
          </w:p>
        </w:tc>
        <w:tc>
          <w:tcPr>
            <w:tcW w:w="1067" w:type="dxa"/>
          </w:tcPr>
          <w:p w14:paraId="35B93ECA">
            <w:pPr>
              <w:jc w:val="center"/>
              <w:rPr>
                <w:rFonts w:hint="default" w:ascii="宋体" w:hAnsi="宋体" w:eastAsia="宋体" w:cs="宋体"/>
                <w:kern w:val="2"/>
                <w:sz w:val="24"/>
                <w:szCs w:val="24"/>
                <w:lang w:val="en-US" w:eastAsia="zh-CN" w:bidi="ar-SA"/>
              </w:rPr>
            </w:pPr>
            <w:r>
              <w:rPr>
                <w:rFonts w:hint="eastAsia" w:ascii="宋体" w:hAnsi="Times New Roman" w:eastAsia="宋体" w:cs="Times New Roman"/>
                <w:kern w:val="2"/>
                <w:sz w:val="21"/>
                <w:szCs w:val="22"/>
                <w:lang w:val="en-US" w:eastAsia="zh-CN" w:bidi="ar-SA"/>
              </w:rPr>
              <w:t>Cr12MoV</w:t>
            </w:r>
            <w:r>
              <w:rPr>
                <w:rFonts w:hint="eastAsia" w:ascii="宋体" w:hAnsi="Times New Roman" w:cs="Times New Roman"/>
                <w:kern w:val="2"/>
                <w:sz w:val="21"/>
                <w:szCs w:val="22"/>
                <w:lang w:val="en-US" w:eastAsia="zh-CN" w:bidi="ar-SA"/>
              </w:rPr>
              <w:t>或优于此材质</w:t>
            </w:r>
          </w:p>
        </w:tc>
        <w:tc>
          <w:tcPr>
            <w:tcW w:w="833" w:type="dxa"/>
          </w:tcPr>
          <w:p w14:paraId="04C57FBE">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261" w:type="dxa"/>
            <w:vAlign w:val="top"/>
          </w:tcPr>
          <w:p w14:paraId="702FB3C5">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400T冲床</w:t>
            </w:r>
          </w:p>
        </w:tc>
        <w:tc>
          <w:tcPr>
            <w:tcW w:w="1524" w:type="dxa"/>
          </w:tcPr>
          <w:p w14:paraId="3C068551">
            <w:pPr>
              <w:jc w:val="center"/>
              <w:rPr>
                <w:rFonts w:hint="default" w:ascii="宋体" w:hAnsi="宋体" w:eastAsia="宋体" w:cs="宋体"/>
                <w:kern w:val="2"/>
                <w:sz w:val="24"/>
                <w:szCs w:val="24"/>
                <w:lang w:val="en-US" w:eastAsia="zh-CN" w:bidi="ar-SA"/>
              </w:rPr>
            </w:pPr>
          </w:p>
        </w:tc>
      </w:tr>
    </w:tbl>
    <w:p w14:paraId="105D5774">
      <w:pPr>
        <w:pStyle w:val="9"/>
        <w:spacing w:line="360" w:lineRule="exact"/>
        <w:ind w:left="0" w:leftChars="0" w:firstLine="0" w:firstLineChars="0"/>
        <w:rPr>
          <w:rFonts w:hint="eastAsia" w:ascii="宋体" w:hAnsi="宋体" w:cs="宋体"/>
          <w:sz w:val="24"/>
          <w:szCs w:val="24"/>
          <w:lang w:eastAsia="zh-CN"/>
        </w:rPr>
      </w:pPr>
    </w:p>
    <w:p w14:paraId="67B05496">
      <w:pPr>
        <w:rPr>
          <w:rFonts w:hint="eastAsia" w:ascii="宋体" w:hAnsi="宋体"/>
          <w:b/>
          <w:bCs/>
        </w:rPr>
      </w:pPr>
      <w:r>
        <w:rPr>
          <w:rFonts w:hint="eastAsia" w:ascii="宋体" w:hAnsi="宋体"/>
          <w:b/>
          <w:bCs/>
        </w:rPr>
        <w:t>注： 1、此表中的报价必须与相应的报价明细表中的报价一致</w:t>
      </w:r>
    </w:p>
    <w:p w14:paraId="6DFFD3EE">
      <w:pPr>
        <w:ind w:firstLine="588" w:firstLineChars="279"/>
        <w:rPr>
          <w:rFonts w:hint="default" w:ascii="宋体" w:hAnsi="宋体" w:eastAsia="宋体"/>
          <w:b/>
          <w:bCs/>
          <w:lang w:val="en-US" w:eastAsia="zh-CN"/>
        </w:rPr>
      </w:pPr>
      <w:r>
        <w:rPr>
          <w:rFonts w:hint="eastAsia" w:ascii="宋体" w:hAnsi="宋体"/>
          <w:b/>
          <w:bCs/>
        </w:rPr>
        <w:t>2、</w:t>
      </w:r>
      <w:r>
        <w:rPr>
          <w:rFonts w:hint="eastAsia" w:ascii="宋体" w:hAnsi="宋体"/>
          <w:b/>
          <w:bCs/>
          <w:lang w:val="en-US" w:eastAsia="zh-CN"/>
        </w:rPr>
        <w:t>以上价格含税、含人工、含安装、含运费</w:t>
      </w:r>
    </w:p>
    <w:p w14:paraId="70346773">
      <w:pPr>
        <w:pStyle w:val="2"/>
        <w:rPr>
          <w:rFonts w:hint="eastAsia" w:ascii="宋体" w:hAnsi="宋体" w:cs="宋体"/>
          <w:sz w:val="24"/>
          <w:szCs w:val="24"/>
          <w:lang w:eastAsia="zh-CN"/>
        </w:rPr>
      </w:pPr>
    </w:p>
    <w:bookmarkEnd w:id="2"/>
    <w:p w14:paraId="6EAF4BE4">
      <w:pPr>
        <w:jc w:val="left"/>
        <w:rPr>
          <w:rFonts w:hint="eastAsia" w:ascii="宋体" w:hAnsi="Times New Roman" w:eastAsia="宋体" w:cs="Times New Roman"/>
          <w:kern w:val="2"/>
          <w:sz w:val="24"/>
          <w:szCs w:val="28"/>
          <w:lang w:val="en-US" w:eastAsia="zh-CN" w:bidi="ar-SA"/>
        </w:rPr>
      </w:pPr>
    </w:p>
    <w:p w14:paraId="698F8542">
      <w:pPr>
        <w:pStyle w:val="2"/>
        <w:rPr>
          <w:rFonts w:hint="eastAsia" w:ascii="宋体" w:hAnsi="Times New Roman" w:eastAsia="宋体" w:cs="Times New Roman"/>
          <w:kern w:val="2"/>
          <w:sz w:val="24"/>
          <w:szCs w:val="28"/>
          <w:lang w:val="en-US" w:eastAsia="zh-CN" w:bidi="ar-SA"/>
        </w:rPr>
      </w:pPr>
    </w:p>
    <w:p w14:paraId="3F92FFD6">
      <w:pPr>
        <w:pStyle w:val="2"/>
        <w:rPr>
          <w:rFonts w:hint="eastAsia" w:ascii="宋体" w:hAnsi="Times New Roman" w:eastAsia="宋体" w:cs="Times New Roman"/>
          <w:kern w:val="2"/>
          <w:sz w:val="24"/>
          <w:szCs w:val="28"/>
          <w:lang w:val="en-US" w:eastAsia="zh-CN" w:bidi="ar-SA"/>
        </w:rPr>
      </w:pPr>
    </w:p>
    <w:p w14:paraId="546283B2">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附件二 、其他文件</w:t>
      </w:r>
    </w:p>
    <w:p w14:paraId="4C61BC12">
      <w:pPr>
        <w:pStyle w:val="2"/>
        <w:rPr>
          <w:rFonts w:hint="eastAsia" w:ascii="宋体" w:hAnsi="宋体" w:eastAsia="宋体" w:cs="宋体"/>
          <w:b/>
          <w:bCs/>
          <w:color w:val="auto"/>
          <w:kern w:val="2"/>
          <w:sz w:val="24"/>
          <w:szCs w:val="24"/>
          <w:lang w:val="en-US" w:eastAsia="zh-CN" w:bidi="ar-SA"/>
        </w:rPr>
      </w:pPr>
    </w:p>
    <w:p w14:paraId="3B7D8C9F">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14:paraId="36E57FF4">
      <w:pPr>
        <w:pStyle w:val="10"/>
        <w:spacing w:line="360" w:lineRule="auto"/>
        <w:ind w:firstLine="422" w:firstLineChars="200"/>
        <w:rPr>
          <w:rFonts w:hint="eastAsia"/>
          <w:b/>
          <w:color w:val="auto"/>
          <w:lang w:val="en-US" w:eastAsia="zh-CN"/>
        </w:rPr>
      </w:pPr>
    </w:p>
    <w:p w14:paraId="25C56E8B">
      <w:pPr>
        <w:pStyle w:val="10"/>
        <w:spacing w:line="360" w:lineRule="auto"/>
        <w:ind w:firstLine="422" w:firstLineChars="200"/>
        <w:rPr>
          <w:rFonts w:hint="eastAsia"/>
          <w:b/>
          <w:color w:val="auto"/>
          <w:lang w:val="en-US" w:eastAsia="zh-CN"/>
        </w:rPr>
      </w:pPr>
    </w:p>
    <w:p w14:paraId="7A0C193C">
      <w:pPr>
        <w:pStyle w:val="10"/>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14:paraId="1673777E">
      <w:pPr>
        <w:pStyle w:val="10"/>
        <w:spacing w:line="360" w:lineRule="auto"/>
        <w:rPr>
          <w:rFonts w:hint="eastAsia" w:hAnsi="宋体"/>
          <w:sz w:val="24"/>
          <w:szCs w:val="28"/>
          <w:highlight w:val="none"/>
        </w:rPr>
      </w:pPr>
    </w:p>
    <w:p w14:paraId="70B8350A">
      <w:pPr>
        <w:pStyle w:val="10"/>
        <w:spacing w:line="360" w:lineRule="auto"/>
        <w:rPr>
          <w:rFonts w:hint="eastAsia"/>
          <w:b/>
          <w:color w:val="auto"/>
          <w:highlight w:val="none"/>
        </w:rPr>
      </w:pPr>
    </w:p>
    <w:sectPr>
      <w:headerReference r:id="rId4" w:type="first"/>
      <w:footerReference r:id="rId6" w:type="first"/>
      <w:headerReference r:id="rId3" w:type="default"/>
      <w:footerReference r:id="rId5"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NKGHNB+Arial">
    <w:altName w:val="仿宋"/>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769D">
    <w:pPr>
      <w:pStyle w:val="13"/>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361B">
    <w:pPr>
      <w:pStyle w:val="13"/>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3BC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B1BE">
    <w:pPr>
      <w:pStyle w:val="14"/>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958F3"/>
    <w:multiLevelType w:val="singleLevel"/>
    <w:tmpl w:val="F93958F3"/>
    <w:lvl w:ilvl="0" w:tentative="0">
      <w:start w:val="3"/>
      <w:numFmt w:val="chineseCounting"/>
      <w:suff w:val="space"/>
      <w:lvlText w:val="第%1章"/>
      <w:lvlJc w:val="left"/>
      <w:rPr>
        <w:rFonts w:hint="eastAsia"/>
      </w:rPr>
    </w:lvl>
  </w:abstractNum>
  <w:abstractNum w:abstractNumId="1">
    <w:nsid w:val="106A2B88"/>
    <w:multiLevelType w:val="singleLevel"/>
    <w:tmpl w:val="106A2B88"/>
    <w:lvl w:ilvl="0" w:tentative="0">
      <w:start w:val="1"/>
      <w:numFmt w:val="chineseCounting"/>
      <w:suff w:val="nothing"/>
      <w:lvlText w:val="%1、"/>
      <w:lvlJc w:val="left"/>
      <w:rPr>
        <w:rFonts w:hint="eastAsia"/>
      </w:rPr>
    </w:lvl>
  </w:abstractNum>
  <w:abstractNum w:abstractNumId="2">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3">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5BDDC8"/>
    <w:multiLevelType w:val="singleLevel"/>
    <w:tmpl w:val="785BDDC8"/>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215"/>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88603B"/>
    <w:rsid w:val="02A56416"/>
    <w:rsid w:val="03377C9B"/>
    <w:rsid w:val="03CD1F61"/>
    <w:rsid w:val="04C907AE"/>
    <w:rsid w:val="053E05CB"/>
    <w:rsid w:val="06D94E9F"/>
    <w:rsid w:val="08681F86"/>
    <w:rsid w:val="08DF79C7"/>
    <w:rsid w:val="094F0F83"/>
    <w:rsid w:val="0A1D552E"/>
    <w:rsid w:val="0A5726C1"/>
    <w:rsid w:val="0B0F75B1"/>
    <w:rsid w:val="0B1D7922"/>
    <w:rsid w:val="0B276E9C"/>
    <w:rsid w:val="0B6810EB"/>
    <w:rsid w:val="0C092B33"/>
    <w:rsid w:val="0C504132"/>
    <w:rsid w:val="0C7E6D9B"/>
    <w:rsid w:val="0C8D570B"/>
    <w:rsid w:val="0CB5092B"/>
    <w:rsid w:val="0D800104"/>
    <w:rsid w:val="0DAF0B93"/>
    <w:rsid w:val="0E476CCE"/>
    <w:rsid w:val="0FBA2A1F"/>
    <w:rsid w:val="109B7BB5"/>
    <w:rsid w:val="111F6909"/>
    <w:rsid w:val="12E94D5A"/>
    <w:rsid w:val="1309795C"/>
    <w:rsid w:val="130A0DBB"/>
    <w:rsid w:val="14023F81"/>
    <w:rsid w:val="140D3CA4"/>
    <w:rsid w:val="14847F58"/>
    <w:rsid w:val="1549721B"/>
    <w:rsid w:val="1583594B"/>
    <w:rsid w:val="170B2CAC"/>
    <w:rsid w:val="17964416"/>
    <w:rsid w:val="17BD56E0"/>
    <w:rsid w:val="18DE0C0D"/>
    <w:rsid w:val="18EA08C7"/>
    <w:rsid w:val="19C62230"/>
    <w:rsid w:val="19EB0CFA"/>
    <w:rsid w:val="1A14457C"/>
    <w:rsid w:val="1A850459"/>
    <w:rsid w:val="1B705779"/>
    <w:rsid w:val="1B731B2D"/>
    <w:rsid w:val="1BFB0019"/>
    <w:rsid w:val="1CE60BE9"/>
    <w:rsid w:val="1CF00880"/>
    <w:rsid w:val="1F137DC6"/>
    <w:rsid w:val="2080016D"/>
    <w:rsid w:val="21385A19"/>
    <w:rsid w:val="215F4227"/>
    <w:rsid w:val="218538C2"/>
    <w:rsid w:val="21EC706F"/>
    <w:rsid w:val="220D6453"/>
    <w:rsid w:val="222E220C"/>
    <w:rsid w:val="225515AE"/>
    <w:rsid w:val="22AC71F8"/>
    <w:rsid w:val="237C60C5"/>
    <w:rsid w:val="23DF076E"/>
    <w:rsid w:val="24973CD7"/>
    <w:rsid w:val="24B05ACD"/>
    <w:rsid w:val="256F5BA4"/>
    <w:rsid w:val="25F20E90"/>
    <w:rsid w:val="262F32F6"/>
    <w:rsid w:val="265C6807"/>
    <w:rsid w:val="274763A4"/>
    <w:rsid w:val="27703E52"/>
    <w:rsid w:val="27F34BCD"/>
    <w:rsid w:val="28195D74"/>
    <w:rsid w:val="283A3C48"/>
    <w:rsid w:val="28992DD7"/>
    <w:rsid w:val="28F06797"/>
    <w:rsid w:val="2A81520E"/>
    <w:rsid w:val="2C010B73"/>
    <w:rsid w:val="2C576435"/>
    <w:rsid w:val="2C9F5E1F"/>
    <w:rsid w:val="2E2469BB"/>
    <w:rsid w:val="2E827F4E"/>
    <w:rsid w:val="2EE054F5"/>
    <w:rsid w:val="2F944EB1"/>
    <w:rsid w:val="2FB910A0"/>
    <w:rsid w:val="2FCA7900"/>
    <w:rsid w:val="2FE13F1A"/>
    <w:rsid w:val="3059466F"/>
    <w:rsid w:val="30EE0B3B"/>
    <w:rsid w:val="317B1F88"/>
    <w:rsid w:val="31957228"/>
    <w:rsid w:val="31D16163"/>
    <w:rsid w:val="31DD6B11"/>
    <w:rsid w:val="31FB33C6"/>
    <w:rsid w:val="3200110E"/>
    <w:rsid w:val="32985FCF"/>
    <w:rsid w:val="32A10788"/>
    <w:rsid w:val="335A1F1F"/>
    <w:rsid w:val="33AE68EB"/>
    <w:rsid w:val="348C4BB4"/>
    <w:rsid w:val="35C5029F"/>
    <w:rsid w:val="36D018E0"/>
    <w:rsid w:val="36DF3D95"/>
    <w:rsid w:val="37804E88"/>
    <w:rsid w:val="388D1CFC"/>
    <w:rsid w:val="388F4F9A"/>
    <w:rsid w:val="38BC2070"/>
    <w:rsid w:val="38E43142"/>
    <w:rsid w:val="393A190C"/>
    <w:rsid w:val="39425C56"/>
    <w:rsid w:val="39756146"/>
    <w:rsid w:val="3A2F0987"/>
    <w:rsid w:val="3B1047D6"/>
    <w:rsid w:val="3B9308FD"/>
    <w:rsid w:val="3CAC7709"/>
    <w:rsid w:val="3CDF2A7F"/>
    <w:rsid w:val="3D1C0BDC"/>
    <w:rsid w:val="3D970065"/>
    <w:rsid w:val="3DC90A31"/>
    <w:rsid w:val="3EAD6D05"/>
    <w:rsid w:val="3ED77D2A"/>
    <w:rsid w:val="3F5E4797"/>
    <w:rsid w:val="3FAD7704"/>
    <w:rsid w:val="40371524"/>
    <w:rsid w:val="410622CA"/>
    <w:rsid w:val="421D4FD6"/>
    <w:rsid w:val="425F1CED"/>
    <w:rsid w:val="43C7446D"/>
    <w:rsid w:val="44182AA0"/>
    <w:rsid w:val="444A5520"/>
    <w:rsid w:val="48296DEC"/>
    <w:rsid w:val="4888735D"/>
    <w:rsid w:val="48A510DA"/>
    <w:rsid w:val="48D332A6"/>
    <w:rsid w:val="48F51190"/>
    <w:rsid w:val="4A80122A"/>
    <w:rsid w:val="4AE72B13"/>
    <w:rsid w:val="4B0E61F2"/>
    <w:rsid w:val="4B304980"/>
    <w:rsid w:val="4BB17CE7"/>
    <w:rsid w:val="4D6B2F33"/>
    <w:rsid w:val="4E5A094C"/>
    <w:rsid w:val="4E5F1890"/>
    <w:rsid w:val="4EA1207A"/>
    <w:rsid w:val="4F0E067C"/>
    <w:rsid w:val="5100482F"/>
    <w:rsid w:val="524B4F06"/>
    <w:rsid w:val="53047386"/>
    <w:rsid w:val="53546374"/>
    <w:rsid w:val="53783938"/>
    <w:rsid w:val="54900D9E"/>
    <w:rsid w:val="54A333CF"/>
    <w:rsid w:val="54B04758"/>
    <w:rsid w:val="555D2250"/>
    <w:rsid w:val="55766291"/>
    <w:rsid w:val="59BB18F2"/>
    <w:rsid w:val="5A255F5D"/>
    <w:rsid w:val="5A301DBD"/>
    <w:rsid w:val="5A4A4BAF"/>
    <w:rsid w:val="5B221005"/>
    <w:rsid w:val="5B7C4EE5"/>
    <w:rsid w:val="5BD73795"/>
    <w:rsid w:val="5C2C297C"/>
    <w:rsid w:val="5D947DC6"/>
    <w:rsid w:val="5DCA053C"/>
    <w:rsid w:val="5DD45FE3"/>
    <w:rsid w:val="5E755D98"/>
    <w:rsid w:val="5F0624D6"/>
    <w:rsid w:val="5FAA1A57"/>
    <w:rsid w:val="60530FD9"/>
    <w:rsid w:val="606766A0"/>
    <w:rsid w:val="6092195C"/>
    <w:rsid w:val="60C24B45"/>
    <w:rsid w:val="61247296"/>
    <w:rsid w:val="635E7FFD"/>
    <w:rsid w:val="63AA7F98"/>
    <w:rsid w:val="63FC3EEE"/>
    <w:rsid w:val="64233D3B"/>
    <w:rsid w:val="64872D78"/>
    <w:rsid w:val="64A36C4B"/>
    <w:rsid w:val="65010418"/>
    <w:rsid w:val="65750BD1"/>
    <w:rsid w:val="66A064A6"/>
    <w:rsid w:val="67146970"/>
    <w:rsid w:val="67C577E1"/>
    <w:rsid w:val="68D6572A"/>
    <w:rsid w:val="690E7518"/>
    <w:rsid w:val="6971147A"/>
    <w:rsid w:val="699C5C7A"/>
    <w:rsid w:val="69F94D5D"/>
    <w:rsid w:val="69FE2C1A"/>
    <w:rsid w:val="6A5E51AE"/>
    <w:rsid w:val="6A75678E"/>
    <w:rsid w:val="6BCB2E36"/>
    <w:rsid w:val="6C4A1957"/>
    <w:rsid w:val="6D5722C8"/>
    <w:rsid w:val="6E782157"/>
    <w:rsid w:val="6F0C5795"/>
    <w:rsid w:val="6F0D2A4D"/>
    <w:rsid w:val="6F3A7AA1"/>
    <w:rsid w:val="72D028D8"/>
    <w:rsid w:val="73186E17"/>
    <w:rsid w:val="736F1A7B"/>
    <w:rsid w:val="74255213"/>
    <w:rsid w:val="74FF281F"/>
    <w:rsid w:val="75395F3E"/>
    <w:rsid w:val="75471A14"/>
    <w:rsid w:val="7709593C"/>
    <w:rsid w:val="77BF5070"/>
    <w:rsid w:val="78151B0D"/>
    <w:rsid w:val="783C3AEF"/>
    <w:rsid w:val="78F41CD4"/>
    <w:rsid w:val="799C45BC"/>
    <w:rsid w:val="7A2A4EC4"/>
    <w:rsid w:val="7B3F33A4"/>
    <w:rsid w:val="7B9D1938"/>
    <w:rsid w:val="7C4411C4"/>
    <w:rsid w:val="7CFA5511"/>
    <w:rsid w:val="7EE21E23"/>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5"/>
    <w:qFormat/>
    <w:uiPriority w:val="0"/>
    <w:pPr>
      <w:jc w:val="left"/>
    </w:p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8"/>
    <w:unhideWhenUsed/>
    <w:qFormat/>
    <w:uiPriority w:val="99"/>
    <w:pPr>
      <w:spacing w:after="120"/>
      <w:ind w:left="420" w:leftChars="200"/>
    </w:pPr>
    <w:rPr>
      <w:rFonts w:ascii="Calibri" w:hAnsi="Calibri"/>
      <w:szCs w:val="22"/>
    </w:rPr>
  </w:style>
  <w:style w:type="paragraph" w:styleId="10">
    <w:name w:val="Plain Text"/>
    <w:basedOn w:val="1"/>
    <w:link w:val="40"/>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7"/>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Normal (Web)"/>
    <w:basedOn w:val="1"/>
    <w:qFormat/>
    <w:uiPriority w:val="0"/>
    <w:rPr>
      <w:sz w:val="24"/>
    </w:rPr>
  </w:style>
  <w:style w:type="paragraph" w:styleId="18">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4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Char Char3"/>
    <w:qFormat/>
    <w:uiPriority w:val="0"/>
    <w:rPr>
      <w:rFonts w:ascii="宋体" w:hAnsi="Courier New" w:eastAsia="宋体"/>
      <w:kern w:val="2"/>
      <w:sz w:val="21"/>
      <w:lang w:val="en-US" w:eastAsia="zh-CN" w:bidi="ar-SA"/>
    </w:rPr>
  </w:style>
  <w:style w:type="character" w:customStyle="1" w:styleId="30">
    <w:name w:val="纯文本 Char"/>
    <w:qFormat/>
    <w:uiPriority w:val="0"/>
    <w:rPr>
      <w:rFonts w:ascii="宋体" w:hAnsi="Courier New" w:eastAsia="宋体"/>
      <w:kern w:val="2"/>
      <w:sz w:val="21"/>
      <w:lang w:val="en-US" w:eastAsia="zh-CN" w:bidi="ar-SA"/>
    </w:rPr>
  </w:style>
  <w:style w:type="character" w:customStyle="1" w:styleId="31">
    <w:name w:val="正文文本 字符"/>
    <w:link w:val="8"/>
    <w:qFormat/>
    <w:uiPriority w:val="0"/>
    <w:rPr>
      <w:rFonts w:ascii="仿宋_GB2312" w:eastAsia="仿宋_GB2312"/>
      <w:kern w:val="2"/>
      <w:sz w:val="32"/>
    </w:rPr>
  </w:style>
  <w:style w:type="character" w:customStyle="1" w:styleId="32">
    <w:name w:val="页脚 字符"/>
    <w:link w:val="13"/>
    <w:qFormat/>
    <w:uiPriority w:val="99"/>
    <w:rPr>
      <w:kern w:val="2"/>
      <w:sz w:val="18"/>
      <w:szCs w:val="18"/>
    </w:rPr>
  </w:style>
  <w:style w:type="character" w:customStyle="1" w:styleId="33">
    <w:name w:val="标题 3 字符"/>
    <w:link w:val="5"/>
    <w:qFormat/>
    <w:uiPriority w:val="9"/>
    <w:rPr>
      <w:rFonts w:eastAsia="宋体" w:cs="Times New Roman"/>
      <w:b/>
      <w:bCs/>
      <w:kern w:val="2"/>
      <w:sz w:val="32"/>
      <w:szCs w:val="32"/>
    </w:rPr>
  </w:style>
  <w:style w:type="character" w:customStyle="1" w:styleId="34">
    <w:name w:val="正文文本 Char"/>
    <w:qFormat/>
    <w:uiPriority w:val="0"/>
    <w:rPr>
      <w:rFonts w:ascii="仿宋_GB2312" w:eastAsia="仿宋_GB2312"/>
      <w:kern w:val="2"/>
      <w:sz w:val="32"/>
    </w:rPr>
  </w:style>
  <w:style w:type="character" w:customStyle="1" w:styleId="35">
    <w:name w:val="批注文字 字符"/>
    <w:link w:val="7"/>
    <w:qFormat/>
    <w:uiPriority w:val="0"/>
    <w:rPr>
      <w:kern w:val="2"/>
      <w:sz w:val="21"/>
    </w:rPr>
  </w:style>
  <w:style w:type="character" w:customStyle="1" w:styleId="36">
    <w:name w:val="apple-converted-space"/>
    <w:basedOn w:val="22"/>
    <w:qFormat/>
    <w:uiPriority w:val="0"/>
  </w:style>
  <w:style w:type="character" w:customStyle="1" w:styleId="37">
    <w:name w:val="批注框文本 字符"/>
    <w:link w:val="12"/>
    <w:qFormat/>
    <w:uiPriority w:val="99"/>
    <w:rPr>
      <w:kern w:val="2"/>
      <w:sz w:val="18"/>
      <w:szCs w:val="18"/>
    </w:rPr>
  </w:style>
  <w:style w:type="character" w:customStyle="1" w:styleId="38">
    <w:name w:val="正文文本缩进 字符"/>
    <w:link w:val="9"/>
    <w:qFormat/>
    <w:uiPriority w:val="99"/>
    <w:rPr>
      <w:rFonts w:ascii="Calibri" w:hAnsi="Calibri" w:eastAsia="宋体" w:cs="Times New Roman"/>
      <w:kern w:val="2"/>
      <w:sz w:val="21"/>
      <w:szCs w:val="22"/>
    </w:rPr>
  </w:style>
  <w:style w:type="character" w:customStyle="1" w:styleId="39">
    <w:name w:val="Char Char5"/>
    <w:qFormat/>
    <w:uiPriority w:val="0"/>
    <w:rPr>
      <w:rFonts w:ascii="宋体" w:hAnsi="Courier New" w:eastAsia="宋体"/>
      <w:kern w:val="2"/>
      <w:sz w:val="21"/>
      <w:lang w:val="en-US" w:eastAsia="zh-CN" w:bidi="ar-SA"/>
    </w:rPr>
  </w:style>
  <w:style w:type="character" w:customStyle="1" w:styleId="40">
    <w:name w:val="纯文本 字符1"/>
    <w:link w:val="10"/>
    <w:qFormat/>
    <w:uiPriority w:val="0"/>
    <w:rPr>
      <w:rFonts w:ascii="宋体" w:hAnsi="Courier New" w:eastAsia="宋体"/>
      <w:kern w:val="2"/>
      <w:sz w:val="21"/>
      <w:lang w:val="en-US" w:eastAsia="zh-CN" w:bidi="ar-SA"/>
    </w:rPr>
  </w:style>
  <w:style w:type="character" w:customStyle="1" w:styleId="41">
    <w:name w:val="纯文本 字符"/>
    <w:qFormat/>
    <w:uiPriority w:val="0"/>
    <w:rPr>
      <w:rFonts w:ascii="宋体" w:hAnsi="Courier New" w:eastAsia="宋体"/>
    </w:rPr>
  </w:style>
  <w:style w:type="character" w:customStyle="1" w:styleId="42">
    <w:name w:val="页眉 字符"/>
    <w:link w:val="14"/>
    <w:qFormat/>
    <w:uiPriority w:val="99"/>
    <w:rPr>
      <w:rFonts w:eastAsia="宋体"/>
      <w:kern w:val="2"/>
      <w:sz w:val="18"/>
      <w:szCs w:val="18"/>
      <w:lang w:val="en-US" w:eastAsia="zh-CN" w:bidi="ar-SA"/>
    </w:rPr>
  </w:style>
  <w:style w:type="character" w:customStyle="1" w:styleId="43">
    <w:name w:val="批注主题 字符"/>
    <w:link w:val="19"/>
    <w:qFormat/>
    <w:uiPriority w:val="0"/>
    <w:rPr>
      <w:b/>
      <w:bCs/>
      <w:kern w:val="2"/>
      <w:sz w:val="21"/>
    </w:rPr>
  </w:style>
  <w:style w:type="character" w:customStyle="1" w:styleId="44">
    <w:name w:val="Char Char2"/>
    <w:qFormat/>
    <w:uiPriority w:val="0"/>
    <w:rPr>
      <w:rFonts w:ascii="宋体" w:hAnsi="Courier New" w:cs="宋体"/>
      <w:kern w:val="2"/>
      <w:sz w:val="21"/>
      <w:szCs w:val="21"/>
    </w:rPr>
  </w:style>
  <w:style w:type="character" w:customStyle="1" w:styleId="45">
    <w:name w:val="HTML Markup"/>
    <w:qFormat/>
    <w:uiPriority w:val="0"/>
    <w:rPr>
      <w:vanish/>
      <w:color w:val="FF0000"/>
    </w:rPr>
  </w:style>
  <w:style w:type="character" w:customStyle="1" w:styleId="46">
    <w:name w:val="纯文本 Char3"/>
    <w:qFormat/>
    <w:uiPriority w:val="0"/>
    <w:rPr>
      <w:rFonts w:ascii="宋体" w:hAnsi="Courier New" w:eastAsia="宋体"/>
      <w:kern w:val="2"/>
      <w:sz w:val="21"/>
      <w:lang w:val="en-US" w:eastAsia="zh-CN" w:bidi="ar-SA"/>
    </w:rPr>
  </w:style>
  <w:style w:type="character" w:customStyle="1" w:styleId="47">
    <w:name w:val="正文文本缩进 Char"/>
    <w:link w:val="48"/>
    <w:qFormat/>
    <w:uiPriority w:val="0"/>
    <w:rPr>
      <w:kern w:val="2"/>
      <w:sz w:val="21"/>
    </w:rPr>
  </w:style>
  <w:style w:type="paragraph" w:customStyle="1" w:styleId="48">
    <w:name w:val="正文文本缩进1"/>
    <w:basedOn w:val="1"/>
    <w:link w:val="47"/>
    <w:qFormat/>
    <w:uiPriority w:val="0"/>
    <w:pPr>
      <w:spacing w:after="120"/>
      <w:ind w:left="420" w:leftChars="200"/>
    </w:p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二级列表 Char"/>
    <w:basedOn w:val="1"/>
    <w:qFormat/>
    <w:uiPriority w:val="0"/>
    <w:rPr>
      <w:rFonts w:ascii="Calibri" w:hAnsi="Calibri"/>
    </w:rPr>
  </w:style>
  <w:style w:type="character" w:customStyle="1" w:styleId="55">
    <w:name w:val="style61"/>
    <w:qFormat/>
    <w:uiPriority w:val="0"/>
  </w:style>
  <w:style w:type="character" w:customStyle="1" w:styleId="56">
    <w:name w:val="标题 1 字符"/>
    <w:basedOn w:val="22"/>
    <w:link w:val="3"/>
    <w:qFormat/>
    <w:uiPriority w:val="0"/>
    <w:rPr>
      <w:b/>
      <w:bCs/>
      <w:kern w:val="44"/>
      <w:sz w:val="44"/>
      <w:szCs w:val="44"/>
    </w:rPr>
  </w:style>
  <w:style w:type="paragraph" w:customStyle="1" w:styleId="5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22"/>
    <w:link w:val="4"/>
    <w:semiHidden/>
    <w:qFormat/>
    <w:uiPriority w:val="0"/>
    <w:rPr>
      <w:rFonts w:asciiTheme="majorHAnsi" w:hAnsiTheme="majorHAnsi" w:eastAsiaTheme="majorEastAsia" w:cstheme="majorBidi"/>
      <w:b/>
      <w:bCs/>
      <w:kern w:val="2"/>
      <w:sz w:val="32"/>
      <w:szCs w:val="32"/>
    </w:rPr>
  </w:style>
  <w:style w:type="character" w:customStyle="1" w:styleId="59">
    <w:name w:val="标题 字符"/>
    <w:basedOn w:val="22"/>
    <w:link w:val="18"/>
    <w:qFormat/>
    <w:uiPriority w:val="0"/>
    <w:rPr>
      <w:rFonts w:asciiTheme="majorHAnsi" w:hAnsiTheme="majorHAnsi" w:eastAsiaTheme="majorEastAsia" w:cstheme="majorBidi"/>
      <w:b/>
      <w:bCs/>
      <w:kern w:val="2"/>
      <w:sz w:val="32"/>
      <w:szCs w:val="32"/>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font01"/>
    <w:qFormat/>
    <w:uiPriority w:val="0"/>
    <w:rPr>
      <w:rFonts w:hint="eastAsia" w:ascii="宋体" w:hAnsi="宋体" w:eastAsia="宋体" w:cs="宋体"/>
      <w:color w:val="000000"/>
      <w:sz w:val="22"/>
      <w:szCs w:val="22"/>
      <w:u w:val="none"/>
    </w:rPr>
  </w:style>
  <w:style w:type="paragraph" w:customStyle="1" w:styleId="62">
    <w:name w:val="Table Text"/>
    <w:basedOn w:val="1"/>
    <w:semiHidden/>
    <w:qFormat/>
    <w:uiPriority w:val="0"/>
    <w:rPr>
      <w:rFonts w:ascii="宋体" w:hAnsi="宋体" w:eastAsia="宋体" w:cs="宋体"/>
      <w:sz w:val="24"/>
      <w:szCs w:val="24"/>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 w:type="paragraph" w:customStyle="1" w:styleId="64">
    <w:name w:val="Body text|1"/>
    <w:basedOn w:val="1"/>
    <w:qFormat/>
    <w:uiPriority w:val="0"/>
    <w:pPr>
      <w:spacing w:line="293" w:lineRule="auto"/>
      <w:ind w:firstLine="28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7141</Words>
  <Characters>7539</Characters>
  <Lines>99</Lines>
  <Paragraphs>28</Paragraphs>
  <TotalTime>106</TotalTime>
  <ScaleCrop>false</ScaleCrop>
  <LinksUpToDate>false</LinksUpToDate>
  <CharactersWithSpaces>7979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张卫波</cp:lastModifiedBy>
  <cp:lastPrinted>2020-02-06T09:56:00Z</cp:lastPrinted>
  <dcterms:modified xsi:type="dcterms:W3CDTF">2025-08-30T01:56:59Z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eyJoZGlkIjoiNDRkZDIwYTQ5MjlhYjE0NTEzZDAzZjgyMTRmY2YwZTgiLCJ1c2VySWQiOiIxMDIwMzI4MDU5In0=</vt:lpwstr>
  </property>
</Properties>
</file>