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A4695D">
      <w:pPr>
        <w:jc w:val="center"/>
        <w:rPr>
          <w:rFonts w:ascii="黑体" w:eastAsia="黑体"/>
          <w:sz w:val="32"/>
          <w:szCs w:val="32"/>
        </w:rPr>
      </w:pPr>
      <w:r>
        <w:rPr>
          <w:rFonts w:hint="eastAsia" w:ascii="黑体" w:eastAsia="黑体"/>
          <w:sz w:val="32"/>
          <w:szCs w:val="32"/>
        </w:rPr>
        <w:t xml:space="preserve"> </w:t>
      </w:r>
      <w:r>
        <w:rPr>
          <w:rFonts w:hint="eastAsia" w:ascii="黑体" w:eastAsia="黑体"/>
          <w:sz w:val="32"/>
          <w:szCs w:val="32"/>
          <w:lang w:val="en-US" w:eastAsia="zh-CN"/>
        </w:rPr>
        <w:t>清单</w:t>
      </w:r>
      <w:r>
        <w:rPr>
          <w:rFonts w:hint="eastAsia" w:ascii="黑体" w:eastAsia="黑体"/>
          <w:sz w:val="32"/>
          <w:szCs w:val="32"/>
        </w:rPr>
        <w:t>编制说明</w:t>
      </w:r>
    </w:p>
    <w:p w14:paraId="1F0700A5">
      <w:pPr>
        <w:rPr>
          <w:rFonts w:hint="default" w:ascii="仿宋" w:hAnsi="仿宋" w:eastAsia="仿宋" w:cs="仿宋"/>
          <w:color w:val="000000"/>
          <w:kern w:val="0"/>
          <w:sz w:val="28"/>
          <w:szCs w:val="28"/>
          <w:lang w:val="en-US" w:eastAsia="zh-CN" w:bidi="ar"/>
        </w:rPr>
      </w:pPr>
      <w:r>
        <w:rPr>
          <w:rFonts w:hint="eastAsia" w:ascii="仿宋" w:hAnsi="仿宋" w:eastAsia="仿宋" w:cs="仿宋"/>
          <w:color w:val="000000"/>
          <w:kern w:val="0"/>
          <w:sz w:val="28"/>
          <w:szCs w:val="28"/>
          <w:lang w:bidi="ar"/>
        </w:rPr>
        <w:t>工程名称：</w:t>
      </w:r>
      <w:r>
        <w:rPr>
          <w:rFonts w:hint="eastAsia" w:ascii="仿宋" w:hAnsi="仿宋" w:eastAsia="仿宋" w:cs="仿宋"/>
          <w:sz w:val="28"/>
          <w:szCs w:val="28"/>
          <w:lang w:val="en-US" w:eastAsia="zh-CN"/>
        </w:rPr>
        <w:t>新能源汽车升级改造餐厅项目</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7F6DFB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522" w:type="dxa"/>
          </w:tcPr>
          <w:p w14:paraId="3BB84B0F">
            <w:pPr>
              <w:rPr>
                <w:rFonts w:hint="eastAsia" w:ascii="仿宋" w:hAnsi="仿宋" w:eastAsia="仿宋" w:cs="仿宋"/>
                <w:color w:val="000000"/>
                <w:kern w:val="0"/>
                <w:sz w:val="28"/>
                <w:szCs w:val="28"/>
                <w:lang w:val="zh-CN" w:bidi="ar"/>
              </w:rPr>
            </w:pPr>
            <w:r>
              <w:rPr>
                <w:rFonts w:hint="eastAsia" w:ascii="仿宋" w:hAnsi="仿宋" w:eastAsia="仿宋" w:cs="仿宋"/>
                <w:color w:val="000000"/>
                <w:kern w:val="0"/>
                <w:sz w:val="28"/>
                <w:szCs w:val="28"/>
                <w:lang w:val="zh-CN" w:bidi="ar"/>
              </w:rPr>
              <w:t>一、工程概况：</w:t>
            </w:r>
          </w:p>
          <w:p w14:paraId="7DDB9C45">
            <w:pPr>
              <w:pStyle w:val="4"/>
              <w:keepNext w:val="0"/>
              <w:keepLines w:val="0"/>
              <w:widowControl/>
              <w:suppressLineNumbers w:val="0"/>
              <w:spacing w:before="0" w:beforeAutospacing="0" w:after="0" w:afterAutospacing="0"/>
              <w:ind w:left="0" w:right="0" w:firstLine="560" w:firstLineChars="200"/>
              <w:rPr>
                <w:rFonts w:hint="eastAsia" w:ascii="仿宋" w:hAnsi="仿宋" w:eastAsia="仿宋" w:cs="仿宋"/>
                <w:color w:val="000000"/>
                <w:kern w:val="0"/>
                <w:sz w:val="28"/>
                <w:szCs w:val="28"/>
                <w:lang w:eastAsia="zh-CN" w:bidi="ar"/>
              </w:rPr>
            </w:pPr>
            <w:r>
              <w:rPr>
                <w:rFonts w:hint="eastAsia" w:ascii="仿宋" w:hAnsi="仿宋" w:eastAsia="仿宋" w:cs="仿宋"/>
                <w:color w:val="000000"/>
                <w:kern w:val="0"/>
                <w:sz w:val="28"/>
                <w:szCs w:val="28"/>
                <w:lang w:bidi="ar"/>
              </w:rPr>
              <w:t>本项目为</w:t>
            </w:r>
            <w:bookmarkStart w:id="0" w:name="_GoBack"/>
            <w:r>
              <w:rPr>
                <w:rFonts w:hint="eastAsia" w:ascii="仿宋" w:hAnsi="仿宋" w:eastAsia="仿宋" w:cs="仿宋"/>
                <w:color w:val="000000"/>
                <w:kern w:val="0"/>
                <w:sz w:val="28"/>
                <w:szCs w:val="28"/>
                <w:lang w:val="en-US" w:eastAsia="zh-CN" w:bidi="ar"/>
              </w:rPr>
              <w:t>新能源汽车升级改造餐厅项目</w:t>
            </w:r>
            <w:bookmarkEnd w:id="0"/>
            <w:r>
              <w:rPr>
                <w:rFonts w:hint="eastAsia" w:ascii="仿宋" w:hAnsi="仿宋" w:eastAsia="仿宋" w:cs="仿宋"/>
                <w:color w:val="000000"/>
                <w:kern w:val="0"/>
                <w:sz w:val="28"/>
                <w:szCs w:val="28"/>
                <w:lang w:bidi="ar"/>
              </w:rPr>
              <w:t>，项目位于</w:t>
            </w:r>
            <w:r>
              <w:rPr>
                <w:rFonts w:hint="eastAsia" w:ascii="仿宋" w:hAnsi="仿宋" w:eastAsia="仿宋" w:cs="仿宋"/>
                <w:color w:val="000000"/>
                <w:kern w:val="0"/>
                <w:sz w:val="28"/>
                <w:szCs w:val="28"/>
                <w:lang w:val="en-US" w:eastAsia="zh-CN" w:bidi="ar"/>
              </w:rPr>
              <w:t>山东省聊城市。</w:t>
            </w:r>
          </w:p>
          <w:p w14:paraId="776F57DA">
            <w:pPr>
              <w:rPr>
                <w:rFonts w:hint="eastAsia" w:ascii="仿宋" w:hAnsi="仿宋" w:eastAsia="仿宋" w:cs="仿宋"/>
                <w:color w:val="000000"/>
                <w:kern w:val="0"/>
                <w:sz w:val="28"/>
                <w:szCs w:val="28"/>
                <w:lang w:val="zh-CN" w:bidi="ar"/>
              </w:rPr>
            </w:pPr>
            <w:r>
              <w:rPr>
                <w:rFonts w:hint="eastAsia" w:ascii="仿宋" w:hAnsi="仿宋" w:eastAsia="仿宋" w:cs="仿宋"/>
                <w:color w:val="000000"/>
                <w:kern w:val="0"/>
                <w:sz w:val="28"/>
                <w:szCs w:val="28"/>
                <w:lang w:val="zh-CN" w:bidi="ar"/>
              </w:rPr>
              <w:t>二、编制范围：</w:t>
            </w:r>
          </w:p>
          <w:p w14:paraId="1AB182B8">
            <w:pPr>
              <w:ind w:firstLine="560" w:firstLineChars="200"/>
              <w:rPr>
                <w:rFonts w:hint="eastAsia" w:ascii="仿宋" w:hAnsi="仿宋" w:eastAsia="仿宋" w:cs="仿宋"/>
                <w:color w:val="000000"/>
                <w:kern w:val="0"/>
                <w:sz w:val="28"/>
                <w:szCs w:val="28"/>
                <w:highlight w:val="none"/>
                <w:lang w:eastAsia="zh-CN" w:bidi="ar"/>
              </w:rPr>
            </w:pPr>
            <w:r>
              <w:rPr>
                <w:rFonts w:hint="eastAsia" w:ascii="仿宋" w:hAnsi="仿宋" w:eastAsia="仿宋" w:cs="仿宋"/>
                <w:color w:val="000000"/>
                <w:kern w:val="0"/>
                <w:sz w:val="28"/>
                <w:szCs w:val="28"/>
                <w:lang w:bidi="ar"/>
              </w:rPr>
              <w:t>招标图纸范围内的建筑工程、装饰工程、安装工</w:t>
            </w:r>
            <w:r>
              <w:rPr>
                <w:rFonts w:hint="eastAsia" w:ascii="仿宋" w:hAnsi="仿宋" w:eastAsia="仿宋" w:cs="仿宋"/>
                <w:color w:val="000000"/>
                <w:kern w:val="0"/>
                <w:sz w:val="28"/>
                <w:szCs w:val="28"/>
                <w:highlight w:val="none"/>
                <w:lang w:bidi="ar"/>
              </w:rPr>
              <w:t>程以及</w:t>
            </w:r>
            <w:r>
              <w:rPr>
                <w:rFonts w:hint="eastAsia" w:ascii="仿宋" w:hAnsi="仿宋" w:eastAsia="仿宋" w:cs="仿宋"/>
                <w:color w:val="000000"/>
                <w:kern w:val="0"/>
                <w:sz w:val="28"/>
                <w:szCs w:val="28"/>
                <w:highlight w:val="none"/>
                <w:lang w:val="en-US" w:eastAsia="zh-CN" w:bidi="ar"/>
              </w:rPr>
              <w:t>市政</w:t>
            </w:r>
            <w:r>
              <w:rPr>
                <w:rFonts w:hint="eastAsia" w:ascii="仿宋" w:hAnsi="仿宋" w:eastAsia="仿宋" w:cs="仿宋"/>
                <w:color w:val="000000"/>
                <w:kern w:val="0"/>
                <w:sz w:val="28"/>
                <w:szCs w:val="28"/>
                <w:highlight w:val="none"/>
                <w:lang w:bidi="ar"/>
              </w:rPr>
              <w:t>工程</w:t>
            </w:r>
            <w:r>
              <w:rPr>
                <w:rFonts w:hint="eastAsia" w:ascii="仿宋" w:hAnsi="仿宋" w:eastAsia="仿宋" w:cs="仿宋"/>
                <w:color w:val="000000"/>
                <w:kern w:val="0"/>
                <w:sz w:val="28"/>
                <w:szCs w:val="28"/>
                <w:highlight w:val="none"/>
                <w:lang w:val="en-US" w:eastAsia="zh-CN" w:bidi="ar"/>
              </w:rPr>
              <w:t>、园林绿化工程</w:t>
            </w:r>
            <w:r>
              <w:rPr>
                <w:rFonts w:hint="eastAsia" w:ascii="仿宋" w:hAnsi="仿宋" w:eastAsia="仿宋" w:cs="仿宋"/>
                <w:color w:val="000000"/>
                <w:kern w:val="0"/>
                <w:sz w:val="28"/>
                <w:szCs w:val="28"/>
                <w:highlight w:val="none"/>
                <w:lang w:bidi="ar"/>
              </w:rPr>
              <w:t>,</w:t>
            </w:r>
            <w:r>
              <w:rPr>
                <w:rFonts w:hint="eastAsia" w:ascii="仿宋" w:hAnsi="仿宋" w:eastAsia="仿宋" w:cs="仿宋"/>
                <w:color w:val="000000"/>
                <w:kern w:val="0"/>
                <w:sz w:val="28"/>
                <w:szCs w:val="28"/>
                <w:highlight w:val="none"/>
                <w:lang w:val="en-US" w:eastAsia="zh-CN" w:bidi="ar"/>
              </w:rPr>
              <w:t>主要</w:t>
            </w:r>
            <w:r>
              <w:rPr>
                <w:rFonts w:hint="eastAsia" w:ascii="仿宋" w:hAnsi="仿宋" w:eastAsia="仿宋" w:cs="仿宋"/>
                <w:color w:val="000000"/>
                <w:kern w:val="0"/>
                <w:sz w:val="28"/>
                <w:szCs w:val="28"/>
                <w:highlight w:val="none"/>
                <w:lang w:bidi="ar"/>
              </w:rPr>
              <w:t>内容</w:t>
            </w:r>
            <w:r>
              <w:rPr>
                <w:rFonts w:hint="eastAsia" w:ascii="仿宋" w:hAnsi="仿宋" w:eastAsia="仿宋" w:cs="仿宋"/>
                <w:color w:val="000000"/>
                <w:kern w:val="0"/>
                <w:sz w:val="28"/>
                <w:szCs w:val="28"/>
                <w:highlight w:val="none"/>
                <w:lang w:eastAsia="zh-CN" w:bidi="ar"/>
              </w:rPr>
              <w:t>：</w:t>
            </w:r>
          </w:p>
          <w:p w14:paraId="545AFBD8">
            <w:pPr>
              <w:numPr>
                <w:ilvl w:val="0"/>
                <w:numId w:val="0"/>
              </w:numPr>
              <w:rPr>
                <w:rFonts w:hint="eastAsia" w:ascii="仿宋" w:hAnsi="仿宋" w:eastAsia="仿宋" w:cs="仿宋"/>
                <w:color w:val="000000"/>
                <w:kern w:val="0"/>
                <w:sz w:val="28"/>
                <w:szCs w:val="28"/>
                <w:highlight w:val="none"/>
                <w:lang w:val="en-US" w:eastAsia="zh-CN" w:bidi="ar"/>
              </w:rPr>
            </w:pPr>
            <w:r>
              <w:rPr>
                <w:rFonts w:hint="eastAsia" w:ascii="仿宋" w:hAnsi="仿宋" w:eastAsia="仿宋" w:cs="仿宋"/>
                <w:color w:val="000000"/>
                <w:kern w:val="0"/>
                <w:sz w:val="28"/>
                <w:szCs w:val="28"/>
                <w:highlight w:val="none"/>
                <w:lang w:val="en-US" w:eastAsia="zh-CN" w:bidi="ar"/>
              </w:rPr>
              <w:t>土建部分：</w:t>
            </w:r>
          </w:p>
          <w:p w14:paraId="21B02732">
            <w:pPr>
              <w:numPr>
                <w:ilvl w:val="0"/>
                <w:numId w:val="1"/>
              </w:numPr>
              <w:ind w:firstLine="560" w:firstLineChars="200"/>
              <w:rPr>
                <w:rFonts w:hint="eastAsia" w:ascii="仿宋" w:hAnsi="仿宋" w:eastAsia="仿宋" w:cs="仿宋"/>
                <w:color w:val="000000"/>
                <w:kern w:val="0"/>
                <w:sz w:val="28"/>
                <w:szCs w:val="28"/>
                <w:highlight w:val="none"/>
                <w:lang w:val="en-US" w:eastAsia="zh-CN" w:bidi="ar"/>
              </w:rPr>
            </w:pPr>
            <w:r>
              <w:rPr>
                <w:rFonts w:hint="eastAsia" w:ascii="仿宋" w:hAnsi="仿宋" w:eastAsia="仿宋" w:cs="仿宋"/>
                <w:color w:val="000000"/>
                <w:kern w:val="0"/>
                <w:sz w:val="28"/>
                <w:szCs w:val="28"/>
                <w:lang w:bidi="ar"/>
              </w:rPr>
              <w:t>餐厅</w:t>
            </w:r>
            <w:r>
              <w:rPr>
                <w:rFonts w:hint="eastAsia" w:ascii="仿宋" w:hAnsi="仿宋" w:eastAsia="仿宋" w:cs="仿宋"/>
                <w:color w:val="000000"/>
                <w:kern w:val="0"/>
                <w:sz w:val="28"/>
                <w:szCs w:val="28"/>
                <w:highlight w:val="none"/>
                <w:lang w:val="en-US" w:eastAsia="zh-CN" w:bidi="ar"/>
              </w:rPr>
              <w:t>的基础、钢结构及装饰等项目的施工。</w:t>
            </w:r>
          </w:p>
          <w:p w14:paraId="173D2975">
            <w:pPr>
              <w:numPr>
                <w:ilvl w:val="0"/>
                <w:numId w:val="1"/>
              </w:numPr>
              <w:ind w:firstLine="560" w:firstLineChars="200"/>
              <w:rPr>
                <w:rFonts w:hint="eastAsia" w:ascii="仿宋" w:hAnsi="仿宋" w:eastAsia="仿宋" w:cs="仿宋"/>
                <w:color w:val="000000"/>
                <w:kern w:val="0"/>
                <w:sz w:val="28"/>
                <w:szCs w:val="28"/>
                <w:highlight w:val="none"/>
                <w:lang w:val="en-US" w:eastAsia="zh-CN" w:bidi="ar"/>
              </w:rPr>
            </w:pPr>
            <w:r>
              <w:rPr>
                <w:rFonts w:hint="eastAsia" w:ascii="仿宋" w:hAnsi="仿宋" w:eastAsia="仿宋" w:cs="仿宋"/>
                <w:color w:val="000000"/>
                <w:kern w:val="0"/>
                <w:sz w:val="28"/>
                <w:szCs w:val="28"/>
                <w:lang w:bidi="ar"/>
              </w:rPr>
              <w:t>餐厅</w:t>
            </w:r>
            <w:r>
              <w:rPr>
                <w:rFonts w:hint="eastAsia" w:ascii="仿宋" w:hAnsi="仿宋" w:eastAsia="仿宋" w:cs="仿宋"/>
                <w:color w:val="000000"/>
                <w:kern w:val="0"/>
                <w:sz w:val="28"/>
                <w:szCs w:val="28"/>
                <w:lang w:val="en-US" w:eastAsia="zh-CN" w:bidi="ar"/>
              </w:rPr>
              <w:t>周边的</w:t>
            </w:r>
            <w:r>
              <w:rPr>
                <w:rFonts w:hint="eastAsia" w:ascii="仿宋" w:hAnsi="仿宋" w:eastAsia="仿宋" w:cs="仿宋"/>
                <w:sz w:val="28"/>
                <w:szCs w:val="28"/>
                <w:lang w:val="en-US" w:eastAsia="zh-CN"/>
              </w:rPr>
              <w:t>的绿化、硬化等施工。</w:t>
            </w:r>
          </w:p>
          <w:p w14:paraId="37D797F3">
            <w:pPr>
              <w:rPr>
                <w:rFonts w:hint="eastAsia" w:ascii="仿宋" w:hAnsi="仿宋" w:eastAsia="仿宋" w:cs="仿宋"/>
                <w:color w:val="000000"/>
                <w:kern w:val="0"/>
                <w:sz w:val="28"/>
                <w:szCs w:val="28"/>
                <w:highlight w:val="none"/>
                <w:lang w:val="en-US" w:eastAsia="zh-CN" w:bidi="ar"/>
              </w:rPr>
            </w:pPr>
            <w:r>
              <w:rPr>
                <w:rFonts w:hint="eastAsia" w:ascii="仿宋" w:hAnsi="仿宋" w:eastAsia="仿宋" w:cs="仿宋"/>
                <w:color w:val="000000"/>
                <w:kern w:val="0"/>
                <w:sz w:val="28"/>
                <w:szCs w:val="28"/>
                <w:highlight w:val="none"/>
                <w:lang w:val="en-US" w:eastAsia="zh-CN" w:bidi="ar"/>
              </w:rPr>
              <w:t>安装部分：</w:t>
            </w:r>
          </w:p>
          <w:p w14:paraId="4A793F56">
            <w:pPr>
              <w:ind w:firstLine="560" w:firstLineChars="200"/>
              <w:rPr>
                <w:rFonts w:hint="eastAsia" w:ascii="仿宋" w:hAnsi="仿宋" w:eastAsia="仿宋" w:cs="仿宋"/>
                <w:color w:val="000000"/>
                <w:kern w:val="0"/>
                <w:sz w:val="28"/>
                <w:szCs w:val="28"/>
                <w:highlight w:val="none"/>
                <w:lang w:val="zh-CN" w:eastAsia="zh-CN" w:bidi="ar"/>
              </w:rPr>
            </w:pPr>
            <w:r>
              <w:rPr>
                <w:rFonts w:hint="eastAsia" w:ascii="仿宋" w:hAnsi="仿宋" w:eastAsia="仿宋" w:cs="仿宋"/>
                <w:color w:val="000000"/>
                <w:kern w:val="0"/>
                <w:sz w:val="28"/>
                <w:szCs w:val="28"/>
                <w:highlight w:val="none"/>
                <w:lang w:val="en-US" w:eastAsia="zh-CN" w:bidi="ar"/>
              </w:rPr>
              <w:t>主要包含强电系统、给排水系统、消防系统、采暖系统、通风空调系统、动力系统、自控系统、室外管网以及弱电预留预埋等施工。</w:t>
            </w:r>
            <w:r>
              <w:rPr>
                <w:rFonts w:hint="eastAsia" w:ascii="仿宋" w:hAnsi="仿宋" w:eastAsia="仿宋" w:cs="仿宋"/>
                <w:color w:val="000000"/>
                <w:kern w:val="0"/>
                <w:sz w:val="28"/>
                <w:szCs w:val="28"/>
                <w:highlight w:val="none"/>
                <w:lang w:val="zh-CN" w:eastAsia="zh-CN" w:bidi="ar"/>
              </w:rPr>
              <w:t>三、编制依据：</w:t>
            </w:r>
          </w:p>
          <w:p w14:paraId="7FBE5326">
            <w:pPr>
              <w:ind w:firstLine="560" w:firstLineChars="200"/>
              <w:rPr>
                <w:rFonts w:hint="eastAsia" w:ascii="仿宋" w:hAnsi="仿宋" w:eastAsia="仿宋" w:cs="仿宋"/>
                <w:color w:val="000000"/>
                <w:kern w:val="0"/>
                <w:sz w:val="28"/>
                <w:szCs w:val="28"/>
                <w:highlight w:val="none"/>
                <w:lang w:eastAsia="zh-CN" w:bidi="ar"/>
              </w:rPr>
            </w:pPr>
            <w:r>
              <w:rPr>
                <w:rFonts w:hint="eastAsia" w:ascii="仿宋" w:hAnsi="仿宋" w:eastAsia="仿宋" w:cs="仿宋"/>
                <w:color w:val="000000"/>
                <w:kern w:val="0"/>
                <w:sz w:val="28"/>
                <w:szCs w:val="28"/>
                <w:highlight w:val="none"/>
                <w:lang w:bidi="ar"/>
              </w:rPr>
              <w:t>1、</w:t>
            </w:r>
            <w:r>
              <w:rPr>
                <w:rFonts w:hint="eastAsia" w:ascii="仿宋" w:hAnsi="仿宋" w:eastAsia="仿宋" w:cs="仿宋"/>
                <w:color w:val="000000"/>
                <w:kern w:val="0"/>
                <w:sz w:val="28"/>
                <w:szCs w:val="28"/>
                <w:highlight w:val="none"/>
                <w:lang w:val="en-US" w:eastAsia="zh-CN" w:bidi="ar"/>
              </w:rPr>
              <w:t>设计</w:t>
            </w:r>
            <w:r>
              <w:rPr>
                <w:rFonts w:hint="eastAsia" w:ascii="仿宋" w:hAnsi="仿宋" w:eastAsia="仿宋" w:cs="仿宋"/>
                <w:color w:val="000000"/>
                <w:kern w:val="0"/>
                <w:sz w:val="28"/>
                <w:szCs w:val="28"/>
                <w:highlight w:val="none"/>
                <w:lang w:bidi="ar"/>
              </w:rPr>
              <w:t>图纸、设计院回复文件等</w:t>
            </w:r>
            <w:r>
              <w:rPr>
                <w:rFonts w:hint="eastAsia" w:ascii="仿宋" w:hAnsi="仿宋" w:eastAsia="仿宋" w:cs="仿宋"/>
                <w:color w:val="000000"/>
                <w:kern w:val="0"/>
                <w:sz w:val="28"/>
                <w:szCs w:val="28"/>
                <w:highlight w:val="none"/>
                <w:lang w:eastAsia="zh-CN" w:bidi="ar"/>
              </w:rPr>
              <w:t>；</w:t>
            </w:r>
          </w:p>
          <w:p w14:paraId="15882DF5">
            <w:pPr>
              <w:ind w:firstLine="560" w:firstLineChars="200"/>
              <w:rPr>
                <w:rFonts w:hint="eastAsia" w:ascii="仿宋" w:hAnsi="仿宋" w:eastAsia="仿宋" w:cs="仿宋"/>
                <w:color w:val="000000"/>
                <w:kern w:val="0"/>
                <w:sz w:val="28"/>
                <w:szCs w:val="28"/>
                <w:highlight w:val="none"/>
                <w:lang w:val="en-US" w:eastAsia="zh-CN" w:bidi="ar"/>
              </w:rPr>
            </w:pPr>
            <w:r>
              <w:rPr>
                <w:rFonts w:hint="eastAsia" w:ascii="仿宋" w:hAnsi="仿宋" w:eastAsia="仿宋" w:cs="仿宋"/>
                <w:color w:val="000000"/>
                <w:kern w:val="0"/>
                <w:sz w:val="28"/>
                <w:szCs w:val="28"/>
                <w:highlight w:val="none"/>
                <w:lang w:bidi="ar"/>
              </w:rPr>
              <w:t>2、</w:t>
            </w:r>
            <w:r>
              <w:rPr>
                <w:rFonts w:hint="eastAsia" w:ascii="仿宋" w:hAnsi="仿宋" w:eastAsia="仿宋" w:cs="仿宋"/>
                <w:color w:val="000000"/>
                <w:kern w:val="0"/>
                <w:sz w:val="28"/>
                <w:szCs w:val="28"/>
                <w:highlight w:val="none"/>
                <w:lang w:val="zh-CN" w:bidi="ar"/>
              </w:rPr>
              <w:t>《建设工程工程量清单计价规范》（GB50500-20</w:t>
            </w:r>
            <w:r>
              <w:rPr>
                <w:rFonts w:hint="eastAsia" w:ascii="仿宋" w:hAnsi="仿宋" w:eastAsia="仿宋" w:cs="仿宋"/>
                <w:color w:val="000000"/>
                <w:kern w:val="0"/>
                <w:sz w:val="28"/>
                <w:szCs w:val="28"/>
                <w:highlight w:val="none"/>
                <w:lang w:bidi="ar"/>
              </w:rPr>
              <w:t>13</w:t>
            </w:r>
            <w:r>
              <w:rPr>
                <w:rFonts w:hint="eastAsia" w:ascii="仿宋" w:hAnsi="仿宋" w:eastAsia="仿宋" w:cs="仿宋"/>
                <w:color w:val="000000"/>
                <w:kern w:val="0"/>
                <w:sz w:val="28"/>
                <w:szCs w:val="28"/>
                <w:highlight w:val="none"/>
                <w:lang w:val="zh-CN" w:bidi="ar"/>
              </w:rPr>
              <w:t>）</w:t>
            </w:r>
          </w:p>
          <w:p w14:paraId="03833027">
            <w:pPr>
              <w:ind w:firstLine="560" w:firstLineChars="200"/>
              <w:rPr>
                <w:rFonts w:hint="eastAsia" w:ascii="仿宋" w:hAnsi="仿宋" w:eastAsia="仿宋" w:cs="仿宋"/>
                <w:color w:val="000000"/>
                <w:kern w:val="0"/>
                <w:sz w:val="28"/>
                <w:szCs w:val="28"/>
                <w:highlight w:val="none"/>
                <w:lang w:val="zh-CN" w:bidi="ar"/>
              </w:rPr>
            </w:pPr>
            <w:r>
              <w:rPr>
                <w:rFonts w:hint="eastAsia" w:ascii="仿宋" w:hAnsi="仿宋" w:eastAsia="仿宋" w:cs="仿宋"/>
                <w:color w:val="000000"/>
                <w:kern w:val="0"/>
                <w:sz w:val="28"/>
                <w:szCs w:val="28"/>
                <w:highlight w:val="none"/>
                <w:lang w:val="en-US" w:eastAsia="zh-CN" w:bidi="ar"/>
              </w:rPr>
              <w:t>3</w:t>
            </w:r>
            <w:r>
              <w:rPr>
                <w:rFonts w:hint="eastAsia" w:ascii="仿宋" w:hAnsi="仿宋" w:eastAsia="仿宋" w:cs="仿宋"/>
                <w:color w:val="000000"/>
                <w:kern w:val="0"/>
                <w:sz w:val="28"/>
                <w:szCs w:val="28"/>
                <w:highlight w:val="none"/>
                <w:lang w:val="zh-CN" w:bidi="ar"/>
              </w:rPr>
              <w:t>、与建设项目相关的标准、规范、技术资料</w:t>
            </w:r>
            <w:r>
              <w:rPr>
                <w:rFonts w:hint="eastAsia" w:ascii="仿宋" w:hAnsi="仿宋" w:eastAsia="仿宋" w:cs="仿宋"/>
                <w:color w:val="000000"/>
                <w:kern w:val="0"/>
                <w:sz w:val="28"/>
                <w:szCs w:val="28"/>
                <w:highlight w:val="none"/>
                <w:lang w:val="en-US" w:eastAsia="zh-CN" w:bidi="ar"/>
              </w:rPr>
              <w:t>及</w:t>
            </w:r>
            <w:r>
              <w:rPr>
                <w:rFonts w:hint="eastAsia" w:ascii="仿宋" w:hAnsi="仿宋" w:eastAsia="仿宋" w:cs="仿宋"/>
                <w:color w:val="000000"/>
                <w:kern w:val="0"/>
                <w:sz w:val="28"/>
                <w:szCs w:val="28"/>
                <w:highlight w:val="none"/>
                <w:lang w:val="zh-CN" w:bidi="ar"/>
              </w:rPr>
              <w:t>其他相关资料。</w:t>
            </w:r>
          </w:p>
          <w:p w14:paraId="79A28317">
            <w:pPr>
              <w:rPr>
                <w:rFonts w:hint="eastAsia" w:ascii="仿宋" w:hAnsi="仿宋" w:eastAsia="仿宋" w:cs="仿宋"/>
                <w:color w:val="000000"/>
                <w:kern w:val="0"/>
                <w:sz w:val="28"/>
                <w:szCs w:val="28"/>
                <w:highlight w:val="none"/>
                <w:lang w:val="zh-CN" w:bidi="ar"/>
              </w:rPr>
            </w:pPr>
            <w:r>
              <w:rPr>
                <w:rFonts w:hint="eastAsia" w:ascii="仿宋" w:hAnsi="仿宋" w:eastAsia="仿宋" w:cs="仿宋"/>
                <w:color w:val="000000"/>
                <w:kern w:val="0"/>
                <w:sz w:val="28"/>
                <w:szCs w:val="28"/>
                <w:highlight w:val="none"/>
                <w:lang w:val="zh-CN" w:bidi="ar"/>
              </w:rPr>
              <w:t>四、工程类别的判断依据：</w:t>
            </w:r>
          </w:p>
          <w:p w14:paraId="7F95E578">
            <w:pPr>
              <w:ind w:firstLine="560" w:firstLineChars="200"/>
              <w:rPr>
                <w:rFonts w:hint="eastAsia" w:ascii="仿宋" w:hAnsi="仿宋" w:eastAsia="仿宋" w:cs="仿宋"/>
                <w:color w:val="000000"/>
                <w:kern w:val="0"/>
                <w:sz w:val="28"/>
                <w:szCs w:val="28"/>
                <w:highlight w:val="none"/>
                <w:lang w:val="zh-CN" w:bidi="ar"/>
              </w:rPr>
            </w:pPr>
            <w:r>
              <w:rPr>
                <w:rFonts w:hint="eastAsia" w:ascii="仿宋" w:hAnsi="仿宋" w:eastAsia="仿宋" w:cs="仿宋"/>
                <w:color w:val="000000"/>
                <w:kern w:val="0"/>
                <w:sz w:val="28"/>
                <w:szCs w:val="28"/>
                <w:highlight w:val="none"/>
                <w:lang w:val="zh-CN" w:bidi="ar"/>
              </w:rPr>
              <w:t>建筑工程III类，装饰工程III类，</w:t>
            </w:r>
            <w:r>
              <w:rPr>
                <w:rFonts w:hint="eastAsia" w:ascii="仿宋" w:hAnsi="仿宋" w:eastAsia="仿宋" w:cs="仿宋"/>
                <w:color w:val="000000"/>
                <w:kern w:val="0"/>
                <w:sz w:val="28"/>
                <w:szCs w:val="28"/>
                <w:highlight w:val="none"/>
                <w:lang w:val="en-US" w:eastAsia="zh-CN" w:bidi="ar"/>
              </w:rPr>
              <w:t>工业安装工程通用类别，园林绿化工程</w:t>
            </w:r>
            <w:r>
              <w:rPr>
                <w:rFonts w:hint="eastAsia" w:ascii="仿宋" w:hAnsi="仿宋" w:eastAsia="仿宋" w:cs="仿宋"/>
                <w:color w:val="000000"/>
                <w:kern w:val="0"/>
                <w:sz w:val="28"/>
                <w:szCs w:val="28"/>
                <w:highlight w:val="none"/>
                <w:lang w:val="zh-CN" w:bidi="ar"/>
              </w:rPr>
              <w:t>III类，</w:t>
            </w:r>
            <w:r>
              <w:rPr>
                <w:rFonts w:hint="eastAsia" w:ascii="仿宋" w:hAnsi="仿宋" w:eastAsia="仿宋" w:cs="仿宋"/>
                <w:color w:val="000000"/>
                <w:kern w:val="0"/>
                <w:sz w:val="28"/>
                <w:szCs w:val="28"/>
                <w:highlight w:val="none"/>
                <w:lang w:val="en-US" w:eastAsia="zh-CN" w:bidi="ar"/>
              </w:rPr>
              <w:t>道路工程</w:t>
            </w:r>
            <w:r>
              <w:rPr>
                <w:rFonts w:hint="eastAsia" w:ascii="仿宋" w:hAnsi="仿宋" w:eastAsia="仿宋" w:cs="仿宋"/>
                <w:color w:val="000000"/>
                <w:kern w:val="0"/>
                <w:sz w:val="28"/>
                <w:szCs w:val="28"/>
                <w:highlight w:val="none"/>
                <w:lang w:val="zh-CN" w:bidi="ar"/>
              </w:rPr>
              <w:t>III类。</w:t>
            </w:r>
          </w:p>
          <w:p w14:paraId="29DD2FF7">
            <w:pPr>
              <w:rPr>
                <w:rFonts w:hint="eastAsia" w:ascii="仿宋" w:hAnsi="仿宋" w:eastAsia="仿宋" w:cs="仿宋"/>
                <w:color w:val="000000"/>
                <w:kern w:val="0"/>
                <w:sz w:val="28"/>
                <w:szCs w:val="28"/>
                <w:lang w:val="en-US" w:eastAsia="zh-CN" w:bidi="ar"/>
              </w:rPr>
            </w:pPr>
            <w:r>
              <w:rPr>
                <w:rFonts w:hint="eastAsia" w:ascii="仿宋" w:hAnsi="仿宋" w:eastAsia="仿宋" w:cs="仿宋"/>
                <w:color w:val="000000"/>
                <w:kern w:val="0"/>
                <w:sz w:val="28"/>
                <w:szCs w:val="28"/>
                <w:highlight w:val="none"/>
                <w:lang w:val="en-US" w:eastAsia="zh-CN" w:bidi="ar"/>
              </w:rPr>
              <w:t>五</w:t>
            </w:r>
            <w:r>
              <w:rPr>
                <w:rFonts w:hint="eastAsia" w:ascii="仿宋" w:hAnsi="仿宋" w:eastAsia="仿宋" w:cs="仿宋"/>
                <w:color w:val="000000"/>
                <w:kern w:val="0"/>
                <w:sz w:val="28"/>
                <w:szCs w:val="28"/>
                <w:highlight w:val="none"/>
                <w:lang w:val="zh-CN" w:bidi="ar"/>
              </w:rPr>
              <w:t>、</w:t>
            </w:r>
            <w:r>
              <w:rPr>
                <w:rFonts w:hint="eastAsia" w:ascii="仿宋" w:hAnsi="仿宋" w:eastAsia="仿宋" w:cs="仿宋"/>
                <w:color w:val="000000"/>
                <w:kern w:val="0"/>
                <w:sz w:val="28"/>
                <w:szCs w:val="28"/>
                <w:highlight w:val="none"/>
                <w:lang w:val="en-US" w:eastAsia="zh-CN" w:bidi="ar"/>
              </w:rPr>
              <w:t>暂列金：</w:t>
            </w:r>
            <w:r>
              <w:rPr>
                <w:rFonts w:hint="eastAsia" w:ascii="仿宋" w:hAnsi="仿宋" w:eastAsia="仿宋" w:cs="仿宋"/>
                <w:color w:val="000000"/>
                <w:kern w:val="0"/>
                <w:sz w:val="28"/>
                <w:szCs w:val="28"/>
                <w:lang w:val="en-US" w:eastAsia="zh-CN" w:bidi="ar"/>
              </w:rPr>
              <w:t>本项目无暂列金。</w:t>
            </w:r>
          </w:p>
          <w:p w14:paraId="1F25822C">
            <w:pPr>
              <w:numPr>
                <w:ilvl w:val="0"/>
                <w:numId w:val="0"/>
              </w:numPr>
              <w:rPr>
                <w:rFonts w:hint="eastAsia" w:ascii="仿宋" w:hAnsi="仿宋" w:eastAsia="仿宋" w:cs="仿宋"/>
                <w:color w:val="000000"/>
                <w:kern w:val="0"/>
                <w:sz w:val="28"/>
                <w:szCs w:val="28"/>
                <w:lang w:val="en-US" w:eastAsia="zh-CN" w:bidi="ar"/>
              </w:rPr>
            </w:pPr>
            <w:r>
              <w:rPr>
                <w:rFonts w:hint="eastAsia" w:ascii="仿宋" w:hAnsi="仿宋" w:eastAsia="仿宋" w:cs="仿宋"/>
                <w:color w:val="000000"/>
                <w:kern w:val="0"/>
                <w:sz w:val="28"/>
                <w:szCs w:val="28"/>
                <w:lang w:val="en-US" w:eastAsia="zh-CN" w:bidi="ar"/>
              </w:rPr>
              <w:t>六、其他：</w:t>
            </w:r>
          </w:p>
          <w:p w14:paraId="5CCF59A5">
            <w:pPr>
              <w:spacing w:line="360" w:lineRule="auto"/>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rPr>
              <w:t>1、</w:t>
            </w:r>
            <w:r>
              <w:rPr>
                <w:rFonts w:hint="eastAsia" w:ascii="仿宋" w:hAnsi="仿宋" w:eastAsia="仿宋" w:cs="仿宋"/>
                <w:sz w:val="28"/>
                <w:szCs w:val="28"/>
                <w:lang w:val="en-US" w:eastAsia="zh-CN"/>
              </w:rPr>
              <w:t>散水中300厚种植土，植草皮在室外绿化中列项；</w:t>
            </w:r>
          </w:p>
          <w:p w14:paraId="2718EE55">
            <w:pPr>
              <w:spacing w:line="360" w:lineRule="auto"/>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2、地沟中防水等所有组成部分均在地沟中考虑，盖板暂使用铸铁盖板及混凝土盖板，地沟除渣箱单独考虑；</w:t>
            </w:r>
          </w:p>
          <w:p w14:paraId="2855F0BE">
            <w:pPr>
              <w:spacing w:line="360" w:lineRule="auto"/>
              <w:ind w:firstLine="560" w:firstLineChars="200"/>
              <w:rPr>
                <w:rFonts w:hint="default" w:ascii="仿宋" w:hAnsi="仿宋" w:eastAsia="仿宋" w:cs="仿宋"/>
                <w:sz w:val="28"/>
                <w:szCs w:val="28"/>
                <w:highlight w:val="none"/>
                <w:lang w:val="en-US" w:eastAsia="zh-CN"/>
              </w:rPr>
            </w:pPr>
            <w:r>
              <w:rPr>
                <w:rFonts w:hint="eastAsia" w:ascii="仿宋" w:hAnsi="仿宋" w:eastAsia="仿宋" w:cs="仿宋"/>
                <w:sz w:val="28"/>
                <w:szCs w:val="28"/>
                <w:lang w:val="en-US" w:eastAsia="zh-CN"/>
              </w:rPr>
              <w:t>3、玻璃雨棚及铝板雨棚、玻璃幕墙、封顶钢化玻璃围挡为厂家二次设计无详细做法，暂按常规计入；</w:t>
            </w:r>
          </w:p>
          <w:p w14:paraId="738CB14B">
            <w:pPr>
              <w:spacing w:line="360" w:lineRule="auto"/>
              <w:ind w:firstLine="560" w:firstLineChars="200"/>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4、道路土方包含绿化、硬化，土方深度暂按0.5米记取，工程量暂估；</w:t>
            </w:r>
          </w:p>
          <w:p w14:paraId="5721E9F3">
            <w:pPr>
              <w:spacing w:line="360" w:lineRule="auto"/>
              <w:ind w:firstLine="560" w:firstLineChars="200"/>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5、树池无明确做法，暂不考虑；</w:t>
            </w:r>
          </w:p>
          <w:p w14:paraId="2FA10AA2">
            <w:pPr>
              <w:spacing w:line="360" w:lineRule="auto"/>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6、种植土考虑外购，工程量暂估；</w:t>
            </w:r>
          </w:p>
          <w:p w14:paraId="46493064">
            <w:pPr>
              <w:spacing w:line="360" w:lineRule="auto"/>
              <w:ind w:firstLine="560" w:firstLineChars="200"/>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7、路沿石暂按花岗岩考虑，工程量暂估；</w:t>
            </w:r>
          </w:p>
          <w:p w14:paraId="3E4F4D55">
            <w:pPr>
              <w:spacing w:line="360" w:lineRule="auto"/>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8、草坪未明确具体做法，无图纸，暂按常规铺种草皮，室外除硬化部分全部绿化，养护暂按1年，工程量暂估；</w:t>
            </w:r>
          </w:p>
          <w:p w14:paraId="607CE9DE">
            <w:pPr>
              <w:spacing w:line="360" w:lineRule="auto"/>
              <w:ind w:firstLine="560" w:firstLineChars="200"/>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9、人行道暂未考虑；</w:t>
            </w:r>
          </w:p>
          <w:p w14:paraId="16CC228C">
            <w:pPr>
              <w:spacing w:line="360" w:lineRule="auto"/>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10、室外管网穿路已预留过路管，不再破除地面；</w:t>
            </w:r>
          </w:p>
          <w:p w14:paraId="152FA163">
            <w:pPr>
              <w:spacing w:line="360" w:lineRule="auto"/>
              <w:ind w:firstLine="560" w:firstLineChars="200"/>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11、室外管网中暂不考虑原设施、构筑物等拆除；</w:t>
            </w:r>
          </w:p>
          <w:p w14:paraId="00AC75D2">
            <w:pPr>
              <w:spacing w:line="360" w:lineRule="auto"/>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12、化粪池、隔油池土方开挖、回填暂按素土回填，工程量暂估；</w:t>
            </w:r>
          </w:p>
          <w:p w14:paraId="43019F18">
            <w:pPr>
              <w:spacing w:line="360" w:lineRule="auto"/>
              <w:ind w:firstLine="560" w:firstLineChars="200"/>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13、雨水井暂采用砌筑井；</w:t>
            </w:r>
          </w:p>
          <w:p w14:paraId="5130EAB8">
            <w:pPr>
              <w:spacing w:line="360" w:lineRule="auto"/>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14、卫生间烘手器、给皂盒由业主自行选配的未计入；</w:t>
            </w:r>
          </w:p>
          <w:p w14:paraId="782D5BFE">
            <w:pPr>
              <w:spacing w:line="360" w:lineRule="auto"/>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15、土方外运运距暂按10KM计入；</w:t>
            </w:r>
          </w:p>
          <w:p w14:paraId="636C2656">
            <w:pPr>
              <w:spacing w:line="360" w:lineRule="auto"/>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16、强弱电室外过路部分利用原预留保护管，未单列室外配管；</w:t>
            </w:r>
          </w:p>
          <w:p w14:paraId="3A4531B9">
            <w:pPr>
              <w:spacing w:line="360" w:lineRule="auto"/>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17、室内弱电系统仅预留预埋管线和桥架；</w:t>
            </w:r>
          </w:p>
          <w:p w14:paraId="2905E470">
            <w:pPr>
              <w:spacing w:line="360" w:lineRule="auto"/>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18、空调冷媒铜管管径需由中标后的设备厂家深化设计，费用综合考虑在室外机清单项内；</w:t>
            </w:r>
          </w:p>
          <w:p w14:paraId="04B22D98">
            <w:pPr>
              <w:spacing w:line="360" w:lineRule="auto"/>
              <w:ind w:firstLine="560" w:firstLineChars="200"/>
              <w:rPr>
                <w:rFonts w:hint="default" w:ascii="仿宋" w:hAnsi="仿宋" w:eastAsia="仿宋" w:cs="仿宋"/>
                <w:color w:val="000000"/>
                <w:kern w:val="0"/>
                <w:sz w:val="28"/>
                <w:szCs w:val="28"/>
                <w:lang w:val="en-US" w:eastAsia="zh-CN" w:bidi="ar"/>
              </w:rPr>
            </w:pPr>
            <w:r>
              <w:rPr>
                <w:rFonts w:hint="eastAsia" w:ascii="仿宋" w:hAnsi="仿宋" w:eastAsia="仿宋" w:cs="仿宋"/>
                <w:sz w:val="28"/>
                <w:szCs w:val="28"/>
                <w:lang w:val="en-US" w:eastAsia="zh-CN"/>
              </w:rPr>
              <w:t>19、门禁系统未设计，清单未考虑；</w:t>
            </w:r>
          </w:p>
          <w:p w14:paraId="6219988E">
            <w:pPr>
              <w:ind w:firstLine="560" w:firstLineChars="200"/>
              <w:rPr>
                <w:rFonts w:hint="eastAsia" w:ascii="仿宋" w:hAnsi="仿宋" w:eastAsia="仿宋" w:cs="仿宋"/>
                <w:color w:val="000000"/>
                <w:kern w:val="0"/>
                <w:sz w:val="28"/>
                <w:szCs w:val="28"/>
                <w:lang w:eastAsia="zh-CN" w:bidi="ar"/>
              </w:rPr>
            </w:pPr>
            <w:r>
              <w:rPr>
                <w:rFonts w:hint="eastAsia" w:ascii="仿宋" w:hAnsi="仿宋" w:eastAsia="仿宋" w:cs="仿宋"/>
                <w:color w:val="000000"/>
                <w:kern w:val="0"/>
                <w:sz w:val="28"/>
                <w:szCs w:val="28"/>
                <w:lang w:val="en-US" w:eastAsia="zh-CN" w:bidi="ar"/>
              </w:rPr>
              <w:t>20</w:t>
            </w:r>
            <w:r>
              <w:rPr>
                <w:rFonts w:hint="eastAsia" w:ascii="仿宋" w:hAnsi="仿宋" w:eastAsia="仿宋" w:cs="仿宋"/>
                <w:color w:val="000000"/>
                <w:kern w:val="0"/>
                <w:sz w:val="28"/>
                <w:szCs w:val="28"/>
                <w:lang w:bidi="ar"/>
              </w:rPr>
              <w:t>、投标人在投标前应进行现场踏勘，充分了解现场情况。招标</w:t>
            </w:r>
            <w:r>
              <w:rPr>
                <w:rFonts w:hint="eastAsia" w:ascii="仿宋" w:hAnsi="仿宋" w:eastAsia="仿宋" w:cs="仿宋"/>
                <w:color w:val="000000"/>
                <w:kern w:val="0"/>
                <w:sz w:val="28"/>
                <w:szCs w:val="28"/>
                <w:lang w:val="en-US" w:eastAsia="zh-CN" w:bidi="ar"/>
              </w:rPr>
              <w:t xml:space="preserve">  </w:t>
            </w:r>
            <w:r>
              <w:rPr>
                <w:rFonts w:hint="eastAsia" w:ascii="仿宋" w:hAnsi="仿宋" w:eastAsia="仿宋" w:cs="仿宋"/>
                <w:color w:val="000000"/>
                <w:kern w:val="0"/>
                <w:sz w:val="28"/>
                <w:szCs w:val="28"/>
                <w:lang w:bidi="ar"/>
              </w:rPr>
              <w:t>工程量清单中所列清单项目特征没有详尽描述，而又必须发生的，投标报价时应综合考虑施工过程中为完成本清单项目预计发生的所有费用，中标单价不再调整</w:t>
            </w:r>
            <w:r>
              <w:rPr>
                <w:rFonts w:hint="eastAsia" w:ascii="仿宋" w:hAnsi="仿宋" w:eastAsia="仿宋" w:cs="仿宋"/>
                <w:color w:val="000000"/>
                <w:kern w:val="0"/>
                <w:sz w:val="28"/>
                <w:szCs w:val="28"/>
                <w:lang w:eastAsia="zh-CN" w:bidi="ar"/>
              </w:rPr>
              <w:t>；</w:t>
            </w:r>
          </w:p>
          <w:p w14:paraId="03151288">
            <w:pPr>
              <w:ind w:firstLine="560" w:firstLineChars="200"/>
              <w:rPr>
                <w:rFonts w:hint="eastAsia" w:ascii="仿宋" w:hAnsi="仿宋" w:eastAsia="仿宋" w:cs="仿宋"/>
                <w:color w:val="000000"/>
                <w:kern w:val="0"/>
                <w:sz w:val="28"/>
                <w:szCs w:val="28"/>
                <w:lang w:val="zh-CN" w:bidi="ar"/>
              </w:rPr>
            </w:pPr>
            <w:r>
              <w:rPr>
                <w:rFonts w:hint="eastAsia" w:ascii="仿宋" w:hAnsi="仿宋" w:eastAsia="仿宋" w:cs="仿宋"/>
                <w:color w:val="000000"/>
                <w:kern w:val="0"/>
                <w:sz w:val="28"/>
                <w:szCs w:val="28"/>
                <w:lang w:val="en-US" w:eastAsia="zh-CN" w:bidi="ar"/>
              </w:rPr>
              <w:t>21</w:t>
            </w:r>
            <w:r>
              <w:rPr>
                <w:rFonts w:hint="eastAsia" w:ascii="仿宋" w:hAnsi="仿宋" w:eastAsia="仿宋" w:cs="仿宋"/>
                <w:color w:val="000000"/>
                <w:kern w:val="0"/>
                <w:sz w:val="28"/>
                <w:szCs w:val="28"/>
                <w:lang w:bidi="ar"/>
              </w:rPr>
              <w:t>、不允许投标单位采用不平衡报价，如发现非客观因素不平衡报价，招标人有权对中标清单的高报价部分予以调低价格，并同步调低中标总价</w:t>
            </w:r>
            <w:r>
              <w:rPr>
                <w:rFonts w:hint="eastAsia" w:ascii="仿宋" w:hAnsi="仿宋" w:eastAsia="仿宋" w:cs="仿宋"/>
                <w:color w:val="000000"/>
                <w:kern w:val="0"/>
                <w:sz w:val="28"/>
                <w:szCs w:val="28"/>
                <w:lang w:eastAsia="zh-CN" w:bidi="ar"/>
              </w:rPr>
              <w:t>。</w:t>
            </w:r>
          </w:p>
        </w:tc>
      </w:tr>
    </w:tbl>
    <w:p w14:paraId="1D52CCB8">
      <w:pPr>
        <w:pStyle w:val="4"/>
        <w:widowControl/>
        <w:spacing w:before="0" w:beforeAutospacing="0" w:after="0" w:afterAutospacing="0"/>
        <w:rPr>
          <w:rFonts w:hint="eastAsia" w:ascii="宋体" w:hAnsi="宋体" w:eastAsia="宋体" w:cs="宋体"/>
          <w:sz w:val="22"/>
          <w:szCs w:val="22"/>
          <w:lang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CE91E3F"/>
    <w:multiLevelType w:val="singleLevel"/>
    <w:tmpl w:val="6CE91E3F"/>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UwNDUxZTAwNjUyZmJjNTExOWIzZjg4ZTQ4NzE3MTUifQ=="/>
    <w:docVar w:name="KSO_WPS_MARK_KEY" w:val="cf6b582c-5995-4645-a048-b1b086cfecb0"/>
  </w:docVars>
  <w:rsids>
    <w:rsidRoot w:val="7FE321B4"/>
    <w:rsid w:val="001366AE"/>
    <w:rsid w:val="00232460"/>
    <w:rsid w:val="006E2F42"/>
    <w:rsid w:val="00A0649D"/>
    <w:rsid w:val="00F22434"/>
    <w:rsid w:val="01A02D09"/>
    <w:rsid w:val="05AF5900"/>
    <w:rsid w:val="06991AEC"/>
    <w:rsid w:val="06F12DB8"/>
    <w:rsid w:val="089E6B98"/>
    <w:rsid w:val="08D85692"/>
    <w:rsid w:val="0D470B14"/>
    <w:rsid w:val="0F1C1CB3"/>
    <w:rsid w:val="12560A7B"/>
    <w:rsid w:val="147F6E3A"/>
    <w:rsid w:val="167F30CD"/>
    <w:rsid w:val="16AA4DC7"/>
    <w:rsid w:val="16C00918"/>
    <w:rsid w:val="19BB58C9"/>
    <w:rsid w:val="1A61327C"/>
    <w:rsid w:val="1CB22663"/>
    <w:rsid w:val="1E5039CC"/>
    <w:rsid w:val="1EA344AB"/>
    <w:rsid w:val="1ED62023"/>
    <w:rsid w:val="23391F46"/>
    <w:rsid w:val="250172AE"/>
    <w:rsid w:val="273C465C"/>
    <w:rsid w:val="295E4DC4"/>
    <w:rsid w:val="2BCC2E04"/>
    <w:rsid w:val="2D714FD1"/>
    <w:rsid w:val="2F6F3F19"/>
    <w:rsid w:val="304D7996"/>
    <w:rsid w:val="32AE7E18"/>
    <w:rsid w:val="33124420"/>
    <w:rsid w:val="37CE140D"/>
    <w:rsid w:val="38D81FC4"/>
    <w:rsid w:val="3A4E46DE"/>
    <w:rsid w:val="3E0C2B0F"/>
    <w:rsid w:val="3E2511A0"/>
    <w:rsid w:val="407C74D0"/>
    <w:rsid w:val="42B31885"/>
    <w:rsid w:val="438E7DEC"/>
    <w:rsid w:val="44424119"/>
    <w:rsid w:val="44735770"/>
    <w:rsid w:val="461B7981"/>
    <w:rsid w:val="47267D2E"/>
    <w:rsid w:val="47B9011F"/>
    <w:rsid w:val="485A4EAE"/>
    <w:rsid w:val="49EC0159"/>
    <w:rsid w:val="4A837993"/>
    <w:rsid w:val="4BAD57B0"/>
    <w:rsid w:val="4CF5707D"/>
    <w:rsid w:val="4DAA555D"/>
    <w:rsid w:val="4E642999"/>
    <w:rsid w:val="4F596B6F"/>
    <w:rsid w:val="4FBE3B38"/>
    <w:rsid w:val="4FDE2637"/>
    <w:rsid w:val="50317489"/>
    <w:rsid w:val="54E01C8E"/>
    <w:rsid w:val="57DB7B1A"/>
    <w:rsid w:val="580F7106"/>
    <w:rsid w:val="584B2ACF"/>
    <w:rsid w:val="58767185"/>
    <w:rsid w:val="5D7F6ADB"/>
    <w:rsid w:val="5E066559"/>
    <w:rsid w:val="5E4F705C"/>
    <w:rsid w:val="5EA618FD"/>
    <w:rsid w:val="5F7E738D"/>
    <w:rsid w:val="5FB74B4F"/>
    <w:rsid w:val="61286B2E"/>
    <w:rsid w:val="61EC0C2C"/>
    <w:rsid w:val="62242E29"/>
    <w:rsid w:val="63382D07"/>
    <w:rsid w:val="64BD4F09"/>
    <w:rsid w:val="663600AD"/>
    <w:rsid w:val="6AB44E0E"/>
    <w:rsid w:val="6B2E7664"/>
    <w:rsid w:val="6C4A4939"/>
    <w:rsid w:val="6D8F68C7"/>
    <w:rsid w:val="6EAE5472"/>
    <w:rsid w:val="6ECB4F38"/>
    <w:rsid w:val="70471B45"/>
    <w:rsid w:val="70C90342"/>
    <w:rsid w:val="70DA324D"/>
    <w:rsid w:val="71847B48"/>
    <w:rsid w:val="73197B67"/>
    <w:rsid w:val="74065409"/>
    <w:rsid w:val="755415BF"/>
    <w:rsid w:val="793B5B55"/>
    <w:rsid w:val="7AD85D51"/>
    <w:rsid w:val="7C9C431C"/>
    <w:rsid w:val="7DC06D26"/>
    <w:rsid w:val="7E78240E"/>
    <w:rsid w:val="7FE321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qFormat/>
    <w:uiPriority w:val="0"/>
    <w:pPr>
      <w:tabs>
        <w:tab w:val="center" w:pos="4153"/>
        <w:tab w:val="right" w:pos="8306"/>
      </w:tabs>
      <w:snapToGrid w:val="0"/>
      <w:jc w:val="left"/>
    </w:pPr>
    <w:rPr>
      <w:sz w:val="18"/>
      <w:szCs w:val="18"/>
    </w:rPr>
  </w:style>
  <w:style w:type="paragraph" w:styleId="3">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100" w:beforeAutospacing="1" w:after="100" w:afterAutospacing="1"/>
      <w:jc w:val="left"/>
    </w:pPr>
    <w:rPr>
      <w:kern w:val="0"/>
      <w:sz w:val="24"/>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
    <w:name w:val="页眉 字符"/>
    <w:basedOn w:val="7"/>
    <w:link w:val="3"/>
    <w:qFormat/>
    <w:uiPriority w:val="0"/>
    <w:rPr>
      <w:rFonts w:ascii="Times New Roman" w:hAnsi="Times New Roman" w:eastAsia="宋体" w:cs="Times New Roman"/>
      <w:kern w:val="2"/>
      <w:sz w:val="18"/>
      <w:szCs w:val="18"/>
    </w:rPr>
  </w:style>
  <w:style w:type="character" w:customStyle="1" w:styleId="9">
    <w:name w:val="页脚 字符"/>
    <w:basedOn w:val="7"/>
    <w:link w:val="2"/>
    <w:qFormat/>
    <w:uiPriority w:val="0"/>
    <w:rPr>
      <w:rFonts w:ascii="Times New Roman" w:hAnsi="Times New Roman" w:eastAsia="宋体" w:cs="Times New Roman"/>
      <w:kern w:val="2"/>
      <w:sz w:val="18"/>
      <w:szCs w:val="18"/>
    </w:rPr>
  </w:style>
  <w:style w:type="paragraph" w:styleId="10">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CCE8C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1009</Words>
  <Characters>1047</Characters>
  <Lines>4</Lines>
  <Paragraphs>1</Paragraphs>
  <TotalTime>4</TotalTime>
  <ScaleCrop>false</ScaleCrop>
  <LinksUpToDate>false</LinksUpToDate>
  <CharactersWithSpaces>1050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2024-03-05T07:57:00Z</dcterms:created>
  <dc:creator>WPS_1677642919</dc:creator>
  <cp:lastModifiedBy>一叶浮萍</cp:lastModifiedBy>
  <cp:lastPrinted>2024-11-07T03:00:00Z</cp:lastPrinted>
  <dcterms:modified xsi:type="dcterms:W3CDTF">2025-08-22T07:18:44Z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8C622F7B1577441E9A7D799FE650DF49_13</vt:lpwstr>
  </property>
  <property fmtid="{D5CDD505-2E9C-101B-9397-08002B2CF9AE}" pid="4" name="KSOTemplateDocerSaveRecord">
    <vt:lpwstr>eyJoZGlkIjoiZDAwOTBhZGUxM2VmNjU3NmU1ZjIyNTE2OWM3ODhiNGUiLCJ1c2VySWQiOiIyNzk0NTc2ODAifQ==</vt:lpwstr>
  </property>
</Properties>
</file>