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宋体" w:hAnsi="宋体" w:eastAsia="宋体" w:cs="宋体"/>
          <w:color w:val="000000"/>
          <w:sz w:val="30"/>
          <w:szCs w:val="30"/>
        </w:rPr>
      </w:pPr>
    </w:p>
    <w:p>
      <w:pPr>
        <w:spacing w:line="880" w:lineRule="exact"/>
        <w:jc w:val="center"/>
        <w:rPr>
          <w:rFonts w:hint="eastAsia" w:ascii="宋体" w:hAnsi="宋体" w:eastAsia="宋体" w:cs="宋体"/>
          <w:b/>
          <w:bCs/>
          <w:spacing w:val="-8"/>
          <w:sz w:val="48"/>
          <w:szCs w:val="48"/>
        </w:rPr>
      </w:pPr>
      <w:r>
        <w:rPr>
          <w:rFonts w:hint="eastAsia" w:ascii="宋体" w:hAnsi="宋体" w:eastAsia="宋体" w:cs="宋体"/>
          <w:b/>
          <w:bCs/>
          <w:spacing w:val="-8"/>
          <w:sz w:val="48"/>
          <w:szCs w:val="48"/>
        </w:rPr>
        <w:t>济南汽车检测中心有限公司</w:t>
      </w:r>
      <w:r>
        <w:rPr>
          <w:rFonts w:hint="eastAsia" w:ascii="宋体" w:hAnsi="宋体" w:eastAsia="宋体" w:cs="宋体"/>
          <w:b/>
          <w:bCs/>
          <w:spacing w:val="-8"/>
          <w:sz w:val="48"/>
          <w:szCs w:val="48"/>
          <w:lang w:val="en-US" w:eastAsia="zh-CN"/>
        </w:rPr>
        <w:t>/中国重汽集团济南动力有限公司油液试验委外项目</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人：济南汽车检测中心有限公司</w:t>
      </w:r>
    </w:p>
    <w:p>
      <w:pPr>
        <w:jc w:val="center"/>
        <w:rPr>
          <w:rFonts w:hint="eastAsia" w:ascii="宋体" w:hAnsi="宋体" w:eastAsia="宋体" w:cs="宋体"/>
          <w:color w:val="000000"/>
          <w:sz w:val="28"/>
          <w:szCs w:val="28"/>
        </w:rPr>
      </w:pPr>
      <w:r>
        <w:rPr>
          <w:rFonts w:hint="eastAsia" w:ascii="宋体" w:hAnsi="宋体" w:cs="宋体"/>
          <w:color w:val="000000"/>
          <w:sz w:val="28"/>
          <w:szCs w:val="28"/>
          <w:lang w:val="en-US" w:eastAsia="zh-CN"/>
        </w:rPr>
        <w:t xml:space="preserve">  </w:t>
      </w:r>
      <w:r>
        <w:rPr>
          <w:rFonts w:hint="eastAsia" w:ascii="宋体" w:hAnsi="宋体" w:eastAsia="宋体" w:cs="宋体"/>
          <w:color w:val="000000"/>
          <w:sz w:val="28"/>
          <w:szCs w:val="28"/>
        </w:rPr>
        <w:t>中国重汽集团济南动力有限公司</w:t>
      </w:r>
    </w:p>
    <w:p>
      <w:pPr>
        <w:jc w:val="center"/>
        <w:rPr>
          <w:rFonts w:hint="eastAsia" w:ascii="宋体" w:hAnsi="宋体" w:cs="宋体"/>
          <w:color w:val="000000"/>
          <w:sz w:val="28"/>
          <w:szCs w:val="28"/>
          <w:lang w:val="en-US" w:eastAsia="zh-CN"/>
        </w:rPr>
      </w:pPr>
    </w:p>
    <w:p>
      <w:pPr>
        <w:jc w:val="center"/>
        <w:rPr>
          <w:rFonts w:hint="default" w:ascii="宋体" w:hAnsi="宋体" w:eastAsia="宋体" w:cs="宋体"/>
          <w:sz w:val="28"/>
          <w:szCs w:val="28"/>
          <w:lang w:val="en-US" w:eastAsia="zh-CN"/>
        </w:rPr>
      </w:pPr>
      <w:r>
        <w:rPr>
          <w:rFonts w:hint="eastAsia" w:ascii="宋体" w:hAnsi="宋体" w:cs="宋体"/>
          <w:color w:val="000000"/>
          <w:sz w:val="28"/>
          <w:szCs w:val="28"/>
          <w:lang w:val="en-US" w:eastAsia="zh-CN"/>
        </w:rPr>
        <w:t>2025年</w:t>
      </w:r>
      <w:r>
        <w:rPr>
          <w:rFonts w:hint="default" w:ascii="宋体" w:hAnsi="宋体" w:cs="宋体"/>
          <w:color w:val="000000"/>
          <w:sz w:val="28"/>
          <w:szCs w:val="28"/>
          <w:lang w:eastAsia="zh-CN"/>
          <w:woUserID w:val="1"/>
        </w:rPr>
        <w:t>8</w:t>
      </w:r>
      <w:r>
        <w:rPr>
          <w:rFonts w:hint="eastAsia" w:ascii="宋体" w:hAnsi="宋体" w:cs="宋体"/>
          <w:color w:val="000000"/>
          <w:sz w:val="28"/>
          <w:szCs w:val="28"/>
          <w:lang w:val="en-US" w:eastAsia="zh-CN"/>
        </w:rPr>
        <w:t>月</w:t>
      </w: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rPr>
        <w:t>济南汽车检测中心有限公司/中国重汽集团济南动力有限公司油液试验委外项目</w:t>
      </w:r>
    </w:p>
    <w:p>
      <w:pPr>
        <w:pStyle w:val="4"/>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highlight w:val="yellow"/>
          <w:lang w:val="en-US" w:eastAsia="zh-CN" w:bidi="ar-SA"/>
        </w:rPr>
      </w:pPr>
      <w:r>
        <w:rPr>
          <w:rFonts w:hint="eastAsia" w:ascii="宋体" w:hAnsi="宋体" w:eastAsia="宋体" w:cs="宋体"/>
          <w:b w:val="0"/>
          <w:bCs w:val="0"/>
          <w:color w:val="000000"/>
          <w:kern w:val="2"/>
          <w:sz w:val="24"/>
          <w:szCs w:val="24"/>
          <w:highlight w:val="yellow"/>
          <w:lang w:val="en-US" w:eastAsia="zh-CN" w:bidi="ar-SA"/>
        </w:rPr>
        <w:t>采购形式编号：CGZX2025070123</w:t>
      </w:r>
    </w:p>
    <w:bookmarkEnd w:id="0"/>
    <w:p>
      <w:pPr>
        <w:pStyle w:val="80"/>
        <w:rPr>
          <w:rFonts w:hint="eastAsia" w:ascii="宋体" w:hAnsi="宋体" w:eastAsia="宋体" w:cs="宋体"/>
        </w:rPr>
      </w:pPr>
      <w:r>
        <w:rPr>
          <w:rFonts w:hint="eastAsia" w:ascii="宋体" w:hAnsi="宋体" w:eastAsia="宋体" w:cs="宋体"/>
        </w:rPr>
        <w:t>二、招标内容及形式</w:t>
      </w:r>
    </w:p>
    <w:p>
      <w:pPr>
        <w:pStyle w:val="2"/>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1、招标内容：</w:t>
      </w:r>
      <w:r>
        <w:rPr>
          <w:rFonts w:hint="eastAsia" w:hAnsi="宋体" w:cs="宋体"/>
          <w:color w:val="000000"/>
          <w:sz w:val="24"/>
          <w:szCs w:val="24"/>
          <w:lang w:eastAsia="zh-CN"/>
        </w:rPr>
        <w:t>济南汽车检测中心有限公司/中国重汽集团济南动力有限公司油液试验委外项目</w:t>
      </w:r>
    </w:p>
    <w:p>
      <w:pPr>
        <w:pStyle w:val="2"/>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2、招标形式：公开招标。</w:t>
      </w:r>
    </w:p>
    <w:p>
      <w:pPr>
        <w:pStyle w:val="2"/>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hAnsi="宋体" w:cs="宋体"/>
          <w:color w:val="000000"/>
          <w:sz w:val="24"/>
          <w:szCs w:val="24"/>
          <w:lang w:eastAsia="zh-CN"/>
        </w:rPr>
        <w:t>济南汽车检测中心有限公司/中国重汽集团济南动力有限公司油液试验委外项目</w:t>
      </w:r>
      <w:r>
        <w:rPr>
          <w:rFonts w:hint="eastAsia" w:ascii="宋体" w:hAnsi="宋体" w:eastAsia="宋体" w:cs="宋体"/>
          <w:color w:val="000000"/>
          <w:sz w:val="24"/>
          <w:szCs w:val="24"/>
        </w:rPr>
        <w:t>。</w:t>
      </w:r>
    </w:p>
    <w:p>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2、项目地点：济南市高新区华奥路777号重汽科技中心园区。</w:t>
      </w:r>
    </w:p>
    <w:p>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none"/>
          <w:u w:val="single"/>
        </w:rPr>
        <w:t>半年期商业汇票（包括银行承兑汇票和商业承兑汇票）</w:t>
      </w:r>
    </w:p>
    <w:p>
      <w:pPr>
        <w:pStyle w:val="78"/>
        <w:rPr>
          <w:rFonts w:hint="eastAsia" w:ascii="宋体" w:hAnsi="宋体" w:eastAsia="宋体" w:cs="宋体"/>
        </w:rPr>
      </w:pPr>
      <w:r>
        <w:rPr>
          <w:rFonts w:hint="eastAsia" w:ascii="宋体" w:hAnsi="宋体" w:eastAsia="宋体" w:cs="宋体"/>
        </w:rPr>
        <w:t>中标人与中国重汽集团济南动力有限公司</w:t>
      </w:r>
      <w:r>
        <w:rPr>
          <w:rFonts w:hint="default" w:eastAsia="宋体" w:cs="宋体"/>
          <w:woUserID w:val="1"/>
        </w:rPr>
        <w:t>、济南汽车检测中心有限公司</w:t>
      </w:r>
      <w:r>
        <w:rPr>
          <w:rFonts w:hint="eastAsia" w:ascii="宋体" w:hAnsi="宋体" w:eastAsia="宋体" w:cs="宋体"/>
        </w:rPr>
        <w:t>签订合同，按表1（具体付款方式）通知开具增值税发票，由中国重汽集团济南动力有限公</w:t>
      </w:r>
      <w:r>
        <w:rPr>
          <w:rFonts w:hint="default" w:eastAsia="宋体" w:cs="宋体"/>
          <w:woUserID w:val="1"/>
        </w:rPr>
        <w:t>司、济南汽车检测中心有限公司</w:t>
      </w:r>
      <w:r>
        <w:rPr>
          <w:rFonts w:hint="eastAsia" w:ascii="宋体" w:hAnsi="宋体" w:eastAsia="宋体" w:cs="宋体"/>
        </w:rPr>
        <w:t>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lang w:eastAsia="zh-CN"/>
              </w:rPr>
            </w:pPr>
            <w:r>
              <w:rPr>
                <w:rFonts w:hint="eastAsia" w:ascii="宋体" w:hAnsi="宋体" w:eastAsia="宋体" w:cs="宋体"/>
                <w:b w:val="0"/>
                <w:lang w:eastAsia="zh-CN"/>
              </w:rPr>
              <w:t>济南汽车检测中心有限公司/中国重汽集团济南动力有限公司油液试验委外项目</w:t>
            </w:r>
          </w:p>
        </w:tc>
        <w:tc>
          <w:tcPr>
            <w:tcW w:w="775"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合同签订后按实际</w:t>
            </w:r>
            <w:r>
              <w:rPr>
                <w:rFonts w:hint="eastAsia" w:ascii="宋体" w:hAnsi="宋体" w:eastAsia="宋体" w:cs="宋体"/>
                <w:b w:val="0"/>
                <w:lang w:val="en-US" w:eastAsia="zh-CN"/>
              </w:rPr>
              <w:t>试验次数据实</w:t>
            </w:r>
            <w:r>
              <w:rPr>
                <w:rFonts w:hint="eastAsia" w:ascii="宋体" w:hAnsi="宋体" w:eastAsia="宋体" w:cs="宋体"/>
                <w:b w:val="0"/>
              </w:rPr>
              <w:t>结算</w:t>
            </w:r>
          </w:p>
        </w:tc>
        <w:tc>
          <w:tcPr>
            <w:tcW w:w="951"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100%</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2"/>
        <w:spacing w:line="360" w:lineRule="auto"/>
        <w:ind w:firstLine="235" w:firstLineChars="98"/>
        <w:rPr>
          <w:rFonts w:hint="eastAsia" w:ascii="宋体" w:hAnsi="宋体" w:eastAsia="宋体" w:cs="宋体"/>
          <w:b/>
          <w:color w:val="000000"/>
          <w:sz w:val="24"/>
          <w:szCs w:val="24"/>
          <w:highlight w:val="red"/>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i/>
          <w:color w:val="000000"/>
          <w:sz w:val="24"/>
          <w:szCs w:val="24"/>
          <w:highlight w:val="yellow"/>
          <w:lang w:val="en-US" w:eastAsia="zh-CN"/>
        </w:rPr>
        <w:t>5</w:t>
      </w:r>
      <w:r>
        <w:rPr>
          <w:rFonts w:hint="eastAsia" w:ascii="宋体" w:hAnsi="宋体" w:eastAsia="宋体" w:cs="宋体"/>
          <w:i/>
          <w:color w:val="000000"/>
          <w:sz w:val="24"/>
          <w:szCs w:val="24"/>
          <w:highlight w:val="yellow"/>
        </w:rPr>
        <w:t>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r>
        <w:rPr>
          <w:rFonts w:hint="eastAsia" w:ascii="宋体" w:hAnsi="宋体" w:eastAsia="宋体" w:cs="宋体"/>
          <w:color w:val="000000"/>
          <w:sz w:val="24"/>
          <w:szCs w:val="24"/>
          <w:highlight w:val="cyan"/>
        </w:rPr>
        <w:t>具备CNAS、CMA资质。</w:t>
      </w:r>
    </w:p>
    <w:p>
      <w:pPr>
        <w:pStyle w:val="2"/>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2"/>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2"/>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2"/>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2"/>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2"/>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2"/>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2"/>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2"/>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2"/>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2"/>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w:t>
      </w:r>
      <w:r>
        <w:rPr>
          <w:rFonts w:hint="eastAsia" w:eastAsia="宋体" w:cs="宋体"/>
          <w:b/>
          <w:lang w:val="en-US" w:eastAsia="zh-CN"/>
        </w:rPr>
        <w:t>E采通</w:t>
      </w:r>
      <w:r>
        <w:rPr>
          <w:rFonts w:hint="eastAsia" w:ascii="宋体" w:hAnsi="宋体" w:eastAsia="宋体" w:cs="宋体"/>
          <w:b/>
        </w:rPr>
        <w:t>报价货币单位为：</w:t>
      </w:r>
      <w:r>
        <w:rPr>
          <w:rFonts w:hint="eastAsia" w:ascii="宋体" w:hAnsi="宋体" w:eastAsia="宋体" w:cs="宋体"/>
          <w:b/>
          <w:u w:val="single"/>
        </w:rPr>
        <w:t xml:space="preserve"> </w:t>
      </w:r>
      <w:r>
        <w:rPr>
          <w:rFonts w:hint="eastAsia" w:eastAsia="宋体" w:cs="宋体"/>
          <w:b/>
          <w:u w:val="single"/>
          <w:lang w:val="en-US" w:eastAsia="zh-CN"/>
        </w:rPr>
        <w:t>万</w:t>
      </w:r>
      <w:r>
        <w:rPr>
          <w:rFonts w:hint="eastAsia" w:ascii="宋体" w:hAnsi="宋体" w:eastAsia="宋体" w:cs="宋体"/>
          <w:b/>
          <w:u w:val="single"/>
        </w:rPr>
        <w:t>元</w:t>
      </w:r>
      <w:r>
        <w:rPr>
          <w:rFonts w:hint="eastAsia" w:ascii="宋体" w:hAnsi="宋体" w:eastAsia="宋体" w:cs="宋体"/>
          <w:b/>
        </w:rPr>
        <w:t>（含税价）。</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提供2万元（或其他等值货币）的投标保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green"/>
          <w:woUserID w:val="1"/>
        </w:rPr>
        <w:t>202</w:t>
      </w:r>
      <w:r>
        <w:rPr>
          <w:rFonts w:hint="default" w:ascii="宋体" w:hAnsi="宋体" w:eastAsia="宋体" w:cs="宋体"/>
          <w:b w:val="0"/>
          <w:color w:val="auto"/>
          <w:highlight w:val="green"/>
          <w:woUserID w:val="1"/>
        </w:rPr>
        <w:t>5</w:t>
      </w:r>
      <w:r>
        <w:rPr>
          <w:rFonts w:hint="eastAsia" w:ascii="宋体" w:hAnsi="宋体" w:eastAsia="宋体" w:cs="宋体"/>
          <w:b w:val="0"/>
          <w:color w:val="auto"/>
          <w:highlight w:val="green"/>
          <w:woUserID w:val="1"/>
        </w:rPr>
        <w:t>年</w:t>
      </w:r>
      <w:r>
        <w:rPr>
          <w:rFonts w:hint="default" w:ascii="宋体" w:hAnsi="宋体" w:eastAsia="宋体" w:cs="宋体"/>
          <w:b w:val="0"/>
          <w:color w:val="auto"/>
          <w:highlight w:val="green"/>
          <w:woUserID w:val="1"/>
        </w:rPr>
        <w:t>8</w:t>
      </w:r>
      <w:r>
        <w:rPr>
          <w:rFonts w:hint="eastAsia" w:ascii="宋体" w:hAnsi="宋体" w:eastAsia="宋体" w:cs="宋体"/>
          <w:b w:val="0"/>
          <w:color w:val="auto"/>
          <w:highlight w:val="green"/>
          <w:woUserID w:val="1"/>
        </w:rPr>
        <w:t>月</w:t>
      </w:r>
      <w:r>
        <w:rPr>
          <w:rFonts w:hint="default" w:ascii="宋体" w:hAnsi="宋体" w:eastAsia="宋体" w:cs="宋体"/>
          <w:b w:val="0"/>
          <w:color w:val="auto"/>
          <w:highlight w:val="green"/>
          <w:woUserID w:val="1"/>
        </w:rPr>
        <w:t>29</w:t>
      </w:r>
      <w:r>
        <w:rPr>
          <w:rFonts w:hint="eastAsia" w:ascii="宋体" w:hAnsi="宋体" w:eastAsia="宋体" w:cs="宋体"/>
          <w:b w:val="0"/>
          <w:color w:val="auto"/>
          <w:highlight w:val="green"/>
          <w:woUserID w:val="1"/>
        </w:rPr>
        <w:t>日（周</w:t>
      </w:r>
      <w:r>
        <w:rPr>
          <w:rFonts w:hint="default" w:ascii="宋体" w:hAnsi="宋体" w:eastAsia="宋体" w:cs="宋体"/>
          <w:b w:val="0"/>
          <w:color w:val="auto"/>
          <w:highlight w:val="green"/>
          <w:woUserID w:val="1"/>
        </w:rPr>
        <w:t>五</w:t>
      </w:r>
      <w:r>
        <w:rPr>
          <w:rFonts w:hint="eastAsia" w:ascii="宋体" w:hAnsi="宋体" w:eastAsia="宋体" w:cs="宋体"/>
          <w:b w:val="0"/>
          <w:color w:val="auto"/>
          <w:highlight w:val="green"/>
          <w:woUserID w:val="1"/>
        </w:rPr>
        <w:t>）</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2、发布招标方式：本次招标公告在中国重汽官方网站、山东省阳光采购服务平台、中国重汽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w:t>
      </w:r>
      <w:r>
        <w:rPr>
          <w:rFonts w:hint="eastAsia" w:ascii="宋体" w:hAnsi="宋体" w:eastAsia="宋体" w:cs="宋体"/>
          <w:bCs/>
          <w:woUserID w:val="1"/>
        </w:rPr>
        <w:t>2025年</w:t>
      </w:r>
      <w:r>
        <w:rPr>
          <w:rFonts w:hint="default" w:eastAsia="宋体" w:cs="宋体"/>
          <w:bCs/>
          <w:woUserID w:val="1"/>
        </w:rPr>
        <w:t>9</w:t>
      </w:r>
      <w:r>
        <w:rPr>
          <w:rFonts w:hint="eastAsia" w:ascii="宋体" w:hAnsi="宋体" w:eastAsia="宋体" w:cs="宋体"/>
          <w:bCs/>
          <w:woUserID w:val="1"/>
        </w:rPr>
        <w:t>月</w:t>
      </w:r>
      <w:r>
        <w:rPr>
          <w:rFonts w:hint="default" w:eastAsia="宋体" w:cs="宋体"/>
          <w:bCs/>
          <w:woUserID w:val="1"/>
        </w:rPr>
        <w:t>5</w:t>
      </w:r>
      <w:r>
        <w:rPr>
          <w:rFonts w:hint="eastAsia" w:ascii="宋体" w:hAnsi="宋体" w:eastAsia="宋体" w:cs="宋体"/>
          <w:bCs/>
          <w:woUserID w:val="1"/>
        </w:rPr>
        <w:t>日（周</w:t>
      </w:r>
      <w:r>
        <w:rPr>
          <w:rFonts w:hint="default" w:eastAsia="宋体" w:cs="宋体"/>
          <w:bCs/>
          <w:woUserID w:val="1"/>
        </w:rPr>
        <w:t>五</w:t>
      </w:r>
      <w:r>
        <w:rPr>
          <w:rFonts w:hint="eastAsia" w:ascii="宋体" w:hAnsi="宋体" w:eastAsia="宋体" w:cs="宋体"/>
          <w:bCs/>
          <w:woUserID w:val="1"/>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woUserID w:val="1"/>
        </w:rPr>
        <w:t>2025年</w:t>
      </w:r>
      <w:r>
        <w:rPr>
          <w:rFonts w:hint="default" w:eastAsia="宋体" w:cs="宋体"/>
          <w:bCs/>
          <w:woUserID w:val="1"/>
        </w:rPr>
        <w:t>9</w:t>
      </w:r>
      <w:r>
        <w:rPr>
          <w:rFonts w:hint="eastAsia" w:ascii="宋体" w:hAnsi="宋体" w:eastAsia="宋体" w:cs="宋体"/>
          <w:bCs/>
          <w:woUserID w:val="1"/>
        </w:rPr>
        <w:t>月</w:t>
      </w:r>
      <w:r>
        <w:rPr>
          <w:rFonts w:hint="default" w:eastAsia="宋体" w:cs="宋体"/>
          <w:bCs/>
          <w:woUserID w:val="1"/>
        </w:rPr>
        <w:t>5</w:t>
      </w:r>
      <w:r>
        <w:rPr>
          <w:rFonts w:hint="eastAsia" w:ascii="宋体" w:hAnsi="宋体" w:eastAsia="宋体" w:cs="宋体"/>
          <w:bCs/>
          <w:woUserID w:val="1"/>
        </w:rPr>
        <w:t>日（周</w:t>
      </w:r>
      <w:r>
        <w:rPr>
          <w:rFonts w:hint="default" w:eastAsia="宋体" w:cs="宋体"/>
          <w:bCs/>
          <w:woUserID w:val="1"/>
        </w:rPr>
        <w:t>五</w:t>
      </w:r>
      <w:r>
        <w:rPr>
          <w:rFonts w:hint="eastAsia" w:ascii="宋体" w:hAnsi="宋体" w:eastAsia="宋体" w:cs="宋体"/>
          <w:bCs/>
          <w:woUserID w:val="1"/>
        </w:rPr>
        <w:t>）</w:t>
      </w:r>
      <w:r>
        <w:rPr>
          <w:rFonts w:hint="eastAsia" w:ascii="宋体" w:hAnsi="宋体" w:eastAsia="宋体" w:cs="宋体"/>
        </w:rPr>
        <w:t>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eastAsia" w:ascii="宋体" w:hAnsi="宋体" w:eastAsia="宋体" w:cs="宋体"/>
          <w:lang w:eastAsia="zh-CN"/>
        </w:rPr>
      </w:pPr>
      <w:r>
        <w:rPr>
          <w:rFonts w:hint="eastAsia" w:ascii="宋体" w:hAnsi="宋体" w:eastAsia="宋体" w:cs="宋体"/>
        </w:rPr>
        <w:t>联 系 人：</w:t>
      </w:r>
      <w:r>
        <w:rPr>
          <w:rFonts w:hint="eastAsia" w:eastAsia="宋体" w:cs="宋体"/>
          <w:lang w:val="en-US" w:eastAsia="zh-CN"/>
        </w:rPr>
        <w:t>王琦</w:t>
      </w:r>
    </w:p>
    <w:p>
      <w:pPr>
        <w:pStyle w:val="78"/>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15588943999</w:t>
      </w:r>
    </w:p>
    <w:p>
      <w:pPr>
        <w:pStyle w:val="78"/>
        <w:ind w:firstLine="480"/>
        <w:rPr>
          <w:rFonts w:hint="eastAsia" w:ascii="宋体" w:hAnsi="宋体" w:eastAsia="宋体" w:cs="宋体"/>
        </w:rPr>
      </w:pPr>
      <w:r>
        <w:rPr>
          <w:rFonts w:hint="eastAsia" w:ascii="宋体" w:hAnsi="宋体" w:eastAsia="宋体" w:cs="宋体"/>
        </w:rPr>
        <w:t>邮    箱：wangqi6@sinotruk.com</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ind w:firstLine="480"/>
        <w:rPr>
          <w:rFonts w:hint="eastAsia" w:ascii="宋体" w:hAnsi="宋体" w:eastAsia="宋体" w:cs="宋体"/>
        </w:rPr>
      </w:pPr>
      <w:r>
        <w:rPr>
          <w:rFonts w:hint="eastAsia" w:ascii="宋体" w:hAnsi="宋体" w:eastAsia="宋体" w:cs="宋体"/>
        </w:rPr>
        <w:t>6、投标报名及注意事项</w:t>
      </w:r>
    </w:p>
    <w:p>
      <w:pPr>
        <w:pStyle w:val="80"/>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ind w:firstLine="480"/>
        <w:rPr>
          <w:rFonts w:hint="eastAsia" w:ascii="宋体" w:hAnsi="宋体" w:eastAsia="宋体" w:cs="宋体"/>
        </w:rPr>
      </w:pPr>
      <w:r>
        <w:rPr>
          <w:rFonts w:hint="eastAsia" w:ascii="宋体" w:hAnsi="宋体" w:eastAsia="宋体" w:cs="宋体"/>
        </w:rPr>
        <w:t>7、开标时间</w:t>
      </w:r>
    </w:p>
    <w:p>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woUserID w:val="1"/>
        </w:rPr>
        <w:t>202</w:t>
      </w:r>
      <w:r>
        <w:rPr>
          <w:rFonts w:hint="default" w:hAnsi="宋体" w:cs="宋体"/>
          <w:color w:val="000000"/>
          <w:sz w:val="24"/>
          <w:szCs w:val="24"/>
          <w:highlight w:val="cyan"/>
          <w:woUserID w:val="1"/>
        </w:rPr>
        <w:t>5</w:t>
      </w:r>
      <w:r>
        <w:rPr>
          <w:rFonts w:hint="eastAsia" w:ascii="宋体" w:hAnsi="宋体" w:eastAsia="宋体" w:cs="宋体"/>
          <w:color w:val="000000"/>
          <w:sz w:val="24"/>
          <w:szCs w:val="24"/>
          <w:highlight w:val="cyan"/>
          <w:woUserID w:val="1"/>
        </w:rPr>
        <w:t>年</w:t>
      </w:r>
      <w:r>
        <w:rPr>
          <w:rFonts w:hint="default" w:hAnsi="宋体" w:cs="宋体"/>
          <w:color w:val="000000"/>
          <w:sz w:val="24"/>
          <w:szCs w:val="24"/>
          <w:highlight w:val="cyan"/>
          <w:woUserID w:val="1"/>
        </w:rPr>
        <w:t>9</w:t>
      </w:r>
      <w:r>
        <w:rPr>
          <w:rFonts w:hint="eastAsia" w:ascii="宋体" w:hAnsi="宋体" w:eastAsia="宋体" w:cs="宋体"/>
          <w:color w:val="000000"/>
          <w:sz w:val="24"/>
          <w:szCs w:val="24"/>
          <w:highlight w:val="cyan"/>
          <w:woUserID w:val="1"/>
        </w:rPr>
        <w:t>月</w:t>
      </w:r>
      <w:r>
        <w:rPr>
          <w:rFonts w:hint="default" w:hAnsi="宋体" w:cs="宋体"/>
          <w:color w:val="000000"/>
          <w:sz w:val="24"/>
          <w:szCs w:val="24"/>
          <w:highlight w:val="cyan"/>
          <w:woUserID w:val="1"/>
        </w:rPr>
        <w:t>8</w:t>
      </w:r>
      <w:r>
        <w:rPr>
          <w:rFonts w:hint="eastAsia" w:ascii="宋体" w:hAnsi="宋体" w:eastAsia="宋体" w:cs="宋体"/>
          <w:color w:val="000000"/>
          <w:sz w:val="24"/>
          <w:szCs w:val="24"/>
          <w:highlight w:val="cyan"/>
          <w:woUserID w:val="1"/>
        </w:rPr>
        <w:t>日（周</w:t>
      </w:r>
      <w:r>
        <w:rPr>
          <w:rFonts w:hint="default" w:hAnsi="宋体" w:cs="宋体"/>
          <w:color w:val="000000"/>
          <w:sz w:val="24"/>
          <w:szCs w:val="24"/>
          <w:highlight w:val="cyan"/>
          <w:woUserID w:val="1"/>
        </w:rPr>
        <w:t>一</w:t>
      </w:r>
      <w:bookmarkStart w:id="29" w:name="_GoBack"/>
      <w:bookmarkEnd w:id="29"/>
      <w:r>
        <w:rPr>
          <w:rFonts w:hint="eastAsia" w:ascii="宋体" w:hAnsi="宋体" w:eastAsia="宋体" w:cs="宋体"/>
          <w:color w:val="000000"/>
          <w:sz w:val="24"/>
          <w:szCs w:val="24"/>
          <w:highlight w:val="cyan"/>
          <w:woUserID w:val="1"/>
        </w:rPr>
        <w:t>）</w:t>
      </w:r>
      <w:r>
        <w:rPr>
          <w:rFonts w:hint="eastAsia" w:ascii="宋体" w:hAnsi="宋体" w:eastAsia="宋体" w:cs="宋体"/>
          <w:color w:val="000000"/>
          <w:sz w:val="24"/>
          <w:szCs w:val="24"/>
          <w:highlight w:val="cyan"/>
          <w:lang w:val="en-US" w:eastAsia="zh-CN"/>
        </w:rPr>
        <w:t>下</w:t>
      </w:r>
      <w:r>
        <w:rPr>
          <w:rFonts w:hint="eastAsia" w:ascii="宋体" w:hAnsi="宋体" w:eastAsia="宋体" w:cs="宋体"/>
          <w:color w:val="000000"/>
          <w:sz w:val="24"/>
          <w:szCs w:val="24"/>
          <w:highlight w:val="cyan"/>
        </w:rPr>
        <w:t>午</w:t>
      </w:r>
      <w:r>
        <w:rPr>
          <w:rFonts w:hint="default" w:hAnsi="宋体" w:cs="宋体"/>
          <w:color w:val="000000"/>
          <w:sz w:val="24"/>
          <w:szCs w:val="24"/>
          <w:highlight w:val="cyan"/>
          <w:woUserID w:val="1"/>
        </w:rPr>
        <w:t>2</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0</w:t>
      </w:r>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2"/>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2"/>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ind w:firstLine="480"/>
        <w:rPr>
          <w:rFonts w:hint="eastAsia" w:ascii="宋体" w:hAnsi="宋体" w:eastAsia="宋体" w:cs="宋体"/>
        </w:rPr>
      </w:pPr>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2"/>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highlight w:val="cyan"/>
        </w:rPr>
        <w:t>综合评标（技术标占比30%，商务标占比70%）</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本着公平、公正、公开的原则，在通过技术标综合评审后入围的前提下，</w:t>
      </w:r>
      <w:r>
        <w:rPr>
          <w:rFonts w:hint="eastAsia" w:ascii="宋体" w:hAnsi="宋体" w:cs="宋体"/>
          <w:color w:val="000000"/>
          <w:sz w:val="24"/>
          <w:szCs w:val="24"/>
          <w:lang w:val="en-US" w:eastAsia="zh-CN"/>
        </w:rPr>
        <w:t>通过综合评标</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2"/>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资质标评审：资质标评审：资质标审核通过的单位，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w:t>
      </w:r>
    </w:p>
    <w:p>
      <w:pPr>
        <w:numPr>
          <w:ilvl w:val="255"/>
          <w:numId w:val="0"/>
        </w:numPr>
        <w:spacing w:line="420" w:lineRule="exact"/>
        <w:ind w:firstLine="480" w:firstLineChars="200"/>
        <w:rPr>
          <w:rFonts w:hint="eastAsia" w:ascii="宋体" w:hAnsi="宋体" w:eastAsia="宋体" w:cs="宋体"/>
          <w:b/>
          <w:sz w:val="24"/>
          <w:szCs w:val="24"/>
          <w:highlight w:val="yellow"/>
        </w:rPr>
      </w:pP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4"/>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eastAsia="宋体" w:cs="宋体"/>
          <w:b/>
          <w:bCs/>
          <w:sz w:val="24"/>
          <w:szCs w:val="24"/>
          <w:highlight w:val="cyan"/>
        </w:rPr>
        <w:t>综合评标（技术标占比30%，商务标占比70%）</w:t>
      </w:r>
      <w:r>
        <w:rPr>
          <w:rFonts w:hint="eastAsia" w:ascii="宋体" w:hAnsi="宋体" w:eastAsia="宋体" w:cs="宋体"/>
          <w:b/>
          <w:sz w:val="24"/>
          <w:szCs w:val="24"/>
        </w:rPr>
        <w:t>。</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w:t>
      </w:r>
      <w:r>
        <w:rPr>
          <w:rFonts w:hint="default" w:ascii="宋体" w:hAnsi="宋体" w:cs="宋体"/>
          <w:color w:val="000000"/>
          <w:sz w:val="24"/>
          <w:szCs w:val="24"/>
          <w:woUserID w:val="1"/>
        </w:rPr>
        <w:t>2-3</w:t>
      </w:r>
      <w:r>
        <w:rPr>
          <w:rFonts w:hint="eastAsia" w:ascii="宋体" w:hAnsi="宋体" w:eastAsia="宋体" w:cs="宋体"/>
          <w:color w:val="000000"/>
          <w:sz w:val="24"/>
          <w:szCs w:val="24"/>
        </w:rPr>
        <w:t>个中标人。</w:t>
      </w:r>
      <w:r>
        <w:rPr>
          <w:rFonts w:hint="default" w:ascii="宋体" w:hAnsi="宋体" w:cs="宋体"/>
          <w:color w:val="000000"/>
          <w:sz w:val="24"/>
          <w:szCs w:val="24"/>
          <w:woUserID w:val="1"/>
        </w:rPr>
        <w:t>所有中标人最终中标价格需进行拉齐。</w:t>
      </w:r>
      <w:r>
        <w:rPr>
          <w:rFonts w:hint="eastAsia" w:ascii="宋体" w:hAnsi="宋体" w:eastAsia="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78"/>
        <w:ind w:firstLine="480"/>
        <w:rPr>
          <w:rFonts w:hint="eastAsia" w:ascii="宋体" w:hAnsi="宋体" w:eastAsia="宋体" w:cs="宋体"/>
        </w:rPr>
      </w:pPr>
      <w:r>
        <w:rPr>
          <w:rFonts w:hint="eastAsia" w:ascii="宋体" w:hAnsi="宋体" w:eastAsia="宋体" w:cs="宋体"/>
        </w:rPr>
        <w:t>2、中标</w:t>
      </w:r>
    </w:p>
    <w:p>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综合评价得分最高的投标单位不符合成交条件，则本次评标作废。</w:t>
      </w:r>
    </w:p>
    <w:p>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2"/>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2"/>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2"/>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2"/>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济南汽车检测中心有限公司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212369550"/>
      <w:bookmarkStart w:id="7" w:name="_Toc639004"/>
      <w:bookmarkStart w:id="8" w:name="_Toc353881012"/>
      <w:bookmarkStart w:id="9" w:name="_Toc25811"/>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致：济南汽车检测中心有限公司：</w:t>
      </w:r>
    </w:p>
    <w:p>
      <w:pPr>
        <w:pStyle w:val="78"/>
        <w:ind w:firstLine="480"/>
        <w:rPr>
          <w:rFonts w:hint="eastAsia" w:ascii="宋体" w:hAnsi="宋体" w:eastAsia="宋体" w:cs="宋体"/>
        </w:rPr>
      </w:pPr>
      <w:r>
        <w:rPr>
          <w:rFonts w:hint="eastAsia" w:ascii="宋体" w:hAnsi="宋体" w:eastAsia="宋体" w:cs="宋体"/>
        </w:rPr>
        <w:t>根据贵方</w:t>
      </w:r>
      <w:r>
        <w:rPr>
          <w:rFonts w:hint="eastAsia" w:eastAsia="宋体" w:cs="宋体"/>
          <w:u w:val="single"/>
          <w:lang w:val="en-US" w:eastAsia="zh-CN"/>
        </w:rPr>
        <w:t xml:space="preserve"> </w:t>
      </w:r>
      <w:r>
        <w:rPr>
          <w:rFonts w:hint="eastAsia" w:ascii="宋体" w:hAnsi="宋体" w:eastAsia="宋体" w:cs="宋体"/>
          <w:b w:val="0"/>
          <w:u w:val="single"/>
          <w:lang w:eastAsia="zh-CN"/>
        </w:rPr>
        <w:t>济南汽车检测中心有限公司/中国重汽集团济南动力有限公司油液试验委外项目</w:t>
      </w:r>
      <w:r>
        <w:rPr>
          <w:rFonts w:hint="eastAsia" w:ascii="宋体" w:hAnsi="宋体" w:eastAsia="宋体" w:cs="宋体"/>
          <w:b/>
          <w:bCs/>
          <w:snapToGrid w:val="0"/>
          <w:kern w:val="0"/>
          <w:u w:val="single"/>
        </w:rPr>
        <w:t xml:space="preserve">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12"/>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b w:val="0"/>
          <w:u w:val="single"/>
          <w:lang w:eastAsia="zh-CN"/>
        </w:rPr>
        <w:t>济南汽车检测中心有限公司/中国重汽集团济南动力有限公司油液试验委外项目</w:t>
      </w:r>
      <w:r>
        <w:rPr>
          <w:rFonts w:hint="eastAsia" w:ascii="宋体" w:hAnsi="宋体" w:eastAsia="宋体" w:cs="宋体"/>
          <w:sz w:val="24"/>
          <w:szCs w:val="20"/>
          <w:u w:val="single"/>
        </w:rPr>
        <w:t xml:space="preserve">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4"/>
        <w:gridCol w:w="2474"/>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eastAsia" w:ascii="宋体" w:hAnsi="宋体" w:eastAsia="宋体" w:cs="宋体"/>
              </w:rPr>
            </w:pPr>
            <w:r>
              <w:rPr>
                <w:rFonts w:hint="eastAsia" w:ascii="宋体" w:hAnsi="宋体" w:eastAsia="宋体" w:cs="宋体"/>
              </w:rPr>
              <w:t>序号</w:t>
            </w:r>
          </w:p>
        </w:tc>
        <w:tc>
          <w:tcPr>
            <w:tcW w:w="1903" w:type="pct"/>
            <w:vAlign w:val="center"/>
          </w:tcPr>
          <w:p>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2"/>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2"/>
              <w:rPr>
                <w:rFonts w:hint="eastAsia" w:ascii="仿宋_GB2312" w:hAnsi="仿宋" w:eastAsia="仿宋_GB2312" w:cs="仿宋"/>
                <w:b w:val="0"/>
                <w:bCs/>
                <w:kern w:val="2"/>
                <w:sz w:val="24"/>
                <w:szCs w:val="22"/>
                <w:lang w:val="en-US" w:eastAsia="zh-CN" w:bidi="ar-SA"/>
              </w:rPr>
            </w:pPr>
            <w:r>
              <w:rPr>
                <w:rFonts w:hint="eastAsia" w:ascii="仿宋_GB2312" w:hAnsi="仿宋" w:eastAsia="仿宋_GB2312" w:cs="仿宋"/>
                <w:b w:val="0"/>
                <w:bCs/>
                <w:sz w:val="24"/>
              </w:rPr>
              <w:t>1</w:t>
            </w:r>
          </w:p>
        </w:tc>
        <w:tc>
          <w:tcPr>
            <w:tcW w:w="1903" w:type="pct"/>
            <w:vAlign w:val="center"/>
          </w:tcPr>
          <w:p>
            <w:pPr>
              <w:pStyle w:val="82"/>
              <w:jc w:val="left"/>
              <w:rPr>
                <w:rFonts w:hint="eastAsia" w:ascii="仿宋_GB2312" w:hAnsi="宋体" w:eastAsia="仿宋_GB2312" w:cs="宋体"/>
                <w:b w:val="0"/>
                <w:kern w:val="2"/>
                <w:sz w:val="21"/>
                <w:szCs w:val="22"/>
                <w:lang w:val="en-US" w:eastAsia="zh-CN" w:bidi="ar-SA"/>
              </w:rPr>
            </w:pPr>
            <w:r>
              <w:rPr>
                <w:rFonts w:hint="eastAsia" w:ascii="仿宋_GB2312" w:hAnsi="宋体" w:eastAsia="仿宋_GB2312" w:cs="宋体"/>
                <w:b w:val="0"/>
              </w:rPr>
              <w:t>具有国家级CMA和CNAS资质。</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eastAsia" w:ascii="仿宋_GB2312" w:hAnsi="仿宋" w:eastAsia="仿宋_GB2312" w:cs="仿宋"/>
                <w:b w:val="0"/>
                <w:bCs/>
                <w:kern w:val="2"/>
                <w:sz w:val="24"/>
                <w:szCs w:val="22"/>
                <w:lang w:val="en-US" w:eastAsia="zh-CN" w:bidi="ar-SA"/>
              </w:rPr>
            </w:pPr>
            <w:r>
              <w:rPr>
                <w:rFonts w:hint="eastAsia" w:ascii="仿宋_GB2312" w:hAnsi="仿宋" w:eastAsia="仿宋_GB2312" w:cs="仿宋"/>
                <w:b w:val="0"/>
                <w:bCs/>
                <w:sz w:val="24"/>
              </w:rPr>
              <w:t>2</w:t>
            </w:r>
          </w:p>
        </w:tc>
        <w:tc>
          <w:tcPr>
            <w:tcW w:w="1903" w:type="pct"/>
            <w:vAlign w:val="center"/>
          </w:tcPr>
          <w:p>
            <w:pPr>
              <w:pStyle w:val="82"/>
              <w:jc w:val="left"/>
              <w:rPr>
                <w:rFonts w:hint="eastAsia" w:ascii="仿宋_GB2312" w:hAnsi="宋体" w:eastAsia="仿宋_GB2312" w:cs="宋体"/>
                <w:b w:val="0"/>
                <w:kern w:val="2"/>
                <w:sz w:val="21"/>
                <w:szCs w:val="22"/>
                <w:lang w:val="en-US" w:eastAsia="zh-CN" w:bidi="ar-SA"/>
              </w:rPr>
            </w:pPr>
            <w:r>
              <w:rPr>
                <w:rFonts w:hint="eastAsia" w:ascii="仿宋_GB2312" w:hAnsi="宋体" w:eastAsia="仿宋_GB2312" w:cs="宋体"/>
                <w:b w:val="0"/>
                <w:kern w:val="2"/>
                <w:sz w:val="21"/>
                <w:szCs w:val="22"/>
                <w:lang w:val="en-US" w:eastAsia="zh-CN" w:bidi="ar-SA"/>
              </w:rPr>
              <w:t>供方具备完善的试验能力及整改能力，可提供相关试验项目的检验报告，具体试验项目参照第三条技术要求，检验结果如出现不合格，应查找不合格原因。</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pPr>
              <w:pStyle w:val="82"/>
              <w:rPr>
                <w:rFonts w:hint="eastAsia" w:ascii="仿宋_GB2312" w:hAnsi="仿宋" w:eastAsia="仿宋_GB2312" w:cs="仿宋"/>
                <w:b w:val="0"/>
                <w:bCs/>
                <w:kern w:val="2"/>
                <w:sz w:val="24"/>
                <w:szCs w:val="22"/>
                <w:lang w:val="en-US" w:eastAsia="zh-CN" w:bidi="ar-SA"/>
              </w:rPr>
            </w:pPr>
            <w:r>
              <w:rPr>
                <w:rFonts w:hint="eastAsia" w:ascii="仿宋_GB2312" w:hAnsi="仿宋" w:eastAsia="仿宋_GB2312" w:cs="仿宋"/>
                <w:b w:val="0"/>
                <w:bCs/>
                <w:sz w:val="24"/>
              </w:rPr>
              <w:t>3</w:t>
            </w:r>
          </w:p>
        </w:tc>
        <w:tc>
          <w:tcPr>
            <w:tcW w:w="1903" w:type="pct"/>
            <w:vAlign w:val="center"/>
          </w:tcPr>
          <w:p>
            <w:pPr>
              <w:pStyle w:val="82"/>
              <w:jc w:val="left"/>
              <w:rPr>
                <w:rFonts w:hint="eastAsia" w:ascii="仿宋_GB2312" w:hAnsi="宋体" w:eastAsia="仿宋_GB2312" w:cs="宋体"/>
                <w:b w:val="0"/>
                <w:kern w:val="2"/>
                <w:sz w:val="21"/>
                <w:szCs w:val="22"/>
                <w:lang w:val="en-US" w:eastAsia="zh-CN" w:bidi="ar-SA"/>
              </w:rPr>
            </w:pPr>
            <w:r>
              <w:rPr>
                <w:rFonts w:hint="eastAsia" w:ascii="仿宋_GB2312" w:hAnsi="宋体" w:eastAsia="仿宋_GB2312" w:cs="宋体"/>
                <w:b w:val="0"/>
                <w:kern w:val="2"/>
                <w:sz w:val="21"/>
                <w:szCs w:val="22"/>
                <w:lang w:val="en-US" w:eastAsia="zh-CN" w:bidi="ar-SA"/>
              </w:rPr>
              <w:t>完成相关检验后，中标方应提供试验项目的检验报告及数据、试验过程图片或录像。</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5" w:hRule="exact"/>
        </w:trPr>
        <w:tc>
          <w:tcPr>
            <w:tcW w:w="875" w:type="pct"/>
            <w:vAlign w:val="center"/>
          </w:tcPr>
          <w:p>
            <w:pPr>
              <w:pStyle w:val="82"/>
              <w:rPr>
                <w:rFonts w:hint="eastAsia" w:ascii="仿宋_GB2312" w:hAnsi="仿宋" w:eastAsia="仿宋_GB2312" w:cs="仿宋"/>
                <w:b w:val="0"/>
                <w:bCs/>
                <w:kern w:val="2"/>
                <w:sz w:val="24"/>
                <w:szCs w:val="22"/>
                <w:lang w:val="en-US" w:eastAsia="zh-CN" w:bidi="ar-SA"/>
              </w:rPr>
            </w:pPr>
            <w:r>
              <w:rPr>
                <w:rFonts w:hint="eastAsia" w:ascii="仿宋_GB2312" w:hAnsi="仿宋" w:eastAsia="仿宋_GB2312" w:cs="仿宋"/>
                <w:b w:val="0"/>
                <w:bCs/>
                <w:sz w:val="24"/>
              </w:rPr>
              <w:t>4</w:t>
            </w:r>
          </w:p>
        </w:tc>
        <w:tc>
          <w:tcPr>
            <w:tcW w:w="1903" w:type="pct"/>
            <w:vAlign w:val="center"/>
          </w:tcPr>
          <w:p>
            <w:pPr>
              <w:pStyle w:val="82"/>
              <w:jc w:val="left"/>
              <w:rPr>
                <w:rFonts w:hint="eastAsia" w:ascii="仿宋_GB2312" w:hAnsi="宋体" w:eastAsia="仿宋_GB2312" w:cs="宋体"/>
                <w:b w:val="0"/>
                <w:kern w:val="2"/>
                <w:sz w:val="21"/>
                <w:szCs w:val="22"/>
                <w:lang w:val="en-US" w:eastAsia="zh-CN" w:bidi="ar-SA"/>
              </w:rPr>
            </w:pPr>
            <w:r>
              <w:rPr>
                <w:rFonts w:hint="eastAsia" w:ascii="仿宋_GB2312" w:hAnsi="宋体" w:eastAsia="仿宋_GB2312" w:cs="宋体"/>
                <w:b w:val="0"/>
                <w:kern w:val="2"/>
                <w:sz w:val="21"/>
                <w:szCs w:val="22"/>
                <w:lang w:val="en-US" w:eastAsia="zh-CN" w:bidi="ar-SA"/>
              </w:rPr>
              <w:t>项目启动后，中标方根据招标方试验需求及项目经验对试验做出一个合理完善的规划和试验进度表、试验大纲及相应检验项目的试验时间安排，供方需在1周内完成反馈。</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r>
        <w:rPr>
          <w:rFonts w:hint="eastAsia" w:ascii="宋体" w:hAnsi="宋体" w:cs="宋体"/>
          <w:sz w:val="24"/>
          <w:u w:val="single"/>
          <w:lang w:val="en-US" w:eastAsia="zh-CN"/>
        </w:rPr>
        <w:t xml:space="preserve">  </w:t>
      </w:r>
      <w:r>
        <w:rPr>
          <w:rFonts w:hint="eastAsia" w:ascii="宋体" w:hAnsi="宋体" w:eastAsia="宋体" w:cs="宋体"/>
          <w:color w:val="000000"/>
          <w:sz w:val="24"/>
          <w:szCs w:val="24"/>
          <w:u w:val="single"/>
        </w:rPr>
        <w:t>济南汽车检测中心有限公司/中国重汽集团济南动力有限公司油液试验委外项目</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ind w:firstLine="480"/>
        <w:rPr>
          <w:rFonts w:hint="eastAsia" w:ascii="宋体" w:hAnsi="宋体" w:eastAsia="宋体" w:cs="宋体"/>
        </w:rPr>
      </w:pPr>
      <w:r>
        <w:rPr>
          <w:rFonts w:hint="eastAsia" w:ascii="宋体" w:hAnsi="宋体" w:eastAsia="宋体" w:cs="宋体"/>
        </w:rPr>
        <w:t>项目名称：济南汽车检测中心有限公司/中国重汽集团济南动力有限公司油液试验委外项目</w:t>
      </w:r>
    </w:p>
    <w:tbl>
      <w:tblPr>
        <w:tblStyle w:val="32"/>
        <w:tblW w:w="101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1699"/>
        <w:gridCol w:w="1723"/>
        <w:gridCol w:w="1517"/>
        <w:gridCol w:w="1280"/>
        <w:gridCol w:w="1240"/>
        <w:gridCol w:w="1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5" w:hRule="atLeast"/>
          <w:jc w:val="center"/>
        </w:trPr>
        <w:tc>
          <w:tcPr>
            <w:tcW w:w="1407" w:type="dxa"/>
            <w:vAlign w:val="center"/>
          </w:tcPr>
          <w:p>
            <w:pPr>
              <w:widowControl w:val="0"/>
              <w:jc w:val="center"/>
              <w:rPr>
                <w:rFonts w:ascii="Times New Roman" w:hAnsi="Times New Roman" w:eastAsia="仿宋" w:cs="Times New Roman"/>
                <w:b/>
                <w:kern w:val="2"/>
                <w:sz w:val="21"/>
                <w:lang w:val="en-US" w:eastAsia="zh-CN" w:bidi="ar-SA"/>
              </w:rPr>
            </w:pPr>
            <w:r>
              <w:rPr>
                <w:rFonts w:hint="eastAsia" w:ascii="Times New Roman" w:hAnsi="Times New Roman" w:eastAsia="仿宋" w:cs="Times New Roman"/>
                <w:b/>
                <w:kern w:val="2"/>
                <w:sz w:val="21"/>
                <w:lang w:val="en-US" w:eastAsia="zh-CN" w:bidi="ar-SA"/>
              </w:rPr>
              <w:t>项目名称</w:t>
            </w:r>
          </w:p>
        </w:tc>
        <w:tc>
          <w:tcPr>
            <w:tcW w:w="1699" w:type="dxa"/>
            <w:vAlign w:val="center"/>
          </w:tcPr>
          <w:p>
            <w:pPr>
              <w:widowControl w:val="0"/>
              <w:jc w:val="center"/>
              <w:rPr>
                <w:rFonts w:ascii="Times New Roman" w:hAnsi="Times New Roman" w:eastAsia="仿宋" w:cs="Times New Roman"/>
                <w:b/>
                <w:kern w:val="2"/>
                <w:sz w:val="21"/>
                <w:lang w:val="en-US" w:eastAsia="zh-CN" w:bidi="ar-SA"/>
              </w:rPr>
            </w:pPr>
            <w:r>
              <w:rPr>
                <w:rFonts w:hint="eastAsia" w:ascii="Times New Roman" w:hAnsi="Times New Roman" w:eastAsia="仿宋" w:cs="Times New Roman"/>
                <w:b/>
                <w:kern w:val="2"/>
                <w:sz w:val="21"/>
                <w:lang w:val="en-US" w:eastAsia="zh-CN" w:bidi="ar-SA"/>
              </w:rPr>
              <w:t>分包基准总价</w:t>
            </w:r>
          </w:p>
          <w:p>
            <w:pPr>
              <w:widowControl w:val="0"/>
              <w:jc w:val="center"/>
              <w:rPr>
                <w:rFonts w:ascii="Times New Roman" w:hAnsi="Times New Roman" w:eastAsia="仿宋" w:cs="Times New Roman"/>
                <w:b/>
                <w:kern w:val="2"/>
                <w:sz w:val="21"/>
                <w:lang w:val="en-US" w:eastAsia="zh-CN" w:bidi="ar-SA"/>
              </w:rPr>
            </w:pPr>
            <w:r>
              <w:rPr>
                <w:rFonts w:hint="eastAsia" w:ascii="Times New Roman" w:hAnsi="Times New Roman" w:eastAsia="仿宋" w:cs="Times New Roman"/>
                <w:b/>
                <w:kern w:val="2"/>
                <w:sz w:val="21"/>
                <w:lang w:val="en-US" w:eastAsia="zh-CN" w:bidi="ar-SA"/>
              </w:rPr>
              <w:t>（</w:t>
            </w:r>
            <w:r>
              <w:rPr>
                <w:rFonts w:hint="eastAsia" w:eastAsia="仿宋" w:cs="Times New Roman"/>
                <w:b/>
                <w:kern w:val="2"/>
                <w:sz w:val="21"/>
                <w:lang w:val="en-US" w:eastAsia="zh-CN" w:bidi="ar-SA"/>
              </w:rPr>
              <w:t>未</w:t>
            </w:r>
            <w:r>
              <w:rPr>
                <w:rFonts w:hint="eastAsia" w:ascii="Times New Roman" w:hAnsi="Times New Roman" w:eastAsia="仿宋" w:cs="Times New Roman"/>
                <w:b/>
                <w:kern w:val="2"/>
                <w:sz w:val="21"/>
                <w:lang w:val="en-US" w:eastAsia="zh-CN" w:bidi="ar-SA"/>
              </w:rPr>
              <w:t>税、万元）</w:t>
            </w:r>
          </w:p>
        </w:tc>
        <w:tc>
          <w:tcPr>
            <w:tcW w:w="1723" w:type="dxa"/>
            <w:vAlign w:val="center"/>
          </w:tcPr>
          <w:p>
            <w:pPr>
              <w:widowControl w:val="0"/>
              <w:jc w:val="center"/>
              <w:rPr>
                <w:rFonts w:ascii="Times New Roman" w:hAnsi="Times New Roman" w:eastAsia="仿宋" w:cs="Times New Roman"/>
                <w:b/>
                <w:kern w:val="2"/>
                <w:sz w:val="21"/>
                <w:lang w:val="en-US" w:eastAsia="zh-CN" w:bidi="ar-SA"/>
              </w:rPr>
            </w:pPr>
            <w:r>
              <w:rPr>
                <w:rFonts w:hint="eastAsia" w:ascii="Times New Roman" w:hAnsi="Times New Roman" w:eastAsia="仿宋" w:cs="Times New Roman"/>
                <w:b/>
                <w:kern w:val="2"/>
                <w:sz w:val="21"/>
                <w:lang w:val="en-US" w:eastAsia="zh-CN" w:bidi="ar-SA"/>
              </w:rPr>
              <w:t>详细说明</w:t>
            </w:r>
          </w:p>
        </w:tc>
        <w:tc>
          <w:tcPr>
            <w:tcW w:w="1517" w:type="dxa"/>
            <w:vAlign w:val="center"/>
          </w:tcPr>
          <w:p>
            <w:pPr>
              <w:widowControl w:val="0"/>
              <w:jc w:val="center"/>
              <w:rPr>
                <w:rFonts w:ascii="Times New Roman" w:hAnsi="Times New Roman" w:eastAsia="仿宋" w:cs="Times New Roman"/>
                <w:b/>
                <w:kern w:val="2"/>
                <w:sz w:val="21"/>
                <w:lang w:val="en-US" w:eastAsia="zh-CN" w:bidi="ar-SA"/>
              </w:rPr>
            </w:pPr>
            <w:r>
              <w:rPr>
                <w:rFonts w:hint="eastAsia" w:ascii="Times New Roman" w:hAnsi="Times New Roman" w:eastAsia="仿宋" w:cs="Times New Roman"/>
                <w:b/>
                <w:kern w:val="2"/>
                <w:sz w:val="21"/>
                <w:lang w:val="en-US" w:eastAsia="zh-CN" w:bidi="ar-SA"/>
              </w:rPr>
              <w:t>报价（折扣）</w:t>
            </w:r>
          </w:p>
        </w:tc>
        <w:tc>
          <w:tcPr>
            <w:tcW w:w="1280" w:type="dxa"/>
            <w:vAlign w:val="center"/>
          </w:tcPr>
          <w:p>
            <w:pPr>
              <w:widowControl w:val="0"/>
              <w:jc w:val="center"/>
              <w:rPr>
                <w:rFonts w:hint="default" w:ascii="Times New Roman" w:hAnsi="Times New Roman" w:eastAsia="仿宋" w:cs="Times New Roman"/>
                <w:b/>
                <w:kern w:val="2"/>
                <w:sz w:val="21"/>
                <w:lang w:val="en-US" w:eastAsia="zh-CN" w:bidi="ar-SA"/>
              </w:rPr>
            </w:pPr>
            <w:r>
              <w:rPr>
                <w:rFonts w:hint="eastAsia" w:eastAsia="仿宋" w:cs="Times New Roman"/>
                <w:b/>
                <w:kern w:val="2"/>
                <w:sz w:val="21"/>
                <w:lang w:val="en-US" w:eastAsia="zh-CN" w:bidi="ar-SA"/>
              </w:rPr>
              <w:t>税率</w:t>
            </w:r>
          </w:p>
        </w:tc>
        <w:tc>
          <w:tcPr>
            <w:tcW w:w="1240" w:type="dxa"/>
            <w:vAlign w:val="center"/>
          </w:tcPr>
          <w:p>
            <w:pPr>
              <w:widowControl w:val="0"/>
              <w:jc w:val="center"/>
              <w:rPr>
                <w:rFonts w:ascii="Times New Roman" w:hAnsi="Times New Roman" w:eastAsia="仿宋" w:cs="Times New Roman"/>
                <w:b/>
                <w:kern w:val="2"/>
                <w:sz w:val="21"/>
                <w:lang w:val="en-US" w:eastAsia="zh-CN" w:bidi="ar-SA"/>
              </w:rPr>
            </w:pPr>
            <w:r>
              <w:rPr>
                <w:rFonts w:hint="eastAsia" w:ascii="Times New Roman" w:hAnsi="Times New Roman" w:eastAsia="仿宋" w:cs="Times New Roman"/>
                <w:b/>
                <w:kern w:val="2"/>
                <w:sz w:val="21"/>
                <w:lang w:val="en-US" w:eastAsia="zh-CN" w:bidi="ar-SA"/>
              </w:rPr>
              <w:t>付款方式及比例如何响应</w:t>
            </w:r>
          </w:p>
        </w:tc>
        <w:tc>
          <w:tcPr>
            <w:tcW w:w="1284" w:type="dxa"/>
            <w:vAlign w:val="center"/>
          </w:tcPr>
          <w:p>
            <w:pPr>
              <w:widowControl w:val="0"/>
              <w:jc w:val="center"/>
              <w:rPr>
                <w:rFonts w:ascii="Times New Roman" w:hAnsi="Times New Roman" w:eastAsia="仿宋" w:cs="Times New Roman"/>
                <w:b/>
                <w:kern w:val="2"/>
                <w:sz w:val="21"/>
                <w:lang w:val="en-US" w:eastAsia="zh-CN" w:bidi="ar-SA"/>
              </w:rPr>
            </w:pPr>
            <w:r>
              <w:rPr>
                <w:rFonts w:hint="eastAsia" w:ascii="Times New Roman" w:hAnsi="Times New Roman" w:eastAsia="仿宋" w:cs="Times New Roman"/>
                <w:b/>
                <w:kern w:val="2"/>
                <w:sz w:val="21"/>
                <w:lang w:val="en-US" w:eastAsia="zh-CN" w:bidi="ar-SA"/>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0" w:hRule="atLeast"/>
          <w:jc w:val="center"/>
        </w:trPr>
        <w:tc>
          <w:tcPr>
            <w:tcW w:w="1407" w:type="dxa"/>
            <w:vAlign w:val="center"/>
          </w:tcPr>
          <w:p>
            <w:pPr>
              <w:widowControl w:val="0"/>
              <w:jc w:val="center"/>
              <w:rPr>
                <w:rFonts w:ascii="仿宋" w:hAnsi="仿宋" w:eastAsia="仿宋" w:cs="仿宋"/>
                <w:b w:val="0"/>
                <w:bCs/>
                <w:kern w:val="2"/>
                <w:sz w:val="21"/>
                <w:szCs w:val="21"/>
                <w:lang w:val="en-US" w:eastAsia="zh-CN" w:bidi="ar-SA"/>
              </w:rPr>
            </w:pPr>
            <w:r>
              <w:rPr>
                <w:rFonts w:hint="eastAsia" w:ascii="仿宋" w:hAnsi="仿宋" w:eastAsia="仿宋" w:cs="仿宋"/>
                <w:b w:val="0"/>
                <w:bCs/>
                <w:kern w:val="2"/>
                <w:sz w:val="21"/>
                <w:szCs w:val="21"/>
                <w:lang w:val="en-US" w:eastAsia="zh-CN" w:bidi="ar-SA"/>
              </w:rPr>
              <w:t>包1（油液试验项目）</w:t>
            </w:r>
          </w:p>
        </w:tc>
        <w:tc>
          <w:tcPr>
            <w:tcW w:w="1699" w:type="dxa"/>
            <w:shd w:val="clear" w:color="auto" w:fill="auto"/>
            <w:vAlign w:val="center"/>
          </w:tcPr>
          <w:p>
            <w:pPr>
              <w:widowControl/>
              <w:jc w:val="center"/>
              <w:textAlignment w:val="center"/>
              <w:rPr>
                <w:rFonts w:ascii="仿宋" w:hAnsi="仿宋" w:eastAsia="仿宋" w:cs="仿宋"/>
                <w:bCs/>
                <w:szCs w:val="21"/>
              </w:rPr>
            </w:pPr>
            <w:r>
              <w:rPr>
                <w:rFonts w:hint="eastAsia" w:ascii="仿宋" w:hAnsi="仿宋" w:eastAsia="仿宋" w:cs="仿宋"/>
                <w:bCs/>
                <w:szCs w:val="21"/>
              </w:rPr>
              <w:t>94.3393</w:t>
            </w:r>
          </w:p>
        </w:tc>
        <w:tc>
          <w:tcPr>
            <w:tcW w:w="1723" w:type="dxa"/>
            <w:vAlign w:val="center"/>
          </w:tcPr>
          <w:p>
            <w:pPr>
              <w:widowControl w:val="0"/>
              <w:jc w:val="center"/>
              <w:rPr>
                <w:rFonts w:ascii="Times New Roman" w:hAnsi="Times New Roman" w:eastAsia="仿宋" w:cs="Times New Roman"/>
                <w:b/>
                <w:kern w:val="2"/>
                <w:sz w:val="21"/>
                <w:lang w:val="en-US" w:eastAsia="zh-CN" w:bidi="ar-SA"/>
              </w:rPr>
            </w:pPr>
            <w:r>
              <w:rPr>
                <w:rFonts w:hint="eastAsia" w:ascii="仿宋" w:hAnsi="仿宋" w:eastAsia="仿宋" w:cs="仿宋"/>
                <w:b w:val="0"/>
                <w:bCs/>
                <w:kern w:val="2"/>
                <w:sz w:val="21"/>
                <w:szCs w:val="21"/>
                <w:lang w:val="en-US" w:eastAsia="zh-CN" w:bidi="ar-SA"/>
              </w:rPr>
              <w:t>明细表中列出的试验项目</w:t>
            </w:r>
          </w:p>
        </w:tc>
        <w:tc>
          <w:tcPr>
            <w:tcW w:w="1517" w:type="dxa"/>
            <w:vAlign w:val="center"/>
          </w:tcPr>
          <w:p>
            <w:pPr>
              <w:widowControl w:val="0"/>
              <w:jc w:val="center"/>
              <w:rPr>
                <w:rFonts w:ascii="Times New Roman" w:hAnsi="Times New Roman" w:eastAsia="仿宋" w:cs="Times New Roman"/>
                <w:b/>
                <w:kern w:val="2"/>
                <w:sz w:val="21"/>
                <w:lang w:val="en-US" w:eastAsia="zh-CN" w:bidi="ar-SA"/>
              </w:rPr>
            </w:pPr>
          </w:p>
        </w:tc>
        <w:tc>
          <w:tcPr>
            <w:tcW w:w="1280" w:type="dxa"/>
            <w:vAlign w:val="center"/>
          </w:tcPr>
          <w:p>
            <w:pPr>
              <w:widowControl w:val="0"/>
              <w:jc w:val="center"/>
              <w:rPr>
                <w:rFonts w:ascii="Times New Roman" w:hAnsi="Times New Roman" w:eastAsia="仿宋" w:cs="Times New Roman"/>
                <w:b/>
                <w:kern w:val="2"/>
                <w:sz w:val="21"/>
                <w:lang w:val="en-US" w:eastAsia="zh-CN" w:bidi="ar-SA"/>
              </w:rPr>
            </w:pPr>
          </w:p>
        </w:tc>
        <w:tc>
          <w:tcPr>
            <w:tcW w:w="1240" w:type="dxa"/>
            <w:vAlign w:val="center"/>
          </w:tcPr>
          <w:p>
            <w:pPr>
              <w:widowControl w:val="0"/>
              <w:jc w:val="center"/>
              <w:rPr>
                <w:rFonts w:hint="default" w:ascii="Times New Roman" w:hAnsi="Times New Roman" w:eastAsia="仿宋" w:cs="Times New Roman"/>
                <w:b/>
                <w:kern w:val="2"/>
                <w:sz w:val="21"/>
                <w:lang w:val="en-US" w:eastAsia="zh-CN" w:bidi="ar-SA"/>
              </w:rPr>
            </w:pPr>
            <w:r>
              <w:rPr>
                <w:rFonts w:hint="eastAsia" w:eastAsia="仿宋" w:cs="Times New Roman"/>
                <w:b/>
                <w:kern w:val="2"/>
                <w:sz w:val="21"/>
                <w:lang w:val="en-US" w:eastAsia="zh-CN" w:bidi="ar-SA"/>
              </w:rPr>
              <w:t>半年期商业汇票</w:t>
            </w:r>
          </w:p>
        </w:tc>
        <w:tc>
          <w:tcPr>
            <w:tcW w:w="1284" w:type="dxa"/>
            <w:vAlign w:val="center"/>
          </w:tcPr>
          <w:p>
            <w:pPr>
              <w:widowControl w:val="0"/>
              <w:jc w:val="center"/>
              <w:rPr>
                <w:rFonts w:ascii="Times New Roman" w:hAnsi="Times New Roman" w:eastAsia="仿宋" w:cs="Times New Roman"/>
                <w:b/>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21" w:hRule="atLeast"/>
          <w:jc w:val="center"/>
        </w:trPr>
        <w:tc>
          <w:tcPr>
            <w:tcW w:w="4829" w:type="dxa"/>
            <w:gridSpan w:val="3"/>
            <w:vAlign w:val="center"/>
          </w:tcPr>
          <w:p>
            <w:pPr>
              <w:widowControl w:val="0"/>
              <w:jc w:val="center"/>
              <w:rPr>
                <w:rFonts w:hint="default" w:ascii="仿宋" w:hAnsi="仿宋" w:eastAsia="仿宋" w:cs="仿宋"/>
                <w:b w:val="0"/>
                <w:bCs/>
                <w:kern w:val="2"/>
                <w:sz w:val="21"/>
                <w:szCs w:val="21"/>
                <w:lang w:val="en-US" w:eastAsia="zh-CN" w:bidi="ar-SA"/>
              </w:rPr>
            </w:pPr>
            <w:r>
              <w:rPr>
                <w:rFonts w:hint="eastAsia" w:ascii="仿宋" w:hAnsi="仿宋" w:eastAsia="仿宋" w:cs="仿宋"/>
                <w:b w:val="0"/>
                <w:bCs/>
                <w:kern w:val="2"/>
                <w:sz w:val="21"/>
                <w:szCs w:val="21"/>
                <w:lang w:val="en-US" w:eastAsia="zh-CN" w:bidi="ar-SA"/>
              </w:rPr>
              <w:t>折后含税总价</w:t>
            </w:r>
          </w:p>
        </w:tc>
        <w:tc>
          <w:tcPr>
            <w:tcW w:w="5321" w:type="dxa"/>
            <w:gridSpan w:val="4"/>
            <w:vAlign w:val="center"/>
          </w:tcPr>
          <w:p>
            <w:pPr>
              <w:widowControl w:val="0"/>
              <w:jc w:val="center"/>
              <w:rPr>
                <w:rFonts w:ascii="Times New Roman" w:hAnsi="Times New Roman" w:eastAsia="仿宋" w:cs="Times New Roman"/>
                <w:b/>
                <w:kern w:val="2"/>
                <w:sz w:val="21"/>
                <w:lang w:val="en-US" w:eastAsia="zh-CN" w:bidi="ar-SA"/>
              </w:rPr>
            </w:pPr>
          </w:p>
        </w:tc>
      </w:tr>
    </w:tbl>
    <w:p>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ascii="宋体" w:hAnsi="宋体" w:eastAsia="宋体" w:cs="宋体"/>
          <w:b/>
          <w:bCs/>
          <w:szCs w:val="21"/>
        </w:rPr>
      </w:pPr>
      <w:r>
        <w:rPr>
          <w:rFonts w:hint="eastAsia" w:ascii="宋体" w:hAnsi="宋体" w:eastAsia="宋体" w:cs="宋体"/>
          <w:b/>
          <w:bCs/>
          <w:szCs w:val="21"/>
        </w:rPr>
        <w:t>3、需写明含税价、不含税价格、税率。</w:t>
      </w:r>
    </w:p>
    <w:p>
      <w:pPr>
        <w:pStyle w:val="2"/>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b/>
          <w:bCs/>
        </w:rPr>
      </w:pPr>
      <w:r>
        <w:rPr>
          <w:rFonts w:hint="eastAsia"/>
          <w:b/>
          <w:bCs/>
        </w:rPr>
        <w:t>4、报价（折扣）示例如下：例如“8折”，即按80%收取、优惠20%；“7.5折”，即按75%收取、优惠25%；“无折扣”，即按100%收取、无优惠；请锁定填报类似“8折”、“7.5折”、“无折扣”字样。分包内所有试验项目按照折扣同步打折。</w:t>
      </w:r>
    </w:p>
    <w:p>
      <w:pPr>
        <w:pStyle w:val="2"/>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b/>
          <w:bCs/>
        </w:rPr>
      </w:pPr>
      <w:r>
        <w:rPr>
          <w:rFonts w:hint="eastAsia"/>
          <w:b/>
          <w:bCs/>
        </w:rPr>
        <w:t>5、场地费综合考虑，报送统一报价（折扣），不因场地变化而存在差异。</w:t>
      </w:r>
    </w:p>
    <w:p>
      <w:pPr>
        <w:pStyle w:val="2"/>
        <w:keepNext w:val="0"/>
        <w:keepLines w:val="0"/>
        <w:pageBreakBefore w:val="0"/>
        <w:widowControl w:val="0"/>
        <w:kinsoku/>
        <w:wordWrap/>
        <w:overflowPunct/>
        <w:topLinePunct w:val="0"/>
        <w:autoSpaceDE/>
        <w:autoSpaceDN/>
        <w:bidi w:val="0"/>
        <w:adjustRightInd/>
        <w:snapToGrid/>
        <w:spacing w:line="480" w:lineRule="auto"/>
        <w:textAlignment w:val="auto"/>
        <w:rPr>
          <w:rFonts w:hint="eastAsia"/>
          <w:b/>
          <w:bCs/>
        </w:rPr>
      </w:pPr>
      <w:r>
        <w:rPr>
          <w:rFonts w:hint="eastAsia"/>
          <w:b/>
          <w:bCs/>
        </w:rPr>
        <w:t>6、在E采通报价时，请按照分包</w:t>
      </w:r>
      <w:r>
        <w:rPr>
          <w:rFonts w:hint="eastAsia"/>
          <w:b/>
          <w:bCs/>
          <w:lang w:val="en-US" w:eastAsia="zh-CN"/>
        </w:rPr>
        <w:t>未税</w:t>
      </w:r>
      <w:r>
        <w:rPr>
          <w:rFonts w:hint="eastAsia"/>
          <w:b/>
          <w:bCs/>
        </w:rPr>
        <w:t>基准价乘以折扣</w:t>
      </w:r>
      <w:r>
        <w:rPr>
          <w:rFonts w:hint="eastAsia"/>
          <w:b/>
          <w:bCs/>
          <w:lang w:val="en-US" w:eastAsia="zh-CN"/>
        </w:rPr>
        <w:t>并计算税率后填写含税折后总价，并将计算</w:t>
      </w:r>
      <w:r>
        <w:rPr>
          <w:rFonts w:hint="eastAsia"/>
          <w:b/>
          <w:bCs/>
        </w:rPr>
        <w:t>得出</w:t>
      </w:r>
      <w:r>
        <w:rPr>
          <w:rFonts w:hint="eastAsia"/>
          <w:b/>
          <w:bCs/>
          <w:lang w:val="en-US" w:eastAsia="zh-CN"/>
        </w:rPr>
        <w:t>的含税</w:t>
      </w:r>
      <w:r>
        <w:rPr>
          <w:rFonts w:hint="eastAsia"/>
          <w:b/>
          <w:bCs/>
        </w:rPr>
        <w:t>总价提交</w:t>
      </w:r>
      <w:r>
        <w:rPr>
          <w:rFonts w:hint="eastAsia"/>
          <w:b/>
          <w:bCs/>
          <w:lang w:val="en-US" w:eastAsia="zh-CN"/>
        </w:rPr>
        <w:t>E采通</w:t>
      </w:r>
      <w:r>
        <w:rPr>
          <w:rFonts w:hint="eastAsia"/>
          <w:b/>
          <w:bCs/>
        </w:rPr>
        <w:t>系统。</w:t>
      </w: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b/>
          <w:color w:val="000000"/>
          <w:sz w:val="24"/>
          <w:szCs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p>
    <w:p>
      <w:pPr>
        <w:pStyle w:val="84"/>
        <w:ind w:firstLine="480"/>
        <w:rPr>
          <w:rFonts w:hint="eastAsia"/>
          <w:b w:val="0"/>
          <w:bCs w:val="0"/>
        </w:rPr>
      </w:pPr>
      <w:r>
        <w:rPr>
          <w:rFonts w:hint="eastAsia" w:ascii="宋体" w:hAnsi="宋体" w:eastAsia="宋体" w:cs="宋体"/>
          <w:b w:val="0"/>
          <w:bCs w:val="0"/>
        </w:rPr>
        <w:t>项目名称：济南汽车检测中心有限公司/中国重汽集团济南动力有限公司油液试验委外项目</w:t>
      </w:r>
    </w:p>
    <w:tbl>
      <w:tblPr>
        <w:tblStyle w:val="32"/>
        <w:tblpPr w:leftFromText="180" w:rightFromText="180" w:vertAnchor="text" w:horzAnchor="page" w:tblpX="1474" w:tblpY="1715"/>
        <w:tblOverlap w:val="never"/>
        <w:tblW w:w="903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13"/>
        <w:gridCol w:w="2208"/>
        <w:gridCol w:w="1352"/>
        <w:gridCol w:w="2864"/>
        <w:gridCol w:w="862"/>
        <w:gridCol w:w="11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13" w:type="dxa"/>
            <w:vMerge w:val="restart"/>
            <w:tcBorders>
              <w:top w:val="single" w:color="000000" w:sz="8" w:space="0"/>
              <w:left w:val="single" w:color="000000" w:sz="8" w:space="0"/>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bookmarkStart w:id="10" w:name="_Toc639008"/>
            <w:bookmarkStart w:id="11" w:name="_Toc353881017"/>
            <w:bookmarkStart w:id="12" w:name="_Toc26556"/>
            <w:r>
              <w:rPr>
                <w:rFonts w:hint="eastAsia" w:ascii="宋体" w:hAnsi="宋体" w:eastAsia="宋体" w:cs="宋体"/>
                <w:b/>
                <w:bCs/>
                <w:i w:val="0"/>
                <w:iCs w:val="0"/>
                <w:color w:val="000000"/>
                <w:kern w:val="0"/>
                <w:sz w:val="18"/>
                <w:szCs w:val="18"/>
                <w:u w:val="none"/>
                <w:lang w:val="en-US" w:eastAsia="zh-CN" w:bidi="ar"/>
              </w:rPr>
              <w:t>序号</w:t>
            </w:r>
          </w:p>
        </w:tc>
        <w:tc>
          <w:tcPr>
            <w:tcW w:w="2208" w:type="dxa"/>
            <w:vMerge w:val="restart"/>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试验对象</w:t>
            </w:r>
          </w:p>
        </w:tc>
        <w:tc>
          <w:tcPr>
            <w:tcW w:w="1352" w:type="dxa"/>
            <w:vMerge w:val="restart"/>
            <w:tcBorders>
              <w:top w:val="single" w:color="000000" w:sz="8" w:space="0"/>
              <w:left w:val="nil"/>
              <w:bottom w:val="single" w:color="000000" w:sz="8" w:space="0"/>
              <w:right w:val="single" w:color="000000" w:sz="8" w:space="0"/>
            </w:tcBorders>
            <w:shd w:val="clear" w:color="auto" w:fill="FFFFFF"/>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依据标准</w:t>
            </w:r>
          </w:p>
        </w:tc>
        <w:tc>
          <w:tcPr>
            <w:tcW w:w="2864" w:type="dxa"/>
            <w:vMerge w:val="restart"/>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试验项目</w:t>
            </w:r>
          </w:p>
        </w:tc>
        <w:tc>
          <w:tcPr>
            <w:tcW w:w="862" w:type="dxa"/>
            <w:vMerge w:val="restart"/>
            <w:tcBorders>
              <w:top w:val="single" w:color="000000" w:sz="8" w:space="0"/>
              <w:left w:val="nil"/>
              <w:bottom w:val="single" w:color="000000" w:sz="8" w:space="0"/>
              <w:right w:val="single" w:color="000000" w:sz="8" w:space="0"/>
            </w:tcBorders>
            <w:shd w:val="clear" w:color="auto" w:fill="FFFFFF"/>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计量单位</w:t>
            </w:r>
          </w:p>
        </w:tc>
        <w:tc>
          <w:tcPr>
            <w:tcW w:w="1138" w:type="dxa"/>
            <w:tcBorders>
              <w:top w:val="single" w:color="000000" w:sz="8" w:space="0"/>
              <w:left w:val="nil"/>
              <w:bottom w:val="nil"/>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基准价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613" w:type="dxa"/>
            <w:vMerge w:val="continue"/>
            <w:tcBorders>
              <w:top w:val="single" w:color="000000" w:sz="8" w:space="0"/>
              <w:left w:val="single" w:color="000000" w:sz="8" w:space="0"/>
              <w:bottom w:val="single" w:color="000000" w:sz="8" w:space="0"/>
              <w:right w:val="single" w:color="000000" w:sz="8" w:space="0"/>
            </w:tcBorders>
            <w:shd w:val="clear" w:color="auto" w:fill="FFFFFF"/>
            <w:vAlign w:val="center"/>
          </w:tcPr>
          <w:p>
            <w:pPr>
              <w:jc w:val="center"/>
              <w:rPr>
                <w:rFonts w:hint="eastAsia" w:ascii="宋体" w:hAnsi="宋体" w:eastAsia="宋体" w:cs="宋体"/>
                <w:b/>
                <w:bCs/>
                <w:i w:val="0"/>
                <w:iCs w:val="0"/>
                <w:color w:val="000000"/>
                <w:sz w:val="18"/>
                <w:szCs w:val="18"/>
                <w:u w:val="none"/>
              </w:rPr>
            </w:pPr>
          </w:p>
        </w:tc>
        <w:tc>
          <w:tcPr>
            <w:tcW w:w="2208" w:type="dxa"/>
            <w:vMerge w:val="continue"/>
            <w:tcBorders>
              <w:top w:val="single" w:color="000000" w:sz="8" w:space="0"/>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b/>
                <w:bCs/>
                <w:i w:val="0"/>
                <w:iCs w:val="0"/>
                <w:color w:val="000000"/>
                <w:sz w:val="18"/>
                <w:szCs w:val="18"/>
                <w:u w:val="none"/>
              </w:rPr>
            </w:pPr>
          </w:p>
        </w:tc>
        <w:tc>
          <w:tcPr>
            <w:tcW w:w="1352" w:type="dxa"/>
            <w:vMerge w:val="continue"/>
            <w:tcBorders>
              <w:top w:val="single" w:color="000000" w:sz="8" w:space="0"/>
              <w:left w:val="nil"/>
              <w:bottom w:val="single" w:color="000000" w:sz="8" w:space="0"/>
              <w:right w:val="single" w:color="000000" w:sz="8" w:space="0"/>
            </w:tcBorders>
            <w:shd w:val="clear" w:color="auto" w:fill="FFFFFF"/>
            <w:noWrap/>
            <w:vAlign w:val="center"/>
          </w:tcPr>
          <w:p>
            <w:pPr>
              <w:jc w:val="center"/>
              <w:rPr>
                <w:rFonts w:hint="eastAsia" w:ascii="宋体" w:hAnsi="宋体" w:eastAsia="宋体" w:cs="宋体"/>
                <w:b/>
                <w:bCs/>
                <w:i w:val="0"/>
                <w:iCs w:val="0"/>
                <w:color w:val="000000"/>
                <w:sz w:val="18"/>
                <w:szCs w:val="18"/>
                <w:u w:val="none"/>
              </w:rPr>
            </w:pPr>
          </w:p>
        </w:tc>
        <w:tc>
          <w:tcPr>
            <w:tcW w:w="2864" w:type="dxa"/>
            <w:vMerge w:val="continue"/>
            <w:tcBorders>
              <w:top w:val="single" w:color="000000" w:sz="8" w:space="0"/>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b/>
                <w:bCs/>
                <w:i w:val="0"/>
                <w:iCs w:val="0"/>
                <w:color w:val="000000"/>
                <w:sz w:val="18"/>
                <w:szCs w:val="18"/>
                <w:u w:val="none"/>
              </w:rPr>
            </w:pPr>
          </w:p>
        </w:tc>
        <w:tc>
          <w:tcPr>
            <w:tcW w:w="862" w:type="dxa"/>
            <w:vMerge w:val="continue"/>
            <w:tcBorders>
              <w:top w:val="single" w:color="000000" w:sz="8" w:space="0"/>
              <w:left w:val="nil"/>
              <w:bottom w:val="single" w:color="000000" w:sz="8" w:space="0"/>
              <w:right w:val="single" w:color="000000" w:sz="8" w:space="0"/>
            </w:tcBorders>
            <w:shd w:val="clear" w:color="auto" w:fill="FFFFFF"/>
            <w:vAlign w:val="center"/>
          </w:tcPr>
          <w:p>
            <w:pPr>
              <w:jc w:val="center"/>
              <w:rPr>
                <w:rFonts w:hint="eastAsia" w:ascii="宋体" w:hAnsi="宋体" w:eastAsia="宋体" w:cs="宋体"/>
                <w:b/>
                <w:bCs/>
                <w:i w:val="0"/>
                <w:iCs w:val="0"/>
                <w:color w:val="000000"/>
                <w:sz w:val="18"/>
                <w:szCs w:val="18"/>
                <w:u w:val="none"/>
              </w:rPr>
            </w:pPr>
          </w:p>
        </w:tc>
        <w:tc>
          <w:tcPr>
            <w:tcW w:w="1138" w:type="dxa"/>
            <w:tcBorders>
              <w:top w:val="nil"/>
              <w:left w:val="nil"/>
              <w:bottom w:val="nil"/>
              <w:right w:val="single" w:color="000000" w:sz="8" w:space="0"/>
            </w:tcBorders>
            <w:shd w:val="clear" w:color="auto" w:fill="FFFFFF"/>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（含税）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8"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车用尿素水溶液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 29518 附录A</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尿素含量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车用尿素水溶液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0604</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密度20℃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车用尿素水溶液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614</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折射率20℃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车用尿素水溶液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 29518 附录B</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碱度（以NH3计）</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车用尿素水溶液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 29518 附录C</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缩二脲</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车用尿素水溶液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 29518 附录D</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醛类（以HCHO计）</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车用尿素水溶液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 29518 附录E</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不溶物</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车用尿素水溶液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 29518 附录F</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磷酸盐（以PO4计）</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车用尿素水溶液</w:t>
            </w:r>
          </w:p>
        </w:tc>
        <w:tc>
          <w:tcPr>
            <w:tcW w:w="1352"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 29518 附录G</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钙</w:t>
            </w:r>
          </w:p>
        </w:tc>
        <w:tc>
          <w:tcPr>
            <w:tcW w:w="862"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vMerge w:val="restart"/>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车用尿素水溶液</w:t>
            </w:r>
          </w:p>
        </w:tc>
        <w:tc>
          <w:tcPr>
            <w:tcW w:w="1352"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铁</w:t>
            </w:r>
          </w:p>
        </w:tc>
        <w:tc>
          <w:tcPr>
            <w:tcW w:w="862"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138"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车用尿素水溶液</w:t>
            </w:r>
          </w:p>
        </w:tc>
        <w:tc>
          <w:tcPr>
            <w:tcW w:w="1352"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铜</w:t>
            </w:r>
          </w:p>
        </w:tc>
        <w:tc>
          <w:tcPr>
            <w:tcW w:w="862"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138"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车用尿素水溶液</w:t>
            </w:r>
          </w:p>
        </w:tc>
        <w:tc>
          <w:tcPr>
            <w:tcW w:w="1352"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锌</w:t>
            </w:r>
          </w:p>
        </w:tc>
        <w:tc>
          <w:tcPr>
            <w:tcW w:w="862"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138"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车用尿素水溶液</w:t>
            </w:r>
          </w:p>
        </w:tc>
        <w:tc>
          <w:tcPr>
            <w:tcW w:w="1352"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铬</w:t>
            </w:r>
          </w:p>
        </w:tc>
        <w:tc>
          <w:tcPr>
            <w:tcW w:w="862"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138"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车用尿素水溶液</w:t>
            </w:r>
          </w:p>
        </w:tc>
        <w:tc>
          <w:tcPr>
            <w:tcW w:w="1352"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镍</w:t>
            </w:r>
          </w:p>
        </w:tc>
        <w:tc>
          <w:tcPr>
            <w:tcW w:w="862"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138"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8"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车用尿素水溶液</w:t>
            </w:r>
          </w:p>
        </w:tc>
        <w:tc>
          <w:tcPr>
            <w:tcW w:w="1352"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铝</w:t>
            </w:r>
          </w:p>
        </w:tc>
        <w:tc>
          <w:tcPr>
            <w:tcW w:w="862"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138"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9"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车用尿素水溶液</w:t>
            </w:r>
          </w:p>
        </w:tc>
        <w:tc>
          <w:tcPr>
            <w:tcW w:w="1352"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镁</w:t>
            </w:r>
          </w:p>
        </w:tc>
        <w:tc>
          <w:tcPr>
            <w:tcW w:w="862"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138"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车用尿素水溶液</w:t>
            </w:r>
          </w:p>
        </w:tc>
        <w:tc>
          <w:tcPr>
            <w:tcW w:w="1352"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钠</w:t>
            </w:r>
          </w:p>
        </w:tc>
        <w:tc>
          <w:tcPr>
            <w:tcW w:w="862" w:type="dxa"/>
            <w:vMerge w:val="continue"/>
            <w:tcBorders>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138" w:type="dxa"/>
            <w:vMerge w:val="continue"/>
            <w:tcBorders>
              <w:left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2"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车用尿素水溶液</w:t>
            </w:r>
          </w:p>
        </w:tc>
        <w:tc>
          <w:tcPr>
            <w:tcW w:w="1352" w:type="dxa"/>
            <w:vMerge w:val="continue"/>
            <w:tcBorders>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钾</w:t>
            </w:r>
          </w:p>
        </w:tc>
        <w:tc>
          <w:tcPr>
            <w:tcW w:w="862" w:type="dxa"/>
            <w:vMerge w:val="continue"/>
            <w:tcBorders>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1138" w:type="dxa"/>
            <w:vMerge w:val="continue"/>
            <w:tcBorders>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车用尿素水溶液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 29518 附录H</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一致性确认</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汽车风窗玻璃清洗液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0090</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冰点</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汽车风窗玻璃清洗液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0069</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pH值（原液）</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汽车风窗玻璃清洗液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23436 附录A</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外观</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汽车风窗玻璃清洗液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23436 附录B</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最低使用浓度下的洗净力</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汽车风窗玻璃清洗液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23436 附录C</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相容性</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8"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汽车风窗玻璃清洗液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23436 附录D</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金属腐蚀性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（最低使用浓度溶液）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（50℃±2℃，120h）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1144.8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8"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汽车风窗玻璃清洗液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23436 附录E</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对橡胶的影响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（原液）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（50℃±2℃，120h）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8"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汽车风窗玻璃清洗液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23436 附录F</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对塑料的影响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（原液）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（50℃±2℃，120h）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汽车风窗玻璃清洗液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23436 附录G</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对汽车有机涂层的影响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（原液）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（50℃±2℃,6h）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1144.8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8"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汽车风窗玻璃清洗液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23436 附录H</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热稳定性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（原液/最低使用浓度溶液）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（50℃±2℃，8h）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1144.8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8"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汽车风窗玻璃清洗液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23436 附录H</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低温稳定性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（原液/最低使用浓度溶液）</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（-30℃±2℃，8h）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1144.8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汽车风窗玻璃清洗液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23436 附录I</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抗水性</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6538</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CCS低温动力粘度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(-35/-30/-25/-20/-15℃)</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469.58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8"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NB/SH/T 0562</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MRV低温泵送粘度屈服应力</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(-40/-35/-30/-25/-20℃)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829.98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265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运动粘度(100℃)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目测</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外观</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 D4052</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密度(15℃)</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119.78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 D4052</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密度(20℃)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119.78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1995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粘度指数</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265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运动粘度(40℃)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8"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0751</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HTHS高温高剪切粘度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(150℃,106S-1)</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949.76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NB/SH/T 0059</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诺亚克蒸发损失(250℃,1h)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797.12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3536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闪点(开口杯法)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218.36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3535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倾点</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260</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水含量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511</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机械杂质</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382.66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0251</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总碱值</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142.04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7304</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总酸值</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142.04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2433</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硫酸盐灰分</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414.46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17476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元素含量(磷,钙,锌,硫,镁)</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NB/SH/T 0704</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氮含量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797.12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12579</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泡沫特性-三个程序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469.58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11143A</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液相锈蚀(蒸馏水)</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687.94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2"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0103</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聚合物流体的剪切稳定性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(柴油喷嘴法)-30次循环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检测项目:运动粘度(100℃)变化率</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1547.6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2"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0103</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聚合物流体的剪切稳定性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(柴油喷嘴法)-90次循环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检测项目:运动粘度(100℃)变化率</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2321.4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57"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NB/SH/T 0723</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柴油机油腐蚀性能评价</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(121 °C,168h)            试片类型：铜,铅,锡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检测项目：试验后油增加量，铜片腐蚀等级</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7086.1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51"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0754</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HTCBT高温柴油机油腐蚀性能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(135℃,168h)              试片类型：铜,铅,锡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检测项目：试验后油增加量，铜片腐蚀等级</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7086.1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7305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抗乳化性(54/82℃)</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09"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燃气发动机机油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 D7216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橡胶相容性                 试片类型：AEM聚乙烯丙烯酸酯橡胶,FPM/FKM氟橡胶,NBR丁腈橡胶,VMQ硅橡胶,ACM聚丙烯酸酯</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检测项目：体积变化率,邵氏A硬度变化,拉伸强度变化,断裂伸长率变化</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老化条件：100/150℃,336h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23659.2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柴油发动机机油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265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运动粘度(100℃)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柴油发动机机油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265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运动粘度(40℃)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柴油发动机机油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6538</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CCS低温动力粘度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(-35/-30/-25/-20/-15℃)</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939.16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8"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柴油发动机机油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NB/SH/T 0562</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MRV低温泵送粘度屈服应力</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(-40/-35/-30/-25/-20℃)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1659.96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柴油发动机机油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3535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倾点</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481.24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柴油发动机机油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3536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闪点(开口杯法)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436.72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8"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柴油发动机机油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0751</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HTHS高温高剪切粘度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(150℃,106S-1)</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1899.52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柴油发动机机油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NB/SH/T 0059</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诺亚克蒸发损失(250℃,1h)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1594.24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柴油发动机机油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511</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机械杂质</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765.32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柴油发动机机油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260</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水含量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柴油发动机机油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12579</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泡沫特性-三个程序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939.16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柴油发动机机油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2433</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硫酸盐灰分</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828.92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柴油发动机机油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0251</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总碱值</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284.08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柴油发动机机油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7304</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总酸值</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284.08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柴油发动机机油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11143A</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液相锈蚀(蒸馏水)</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1375.88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柴油发动机机油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5096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铜片腐蚀(121℃,3h)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655.08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柴油发动机机油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17476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元素含量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(P、Ca、Zn、Mg、S)</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柴油发动机机油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NB/SH/T 0704</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氮含量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1594.24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变速箱润滑油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1884、SH/T 0604</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密度(15℃)</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119.78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变速箱润滑油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7304</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总酸值</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142.04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变速箱润滑油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3535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倾点</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变速箱润滑油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3536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闪点（开口杯法）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218.36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变速箱润滑油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265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运动粘度</w:t>
            </w:r>
            <w:r>
              <w:rPr>
                <w:rFonts w:hint="eastAsia" w:ascii="宋体" w:hAnsi="宋体" w:cs="宋体"/>
                <w:i w:val="0"/>
                <w:iCs w:val="0"/>
                <w:color w:val="000000"/>
                <w:kern w:val="0"/>
                <w:sz w:val="18"/>
                <w:szCs w:val="18"/>
                <w:u w:val="none"/>
                <w:lang w:val="en-US" w:eastAsia="zh-CN" w:bidi="ar"/>
              </w:rPr>
              <w:t>（包括粘度指数）</w:t>
            </w:r>
            <w:r>
              <w:rPr>
                <w:rFonts w:hint="eastAsia" w:ascii="宋体" w:hAnsi="宋体" w:eastAsia="宋体" w:cs="宋体"/>
                <w:i w:val="0"/>
                <w:iCs w:val="0"/>
                <w:color w:val="000000"/>
                <w:kern w:val="0"/>
                <w:sz w:val="18"/>
                <w:szCs w:val="18"/>
                <w:u w:val="none"/>
                <w:lang w:val="en-US" w:eastAsia="zh-CN" w:bidi="ar"/>
              </w:rPr>
              <w:t>(40℃)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变速箱润滑油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265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运动粘度</w:t>
            </w:r>
            <w:r>
              <w:rPr>
                <w:rFonts w:hint="eastAsia" w:ascii="宋体" w:hAnsi="宋体" w:cs="宋体"/>
                <w:i w:val="0"/>
                <w:iCs w:val="0"/>
                <w:color w:val="000000"/>
                <w:kern w:val="0"/>
                <w:sz w:val="18"/>
                <w:szCs w:val="18"/>
                <w:u w:val="none"/>
                <w:lang w:val="en-US" w:eastAsia="zh-CN" w:bidi="ar"/>
              </w:rPr>
              <w:t>（包括粘度指数）</w:t>
            </w:r>
            <w:r>
              <w:rPr>
                <w:rFonts w:hint="eastAsia" w:ascii="宋体" w:hAnsi="宋体" w:eastAsia="宋体" w:cs="宋体"/>
                <w:i w:val="0"/>
                <w:iCs w:val="0"/>
                <w:color w:val="000000"/>
                <w:kern w:val="0"/>
                <w:sz w:val="18"/>
                <w:szCs w:val="18"/>
                <w:u w:val="none"/>
                <w:lang w:val="en-US" w:eastAsia="zh-CN" w:bidi="ar"/>
              </w:rPr>
              <w:t>(100℃)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变速箱润滑油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11145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布氏粘度-表观粘度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(-12~-55℃选择1个温度条件)</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764.26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变速箱润滑油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5096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铜片腐蚀(121℃,3h)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327.54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变速箱润滑油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260</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水分</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变速箱润滑油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11143A</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液相锈蚀(蒸馏水)</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687.94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变速箱润滑油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12579</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泡沫特性-三个程序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469.58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变速箱润滑油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511</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机械杂质</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382.66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变速箱润滑油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17040</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硫含量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382.66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变速箱润滑油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17476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元素含量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(磷、钙、锌、镁、硼)</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变速箱润滑油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0161、SH/T 0631</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氯含量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949.76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7"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变速箱润滑油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CEC L-45-T-99</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KRL剪切稳定性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（100℃运动黏度）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(1475rp,60℃,40mL,5000N,20h)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3537.22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变速箱润滑油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0306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FZG试验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（A/8.3/90)失效级</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20670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8"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变速箱润滑油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0306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FZG试验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（A/16.6/90)失效级</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20670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0"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变速箱润滑油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0520</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车辆齿轮油热氧化安定性评定法(L-60,台架试验50h)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100℃运动黏度增长</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戊烷不溶物（质量分数）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甲苯不溶物（质量分数）      报价是50h时长</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42188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36"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变速箱润滑油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 D5662</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橡胶兼容性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试片类型:聚丙烯酸酯/ACM,丁腈橡胶氟橡胶/FKM,丁腈橡胶/NBR</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老化条件:100℃,168h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检测项目:长度变化、硬度变化、体积变化</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14500.8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变速箱润滑油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 D1500</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色度</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109.18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变速箱润滑油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ISO 11500(ISO 4406)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清洁度等级</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8"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车辆齿轮油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11145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布氏粘度-150Pa·s表观粘度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(-12~-55℃选择1个温度条件)</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764.26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车辆齿轮油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265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运动粘度</w:t>
            </w:r>
            <w:r>
              <w:rPr>
                <w:rFonts w:hint="eastAsia" w:ascii="宋体" w:hAnsi="宋体" w:cs="宋体"/>
                <w:i w:val="0"/>
                <w:iCs w:val="0"/>
                <w:color w:val="000000"/>
                <w:kern w:val="0"/>
                <w:sz w:val="18"/>
                <w:szCs w:val="18"/>
                <w:u w:val="none"/>
                <w:lang w:val="en-US" w:eastAsia="zh-CN" w:bidi="ar"/>
              </w:rPr>
              <w:t>（包含粘度指数）</w:t>
            </w:r>
            <w:r>
              <w:rPr>
                <w:rFonts w:hint="eastAsia" w:ascii="宋体" w:hAnsi="宋体" w:eastAsia="宋体" w:cs="宋体"/>
                <w:i w:val="0"/>
                <w:iCs w:val="0"/>
                <w:color w:val="000000"/>
                <w:kern w:val="0"/>
                <w:sz w:val="18"/>
                <w:szCs w:val="18"/>
                <w:u w:val="none"/>
                <w:lang w:val="en-US" w:eastAsia="zh-CN" w:bidi="ar"/>
              </w:rPr>
              <w:t>（40℃）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车辆齿轮油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265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运动粘度</w:t>
            </w:r>
            <w:r>
              <w:rPr>
                <w:rFonts w:hint="eastAsia" w:ascii="宋体" w:hAnsi="宋体" w:cs="宋体"/>
                <w:i w:val="0"/>
                <w:iCs w:val="0"/>
                <w:color w:val="000000"/>
                <w:kern w:val="0"/>
                <w:sz w:val="18"/>
                <w:szCs w:val="18"/>
                <w:u w:val="none"/>
                <w:lang w:val="en-US" w:eastAsia="zh-CN" w:bidi="ar"/>
              </w:rPr>
              <w:t>（包含粘度指数）</w:t>
            </w:r>
            <w:r>
              <w:rPr>
                <w:rFonts w:hint="eastAsia" w:ascii="宋体" w:hAnsi="宋体" w:eastAsia="宋体" w:cs="宋体"/>
                <w:i w:val="0"/>
                <w:iCs w:val="0"/>
                <w:color w:val="000000"/>
                <w:kern w:val="0"/>
                <w:sz w:val="18"/>
                <w:szCs w:val="18"/>
                <w:u w:val="none"/>
                <w:lang w:val="en-US" w:eastAsia="zh-CN" w:bidi="ar"/>
              </w:rPr>
              <w:t>（100℃）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车辆齿轮油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3535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倾点</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车辆齿轮油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3536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闪点（开口杯法）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218.36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41"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车辆齿轮油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NB/SH/T 0845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KRL圆锥滚子轴承法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剪切安定性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测试条件:1475rpm,60℃,40mL,5000N，20h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检测项目:剪切后黏度损失 100℃运动黏度下降</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3537.22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车辆齿轮油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12579</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泡沫特性-三个程序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469.58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车辆齿轮油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5096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铜片腐蚀(121℃,3h)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327.54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车辆齿轮油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511</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机械杂质</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382.66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车辆齿轮油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4945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总酸值</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车辆齿轮油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260</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水分</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349.8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车辆齿轮油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8926 A法</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戊烷不溶物</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车辆齿轮油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2433</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硫酸盐灰分</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车辆齿轮油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17040</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元素含量</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(硫、磷、锌、硼、钾)</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车辆齿轮油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NB/SH/T 0704</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氮</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773.8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车辆齿轮油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NB/SH/T 0880</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氯</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1144.8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2"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车辆齿轮油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0037</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齿轮油储存溶解特性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贮存稳定性和兼容性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液体沉积物</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固体沉积物</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相容性</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10388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8"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车辆齿轮油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NB/SH/T 0517</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车辆齿轮油锈蚀评定法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(L-33法)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锈蚀性试验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最终锈蚀性能评价</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116600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车辆齿轮油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0519</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抗擦伤试验(L-42)</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137800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6"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车辆齿轮油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0520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GB/T 265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GB/T 8926 A法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SH/T 0755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车辆齿轮油热氧化安定性评定法(L-60)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检测项目:100℃运动黏度增长,戊烷不溶物,甲苯不溶物,积碳/漆膜评分,油泥评分,</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42188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46"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车辆齿轮油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 D5662</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橡胶兼容性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试片类型:聚丙烯酸酯/ACM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老化条件:150℃,240h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检测项目:断裂伸长率变化、硬度变化、体积变化</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51"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车辆齿轮油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 D5662</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橡胶兼容性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试片类型氟橡胶/FKM,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老化条件:150℃,240h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检测项目:断裂伸长率变化、硬度变化、体积变化</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0175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氧化安定性(以总不溶物计)</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1017.6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0689</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硫含量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258</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酸度（以KOH计）</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17144</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10%蒸余物残炭</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508</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灰分</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5096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铜片腐蚀(50℃,3h)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260</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水含量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0765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润滑性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校正磨痕直径（60℃）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1865.6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0806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多环芳烃含量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33400</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总污染物含量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265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运动粘度（20℃）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510</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凝点</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0248</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冷滤点</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261</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闪点（闭口杯法）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386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十六烷值</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2374.4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0694</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十六烷指数</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9"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6536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馏程</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50%回收温度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90%回收温度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95%回收温度</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339.2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1884</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密度（20℃）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车用柴油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NB/SH/T 0916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脂肪酸甲酯含量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机动车制动液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265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运动粘度（100℃）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机动车制动液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265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运动粘度（-40℃）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机动车制动液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0430</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平衡回流沸点</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机动车制动液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 12981 附录C</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湿平衡回流沸点</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机动车制动液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 12981 附录 D</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pH值</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7"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机动车制动液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 12981 附录 E</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液体稳定性（ERBP变化）</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高温稳定性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(185℃±2℃,120min±5min)</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8"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机动车制动液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 12981 附录 E</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液体稳定性（ERBP变化）</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化学稳定性</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1539.12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41"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机动车制动液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 12981 附录 F</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腐蚀性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(100℃±2℃，120±2h)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试片类型：镀锡铁皮、钢、铸铁、铝、黄铜、紫铜、锌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 试验后金属片质量变化</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 试验后金属片外观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 试验后试液外观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 试验后试液pH值</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 试验后试液沉淀物V/V</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 试验后橡胶片碗外观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 试验后橡胶皮碗硬度降低值</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 试验后橡胶皮碗根径增值</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 试验后橡胶皮碗体积增加值</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3990.9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41"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机动车制动液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 12981 附录 G</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低温流动性和外观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(-40℃±2℃,144h±2h)或</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(-50℃±2℃,6±0.2h)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检测项目：外观,气泡上浮至液面的时间,沉淀物</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2289.6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67"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机动车制动液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 12981 附录  H(A)</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蒸发性能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(100℃±2℃,168h±2h)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检测项目：蒸发损失,残余物性质,残余物倾点</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2289.6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2"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机动车制动液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 12981 附录 I</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容水性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(22h±2h,-40℃)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检测项目：外观,气泡上浮至液面时间,沉淀</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机动车制动液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 12981 附录 I</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容水性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(22h±2h,60℃)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检测项目：外观,沉淀量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机动车制动液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 12981 附录 I</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液体相容性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(22h±2h,-40℃±2℃)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检测项目：外观,沉淀</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机动车制动液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 12981 附录 I</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液体相容性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(22h±2h,60℃±2℃)</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检测项目：外观,沉淀量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57"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机动车制动液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 12981 附录 J</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抗氧化性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(70℃±2℃,168h±2h)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试片类型：铝、铸铁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检测项目：金属片外观，金属片质量变化</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1727.8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60"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机动车制动液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 12981 附录 K</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橡胶适应性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(120℃±2℃,70h±2h)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试片类型:丁苯橡胶（SBR）皮碗</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根径增值</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硬度降低值</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体积增加值</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外观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试片类型:三元乙丙橡胶(EPDM)试件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IRHD硬度降低值</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体积增加值</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外观</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2"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机动车制动液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 12981 附录 L</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行程模拟性能</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（85000次行程,120℃±5℃,7.0MPa±0.3MPa）</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机动车制动液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 12981 附录 M</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防锈性能</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922.2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润滑脂</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269</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工作锥入度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(全锥,60次,常温)</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8"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润滑脂</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269</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延长工作锥入度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(10万次,常温)</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1659.96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润滑脂</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3498</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滴点</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润滑脂</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NB/SH/T 0324</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钢网分油(100℃,30h)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939.16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润滑脂</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0122</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滚筒安定性(80℃,50h)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5936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8"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润滑脂</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GB/T25962</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汽车轴承润滑脂漏失量(加速)</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（1000rpm,160℃,20h)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14416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润滑脂</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7325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蒸发损失</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(＜250℃选择温度条件)</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1573.04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润滑脂</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0109</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水淋流矢量(38/79℃,1h)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1899.52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8"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润滑脂</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0204</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抗磨性能(四球法)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(1200rpm,392N,75℃)</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润滑脂</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0325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氧化安定性(氧弹法)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(99℃,100h)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3777.84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润滑脂</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0700</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润滑脂动态防锈(EMCOR)</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润滑脂</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5018</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防腐蚀性评级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(52℃,100%湿度,48h,蒸馏水)</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3777.84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润滑脂</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0202</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极压性能(四球法)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烧结负荷PD</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1420.4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润滑脂</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NB/SH/T 0839</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低温转矩(-40℃)</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启动转矩</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8904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汽车自动传动液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6540</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色度要求</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109.18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汽车自动传动液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1884、SH/T 0604</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密度（20℃）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119.78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汽车自动传动液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GB/T265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w:t>
            </w:r>
            <w:r>
              <w:rPr>
                <w:rFonts w:hint="eastAsia" w:ascii="宋体" w:hAnsi="宋体" w:cs="宋体"/>
                <w:i w:val="0"/>
                <w:iCs w:val="0"/>
                <w:color w:val="000000"/>
                <w:kern w:val="0"/>
                <w:sz w:val="18"/>
                <w:szCs w:val="18"/>
                <w:u w:val="none"/>
                <w:lang w:val="en-US" w:eastAsia="zh-CN" w:bidi="ar"/>
              </w:rPr>
              <w:t>粘</w:t>
            </w:r>
            <w:r>
              <w:rPr>
                <w:rFonts w:hint="eastAsia" w:ascii="宋体" w:hAnsi="宋体" w:eastAsia="宋体" w:cs="宋体"/>
                <w:i w:val="0"/>
                <w:iCs w:val="0"/>
                <w:color w:val="000000"/>
                <w:kern w:val="0"/>
                <w:sz w:val="18"/>
                <w:szCs w:val="18"/>
                <w:u w:val="none"/>
                <w:lang w:val="en-US" w:eastAsia="zh-CN" w:bidi="ar"/>
              </w:rPr>
              <w:t>度</w:t>
            </w:r>
            <w:r>
              <w:rPr>
                <w:rFonts w:hint="eastAsia" w:ascii="宋体" w:hAnsi="宋体" w:cs="宋体"/>
                <w:i w:val="0"/>
                <w:iCs w:val="0"/>
                <w:color w:val="000000"/>
                <w:kern w:val="0"/>
                <w:sz w:val="18"/>
                <w:szCs w:val="18"/>
                <w:u w:val="none"/>
                <w:lang w:val="en-US" w:eastAsia="zh-CN" w:bidi="ar"/>
              </w:rPr>
              <w:t>（包含粘度指数）</w:t>
            </w:r>
            <w:r>
              <w:rPr>
                <w:rFonts w:hint="eastAsia" w:ascii="宋体" w:hAnsi="宋体" w:eastAsia="宋体" w:cs="宋体"/>
                <w:i w:val="0"/>
                <w:iCs w:val="0"/>
                <w:color w:val="000000"/>
                <w:kern w:val="0"/>
                <w:sz w:val="18"/>
                <w:szCs w:val="18"/>
                <w:u w:val="none"/>
                <w:lang w:val="en-US" w:eastAsia="zh-CN" w:bidi="ar"/>
              </w:rPr>
              <w:t>（100℃）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汽车自动传动液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GB/T265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运动粘度</w:t>
            </w:r>
            <w:r>
              <w:rPr>
                <w:rFonts w:hint="eastAsia" w:ascii="宋体" w:hAnsi="宋体" w:cs="宋体"/>
                <w:i w:val="0"/>
                <w:iCs w:val="0"/>
                <w:color w:val="000000"/>
                <w:kern w:val="0"/>
                <w:sz w:val="18"/>
                <w:szCs w:val="18"/>
                <w:u w:val="none"/>
                <w:lang w:val="en-US" w:eastAsia="zh-CN" w:bidi="ar"/>
              </w:rPr>
              <w:t>（包含粘度指数）</w:t>
            </w:r>
            <w:r>
              <w:rPr>
                <w:rFonts w:hint="eastAsia" w:ascii="宋体" w:hAnsi="宋体" w:eastAsia="宋体" w:cs="宋体"/>
                <w:i w:val="0"/>
                <w:iCs w:val="0"/>
                <w:color w:val="000000"/>
                <w:kern w:val="0"/>
                <w:sz w:val="18"/>
                <w:szCs w:val="18"/>
                <w:u w:val="none"/>
                <w:lang w:val="en-US" w:eastAsia="zh-CN" w:bidi="ar"/>
              </w:rPr>
              <w:t>（40℃）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汽车自动传动液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0801</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混溶性</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汽车自动传动液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11145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布氏粘度-表观粘度</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(-12~-55℃选择1个温度条件)</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764.26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汽车自动传动液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6538</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CCS低温动力黏度(-30℃)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469.58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汽车自动传动液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0703</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HTHS高温剪切黏度(150℃)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949.76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汽车自动传动液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3536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闪点(开口杯法)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218.36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汽车自动传动液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3536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燃点</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305.28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汽车自动传动液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3535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倾点</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汽车自动传动液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260</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水分</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汽车自动传动液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511</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机械杂质</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382.66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汽车自动传动液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5096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铜片腐蚀(150℃,3h)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327.54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汽车自动传动液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11143A</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液相锈蚀(蒸馏水)</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687.94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汽车自动传动液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0650</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防锈试验</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8"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汽车自动传动液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0307</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磨损试验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V104C叶片泵试验,1200rpm,13.8Mpa</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汽车自动传动液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NB/SH/T 0059</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诺亚克蒸发损失(200℃,1h)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797.12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汽车自动传动液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12579</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泡沫特性-三个程序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469.58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汽车自动传动液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GB/T17476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元素含量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41"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汽车自动传动液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NB/SH/T 0845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KRL圆锥滚子轴承法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剪切安定性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测试条件:1475rpm,60℃,40mL,5000N，20h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检测项目:剪切后黏度损失 100℃运动黏度下降</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3537.22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30"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汽车自动传动液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NB/SH/T 0877</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橡胶相容性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试片可选类型:FPM/ACM/VMQ/NBR</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老化条件:100/150℃,168h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检测项目:拉断伸长率变化率,断裂拉伸强度变化率,体积变化率,IRHD硬度变化</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6317.6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8"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汽车自动传动液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0306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FZG试验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（A/8.3/90)失效级或</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（A/16.6/90)失效级</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20670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汽车自动传动液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 E2412及ASTME168</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红外谱图(氧化硝化红烟炱外图谱）</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汽车自动传动液</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8926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戊烷不溶物</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电机冷却油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ASTMD445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w:t>
            </w:r>
            <w:r>
              <w:rPr>
                <w:rFonts w:hint="eastAsia" w:ascii="宋体" w:hAnsi="宋体" w:cs="宋体"/>
                <w:i w:val="0"/>
                <w:iCs w:val="0"/>
                <w:color w:val="000000"/>
                <w:kern w:val="0"/>
                <w:sz w:val="18"/>
                <w:szCs w:val="18"/>
                <w:u w:val="none"/>
                <w:lang w:val="en-US" w:eastAsia="zh-CN" w:bidi="ar"/>
              </w:rPr>
              <w:t>粘</w:t>
            </w:r>
            <w:r>
              <w:rPr>
                <w:rFonts w:hint="eastAsia" w:ascii="宋体" w:hAnsi="宋体" w:eastAsia="宋体" w:cs="宋体"/>
                <w:i w:val="0"/>
                <w:iCs w:val="0"/>
                <w:color w:val="000000"/>
                <w:kern w:val="0"/>
                <w:sz w:val="18"/>
                <w:szCs w:val="18"/>
                <w:u w:val="none"/>
                <w:lang w:val="en-US" w:eastAsia="zh-CN" w:bidi="ar"/>
              </w:rPr>
              <w:t>度</w:t>
            </w:r>
            <w:r>
              <w:rPr>
                <w:rFonts w:hint="eastAsia" w:ascii="宋体" w:hAnsi="宋体" w:cs="宋体"/>
                <w:i w:val="0"/>
                <w:iCs w:val="0"/>
                <w:color w:val="000000"/>
                <w:kern w:val="0"/>
                <w:sz w:val="18"/>
                <w:szCs w:val="18"/>
                <w:u w:val="none"/>
                <w:lang w:val="en-US" w:eastAsia="zh-CN" w:bidi="ar"/>
              </w:rPr>
              <w:t>（包含粘度指数）</w:t>
            </w:r>
            <w:r>
              <w:rPr>
                <w:rFonts w:hint="eastAsia" w:ascii="宋体" w:hAnsi="宋体" w:eastAsia="宋体" w:cs="宋体"/>
                <w:i w:val="0"/>
                <w:iCs w:val="0"/>
                <w:color w:val="000000"/>
                <w:kern w:val="0"/>
                <w:sz w:val="18"/>
                <w:szCs w:val="18"/>
                <w:u w:val="none"/>
                <w:lang w:val="en-US" w:eastAsia="zh-CN" w:bidi="ar"/>
              </w:rPr>
              <w:t>（100℃）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电机冷却油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ASTMD445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运动粘度</w:t>
            </w:r>
            <w:r>
              <w:rPr>
                <w:rFonts w:hint="eastAsia" w:ascii="宋体" w:hAnsi="宋体" w:cs="宋体"/>
                <w:i w:val="0"/>
                <w:iCs w:val="0"/>
                <w:color w:val="000000"/>
                <w:kern w:val="0"/>
                <w:sz w:val="18"/>
                <w:szCs w:val="18"/>
                <w:u w:val="none"/>
                <w:lang w:val="en-US" w:eastAsia="zh-CN" w:bidi="ar"/>
              </w:rPr>
              <w:t>（包含粘度指数）</w:t>
            </w:r>
            <w:r>
              <w:rPr>
                <w:rFonts w:hint="eastAsia" w:ascii="宋体" w:hAnsi="宋体" w:eastAsia="宋体" w:cs="宋体"/>
                <w:i w:val="0"/>
                <w:iCs w:val="0"/>
                <w:color w:val="000000"/>
                <w:kern w:val="0"/>
                <w:sz w:val="18"/>
                <w:szCs w:val="18"/>
                <w:u w:val="none"/>
                <w:lang w:val="en-US" w:eastAsia="zh-CN" w:bidi="ar"/>
              </w:rPr>
              <w:t>（40℃）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电机冷却油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ASTMD2983C</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布氏黏度(-40℃)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电机冷却油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ASTMD4052</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密度（20℃）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119.78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电机冷却油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ASTMD92</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闪点(开口杯法)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218.36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电机冷却油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ASTMD97</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倾点</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电机冷却油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ASTMD892</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泡沫特性-三个程序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469.58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电机冷却油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 D6304-b、ASTM D97</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水分含量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电机冷却油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ASTMD664</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总酸值</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142.04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41"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电机冷却油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NB/SH/T 0845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KRL圆锥滚子轴承法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剪切安定性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测试条件:1475rpm,60℃,40mL,5000N，20h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检测项目:剪切后黏度损失 100℃运动黏度下降</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3537.22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41"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电机冷却油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CEC L-48-00(B)</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DKA车用变速箱油氧化安定性试验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测试条件:170℃,192h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检测项目:试管评级,40/100℃运动粘度变化,酸值变化,PAI,斑点测试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7086.1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8"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电机冷却油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0306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FZG试验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（A/8.3/90)失效级或</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（A/16.6/90)失效级</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20670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电机冷却油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 D130</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铜片腐蚀(150℃,192h)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2792.04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电机冷却油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 D130</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铜溶解含量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电机冷却油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ASTMD7896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80℃热导率</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1069.54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电机冷却油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ASTMD7896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80℃比热容</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1069.54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电机冷却油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ASTMD7896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120℃热导率</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1069.54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电机冷却油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ASTMD7896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120℃比热容</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1069.54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电机冷却油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IEC60156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击穿电压</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电机冷却油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IEC60247</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40℃体积电阻率</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电机冷却油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IEC60247</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90℃体积电阻率</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电机冷却油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 E2412及ASTME168</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红外谱图(氧化硝化红烟炱外图谱）</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电机冷却油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17476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元素分析</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磨合专用清洗油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 D4052</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密度（20℃）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119.78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磨合专用清洗油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ASTMD445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运动黏度</w:t>
            </w:r>
            <w:r>
              <w:rPr>
                <w:rFonts w:hint="eastAsia" w:ascii="宋体" w:hAnsi="宋体" w:cs="宋体"/>
                <w:i w:val="0"/>
                <w:iCs w:val="0"/>
                <w:color w:val="000000"/>
                <w:kern w:val="0"/>
                <w:sz w:val="18"/>
                <w:szCs w:val="18"/>
                <w:u w:val="none"/>
                <w:lang w:val="en-US" w:eastAsia="zh-CN" w:bidi="ar"/>
              </w:rPr>
              <w:t>（包含粘度指数）</w:t>
            </w:r>
            <w:r>
              <w:rPr>
                <w:rFonts w:hint="eastAsia" w:ascii="宋体" w:hAnsi="宋体" w:eastAsia="宋体" w:cs="宋体"/>
                <w:i w:val="0"/>
                <w:iCs w:val="0"/>
                <w:color w:val="000000"/>
                <w:kern w:val="0"/>
                <w:sz w:val="18"/>
                <w:szCs w:val="18"/>
                <w:u w:val="none"/>
                <w:lang w:val="en-US" w:eastAsia="zh-CN" w:bidi="ar"/>
              </w:rPr>
              <w:t>（100℃）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磨合专用清洗油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ASTMD445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运动黏度</w:t>
            </w:r>
            <w:r>
              <w:rPr>
                <w:rFonts w:hint="eastAsia" w:ascii="宋体" w:hAnsi="宋体" w:cs="宋体"/>
                <w:i w:val="0"/>
                <w:iCs w:val="0"/>
                <w:color w:val="000000"/>
                <w:kern w:val="0"/>
                <w:sz w:val="18"/>
                <w:szCs w:val="18"/>
                <w:u w:val="none"/>
                <w:lang w:val="en-US" w:eastAsia="zh-CN" w:bidi="ar"/>
              </w:rPr>
              <w:t>（包含粘度指数）</w:t>
            </w:r>
            <w:r>
              <w:rPr>
                <w:rFonts w:hint="eastAsia" w:ascii="宋体" w:hAnsi="宋体" w:eastAsia="宋体" w:cs="宋体"/>
                <w:i w:val="0"/>
                <w:iCs w:val="0"/>
                <w:color w:val="000000"/>
                <w:kern w:val="0"/>
                <w:sz w:val="18"/>
                <w:szCs w:val="18"/>
                <w:u w:val="none"/>
                <w:lang w:val="en-US" w:eastAsia="zh-CN" w:bidi="ar"/>
              </w:rPr>
              <w:t>（40℃）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磨合专用清洗油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ASTMD97</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倾点</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磨合专用清洗油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11145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布氏粘度-表观粘度(-12℃)</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764.26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磨合专用清洗油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11145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布氏粘度-表观粘度(-26℃)</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764.26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磨合专用清洗油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11145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布氏粘度-表观粘度(-40℃)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764.26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磨合专用清洗油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3536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闪点(开口杯法)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218.36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磨合专用清洗油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17476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P含量（质量分数）</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磨合专用清洗油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17040</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S含量（质量分数）</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382.66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电驱桥专用油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 D4052</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密度（15℃）</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119.78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电驱桥专用油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 D4052</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密度（20℃）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119.78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电驱桥专用油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ASTMD445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w:t>
            </w:r>
            <w:r>
              <w:rPr>
                <w:rFonts w:hint="eastAsia" w:ascii="宋体" w:hAnsi="宋体" w:cs="宋体"/>
                <w:i w:val="0"/>
                <w:iCs w:val="0"/>
                <w:color w:val="000000"/>
                <w:kern w:val="0"/>
                <w:sz w:val="18"/>
                <w:szCs w:val="18"/>
                <w:u w:val="none"/>
                <w:lang w:val="en-US" w:eastAsia="zh-CN" w:bidi="ar"/>
              </w:rPr>
              <w:t>粘</w:t>
            </w:r>
            <w:r>
              <w:rPr>
                <w:rFonts w:hint="eastAsia" w:ascii="宋体" w:hAnsi="宋体" w:eastAsia="宋体" w:cs="宋体"/>
                <w:i w:val="0"/>
                <w:iCs w:val="0"/>
                <w:color w:val="000000"/>
                <w:kern w:val="0"/>
                <w:sz w:val="18"/>
                <w:szCs w:val="18"/>
                <w:u w:val="none"/>
                <w:lang w:val="en-US" w:eastAsia="zh-CN" w:bidi="ar"/>
              </w:rPr>
              <w:t>度</w:t>
            </w:r>
            <w:r>
              <w:rPr>
                <w:rFonts w:hint="eastAsia" w:ascii="宋体" w:hAnsi="宋体" w:cs="宋体"/>
                <w:i w:val="0"/>
                <w:iCs w:val="0"/>
                <w:color w:val="000000"/>
                <w:kern w:val="0"/>
                <w:sz w:val="18"/>
                <w:szCs w:val="18"/>
                <w:u w:val="none"/>
                <w:lang w:val="en-US" w:eastAsia="zh-CN" w:bidi="ar"/>
              </w:rPr>
              <w:t>（包含粘度指数）</w:t>
            </w:r>
            <w:r>
              <w:rPr>
                <w:rFonts w:hint="eastAsia" w:ascii="宋体" w:hAnsi="宋体" w:eastAsia="宋体" w:cs="宋体"/>
                <w:i w:val="0"/>
                <w:iCs w:val="0"/>
                <w:color w:val="000000"/>
                <w:kern w:val="0"/>
                <w:sz w:val="18"/>
                <w:szCs w:val="18"/>
                <w:u w:val="none"/>
                <w:lang w:val="en-US" w:eastAsia="zh-CN" w:bidi="ar"/>
              </w:rPr>
              <w:t>（100℃）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电驱桥专用油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ASTMD445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w:t>
            </w:r>
            <w:r>
              <w:rPr>
                <w:rFonts w:hint="eastAsia" w:ascii="宋体" w:hAnsi="宋体" w:cs="宋体"/>
                <w:i w:val="0"/>
                <w:iCs w:val="0"/>
                <w:color w:val="000000"/>
                <w:kern w:val="0"/>
                <w:sz w:val="18"/>
                <w:szCs w:val="18"/>
                <w:u w:val="none"/>
                <w:lang w:val="en-US" w:eastAsia="zh-CN" w:bidi="ar"/>
              </w:rPr>
              <w:t>粘</w:t>
            </w:r>
            <w:r>
              <w:rPr>
                <w:rFonts w:hint="eastAsia" w:ascii="宋体" w:hAnsi="宋体" w:eastAsia="宋体" w:cs="宋体"/>
                <w:i w:val="0"/>
                <w:iCs w:val="0"/>
                <w:color w:val="000000"/>
                <w:kern w:val="0"/>
                <w:sz w:val="18"/>
                <w:szCs w:val="18"/>
                <w:u w:val="none"/>
                <w:lang w:val="en-US" w:eastAsia="zh-CN" w:bidi="ar"/>
              </w:rPr>
              <w:t>度</w:t>
            </w:r>
            <w:r>
              <w:rPr>
                <w:rFonts w:hint="eastAsia" w:ascii="宋体" w:hAnsi="宋体" w:cs="宋体"/>
                <w:i w:val="0"/>
                <w:iCs w:val="0"/>
                <w:color w:val="000000"/>
                <w:kern w:val="0"/>
                <w:sz w:val="18"/>
                <w:szCs w:val="18"/>
                <w:u w:val="none"/>
                <w:lang w:val="en-US" w:eastAsia="zh-CN" w:bidi="ar"/>
              </w:rPr>
              <w:t>（包含粘度指数）</w:t>
            </w:r>
            <w:r>
              <w:rPr>
                <w:rFonts w:hint="eastAsia" w:ascii="宋体" w:hAnsi="宋体" w:eastAsia="宋体" w:cs="宋体"/>
                <w:i w:val="0"/>
                <w:iCs w:val="0"/>
                <w:color w:val="000000"/>
                <w:kern w:val="0"/>
                <w:sz w:val="18"/>
                <w:szCs w:val="18"/>
                <w:u w:val="none"/>
                <w:lang w:val="en-US" w:eastAsia="zh-CN" w:bidi="ar"/>
              </w:rPr>
              <w:t>（40℃）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电驱桥专用油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11145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布氏粘度-表观粘度(-40℃)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764.26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电驱桥专用油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ASTMD97</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倾点</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电驱桥专用油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3536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闪点(开口杯法)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218.36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电驱桥专用油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12579</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泡沫特性-三个程序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469.58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电驱桥专用油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5096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铜片腐蚀(150℃,168h)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2792.04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电驱桥专用油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5096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铜溶解含量(150℃,168h)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电驱桥专用油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11143A</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液相锈蚀(蒸馏水)</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687.94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电驱桥专用油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511</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机械杂质</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382.66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电驱桥专用油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 D6304</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水分</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电驱桥专用油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 D664</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总酸值</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142.04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电驱桥专用油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17040</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382.66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电驱桥专用油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17476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磷</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8"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电驱桥专用油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0306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FZG试验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（A/16.6/90)失效级</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20670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41"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电驱桥专用油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NB/SH/T 0845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KRL圆锥滚子轴承法</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剪切安定性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测试条件:1475rpm,60℃,40mL,5000N，20h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检测项目:剪切后黏度损失 100℃运动黏度下降</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3537.22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51"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电驱桥专用油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CEC L-48-A-00(B)</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DKA车用变速箱油氧化安定性试验</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测试条件:160℃,192h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检测项目:100℃运动粘度变化率,酸值变化(以KOH计)</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7086.1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电驱桥专用油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IEC 60156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击穿电压(室温)</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电驱桥专用油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IEC 60247、GB/T 5654 </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电导率 /（nS/m）</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电驱桥专用油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 xml:space="preserve">GB/T 5654 </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电阻率/（Mohm*m）</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电驱桥专用油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 D7896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热导率/（w/m*k）</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1069.54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电驱桥专用油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ASTM D7896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比热容/（kJ/kg*k）</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1069.54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0604</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密度(20℃)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119.78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6540</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色度</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109.18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目测</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外观</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3536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闪点(开口杯法)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218.36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261</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闪点(闭口杯法)</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327.54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265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运动粘度(40℃)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265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运动粘度(0℃)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1995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粘度指数</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3535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倾点</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4945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酸值(以KOH计)</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260</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水分</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511</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机械杂质</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382.66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DL/T 432</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清洁度</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5096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铜片腐蚀(100℃,3h)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327.54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11143A</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液相锈蚀(24h)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687.94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11143B</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液相锈蚀(24h)</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687.94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12579</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泡沫特性-三个程序</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469.58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0308</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空气释放值(50℃)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469.58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0305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密封适应性指数</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469.58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7305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抗乳化性(54/82℃)</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240.62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12581</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氧化安定性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1000h后总酸值(以KOH计)</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3537.22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12581</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氧化安定性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1500h后总酸值(以KOH计)</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3537.22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0565</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氧化安定性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1000h后油泥</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5666.76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0193</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旋转氧弹(150℃)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949.76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9"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0189</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磨斑直径</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(392H,60min,75℃,1200r/min)</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279</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0306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FZG齿轮机试验-A/8.3/90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20670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280</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0306</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FZG齿轮机试验-A/16.6/120</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20670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281</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0307</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叶片泵试验(100h,总失重)</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76320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9"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282</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0301</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水解安定性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铜片失重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水层总酸度(以KOH计)</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铜片外观</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1419.34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0"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283</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0209</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热稳定性</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(135℃,168h)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铜棒失重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钢棒失重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总沉渣重</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40℃运动粘度变化率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酸值变化率</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铜棒外观</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钢棒外观</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2129.54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284</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0210</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过滤性(无水/2%水)</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469.58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8"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285</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0103</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剪切安定性(250次循环后,40℃运动粘度下降率)</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3095.2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286</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2433</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硫酸盐灰分</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414.46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3"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287</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GB/T 8021</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皂化值(以KOH计)</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2" w:hRule="atLeast"/>
        </w:trPr>
        <w:tc>
          <w:tcPr>
            <w:tcW w:w="6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288</w:t>
            </w:r>
          </w:p>
        </w:tc>
        <w:tc>
          <w:tcPr>
            <w:tcW w:w="22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液压油</w:t>
            </w:r>
          </w:p>
        </w:tc>
        <w:tc>
          <w:tcPr>
            <w:tcW w:w="13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SH/T 0361附录A</w:t>
            </w:r>
          </w:p>
        </w:tc>
        <w:tc>
          <w:tcPr>
            <w:tcW w:w="286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黏滑特性(动静摩擦系数差值)</w:t>
            </w:r>
          </w:p>
        </w:tc>
        <w:tc>
          <w:tcPr>
            <w:tcW w:w="8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次</w:t>
            </w:r>
          </w:p>
        </w:tc>
        <w:tc>
          <w:tcPr>
            <w:tcW w:w="11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4452</w:t>
            </w:r>
          </w:p>
        </w:tc>
      </w:tr>
      <w:bookmarkEnd w:id="10"/>
      <w:bookmarkEnd w:id="11"/>
      <w:bookmarkEnd w:id="12"/>
    </w:tbl>
    <w:p>
      <w:pPr>
        <w:pStyle w:val="2"/>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78"/>
        <w:ind w:left="0" w:leftChars="0" w:firstLine="0" w:firstLineChars="0"/>
        <w:rPr>
          <w:rFonts w:hint="eastAsia" w:ascii="宋体" w:hAnsi="宋体" w:eastAsia="宋体" w:cs="宋体"/>
          <w:b/>
        </w:rPr>
      </w:pPr>
    </w:p>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r>
        <w:rPr>
          <w:rFonts w:hint="eastAsia" w:ascii="宋体" w:hAnsi="宋体" w:eastAsia="宋体" w:cs="宋体"/>
        </w:rPr>
        <w:br w:type="textWrapping"/>
      </w:r>
      <w:r>
        <w:rPr>
          <w:rFonts w:hint="eastAsia" w:ascii="宋体" w:hAnsi="宋体" w:eastAsia="宋体" w:cs="宋体"/>
          <w:b w:val="0"/>
          <w:bCs w:val="0"/>
        </w:rPr>
        <w:t>项目名称：济南汽车检测中心有限公司/中国重汽集团济南动力有限公司油液试验委外项目</w:t>
      </w:r>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rPr>
            </w:pPr>
            <w:r>
              <w:rPr>
                <w:rFonts w:hint="eastAsia" w:ascii="宋体" w:hAnsi="宋体" w:eastAsia="宋体" w:cs="宋体"/>
              </w:rPr>
              <w:t>是否偏离</w:t>
            </w:r>
          </w:p>
          <w:p>
            <w:pPr>
              <w:pStyle w:val="82"/>
              <w:rPr>
                <w:rFonts w:hint="eastAsia"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89" w:type="dxa"/>
            <w:tcBorders>
              <w:top w:val="single" w:color="auto" w:sz="4" w:space="0"/>
              <w:left w:val="single" w:color="auto" w:sz="4" w:space="0"/>
              <w:bottom w:val="single" w:color="auto" w:sz="4" w:space="0"/>
              <w:right w:val="single" w:color="auto" w:sz="4" w:space="0"/>
            </w:tcBorders>
            <w:vAlign w:val="center"/>
          </w:tcPr>
          <w:p>
            <w:pPr>
              <w:pStyle w:val="82"/>
              <w:rPr>
                <w:rFonts w:hint="eastAsia" w:ascii="仿宋_GB2312" w:hAnsi="仿宋_GB2312" w:eastAsia="仿宋_GB2312" w:cs="仿宋_GB2312"/>
                <w:sz w:val="21"/>
                <w:szCs w:val="21"/>
              </w:rPr>
            </w:pPr>
            <w:r>
              <w:rPr>
                <w:rFonts w:hint="eastAsia" w:ascii="仿宋_GB2312" w:hAnsi="仿宋_GB2312" w:eastAsia="仿宋_GB2312" w:cs="仿宋_GB2312"/>
                <w:b w:val="0"/>
                <w:bCs/>
                <w:sz w:val="21"/>
                <w:szCs w:val="21"/>
              </w:rPr>
              <w:t>交货时间</w:t>
            </w:r>
          </w:p>
        </w:tc>
        <w:tc>
          <w:tcPr>
            <w:tcW w:w="2947" w:type="dxa"/>
            <w:tcBorders>
              <w:top w:val="single" w:color="auto" w:sz="4" w:space="0"/>
              <w:left w:val="single" w:color="auto" w:sz="4" w:space="0"/>
              <w:bottom w:val="single" w:color="auto" w:sz="4" w:space="0"/>
              <w:right w:val="single" w:color="auto" w:sz="4" w:space="0"/>
            </w:tcBorders>
            <w:vAlign w:val="center"/>
          </w:tcPr>
          <w:p>
            <w:pPr>
              <w:pStyle w:val="82"/>
              <w:rPr>
                <w:rFonts w:hint="eastAsia" w:ascii="仿宋_GB2312" w:hAnsi="仿宋_GB2312" w:eastAsia="仿宋_GB2312" w:cs="仿宋_GB2312"/>
                <w:sz w:val="21"/>
                <w:szCs w:val="21"/>
              </w:rPr>
            </w:pPr>
            <w:r>
              <w:rPr>
                <w:rFonts w:hint="eastAsia" w:ascii="仿宋_GB2312" w:hAnsi="仿宋_GB2312" w:eastAsia="仿宋_GB2312" w:cs="仿宋_GB2312"/>
                <w:b w:val="0"/>
                <w:bCs/>
                <w:sz w:val="21"/>
                <w:szCs w:val="21"/>
              </w:rPr>
              <w:t>甲方提出试验需求后3个工作日内开展试验</w:t>
            </w:r>
          </w:p>
        </w:tc>
        <w:tc>
          <w:tcPr>
            <w:tcW w:w="2958" w:type="dxa"/>
            <w:tcBorders>
              <w:top w:val="single" w:color="auto" w:sz="4" w:space="0"/>
              <w:left w:val="single" w:color="auto" w:sz="4" w:space="0"/>
              <w:bottom w:val="single" w:color="auto" w:sz="4" w:space="0"/>
              <w:right w:val="single" w:color="auto" w:sz="4" w:space="0"/>
            </w:tcBorders>
            <w:vAlign w:val="center"/>
          </w:tcPr>
          <w:p>
            <w:pPr>
              <w:pStyle w:val="82"/>
              <w:rPr>
                <w:rFonts w:hint="eastAsia" w:ascii="仿宋_GB2312" w:hAnsi="仿宋_GB2312" w:eastAsia="仿宋_GB2312" w:cs="仿宋_GB2312"/>
                <w:sz w:val="21"/>
                <w:szCs w:val="21"/>
              </w:rPr>
            </w:pPr>
          </w:p>
        </w:tc>
        <w:tc>
          <w:tcPr>
            <w:tcW w:w="1686" w:type="dxa"/>
            <w:tcBorders>
              <w:top w:val="single" w:color="auto" w:sz="4" w:space="0"/>
              <w:left w:val="single" w:color="auto" w:sz="4" w:space="0"/>
              <w:bottom w:val="single" w:color="auto" w:sz="4" w:space="0"/>
              <w:right w:val="single" w:color="auto" w:sz="4" w:space="0"/>
            </w:tcBorders>
            <w:vAlign w:val="center"/>
          </w:tcPr>
          <w:p>
            <w:pPr>
              <w:pStyle w:val="82"/>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1689" w:type="dxa"/>
            <w:tcBorders>
              <w:top w:val="single" w:color="auto" w:sz="4" w:space="0"/>
              <w:left w:val="single" w:color="auto" w:sz="4" w:space="0"/>
              <w:bottom w:val="single" w:color="auto" w:sz="4" w:space="0"/>
              <w:right w:val="single" w:color="auto" w:sz="4" w:space="0"/>
            </w:tcBorders>
            <w:vAlign w:val="center"/>
          </w:tcPr>
          <w:p>
            <w:pPr>
              <w:pStyle w:val="82"/>
              <w:rPr>
                <w:rFonts w:hint="eastAsia" w:ascii="仿宋_GB2312" w:hAnsi="仿宋_GB2312" w:eastAsia="仿宋_GB2312" w:cs="仿宋_GB2312"/>
                <w:sz w:val="21"/>
                <w:szCs w:val="21"/>
              </w:rPr>
            </w:pPr>
            <w:r>
              <w:rPr>
                <w:rFonts w:hint="eastAsia" w:ascii="仿宋_GB2312" w:hAnsi="仿宋_GB2312" w:eastAsia="仿宋_GB2312" w:cs="仿宋_GB2312"/>
                <w:b w:val="0"/>
                <w:bCs/>
                <w:sz w:val="21"/>
                <w:szCs w:val="21"/>
              </w:rPr>
              <w:t>付款条件</w:t>
            </w:r>
          </w:p>
        </w:tc>
        <w:tc>
          <w:tcPr>
            <w:tcW w:w="2947" w:type="dxa"/>
            <w:tcBorders>
              <w:top w:val="single" w:color="auto" w:sz="4" w:space="0"/>
              <w:left w:val="single" w:color="auto" w:sz="4" w:space="0"/>
              <w:bottom w:val="single" w:color="auto" w:sz="4" w:space="0"/>
              <w:right w:val="single" w:color="auto" w:sz="4" w:space="0"/>
            </w:tcBorders>
            <w:vAlign w:val="top"/>
          </w:tcPr>
          <w:p>
            <w:pPr>
              <w:pStyle w:val="82"/>
              <w:rPr>
                <w:rFonts w:hint="eastAsia" w:ascii="仿宋_GB2312" w:hAnsi="仿宋_GB2312" w:eastAsia="仿宋_GB2312" w:cs="仿宋_GB2312"/>
                <w:b w:val="0"/>
                <w:bCs/>
                <w:sz w:val="21"/>
                <w:szCs w:val="21"/>
              </w:rPr>
            </w:pPr>
            <w:r>
              <w:rPr>
                <w:rFonts w:hint="eastAsia" w:ascii="仿宋_GB2312" w:hAnsi="仿宋_GB2312" w:eastAsia="仿宋_GB2312" w:cs="仿宋_GB2312"/>
                <w:b w:val="0"/>
                <w:bCs/>
                <w:sz w:val="21"/>
                <w:szCs w:val="21"/>
              </w:rPr>
              <w:t>乙方完成试验检验、出具检验报告后汇总检测费用清单，由甲方进行确认；</w:t>
            </w:r>
          </w:p>
          <w:p>
            <w:pPr>
              <w:pStyle w:val="82"/>
              <w:rPr>
                <w:rFonts w:hint="eastAsia" w:ascii="仿宋_GB2312" w:hAnsi="仿宋_GB2312" w:eastAsia="仿宋_GB2312" w:cs="仿宋_GB2312"/>
                <w:b w:val="0"/>
                <w:bCs/>
                <w:sz w:val="21"/>
                <w:szCs w:val="21"/>
              </w:rPr>
            </w:pPr>
            <w:r>
              <w:rPr>
                <w:rFonts w:hint="eastAsia" w:ascii="仿宋_GB2312" w:hAnsi="仿宋_GB2312" w:eastAsia="仿宋_GB2312" w:cs="仿宋_GB2312"/>
                <w:b w:val="0"/>
                <w:bCs/>
                <w:sz w:val="21"/>
                <w:szCs w:val="21"/>
              </w:rPr>
              <w:t>每月度结算；</w:t>
            </w:r>
          </w:p>
          <w:p>
            <w:pPr>
              <w:pStyle w:val="82"/>
              <w:rPr>
                <w:rFonts w:hint="eastAsia" w:ascii="仿宋_GB2312" w:hAnsi="仿宋_GB2312" w:eastAsia="仿宋_GB2312" w:cs="仿宋_GB2312"/>
                <w:sz w:val="21"/>
                <w:szCs w:val="21"/>
              </w:rPr>
            </w:pPr>
            <w:r>
              <w:rPr>
                <w:rFonts w:hint="eastAsia" w:ascii="仿宋_GB2312" w:hAnsi="仿宋_GB2312" w:eastAsia="仿宋_GB2312" w:cs="仿宋_GB2312"/>
                <w:b w:val="0"/>
                <w:bCs/>
                <w:sz w:val="21"/>
                <w:szCs w:val="21"/>
              </w:rPr>
              <w:t>乙方在甲方费用清单确认通知后开具全额增值税专用发票，并由甲方按照其财务制度进行审核后支付。</w:t>
            </w:r>
          </w:p>
        </w:tc>
        <w:tc>
          <w:tcPr>
            <w:tcW w:w="2958" w:type="dxa"/>
            <w:tcBorders>
              <w:top w:val="single" w:color="auto" w:sz="4" w:space="0"/>
              <w:left w:val="single" w:color="auto" w:sz="4" w:space="0"/>
              <w:bottom w:val="single" w:color="auto" w:sz="4" w:space="0"/>
              <w:right w:val="single" w:color="auto" w:sz="4" w:space="0"/>
            </w:tcBorders>
            <w:vAlign w:val="top"/>
          </w:tcPr>
          <w:p>
            <w:pPr>
              <w:pStyle w:val="82"/>
              <w:rPr>
                <w:rFonts w:hint="eastAsia" w:ascii="仿宋_GB2312" w:hAnsi="仿宋_GB2312" w:eastAsia="仿宋_GB2312" w:cs="仿宋_GB2312"/>
                <w:sz w:val="21"/>
                <w:szCs w:val="21"/>
              </w:rPr>
            </w:pPr>
          </w:p>
        </w:tc>
        <w:tc>
          <w:tcPr>
            <w:tcW w:w="1686" w:type="dxa"/>
            <w:tcBorders>
              <w:top w:val="single" w:color="auto" w:sz="4" w:space="0"/>
              <w:left w:val="single" w:color="auto" w:sz="4" w:space="0"/>
              <w:bottom w:val="single" w:color="auto" w:sz="4" w:space="0"/>
              <w:right w:val="single" w:color="auto" w:sz="4" w:space="0"/>
            </w:tcBorders>
            <w:vAlign w:val="center"/>
          </w:tcPr>
          <w:p>
            <w:pPr>
              <w:pStyle w:val="82"/>
              <w:rPr>
                <w:rFonts w:hint="eastAsia" w:ascii="仿宋_GB2312" w:hAnsi="仿宋_GB2312" w:eastAsia="仿宋_GB2312" w:cs="仿宋_GB2312"/>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1689" w:type="dxa"/>
            <w:tcBorders>
              <w:top w:val="single" w:color="auto" w:sz="4" w:space="0"/>
              <w:left w:val="single" w:color="auto" w:sz="4" w:space="0"/>
              <w:bottom w:val="single" w:color="auto" w:sz="4" w:space="0"/>
              <w:right w:val="single" w:color="auto" w:sz="4" w:space="0"/>
            </w:tcBorders>
            <w:vAlign w:val="center"/>
          </w:tcPr>
          <w:p>
            <w:pPr>
              <w:pStyle w:val="82"/>
              <w:rPr>
                <w:rFonts w:hint="eastAsia" w:ascii="仿宋_GB2312" w:hAnsi="仿宋_GB2312" w:eastAsia="仿宋_GB2312" w:cs="仿宋_GB2312"/>
                <w:sz w:val="21"/>
                <w:szCs w:val="21"/>
              </w:rPr>
            </w:pPr>
            <w:r>
              <w:rPr>
                <w:rFonts w:hint="eastAsia" w:ascii="仿宋_GB2312" w:hAnsi="仿宋_GB2312" w:eastAsia="仿宋_GB2312" w:cs="仿宋_GB2312"/>
                <w:b w:val="0"/>
                <w:bCs/>
                <w:sz w:val="21"/>
                <w:szCs w:val="21"/>
              </w:rPr>
              <w:t>交货方式及其他技术服务要求</w:t>
            </w:r>
          </w:p>
        </w:tc>
        <w:tc>
          <w:tcPr>
            <w:tcW w:w="2947" w:type="dxa"/>
            <w:tcBorders>
              <w:top w:val="single" w:color="auto" w:sz="4" w:space="0"/>
              <w:left w:val="single" w:color="auto" w:sz="4" w:space="0"/>
              <w:bottom w:val="single" w:color="auto" w:sz="4" w:space="0"/>
              <w:right w:val="single" w:color="auto" w:sz="4" w:space="0"/>
            </w:tcBorders>
            <w:vAlign w:val="center"/>
          </w:tcPr>
          <w:p>
            <w:pPr>
              <w:pStyle w:val="82"/>
              <w:rPr>
                <w:rFonts w:hint="eastAsia" w:ascii="仿宋_GB2312" w:hAnsi="仿宋_GB2312" w:eastAsia="仿宋_GB2312" w:cs="仿宋_GB2312"/>
                <w:sz w:val="21"/>
                <w:szCs w:val="21"/>
              </w:rPr>
            </w:pPr>
            <w:r>
              <w:rPr>
                <w:rFonts w:hint="eastAsia" w:ascii="仿宋_GB2312" w:hAnsi="仿宋_GB2312" w:eastAsia="仿宋_GB2312" w:cs="仿宋_GB2312"/>
                <w:b w:val="0"/>
                <w:bCs/>
                <w:sz w:val="21"/>
                <w:szCs w:val="21"/>
              </w:rPr>
              <w:t>提供有效的电子版检验报告。</w:t>
            </w:r>
          </w:p>
        </w:tc>
        <w:tc>
          <w:tcPr>
            <w:tcW w:w="2958" w:type="dxa"/>
            <w:tcBorders>
              <w:top w:val="single" w:color="auto" w:sz="4" w:space="0"/>
              <w:left w:val="single" w:color="auto" w:sz="4" w:space="0"/>
              <w:bottom w:val="single" w:color="auto" w:sz="4" w:space="0"/>
              <w:right w:val="single" w:color="auto" w:sz="4" w:space="0"/>
            </w:tcBorders>
            <w:vAlign w:val="top"/>
          </w:tcPr>
          <w:p>
            <w:pPr>
              <w:pStyle w:val="82"/>
              <w:rPr>
                <w:rFonts w:hint="eastAsia" w:ascii="仿宋_GB2312" w:hAnsi="仿宋_GB2312" w:eastAsia="仿宋_GB2312" w:cs="仿宋_GB2312"/>
                <w:sz w:val="21"/>
                <w:szCs w:val="21"/>
              </w:rPr>
            </w:pPr>
          </w:p>
        </w:tc>
        <w:tc>
          <w:tcPr>
            <w:tcW w:w="1686" w:type="dxa"/>
            <w:tcBorders>
              <w:top w:val="single" w:color="auto" w:sz="4" w:space="0"/>
              <w:left w:val="single" w:color="auto" w:sz="4" w:space="0"/>
              <w:bottom w:val="single" w:color="auto" w:sz="4" w:space="0"/>
              <w:right w:val="single" w:color="auto" w:sz="4" w:space="0"/>
            </w:tcBorders>
            <w:vAlign w:val="center"/>
          </w:tcPr>
          <w:p>
            <w:pPr>
              <w:pStyle w:val="82"/>
              <w:rPr>
                <w:rFonts w:hint="eastAsia" w:ascii="仿宋_GB2312" w:hAnsi="仿宋_GB2312" w:eastAsia="仿宋_GB2312" w:cs="仿宋_GB2312"/>
                <w:sz w:val="21"/>
                <w:szCs w:val="21"/>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pStyle w:val="78"/>
        <w:ind w:firstLine="480"/>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r>
        <w:rPr>
          <w:rFonts w:hint="eastAsia" w:ascii="宋体" w:hAnsi="宋体" w:eastAsia="宋体" w:cs="宋体"/>
          <w:u w:val="single"/>
        </w:rPr>
        <w:t>济南汽车检测中心有限公司/中国重汽集团济南动力有限公司油液试验委外项目</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9193"/>
      <w:bookmarkStart w:id="14" w:name="_Toc353881022"/>
      <w:bookmarkStart w:id="15" w:name="_Toc639013"/>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639014"/>
      <w:bookmarkStart w:id="18" w:name="_Toc15535"/>
      <w:bookmarkStart w:id="19" w:name="_Toc212369556"/>
      <w:bookmarkStart w:id="20" w:name="_Toc353881023"/>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r>
              <w:rPr>
                <w:rFonts w:hint="eastAsia" w:ascii="宋体" w:hAnsi="宋体" w:eastAsia="宋体" w:cs="宋体"/>
                <w:b w:val="0"/>
                <w:bCs/>
              </w:rPr>
              <w:t>济南汽车检测中心有限公司/中国重汽集团济南动力有限公司油液试验委外项目</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2"/>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pPr>
        <w:spacing w:line="360" w:lineRule="auto"/>
        <w:rPr>
          <w:rFonts w:hint="eastAsia" w:ascii="宋体" w:hAnsi="宋体" w:eastAsia="宋体" w:cs="宋体"/>
          <w:sz w:val="24"/>
          <w:szCs w:val="28"/>
        </w:rPr>
      </w:pP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2"/>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2"/>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6"/>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6"/>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pPr>
        <w:pStyle w:val="2"/>
        <w:rPr>
          <w:rFonts w:hint="eastAsia" w:ascii="宋体" w:hAnsi="宋体" w:eastAsia="宋体" w:cs="宋体"/>
          <w:b/>
          <w:color w:val="000000"/>
          <w:sz w:val="24"/>
          <w:szCs w:val="24"/>
        </w:rPr>
      </w:pPr>
    </w:p>
    <w:p>
      <w:pPr>
        <w:pStyle w:val="58"/>
        <w:rPr>
          <w:rFonts w:hint="eastAsia" w:ascii="宋体" w:hAnsi="宋体" w:eastAsia="宋体" w:cs="宋体"/>
        </w:rPr>
        <w:sectPr>
          <w:pgSz w:w="11907" w:h="16840"/>
          <w:pgMar w:top="1785" w:right="1418" w:bottom="1418" w:left="1418" w:header="724" w:footer="851" w:gutter="0"/>
          <w:cols w:space="720" w:num="1"/>
          <w:docGrid w:linePitch="290" w:charSpace="-3931"/>
        </w:sectPr>
      </w:pPr>
    </w:p>
    <w:p>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pPr>
        <w:pStyle w:val="4"/>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2"/>
        <w:gridCol w:w="1428"/>
        <w:gridCol w:w="3471"/>
        <w:gridCol w:w="2635"/>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2090" w:type="dxa"/>
            <w:gridSpan w:val="2"/>
            <w:vAlign w:val="center"/>
          </w:tcPr>
          <w:p>
            <w:pPr>
              <w:jc w:val="center"/>
              <w:rPr>
                <w:rFonts w:ascii="宋体" w:hAnsi="宋体" w:cs="仿宋_GB2312"/>
                <w:szCs w:val="21"/>
                <w:lang w:bidi="ar"/>
              </w:rPr>
            </w:pPr>
            <w:r>
              <w:rPr>
                <w:rFonts w:hint="eastAsia" w:ascii="宋体" w:hAnsi="宋体" w:cs="仿宋_GB2312"/>
                <w:szCs w:val="21"/>
                <w:lang w:bidi="ar"/>
              </w:rPr>
              <w:t>评价单位</w:t>
            </w:r>
          </w:p>
        </w:tc>
        <w:tc>
          <w:tcPr>
            <w:tcW w:w="6868" w:type="dxa"/>
            <w:gridSpan w:val="3"/>
            <w:vAlign w:val="center"/>
          </w:tcPr>
          <w:p>
            <w:pPr>
              <w:rPr>
                <w:rFonts w:ascii="宋体" w:hAnsi="宋体" w:cs="仿宋_GB2312"/>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662" w:type="dxa"/>
            <w:vAlign w:val="center"/>
          </w:tcPr>
          <w:p>
            <w:pPr>
              <w:jc w:val="center"/>
              <w:rPr>
                <w:rFonts w:ascii="宋体" w:hAnsi="宋体" w:cs="仿宋_GB2312"/>
                <w:szCs w:val="21"/>
                <w:lang w:bidi="ar"/>
              </w:rPr>
            </w:pPr>
            <w:r>
              <w:rPr>
                <w:rFonts w:hint="eastAsia" w:ascii="宋体" w:hAnsi="宋体" w:cs="仿宋_GB2312"/>
                <w:szCs w:val="21"/>
                <w:lang w:bidi="ar"/>
              </w:rPr>
              <w:t>序号</w:t>
            </w:r>
          </w:p>
        </w:tc>
        <w:tc>
          <w:tcPr>
            <w:tcW w:w="1428" w:type="dxa"/>
            <w:vAlign w:val="center"/>
          </w:tcPr>
          <w:p>
            <w:pPr>
              <w:jc w:val="center"/>
              <w:rPr>
                <w:rFonts w:ascii="宋体" w:hAnsi="宋体" w:cs="仿宋_GB2312"/>
                <w:szCs w:val="21"/>
                <w:lang w:bidi="ar"/>
              </w:rPr>
            </w:pPr>
            <w:r>
              <w:rPr>
                <w:rFonts w:hint="eastAsia" w:ascii="宋体" w:hAnsi="宋体" w:cs="仿宋_GB2312"/>
                <w:szCs w:val="21"/>
                <w:lang w:bidi="ar"/>
              </w:rPr>
              <w:t>评价项目</w:t>
            </w:r>
          </w:p>
        </w:tc>
        <w:tc>
          <w:tcPr>
            <w:tcW w:w="3471" w:type="dxa"/>
            <w:vAlign w:val="center"/>
          </w:tcPr>
          <w:p>
            <w:pPr>
              <w:jc w:val="center"/>
              <w:rPr>
                <w:rFonts w:ascii="宋体" w:hAnsi="宋体" w:cs="仿宋_GB2312"/>
                <w:szCs w:val="21"/>
                <w:lang w:bidi="ar"/>
              </w:rPr>
            </w:pPr>
            <w:r>
              <w:rPr>
                <w:rFonts w:hint="eastAsia" w:ascii="宋体" w:hAnsi="宋体" w:cs="仿宋_GB2312"/>
                <w:szCs w:val="21"/>
                <w:lang w:bidi="ar"/>
              </w:rPr>
              <w:t>评价内容</w:t>
            </w:r>
          </w:p>
        </w:tc>
        <w:tc>
          <w:tcPr>
            <w:tcW w:w="2635" w:type="dxa"/>
            <w:vAlign w:val="center"/>
          </w:tcPr>
          <w:p>
            <w:pPr>
              <w:jc w:val="center"/>
              <w:rPr>
                <w:rFonts w:ascii="宋体" w:hAnsi="宋体" w:cs="仿宋_GB2312"/>
                <w:szCs w:val="21"/>
                <w:lang w:bidi="ar"/>
              </w:rPr>
            </w:pPr>
            <w:r>
              <w:rPr>
                <w:rFonts w:hint="eastAsia" w:ascii="宋体" w:hAnsi="宋体" w:cs="仿宋_GB2312"/>
                <w:szCs w:val="21"/>
                <w:lang w:bidi="ar"/>
              </w:rPr>
              <w:t>赋分标准</w:t>
            </w:r>
          </w:p>
        </w:tc>
        <w:tc>
          <w:tcPr>
            <w:tcW w:w="762" w:type="dxa"/>
            <w:vAlign w:val="center"/>
          </w:tcPr>
          <w:p>
            <w:pPr>
              <w:spacing w:line="360" w:lineRule="auto"/>
              <w:jc w:val="center"/>
              <w:rPr>
                <w:rFonts w:ascii="宋体" w:hAnsi="宋体" w:cs="仿宋_GB2312"/>
                <w:szCs w:val="21"/>
                <w:lang w:bidi="ar"/>
              </w:rPr>
            </w:pPr>
            <w:r>
              <w:rPr>
                <w:rFonts w:hint="eastAsia" w:ascii="宋体" w:hAnsi="宋体" w:cs="仿宋_GB2312"/>
                <w:szCs w:val="21"/>
                <w:lang w:bidi="ar"/>
              </w:rPr>
              <w:t>赋分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jc w:val="center"/>
        </w:trPr>
        <w:tc>
          <w:tcPr>
            <w:tcW w:w="662" w:type="dxa"/>
            <w:vAlign w:val="center"/>
          </w:tcPr>
          <w:p>
            <w:pPr>
              <w:jc w:val="center"/>
              <w:rPr>
                <w:rFonts w:ascii="宋体" w:hAnsi="宋体" w:cs="仿宋_GB2312"/>
                <w:szCs w:val="21"/>
                <w:lang w:bidi="ar"/>
              </w:rPr>
            </w:pPr>
            <w:r>
              <w:rPr>
                <w:rFonts w:hint="eastAsia" w:ascii="宋体" w:hAnsi="宋体" w:cs="仿宋_GB2312"/>
                <w:szCs w:val="21"/>
                <w:lang w:bidi="ar"/>
              </w:rPr>
              <w:t>1</w:t>
            </w:r>
          </w:p>
        </w:tc>
        <w:tc>
          <w:tcPr>
            <w:tcW w:w="1428" w:type="dxa"/>
            <w:vAlign w:val="center"/>
          </w:tcPr>
          <w:p>
            <w:pPr>
              <w:jc w:val="center"/>
              <w:rPr>
                <w:rFonts w:ascii="宋体" w:hAnsi="宋体" w:cs="仿宋_GB2312"/>
                <w:szCs w:val="21"/>
                <w:lang w:bidi="ar"/>
              </w:rPr>
            </w:pPr>
            <w:r>
              <w:rPr>
                <w:rFonts w:hint="eastAsia" w:ascii="宋体" w:hAnsi="宋体" w:cs="仿宋_GB2312"/>
                <w:szCs w:val="21"/>
                <w:lang w:bidi="ar"/>
              </w:rPr>
              <w:t>证书资质</w:t>
            </w:r>
          </w:p>
          <w:p>
            <w:pPr>
              <w:jc w:val="center"/>
              <w:rPr>
                <w:rFonts w:ascii="宋体" w:hAnsi="宋体" w:cs="仿宋_GB2312"/>
                <w:szCs w:val="21"/>
                <w:lang w:bidi="ar"/>
              </w:rPr>
            </w:pPr>
            <w:r>
              <w:rPr>
                <w:rFonts w:hint="eastAsia" w:ascii="宋体" w:hAnsi="宋体" w:cs="仿宋_GB2312"/>
                <w:szCs w:val="21"/>
                <w:lang w:bidi="ar"/>
              </w:rPr>
              <w:t>（占比</w:t>
            </w:r>
            <w:r>
              <w:rPr>
                <w:rFonts w:ascii="宋体" w:hAnsi="宋体" w:cs="仿宋_GB2312"/>
                <w:szCs w:val="21"/>
                <w:lang w:bidi="ar"/>
              </w:rPr>
              <w:t>10</w:t>
            </w:r>
            <w:r>
              <w:rPr>
                <w:rFonts w:hint="eastAsia" w:ascii="宋体" w:hAnsi="宋体" w:cs="仿宋_GB2312"/>
                <w:szCs w:val="21"/>
                <w:lang w:bidi="ar"/>
              </w:rPr>
              <w:t>分）</w:t>
            </w:r>
          </w:p>
        </w:tc>
        <w:tc>
          <w:tcPr>
            <w:tcW w:w="3471" w:type="dxa"/>
            <w:vAlign w:val="center"/>
          </w:tcPr>
          <w:p>
            <w:pPr>
              <w:rPr>
                <w:rFonts w:ascii="宋体" w:hAnsi="宋体" w:cs="仿宋_GB2312"/>
                <w:szCs w:val="21"/>
                <w:lang w:bidi="ar"/>
              </w:rPr>
            </w:pPr>
            <w:r>
              <w:rPr>
                <w:rFonts w:hint="eastAsia" w:ascii="宋体" w:hAnsi="宋体" w:cs="仿宋_GB2312"/>
                <w:szCs w:val="21"/>
                <w:lang w:bidi="ar"/>
              </w:rPr>
              <w:t>具有CNAS、CMA资质。</w:t>
            </w:r>
          </w:p>
          <w:p>
            <w:pPr>
              <w:rPr>
                <w:rFonts w:ascii="宋体" w:hAnsi="宋体" w:cs="仿宋_GB2312"/>
                <w:szCs w:val="21"/>
                <w:lang w:bidi="ar"/>
              </w:rPr>
            </w:pPr>
            <w:r>
              <w:rPr>
                <w:rFonts w:hint="eastAsia" w:ascii="宋体" w:hAnsi="宋体" w:cs="仿宋_GB2312"/>
                <w:szCs w:val="21"/>
              </w:rPr>
              <w:t>近三年内无负主要责任的检测事故，未被市场监督管理部门列入企业经营异常名录。</w:t>
            </w:r>
          </w:p>
        </w:tc>
        <w:tc>
          <w:tcPr>
            <w:tcW w:w="2635" w:type="dxa"/>
            <w:vAlign w:val="center"/>
          </w:tcPr>
          <w:p>
            <w:pPr>
              <w:rPr>
                <w:rFonts w:ascii="宋体" w:hAnsi="宋体" w:cs="仿宋_GB2312"/>
                <w:szCs w:val="21"/>
              </w:rPr>
            </w:pPr>
            <w:r>
              <w:rPr>
                <w:rFonts w:hint="eastAsia" w:ascii="宋体" w:hAnsi="宋体" w:cs="仿宋_GB2312"/>
                <w:szCs w:val="21"/>
              </w:rPr>
              <w:t>证书有效</w:t>
            </w:r>
            <w:r>
              <w:rPr>
                <w:rFonts w:ascii="宋体" w:hAnsi="宋体" w:cs="仿宋_GB2312"/>
                <w:szCs w:val="21"/>
              </w:rPr>
              <w:t>5</w:t>
            </w:r>
            <w:r>
              <w:rPr>
                <w:rFonts w:hint="eastAsia" w:ascii="宋体" w:hAnsi="宋体" w:cs="仿宋_GB2312"/>
                <w:szCs w:val="21"/>
              </w:rPr>
              <w:t>分，失效0分；近三年内无负主要责任的检测事故，5分；</w:t>
            </w:r>
            <w:r>
              <w:rPr>
                <w:rFonts w:ascii="宋体" w:hAnsi="宋体" w:cs="仿宋_GB2312"/>
                <w:szCs w:val="21"/>
              </w:rPr>
              <w:t xml:space="preserve"> </w:t>
            </w:r>
          </w:p>
        </w:tc>
        <w:tc>
          <w:tcPr>
            <w:tcW w:w="762" w:type="dxa"/>
            <w:vAlign w:val="center"/>
          </w:tcPr>
          <w:p>
            <w:pPr>
              <w:rPr>
                <w:rFonts w:ascii="宋体" w:hAnsi="宋体" w:cs="仿宋_GB2312"/>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662" w:type="dxa"/>
            <w:vAlign w:val="center"/>
          </w:tcPr>
          <w:p>
            <w:pPr>
              <w:jc w:val="center"/>
              <w:rPr>
                <w:rFonts w:ascii="宋体" w:hAnsi="宋体" w:cs="仿宋_GB2312"/>
                <w:szCs w:val="21"/>
                <w:lang w:bidi="ar"/>
              </w:rPr>
            </w:pPr>
            <w:r>
              <w:rPr>
                <w:rFonts w:hint="eastAsia" w:ascii="宋体" w:hAnsi="宋体" w:cs="仿宋_GB2312"/>
                <w:szCs w:val="21"/>
                <w:lang w:bidi="ar"/>
              </w:rPr>
              <w:t>2</w:t>
            </w:r>
          </w:p>
        </w:tc>
        <w:tc>
          <w:tcPr>
            <w:tcW w:w="1428" w:type="dxa"/>
            <w:vAlign w:val="center"/>
          </w:tcPr>
          <w:p>
            <w:pPr>
              <w:jc w:val="center"/>
              <w:rPr>
                <w:rFonts w:ascii="宋体" w:hAnsi="宋体" w:cs="仿宋_GB2312"/>
                <w:szCs w:val="21"/>
                <w:lang w:bidi="ar"/>
              </w:rPr>
            </w:pPr>
            <w:r>
              <w:rPr>
                <w:rFonts w:hint="eastAsia" w:ascii="宋体" w:hAnsi="宋体" w:cs="仿宋_GB2312"/>
                <w:szCs w:val="21"/>
                <w:lang w:bidi="ar"/>
              </w:rPr>
              <w:t>设备设施</w:t>
            </w:r>
          </w:p>
          <w:p>
            <w:pPr>
              <w:jc w:val="center"/>
              <w:rPr>
                <w:rFonts w:ascii="宋体" w:hAnsi="宋体" w:cs="仿宋_GB2312"/>
                <w:szCs w:val="21"/>
                <w:lang w:bidi="ar"/>
              </w:rPr>
            </w:pPr>
            <w:r>
              <w:rPr>
                <w:rFonts w:hint="eastAsia" w:ascii="宋体" w:hAnsi="宋体" w:cs="仿宋_GB2312"/>
                <w:szCs w:val="21"/>
                <w:lang w:bidi="ar"/>
              </w:rPr>
              <w:t>（占比</w:t>
            </w:r>
            <w:r>
              <w:rPr>
                <w:rFonts w:ascii="宋体" w:hAnsi="宋体" w:cs="仿宋_GB2312"/>
                <w:szCs w:val="21"/>
                <w:lang w:bidi="ar"/>
              </w:rPr>
              <w:t>20</w:t>
            </w:r>
            <w:r>
              <w:rPr>
                <w:rFonts w:hint="eastAsia" w:ascii="宋体" w:hAnsi="宋体" w:cs="仿宋_GB2312"/>
                <w:szCs w:val="21"/>
                <w:lang w:bidi="ar"/>
              </w:rPr>
              <w:t>分）</w:t>
            </w:r>
          </w:p>
        </w:tc>
        <w:tc>
          <w:tcPr>
            <w:tcW w:w="3471" w:type="dxa"/>
            <w:vAlign w:val="center"/>
          </w:tcPr>
          <w:p>
            <w:pPr>
              <w:rPr>
                <w:rFonts w:ascii="宋体" w:hAnsi="宋体" w:cs="仿宋_GB2312"/>
                <w:szCs w:val="21"/>
                <w:lang w:bidi="ar"/>
              </w:rPr>
            </w:pPr>
            <w:r>
              <w:rPr>
                <w:rFonts w:hint="eastAsia" w:ascii="宋体" w:hAnsi="宋体" w:cs="仿宋_GB2312"/>
                <w:szCs w:val="21"/>
                <w:lang w:bidi="ar"/>
              </w:rPr>
              <w:t>具备有独立支配使用权、性能符合工作要求的的设备和设施。</w:t>
            </w:r>
          </w:p>
          <w:p>
            <w:pPr>
              <w:rPr>
                <w:rFonts w:ascii="宋体" w:hAnsi="宋体" w:cs="仿宋_GB2312"/>
                <w:szCs w:val="21"/>
                <w:lang w:bidi="ar"/>
              </w:rPr>
            </w:pPr>
            <w:r>
              <w:rPr>
                <w:rFonts w:hint="eastAsia" w:ascii="宋体" w:hAnsi="宋体" w:cs="仿宋_GB2312"/>
                <w:szCs w:val="21"/>
                <w:lang w:bidi="ar"/>
              </w:rPr>
              <w:t>影响检验检测结果准确性的设备应实施检定、校准或核查，保证计量溯源性要求。</w:t>
            </w:r>
          </w:p>
        </w:tc>
        <w:tc>
          <w:tcPr>
            <w:tcW w:w="2635" w:type="dxa"/>
            <w:vAlign w:val="center"/>
          </w:tcPr>
          <w:p>
            <w:pPr>
              <w:rPr>
                <w:rFonts w:ascii="宋体" w:hAnsi="宋体" w:cs="仿宋_GB2312"/>
                <w:szCs w:val="21"/>
                <w:lang w:bidi="ar"/>
              </w:rPr>
            </w:pPr>
            <w:r>
              <w:rPr>
                <w:rFonts w:hint="eastAsia" w:ascii="宋体" w:hAnsi="宋体" w:cs="仿宋_GB2312"/>
                <w:szCs w:val="21"/>
                <w:lang w:bidi="ar"/>
              </w:rPr>
              <w:t>具备有独立支配使用权、性能符合工作要求的的设备和设施，10分。</w:t>
            </w:r>
          </w:p>
          <w:p>
            <w:pPr>
              <w:rPr>
                <w:rFonts w:ascii="宋体" w:hAnsi="宋体" w:cs="仿宋_GB2312"/>
                <w:szCs w:val="21"/>
                <w:lang w:bidi="ar"/>
              </w:rPr>
            </w:pPr>
            <w:r>
              <w:rPr>
                <w:rFonts w:hint="eastAsia" w:ascii="宋体" w:hAnsi="宋体" w:cs="仿宋_GB2312"/>
                <w:szCs w:val="21"/>
                <w:lang w:bidi="ar"/>
              </w:rPr>
              <w:t>计量满足溯源性要求，</w:t>
            </w:r>
            <w:r>
              <w:rPr>
                <w:rFonts w:ascii="宋体" w:hAnsi="宋体" w:cs="仿宋_GB2312"/>
                <w:szCs w:val="21"/>
                <w:lang w:bidi="ar"/>
              </w:rPr>
              <w:t>10</w:t>
            </w:r>
            <w:r>
              <w:rPr>
                <w:rFonts w:hint="eastAsia" w:ascii="宋体" w:hAnsi="宋体" w:cs="仿宋_GB2312"/>
                <w:szCs w:val="21"/>
                <w:lang w:bidi="ar"/>
              </w:rPr>
              <w:t>分。</w:t>
            </w:r>
          </w:p>
        </w:tc>
        <w:tc>
          <w:tcPr>
            <w:tcW w:w="762" w:type="dxa"/>
            <w:vAlign w:val="center"/>
          </w:tcPr>
          <w:p>
            <w:pPr>
              <w:rPr>
                <w:rFonts w:ascii="宋体" w:hAnsi="宋体" w:cs="仿宋_GB2312"/>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8" w:hRule="atLeast"/>
          <w:jc w:val="center"/>
        </w:trPr>
        <w:tc>
          <w:tcPr>
            <w:tcW w:w="662" w:type="dxa"/>
            <w:vAlign w:val="center"/>
          </w:tcPr>
          <w:p>
            <w:pPr>
              <w:jc w:val="center"/>
              <w:rPr>
                <w:rFonts w:ascii="宋体" w:hAnsi="宋体" w:cs="仿宋_GB2312"/>
                <w:szCs w:val="21"/>
                <w:lang w:bidi="ar"/>
              </w:rPr>
            </w:pPr>
            <w:r>
              <w:rPr>
                <w:rFonts w:hint="eastAsia" w:ascii="宋体" w:hAnsi="宋体" w:cs="仿宋_GB2312"/>
                <w:szCs w:val="21"/>
                <w:lang w:bidi="ar"/>
              </w:rPr>
              <w:t>3</w:t>
            </w:r>
          </w:p>
        </w:tc>
        <w:tc>
          <w:tcPr>
            <w:tcW w:w="1428" w:type="dxa"/>
            <w:vAlign w:val="center"/>
          </w:tcPr>
          <w:p>
            <w:pPr>
              <w:jc w:val="center"/>
              <w:rPr>
                <w:rFonts w:ascii="宋体" w:hAnsi="宋体" w:cs="仿宋_GB2312"/>
                <w:szCs w:val="21"/>
                <w:lang w:bidi="ar"/>
              </w:rPr>
            </w:pPr>
            <w:r>
              <w:rPr>
                <w:rFonts w:hint="eastAsia" w:ascii="宋体" w:hAnsi="宋体" w:cs="仿宋_GB2312"/>
                <w:szCs w:val="21"/>
                <w:lang w:bidi="ar"/>
              </w:rPr>
              <w:t>人员配备及检测能力（占比</w:t>
            </w:r>
            <w:r>
              <w:rPr>
                <w:rFonts w:ascii="宋体" w:hAnsi="宋体" w:cs="仿宋_GB2312"/>
                <w:szCs w:val="21"/>
                <w:lang w:bidi="ar"/>
              </w:rPr>
              <w:t>25</w:t>
            </w:r>
            <w:r>
              <w:rPr>
                <w:rFonts w:hint="eastAsia" w:ascii="宋体" w:hAnsi="宋体" w:cs="仿宋_GB2312"/>
                <w:szCs w:val="21"/>
                <w:lang w:bidi="ar"/>
              </w:rPr>
              <w:t>分）</w:t>
            </w:r>
          </w:p>
        </w:tc>
        <w:tc>
          <w:tcPr>
            <w:tcW w:w="3471" w:type="dxa"/>
            <w:vAlign w:val="center"/>
          </w:tcPr>
          <w:p>
            <w:pPr>
              <w:jc w:val="center"/>
              <w:rPr>
                <w:rFonts w:ascii="宋体" w:hAnsi="宋体" w:cs="仿宋_GB2312"/>
                <w:szCs w:val="21"/>
                <w:lang w:bidi="ar"/>
              </w:rPr>
            </w:pPr>
            <w:r>
              <w:rPr>
                <w:rFonts w:hint="eastAsia" w:ascii="宋体" w:hAnsi="宋体" w:cs="仿宋_GB2312"/>
                <w:szCs w:val="21"/>
                <w:lang w:bidi="ar"/>
              </w:rPr>
              <w:t>人员试验检测能力全面，人员配备充足。</w:t>
            </w:r>
          </w:p>
        </w:tc>
        <w:tc>
          <w:tcPr>
            <w:tcW w:w="2635" w:type="dxa"/>
            <w:vAlign w:val="center"/>
          </w:tcPr>
          <w:p>
            <w:pPr>
              <w:rPr>
                <w:rFonts w:ascii="宋体" w:hAnsi="宋体" w:cs="仿宋_GB2312"/>
                <w:szCs w:val="21"/>
                <w:lang w:bidi="ar"/>
              </w:rPr>
            </w:pPr>
            <w:r>
              <w:rPr>
                <w:rFonts w:hint="eastAsia" w:ascii="宋体" w:hAnsi="宋体" w:cs="仿宋_GB2312"/>
                <w:szCs w:val="21"/>
              </w:rPr>
              <w:t>检验检测设备、技术人员储备、试验场地便利性以及周边配套设施等的完备程度：优2</w:t>
            </w:r>
            <w:r>
              <w:rPr>
                <w:rFonts w:ascii="宋体" w:hAnsi="宋体" w:cs="仿宋_GB2312"/>
                <w:szCs w:val="21"/>
              </w:rPr>
              <w:t>1-25</w:t>
            </w:r>
            <w:r>
              <w:rPr>
                <w:rFonts w:hint="eastAsia" w:ascii="宋体" w:hAnsi="宋体" w:cs="仿宋_GB2312"/>
                <w:szCs w:val="21"/>
              </w:rPr>
              <w:t>分，良</w:t>
            </w:r>
            <w:r>
              <w:rPr>
                <w:rFonts w:ascii="宋体" w:hAnsi="宋体" w:cs="仿宋_GB2312"/>
                <w:szCs w:val="21"/>
              </w:rPr>
              <w:t>15-20</w:t>
            </w:r>
            <w:r>
              <w:rPr>
                <w:rFonts w:hint="eastAsia" w:ascii="宋体" w:hAnsi="宋体" w:cs="仿宋_GB2312"/>
                <w:szCs w:val="21"/>
              </w:rPr>
              <w:t>分，一般</w:t>
            </w:r>
            <w:r>
              <w:rPr>
                <w:rFonts w:ascii="宋体" w:hAnsi="宋体" w:cs="仿宋_GB2312"/>
                <w:szCs w:val="21"/>
              </w:rPr>
              <w:t>0-14</w:t>
            </w:r>
            <w:r>
              <w:rPr>
                <w:rFonts w:hint="eastAsia" w:ascii="宋体" w:hAnsi="宋体" w:cs="仿宋_GB2312"/>
                <w:szCs w:val="21"/>
              </w:rPr>
              <w:t>。</w:t>
            </w:r>
          </w:p>
        </w:tc>
        <w:tc>
          <w:tcPr>
            <w:tcW w:w="762" w:type="dxa"/>
            <w:vAlign w:val="center"/>
          </w:tcPr>
          <w:p>
            <w:pPr>
              <w:rPr>
                <w:rFonts w:ascii="宋体" w:hAnsi="宋体" w:cs="仿宋_GB2312"/>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662" w:type="dxa"/>
            <w:vAlign w:val="center"/>
          </w:tcPr>
          <w:p>
            <w:pPr>
              <w:jc w:val="center"/>
              <w:rPr>
                <w:rFonts w:ascii="宋体" w:hAnsi="宋体" w:cs="仿宋_GB2312"/>
                <w:szCs w:val="21"/>
                <w:lang w:bidi="ar"/>
              </w:rPr>
            </w:pPr>
            <w:r>
              <w:rPr>
                <w:rFonts w:hint="eastAsia" w:ascii="宋体" w:hAnsi="宋体" w:cs="仿宋_GB2312"/>
                <w:szCs w:val="21"/>
                <w:lang w:bidi="ar"/>
              </w:rPr>
              <w:t>4</w:t>
            </w:r>
          </w:p>
        </w:tc>
        <w:tc>
          <w:tcPr>
            <w:tcW w:w="1428" w:type="dxa"/>
            <w:vAlign w:val="center"/>
          </w:tcPr>
          <w:p>
            <w:pPr>
              <w:jc w:val="center"/>
              <w:rPr>
                <w:rFonts w:ascii="宋体" w:hAnsi="宋体" w:cs="仿宋_GB2312"/>
                <w:szCs w:val="21"/>
                <w:lang w:bidi="ar"/>
              </w:rPr>
            </w:pPr>
            <w:r>
              <w:rPr>
                <w:rFonts w:hint="eastAsia" w:ascii="宋体" w:hAnsi="宋体" w:cs="仿宋_GB2312"/>
                <w:szCs w:val="21"/>
                <w:lang w:bidi="ar"/>
              </w:rPr>
              <w:t>合同执行情况</w:t>
            </w:r>
          </w:p>
          <w:p>
            <w:pPr>
              <w:jc w:val="center"/>
              <w:rPr>
                <w:rFonts w:ascii="宋体" w:hAnsi="宋体" w:cs="仿宋_GB2312"/>
                <w:szCs w:val="21"/>
                <w:lang w:bidi="ar"/>
              </w:rPr>
            </w:pPr>
            <w:r>
              <w:rPr>
                <w:rFonts w:hint="eastAsia" w:ascii="宋体" w:hAnsi="宋体" w:cs="仿宋_GB2312"/>
                <w:szCs w:val="21"/>
                <w:lang w:bidi="ar"/>
              </w:rPr>
              <w:t>（占比1</w:t>
            </w:r>
            <w:r>
              <w:rPr>
                <w:rFonts w:ascii="宋体" w:hAnsi="宋体" w:cs="仿宋_GB2312"/>
                <w:szCs w:val="21"/>
                <w:lang w:bidi="ar"/>
              </w:rPr>
              <w:t>0</w:t>
            </w:r>
            <w:r>
              <w:rPr>
                <w:rFonts w:hint="eastAsia" w:ascii="宋体" w:hAnsi="宋体" w:cs="仿宋_GB2312"/>
                <w:szCs w:val="21"/>
                <w:lang w:bidi="ar"/>
              </w:rPr>
              <w:t>分）</w:t>
            </w:r>
          </w:p>
        </w:tc>
        <w:tc>
          <w:tcPr>
            <w:tcW w:w="3471" w:type="dxa"/>
            <w:vAlign w:val="center"/>
          </w:tcPr>
          <w:p>
            <w:pPr>
              <w:jc w:val="center"/>
              <w:rPr>
                <w:rFonts w:ascii="宋体" w:hAnsi="宋体" w:cs="仿宋_GB2312"/>
                <w:szCs w:val="21"/>
                <w:lang w:bidi="ar"/>
              </w:rPr>
            </w:pPr>
            <w:r>
              <w:rPr>
                <w:rFonts w:hint="eastAsia" w:ascii="宋体" w:hAnsi="宋体" w:cs="仿宋_GB2312"/>
                <w:szCs w:val="21"/>
                <w:lang w:bidi="ar"/>
              </w:rPr>
              <w:t>合同执行履行时效性及完成度。</w:t>
            </w:r>
          </w:p>
        </w:tc>
        <w:tc>
          <w:tcPr>
            <w:tcW w:w="2635" w:type="dxa"/>
            <w:vAlign w:val="center"/>
          </w:tcPr>
          <w:p>
            <w:pPr>
              <w:rPr>
                <w:rFonts w:ascii="宋体" w:hAnsi="宋体" w:cs="仿宋_GB2312"/>
                <w:szCs w:val="21"/>
              </w:rPr>
            </w:pPr>
            <w:r>
              <w:rPr>
                <w:rFonts w:hint="eastAsia" w:ascii="宋体" w:hAnsi="宋体" w:cs="仿宋_GB2312"/>
                <w:szCs w:val="21"/>
              </w:rPr>
              <w:t>近三年来财务状况、正在执行合同情况及履约能力：优9</w:t>
            </w:r>
            <w:r>
              <w:rPr>
                <w:rFonts w:ascii="宋体" w:hAnsi="宋体" w:cs="仿宋_GB2312"/>
                <w:szCs w:val="21"/>
              </w:rPr>
              <w:t>-10</w:t>
            </w:r>
            <w:r>
              <w:rPr>
                <w:rFonts w:hint="eastAsia" w:ascii="宋体" w:hAnsi="宋体" w:cs="仿宋_GB2312"/>
                <w:szCs w:val="21"/>
              </w:rPr>
              <w:t>分，良</w:t>
            </w:r>
            <w:r>
              <w:rPr>
                <w:rFonts w:ascii="宋体" w:hAnsi="宋体" w:cs="仿宋_GB2312"/>
                <w:szCs w:val="21"/>
              </w:rPr>
              <w:t>7-8</w:t>
            </w:r>
            <w:r>
              <w:rPr>
                <w:rFonts w:hint="eastAsia" w:ascii="宋体" w:hAnsi="宋体" w:cs="仿宋_GB2312"/>
                <w:szCs w:val="21"/>
              </w:rPr>
              <w:t>分，一般0</w:t>
            </w:r>
            <w:r>
              <w:rPr>
                <w:rFonts w:ascii="宋体" w:hAnsi="宋体" w:cs="仿宋_GB2312"/>
                <w:szCs w:val="21"/>
              </w:rPr>
              <w:t>-6</w:t>
            </w:r>
            <w:r>
              <w:rPr>
                <w:rFonts w:hint="eastAsia" w:ascii="宋体" w:hAnsi="宋体" w:cs="仿宋_GB2312"/>
                <w:szCs w:val="21"/>
              </w:rPr>
              <w:t>分</w:t>
            </w:r>
          </w:p>
        </w:tc>
        <w:tc>
          <w:tcPr>
            <w:tcW w:w="762" w:type="dxa"/>
            <w:vAlign w:val="center"/>
          </w:tcPr>
          <w:p>
            <w:pPr>
              <w:rPr>
                <w:rFonts w:ascii="宋体" w:hAnsi="宋体" w:cs="仿宋_GB2312"/>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662" w:type="dxa"/>
            <w:vAlign w:val="center"/>
          </w:tcPr>
          <w:p>
            <w:pPr>
              <w:jc w:val="center"/>
              <w:rPr>
                <w:rFonts w:ascii="宋体" w:hAnsi="宋体" w:cs="仿宋_GB2312"/>
                <w:szCs w:val="21"/>
                <w:lang w:bidi="ar"/>
              </w:rPr>
            </w:pPr>
            <w:r>
              <w:rPr>
                <w:rFonts w:hint="eastAsia" w:ascii="宋体" w:hAnsi="宋体" w:cs="仿宋_GB2312"/>
                <w:szCs w:val="21"/>
                <w:lang w:bidi="ar"/>
              </w:rPr>
              <w:t>5</w:t>
            </w:r>
          </w:p>
        </w:tc>
        <w:tc>
          <w:tcPr>
            <w:tcW w:w="1428" w:type="dxa"/>
            <w:vAlign w:val="center"/>
          </w:tcPr>
          <w:p>
            <w:pPr>
              <w:jc w:val="center"/>
              <w:rPr>
                <w:rFonts w:ascii="宋体" w:hAnsi="宋体" w:cs="仿宋_GB2312"/>
                <w:szCs w:val="21"/>
                <w:lang w:bidi="ar"/>
              </w:rPr>
            </w:pPr>
            <w:r>
              <w:rPr>
                <w:rFonts w:hint="eastAsia" w:ascii="宋体" w:hAnsi="宋体" w:cs="仿宋_GB2312"/>
                <w:szCs w:val="21"/>
                <w:lang w:bidi="ar"/>
              </w:rPr>
              <w:t>服务质量</w:t>
            </w:r>
          </w:p>
          <w:p>
            <w:pPr>
              <w:jc w:val="center"/>
              <w:rPr>
                <w:rFonts w:ascii="宋体" w:hAnsi="宋体" w:cs="仿宋_GB2312"/>
                <w:szCs w:val="21"/>
                <w:lang w:bidi="ar"/>
              </w:rPr>
            </w:pPr>
            <w:r>
              <w:rPr>
                <w:rFonts w:hint="eastAsia" w:ascii="宋体" w:hAnsi="宋体" w:cs="仿宋_GB2312"/>
                <w:szCs w:val="21"/>
                <w:lang w:bidi="ar"/>
              </w:rPr>
              <w:t>（占比</w:t>
            </w:r>
            <w:r>
              <w:rPr>
                <w:rFonts w:ascii="宋体" w:hAnsi="宋体" w:cs="仿宋_GB2312"/>
                <w:szCs w:val="21"/>
                <w:lang w:bidi="ar"/>
              </w:rPr>
              <w:t>25</w:t>
            </w:r>
            <w:r>
              <w:rPr>
                <w:rFonts w:hint="eastAsia" w:ascii="宋体" w:hAnsi="宋体" w:cs="仿宋_GB2312"/>
                <w:szCs w:val="21"/>
                <w:lang w:bidi="ar"/>
              </w:rPr>
              <w:t>分）</w:t>
            </w:r>
          </w:p>
        </w:tc>
        <w:tc>
          <w:tcPr>
            <w:tcW w:w="3471" w:type="dxa"/>
            <w:vAlign w:val="center"/>
          </w:tcPr>
          <w:p>
            <w:pPr>
              <w:jc w:val="center"/>
              <w:rPr>
                <w:rFonts w:ascii="宋体" w:hAnsi="宋体" w:cs="仿宋_GB2312"/>
                <w:szCs w:val="21"/>
                <w:lang w:bidi="ar"/>
              </w:rPr>
            </w:pPr>
            <w:r>
              <w:rPr>
                <w:rFonts w:hint="eastAsia" w:ascii="宋体" w:hAnsi="宋体" w:cs="仿宋_GB2312"/>
                <w:szCs w:val="21"/>
                <w:lang w:bidi="ar"/>
              </w:rPr>
              <w:t>技术服务合理到位，服务态度积极。</w:t>
            </w:r>
          </w:p>
        </w:tc>
        <w:tc>
          <w:tcPr>
            <w:tcW w:w="2635" w:type="dxa"/>
            <w:vAlign w:val="center"/>
          </w:tcPr>
          <w:p>
            <w:pPr>
              <w:rPr>
                <w:rFonts w:ascii="宋体" w:hAnsi="宋体" w:cs="仿宋_GB2312"/>
                <w:szCs w:val="21"/>
              </w:rPr>
            </w:pPr>
            <w:r>
              <w:rPr>
                <w:rFonts w:hint="eastAsia" w:ascii="宋体" w:hAnsi="宋体" w:cs="仿宋_GB2312"/>
                <w:szCs w:val="21"/>
              </w:rPr>
              <w:t>技术服务体系的完整程度，高质量完成指定任务的能力；并针对特殊情况下（节假日期间、规定时限内等）的任务保障能力以及时间响应能力：优</w:t>
            </w:r>
            <w:r>
              <w:rPr>
                <w:rFonts w:ascii="宋体" w:hAnsi="宋体" w:cs="仿宋_GB2312"/>
                <w:szCs w:val="21"/>
              </w:rPr>
              <w:t>21-25</w:t>
            </w:r>
            <w:r>
              <w:rPr>
                <w:rFonts w:hint="eastAsia" w:ascii="宋体" w:hAnsi="宋体" w:cs="仿宋_GB2312"/>
                <w:szCs w:val="21"/>
              </w:rPr>
              <w:t>分，良</w:t>
            </w:r>
            <w:r>
              <w:rPr>
                <w:rFonts w:ascii="宋体" w:hAnsi="宋体" w:cs="仿宋_GB2312"/>
                <w:szCs w:val="21"/>
              </w:rPr>
              <w:t>15-20</w:t>
            </w:r>
            <w:r>
              <w:rPr>
                <w:rFonts w:hint="eastAsia" w:ascii="宋体" w:hAnsi="宋体" w:cs="仿宋_GB2312"/>
                <w:szCs w:val="21"/>
              </w:rPr>
              <w:t>分，一般</w:t>
            </w:r>
            <w:r>
              <w:rPr>
                <w:rFonts w:ascii="宋体" w:hAnsi="宋体" w:cs="仿宋_GB2312"/>
                <w:szCs w:val="21"/>
              </w:rPr>
              <w:t>0-14</w:t>
            </w:r>
            <w:r>
              <w:rPr>
                <w:rFonts w:hint="eastAsia" w:ascii="宋体" w:hAnsi="宋体" w:cs="仿宋_GB2312"/>
                <w:szCs w:val="21"/>
              </w:rPr>
              <w:t>分。</w:t>
            </w:r>
          </w:p>
        </w:tc>
        <w:tc>
          <w:tcPr>
            <w:tcW w:w="762" w:type="dxa"/>
            <w:vAlign w:val="center"/>
          </w:tcPr>
          <w:p>
            <w:pPr>
              <w:rPr>
                <w:rFonts w:ascii="宋体" w:hAnsi="宋体" w:cs="仿宋_GB2312"/>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jc w:val="center"/>
        </w:trPr>
        <w:tc>
          <w:tcPr>
            <w:tcW w:w="662" w:type="dxa"/>
            <w:vAlign w:val="center"/>
          </w:tcPr>
          <w:p>
            <w:pPr>
              <w:jc w:val="center"/>
              <w:rPr>
                <w:rFonts w:ascii="宋体" w:hAnsi="宋体" w:cs="仿宋_GB2312"/>
                <w:szCs w:val="21"/>
                <w:lang w:bidi="ar"/>
              </w:rPr>
            </w:pPr>
            <w:r>
              <w:rPr>
                <w:rFonts w:hint="eastAsia" w:ascii="宋体" w:hAnsi="宋体" w:cs="仿宋_GB2312"/>
                <w:szCs w:val="21"/>
                <w:lang w:bidi="ar"/>
              </w:rPr>
              <w:t>6</w:t>
            </w:r>
          </w:p>
        </w:tc>
        <w:tc>
          <w:tcPr>
            <w:tcW w:w="1428" w:type="dxa"/>
            <w:vAlign w:val="center"/>
          </w:tcPr>
          <w:p>
            <w:pPr>
              <w:jc w:val="center"/>
              <w:rPr>
                <w:rFonts w:ascii="宋体" w:hAnsi="宋体" w:cs="仿宋_GB2312"/>
                <w:szCs w:val="21"/>
                <w:lang w:bidi="ar"/>
              </w:rPr>
            </w:pPr>
            <w:r>
              <w:rPr>
                <w:rFonts w:hint="eastAsia" w:ascii="宋体" w:hAnsi="宋体" w:cs="仿宋_GB2312"/>
                <w:szCs w:val="21"/>
                <w:lang w:bidi="ar"/>
              </w:rPr>
              <w:t>试验保障</w:t>
            </w:r>
          </w:p>
          <w:p>
            <w:pPr>
              <w:jc w:val="center"/>
              <w:rPr>
                <w:rFonts w:ascii="宋体" w:hAnsi="宋体" w:cs="仿宋_GB2312"/>
                <w:szCs w:val="21"/>
                <w:lang w:bidi="ar"/>
              </w:rPr>
            </w:pPr>
            <w:r>
              <w:rPr>
                <w:rFonts w:hint="eastAsia" w:ascii="宋体" w:hAnsi="宋体" w:cs="仿宋_GB2312"/>
                <w:szCs w:val="21"/>
                <w:lang w:bidi="ar"/>
              </w:rPr>
              <w:t>（占比</w:t>
            </w:r>
            <w:r>
              <w:rPr>
                <w:rFonts w:ascii="宋体" w:hAnsi="宋体" w:cs="仿宋_GB2312"/>
                <w:szCs w:val="21"/>
                <w:lang w:bidi="ar"/>
              </w:rPr>
              <w:t>10</w:t>
            </w:r>
            <w:r>
              <w:rPr>
                <w:rFonts w:hint="eastAsia" w:ascii="宋体" w:hAnsi="宋体" w:cs="仿宋_GB2312"/>
                <w:szCs w:val="21"/>
                <w:lang w:bidi="ar"/>
              </w:rPr>
              <w:t>分）</w:t>
            </w:r>
          </w:p>
        </w:tc>
        <w:tc>
          <w:tcPr>
            <w:tcW w:w="3471" w:type="dxa"/>
            <w:vAlign w:val="center"/>
          </w:tcPr>
          <w:p>
            <w:pPr>
              <w:jc w:val="center"/>
              <w:rPr>
                <w:rFonts w:ascii="宋体" w:hAnsi="宋体" w:cs="仿宋_GB2312"/>
                <w:szCs w:val="21"/>
                <w:lang w:bidi="ar"/>
              </w:rPr>
            </w:pPr>
            <w:r>
              <w:rPr>
                <w:rFonts w:hint="eastAsia" w:ascii="宋体" w:hAnsi="宋体" w:cs="仿宋_GB2312"/>
                <w:szCs w:val="21"/>
                <w:lang w:bidi="ar"/>
              </w:rPr>
              <w:t>试验维修保障能力强，物资保障充足。</w:t>
            </w:r>
          </w:p>
        </w:tc>
        <w:tc>
          <w:tcPr>
            <w:tcW w:w="2635" w:type="dxa"/>
            <w:vAlign w:val="center"/>
          </w:tcPr>
          <w:p>
            <w:pPr>
              <w:rPr>
                <w:rFonts w:ascii="宋体" w:hAnsi="宋体" w:cs="仿宋_GB2312"/>
                <w:szCs w:val="21"/>
                <w:lang w:bidi="ar"/>
              </w:rPr>
            </w:pPr>
            <w:r>
              <w:rPr>
                <w:rFonts w:hint="eastAsia" w:ascii="宋体" w:hAnsi="宋体" w:cs="仿宋_GB2312"/>
                <w:szCs w:val="21"/>
                <w:lang w:bidi="ar"/>
              </w:rPr>
              <w:t>试验维修保障及物资保障能力：</w:t>
            </w:r>
            <w:r>
              <w:rPr>
                <w:rFonts w:hint="eastAsia" w:ascii="宋体" w:hAnsi="宋体" w:cs="仿宋_GB2312"/>
                <w:szCs w:val="21"/>
              </w:rPr>
              <w:t>优</w:t>
            </w:r>
            <w:r>
              <w:rPr>
                <w:rFonts w:ascii="宋体" w:hAnsi="宋体" w:cs="仿宋_GB2312"/>
                <w:szCs w:val="21"/>
              </w:rPr>
              <w:t>9-10</w:t>
            </w:r>
            <w:r>
              <w:rPr>
                <w:rFonts w:hint="eastAsia" w:ascii="宋体" w:hAnsi="宋体" w:cs="仿宋_GB2312"/>
                <w:szCs w:val="21"/>
              </w:rPr>
              <w:t>分，良</w:t>
            </w:r>
            <w:r>
              <w:rPr>
                <w:rFonts w:ascii="宋体" w:hAnsi="宋体" w:cs="仿宋_GB2312"/>
                <w:szCs w:val="21"/>
              </w:rPr>
              <w:t>7-8</w:t>
            </w:r>
            <w:r>
              <w:rPr>
                <w:rFonts w:hint="eastAsia" w:ascii="宋体" w:hAnsi="宋体" w:cs="仿宋_GB2312"/>
                <w:szCs w:val="21"/>
              </w:rPr>
              <w:t>分，一般</w:t>
            </w:r>
            <w:r>
              <w:rPr>
                <w:rFonts w:ascii="宋体" w:hAnsi="宋体" w:cs="仿宋_GB2312"/>
                <w:szCs w:val="21"/>
              </w:rPr>
              <w:t>0-6</w:t>
            </w:r>
            <w:r>
              <w:rPr>
                <w:rFonts w:hint="eastAsia" w:ascii="宋体" w:hAnsi="宋体" w:cs="仿宋_GB2312"/>
                <w:szCs w:val="21"/>
              </w:rPr>
              <w:t>分</w:t>
            </w:r>
            <w:r>
              <w:rPr>
                <w:rFonts w:hint="eastAsia" w:ascii="宋体" w:hAnsi="宋体" w:cs="仿宋_GB2312"/>
                <w:szCs w:val="21"/>
                <w:lang w:bidi="ar"/>
              </w:rPr>
              <w:t>。</w:t>
            </w:r>
          </w:p>
        </w:tc>
        <w:tc>
          <w:tcPr>
            <w:tcW w:w="762" w:type="dxa"/>
            <w:vAlign w:val="center"/>
          </w:tcPr>
          <w:p>
            <w:pPr>
              <w:rPr>
                <w:rFonts w:ascii="宋体" w:hAnsi="宋体" w:cs="仿宋_GB2312"/>
                <w:szCs w:val="21"/>
                <w:lang w:bidi="ar"/>
              </w:rPr>
            </w:pPr>
          </w:p>
        </w:tc>
      </w:tr>
    </w:tbl>
    <w:p>
      <w:pPr>
        <w:rPr>
          <w:rFonts w:hint="eastAsia" w:ascii="宋体" w:hAnsi="宋体" w:eastAsia="宋体" w:cs="宋体"/>
          <w:b/>
          <w:bCs/>
          <w:sz w:val="24"/>
          <w:szCs w:val="24"/>
        </w:rPr>
      </w:pPr>
    </w:p>
    <w:p>
      <w:pPr>
        <w:pStyle w:val="58"/>
        <w:rPr>
          <w:rFonts w:hint="eastAsia" w:ascii="宋体" w:hAnsi="宋体" w:eastAsia="宋体" w:cs="宋体"/>
        </w:rPr>
      </w:pPr>
      <w:r>
        <w:rPr>
          <w:rFonts w:hint="eastAsia" w:ascii="宋体" w:hAnsi="宋体" w:eastAsia="宋体" w:cs="宋体"/>
        </w:rPr>
        <w:br w:type="page"/>
      </w:r>
      <w:bookmarkEnd w:id="21"/>
      <w:bookmarkStart w:id="22" w:name="_Toc425801541"/>
      <w:r>
        <w:rPr>
          <w:rFonts w:hint="eastAsia" w:ascii="宋体" w:hAnsi="宋体" w:eastAsia="宋体" w:cs="宋体"/>
        </w:rPr>
        <w:t>第二章技术协议书</w:t>
      </w:r>
    </w:p>
    <w:bookmarkEnd w:id="22"/>
    <w:p>
      <w:pPr>
        <w:pStyle w:val="80"/>
        <w:rPr>
          <w:rFonts w:hint="eastAsia" w:ascii="宋体" w:hAnsi="宋体" w:eastAsia="宋体" w:cs="宋体"/>
        </w:rPr>
      </w:pPr>
      <w:r>
        <w:rPr>
          <w:rFonts w:hint="eastAsia" w:ascii="宋体" w:hAnsi="宋体" w:eastAsia="宋体" w:cs="宋体"/>
        </w:rPr>
        <w:t>一、项目说明</w:t>
      </w:r>
    </w:p>
    <w:p>
      <w:pPr>
        <w:pStyle w:val="78"/>
        <w:ind w:firstLine="48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u w:val="single"/>
        </w:rPr>
        <w:t>济南汽车检测中心有限公司/中国重汽集团济南动力有限公司油液试验委外项目</w:t>
      </w: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项目地点：济南市高新区华奥路777号</w:t>
      </w:r>
    </w:p>
    <w:p>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eastAsia="宋体" w:cs="宋体"/>
          <w:color w:val="000000"/>
          <w:sz w:val="24"/>
          <w:szCs w:val="24"/>
        </w:rPr>
        <w:t>项目概况：</w:t>
      </w:r>
      <w:r>
        <w:rPr>
          <w:rFonts w:hint="eastAsia" w:ascii="宋体" w:hAnsi="宋体" w:cs="宋体"/>
          <w:color w:val="000000" w:themeColor="text1"/>
          <w:sz w:val="24"/>
          <w:szCs w:val="24"/>
          <w14:textFill>
            <w14:solidFill>
              <w14:schemeClr w14:val="tx1"/>
            </w14:solidFill>
          </w14:textFill>
        </w:rPr>
        <w:t>提供试验报告及数据、试验过程图片或录像。</w:t>
      </w:r>
    </w:p>
    <w:p>
      <w:pPr>
        <w:spacing w:line="360" w:lineRule="auto"/>
        <w:ind w:firstLine="480" w:firstLineChars="200"/>
        <w:rPr>
          <w:rFonts w:hint="eastAsia" w:ascii="宋体" w:hAnsi="宋体" w:eastAsia="宋体" w:cs="宋体"/>
          <w:sz w:val="24"/>
          <w:szCs w:val="24"/>
        </w:rPr>
      </w:pPr>
      <w:r>
        <w:rPr>
          <w:rFonts w:ascii="宋体" w:hAnsi="宋体" w:cs="宋体"/>
          <w:color w:val="000000"/>
          <w:sz w:val="24"/>
          <w:szCs w:val="24"/>
        </w:rPr>
        <w:t>为了满足</w:t>
      </w:r>
      <w:r>
        <w:rPr>
          <w:rFonts w:hint="eastAsia" w:ascii="宋体" w:hAnsi="宋体" w:cs="宋体"/>
          <w:color w:val="000000"/>
          <w:sz w:val="24"/>
          <w:szCs w:val="24"/>
        </w:rPr>
        <w:t>集团公司产品检测/检验</w:t>
      </w:r>
      <w:r>
        <w:rPr>
          <w:rFonts w:ascii="宋体" w:hAnsi="宋体" w:cs="宋体"/>
          <w:color w:val="000000"/>
          <w:sz w:val="24"/>
          <w:szCs w:val="24"/>
        </w:rPr>
        <w:t>需求，</w:t>
      </w:r>
      <w:r>
        <w:rPr>
          <w:rFonts w:hint="eastAsia" w:ascii="宋体" w:hAnsi="宋体" w:cs="宋体"/>
          <w:color w:val="000000"/>
          <w:sz w:val="24"/>
          <w:szCs w:val="24"/>
        </w:rPr>
        <w:t>济南汽车检测中心有限公司</w:t>
      </w:r>
      <w:r>
        <w:rPr>
          <w:rFonts w:ascii="宋体" w:hAnsi="宋体" w:cs="宋体"/>
          <w:color w:val="000000"/>
          <w:sz w:val="24"/>
          <w:szCs w:val="24"/>
        </w:rPr>
        <w:t>（以下简称“招标人”）</w:t>
      </w:r>
      <w:r>
        <w:rPr>
          <w:rFonts w:hint="eastAsia" w:ascii="宋体" w:hAnsi="宋体" w:cs="宋体"/>
          <w:color w:val="000000"/>
          <w:sz w:val="24"/>
          <w:szCs w:val="24"/>
        </w:rPr>
        <w:t>委外开展试验项目</w:t>
      </w:r>
      <w:r>
        <w:rPr>
          <w:rFonts w:ascii="宋体" w:hAnsi="宋体" w:cs="宋体"/>
          <w:color w:val="000000"/>
          <w:sz w:val="24"/>
          <w:szCs w:val="24"/>
        </w:rPr>
        <w:t>。</w:t>
      </w:r>
    </w:p>
    <w:p>
      <w:pPr>
        <w:pStyle w:val="80"/>
        <w:rPr>
          <w:rFonts w:hint="eastAsia" w:ascii="宋体" w:hAnsi="宋体" w:eastAsia="宋体" w:cs="宋体"/>
        </w:rPr>
      </w:pPr>
      <w:r>
        <w:rPr>
          <w:rFonts w:hint="eastAsia" w:ascii="宋体" w:hAnsi="宋体" w:eastAsia="宋体" w:cs="宋体"/>
        </w:rPr>
        <w:t>二、服务要求</w:t>
      </w:r>
    </w:p>
    <w:p>
      <w:pPr>
        <w:spacing w:line="360" w:lineRule="auto"/>
        <w:ind w:firstLine="480" w:firstLineChars="200"/>
        <w:jc w:val="left"/>
        <w:rPr>
          <w:rFonts w:ascii="宋体" w:hAnsi="宋体" w:cs="宋体"/>
          <w:sz w:val="24"/>
          <w:szCs w:val="24"/>
        </w:rPr>
      </w:pPr>
      <w:bookmarkStart w:id="23" w:name="_Toc10152"/>
      <w:bookmarkStart w:id="24" w:name="_Toc24049"/>
      <w:bookmarkStart w:id="25" w:name="_Toc490750820"/>
      <w:bookmarkStart w:id="26" w:name="_Toc26699"/>
      <w:bookmarkStart w:id="27" w:name="_Toc31558"/>
      <w:bookmarkStart w:id="28" w:name="_Toc385411768"/>
      <w:r>
        <w:rPr>
          <w:rFonts w:hint="eastAsia" w:ascii="宋体" w:hAnsi="宋体" w:cs="宋体"/>
          <w:sz w:val="24"/>
          <w:szCs w:val="24"/>
        </w:rPr>
        <w:t>1、中标方提供试验服务地点：投标方</w:t>
      </w:r>
      <w:r>
        <w:rPr>
          <w:rFonts w:hint="eastAsia" w:ascii="宋体" w:hAnsi="宋体" w:cs="宋体"/>
          <w:color w:val="000000" w:themeColor="text1"/>
          <w:sz w:val="24"/>
          <w:szCs w:val="24"/>
          <w14:textFill>
            <w14:solidFill>
              <w14:schemeClr w14:val="tx1"/>
            </w14:solidFill>
          </w14:textFill>
        </w:rPr>
        <w:t>权</w:t>
      </w:r>
      <w:r>
        <w:rPr>
          <w:rFonts w:hint="eastAsia" w:ascii="宋体" w:hAnsi="宋体" w:cs="宋体"/>
          <w:sz w:val="24"/>
          <w:szCs w:val="24"/>
        </w:rPr>
        <w:t>属实验室。</w:t>
      </w:r>
    </w:p>
    <w:p>
      <w:pPr>
        <w:spacing w:line="360" w:lineRule="auto"/>
        <w:ind w:firstLine="480" w:firstLineChars="200"/>
        <w:jc w:val="left"/>
        <w:rPr>
          <w:rFonts w:ascii="宋体" w:hAnsi="宋体" w:cs="宋体"/>
          <w:sz w:val="24"/>
          <w:szCs w:val="24"/>
        </w:rPr>
      </w:pPr>
      <w:r>
        <w:rPr>
          <w:rFonts w:ascii="宋体" w:hAnsi="宋体" w:cs="宋体"/>
          <w:sz w:val="24"/>
          <w:szCs w:val="24"/>
        </w:rPr>
        <w:t>2</w:t>
      </w:r>
      <w:r>
        <w:rPr>
          <w:rFonts w:hint="eastAsia" w:ascii="宋体" w:hAnsi="宋体" w:cs="宋体"/>
          <w:sz w:val="24"/>
          <w:szCs w:val="24"/>
        </w:rPr>
        <w:t>、中标方提供外委试验项目的检验报告，具体试验项目参照第三条技术要求。检验结果如出现不合格，应配合分析不合格原因。</w:t>
      </w:r>
    </w:p>
    <w:p>
      <w:pPr>
        <w:spacing w:line="360" w:lineRule="auto"/>
        <w:ind w:firstLine="480" w:firstLineChars="200"/>
        <w:jc w:val="left"/>
        <w:rPr>
          <w:rFonts w:ascii="宋体" w:hAnsi="宋体" w:cs="宋体"/>
          <w:sz w:val="24"/>
          <w:szCs w:val="24"/>
        </w:rPr>
      </w:pPr>
      <w:r>
        <w:rPr>
          <w:rFonts w:ascii="宋体" w:hAnsi="宋体" w:cs="宋体"/>
          <w:sz w:val="24"/>
          <w:szCs w:val="24"/>
        </w:rPr>
        <w:t>3</w:t>
      </w:r>
      <w:r>
        <w:rPr>
          <w:rFonts w:hint="eastAsia" w:ascii="宋体" w:hAnsi="宋体" w:cs="宋体"/>
          <w:sz w:val="24"/>
          <w:szCs w:val="24"/>
        </w:rPr>
        <w:t>、完成相关检验后，中标方应提供试验项目的检验报告及数据、试验过程图片或录像。</w:t>
      </w:r>
    </w:p>
    <w:p>
      <w:pPr>
        <w:spacing w:line="360" w:lineRule="auto"/>
        <w:ind w:firstLine="480" w:firstLineChars="200"/>
        <w:jc w:val="left"/>
        <w:rPr>
          <w:rFonts w:ascii="宋体" w:hAnsi="宋体" w:cs="宋体"/>
          <w:sz w:val="24"/>
          <w:szCs w:val="24"/>
        </w:rPr>
      </w:pPr>
      <w:r>
        <w:rPr>
          <w:rFonts w:ascii="宋体" w:hAnsi="宋体" w:cs="宋体"/>
          <w:sz w:val="24"/>
          <w:szCs w:val="24"/>
        </w:rPr>
        <w:t>4</w:t>
      </w:r>
      <w:r>
        <w:rPr>
          <w:rFonts w:hint="eastAsia" w:ascii="宋体" w:hAnsi="宋体" w:cs="宋体"/>
          <w:sz w:val="24"/>
          <w:szCs w:val="24"/>
        </w:rPr>
        <w:t>、中标方响应招标方试验需求应为1周内。</w:t>
      </w:r>
    </w:p>
    <w:p>
      <w:pPr>
        <w:pStyle w:val="80"/>
        <w:rPr>
          <w:rFonts w:hint="eastAsia" w:ascii="宋体" w:hAnsi="宋体" w:eastAsia="宋体" w:cs="宋体"/>
        </w:rPr>
      </w:pPr>
      <w:r>
        <w:rPr>
          <w:rFonts w:hint="eastAsia" w:ascii="宋体" w:hAnsi="宋体" w:eastAsia="宋体" w:cs="宋体"/>
        </w:rPr>
        <w:t>三、技术要求</w:t>
      </w:r>
      <w:bookmarkEnd w:id="23"/>
      <w:bookmarkEnd w:id="24"/>
      <w:bookmarkEnd w:id="25"/>
      <w:bookmarkEnd w:id="26"/>
      <w:bookmarkEnd w:id="27"/>
      <w:bookmarkEnd w:id="28"/>
    </w:p>
    <w:p>
      <w:pPr>
        <w:spacing w:line="360" w:lineRule="auto"/>
        <w:ind w:firstLine="480" w:firstLineChars="200"/>
        <w:jc w:val="left"/>
        <w:rPr>
          <w:rFonts w:ascii="宋体" w:hAnsi="宋体" w:cs="宋体"/>
          <w:sz w:val="24"/>
          <w:szCs w:val="24"/>
        </w:rPr>
      </w:pPr>
      <w:r>
        <w:rPr>
          <w:rFonts w:hint="eastAsia" w:ascii="宋体" w:hAnsi="宋体" w:cs="宋体"/>
          <w:sz w:val="24"/>
          <w:szCs w:val="24"/>
        </w:rPr>
        <w:t>1、项目启动后，中标方根据招标方试验需求及项目经验对试验做出一个合理完善的规划和试验进度表、试验大纲及相应检验项目的试验时间安排。</w:t>
      </w:r>
    </w:p>
    <w:p>
      <w:pPr>
        <w:spacing w:line="360" w:lineRule="auto"/>
        <w:ind w:firstLine="480" w:firstLineChars="200"/>
        <w:jc w:val="left"/>
        <w:rPr>
          <w:rFonts w:ascii="宋体" w:hAnsi="宋体" w:cs="宋体"/>
          <w:sz w:val="24"/>
          <w:szCs w:val="24"/>
        </w:rPr>
      </w:pPr>
      <w:r>
        <w:rPr>
          <w:rFonts w:ascii="宋体" w:hAnsi="宋体" w:cs="宋体"/>
          <w:sz w:val="24"/>
          <w:szCs w:val="24"/>
        </w:rPr>
        <w:t>2</w:t>
      </w:r>
      <w:r>
        <w:rPr>
          <w:rFonts w:hint="eastAsia" w:ascii="宋体" w:hAnsi="宋体" w:cs="宋体"/>
          <w:sz w:val="24"/>
          <w:szCs w:val="24"/>
        </w:rPr>
        <w:t>、中标方能够在重要试验节点前向招标方明确需要提供的资料、样件、试验项目、执行标准、等级要求、试验方案及方案等。</w:t>
      </w:r>
    </w:p>
    <w:p>
      <w:pPr>
        <w:spacing w:line="360" w:lineRule="auto"/>
        <w:jc w:val="left"/>
        <w:outlineLvl w:val="2"/>
        <w:rPr>
          <w:rFonts w:ascii="宋体" w:hAnsi="宋体" w:cs="宋体"/>
          <w:b/>
          <w:sz w:val="24"/>
          <w:szCs w:val="24"/>
        </w:rPr>
      </w:pPr>
      <w:r>
        <w:rPr>
          <w:rFonts w:hint="eastAsia" w:ascii="宋体" w:hAnsi="宋体" w:cs="宋体"/>
          <w:b/>
          <w:sz w:val="24"/>
          <w:szCs w:val="24"/>
        </w:rPr>
        <w:t>3</w:t>
      </w:r>
      <w:r>
        <w:rPr>
          <w:rFonts w:ascii="宋体" w:hAnsi="宋体" w:cs="宋体"/>
          <w:b/>
          <w:sz w:val="24"/>
          <w:szCs w:val="24"/>
        </w:rPr>
        <w:t>.</w:t>
      </w:r>
      <w:r>
        <w:rPr>
          <w:rFonts w:hint="eastAsia" w:ascii="宋体" w:hAnsi="宋体" w:cs="宋体"/>
          <w:b/>
          <w:sz w:val="24"/>
          <w:szCs w:val="24"/>
        </w:rPr>
        <w:t>1 试验要求</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试验项目及要求，详见招标公告</w:t>
      </w:r>
      <w:r>
        <w:rPr>
          <w:rFonts w:hint="eastAsia" w:ascii="宋体" w:hAnsi="宋体" w:cs="宋体"/>
          <w:b/>
          <w:bCs/>
          <w:sz w:val="24"/>
          <w:szCs w:val="24"/>
        </w:rPr>
        <w:t>附件</w:t>
      </w:r>
      <w:r>
        <w:rPr>
          <w:rFonts w:hint="eastAsia" w:ascii="宋体" w:hAnsi="宋体" w:cs="宋体"/>
          <w:b/>
          <w:bCs/>
          <w:sz w:val="24"/>
          <w:szCs w:val="24"/>
          <w:lang w:val="en-US" w:eastAsia="zh-CN"/>
        </w:rPr>
        <w:t>8</w:t>
      </w:r>
      <w:r>
        <w:rPr>
          <w:rFonts w:hint="eastAsia" w:ascii="宋体" w:hAnsi="宋体" w:cs="宋体"/>
          <w:b/>
          <w:bCs/>
          <w:sz w:val="24"/>
          <w:szCs w:val="24"/>
        </w:rPr>
        <w:t>《投标报价明细表》</w:t>
      </w:r>
      <w:r>
        <w:rPr>
          <w:rFonts w:hint="eastAsia" w:ascii="宋体" w:hAnsi="宋体" w:cs="宋体"/>
          <w:sz w:val="24"/>
          <w:szCs w:val="24"/>
        </w:rPr>
        <w:t>中所列项目、检验依据及操作规程。</w:t>
      </w:r>
    </w:p>
    <w:p>
      <w:pPr>
        <w:spacing w:line="360" w:lineRule="auto"/>
        <w:jc w:val="left"/>
        <w:outlineLvl w:val="2"/>
        <w:rPr>
          <w:rFonts w:ascii="宋体" w:hAnsi="宋体" w:cs="宋体"/>
          <w:b/>
          <w:sz w:val="24"/>
          <w:szCs w:val="24"/>
        </w:rPr>
      </w:pPr>
      <w:r>
        <w:rPr>
          <w:rFonts w:hint="eastAsia" w:ascii="宋体" w:hAnsi="宋体" w:cs="宋体"/>
          <w:b/>
          <w:sz w:val="24"/>
          <w:szCs w:val="24"/>
        </w:rPr>
        <w:t>3.2 试验周期</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项目周期为招标方提供试验样品日至试验项目结束后10个日历日。若遇到其他不可控因素导致项目周期有所变化，由招标方、投标方双方协商调整。</w:t>
      </w:r>
    </w:p>
    <w:p>
      <w:pPr>
        <w:spacing w:line="360" w:lineRule="auto"/>
        <w:jc w:val="left"/>
        <w:outlineLvl w:val="2"/>
        <w:rPr>
          <w:rFonts w:ascii="宋体" w:hAnsi="宋体" w:cs="宋体"/>
          <w:b/>
          <w:sz w:val="24"/>
          <w:szCs w:val="24"/>
        </w:rPr>
      </w:pPr>
      <w:r>
        <w:rPr>
          <w:rFonts w:hint="eastAsia" w:ascii="宋体" w:hAnsi="宋体" w:cs="宋体"/>
          <w:b/>
          <w:sz w:val="24"/>
          <w:szCs w:val="24"/>
        </w:rPr>
        <w:t>3.3 试验过程</w:t>
      </w:r>
    </w:p>
    <w:p>
      <w:pPr>
        <w:spacing w:line="360" w:lineRule="auto"/>
        <w:ind w:firstLine="480" w:firstLineChars="200"/>
        <w:jc w:val="left"/>
        <w:rPr>
          <w:rFonts w:ascii="宋体" w:hAnsi="宋体" w:cs="宋体"/>
          <w:sz w:val="24"/>
          <w:szCs w:val="24"/>
        </w:rPr>
      </w:pPr>
      <w:r>
        <w:rPr>
          <w:rFonts w:ascii="宋体" w:hAnsi="宋体" w:cs="宋体"/>
          <w:sz w:val="24"/>
          <w:szCs w:val="24"/>
        </w:rPr>
        <w:t>1</w:t>
      </w:r>
      <w:r>
        <w:rPr>
          <w:rFonts w:hint="eastAsia" w:ascii="宋体" w:hAnsi="宋体" w:cs="宋体"/>
          <w:sz w:val="24"/>
          <w:szCs w:val="24"/>
        </w:rPr>
        <w:t>、试验开始后，中标方需按招标方要求提供全方位的试验过程监控。</w:t>
      </w:r>
    </w:p>
    <w:p>
      <w:pPr>
        <w:spacing w:line="360" w:lineRule="auto"/>
        <w:ind w:firstLine="480" w:firstLineChars="200"/>
        <w:jc w:val="left"/>
        <w:rPr>
          <w:rFonts w:ascii="宋体" w:hAnsi="宋体" w:cs="宋体"/>
          <w:sz w:val="24"/>
          <w:szCs w:val="24"/>
        </w:rPr>
      </w:pPr>
      <w:r>
        <w:rPr>
          <w:rFonts w:ascii="宋体" w:hAnsi="宋体" w:cs="宋体"/>
          <w:sz w:val="24"/>
          <w:szCs w:val="24"/>
        </w:rPr>
        <w:t>2</w:t>
      </w:r>
      <w:r>
        <w:rPr>
          <w:rFonts w:hint="eastAsia" w:ascii="宋体" w:hAnsi="宋体" w:cs="宋体"/>
          <w:sz w:val="24"/>
          <w:szCs w:val="24"/>
        </w:rPr>
        <w:t>、中标方需提供详细的试验过程记录或试验数据，在每个试验节点做好详实的试验记录，以上资料在试验中或试验后随时提供给招标方。</w:t>
      </w:r>
    </w:p>
    <w:p>
      <w:pPr>
        <w:spacing w:line="360" w:lineRule="auto"/>
        <w:jc w:val="left"/>
        <w:outlineLvl w:val="2"/>
        <w:rPr>
          <w:rFonts w:ascii="宋体" w:hAnsi="宋体" w:cs="宋体"/>
          <w:b/>
          <w:sz w:val="24"/>
          <w:szCs w:val="24"/>
        </w:rPr>
      </w:pPr>
      <w:r>
        <w:rPr>
          <w:rFonts w:hint="eastAsia" w:ascii="宋体" w:hAnsi="宋体" w:cs="宋体"/>
          <w:b/>
          <w:sz w:val="24"/>
          <w:szCs w:val="24"/>
        </w:rPr>
        <w:t>3.4 试验设备及试验报告要求</w:t>
      </w:r>
    </w:p>
    <w:p>
      <w:pPr>
        <w:spacing w:line="360" w:lineRule="auto"/>
        <w:ind w:firstLine="480" w:firstLineChars="200"/>
        <w:jc w:val="left"/>
        <w:rPr>
          <w:rFonts w:ascii="宋体" w:hAnsi="宋体" w:cs="宋体"/>
          <w:sz w:val="24"/>
          <w:szCs w:val="24"/>
        </w:rPr>
      </w:pPr>
      <w:r>
        <w:rPr>
          <w:rFonts w:ascii="宋体" w:hAnsi="宋体" w:cs="宋体"/>
          <w:sz w:val="24"/>
          <w:szCs w:val="24"/>
        </w:rPr>
        <w:t>1</w:t>
      </w:r>
      <w:r>
        <w:rPr>
          <w:rFonts w:hint="eastAsia" w:ascii="宋体" w:hAnsi="宋体" w:cs="宋体"/>
          <w:sz w:val="24"/>
          <w:szCs w:val="24"/>
        </w:rPr>
        <w:t>、该项目所用到的所有试验仪器及试验设备均经由计量检定机构检定并出具有效的检定或校准证书，且在有效使用期内。</w:t>
      </w:r>
    </w:p>
    <w:p>
      <w:pPr>
        <w:spacing w:line="360" w:lineRule="auto"/>
        <w:ind w:firstLine="480" w:firstLineChars="200"/>
        <w:jc w:val="left"/>
        <w:rPr>
          <w:rFonts w:ascii="宋体" w:hAnsi="宋体" w:cs="宋体"/>
          <w:sz w:val="24"/>
          <w:szCs w:val="24"/>
        </w:rPr>
      </w:pPr>
      <w:r>
        <w:rPr>
          <w:rFonts w:ascii="宋体" w:hAnsi="宋体" w:cs="宋体"/>
          <w:sz w:val="24"/>
          <w:szCs w:val="24"/>
        </w:rPr>
        <w:t>2</w:t>
      </w:r>
      <w:r>
        <w:rPr>
          <w:rFonts w:hint="eastAsia" w:ascii="宋体" w:hAnsi="宋体" w:cs="宋体"/>
          <w:sz w:val="24"/>
          <w:szCs w:val="24"/>
        </w:rPr>
        <w:t>、试验报告应中应明确样品名称、数量、项目分组情况、依据标准、检验结论、试验用到的仪器设备、详细的试验数据、试验中的照片等。</w:t>
      </w:r>
    </w:p>
    <w:p>
      <w:pPr>
        <w:pStyle w:val="80"/>
        <w:spacing w:line="360" w:lineRule="auto"/>
        <w:rPr>
          <w:rFonts w:eastAsia="宋体" w:cs="宋体"/>
          <w:b/>
        </w:rPr>
      </w:pPr>
      <w:r>
        <w:rPr>
          <w:rFonts w:hint="eastAsia" w:eastAsia="宋体" w:cs="宋体"/>
          <w:b/>
        </w:rPr>
        <w:t>四 其他要求及说明</w:t>
      </w:r>
    </w:p>
    <w:p>
      <w:pPr>
        <w:spacing w:line="360" w:lineRule="auto"/>
        <w:jc w:val="left"/>
        <w:outlineLvl w:val="2"/>
        <w:rPr>
          <w:rFonts w:ascii="宋体" w:hAnsi="宋体" w:cs="宋体"/>
          <w:b/>
          <w:sz w:val="24"/>
          <w:szCs w:val="24"/>
        </w:rPr>
      </w:pPr>
      <w:r>
        <w:rPr>
          <w:rFonts w:hint="eastAsia" w:ascii="宋体" w:hAnsi="宋体" w:cs="宋体"/>
          <w:b/>
          <w:sz w:val="24"/>
          <w:szCs w:val="24"/>
        </w:rPr>
        <w:t>4</w:t>
      </w:r>
      <w:r>
        <w:rPr>
          <w:rFonts w:ascii="宋体" w:hAnsi="宋体" w:cs="宋体"/>
          <w:b/>
          <w:sz w:val="24"/>
          <w:szCs w:val="24"/>
        </w:rPr>
        <w:t xml:space="preserve">.1 </w:t>
      </w:r>
      <w:r>
        <w:rPr>
          <w:rFonts w:hint="eastAsia" w:ascii="宋体" w:hAnsi="宋体" w:cs="宋体"/>
          <w:b/>
          <w:sz w:val="24"/>
          <w:szCs w:val="24"/>
        </w:rPr>
        <w:t>试验异常情况</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在试验过程中出现样品检验不合格、样品损坏等情况，需要双方针对实际情况进行沟通，以确认试验继续进行或试验中止。若试验中止，则对已经进行的试验项目，按实际情况结算试验费用，未进行试验项目不收费。</w:t>
      </w:r>
    </w:p>
    <w:p>
      <w:pPr>
        <w:spacing w:line="360" w:lineRule="auto"/>
        <w:jc w:val="left"/>
        <w:outlineLvl w:val="2"/>
        <w:rPr>
          <w:rFonts w:ascii="宋体" w:hAnsi="宋体" w:cs="宋体"/>
          <w:b/>
          <w:sz w:val="24"/>
          <w:szCs w:val="24"/>
        </w:rPr>
      </w:pPr>
      <w:r>
        <w:rPr>
          <w:rFonts w:hint="eastAsia" w:ascii="宋体" w:hAnsi="宋体" w:cs="宋体"/>
          <w:b/>
          <w:sz w:val="24"/>
          <w:szCs w:val="24"/>
        </w:rPr>
        <w:t>4</w:t>
      </w:r>
      <w:r>
        <w:rPr>
          <w:rFonts w:ascii="宋体" w:hAnsi="宋体" w:cs="宋体"/>
          <w:b/>
          <w:sz w:val="24"/>
          <w:szCs w:val="24"/>
        </w:rPr>
        <w:t xml:space="preserve">.2 </w:t>
      </w:r>
      <w:r>
        <w:rPr>
          <w:rFonts w:hint="eastAsia" w:ascii="宋体" w:hAnsi="宋体" w:cs="宋体"/>
          <w:b/>
          <w:sz w:val="24"/>
          <w:szCs w:val="24"/>
        </w:rPr>
        <w:t>说明</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1、投标方可以根据自身的技术、经验等优势以及对招标文件和本技术标书的理解，写明对招标方所采购货物的优化方案或建议意见。投标方的这些努力，招标方表示感谢，并将有助于投标方优先胜出。</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jc w:val="left"/>
        <w:rPr>
          <w:rFonts w:ascii="宋体" w:hAnsi="宋体" w:cs="宋体"/>
          <w:sz w:val="24"/>
          <w:szCs w:val="24"/>
        </w:rPr>
      </w:pPr>
      <w:r>
        <w:rPr>
          <w:rFonts w:ascii="宋体" w:hAnsi="宋体" w:cs="宋体"/>
          <w:sz w:val="24"/>
          <w:szCs w:val="24"/>
        </w:rPr>
        <w:t>3</w:t>
      </w:r>
      <w:r>
        <w:rPr>
          <w:rFonts w:hint="eastAsia" w:ascii="宋体" w:hAnsi="宋体" w:cs="宋体"/>
          <w:sz w:val="24"/>
          <w:szCs w:val="24"/>
        </w:rPr>
        <w:t>、招标文件、投标文件、答疑文件、技术交流文件、技术协议书等，在采购过程全部为有效文件，如有差异，以对招标方最有利的条款为准。</w:t>
      </w:r>
    </w:p>
    <w:p>
      <w:pPr>
        <w:rPr>
          <w:rFonts w:hint="eastAsia" w:ascii="宋体" w:hAnsi="宋体" w:eastAsia="宋体" w:cs="宋体"/>
          <w:sz w:val="24"/>
          <w:szCs w:val="24"/>
        </w:rPr>
      </w:pPr>
    </w:p>
    <w:p>
      <w:pPr>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Cordia New">
    <w:altName w:val="Noto Sans Thai"/>
    <w:panose1 w:val="020B0304020202020204"/>
    <w:charset w:val="DE"/>
    <w:family w:val="swiss"/>
    <w:pitch w:val="default"/>
    <w:sig w:usb0="00000000" w:usb1="00000000" w:usb2="00000000" w:usb3="00000000" w:csb0="00010001" w:csb1="00000000"/>
  </w:font>
  <w:font w:name="等线">
    <w:altName w:val="汉仪中等线KW"/>
    <w:panose1 w:val="02010600030101010101"/>
    <w:charset w:val="86"/>
    <w:family w:val="auto"/>
    <w:pitch w:val="default"/>
    <w:sig w:usb0="00000000" w:usb1="00000000" w:usb2="00000016" w:usb3="00000000" w:csb0="0004000F" w:csb1="00000000"/>
  </w:font>
  <w:font w:name="仿宋_GB2312">
    <w:altName w:val="汉仪仿宋KW"/>
    <w:panose1 w:val="02010609030101010101"/>
    <w:charset w:val="86"/>
    <w:family w:val="modern"/>
    <w:pitch w:val="default"/>
    <w:sig w:usb0="00000000" w:usb1="00000000" w:usb2="00000000"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仿宋">
    <w:altName w:val="汉仪仿宋KW"/>
    <w:panose1 w:val="02010609060101010101"/>
    <w:charset w:val="86"/>
    <w:family w:val="modern"/>
    <w:pitch w:val="default"/>
    <w:sig w:usb0="00000000" w:usb1="00000000" w:usb2="00000016" w:usb3="00000000" w:csb0="00040001" w:csb1="00000000"/>
  </w:font>
  <w:font w:name="Georgia">
    <w:panose1 w:val="02040502050405020303"/>
    <w:charset w:val="00"/>
    <w:family w:val="auto"/>
    <w:pitch w:val="default"/>
    <w:sig w:usb0="00000287" w:usb1="00000000" w:usb2="00000000" w:usb3="00000000" w:csb0="2000009F" w:csb1="00000000"/>
  </w:font>
  <w:font w:name="Noto Sans Thai">
    <w:panose1 w:val="020B0502040504020204"/>
    <w:charset w:val="00"/>
    <w:family w:val="auto"/>
    <w:pitch w:val="default"/>
    <w:sig w:usb0="81000063" w:usb1="00002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汉仪仿宋KW">
    <w:panose1 w:val="00020600040101010101"/>
    <w:charset w:val="86"/>
    <w:family w:val="auto"/>
    <w:pitch w:val="default"/>
    <w:sig w:usb0="A00002BF" w:usb1="18EF7CFA" w:usb2="00000016" w:usb3="00000000" w:csb0="0004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NJWO4KAQAABQEAAA8AAAAAAAAAAQAgAAAAIgAAAGRycy9kb3ducmV2LnhtbFBLAQIUABQAAAAI&#10;AIdO4kBJHOEmLQIAAFkEAAAOAAAAAAAAAAEAIAAAAFkBAABkcnMvZTJvRG9jLnhtbFBLBQYAAAAA&#10;BgAGAFkBAAD4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NJWO4KAQAABQEAAA8AAAAAAAAAAQAgAAAAIgAAAGRycy9kb3ducmV2LnhtbFBLAQIUABQAAAAI&#10;AIdO4kCnQ817LQIAAFkEAAAOAAAAAAAAAAEAIAAAAFkBAABkcnMvZTJvRG9jLnhtbFBLBQYAAAAA&#10;BgAGAFkBAAD4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M3NTU2MTMxMWIyYmU3MzNhODE4OGYyMWI0Yjk3MzU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47E2524"/>
    <w:rsid w:val="07E57C0D"/>
    <w:rsid w:val="09903013"/>
    <w:rsid w:val="099C5159"/>
    <w:rsid w:val="0A3026C3"/>
    <w:rsid w:val="118B17C0"/>
    <w:rsid w:val="14A15C19"/>
    <w:rsid w:val="17EC378B"/>
    <w:rsid w:val="22D62F42"/>
    <w:rsid w:val="2C522EC3"/>
    <w:rsid w:val="2EB771D0"/>
    <w:rsid w:val="347E0C7B"/>
    <w:rsid w:val="34F7633C"/>
    <w:rsid w:val="35AC0E2F"/>
    <w:rsid w:val="37150E72"/>
    <w:rsid w:val="41EB0D42"/>
    <w:rsid w:val="429C09DF"/>
    <w:rsid w:val="4C3A530E"/>
    <w:rsid w:val="520D3BC4"/>
    <w:rsid w:val="5B510416"/>
    <w:rsid w:val="60AE53F2"/>
    <w:rsid w:val="60EE4022"/>
    <w:rsid w:val="62664477"/>
    <w:rsid w:val="636F4F70"/>
    <w:rsid w:val="64D3442A"/>
    <w:rsid w:val="65AD6236"/>
    <w:rsid w:val="699A3928"/>
    <w:rsid w:val="6A7A2ED2"/>
    <w:rsid w:val="71461992"/>
    <w:rsid w:val="720E4873"/>
    <w:rsid w:val="77EF6C01"/>
    <w:rsid w:val="7CD61A8E"/>
    <w:rsid w:val="7D4635F6"/>
    <w:rsid w:val="7E3D619F"/>
    <w:rsid w:val="A7F7E6DE"/>
    <w:rsid w:val="AE871B33"/>
    <w:rsid w:val="C59F210E"/>
    <w:rsid w:val="EF5ECC08"/>
    <w:rsid w:val="FBFF110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4">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5">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6">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61"/>
    <w:qFormat/>
    <w:uiPriority w:val="0"/>
    <w:rPr>
      <w:rFonts w:ascii="宋体" w:hAnsi="Courier New" w:cstheme="minorBidi"/>
      <w:szCs w:val="22"/>
    </w:rPr>
  </w:style>
  <w:style w:type="paragraph" w:styleId="7">
    <w:name w:val="toc 7"/>
    <w:basedOn w:val="1"/>
    <w:next w:val="1"/>
    <w:qFormat/>
    <w:uiPriority w:val="0"/>
    <w:pPr>
      <w:ind w:left="1440"/>
      <w:jc w:val="left"/>
    </w:pPr>
    <w:rPr>
      <w:sz w:val="18"/>
      <w:szCs w:val="18"/>
    </w:rPr>
  </w:style>
  <w:style w:type="paragraph" w:styleId="8">
    <w:name w:val="caption"/>
    <w:basedOn w:val="1"/>
    <w:next w:val="1"/>
    <w:qFormat/>
    <w:uiPriority w:val="0"/>
    <w:pPr>
      <w:spacing w:before="152" w:after="160"/>
    </w:pPr>
    <w:rPr>
      <w:rFonts w:ascii="Arial" w:hAnsi="Arial" w:eastAsia="黑体" w:cs="Arial"/>
      <w:sz w:val="20"/>
    </w:rPr>
  </w:style>
  <w:style w:type="paragraph" w:styleId="9">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10">
    <w:name w:val="toa heading"/>
    <w:basedOn w:val="1"/>
    <w:next w:val="1"/>
    <w:qFormat/>
    <w:uiPriority w:val="0"/>
    <w:pPr>
      <w:spacing w:before="120"/>
    </w:pPr>
    <w:rPr>
      <w:rFonts w:ascii="Arial" w:hAnsi="Arial" w:cs="Arial"/>
      <w:sz w:val="24"/>
      <w:szCs w:val="24"/>
    </w:rPr>
  </w:style>
  <w:style w:type="paragraph" w:styleId="11">
    <w:name w:val="annotation text"/>
    <w:basedOn w:val="1"/>
    <w:link w:val="47"/>
    <w:unhideWhenUsed/>
    <w:qFormat/>
    <w:uiPriority w:val="0"/>
    <w:pPr>
      <w:jc w:val="left"/>
    </w:pPr>
  </w:style>
  <w:style w:type="paragraph" w:styleId="12">
    <w:name w:val="Body Text"/>
    <w:basedOn w:val="1"/>
    <w:link w:val="98"/>
    <w:qFormat/>
    <w:uiPriority w:val="0"/>
    <w:rPr>
      <w:rFonts w:ascii="仿宋_GB2312" w:eastAsia="仿宋_GB2312"/>
      <w:sz w:val="32"/>
      <w:lang w:val="zh-CN" w:eastAsia="zh-CN"/>
    </w:rPr>
  </w:style>
  <w:style w:type="paragraph" w:styleId="13">
    <w:name w:val="Body Text Indent"/>
    <w:basedOn w:val="1"/>
    <w:link w:val="90"/>
    <w:qFormat/>
    <w:uiPriority w:val="0"/>
    <w:pPr>
      <w:spacing w:after="120"/>
      <w:ind w:left="420" w:leftChars="200"/>
    </w:pPr>
    <w:rPr>
      <w:lang w:val="zh-CN" w:eastAsia="zh-CN"/>
    </w:rPr>
  </w:style>
  <w:style w:type="paragraph" w:styleId="14">
    <w:name w:val="toc 5"/>
    <w:basedOn w:val="1"/>
    <w:next w:val="1"/>
    <w:qFormat/>
    <w:uiPriority w:val="0"/>
    <w:pPr>
      <w:ind w:left="960"/>
      <w:jc w:val="left"/>
    </w:pPr>
    <w:rPr>
      <w:sz w:val="18"/>
      <w:szCs w:val="18"/>
    </w:rPr>
  </w:style>
  <w:style w:type="paragraph" w:styleId="15">
    <w:name w:val="toc 3"/>
    <w:basedOn w:val="1"/>
    <w:next w:val="1"/>
    <w:qFormat/>
    <w:uiPriority w:val="0"/>
    <w:pPr>
      <w:ind w:left="480"/>
      <w:jc w:val="left"/>
    </w:pPr>
    <w:rPr>
      <w:i/>
      <w:iCs/>
      <w:sz w:val="20"/>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1"/>
    <w:next w:val="11"/>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4"/>
    <w:qFormat/>
    <w:uiPriority w:val="0"/>
    <w:rPr>
      <w:rFonts w:ascii="Arial" w:hAnsi="Arial" w:eastAsia="黑体" w:cs="Times New Roman"/>
      <w:b/>
      <w:bCs/>
      <w:sz w:val="32"/>
      <w:szCs w:val="32"/>
      <w:lang w:val="zh-CN" w:eastAsia="zh-CN"/>
    </w:rPr>
  </w:style>
  <w:style w:type="character" w:customStyle="1" w:styleId="42">
    <w:name w:val="标题 3 字符"/>
    <w:basedOn w:val="34"/>
    <w:link w:val="5"/>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6"/>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1"/>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9"/>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2"/>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2"/>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4"/>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5"/>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3"/>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2"/>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6"/>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49</Pages>
  <Words>9294</Words>
  <Characters>9919</Characters>
  <Lines>247</Lines>
  <Paragraphs>69</Paragraphs>
  <TotalTime>0</TotalTime>
  <ScaleCrop>false</ScaleCrop>
  <LinksUpToDate>false</LinksUpToDate>
  <CharactersWithSpaces>12806</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2021-12-11T07:38:00Z</dcterms:created>
  <dc:creator>JonMMx 2000</dc:creator>
  <cp:lastModifiedBy>JonMMx 2000</cp:lastModifiedBy>
  <dcterms:modified xsi:type="dcterms:W3CDTF">2025-08-29T17:23:44Z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y fmtid="{D5CDD505-2E9C-101B-9397-08002B2CF9AE}" pid="4" name="KSOTemplateDocerSaveRecord">
    <vt:lpwstr>eyJoZGlkIjoiN2ZiZjhjZjUxYjg2N2Y1ZjY0NTc5ZGMxYTcwNjRmNWYiLCJ1c2VySWQiOiIzMDg0MzUwNTAifQ==</vt:lpwstr>
  </property>
</Properties>
</file>