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sz w:val="52"/>
          <w:szCs w:val="56"/>
        </w:rPr>
      </w:pPr>
      <w:r>
        <w:drawing>
          <wp:anchor distT="0" distB="0" distL="114300" distR="114300" simplePos="0" relativeHeight="251663360" behindDoc="0" locked="0" layoutInCell="1" allowOverlap="1">
            <wp:simplePos x="0" y="0"/>
            <wp:positionH relativeFrom="margin">
              <wp:posOffset>-124460</wp:posOffset>
            </wp:positionH>
            <wp:positionV relativeFrom="paragraph">
              <wp:posOffset>42545</wp:posOffset>
            </wp:positionV>
            <wp:extent cx="2548890" cy="889000"/>
            <wp:effectExtent l="0" t="0" r="0" b="0"/>
            <wp:wrapNone/>
            <wp:docPr id="57" name="图片 1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descr="tim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jc w:val="center"/>
        <w:rPr>
          <w:rFonts w:hint="eastAsia" w:ascii="宋体" w:hAnsi="宋体"/>
          <w:sz w:val="52"/>
          <w:szCs w:val="56"/>
        </w:rPr>
      </w:pPr>
    </w:p>
    <w:p>
      <w:pPr>
        <w:jc w:val="center"/>
        <w:rPr>
          <w:rFonts w:hint="eastAsia" w:ascii="楷体_GB2312" w:hAnsi="宋体" w:eastAsia="楷体_GB2312"/>
          <w:b/>
          <w:bCs/>
          <w:sz w:val="52"/>
          <w:szCs w:val="52"/>
        </w:rPr>
      </w:pPr>
      <w:r>
        <w:rPr>
          <w:rFonts w:hint="eastAsia" w:ascii="楷体_GB2312" w:hAnsi="宋体" w:eastAsia="楷体_GB2312"/>
          <w:b/>
          <w:bCs/>
          <w:sz w:val="52"/>
          <w:szCs w:val="52"/>
        </w:rPr>
        <w:t>标准件仓配上线服务项目</w:t>
      </w:r>
    </w:p>
    <w:p>
      <w:pPr>
        <w:jc w:val="right"/>
        <w:rPr>
          <w:sz w:val="36"/>
          <w:szCs w:val="36"/>
        </w:rPr>
      </w:pPr>
    </w:p>
    <w:p>
      <w:pPr>
        <w:jc w:val="center"/>
        <w:rPr>
          <w:rFonts w:hint="eastAsia" w:ascii="黑体" w:hAnsi="宋体" w:eastAsia="黑体"/>
          <w:sz w:val="96"/>
          <w:szCs w:val="144"/>
        </w:rPr>
      </w:pPr>
      <w:r>
        <w:rPr>
          <w:rFonts w:hint="eastAsia" w:ascii="黑体" w:hAnsi="宋体" w:eastAsia="黑体"/>
          <w:sz w:val="96"/>
          <w:szCs w:val="144"/>
        </w:rPr>
        <w:t>招</w:t>
      </w:r>
    </w:p>
    <w:p>
      <w:pPr>
        <w:jc w:val="center"/>
        <w:rPr>
          <w:rFonts w:hint="eastAsia" w:ascii="黑体" w:hAnsi="宋体" w:eastAsia="黑体"/>
          <w:sz w:val="96"/>
          <w:szCs w:val="144"/>
        </w:rPr>
      </w:pPr>
    </w:p>
    <w:p>
      <w:pPr>
        <w:jc w:val="center"/>
        <w:rPr>
          <w:rFonts w:hint="eastAsia" w:ascii="黑体" w:hAnsi="宋体" w:eastAsia="黑体"/>
          <w:sz w:val="96"/>
          <w:szCs w:val="144"/>
        </w:rPr>
      </w:pPr>
      <w:r>
        <w:rPr>
          <w:rFonts w:hint="eastAsia" w:ascii="黑体" w:hAnsi="宋体" w:eastAsia="黑体"/>
          <w:sz w:val="96"/>
          <w:szCs w:val="144"/>
        </w:rPr>
        <w:t>标</w:t>
      </w:r>
    </w:p>
    <w:p>
      <w:pPr>
        <w:jc w:val="center"/>
        <w:rPr>
          <w:rFonts w:hint="eastAsia" w:ascii="黑体" w:hAnsi="宋体" w:eastAsia="黑体"/>
          <w:sz w:val="96"/>
          <w:szCs w:val="144"/>
        </w:rPr>
      </w:pPr>
    </w:p>
    <w:p>
      <w:pPr>
        <w:jc w:val="center"/>
        <w:rPr>
          <w:rFonts w:hint="eastAsia" w:ascii="宋体" w:hAnsi="宋体"/>
          <w:sz w:val="72"/>
          <w:szCs w:val="144"/>
        </w:rPr>
      </w:pPr>
      <w:r>
        <w:rPr>
          <w:rFonts w:hint="eastAsia" w:ascii="黑体" w:hAnsi="宋体" w:eastAsia="黑体"/>
          <w:sz w:val="96"/>
          <w:szCs w:val="144"/>
        </w:rPr>
        <w:t>书</w:t>
      </w:r>
    </w:p>
    <w:p>
      <w:pPr>
        <w:jc w:val="center"/>
        <w:rPr>
          <w:rFonts w:hint="eastAsia" w:ascii="宋体" w:hAnsi="宋体"/>
          <w:sz w:val="36"/>
          <w:szCs w:val="36"/>
        </w:rPr>
      </w:pPr>
    </w:p>
    <w:p>
      <w:pPr>
        <w:jc w:val="center"/>
        <w:rPr>
          <w:rFonts w:hint="eastAsia" w:ascii="宋体" w:hAnsi="宋体"/>
          <w:sz w:val="36"/>
          <w:szCs w:val="36"/>
        </w:rPr>
      </w:pPr>
    </w:p>
    <w:p>
      <w:pPr>
        <w:jc w:val="center"/>
        <w:rPr>
          <w:rFonts w:hint="eastAsia" w:ascii="宋体" w:hAnsi="宋体"/>
          <w:sz w:val="36"/>
          <w:szCs w:val="36"/>
        </w:rPr>
      </w:pPr>
      <w:r>
        <w:rPr>
          <w:rFonts w:hint="eastAsia" w:ascii="宋体" w:hAnsi="宋体"/>
          <w:sz w:val="36"/>
          <w:szCs w:val="36"/>
        </w:rPr>
        <w:t>招 标 人：中国重汽集团济南商用车有限公司</w:t>
      </w:r>
    </w:p>
    <w:p>
      <w:pPr>
        <w:spacing w:line="480" w:lineRule="auto"/>
        <w:jc w:val="center"/>
        <w:rPr>
          <w:rFonts w:hint="eastAsia" w:ascii="宋体" w:hAnsi="宋体"/>
          <w:b/>
          <w:bCs/>
          <w:sz w:val="48"/>
          <w:szCs w:val="48"/>
        </w:rPr>
      </w:pPr>
      <w:r>
        <w:rPr>
          <w:rFonts w:ascii="宋体" w:hAnsi="宋体"/>
          <w:sz w:val="36"/>
          <w:szCs w:val="36"/>
        </w:rPr>
        <w:t>202</w:t>
      </w:r>
      <w:r>
        <w:rPr>
          <w:rFonts w:hint="eastAsia" w:ascii="宋体" w:hAnsi="宋体"/>
          <w:sz w:val="36"/>
          <w:szCs w:val="36"/>
        </w:rPr>
        <w:t>5 年8月</w:t>
      </w:r>
      <w:r>
        <w:rPr>
          <w:rFonts w:ascii="黑体" w:eastAsia="黑体"/>
          <w:b/>
          <w:bCs/>
          <w:sz w:val="36"/>
          <w:szCs w:val="36"/>
        </w:rPr>
        <w:br w:type="page"/>
      </w:r>
      <w:r>
        <w:rPr>
          <w:rFonts w:ascii="宋体" w:hAnsi="宋体"/>
          <w:b/>
          <w:bCs/>
          <w:sz w:val="48"/>
          <w:szCs w:val="48"/>
        </w:rPr>
        <w:t>目   录</w:t>
      </w:r>
    </w:p>
    <w:p>
      <w:pPr>
        <w:pStyle w:val="15"/>
        <w:rPr>
          <w:rFonts w:hint="eastAsia" w:asciiTheme="minorHAnsi" w:hAnsiTheme="minorHAnsi" w:eastAsiaTheme="minorEastAsia" w:cstheme="minorBidi"/>
          <w:b w:val="0"/>
          <w:caps w:val="0"/>
          <w:sz w:val="22"/>
          <w:szCs w:val="24"/>
          <w14:ligatures w14:val="standardContextual"/>
        </w:rPr>
      </w:pPr>
      <w:r>
        <w:rPr>
          <w:sz w:val="24"/>
        </w:rPr>
        <w:fldChar w:fldCharType="begin"/>
      </w:r>
      <w:r>
        <w:rPr>
          <w:sz w:val="24"/>
        </w:rPr>
        <w:instrText xml:space="preserve"> TOC \o "1-2" \h \z </w:instrText>
      </w:r>
      <w:r>
        <w:rPr>
          <w:sz w:val="24"/>
        </w:rPr>
        <w:fldChar w:fldCharType="separate"/>
      </w:r>
      <w:r>
        <w:fldChar w:fldCharType="begin"/>
      </w:r>
      <w:r>
        <w:instrText xml:space="preserve"> HYPERLINK \l "_Toc205983495" </w:instrText>
      </w:r>
      <w:r>
        <w:fldChar w:fldCharType="separate"/>
      </w:r>
      <w:r>
        <w:rPr>
          <w:rStyle w:val="28"/>
          <w:rFonts w:hint="eastAsia" w:hAnsi="黑体" w:eastAsia="黑体"/>
        </w:rPr>
        <w:t>第一章 招标公告</w:t>
      </w:r>
      <w:r>
        <w:rPr>
          <w:rFonts w:hint="eastAsia"/>
        </w:rPr>
        <w:tab/>
      </w:r>
      <w:r>
        <w:rPr>
          <w:rFonts w:hint="eastAsia"/>
        </w:rPr>
        <w:fldChar w:fldCharType="begin"/>
      </w:r>
      <w:r>
        <w:rPr>
          <w:rFonts w:hint="eastAsia"/>
        </w:rPr>
        <w:instrText xml:space="preserve"> </w:instrText>
      </w:r>
      <w:r>
        <w:instrText xml:space="preserve">PAGEREF _Toc205983495 \h</w:instrText>
      </w:r>
      <w:r>
        <w:rPr>
          <w:rFonts w:hint="eastAsia"/>
        </w:rPr>
        <w:instrText xml:space="preserve"> </w:instrText>
      </w:r>
      <w:r>
        <w:rPr>
          <w:rFonts w:hint="eastAsia"/>
        </w:rPr>
        <w:fldChar w:fldCharType="separate"/>
      </w:r>
      <w:r>
        <w:rPr>
          <w:rFonts w:hint="eastAsia"/>
        </w:rPr>
        <w:t>- 3 -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"_Toc205983496" </w:instrText>
      </w:r>
      <w:r>
        <w:fldChar w:fldCharType="separate"/>
      </w:r>
      <w:r>
        <w:rPr>
          <w:rStyle w:val="28"/>
          <w:rFonts w:hint="eastAsia"/>
        </w:rPr>
        <w:t>一、项目名称</w:t>
      </w:r>
      <w:r>
        <w:rPr>
          <w:rFonts w:hint="eastAsia"/>
        </w:rPr>
        <w:tab/>
      </w:r>
      <w:r>
        <w:rPr>
          <w:rFonts w:hint="eastAsia"/>
        </w:rPr>
        <w:fldChar w:fldCharType="begin"/>
      </w:r>
      <w:r>
        <w:rPr>
          <w:rFonts w:hint="eastAsia"/>
        </w:rPr>
        <w:instrText xml:space="preserve"> </w:instrText>
      </w:r>
      <w:r>
        <w:instrText xml:space="preserve">PAGEREF _Toc205983496 \h</w:instrText>
      </w:r>
      <w:r>
        <w:rPr>
          <w:rFonts w:hint="eastAsia"/>
        </w:rPr>
        <w:instrText xml:space="preserve"> </w:instrText>
      </w:r>
      <w:r>
        <w:rPr>
          <w:rFonts w:hint="eastAsia"/>
        </w:rPr>
        <w:fldChar w:fldCharType="separate"/>
      </w:r>
      <w:r>
        <w:rPr>
          <w:rFonts w:hint="eastAsia"/>
        </w:rPr>
        <w:t>- 3 -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"_Toc205983497" </w:instrText>
      </w:r>
      <w:r>
        <w:fldChar w:fldCharType="separate"/>
      </w:r>
      <w:r>
        <w:rPr>
          <w:rStyle w:val="28"/>
          <w:rFonts w:hint="eastAsia"/>
        </w:rPr>
        <w:t>二、招标内容</w:t>
      </w:r>
      <w:r>
        <w:rPr>
          <w:rFonts w:hint="eastAsia"/>
        </w:rPr>
        <w:tab/>
      </w:r>
      <w:r>
        <w:rPr>
          <w:rFonts w:hint="eastAsia"/>
        </w:rPr>
        <w:fldChar w:fldCharType="begin"/>
      </w:r>
      <w:r>
        <w:rPr>
          <w:rFonts w:hint="eastAsia"/>
        </w:rPr>
        <w:instrText xml:space="preserve"> </w:instrText>
      </w:r>
      <w:r>
        <w:instrText xml:space="preserve">PAGEREF _Toc205983497 \h</w:instrText>
      </w:r>
      <w:r>
        <w:rPr>
          <w:rFonts w:hint="eastAsia"/>
        </w:rPr>
        <w:instrText xml:space="preserve"> </w:instrText>
      </w:r>
      <w:r>
        <w:rPr>
          <w:rFonts w:hint="eastAsia"/>
        </w:rPr>
        <w:fldChar w:fldCharType="separate"/>
      </w:r>
      <w:r>
        <w:rPr>
          <w:rFonts w:hint="eastAsia"/>
        </w:rPr>
        <w:t>- 3 -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"_Toc205983498" </w:instrText>
      </w:r>
      <w:r>
        <w:fldChar w:fldCharType="separate"/>
      </w:r>
      <w:r>
        <w:rPr>
          <w:rStyle w:val="28"/>
          <w:rFonts w:hint="eastAsia"/>
        </w:rPr>
        <w:t>三、招标形式</w:t>
      </w:r>
      <w:r>
        <w:rPr>
          <w:rFonts w:hint="eastAsia"/>
        </w:rPr>
        <w:tab/>
      </w:r>
      <w:r>
        <w:rPr>
          <w:rFonts w:hint="eastAsia"/>
        </w:rPr>
        <w:fldChar w:fldCharType="begin"/>
      </w:r>
      <w:r>
        <w:rPr>
          <w:rFonts w:hint="eastAsia"/>
        </w:rPr>
        <w:instrText xml:space="preserve"> </w:instrText>
      </w:r>
      <w:r>
        <w:instrText xml:space="preserve">PAGEREF _Toc205983498 \h</w:instrText>
      </w:r>
      <w:r>
        <w:rPr>
          <w:rFonts w:hint="eastAsia"/>
        </w:rPr>
        <w:instrText xml:space="preserve"> </w:instrText>
      </w:r>
      <w:r>
        <w:rPr>
          <w:rFonts w:hint="eastAsia"/>
        </w:rPr>
        <w:fldChar w:fldCharType="separate"/>
      </w:r>
      <w:r>
        <w:rPr>
          <w:rFonts w:hint="eastAsia"/>
        </w:rPr>
        <w:t>- 3 -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"_Toc205983499" </w:instrText>
      </w:r>
      <w:r>
        <w:fldChar w:fldCharType="separate"/>
      </w:r>
      <w:r>
        <w:rPr>
          <w:rStyle w:val="28"/>
          <w:rFonts w:hint="eastAsia"/>
        </w:rPr>
        <w:t>四、议程安排</w:t>
      </w:r>
      <w:r>
        <w:rPr>
          <w:rFonts w:hint="eastAsia"/>
        </w:rPr>
        <w:tab/>
      </w:r>
      <w:r>
        <w:rPr>
          <w:rFonts w:hint="eastAsia"/>
        </w:rPr>
        <w:fldChar w:fldCharType="begin"/>
      </w:r>
      <w:r>
        <w:rPr>
          <w:rFonts w:hint="eastAsia"/>
        </w:rPr>
        <w:instrText xml:space="preserve"> </w:instrText>
      </w:r>
      <w:r>
        <w:instrText xml:space="preserve">PAGEREF _Toc205983499 \h</w:instrText>
      </w:r>
      <w:r>
        <w:rPr>
          <w:rFonts w:hint="eastAsia"/>
        </w:rPr>
        <w:instrText xml:space="preserve"> </w:instrText>
      </w:r>
      <w:r>
        <w:rPr>
          <w:rFonts w:hint="eastAsia"/>
        </w:rPr>
        <w:fldChar w:fldCharType="separate"/>
      </w:r>
      <w:r>
        <w:rPr>
          <w:rFonts w:hint="eastAsia"/>
        </w:rPr>
        <w:t>- 3 -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"_Toc205983500" </w:instrText>
      </w:r>
      <w:r>
        <w:fldChar w:fldCharType="separate"/>
      </w:r>
      <w:r>
        <w:rPr>
          <w:rStyle w:val="28"/>
          <w:rFonts w:hint="eastAsia"/>
        </w:rPr>
        <w:t>五、获取招标文件</w:t>
      </w:r>
      <w:r>
        <w:rPr>
          <w:rFonts w:hint="eastAsia"/>
        </w:rPr>
        <w:tab/>
      </w:r>
      <w:r>
        <w:rPr>
          <w:rFonts w:hint="eastAsia"/>
        </w:rPr>
        <w:fldChar w:fldCharType="begin"/>
      </w:r>
      <w:r>
        <w:rPr>
          <w:rFonts w:hint="eastAsia"/>
        </w:rPr>
        <w:instrText xml:space="preserve"> </w:instrText>
      </w:r>
      <w:r>
        <w:instrText xml:space="preserve">PAGEREF _Toc205983500 \h</w:instrText>
      </w:r>
      <w:r>
        <w:rPr>
          <w:rFonts w:hint="eastAsia"/>
        </w:rPr>
        <w:instrText xml:space="preserve"> </w:instrText>
      </w:r>
      <w:r>
        <w:rPr>
          <w:rFonts w:hint="eastAsia"/>
        </w:rPr>
        <w:fldChar w:fldCharType="separate"/>
      </w:r>
      <w:r>
        <w:rPr>
          <w:rFonts w:hint="eastAsia"/>
        </w:rPr>
        <w:t>- 4 -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"_Toc205983501" </w:instrText>
      </w:r>
      <w:r>
        <w:fldChar w:fldCharType="separate"/>
      </w:r>
      <w:r>
        <w:rPr>
          <w:rStyle w:val="28"/>
          <w:rFonts w:hint="eastAsia"/>
        </w:rPr>
        <w:t>六、投标须知</w:t>
      </w:r>
      <w:r>
        <w:rPr>
          <w:rFonts w:hint="eastAsia"/>
        </w:rPr>
        <w:tab/>
      </w:r>
      <w:r>
        <w:rPr>
          <w:rFonts w:hint="eastAsia"/>
        </w:rPr>
        <w:fldChar w:fldCharType="begin"/>
      </w:r>
      <w:r>
        <w:rPr>
          <w:rFonts w:hint="eastAsia"/>
        </w:rPr>
        <w:instrText xml:space="preserve"> </w:instrText>
      </w:r>
      <w:r>
        <w:instrText xml:space="preserve">PAGEREF _Toc205983501 \h</w:instrText>
      </w:r>
      <w:r>
        <w:rPr>
          <w:rFonts w:hint="eastAsia"/>
        </w:rPr>
        <w:instrText xml:space="preserve"> </w:instrText>
      </w:r>
      <w:r>
        <w:rPr>
          <w:rFonts w:hint="eastAsia"/>
        </w:rPr>
        <w:fldChar w:fldCharType="separate"/>
      </w:r>
      <w:r>
        <w:rPr>
          <w:rFonts w:hint="eastAsia"/>
        </w:rPr>
        <w:t>- 4 -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"_Toc205983502" </w:instrText>
      </w:r>
      <w:r>
        <w:fldChar w:fldCharType="separate"/>
      </w:r>
      <w:r>
        <w:rPr>
          <w:rStyle w:val="28"/>
          <w:rFonts w:hint="eastAsia"/>
        </w:rPr>
        <w:t>七、投标、开标、评标</w:t>
      </w:r>
      <w:r>
        <w:rPr>
          <w:rFonts w:hint="eastAsia"/>
        </w:rPr>
        <w:tab/>
      </w:r>
      <w:r>
        <w:rPr>
          <w:rFonts w:hint="eastAsia"/>
        </w:rPr>
        <w:fldChar w:fldCharType="begin"/>
      </w:r>
      <w:r>
        <w:rPr>
          <w:rFonts w:hint="eastAsia"/>
        </w:rPr>
        <w:instrText xml:space="preserve"> </w:instrText>
      </w:r>
      <w:r>
        <w:instrText xml:space="preserve">PAGEREF _Toc205983502 \h</w:instrText>
      </w:r>
      <w:r>
        <w:rPr>
          <w:rFonts w:hint="eastAsia"/>
        </w:rPr>
        <w:instrText xml:space="preserve"> </w:instrText>
      </w:r>
      <w:r>
        <w:rPr>
          <w:rFonts w:hint="eastAsia"/>
        </w:rPr>
        <w:fldChar w:fldCharType="separate"/>
      </w:r>
      <w:r>
        <w:rPr>
          <w:rFonts w:hint="eastAsia"/>
        </w:rPr>
        <w:t>- 6 -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"_Toc205983503" </w:instrText>
      </w:r>
      <w:r>
        <w:fldChar w:fldCharType="separate"/>
      </w:r>
      <w:r>
        <w:rPr>
          <w:rStyle w:val="28"/>
          <w:rFonts w:hint="eastAsia"/>
        </w:rPr>
        <w:t>八、合同签订</w:t>
      </w:r>
      <w:r>
        <w:rPr>
          <w:rFonts w:hint="eastAsia"/>
        </w:rPr>
        <w:tab/>
      </w:r>
      <w:r>
        <w:rPr>
          <w:rFonts w:hint="eastAsia"/>
        </w:rPr>
        <w:fldChar w:fldCharType="begin"/>
      </w:r>
      <w:r>
        <w:rPr>
          <w:rFonts w:hint="eastAsia"/>
        </w:rPr>
        <w:instrText xml:space="preserve"> </w:instrText>
      </w:r>
      <w:r>
        <w:instrText xml:space="preserve">PAGEREF _Toc205983503 \h</w:instrText>
      </w:r>
      <w:r>
        <w:rPr>
          <w:rFonts w:hint="eastAsia"/>
        </w:rPr>
        <w:instrText xml:space="preserve"> </w:instrText>
      </w:r>
      <w:r>
        <w:rPr>
          <w:rFonts w:hint="eastAsia"/>
        </w:rPr>
        <w:fldChar w:fldCharType="separate"/>
      </w:r>
      <w:r>
        <w:rPr>
          <w:rFonts w:hint="eastAsia"/>
        </w:rPr>
        <w:t>- 9 -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"_Toc205983504" </w:instrText>
      </w:r>
      <w:r>
        <w:fldChar w:fldCharType="separate"/>
      </w:r>
      <w:r>
        <w:rPr>
          <w:rStyle w:val="28"/>
          <w:rFonts w:hint="eastAsia"/>
        </w:rPr>
        <w:t>九、废标及终止招标</w:t>
      </w:r>
      <w:r>
        <w:rPr>
          <w:rFonts w:hint="eastAsia"/>
        </w:rPr>
        <w:tab/>
      </w:r>
      <w:r>
        <w:rPr>
          <w:rFonts w:hint="eastAsia"/>
        </w:rPr>
        <w:fldChar w:fldCharType="begin"/>
      </w:r>
      <w:r>
        <w:rPr>
          <w:rFonts w:hint="eastAsia"/>
        </w:rPr>
        <w:instrText xml:space="preserve"> </w:instrText>
      </w:r>
      <w:r>
        <w:instrText xml:space="preserve">PAGEREF _Toc205983504 \h</w:instrText>
      </w:r>
      <w:r>
        <w:rPr>
          <w:rFonts w:hint="eastAsia"/>
        </w:rPr>
        <w:instrText xml:space="preserve"> </w:instrText>
      </w:r>
      <w:r>
        <w:rPr>
          <w:rFonts w:hint="eastAsia"/>
        </w:rPr>
        <w:fldChar w:fldCharType="separate"/>
      </w:r>
      <w:r>
        <w:rPr>
          <w:rFonts w:hint="eastAsia"/>
        </w:rPr>
        <w:t>- 9 -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"_Toc205983505" </w:instrText>
      </w:r>
      <w:r>
        <w:fldChar w:fldCharType="separate"/>
      </w:r>
      <w:r>
        <w:rPr>
          <w:rStyle w:val="28"/>
          <w:rFonts w:hint="eastAsia"/>
        </w:rPr>
        <w:t>十、中标人瑕疵滞后发现的处理原则</w:t>
      </w:r>
      <w:r>
        <w:rPr>
          <w:rFonts w:hint="eastAsia"/>
        </w:rPr>
        <w:tab/>
      </w:r>
      <w:r>
        <w:rPr>
          <w:rFonts w:hint="eastAsia"/>
        </w:rPr>
        <w:fldChar w:fldCharType="begin"/>
      </w:r>
      <w:r>
        <w:rPr>
          <w:rFonts w:hint="eastAsia"/>
        </w:rPr>
        <w:instrText xml:space="preserve"> </w:instrText>
      </w:r>
      <w:r>
        <w:instrText xml:space="preserve">PAGEREF _Toc205983505 \h</w:instrText>
      </w:r>
      <w:r>
        <w:rPr>
          <w:rFonts w:hint="eastAsia"/>
        </w:rPr>
        <w:instrText xml:space="preserve"> </w:instrText>
      </w:r>
      <w:r>
        <w:rPr>
          <w:rFonts w:hint="eastAsia"/>
        </w:rPr>
        <w:fldChar w:fldCharType="separate"/>
      </w:r>
      <w:r>
        <w:rPr>
          <w:rFonts w:hint="eastAsia"/>
        </w:rPr>
        <w:t>- 10 -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"_Toc205983506" </w:instrText>
      </w:r>
      <w:r>
        <w:fldChar w:fldCharType="separate"/>
      </w:r>
      <w:r>
        <w:rPr>
          <w:rStyle w:val="28"/>
          <w:rFonts w:hint="eastAsia"/>
        </w:rPr>
        <w:t>十一、解释权</w:t>
      </w:r>
      <w:r>
        <w:rPr>
          <w:rFonts w:hint="eastAsia"/>
        </w:rPr>
        <w:tab/>
      </w:r>
      <w:r>
        <w:rPr>
          <w:rFonts w:hint="eastAsia"/>
        </w:rPr>
        <w:fldChar w:fldCharType="begin"/>
      </w:r>
      <w:r>
        <w:rPr>
          <w:rFonts w:hint="eastAsia"/>
        </w:rPr>
        <w:instrText xml:space="preserve"> </w:instrText>
      </w:r>
      <w:r>
        <w:instrText xml:space="preserve">PAGEREF _Toc205983506 \h</w:instrText>
      </w:r>
      <w:r>
        <w:rPr>
          <w:rFonts w:hint="eastAsia"/>
        </w:rPr>
        <w:instrText xml:space="preserve"> </w:instrText>
      </w:r>
      <w:r>
        <w:rPr>
          <w:rFonts w:hint="eastAsia"/>
        </w:rPr>
        <w:fldChar w:fldCharType="separate"/>
      </w:r>
      <w:r>
        <w:rPr>
          <w:rFonts w:hint="eastAsia"/>
        </w:rPr>
        <w:t>- 10 -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"_Toc205983507" </w:instrText>
      </w:r>
      <w:r>
        <w:fldChar w:fldCharType="separate"/>
      </w:r>
      <w:r>
        <w:rPr>
          <w:rStyle w:val="28"/>
          <w:rFonts w:hint="eastAsia"/>
        </w:rPr>
        <w:t>十二、技术要求</w:t>
      </w:r>
      <w:r>
        <w:rPr>
          <w:rFonts w:hint="eastAsia"/>
        </w:rPr>
        <w:tab/>
      </w:r>
      <w:r>
        <w:rPr>
          <w:rFonts w:hint="eastAsia"/>
        </w:rPr>
        <w:fldChar w:fldCharType="begin"/>
      </w:r>
      <w:r>
        <w:rPr>
          <w:rFonts w:hint="eastAsia"/>
        </w:rPr>
        <w:instrText xml:space="preserve"> </w:instrText>
      </w:r>
      <w:r>
        <w:instrText xml:space="preserve">PAGEREF _Toc205983507 \h</w:instrText>
      </w:r>
      <w:r>
        <w:rPr>
          <w:rFonts w:hint="eastAsia"/>
        </w:rPr>
        <w:instrText xml:space="preserve"> </w:instrText>
      </w:r>
      <w:r>
        <w:rPr>
          <w:rFonts w:hint="eastAsia"/>
        </w:rPr>
        <w:fldChar w:fldCharType="separate"/>
      </w:r>
      <w:r>
        <w:rPr>
          <w:rFonts w:hint="eastAsia"/>
        </w:rPr>
        <w:t>- 10 -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"_Toc205983508" </w:instrText>
      </w:r>
      <w:r>
        <w:fldChar w:fldCharType="separate"/>
      </w:r>
      <w:r>
        <w:rPr>
          <w:rStyle w:val="28"/>
          <w:rFonts w:hint="eastAsia" w:hAnsi="黑体" w:eastAsia="黑体"/>
        </w:rPr>
        <w:t>第二章 投标文件编制</w:t>
      </w:r>
      <w:r>
        <w:rPr>
          <w:rFonts w:hint="eastAsia"/>
        </w:rPr>
        <w:tab/>
      </w:r>
      <w:r>
        <w:rPr>
          <w:rFonts w:hint="eastAsia"/>
        </w:rPr>
        <w:fldChar w:fldCharType="begin"/>
      </w:r>
      <w:r>
        <w:rPr>
          <w:rFonts w:hint="eastAsia"/>
        </w:rPr>
        <w:instrText xml:space="preserve"> </w:instrText>
      </w:r>
      <w:r>
        <w:instrText xml:space="preserve">PAGEREF _Toc205983508 \h</w:instrText>
      </w:r>
      <w:r>
        <w:rPr>
          <w:rFonts w:hint="eastAsia"/>
        </w:rPr>
        <w:instrText xml:space="preserve"> </w:instrText>
      </w:r>
      <w:r>
        <w:rPr>
          <w:rFonts w:hint="eastAsia"/>
        </w:rPr>
        <w:fldChar w:fldCharType="separate"/>
      </w:r>
      <w:r>
        <w:rPr>
          <w:rFonts w:hint="eastAsia"/>
        </w:rPr>
        <w:t>- 11 -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"_Toc205983509" </w:instrText>
      </w:r>
      <w:r>
        <w:fldChar w:fldCharType="separate"/>
      </w:r>
      <w:r>
        <w:rPr>
          <w:rStyle w:val="28"/>
          <w:rFonts w:hint="eastAsia"/>
        </w:rPr>
        <w:t>一、投标文件签署</w:t>
      </w:r>
      <w:r>
        <w:rPr>
          <w:rFonts w:hint="eastAsia"/>
        </w:rPr>
        <w:tab/>
      </w:r>
      <w:r>
        <w:rPr>
          <w:rFonts w:hint="eastAsia"/>
        </w:rPr>
        <w:fldChar w:fldCharType="begin"/>
      </w:r>
      <w:r>
        <w:rPr>
          <w:rFonts w:hint="eastAsia"/>
        </w:rPr>
        <w:instrText xml:space="preserve"> </w:instrText>
      </w:r>
      <w:r>
        <w:instrText xml:space="preserve">PAGEREF _Toc205983509 \h</w:instrText>
      </w:r>
      <w:r>
        <w:rPr>
          <w:rFonts w:hint="eastAsia"/>
        </w:rPr>
        <w:instrText xml:space="preserve"> </w:instrText>
      </w:r>
      <w:r>
        <w:rPr>
          <w:rFonts w:hint="eastAsia"/>
        </w:rPr>
        <w:fldChar w:fldCharType="separate"/>
      </w:r>
      <w:r>
        <w:rPr>
          <w:rFonts w:hint="eastAsia"/>
        </w:rPr>
        <w:t>- 11 -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"_Toc205983510" </w:instrText>
      </w:r>
      <w:r>
        <w:fldChar w:fldCharType="separate"/>
      </w:r>
      <w:r>
        <w:rPr>
          <w:rStyle w:val="28"/>
          <w:rFonts w:hint="eastAsia"/>
        </w:rPr>
        <w:t>二、投标文件的密封和标记</w:t>
      </w:r>
      <w:r>
        <w:rPr>
          <w:rFonts w:hint="eastAsia"/>
        </w:rPr>
        <w:tab/>
      </w:r>
      <w:r>
        <w:rPr>
          <w:rFonts w:hint="eastAsia"/>
        </w:rPr>
        <w:fldChar w:fldCharType="begin"/>
      </w:r>
      <w:r>
        <w:rPr>
          <w:rFonts w:hint="eastAsia"/>
        </w:rPr>
        <w:instrText xml:space="preserve"> </w:instrText>
      </w:r>
      <w:r>
        <w:instrText xml:space="preserve">PAGEREF _Toc205983510 \h</w:instrText>
      </w:r>
      <w:r>
        <w:rPr>
          <w:rFonts w:hint="eastAsia"/>
        </w:rPr>
        <w:instrText xml:space="preserve"> </w:instrText>
      </w:r>
      <w:r>
        <w:rPr>
          <w:rFonts w:hint="eastAsia"/>
        </w:rPr>
        <w:fldChar w:fldCharType="separate"/>
      </w:r>
      <w:r>
        <w:rPr>
          <w:rFonts w:hint="eastAsia"/>
        </w:rPr>
        <w:t>- 11 -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"_Toc205983511" </w:instrText>
      </w:r>
      <w:r>
        <w:fldChar w:fldCharType="separate"/>
      </w:r>
      <w:r>
        <w:rPr>
          <w:rStyle w:val="28"/>
          <w:rFonts w:hint="eastAsia"/>
        </w:rPr>
        <w:t>三、投标文件的装订</w:t>
      </w:r>
      <w:r>
        <w:rPr>
          <w:rFonts w:hint="eastAsia"/>
        </w:rPr>
        <w:tab/>
      </w:r>
      <w:r>
        <w:rPr>
          <w:rFonts w:hint="eastAsia"/>
        </w:rPr>
        <w:fldChar w:fldCharType="begin"/>
      </w:r>
      <w:r>
        <w:rPr>
          <w:rFonts w:hint="eastAsia"/>
        </w:rPr>
        <w:instrText xml:space="preserve"> </w:instrText>
      </w:r>
      <w:r>
        <w:instrText xml:space="preserve">PAGEREF _Toc205983511 \h</w:instrText>
      </w:r>
      <w:r>
        <w:rPr>
          <w:rFonts w:hint="eastAsia"/>
        </w:rPr>
        <w:instrText xml:space="preserve"> </w:instrText>
      </w:r>
      <w:r>
        <w:rPr>
          <w:rFonts w:hint="eastAsia"/>
        </w:rPr>
        <w:fldChar w:fldCharType="separate"/>
      </w:r>
      <w:r>
        <w:rPr>
          <w:rFonts w:hint="eastAsia"/>
        </w:rPr>
        <w:t>- 11 -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"_Toc205983512" </w:instrText>
      </w:r>
      <w:r>
        <w:fldChar w:fldCharType="separate"/>
      </w:r>
      <w:r>
        <w:rPr>
          <w:rStyle w:val="28"/>
          <w:rFonts w:hint="eastAsia"/>
        </w:rPr>
        <w:t>四、投标文件格式要求</w:t>
      </w:r>
      <w:r>
        <w:rPr>
          <w:rFonts w:hint="eastAsia"/>
        </w:rPr>
        <w:tab/>
      </w:r>
      <w:r>
        <w:rPr>
          <w:rFonts w:hint="eastAsia"/>
        </w:rPr>
        <w:fldChar w:fldCharType="begin"/>
      </w:r>
      <w:r>
        <w:rPr>
          <w:rFonts w:hint="eastAsia"/>
        </w:rPr>
        <w:instrText xml:space="preserve"> </w:instrText>
      </w:r>
      <w:r>
        <w:instrText xml:space="preserve">PAGEREF _Toc205983512 \h</w:instrText>
      </w:r>
      <w:r>
        <w:rPr>
          <w:rFonts w:hint="eastAsia"/>
        </w:rPr>
        <w:instrText xml:space="preserve"> </w:instrText>
      </w:r>
      <w:r>
        <w:rPr>
          <w:rFonts w:hint="eastAsia"/>
        </w:rPr>
        <w:fldChar w:fldCharType="separate"/>
      </w:r>
      <w:r>
        <w:rPr>
          <w:rFonts w:hint="eastAsia"/>
        </w:rPr>
        <w:t>- 13 -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"_Toc205983513" </w:instrText>
      </w:r>
      <w:r>
        <w:fldChar w:fldCharType="separate"/>
      </w:r>
      <w:r>
        <w:rPr>
          <w:rStyle w:val="28"/>
          <w:rFonts w:hint="eastAsia" w:hAnsi="黑体" w:eastAsia="黑体"/>
        </w:rPr>
        <w:t>第三章 技术要求</w:t>
      </w:r>
      <w:r>
        <w:rPr>
          <w:rFonts w:hint="eastAsia"/>
        </w:rPr>
        <w:tab/>
      </w:r>
      <w:r>
        <w:rPr>
          <w:rFonts w:hint="eastAsia"/>
        </w:rPr>
        <w:fldChar w:fldCharType="begin"/>
      </w:r>
      <w:r>
        <w:rPr>
          <w:rFonts w:hint="eastAsia"/>
        </w:rPr>
        <w:instrText xml:space="preserve"> </w:instrText>
      </w:r>
      <w:r>
        <w:instrText xml:space="preserve">PAGEREF _Toc205983513 \h</w:instrText>
      </w:r>
      <w:r>
        <w:rPr>
          <w:rFonts w:hint="eastAsia"/>
        </w:rPr>
        <w:instrText xml:space="preserve"> </w:instrText>
      </w:r>
      <w:r>
        <w:rPr>
          <w:rFonts w:hint="eastAsia"/>
        </w:rPr>
        <w:fldChar w:fldCharType="separate"/>
      </w:r>
      <w:r>
        <w:rPr>
          <w:rFonts w:hint="eastAsia"/>
        </w:rPr>
        <w:t>- 0 -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"_Toc205983514" </w:instrText>
      </w:r>
      <w:r>
        <w:fldChar w:fldCharType="separate"/>
      </w:r>
      <w:r>
        <w:rPr>
          <w:rStyle w:val="28"/>
          <w:rFonts w:hint="eastAsia"/>
        </w:rPr>
        <w:t>一、业务介绍</w:t>
      </w:r>
      <w:r>
        <w:rPr>
          <w:rFonts w:hint="eastAsia"/>
        </w:rPr>
        <w:tab/>
      </w:r>
      <w:r>
        <w:rPr>
          <w:rFonts w:hint="eastAsia"/>
        </w:rPr>
        <w:fldChar w:fldCharType="begin"/>
      </w:r>
      <w:r>
        <w:rPr>
          <w:rFonts w:hint="eastAsia"/>
        </w:rPr>
        <w:instrText xml:space="preserve"> </w:instrText>
      </w:r>
      <w:r>
        <w:instrText xml:space="preserve">PAGEREF _Toc205983514 \h</w:instrText>
      </w:r>
      <w:r>
        <w:rPr>
          <w:rFonts w:hint="eastAsia"/>
        </w:rPr>
        <w:instrText xml:space="preserve"> </w:instrText>
      </w:r>
      <w:r>
        <w:rPr>
          <w:rFonts w:hint="eastAsia"/>
        </w:rPr>
        <w:fldChar w:fldCharType="separate"/>
      </w:r>
      <w:r>
        <w:rPr>
          <w:rFonts w:hint="eastAsia"/>
        </w:rPr>
        <w:t>- 0 -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"_Toc205983515" </w:instrText>
      </w:r>
      <w:r>
        <w:fldChar w:fldCharType="separate"/>
      </w:r>
      <w:r>
        <w:rPr>
          <w:rStyle w:val="28"/>
          <w:rFonts w:hint="eastAsia"/>
        </w:rPr>
        <w:t>二、物流仓库情况</w:t>
      </w:r>
      <w:r>
        <w:rPr>
          <w:rFonts w:hint="eastAsia"/>
        </w:rPr>
        <w:tab/>
      </w:r>
      <w:r>
        <w:rPr>
          <w:rFonts w:hint="eastAsia"/>
        </w:rPr>
        <w:fldChar w:fldCharType="begin"/>
      </w:r>
      <w:r>
        <w:rPr>
          <w:rFonts w:hint="eastAsia"/>
        </w:rPr>
        <w:instrText xml:space="preserve"> </w:instrText>
      </w:r>
      <w:r>
        <w:instrText xml:space="preserve">PAGEREF _Toc205983515 \h</w:instrText>
      </w:r>
      <w:r>
        <w:rPr>
          <w:rFonts w:hint="eastAsia"/>
        </w:rPr>
        <w:instrText xml:space="preserve"> </w:instrText>
      </w:r>
      <w:r>
        <w:rPr>
          <w:rFonts w:hint="eastAsia"/>
        </w:rPr>
        <w:fldChar w:fldCharType="separate"/>
      </w:r>
      <w:r>
        <w:rPr>
          <w:rFonts w:hint="eastAsia"/>
        </w:rPr>
        <w:t>- 1 -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"_Toc205983516" </w:instrText>
      </w:r>
      <w:r>
        <w:fldChar w:fldCharType="separate"/>
      </w:r>
      <w:r>
        <w:rPr>
          <w:rStyle w:val="28"/>
          <w:rFonts w:hint="eastAsia"/>
        </w:rPr>
        <w:t>三、收费介绍</w:t>
      </w:r>
      <w:r>
        <w:rPr>
          <w:rFonts w:hint="eastAsia"/>
        </w:rPr>
        <w:tab/>
      </w:r>
      <w:r>
        <w:rPr>
          <w:rFonts w:hint="eastAsia"/>
        </w:rPr>
        <w:fldChar w:fldCharType="begin"/>
      </w:r>
      <w:r>
        <w:rPr>
          <w:rFonts w:hint="eastAsia"/>
        </w:rPr>
        <w:instrText xml:space="preserve"> </w:instrText>
      </w:r>
      <w:r>
        <w:instrText xml:space="preserve">PAGEREF _Toc205983516 \h</w:instrText>
      </w:r>
      <w:r>
        <w:rPr>
          <w:rFonts w:hint="eastAsia"/>
        </w:rPr>
        <w:instrText xml:space="preserve"> </w:instrText>
      </w:r>
      <w:r>
        <w:rPr>
          <w:rFonts w:hint="eastAsia"/>
        </w:rPr>
        <w:fldChar w:fldCharType="separate"/>
      </w:r>
      <w:r>
        <w:rPr>
          <w:rFonts w:hint="eastAsia"/>
        </w:rPr>
        <w:t>- 1 -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"_Toc205983517" </w:instrText>
      </w:r>
      <w:r>
        <w:fldChar w:fldCharType="separate"/>
      </w:r>
      <w:r>
        <w:rPr>
          <w:rStyle w:val="28"/>
          <w:rFonts w:hint="eastAsia"/>
        </w:rPr>
        <w:t>三、运行管理要求</w:t>
      </w:r>
      <w:r>
        <w:rPr>
          <w:rFonts w:hint="eastAsia"/>
        </w:rPr>
        <w:tab/>
      </w:r>
      <w:r>
        <w:rPr>
          <w:rFonts w:hint="eastAsia"/>
        </w:rPr>
        <w:fldChar w:fldCharType="begin"/>
      </w:r>
      <w:r>
        <w:rPr>
          <w:rFonts w:hint="eastAsia"/>
        </w:rPr>
        <w:instrText xml:space="preserve"> </w:instrText>
      </w:r>
      <w:r>
        <w:instrText xml:space="preserve">PAGEREF _Toc205983517 \h</w:instrText>
      </w:r>
      <w:r>
        <w:rPr>
          <w:rFonts w:hint="eastAsia"/>
        </w:rPr>
        <w:instrText xml:space="preserve"> </w:instrText>
      </w:r>
      <w:r>
        <w:rPr>
          <w:rFonts w:hint="eastAsia"/>
        </w:rPr>
        <w:fldChar w:fldCharType="separate"/>
      </w:r>
      <w:r>
        <w:rPr>
          <w:rFonts w:hint="eastAsia"/>
        </w:rPr>
        <w:t>- 2 -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"_Toc205983518" </w:instrText>
      </w:r>
      <w:r>
        <w:fldChar w:fldCharType="separate"/>
      </w:r>
      <w:r>
        <w:rPr>
          <w:rStyle w:val="28"/>
          <w:rFonts w:hint="eastAsia"/>
        </w:rPr>
        <w:t>五、人员管理要求</w:t>
      </w:r>
      <w:r>
        <w:rPr>
          <w:rFonts w:hint="eastAsia"/>
        </w:rPr>
        <w:tab/>
      </w:r>
      <w:r>
        <w:rPr>
          <w:rFonts w:hint="eastAsia"/>
        </w:rPr>
        <w:fldChar w:fldCharType="begin"/>
      </w:r>
      <w:r>
        <w:rPr>
          <w:rFonts w:hint="eastAsia"/>
        </w:rPr>
        <w:instrText xml:space="preserve"> </w:instrText>
      </w:r>
      <w:r>
        <w:instrText xml:space="preserve">PAGEREF _Toc205983518 \h</w:instrText>
      </w:r>
      <w:r>
        <w:rPr>
          <w:rFonts w:hint="eastAsia"/>
        </w:rPr>
        <w:instrText xml:space="preserve"> </w:instrText>
      </w:r>
      <w:r>
        <w:rPr>
          <w:rFonts w:hint="eastAsia"/>
        </w:rPr>
        <w:fldChar w:fldCharType="separate"/>
      </w:r>
      <w:r>
        <w:rPr>
          <w:rFonts w:hint="eastAsia"/>
        </w:rPr>
        <w:t>- 20 -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"_Toc205983519" </w:instrText>
      </w:r>
      <w:r>
        <w:fldChar w:fldCharType="separate"/>
      </w:r>
      <w:r>
        <w:rPr>
          <w:rStyle w:val="28"/>
          <w:rFonts w:hint="eastAsia"/>
        </w:rPr>
        <w:t>六、考核</w:t>
      </w:r>
      <w:r>
        <w:rPr>
          <w:rFonts w:hint="eastAsia"/>
        </w:rPr>
        <w:tab/>
      </w:r>
      <w:r>
        <w:rPr>
          <w:rFonts w:hint="eastAsia"/>
        </w:rPr>
        <w:fldChar w:fldCharType="begin"/>
      </w:r>
      <w:r>
        <w:rPr>
          <w:rFonts w:hint="eastAsia"/>
        </w:rPr>
        <w:instrText xml:space="preserve"> </w:instrText>
      </w:r>
      <w:r>
        <w:instrText xml:space="preserve">PAGEREF _Toc205983519 \h</w:instrText>
      </w:r>
      <w:r>
        <w:rPr>
          <w:rFonts w:hint="eastAsia"/>
        </w:rPr>
        <w:instrText xml:space="preserve"> </w:instrText>
      </w:r>
      <w:r>
        <w:rPr>
          <w:rFonts w:hint="eastAsia"/>
        </w:rPr>
        <w:fldChar w:fldCharType="separate"/>
      </w:r>
      <w:r>
        <w:rPr>
          <w:rFonts w:hint="eastAsia"/>
        </w:rPr>
        <w:t>- 21 -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"_Toc205983520" </w:instrText>
      </w:r>
      <w:r>
        <w:fldChar w:fldCharType="separate"/>
      </w:r>
      <w:r>
        <w:rPr>
          <w:rStyle w:val="28"/>
          <w:rFonts w:hint="eastAsia"/>
        </w:rPr>
        <w:t>七、物流服务终止说明</w:t>
      </w:r>
      <w:r>
        <w:rPr>
          <w:rFonts w:hint="eastAsia"/>
        </w:rPr>
        <w:tab/>
      </w:r>
      <w:r>
        <w:rPr>
          <w:rFonts w:hint="eastAsia"/>
        </w:rPr>
        <w:fldChar w:fldCharType="begin"/>
      </w:r>
      <w:r>
        <w:rPr>
          <w:rFonts w:hint="eastAsia"/>
        </w:rPr>
        <w:instrText xml:space="preserve"> </w:instrText>
      </w:r>
      <w:r>
        <w:instrText xml:space="preserve">PAGEREF _Toc205983520 \h</w:instrText>
      </w:r>
      <w:r>
        <w:rPr>
          <w:rFonts w:hint="eastAsia"/>
        </w:rPr>
        <w:instrText xml:space="preserve"> </w:instrText>
      </w:r>
      <w:r>
        <w:rPr>
          <w:rFonts w:hint="eastAsia"/>
        </w:rPr>
        <w:fldChar w:fldCharType="separate"/>
      </w:r>
      <w:r>
        <w:rPr>
          <w:rFonts w:hint="eastAsia"/>
        </w:rPr>
        <w:t>- 22 -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"_Toc205983521" </w:instrText>
      </w:r>
      <w:r>
        <w:fldChar w:fldCharType="separate"/>
      </w:r>
      <w:r>
        <w:rPr>
          <w:rStyle w:val="28"/>
          <w:rFonts w:hint="eastAsia"/>
        </w:rPr>
        <w:t>八、物流业务切换要求</w:t>
      </w:r>
      <w:r>
        <w:rPr>
          <w:rFonts w:hint="eastAsia"/>
        </w:rPr>
        <w:tab/>
      </w:r>
      <w:r>
        <w:rPr>
          <w:rFonts w:hint="eastAsia"/>
        </w:rPr>
        <w:fldChar w:fldCharType="begin"/>
      </w:r>
      <w:r>
        <w:rPr>
          <w:rFonts w:hint="eastAsia"/>
        </w:rPr>
        <w:instrText xml:space="preserve"> </w:instrText>
      </w:r>
      <w:r>
        <w:instrText xml:space="preserve">PAGEREF _Toc205983521 \h</w:instrText>
      </w:r>
      <w:r>
        <w:rPr>
          <w:rFonts w:hint="eastAsia"/>
        </w:rPr>
        <w:instrText xml:space="preserve"> </w:instrText>
      </w:r>
      <w:r>
        <w:rPr>
          <w:rFonts w:hint="eastAsia"/>
        </w:rPr>
        <w:fldChar w:fldCharType="separate"/>
      </w:r>
      <w:r>
        <w:rPr>
          <w:rFonts w:hint="eastAsia"/>
        </w:rPr>
        <w:t>- 23 -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"_Toc205983522" </w:instrText>
      </w:r>
      <w:r>
        <w:fldChar w:fldCharType="separate"/>
      </w:r>
      <w:r>
        <w:rPr>
          <w:rStyle w:val="28"/>
          <w:rFonts w:hint="eastAsia"/>
        </w:rPr>
        <w:t>九、投标技术方案要求</w:t>
      </w:r>
      <w:r>
        <w:rPr>
          <w:rFonts w:hint="eastAsia"/>
        </w:rPr>
        <w:tab/>
      </w:r>
      <w:r>
        <w:rPr>
          <w:rFonts w:hint="eastAsia"/>
        </w:rPr>
        <w:fldChar w:fldCharType="begin"/>
      </w:r>
      <w:r>
        <w:rPr>
          <w:rFonts w:hint="eastAsia"/>
        </w:rPr>
        <w:instrText xml:space="preserve"> </w:instrText>
      </w:r>
      <w:r>
        <w:instrText xml:space="preserve">PAGEREF _Toc205983522 \h</w:instrText>
      </w:r>
      <w:r>
        <w:rPr>
          <w:rFonts w:hint="eastAsia"/>
        </w:rPr>
        <w:instrText xml:space="preserve"> </w:instrText>
      </w:r>
      <w:r>
        <w:rPr>
          <w:rFonts w:hint="eastAsia"/>
        </w:rPr>
        <w:fldChar w:fldCharType="separate"/>
      </w:r>
      <w:r>
        <w:rPr>
          <w:rFonts w:hint="eastAsia"/>
        </w:rPr>
        <w:t>- 23 -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"_Toc205983523" </w:instrText>
      </w:r>
      <w:r>
        <w:fldChar w:fldCharType="separate"/>
      </w:r>
      <w:r>
        <w:rPr>
          <w:rStyle w:val="28"/>
          <w:rFonts w:hint="eastAsia"/>
        </w:rPr>
        <w:t>第三方物流服务商管理规定（18条）</w:t>
      </w:r>
      <w:r>
        <w:rPr>
          <w:rFonts w:hint="eastAsia"/>
        </w:rPr>
        <w:tab/>
      </w:r>
      <w:r>
        <w:rPr>
          <w:rFonts w:hint="eastAsia"/>
        </w:rPr>
        <w:fldChar w:fldCharType="begin"/>
      </w:r>
      <w:r>
        <w:rPr>
          <w:rFonts w:hint="eastAsia"/>
        </w:rPr>
        <w:instrText xml:space="preserve"> </w:instrText>
      </w:r>
      <w:r>
        <w:instrText xml:space="preserve">PAGEREF _Toc205983523 \h</w:instrText>
      </w:r>
      <w:r>
        <w:rPr>
          <w:rFonts w:hint="eastAsia"/>
        </w:rPr>
        <w:instrText xml:space="preserve"> </w:instrText>
      </w:r>
      <w:r>
        <w:rPr>
          <w:rFonts w:hint="eastAsia"/>
        </w:rPr>
        <w:fldChar w:fldCharType="separate"/>
      </w:r>
      <w:r>
        <w:rPr>
          <w:rFonts w:hint="eastAsia"/>
        </w:rPr>
        <w:t>- 24 -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"_Toc205983524" </w:instrText>
      </w:r>
      <w:r>
        <w:fldChar w:fldCharType="separate"/>
      </w:r>
      <w:r>
        <w:rPr>
          <w:rStyle w:val="28"/>
          <w:rFonts w:hint="eastAsia"/>
        </w:rPr>
        <w:t>附件一：非生产供应商注册操作手册</w:t>
      </w:r>
      <w:r>
        <w:rPr>
          <w:rFonts w:hint="eastAsia"/>
        </w:rPr>
        <w:tab/>
      </w:r>
      <w:r>
        <w:rPr>
          <w:rFonts w:hint="eastAsia"/>
        </w:rPr>
        <w:fldChar w:fldCharType="begin"/>
      </w:r>
      <w:r>
        <w:rPr>
          <w:rFonts w:hint="eastAsia"/>
        </w:rPr>
        <w:instrText xml:space="preserve"> </w:instrText>
      </w:r>
      <w:r>
        <w:instrText xml:space="preserve">PAGEREF _Toc205983524 \h</w:instrText>
      </w:r>
      <w:r>
        <w:rPr>
          <w:rFonts w:hint="eastAsia"/>
        </w:rPr>
        <w:instrText xml:space="preserve"> </w:instrText>
      </w:r>
      <w:r>
        <w:rPr>
          <w:rFonts w:hint="eastAsia"/>
        </w:rPr>
        <w:fldChar w:fldCharType="separate"/>
      </w:r>
      <w:r>
        <w:rPr>
          <w:rFonts w:hint="eastAsia"/>
        </w:rPr>
        <w:t>- 26 -</w:t>
      </w:r>
      <w:r>
        <w:rPr>
          <w:rFonts w:hint="eastAsia"/>
        </w:rPr>
        <w:fldChar w:fldCharType="end"/>
      </w:r>
      <w:r>
        <w:rPr>
          <w:rFonts w:hint="eastAsia"/>
        </w:rPr>
        <w:fldChar w:fldCharType="end"/>
      </w:r>
    </w:p>
    <w:p>
      <w:pPr>
        <w:pStyle w:val="15"/>
        <w:rPr>
          <w:rFonts w:hint="eastAsia" w:asciiTheme="minorHAnsi" w:hAnsiTheme="minorHAnsi" w:eastAsiaTheme="minorEastAsia" w:cstheme="minorBidi"/>
          <w:b w:val="0"/>
          <w:caps w:val="0"/>
          <w:sz w:val="22"/>
          <w:szCs w:val="24"/>
          <w14:ligatures w14:val="standardContextual"/>
        </w:rPr>
      </w:pPr>
      <w:r>
        <w:fldChar w:fldCharType="begin"/>
      </w:r>
      <w:r>
        <w:instrText xml:space="preserve"> HYPERLINK \l "_Toc205983525" </w:instrText>
      </w:r>
      <w:r>
        <w:fldChar w:fldCharType="separate"/>
      </w:r>
      <w:r>
        <w:rPr>
          <w:rStyle w:val="28"/>
          <w:rFonts w:hint="eastAsia"/>
        </w:rPr>
        <w:t>附件二：非生产供应商投标操作手册</w:t>
      </w:r>
      <w:r>
        <w:rPr>
          <w:rFonts w:hint="eastAsia"/>
        </w:rPr>
        <w:tab/>
      </w:r>
      <w:r>
        <w:rPr>
          <w:rFonts w:hint="eastAsia"/>
        </w:rPr>
        <w:fldChar w:fldCharType="begin"/>
      </w:r>
      <w:r>
        <w:rPr>
          <w:rFonts w:hint="eastAsia"/>
        </w:rPr>
        <w:instrText xml:space="preserve"> </w:instrText>
      </w:r>
      <w:r>
        <w:instrText xml:space="preserve">PAGEREF _Toc205983525 \h</w:instrText>
      </w:r>
      <w:r>
        <w:rPr>
          <w:rFonts w:hint="eastAsia"/>
        </w:rPr>
        <w:instrText xml:space="preserve"> </w:instrText>
      </w:r>
      <w:r>
        <w:rPr>
          <w:rFonts w:hint="eastAsia"/>
        </w:rPr>
        <w:fldChar w:fldCharType="separate"/>
      </w:r>
      <w:r>
        <w:rPr>
          <w:rFonts w:hint="eastAsia"/>
        </w:rPr>
        <w:t>- 28 -</w:t>
      </w:r>
      <w:r>
        <w:rPr>
          <w:rFonts w:hint="eastAsia"/>
        </w:rPr>
        <w:fldChar w:fldCharType="end"/>
      </w:r>
      <w:r>
        <w:rPr>
          <w:rFonts w:hint="eastAsia"/>
        </w:rPr>
        <w:fldChar w:fldCharType="end"/>
      </w:r>
    </w:p>
    <w:p>
      <w:pPr>
        <w:pStyle w:val="2"/>
        <w:keepLines w:val="0"/>
        <w:widowControl/>
        <w:spacing w:before="0" w:after="0" w:line="500" w:lineRule="exact"/>
        <w:ind w:right="206" w:rightChars="98"/>
        <w:jc w:val="center"/>
        <w:rPr>
          <w:rFonts w:hint="eastAsia" w:hAnsi="黑体" w:eastAsia="黑体"/>
          <w:color w:val="000000"/>
          <w:kern w:val="2"/>
          <w:sz w:val="36"/>
          <w:szCs w:val="36"/>
        </w:rPr>
      </w:pPr>
      <w:r>
        <w:fldChar w:fldCharType="end"/>
      </w:r>
      <w:r>
        <w:rPr>
          <w:rFonts w:ascii="黑体" w:eastAsia="黑体"/>
          <w:sz w:val="36"/>
          <w:szCs w:val="36"/>
        </w:rPr>
        <w:br w:type="page"/>
      </w:r>
      <w:bookmarkStart w:id="0" w:name="_Toc205983495"/>
      <w:r>
        <w:rPr>
          <w:rFonts w:hint="eastAsia" w:hAnsi="黑体" w:eastAsia="黑体"/>
          <w:color w:val="000000"/>
          <w:kern w:val="2"/>
          <w:sz w:val="36"/>
          <w:szCs w:val="36"/>
        </w:rPr>
        <w:t>第一章 招标公告</w:t>
      </w:r>
      <w:bookmarkEnd w:id="0"/>
    </w:p>
    <w:p>
      <w:pPr>
        <w:pStyle w:val="2"/>
        <w:keepLines w:val="0"/>
        <w:widowControl/>
        <w:spacing w:before="0" w:after="0" w:line="360" w:lineRule="auto"/>
        <w:ind w:right="206" w:rightChars="98"/>
        <w:rPr>
          <w:rFonts w:hint="eastAsia" w:hAnsi="宋体"/>
          <w:kern w:val="2"/>
          <w:sz w:val="32"/>
          <w:szCs w:val="32"/>
        </w:rPr>
      </w:pPr>
      <w:bookmarkStart w:id="1" w:name="_Toc205983496"/>
      <w:r>
        <w:rPr>
          <w:rFonts w:hint="eastAsia" w:hAnsi="宋体"/>
          <w:kern w:val="2"/>
          <w:sz w:val="32"/>
          <w:szCs w:val="32"/>
        </w:rPr>
        <w:t>一、项目名称</w:t>
      </w:r>
      <w:bookmarkEnd w:id="1"/>
    </w:p>
    <w:p>
      <w:pPr>
        <w:pStyle w:val="54"/>
        <w:spacing w:line="360" w:lineRule="auto"/>
        <w:ind w:firstLine="480" w:firstLineChars="200"/>
        <w:rPr>
          <w:rFonts w:hint="eastAsia" w:ascii="宋体" w:hAnsi="宋体" w:eastAsia="宋体"/>
          <w:color w:val="auto"/>
        </w:rPr>
      </w:pPr>
      <w:r>
        <w:rPr>
          <w:rFonts w:hint="eastAsia" w:ascii="宋体" w:hAnsi="宋体" w:eastAsia="宋体"/>
          <w:color w:val="auto"/>
        </w:rPr>
        <w:t>项目名称：标准件仓配上线服务项目</w:t>
      </w:r>
    </w:p>
    <w:p>
      <w:pPr>
        <w:pStyle w:val="54"/>
        <w:spacing w:line="360" w:lineRule="auto"/>
        <w:ind w:firstLine="480" w:firstLineChars="200"/>
        <w:rPr>
          <w:rFonts w:hint="eastAsia" w:ascii="宋体" w:hAnsi="宋体" w:eastAsia="宋体"/>
          <w:color w:val="auto"/>
        </w:rPr>
      </w:pPr>
      <w:r>
        <w:rPr>
          <w:rFonts w:hint="eastAsia" w:ascii="宋体" w:hAnsi="宋体" w:eastAsia="宋体"/>
          <w:color w:val="auto"/>
        </w:rPr>
        <w:t>项目编号：</w:t>
      </w:r>
      <w:r>
        <w:rPr>
          <w:rFonts w:ascii="宋体" w:hAnsi="宋体" w:eastAsia="宋体"/>
          <w:color w:val="auto"/>
        </w:rPr>
        <w:t>CGZX2025080098</w:t>
      </w:r>
    </w:p>
    <w:p>
      <w:pPr>
        <w:pStyle w:val="54"/>
        <w:spacing w:line="360" w:lineRule="auto"/>
        <w:ind w:firstLine="480" w:firstLineChars="200"/>
        <w:rPr>
          <w:rFonts w:hint="eastAsia" w:ascii="宋体" w:hAnsi="宋体" w:eastAsia="宋体"/>
          <w:color w:val="auto"/>
        </w:rPr>
      </w:pPr>
      <w:r>
        <w:rPr>
          <w:rFonts w:hint="eastAsia" w:ascii="宋体" w:hAnsi="宋体" w:eastAsia="宋体"/>
          <w:color w:val="auto"/>
        </w:rPr>
        <w:t>招标合同期：</w:t>
      </w:r>
      <w:r>
        <w:rPr>
          <w:rFonts w:hint="eastAsia" w:ascii="宋体" w:hAnsi="宋体" w:eastAsia="宋体"/>
          <w:b/>
          <w:bCs/>
          <w:color w:val="auto"/>
        </w:rPr>
        <w:t>三年</w:t>
      </w:r>
    </w:p>
    <w:p>
      <w:pPr>
        <w:pStyle w:val="2"/>
        <w:keepLines w:val="0"/>
        <w:widowControl/>
        <w:spacing w:before="0" w:after="0" w:line="360" w:lineRule="auto"/>
        <w:ind w:right="206" w:rightChars="98"/>
        <w:rPr>
          <w:rFonts w:hint="eastAsia" w:hAnsi="宋体"/>
          <w:kern w:val="2"/>
          <w:sz w:val="32"/>
          <w:szCs w:val="32"/>
        </w:rPr>
      </w:pPr>
      <w:bookmarkStart w:id="2" w:name="_Toc205983497"/>
      <w:r>
        <w:rPr>
          <w:rFonts w:hint="eastAsia" w:hAnsi="宋体"/>
          <w:kern w:val="2"/>
          <w:sz w:val="32"/>
          <w:szCs w:val="32"/>
        </w:rPr>
        <w:t>二、招标内容</w:t>
      </w:r>
      <w:bookmarkEnd w:id="2"/>
    </w:p>
    <w:p>
      <w:pPr>
        <w:spacing w:line="360" w:lineRule="auto"/>
        <w:ind w:firstLine="480" w:firstLineChars="200"/>
        <w:rPr>
          <w:rFonts w:hint="eastAsia" w:ascii="宋体" w:hAnsi="宋体"/>
          <w:sz w:val="24"/>
          <w:szCs w:val="28"/>
        </w:rPr>
      </w:pPr>
      <w:bookmarkStart w:id="3" w:name="_Hlk205905059"/>
      <w:r>
        <w:rPr>
          <w:rFonts w:hint="eastAsia" w:ascii="宋体" w:hAnsi="宋体"/>
          <w:sz w:val="24"/>
          <w:szCs w:val="28"/>
        </w:rPr>
        <w:t>投标方自行投入仓库，距商用车给距离≤10Km为济南商用车制造公司提供标准件类产品的仓储、配送、上线服务，主要包括：标准件的卸车、收货、仓储管理，根据生产需求进行分拣排序，按时将标准件配送至指定地点，完成上线配送至线边工位</w:t>
      </w:r>
      <w:bookmarkEnd w:id="3"/>
      <w:r>
        <w:rPr>
          <w:rFonts w:hint="eastAsia" w:ascii="宋体" w:hAnsi="宋体"/>
          <w:sz w:val="24"/>
          <w:szCs w:val="28"/>
        </w:rPr>
        <w:t>。</w:t>
      </w:r>
    </w:p>
    <w:p>
      <w:pPr>
        <w:spacing w:line="360" w:lineRule="auto"/>
        <w:ind w:firstLine="480" w:firstLineChars="200"/>
        <w:rPr>
          <w:rFonts w:hint="eastAsia" w:ascii="宋体" w:hAnsi="宋体"/>
          <w:sz w:val="24"/>
          <w:szCs w:val="22"/>
          <w:shd w:val="clear" w:color="auto" w:fill="FFFF00"/>
        </w:rPr>
      </w:pPr>
      <w:r>
        <w:rPr>
          <w:rFonts w:hint="eastAsia" w:ascii="宋体" w:hAnsi="宋体"/>
          <w:sz w:val="24"/>
          <w:szCs w:val="22"/>
          <w:shd w:val="clear" w:color="auto" w:fill="FFFF00"/>
        </w:rPr>
        <w:t xml:space="preserve">详见第三章技术要求。  </w:t>
      </w:r>
    </w:p>
    <w:p>
      <w:pPr>
        <w:pStyle w:val="2"/>
        <w:keepLines w:val="0"/>
        <w:widowControl/>
        <w:spacing w:before="0" w:after="0" w:line="360" w:lineRule="auto"/>
        <w:ind w:right="206" w:rightChars="98"/>
        <w:rPr>
          <w:rFonts w:hint="eastAsia" w:hAnsi="宋体"/>
          <w:kern w:val="2"/>
          <w:sz w:val="32"/>
          <w:szCs w:val="32"/>
        </w:rPr>
      </w:pPr>
      <w:bookmarkStart w:id="4" w:name="_Toc205983498"/>
      <w:r>
        <w:rPr>
          <w:rFonts w:hint="eastAsia" w:hAnsi="宋体"/>
          <w:kern w:val="2"/>
          <w:sz w:val="32"/>
          <w:szCs w:val="32"/>
        </w:rPr>
        <w:t>三、招标形式</w:t>
      </w:r>
      <w:bookmarkEnd w:id="4"/>
    </w:p>
    <w:p>
      <w:pPr>
        <w:pStyle w:val="11"/>
        <w:spacing w:line="360" w:lineRule="auto"/>
        <w:ind w:firstLine="480" w:firstLineChars="200"/>
        <w:rPr>
          <w:sz w:val="24"/>
          <w:szCs w:val="22"/>
        </w:rPr>
      </w:pPr>
      <w:r>
        <w:rPr>
          <w:rFonts w:hint="eastAsia"/>
          <w:sz w:val="24"/>
          <w:szCs w:val="22"/>
        </w:rPr>
        <w:t>招标形式：公开招标。</w:t>
      </w:r>
    </w:p>
    <w:p>
      <w:pPr>
        <w:pStyle w:val="2"/>
        <w:keepLines w:val="0"/>
        <w:widowControl/>
        <w:spacing w:before="0" w:after="0" w:line="360" w:lineRule="auto"/>
        <w:ind w:right="206" w:rightChars="98"/>
        <w:rPr>
          <w:rFonts w:hint="eastAsia" w:hAnsi="宋体"/>
          <w:kern w:val="2"/>
          <w:sz w:val="32"/>
          <w:szCs w:val="32"/>
        </w:rPr>
      </w:pPr>
      <w:bookmarkStart w:id="5" w:name="_Toc205983499"/>
      <w:r>
        <w:rPr>
          <w:rFonts w:hint="eastAsia" w:hAnsi="宋体"/>
          <w:kern w:val="2"/>
          <w:sz w:val="32"/>
          <w:szCs w:val="32"/>
        </w:rPr>
        <w:t>四、议程安排</w:t>
      </w:r>
      <w:bookmarkEnd w:id="5"/>
    </w:p>
    <w:p>
      <w:pPr>
        <w:pStyle w:val="11"/>
        <w:spacing w:line="360" w:lineRule="auto"/>
        <w:ind w:firstLine="480" w:firstLineChars="200"/>
        <w:rPr>
          <w:sz w:val="24"/>
          <w:szCs w:val="22"/>
        </w:rPr>
      </w:pPr>
      <w:r>
        <w:rPr>
          <w:rFonts w:hint="eastAsia"/>
          <w:sz w:val="24"/>
          <w:szCs w:val="22"/>
        </w:rPr>
        <w:t>1.公告时间：2025年8月16日。</w:t>
      </w:r>
    </w:p>
    <w:p>
      <w:pPr>
        <w:pStyle w:val="11"/>
        <w:spacing w:line="360" w:lineRule="auto"/>
        <w:ind w:firstLine="480" w:firstLineChars="200"/>
        <w:rPr>
          <w:sz w:val="24"/>
          <w:szCs w:val="22"/>
        </w:rPr>
      </w:pPr>
      <w:r>
        <w:rPr>
          <w:rFonts w:hint="eastAsia"/>
          <w:sz w:val="24"/>
          <w:szCs w:val="22"/>
        </w:rPr>
        <w:t>2.答疑时间：截止至2025年</w:t>
      </w:r>
      <w:r>
        <w:rPr>
          <w:rFonts w:hint="default"/>
          <w:sz w:val="24"/>
          <w:szCs w:val="22"/>
          <w:woUserID w:val="1"/>
        </w:rPr>
        <w:t>9</w:t>
      </w:r>
      <w:r>
        <w:rPr>
          <w:rFonts w:hint="eastAsia"/>
          <w:sz w:val="24"/>
          <w:szCs w:val="22"/>
        </w:rPr>
        <w:t xml:space="preserve"> 月</w:t>
      </w:r>
      <w:r>
        <w:rPr>
          <w:rFonts w:hint="default"/>
          <w:sz w:val="24"/>
          <w:szCs w:val="22"/>
          <w:woUserID w:val="1"/>
        </w:rPr>
        <w:t>1</w:t>
      </w:r>
      <w:r>
        <w:rPr>
          <w:rFonts w:hint="eastAsia"/>
          <w:sz w:val="24"/>
          <w:szCs w:val="22"/>
        </w:rPr>
        <w:t>日下午17点前（若有变动另行通知）。</w:t>
      </w:r>
    </w:p>
    <w:p>
      <w:pPr>
        <w:spacing w:line="360" w:lineRule="auto"/>
        <w:ind w:firstLine="480" w:firstLineChars="200"/>
        <w:rPr>
          <w:sz w:val="24"/>
          <w:szCs w:val="22"/>
        </w:rPr>
      </w:pPr>
      <w:r>
        <w:rPr>
          <w:rFonts w:hint="eastAsia"/>
          <w:sz w:val="24"/>
          <w:szCs w:val="22"/>
        </w:rPr>
        <w:t>技术答疑：曹老师  19861850202</w:t>
      </w:r>
    </w:p>
    <w:p>
      <w:pPr>
        <w:pStyle w:val="11"/>
        <w:spacing w:line="360" w:lineRule="auto"/>
        <w:ind w:firstLine="480" w:firstLineChars="200"/>
        <w:rPr>
          <w:sz w:val="24"/>
          <w:szCs w:val="22"/>
        </w:rPr>
      </w:pPr>
      <w:r>
        <w:rPr>
          <w:rFonts w:hint="eastAsia"/>
          <w:sz w:val="24"/>
          <w:szCs w:val="22"/>
        </w:rPr>
        <w:t>3</w:t>
      </w:r>
      <w:r>
        <w:rPr>
          <w:sz w:val="24"/>
          <w:szCs w:val="22"/>
        </w:rPr>
        <w:t>.</w:t>
      </w:r>
      <w:r>
        <w:rPr>
          <w:rFonts w:hint="eastAsia"/>
          <w:sz w:val="24"/>
          <w:szCs w:val="22"/>
        </w:rPr>
        <w:t>报名</w:t>
      </w:r>
    </w:p>
    <w:p>
      <w:pPr>
        <w:pStyle w:val="11"/>
        <w:spacing w:line="360" w:lineRule="auto"/>
        <w:ind w:firstLine="480" w:firstLineChars="200"/>
        <w:jc w:val="left"/>
        <w:rPr>
          <w:sz w:val="24"/>
          <w:szCs w:val="22"/>
        </w:rPr>
      </w:pPr>
      <w:r>
        <w:rPr>
          <w:rFonts w:hint="eastAsia"/>
          <w:sz w:val="24"/>
          <w:szCs w:val="22"/>
        </w:rPr>
        <w:t>凡有意参加投标的投标人，请于2025年</w:t>
      </w:r>
      <w:r>
        <w:rPr>
          <w:rFonts w:hint="default"/>
          <w:sz w:val="24"/>
          <w:szCs w:val="22"/>
          <w:woUserID w:val="1"/>
        </w:rPr>
        <w:t>9</w:t>
      </w:r>
      <w:r>
        <w:rPr>
          <w:rFonts w:hint="eastAsia"/>
          <w:sz w:val="24"/>
          <w:szCs w:val="22"/>
        </w:rPr>
        <w:t>月</w:t>
      </w:r>
      <w:r>
        <w:rPr>
          <w:rFonts w:hint="default"/>
          <w:sz w:val="24"/>
          <w:szCs w:val="22"/>
          <w:woUserID w:val="1"/>
        </w:rPr>
        <w:t>1</w:t>
      </w:r>
      <w:r>
        <w:rPr>
          <w:rFonts w:hint="eastAsia"/>
          <w:sz w:val="24"/>
          <w:szCs w:val="22"/>
        </w:rPr>
        <w:t>日下午17:00前，按照序号1-4顺序及所列项相关资料的原件扫描件加盖公章后，所有扫描文件上传到e采通（</w:t>
      </w:r>
      <w:r>
        <w:fldChar w:fldCharType="begin"/>
      </w:r>
      <w:r>
        <w:instrText xml:space="preserve"> HYPERLINK "https://ecaitong.sinotruk.com:8012/）" </w:instrText>
      </w:r>
      <w:r>
        <w:fldChar w:fldCharType="separate"/>
      </w:r>
      <w:r>
        <w:rPr>
          <w:rStyle w:val="28"/>
          <w:sz w:val="24"/>
          <w:szCs w:val="24"/>
          <w:lang w:bidi="en-US"/>
        </w:rPr>
        <w:t>https://ecaitong.sinotruk.com:8012/）</w:t>
      </w:r>
      <w:r>
        <w:rPr>
          <w:rStyle w:val="28"/>
          <w:sz w:val="24"/>
          <w:szCs w:val="24"/>
          <w:lang w:bidi="en-US"/>
        </w:rPr>
        <w:fldChar w:fldCharType="end"/>
      </w:r>
      <w:r>
        <w:rPr>
          <w:rFonts w:hint="eastAsia"/>
          <w:sz w:val="24"/>
          <w:szCs w:val="22"/>
        </w:rPr>
        <w:t>完成应标，非重汽体系内单位需现按照附件</w:t>
      </w:r>
      <w:r>
        <w:rPr>
          <w:sz w:val="24"/>
          <w:szCs w:val="24"/>
          <w:lang w:bidi="en-US"/>
        </w:rPr>
        <w:t>《非生产供应商注册操作手册》完成</w:t>
      </w:r>
      <w:r>
        <w:rPr>
          <w:rFonts w:hint="eastAsia"/>
          <w:sz w:val="24"/>
          <w:szCs w:val="24"/>
          <w:lang w:bidi="en-US"/>
        </w:rPr>
        <w:t>重汽</w:t>
      </w:r>
      <w:r>
        <w:rPr>
          <w:sz w:val="24"/>
          <w:szCs w:val="24"/>
          <w:lang w:bidi="en-US"/>
        </w:rPr>
        <w:t>e</w:t>
      </w:r>
      <w:r>
        <w:rPr>
          <w:rFonts w:hint="eastAsia"/>
          <w:sz w:val="24"/>
          <w:szCs w:val="24"/>
          <w:lang w:bidi="en-US"/>
        </w:rPr>
        <w:t>采通</w:t>
      </w:r>
      <w:r>
        <w:rPr>
          <w:sz w:val="24"/>
          <w:szCs w:val="24"/>
          <w:lang w:bidi="en-US"/>
        </w:rPr>
        <w:t>平台注册</w:t>
      </w:r>
      <w:r>
        <w:rPr>
          <w:rFonts w:hint="eastAsia"/>
          <w:sz w:val="24"/>
          <w:szCs w:val="24"/>
          <w:lang w:bidi="en-US"/>
        </w:rPr>
        <w:t>再应标（e采通系统-招标中心-非生产类招标-供应商应标）。</w:t>
      </w:r>
    </w:p>
    <w:p>
      <w:pPr>
        <w:pStyle w:val="11"/>
        <w:spacing w:line="360" w:lineRule="auto"/>
        <w:ind w:firstLine="480" w:firstLineChars="200"/>
        <w:rPr>
          <w:b/>
          <w:bCs/>
          <w:sz w:val="24"/>
          <w:szCs w:val="22"/>
          <w:shd w:val="clear" w:color="auto" w:fill="FFFF00"/>
        </w:rPr>
      </w:pPr>
      <w:r>
        <w:rPr>
          <w:rFonts w:hint="eastAsia"/>
          <w:b/>
          <w:bCs/>
          <w:sz w:val="24"/>
          <w:szCs w:val="22"/>
          <w:shd w:val="clear" w:color="auto" w:fill="FFFF00"/>
        </w:rPr>
        <w:t>1.投标人报名表（见格式11）；</w:t>
      </w:r>
    </w:p>
    <w:p>
      <w:pPr>
        <w:pStyle w:val="11"/>
        <w:spacing w:line="360" w:lineRule="auto"/>
        <w:ind w:firstLine="480" w:firstLineChars="200"/>
        <w:rPr>
          <w:b/>
          <w:bCs/>
          <w:sz w:val="24"/>
          <w:szCs w:val="22"/>
          <w:shd w:val="clear" w:color="auto" w:fill="FFFF00"/>
        </w:rPr>
      </w:pPr>
      <w:r>
        <w:rPr>
          <w:rFonts w:hint="eastAsia"/>
          <w:b/>
          <w:bCs/>
          <w:sz w:val="24"/>
          <w:szCs w:val="22"/>
          <w:shd w:val="clear" w:color="auto" w:fill="FFFF00"/>
        </w:rPr>
        <w:t>2.营业执照副本复印件及相关资质；</w:t>
      </w:r>
    </w:p>
    <w:p>
      <w:pPr>
        <w:pStyle w:val="11"/>
        <w:spacing w:line="360" w:lineRule="auto"/>
        <w:ind w:firstLine="480" w:firstLineChars="200"/>
        <w:rPr>
          <w:b/>
          <w:bCs/>
          <w:sz w:val="24"/>
          <w:szCs w:val="22"/>
          <w:shd w:val="clear" w:color="auto" w:fill="FFFF00"/>
        </w:rPr>
      </w:pPr>
      <w:r>
        <w:rPr>
          <w:rFonts w:hint="eastAsia"/>
          <w:b/>
          <w:bCs/>
          <w:sz w:val="24"/>
          <w:szCs w:val="22"/>
          <w:shd w:val="clear" w:color="auto" w:fill="FFFF00"/>
        </w:rPr>
        <w:t>3.公司简介和项目相关三年业绩；</w:t>
      </w:r>
    </w:p>
    <w:p>
      <w:pPr>
        <w:pStyle w:val="11"/>
        <w:spacing w:line="360" w:lineRule="auto"/>
        <w:ind w:firstLine="480" w:firstLineChars="200"/>
        <w:rPr>
          <w:b/>
          <w:bCs/>
          <w:sz w:val="24"/>
          <w:szCs w:val="22"/>
          <w:shd w:val="clear" w:color="auto" w:fill="FFFF00"/>
        </w:rPr>
      </w:pPr>
      <w:r>
        <w:rPr>
          <w:rFonts w:hint="eastAsia"/>
          <w:b/>
          <w:bCs/>
          <w:sz w:val="24"/>
          <w:szCs w:val="22"/>
          <w:shd w:val="clear" w:color="auto" w:fill="FFFF00"/>
        </w:rPr>
        <w:t>4.信用中国截图（报名日期当日“信用中国”网站(www.creditchina.gov.cn）查询本单位未被列入联合惩戒失信人名单的网页截图）。</w:t>
      </w:r>
    </w:p>
    <w:p>
      <w:pPr>
        <w:pStyle w:val="11"/>
        <w:spacing w:line="360" w:lineRule="auto"/>
        <w:ind w:firstLine="480" w:firstLineChars="200"/>
        <w:rPr>
          <w:sz w:val="24"/>
          <w:szCs w:val="22"/>
        </w:rPr>
      </w:pPr>
      <w:r>
        <w:rPr>
          <w:rFonts w:hint="eastAsia"/>
          <w:b/>
          <w:sz w:val="24"/>
          <w:szCs w:val="22"/>
        </w:rPr>
        <w:t>报名截止时间：2025年</w:t>
      </w:r>
      <w:r>
        <w:rPr>
          <w:rFonts w:hint="default"/>
          <w:b/>
          <w:sz w:val="24"/>
          <w:szCs w:val="22"/>
          <w:woUserID w:val="1"/>
        </w:rPr>
        <w:t>9</w:t>
      </w:r>
      <w:r>
        <w:rPr>
          <w:rFonts w:hint="eastAsia"/>
          <w:b/>
          <w:sz w:val="24"/>
          <w:szCs w:val="22"/>
        </w:rPr>
        <w:t>月</w:t>
      </w:r>
      <w:r>
        <w:rPr>
          <w:rFonts w:hint="default"/>
          <w:b/>
          <w:sz w:val="24"/>
          <w:szCs w:val="22"/>
          <w:woUserID w:val="1"/>
        </w:rPr>
        <w:t>1</w:t>
      </w:r>
      <w:r>
        <w:rPr>
          <w:rFonts w:hint="eastAsia"/>
          <w:b/>
          <w:sz w:val="24"/>
          <w:szCs w:val="22"/>
        </w:rPr>
        <w:t>日。</w:t>
      </w:r>
    </w:p>
    <w:p>
      <w:pPr>
        <w:pStyle w:val="11"/>
        <w:spacing w:line="360" w:lineRule="auto"/>
        <w:ind w:firstLine="480" w:firstLineChars="200"/>
        <w:rPr>
          <w:sz w:val="24"/>
          <w:szCs w:val="22"/>
        </w:rPr>
      </w:pPr>
      <w:r>
        <w:rPr>
          <w:rFonts w:hint="eastAsia"/>
          <w:sz w:val="24"/>
          <w:szCs w:val="22"/>
        </w:rPr>
        <w:t>报名联系人：曹老师，</w:t>
      </w:r>
      <w:r>
        <w:rPr>
          <w:sz w:val="24"/>
          <w:szCs w:val="22"/>
        </w:rPr>
        <w:t>19861850202</w:t>
      </w:r>
      <w:r>
        <w:rPr>
          <w:rFonts w:hint="eastAsia"/>
          <w:sz w:val="24"/>
          <w:szCs w:val="22"/>
        </w:rPr>
        <w:t>。</w:t>
      </w:r>
    </w:p>
    <w:p>
      <w:pPr>
        <w:pStyle w:val="11"/>
        <w:spacing w:line="360" w:lineRule="auto"/>
        <w:ind w:firstLine="480" w:firstLineChars="200"/>
        <w:rPr>
          <w:sz w:val="24"/>
          <w:szCs w:val="22"/>
        </w:rPr>
      </w:pPr>
      <w:r>
        <w:rPr>
          <w:sz w:val="24"/>
          <w:szCs w:val="22"/>
        </w:rPr>
        <w:t>4</w:t>
      </w:r>
      <w:r>
        <w:rPr>
          <w:rFonts w:hint="eastAsia"/>
          <w:sz w:val="24"/>
          <w:szCs w:val="22"/>
        </w:rPr>
        <w:t>.投标</w:t>
      </w:r>
    </w:p>
    <w:p>
      <w:pPr>
        <w:pStyle w:val="11"/>
        <w:spacing w:line="360" w:lineRule="auto"/>
        <w:ind w:firstLine="480" w:firstLineChars="200"/>
        <w:rPr>
          <w:sz w:val="24"/>
          <w:szCs w:val="22"/>
        </w:rPr>
      </w:pPr>
      <w:r>
        <w:rPr>
          <w:sz w:val="24"/>
          <w:szCs w:val="22"/>
        </w:rPr>
        <w:t>应标通过的投标人</w:t>
      </w:r>
      <w:r>
        <w:rPr>
          <w:rFonts w:hint="eastAsia"/>
          <w:sz w:val="24"/>
          <w:szCs w:val="22"/>
        </w:rPr>
        <w:t>，</w:t>
      </w:r>
      <w:r>
        <w:rPr>
          <w:rFonts w:hint="eastAsia"/>
          <w:b/>
          <w:sz w:val="24"/>
          <w:szCs w:val="22"/>
        </w:rPr>
        <w:t>在投标截止时间前</w:t>
      </w:r>
      <w:r>
        <w:rPr>
          <w:rFonts w:hint="eastAsia"/>
          <w:sz w:val="24"/>
          <w:szCs w:val="22"/>
        </w:rPr>
        <w:t>在e采通</w:t>
      </w:r>
      <w:r>
        <w:rPr>
          <w:sz w:val="24"/>
          <w:szCs w:val="22"/>
        </w:rPr>
        <w:t>上传标书要求的资质文件、技术标文件、商务标文</w:t>
      </w:r>
      <w:r>
        <w:rPr>
          <w:rFonts w:hint="eastAsia"/>
          <w:sz w:val="24"/>
          <w:szCs w:val="22"/>
        </w:rPr>
        <w:t>件。</w:t>
      </w:r>
    </w:p>
    <w:p>
      <w:pPr>
        <w:pStyle w:val="11"/>
        <w:spacing w:line="360" w:lineRule="auto"/>
        <w:ind w:firstLine="480" w:firstLineChars="200"/>
        <w:rPr>
          <w:b/>
          <w:sz w:val="24"/>
          <w:szCs w:val="22"/>
        </w:rPr>
      </w:pPr>
      <w:r>
        <w:rPr>
          <w:rFonts w:hint="eastAsia"/>
          <w:b/>
          <w:sz w:val="24"/>
          <w:szCs w:val="22"/>
        </w:rPr>
        <w:t>投标截止时间：2025年</w:t>
      </w:r>
      <w:r>
        <w:rPr>
          <w:rFonts w:hint="default"/>
          <w:b/>
          <w:sz w:val="24"/>
          <w:szCs w:val="22"/>
          <w:woUserID w:val="1"/>
        </w:rPr>
        <w:t>9</w:t>
      </w:r>
      <w:r>
        <w:rPr>
          <w:rFonts w:hint="eastAsia"/>
          <w:b/>
          <w:sz w:val="24"/>
          <w:szCs w:val="22"/>
        </w:rPr>
        <w:t>月</w:t>
      </w:r>
      <w:r>
        <w:rPr>
          <w:rFonts w:hint="default"/>
          <w:b/>
          <w:sz w:val="24"/>
          <w:szCs w:val="22"/>
          <w:woUserID w:val="1"/>
        </w:rPr>
        <w:t>1</w:t>
      </w:r>
      <w:r>
        <w:rPr>
          <w:rFonts w:hint="eastAsia"/>
          <w:b/>
          <w:sz w:val="24"/>
          <w:szCs w:val="22"/>
        </w:rPr>
        <w:t>日。</w:t>
      </w:r>
    </w:p>
    <w:p>
      <w:pPr>
        <w:pStyle w:val="11"/>
        <w:spacing w:line="360" w:lineRule="auto"/>
        <w:ind w:firstLine="480" w:firstLineChars="200"/>
        <w:rPr>
          <w:sz w:val="24"/>
          <w:szCs w:val="22"/>
        </w:rPr>
      </w:pPr>
      <w:r>
        <w:rPr>
          <w:rFonts w:hint="eastAsia"/>
          <w:sz w:val="24"/>
          <w:szCs w:val="22"/>
        </w:rPr>
        <w:t>另外，投标文件纸质版须</w:t>
      </w:r>
      <w:r>
        <w:rPr>
          <w:rFonts w:hint="eastAsia"/>
          <w:bCs/>
          <w:sz w:val="24"/>
          <w:szCs w:val="22"/>
        </w:rPr>
        <w:t>于开标当日在投标地点现场递交。</w:t>
      </w:r>
    </w:p>
    <w:p>
      <w:pPr>
        <w:pStyle w:val="11"/>
        <w:spacing w:line="360" w:lineRule="auto"/>
        <w:ind w:firstLine="480" w:firstLineChars="200"/>
        <w:rPr>
          <w:sz w:val="24"/>
          <w:szCs w:val="22"/>
        </w:rPr>
      </w:pPr>
      <w:r>
        <w:rPr>
          <w:sz w:val="24"/>
          <w:szCs w:val="22"/>
        </w:rPr>
        <w:t>5</w:t>
      </w:r>
      <w:r>
        <w:rPr>
          <w:rFonts w:hint="eastAsia"/>
          <w:sz w:val="24"/>
          <w:szCs w:val="22"/>
        </w:rPr>
        <w:t>.开标时间：以招标方通知为准</w:t>
      </w:r>
      <w:bookmarkStart w:id="68" w:name="_GoBack"/>
      <w:bookmarkEnd w:id="68"/>
      <w:r>
        <w:rPr>
          <w:rFonts w:hint="eastAsia"/>
          <w:sz w:val="24"/>
          <w:szCs w:val="22"/>
        </w:rPr>
        <w:t>。</w:t>
      </w:r>
    </w:p>
    <w:p>
      <w:pPr>
        <w:spacing w:line="360" w:lineRule="auto"/>
        <w:ind w:firstLine="480" w:firstLineChars="200"/>
        <w:rPr>
          <w:rFonts w:ascii="宋体" w:hAnsi="Courier New"/>
          <w:sz w:val="24"/>
          <w:szCs w:val="22"/>
        </w:rPr>
      </w:pPr>
      <w:r>
        <w:rPr>
          <w:sz w:val="24"/>
          <w:szCs w:val="22"/>
        </w:rPr>
        <w:t>6</w:t>
      </w:r>
      <w:r>
        <w:rPr>
          <w:rFonts w:hint="eastAsia"/>
          <w:sz w:val="24"/>
          <w:szCs w:val="22"/>
        </w:rPr>
        <w:t>.开标地点</w:t>
      </w:r>
      <w:r>
        <w:rPr>
          <w:rFonts w:hint="eastAsia" w:ascii="宋体" w:hAnsi="Courier New"/>
          <w:sz w:val="24"/>
          <w:szCs w:val="22"/>
        </w:rPr>
        <w:t>：济南市章丘区圣井街道世纪大道7777号章丘重汽工业园5号门。</w:t>
      </w:r>
    </w:p>
    <w:p>
      <w:pPr>
        <w:pStyle w:val="2"/>
        <w:keepLines w:val="0"/>
        <w:widowControl/>
        <w:spacing w:before="0" w:after="0" w:line="360" w:lineRule="auto"/>
        <w:ind w:right="206" w:rightChars="98"/>
        <w:rPr>
          <w:rFonts w:hint="eastAsia" w:hAnsi="宋体"/>
          <w:kern w:val="2"/>
          <w:sz w:val="32"/>
          <w:szCs w:val="32"/>
        </w:rPr>
      </w:pPr>
      <w:bookmarkStart w:id="6" w:name="_Toc205983500"/>
      <w:r>
        <w:rPr>
          <w:rFonts w:hint="eastAsia" w:hAnsi="宋体"/>
          <w:kern w:val="2"/>
          <w:sz w:val="32"/>
          <w:szCs w:val="32"/>
        </w:rPr>
        <w:t>五、获取招标文件</w:t>
      </w:r>
      <w:bookmarkEnd w:id="6"/>
    </w:p>
    <w:p>
      <w:pPr>
        <w:pStyle w:val="11"/>
        <w:spacing w:line="360" w:lineRule="auto"/>
        <w:ind w:firstLine="480" w:firstLineChars="200"/>
      </w:pPr>
      <w:r>
        <w:rPr>
          <w:rFonts w:hint="eastAsia" w:ascii="Times New Roman" w:hAnsi="Times New Roman"/>
          <w:color w:val="000000"/>
          <w:sz w:val="24"/>
          <w:szCs w:val="24"/>
        </w:rPr>
        <w:t>获取方式：投标方在中国重汽官网http://www.cnhtc.com.cn（新闻中心-通知公告）自行下载招标公告。</w:t>
      </w:r>
    </w:p>
    <w:p>
      <w:pPr>
        <w:pStyle w:val="2"/>
        <w:keepLines w:val="0"/>
        <w:widowControl/>
        <w:spacing w:before="0" w:after="0" w:line="360" w:lineRule="auto"/>
        <w:ind w:right="206" w:rightChars="98"/>
        <w:rPr>
          <w:rFonts w:hint="eastAsia" w:hAnsi="宋体"/>
          <w:kern w:val="2"/>
          <w:sz w:val="32"/>
          <w:szCs w:val="32"/>
        </w:rPr>
      </w:pPr>
      <w:bookmarkStart w:id="7" w:name="_Toc205983501"/>
      <w:r>
        <w:rPr>
          <w:rFonts w:hint="eastAsia" w:hAnsi="宋体"/>
          <w:kern w:val="2"/>
          <w:sz w:val="32"/>
          <w:szCs w:val="32"/>
        </w:rPr>
        <w:t>六、投标须知</w:t>
      </w:r>
      <w:bookmarkEnd w:id="7"/>
    </w:p>
    <w:p>
      <w:pPr>
        <w:pStyle w:val="11"/>
        <w:spacing w:line="360" w:lineRule="auto"/>
        <w:ind w:firstLine="480" w:firstLineChars="200"/>
        <w:rPr>
          <w:b/>
          <w:sz w:val="24"/>
          <w:szCs w:val="22"/>
        </w:rPr>
      </w:pPr>
      <w:r>
        <w:rPr>
          <w:rFonts w:hint="eastAsia"/>
          <w:b/>
          <w:sz w:val="24"/>
          <w:szCs w:val="22"/>
        </w:rPr>
        <w:t>1.合格投标人：</w:t>
      </w:r>
    </w:p>
    <w:p>
      <w:pPr>
        <w:pStyle w:val="11"/>
        <w:spacing w:line="360" w:lineRule="auto"/>
        <w:ind w:firstLine="480" w:firstLineChars="200"/>
        <w:rPr>
          <w:b/>
          <w:sz w:val="24"/>
          <w:szCs w:val="22"/>
        </w:rPr>
      </w:pPr>
      <w:r>
        <w:rPr>
          <w:rFonts w:hint="eastAsia" w:hAnsi="宋体"/>
          <w:sz w:val="24"/>
          <w:szCs w:val="22"/>
        </w:rPr>
        <w:t>⑴</w:t>
      </w:r>
      <w:r>
        <w:rPr>
          <w:rFonts w:hint="eastAsia"/>
          <w:sz w:val="24"/>
          <w:szCs w:val="22"/>
        </w:rPr>
        <w:t>投标人须遵守《中华人民共和国招标投标法》《中华人民共和国民法典》及其它有关的法律和法规；为中华人民共和国境内注册的独立法人机构，具有独立承担民事责任能力；</w:t>
      </w:r>
    </w:p>
    <w:p>
      <w:pPr>
        <w:pStyle w:val="11"/>
        <w:spacing w:line="360" w:lineRule="auto"/>
        <w:ind w:firstLine="480" w:firstLineChars="200"/>
        <w:rPr>
          <w:sz w:val="24"/>
          <w:szCs w:val="22"/>
        </w:rPr>
      </w:pPr>
      <w:r>
        <w:rPr>
          <w:rFonts w:hint="eastAsia" w:hAnsi="宋体"/>
          <w:sz w:val="24"/>
          <w:szCs w:val="22"/>
        </w:rPr>
        <w:t>⑵</w:t>
      </w:r>
      <w:r>
        <w:rPr>
          <w:rFonts w:hint="eastAsia"/>
          <w:sz w:val="24"/>
          <w:szCs w:val="22"/>
        </w:rPr>
        <w:t>公司成立三年以上（以营业执照成立日期到开标当日满三年为准）注册资金不能少于</w:t>
      </w:r>
      <w:r>
        <w:rPr>
          <w:sz w:val="24"/>
          <w:szCs w:val="22"/>
        </w:rPr>
        <w:t>1</w:t>
      </w:r>
      <w:r>
        <w:rPr>
          <w:rFonts w:hint="eastAsia"/>
          <w:sz w:val="24"/>
          <w:szCs w:val="22"/>
        </w:rPr>
        <w:t>000万</w:t>
      </w:r>
      <w:r>
        <w:rPr>
          <w:rFonts w:hint="eastAsia"/>
          <w:sz w:val="24"/>
          <w:szCs w:val="28"/>
        </w:rPr>
        <w:t>（目前为中国重汽提供物流服务的物流商不受该条件限制）；经营</w:t>
      </w:r>
      <w:r>
        <w:rPr>
          <w:rFonts w:hint="eastAsia"/>
          <w:sz w:val="24"/>
          <w:szCs w:val="22"/>
        </w:rPr>
        <w:t>范围满足招标项目需求；</w:t>
      </w:r>
    </w:p>
    <w:p>
      <w:pPr>
        <w:pStyle w:val="11"/>
        <w:spacing w:line="360" w:lineRule="auto"/>
        <w:ind w:firstLine="480" w:firstLineChars="200"/>
        <w:rPr>
          <w:sz w:val="24"/>
          <w:szCs w:val="22"/>
        </w:rPr>
      </w:pPr>
      <w:r>
        <w:rPr>
          <w:rFonts w:hint="eastAsia"/>
          <w:sz w:val="24"/>
          <w:szCs w:val="22"/>
        </w:rPr>
        <w:t>⑶投标人须提供具有统一社会信用代码的新版营业执照复印件</w:t>
      </w:r>
      <w:r>
        <w:rPr>
          <w:rFonts w:hint="eastAsia"/>
          <w:b/>
          <w:bCs/>
          <w:sz w:val="24"/>
          <w:szCs w:val="22"/>
        </w:rPr>
        <w:t>（加盖公章）</w:t>
      </w:r>
      <w:r>
        <w:rPr>
          <w:rFonts w:hint="eastAsia"/>
          <w:sz w:val="24"/>
          <w:szCs w:val="22"/>
        </w:rPr>
        <w:t>；</w:t>
      </w:r>
    </w:p>
    <w:p>
      <w:pPr>
        <w:pStyle w:val="11"/>
        <w:spacing w:line="360" w:lineRule="auto"/>
        <w:ind w:firstLine="480" w:firstLineChars="200"/>
        <w:rPr>
          <w:sz w:val="24"/>
          <w:szCs w:val="22"/>
        </w:rPr>
      </w:pPr>
      <w:r>
        <w:rPr>
          <w:rFonts w:hint="eastAsia" w:hAnsi="宋体"/>
          <w:sz w:val="24"/>
          <w:szCs w:val="22"/>
        </w:rPr>
        <w:t>⑷</w:t>
      </w:r>
      <w:r>
        <w:rPr>
          <w:sz w:val="24"/>
          <w:szCs w:val="22"/>
        </w:rPr>
        <w:t>投标人具备道路运输主管部门批准的道路运输资质，拥有道路运输主管部门颁发的</w:t>
      </w:r>
      <w:r>
        <w:rPr>
          <w:rFonts w:hint="eastAsia"/>
          <w:sz w:val="24"/>
          <w:szCs w:val="22"/>
        </w:rPr>
        <w:t>“</w:t>
      </w:r>
      <w:r>
        <w:rPr>
          <w:sz w:val="24"/>
          <w:szCs w:val="22"/>
        </w:rPr>
        <w:t>道路运输经营许可证</w:t>
      </w:r>
      <w:r>
        <w:rPr>
          <w:rFonts w:hint="eastAsia"/>
          <w:sz w:val="24"/>
          <w:szCs w:val="22"/>
        </w:rPr>
        <w:t>”；</w:t>
      </w:r>
    </w:p>
    <w:p>
      <w:pPr>
        <w:spacing w:line="360" w:lineRule="auto"/>
        <w:ind w:firstLine="480" w:firstLineChars="200"/>
        <w:rPr>
          <w:rFonts w:ascii="宋体" w:hAnsi="Courier New"/>
          <w:sz w:val="24"/>
          <w:szCs w:val="22"/>
        </w:rPr>
      </w:pPr>
      <w:r>
        <w:rPr>
          <w:rFonts w:hint="eastAsia" w:hAnsi="宋体"/>
          <w:sz w:val="24"/>
          <w:szCs w:val="22"/>
        </w:rPr>
        <w:t>⑸</w:t>
      </w:r>
      <w:r>
        <w:rPr>
          <w:rFonts w:hint="eastAsia"/>
          <w:sz w:val="24"/>
          <w:szCs w:val="22"/>
        </w:rPr>
        <w:t>投标人须无条件接受招标人关于物流商的所有管理规定；</w:t>
      </w:r>
    </w:p>
    <w:p>
      <w:pPr>
        <w:pStyle w:val="11"/>
        <w:spacing w:line="360" w:lineRule="auto"/>
        <w:ind w:firstLine="480" w:firstLineChars="200"/>
        <w:rPr>
          <w:b/>
          <w:sz w:val="24"/>
          <w:szCs w:val="22"/>
        </w:rPr>
      </w:pPr>
      <w:r>
        <w:rPr>
          <w:rFonts w:hint="eastAsia" w:hAnsi="宋体"/>
          <w:sz w:val="24"/>
          <w:szCs w:val="22"/>
        </w:rPr>
        <w:t>⑹</w:t>
      </w:r>
      <w:r>
        <w:rPr>
          <w:rFonts w:hint="eastAsia"/>
          <w:sz w:val="24"/>
          <w:szCs w:val="22"/>
        </w:rPr>
        <w:t>投标人在近三年内在经营活动中无违法记录；</w:t>
      </w:r>
    </w:p>
    <w:p>
      <w:pPr>
        <w:pStyle w:val="11"/>
        <w:spacing w:line="360" w:lineRule="auto"/>
        <w:ind w:firstLine="480" w:firstLineChars="200"/>
        <w:rPr>
          <w:sz w:val="24"/>
          <w:szCs w:val="22"/>
        </w:rPr>
      </w:pPr>
      <w:r>
        <w:rPr>
          <w:rFonts w:hint="eastAsia" w:hAnsi="宋体"/>
          <w:sz w:val="24"/>
          <w:szCs w:val="22"/>
        </w:rPr>
        <w:t>⑺</w:t>
      </w:r>
      <w:r>
        <w:rPr>
          <w:rFonts w:hint="eastAsia"/>
          <w:sz w:val="24"/>
          <w:szCs w:val="22"/>
        </w:rPr>
        <w:t>具有健全的财务会计制度，财务状况和市场行为良好。没有处于被有权机关吊销营业执照、吊销资质、停业整顿、取消投标资格以及财产被接管、冻结或进入破产程序等；</w:t>
      </w:r>
    </w:p>
    <w:p>
      <w:pPr>
        <w:pStyle w:val="11"/>
        <w:spacing w:line="360" w:lineRule="auto"/>
        <w:ind w:firstLine="480" w:firstLineChars="200"/>
        <w:rPr>
          <w:sz w:val="24"/>
          <w:szCs w:val="22"/>
        </w:rPr>
      </w:pPr>
      <w:r>
        <w:rPr>
          <w:rFonts w:hint="eastAsia"/>
          <w:sz w:val="24"/>
          <w:szCs w:val="22"/>
        </w:rPr>
        <w:t>投标人的直接或间接股东、法定代表人、董事、监事、高管非重汽员工及其亲属；</w:t>
      </w:r>
    </w:p>
    <w:p>
      <w:pPr>
        <w:pStyle w:val="11"/>
        <w:spacing w:line="360" w:lineRule="auto"/>
        <w:ind w:firstLine="480" w:firstLineChars="200"/>
        <w:rPr>
          <w:sz w:val="24"/>
          <w:szCs w:val="22"/>
        </w:rPr>
      </w:pPr>
      <w:r>
        <w:rPr>
          <w:rFonts w:hint="eastAsia" w:hAnsi="宋体"/>
          <w:sz w:val="24"/>
          <w:szCs w:val="22"/>
        </w:rPr>
        <w:t>⑻</w:t>
      </w:r>
      <w:r>
        <w:rPr>
          <w:rFonts w:hint="eastAsia"/>
          <w:sz w:val="24"/>
          <w:szCs w:val="22"/>
        </w:rPr>
        <w:t>投标人没有被列入招标人处《黑名单》（《黑名单》指投标人</w:t>
      </w:r>
      <w:r>
        <w:rPr>
          <w:sz w:val="24"/>
          <w:szCs w:val="22"/>
        </w:rPr>
        <w:t>与招标人在以往</w:t>
      </w:r>
      <w:r>
        <w:rPr>
          <w:rFonts w:hint="eastAsia"/>
          <w:sz w:val="24"/>
          <w:szCs w:val="22"/>
        </w:rPr>
        <w:t>或</w:t>
      </w:r>
      <w:r>
        <w:rPr>
          <w:sz w:val="24"/>
          <w:szCs w:val="22"/>
        </w:rPr>
        <w:t>正在</w:t>
      </w:r>
      <w:r>
        <w:rPr>
          <w:rFonts w:hint="eastAsia"/>
          <w:sz w:val="24"/>
          <w:szCs w:val="22"/>
        </w:rPr>
        <w:t>进行</w:t>
      </w:r>
      <w:r>
        <w:rPr>
          <w:sz w:val="24"/>
          <w:szCs w:val="22"/>
        </w:rPr>
        <w:t>的合作中</w:t>
      </w:r>
      <w:r>
        <w:rPr>
          <w:rFonts w:hint="eastAsia"/>
          <w:sz w:val="24"/>
          <w:szCs w:val="22"/>
        </w:rPr>
        <w:t>，</w:t>
      </w:r>
      <w:r>
        <w:rPr>
          <w:sz w:val="24"/>
          <w:szCs w:val="22"/>
        </w:rPr>
        <w:t>存在</w:t>
      </w:r>
      <w:r>
        <w:rPr>
          <w:rFonts w:hint="eastAsia"/>
          <w:sz w:val="24"/>
          <w:szCs w:val="22"/>
        </w:rPr>
        <w:t>招标人</w:t>
      </w:r>
      <w:r>
        <w:rPr>
          <w:sz w:val="24"/>
          <w:szCs w:val="22"/>
        </w:rPr>
        <w:t>认为的</w:t>
      </w:r>
      <w:r>
        <w:rPr>
          <w:rFonts w:hint="eastAsia"/>
          <w:sz w:val="24"/>
          <w:szCs w:val="22"/>
        </w:rPr>
        <w:t>违反合同</w:t>
      </w:r>
      <w:r>
        <w:rPr>
          <w:sz w:val="24"/>
          <w:szCs w:val="22"/>
        </w:rPr>
        <w:t>约定或</w:t>
      </w:r>
      <w:r>
        <w:rPr>
          <w:rFonts w:hint="eastAsia"/>
          <w:sz w:val="24"/>
          <w:szCs w:val="22"/>
        </w:rPr>
        <w:t>违反法律法规</w:t>
      </w:r>
      <w:r>
        <w:rPr>
          <w:sz w:val="24"/>
          <w:szCs w:val="22"/>
        </w:rPr>
        <w:t>等的</w:t>
      </w:r>
      <w:r>
        <w:rPr>
          <w:rFonts w:hint="eastAsia"/>
          <w:sz w:val="24"/>
          <w:szCs w:val="22"/>
        </w:rPr>
        <w:t>失信行为）的；</w:t>
      </w:r>
    </w:p>
    <w:p>
      <w:pPr>
        <w:pStyle w:val="11"/>
        <w:spacing w:line="360" w:lineRule="auto"/>
        <w:ind w:firstLine="480" w:firstLineChars="200"/>
        <w:rPr>
          <w:sz w:val="24"/>
          <w:szCs w:val="22"/>
        </w:rPr>
      </w:pPr>
      <w:r>
        <w:rPr>
          <w:rFonts w:hint="eastAsia" w:hAnsi="宋体"/>
          <w:sz w:val="24"/>
          <w:szCs w:val="22"/>
        </w:rPr>
        <w:t>⑼</w:t>
      </w:r>
      <w:r>
        <w:rPr>
          <w:rFonts w:hint="eastAsia"/>
          <w:sz w:val="24"/>
          <w:szCs w:val="22"/>
        </w:rPr>
        <w:t>投标人须提供</w:t>
      </w:r>
      <w:r>
        <w:rPr>
          <w:rFonts w:ascii="Arial" w:hAnsi="Arial" w:cs="Arial"/>
          <w:sz w:val="24"/>
          <w:szCs w:val="22"/>
          <w:shd w:val="clear" w:color="auto" w:fill="FFFFFF"/>
        </w:rPr>
        <w:t>经会计师事务所审计且出具无保留意见的</w:t>
      </w:r>
      <w:r>
        <w:rPr>
          <w:rFonts w:ascii="Arial" w:hAnsi="Arial" w:cs="Arial"/>
          <w:b/>
          <w:bCs/>
          <w:sz w:val="24"/>
          <w:szCs w:val="22"/>
          <w:shd w:val="clear" w:color="auto" w:fill="FFFFFF"/>
        </w:rPr>
        <w:t>近三年的财务审计报告原件</w:t>
      </w:r>
      <w:r>
        <w:rPr>
          <w:rFonts w:ascii="Arial" w:hAnsi="Arial" w:cs="Arial"/>
          <w:sz w:val="24"/>
          <w:szCs w:val="22"/>
          <w:shd w:val="clear" w:color="auto" w:fill="FFFFFF"/>
        </w:rPr>
        <w:t>，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sz w:val="24"/>
          <w:szCs w:val="22"/>
        </w:rPr>
        <w:t>；</w:t>
      </w:r>
    </w:p>
    <w:p>
      <w:pPr>
        <w:pStyle w:val="11"/>
        <w:spacing w:line="360" w:lineRule="auto"/>
        <w:ind w:firstLine="480" w:firstLineChars="200"/>
        <w:rPr>
          <w:sz w:val="24"/>
          <w:szCs w:val="22"/>
        </w:rPr>
      </w:pPr>
      <w:r>
        <w:rPr>
          <w:rFonts w:hint="eastAsia"/>
          <w:sz w:val="24"/>
          <w:szCs w:val="22"/>
        </w:rPr>
        <w:t>投标人须提供企业最近半年完税证明、信用证明材料（征信报告）；年度纳税信用评价信息（可从电子税务局查询截图，需加盖公章）；企业对外担保说明（写明贵单位对外有无对外担保和质押业务，需加盖公章）；</w:t>
      </w:r>
    </w:p>
    <w:p>
      <w:pPr>
        <w:pStyle w:val="11"/>
        <w:spacing w:line="360" w:lineRule="auto"/>
        <w:ind w:firstLine="480" w:firstLineChars="200"/>
        <w:rPr>
          <w:sz w:val="24"/>
          <w:szCs w:val="22"/>
        </w:rPr>
      </w:pPr>
      <w:r>
        <w:rPr>
          <w:rFonts w:hint="eastAsia" w:hAnsi="宋体"/>
          <w:sz w:val="24"/>
          <w:szCs w:val="22"/>
        </w:rPr>
        <w:t>⑽</w:t>
      </w:r>
      <w:r>
        <w:rPr>
          <w:rFonts w:hint="eastAsia"/>
          <w:sz w:val="24"/>
          <w:szCs w:val="22"/>
        </w:rPr>
        <w:t>投标人须提供法人授权委托书</w:t>
      </w:r>
      <w:r>
        <w:rPr>
          <w:rFonts w:hint="eastAsia"/>
          <w:b/>
          <w:sz w:val="24"/>
          <w:szCs w:val="22"/>
        </w:rPr>
        <w:t>原件</w:t>
      </w:r>
      <w:r>
        <w:rPr>
          <w:rFonts w:hint="eastAsia"/>
          <w:sz w:val="24"/>
          <w:szCs w:val="22"/>
        </w:rPr>
        <w:t>（在投标文件副本中可用复印件）及投标单位的授权代表的身份证</w:t>
      </w:r>
      <w:r>
        <w:rPr>
          <w:rFonts w:hint="eastAsia"/>
          <w:b/>
          <w:sz w:val="24"/>
          <w:szCs w:val="22"/>
        </w:rPr>
        <w:t>原件</w:t>
      </w:r>
      <w:r>
        <w:rPr>
          <w:rFonts w:hint="eastAsia"/>
          <w:sz w:val="24"/>
          <w:szCs w:val="22"/>
        </w:rPr>
        <w:t>及复印件（加盖公章）；</w:t>
      </w:r>
    </w:p>
    <w:p>
      <w:pPr>
        <w:pStyle w:val="11"/>
        <w:spacing w:line="360" w:lineRule="auto"/>
        <w:ind w:firstLine="480" w:firstLineChars="200"/>
        <w:rPr>
          <w:sz w:val="24"/>
          <w:szCs w:val="22"/>
        </w:rPr>
      </w:pPr>
      <w:r>
        <w:rPr>
          <w:rFonts w:hint="eastAsia" w:hAnsi="宋体"/>
          <w:sz w:val="24"/>
          <w:szCs w:val="22"/>
        </w:rPr>
        <w:t>⑾</w:t>
      </w:r>
      <w:r>
        <w:rPr>
          <w:rFonts w:hint="eastAsia"/>
          <w:sz w:val="24"/>
          <w:szCs w:val="22"/>
        </w:rPr>
        <w:t>投标人须具有履行合同所必须的设备、财务、技术、服务等方面的资质和能力；</w:t>
      </w:r>
    </w:p>
    <w:p>
      <w:pPr>
        <w:pStyle w:val="11"/>
        <w:spacing w:line="360" w:lineRule="auto"/>
        <w:ind w:firstLine="480" w:firstLineChars="200"/>
        <w:rPr>
          <w:sz w:val="24"/>
          <w:szCs w:val="22"/>
        </w:rPr>
      </w:pPr>
      <w:r>
        <w:rPr>
          <w:rFonts w:hint="eastAsia" w:hAnsi="宋体"/>
          <w:sz w:val="24"/>
          <w:szCs w:val="22"/>
        </w:rPr>
        <w:t>⑿</w:t>
      </w:r>
      <w:r>
        <w:rPr>
          <w:rFonts w:hint="eastAsia"/>
          <w:sz w:val="24"/>
          <w:szCs w:val="22"/>
        </w:rPr>
        <w:t>投标人须具有完全履行招标文件的所有要求的能力，需提供近几年类似项目业绩证明；</w:t>
      </w:r>
    </w:p>
    <w:p>
      <w:pPr>
        <w:pStyle w:val="11"/>
        <w:spacing w:line="360" w:lineRule="auto"/>
        <w:ind w:firstLine="480" w:firstLineChars="200"/>
        <w:rPr>
          <w:sz w:val="24"/>
          <w:szCs w:val="22"/>
        </w:rPr>
      </w:pPr>
      <w:r>
        <w:rPr>
          <w:rFonts w:hint="eastAsia" w:hAnsi="宋体"/>
          <w:sz w:val="24"/>
          <w:szCs w:val="22"/>
        </w:rPr>
        <w:t>⒀</w:t>
      </w:r>
      <w:r>
        <w:rPr>
          <w:rFonts w:hint="eastAsia"/>
          <w:sz w:val="24"/>
          <w:szCs w:val="22"/>
        </w:rPr>
        <w:t>投标人须认可招标人的工作指令，包括节、假日能正常开展工作的要求；</w:t>
      </w:r>
    </w:p>
    <w:p>
      <w:pPr>
        <w:pStyle w:val="11"/>
        <w:spacing w:line="360" w:lineRule="auto"/>
        <w:ind w:firstLine="480" w:firstLineChars="200"/>
        <w:rPr>
          <w:sz w:val="24"/>
          <w:szCs w:val="22"/>
        </w:rPr>
      </w:pPr>
      <w:r>
        <w:rPr>
          <w:rFonts w:hint="eastAsia" w:hAnsi="宋体"/>
          <w:sz w:val="24"/>
          <w:szCs w:val="22"/>
        </w:rPr>
        <w:t>⒁</w:t>
      </w:r>
      <w:r>
        <w:rPr>
          <w:rFonts w:hint="eastAsia"/>
          <w:sz w:val="24"/>
          <w:szCs w:val="22"/>
        </w:rPr>
        <w:t>投标人必须是最终投标、签订合同的单位，不得以任何理由将已中标项目以任何形式分包或转包给其他单位；</w:t>
      </w:r>
    </w:p>
    <w:p>
      <w:pPr>
        <w:pStyle w:val="11"/>
        <w:spacing w:line="360" w:lineRule="auto"/>
        <w:ind w:firstLine="480" w:firstLineChars="200"/>
        <w:rPr>
          <w:sz w:val="24"/>
          <w:szCs w:val="22"/>
        </w:rPr>
      </w:pPr>
      <w:r>
        <w:rPr>
          <w:rFonts w:hint="eastAsia" w:hAnsi="宋体"/>
          <w:sz w:val="24"/>
          <w:szCs w:val="22"/>
        </w:rPr>
        <w:t>⒂</w:t>
      </w:r>
      <w:r>
        <w:rPr>
          <w:rFonts w:hint="eastAsia"/>
          <w:sz w:val="24"/>
          <w:szCs w:val="22"/>
        </w:rPr>
        <w:t>本次招标项目不接受联合体投标；</w:t>
      </w:r>
    </w:p>
    <w:p>
      <w:pPr>
        <w:pStyle w:val="11"/>
        <w:spacing w:line="360" w:lineRule="auto"/>
        <w:ind w:firstLine="480" w:firstLineChars="200"/>
        <w:rPr>
          <w:sz w:val="24"/>
          <w:szCs w:val="22"/>
        </w:rPr>
      </w:pPr>
      <w:r>
        <w:rPr>
          <w:rFonts w:hint="eastAsia" w:hAnsi="宋体"/>
          <w:sz w:val="24"/>
          <w:szCs w:val="22"/>
        </w:rPr>
        <w:t>⒃</w:t>
      </w:r>
      <w:r>
        <w:rPr>
          <w:rFonts w:hint="eastAsia"/>
          <w:sz w:val="24"/>
          <w:szCs w:val="22"/>
        </w:rPr>
        <w:t>投标人须认可招标人终止合同后3个月退还履约保证金的招标要求；</w:t>
      </w:r>
    </w:p>
    <w:p>
      <w:pPr>
        <w:pStyle w:val="11"/>
        <w:spacing w:line="360" w:lineRule="auto"/>
        <w:ind w:firstLine="480" w:firstLineChars="200"/>
        <w:rPr>
          <w:sz w:val="24"/>
          <w:szCs w:val="22"/>
        </w:rPr>
      </w:pPr>
      <w:r>
        <w:rPr>
          <w:rFonts w:hint="eastAsia"/>
          <w:sz w:val="24"/>
          <w:szCs w:val="22"/>
        </w:rPr>
        <w:t>逾期的投标文件招标人不予受理。</w:t>
      </w:r>
    </w:p>
    <w:p>
      <w:pPr>
        <w:pStyle w:val="11"/>
        <w:spacing w:line="360" w:lineRule="auto"/>
        <w:ind w:firstLine="480" w:firstLineChars="200"/>
        <w:rPr>
          <w:b/>
          <w:sz w:val="24"/>
          <w:szCs w:val="22"/>
        </w:rPr>
      </w:pPr>
      <w:r>
        <w:rPr>
          <w:rFonts w:hint="eastAsia"/>
          <w:b/>
          <w:sz w:val="24"/>
          <w:szCs w:val="22"/>
        </w:rPr>
        <w:t>2.投标文件格式</w:t>
      </w:r>
    </w:p>
    <w:p>
      <w:pPr>
        <w:pStyle w:val="11"/>
        <w:spacing w:line="360" w:lineRule="auto"/>
        <w:ind w:firstLine="480" w:firstLineChars="200"/>
        <w:rPr>
          <w:sz w:val="24"/>
          <w:szCs w:val="22"/>
        </w:rPr>
      </w:pPr>
      <w:r>
        <w:rPr>
          <w:rFonts w:hint="eastAsia"/>
          <w:sz w:val="24"/>
          <w:szCs w:val="22"/>
        </w:rPr>
        <w:t>详见本招标文件“第二章 投标文件编制”，请投标人按格式要求进行填写。</w:t>
      </w:r>
    </w:p>
    <w:p>
      <w:pPr>
        <w:pStyle w:val="11"/>
        <w:spacing w:line="360" w:lineRule="auto"/>
        <w:ind w:firstLine="480" w:firstLineChars="200"/>
        <w:rPr>
          <w:b/>
          <w:sz w:val="24"/>
          <w:szCs w:val="22"/>
        </w:rPr>
      </w:pPr>
      <w:r>
        <w:rPr>
          <w:rFonts w:hint="eastAsia"/>
          <w:b/>
          <w:sz w:val="24"/>
          <w:szCs w:val="22"/>
        </w:rPr>
        <w:t>3.报价：</w:t>
      </w:r>
    </w:p>
    <w:p>
      <w:pPr>
        <w:pStyle w:val="11"/>
        <w:spacing w:line="360" w:lineRule="auto"/>
        <w:ind w:firstLine="480" w:firstLineChars="200"/>
        <w:rPr>
          <w:sz w:val="24"/>
          <w:szCs w:val="22"/>
        </w:rPr>
      </w:pPr>
      <w:r>
        <w:rPr>
          <w:rFonts w:hint="eastAsia" w:hAnsi="宋体"/>
          <w:sz w:val="24"/>
          <w:szCs w:val="22"/>
        </w:rPr>
        <w:t>⑴</w:t>
      </w:r>
      <w:r>
        <w:rPr>
          <w:rFonts w:hint="eastAsia"/>
          <w:sz w:val="24"/>
          <w:szCs w:val="22"/>
        </w:rPr>
        <w:t>本次招标为公开招标，报价应为：</w:t>
      </w:r>
    </w:p>
    <w:p>
      <w:pPr>
        <w:pStyle w:val="11"/>
        <w:spacing w:line="360" w:lineRule="auto"/>
        <w:ind w:firstLine="480" w:firstLineChars="200"/>
        <w:rPr>
          <w:sz w:val="24"/>
          <w:szCs w:val="22"/>
        </w:rPr>
      </w:pPr>
      <w:r>
        <w:rPr>
          <w:rFonts w:hint="eastAsia"/>
          <w:sz w:val="24"/>
          <w:szCs w:val="22"/>
        </w:rPr>
        <w:t>经与招标人或其指派的答疑人员充分沟通确认基础上，由投标人在满足招标人所提出的、与本项目所有相关环节有关的所有费用；</w:t>
      </w:r>
    </w:p>
    <w:p>
      <w:pPr>
        <w:pStyle w:val="11"/>
        <w:spacing w:line="360" w:lineRule="auto"/>
        <w:ind w:firstLine="480" w:firstLineChars="200"/>
        <w:rPr>
          <w:sz w:val="24"/>
          <w:szCs w:val="22"/>
        </w:rPr>
      </w:pPr>
      <w:r>
        <w:rPr>
          <w:rFonts w:hint="eastAsia" w:hAnsi="宋体"/>
          <w:sz w:val="24"/>
          <w:szCs w:val="22"/>
        </w:rPr>
        <w:t>⑵</w:t>
      </w:r>
      <w:r>
        <w:rPr>
          <w:rFonts w:hint="eastAsia"/>
          <w:sz w:val="24"/>
          <w:szCs w:val="22"/>
        </w:rPr>
        <w:t>结算方式：</w:t>
      </w:r>
      <w:r>
        <w:rPr>
          <w:rFonts w:hint="eastAsia"/>
          <w:sz w:val="24"/>
          <w:szCs w:val="22"/>
          <w:highlight w:val="yellow"/>
        </w:rPr>
        <w:t>半年期商业汇票（包括商业承兑汇票和银行承兑汇票），</w:t>
      </w:r>
      <w:r>
        <w:rPr>
          <w:rFonts w:hint="eastAsia"/>
          <w:sz w:val="24"/>
          <w:szCs w:val="22"/>
        </w:rPr>
        <w:t>账期30天，</w:t>
      </w:r>
      <w:r>
        <w:rPr>
          <w:rFonts w:hint="eastAsia"/>
          <w:b/>
          <w:bCs/>
          <w:sz w:val="24"/>
          <w:szCs w:val="22"/>
        </w:rPr>
        <w:t>须开具仓储类增值税专用发票。</w:t>
      </w:r>
    </w:p>
    <w:p>
      <w:pPr>
        <w:pStyle w:val="11"/>
        <w:spacing w:line="360" w:lineRule="auto"/>
        <w:ind w:firstLine="480" w:firstLineChars="200"/>
        <w:rPr>
          <w:b/>
          <w:sz w:val="24"/>
          <w:szCs w:val="22"/>
        </w:rPr>
      </w:pPr>
      <w:r>
        <w:rPr>
          <w:rFonts w:hint="eastAsia"/>
          <w:b/>
          <w:sz w:val="24"/>
          <w:szCs w:val="22"/>
        </w:rPr>
        <w:t>4.技术规范及服务</w:t>
      </w:r>
    </w:p>
    <w:p>
      <w:pPr>
        <w:pStyle w:val="11"/>
        <w:spacing w:line="360" w:lineRule="auto"/>
        <w:ind w:firstLine="480" w:firstLineChars="200"/>
        <w:rPr>
          <w:sz w:val="24"/>
          <w:szCs w:val="22"/>
        </w:rPr>
      </w:pPr>
      <w:r>
        <w:rPr>
          <w:rFonts w:hint="eastAsia"/>
          <w:sz w:val="24"/>
          <w:szCs w:val="22"/>
        </w:rPr>
        <w:t>⑴投标人应与招标人指派的答疑人员充分沟通，理解认可并接受相关技术规范及服务要求。</w:t>
      </w:r>
    </w:p>
    <w:p>
      <w:pPr>
        <w:pStyle w:val="11"/>
        <w:spacing w:line="360" w:lineRule="auto"/>
        <w:ind w:firstLine="480" w:firstLineChars="200"/>
        <w:rPr>
          <w:sz w:val="24"/>
          <w:szCs w:val="22"/>
        </w:rPr>
      </w:pPr>
      <w:r>
        <w:rPr>
          <w:rFonts w:hint="eastAsia"/>
          <w:sz w:val="24"/>
          <w:szCs w:val="22"/>
        </w:rPr>
        <w:t>⑵投标人可免费提供的、包含但不限于招标人所要求的其他相关服务内容，按本招标书“第二章 投标文件编制”要求，在其“开标一览表”中一并说明。</w:t>
      </w:r>
    </w:p>
    <w:p>
      <w:pPr>
        <w:pStyle w:val="11"/>
        <w:spacing w:line="360" w:lineRule="auto"/>
        <w:ind w:firstLine="480" w:firstLineChars="200"/>
        <w:rPr>
          <w:b/>
          <w:sz w:val="24"/>
          <w:szCs w:val="22"/>
        </w:rPr>
      </w:pPr>
      <w:r>
        <w:rPr>
          <w:rFonts w:hint="eastAsia"/>
          <w:b/>
          <w:sz w:val="24"/>
          <w:szCs w:val="22"/>
        </w:rPr>
        <w:t>5.其他</w:t>
      </w:r>
    </w:p>
    <w:p>
      <w:pPr>
        <w:pStyle w:val="11"/>
        <w:spacing w:line="360" w:lineRule="auto"/>
        <w:ind w:firstLine="480" w:firstLineChars="200"/>
        <w:rPr>
          <w:sz w:val="24"/>
          <w:szCs w:val="22"/>
        </w:rPr>
      </w:pPr>
      <w:r>
        <w:rPr>
          <w:rFonts w:hint="eastAsia"/>
          <w:sz w:val="24"/>
          <w:szCs w:val="22"/>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pPr>
        <w:pStyle w:val="11"/>
        <w:spacing w:line="360" w:lineRule="auto"/>
        <w:ind w:firstLine="480" w:firstLineChars="200"/>
        <w:rPr>
          <w:sz w:val="24"/>
          <w:szCs w:val="22"/>
        </w:rPr>
      </w:pPr>
      <w:r>
        <w:rPr>
          <w:rFonts w:hint="eastAsia"/>
          <w:sz w:val="24"/>
          <w:szCs w:val="22"/>
        </w:rPr>
        <w:t>其余未尽事宜，均按合同约定。</w:t>
      </w:r>
    </w:p>
    <w:p>
      <w:pPr>
        <w:pStyle w:val="11"/>
        <w:spacing w:line="360" w:lineRule="auto"/>
        <w:ind w:firstLine="480" w:firstLineChars="200"/>
        <w:rPr>
          <w:b/>
          <w:sz w:val="24"/>
          <w:szCs w:val="22"/>
        </w:rPr>
      </w:pPr>
      <w:r>
        <w:rPr>
          <w:rFonts w:hint="eastAsia"/>
          <w:b/>
          <w:sz w:val="24"/>
          <w:szCs w:val="22"/>
        </w:rPr>
        <w:t>6.要求招标人或相关合同签订单位提供的配合，在标书文件中说明。</w:t>
      </w:r>
    </w:p>
    <w:p>
      <w:pPr>
        <w:pStyle w:val="2"/>
        <w:keepLines w:val="0"/>
        <w:widowControl/>
        <w:spacing w:before="0" w:after="0" w:line="360" w:lineRule="auto"/>
        <w:ind w:right="206" w:rightChars="98"/>
        <w:rPr>
          <w:rFonts w:hint="eastAsia" w:hAnsi="宋体"/>
          <w:kern w:val="2"/>
          <w:sz w:val="32"/>
          <w:szCs w:val="32"/>
        </w:rPr>
      </w:pPr>
      <w:bookmarkStart w:id="8" w:name="_Toc205983502"/>
      <w:r>
        <w:rPr>
          <w:rFonts w:hint="eastAsia" w:hAnsi="宋体"/>
          <w:kern w:val="2"/>
          <w:sz w:val="32"/>
          <w:szCs w:val="32"/>
        </w:rPr>
        <w:t>七、投标、开标、评标</w:t>
      </w:r>
      <w:bookmarkEnd w:id="8"/>
    </w:p>
    <w:p>
      <w:pPr>
        <w:pStyle w:val="11"/>
        <w:spacing w:line="360" w:lineRule="auto"/>
        <w:ind w:firstLine="480" w:firstLineChars="200"/>
        <w:rPr>
          <w:sz w:val="24"/>
          <w:szCs w:val="22"/>
        </w:rPr>
      </w:pPr>
      <w:r>
        <w:rPr>
          <w:rFonts w:hint="eastAsia"/>
          <w:sz w:val="24"/>
          <w:szCs w:val="22"/>
        </w:rPr>
        <w:t>1.投标</w:t>
      </w:r>
    </w:p>
    <w:p>
      <w:pPr>
        <w:pStyle w:val="11"/>
        <w:spacing w:line="360" w:lineRule="auto"/>
        <w:ind w:firstLine="480" w:firstLineChars="200"/>
        <w:rPr>
          <w:sz w:val="24"/>
          <w:szCs w:val="22"/>
        </w:rPr>
      </w:pPr>
      <w:r>
        <w:rPr>
          <w:rFonts w:hint="eastAsia"/>
          <w:sz w:val="24"/>
          <w:szCs w:val="22"/>
        </w:rPr>
        <w:t>1.投标保证金：</w:t>
      </w:r>
    </w:p>
    <w:p>
      <w:pPr>
        <w:pStyle w:val="11"/>
        <w:spacing w:line="360" w:lineRule="auto"/>
        <w:ind w:firstLine="480" w:firstLineChars="200"/>
        <w:rPr>
          <w:sz w:val="24"/>
          <w:szCs w:val="22"/>
        </w:rPr>
      </w:pPr>
      <w:r>
        <w:rPr>
          <w:rFonts w:hint="eastAsia" w:hAnsi="宋体"/>
          <w:sz w:val="24"/>
          <w:szCs w:val="22"/>
        </w:rPr>
        <w:t>⑴</w:t>
      </w:r>
      <w:r>
        <w:rPr>
          <w:rFonts w:hint="eastAsia"/>
          <w:sz w:val="24"/>
          <w:szCs w:val="22"/>
        </w:rPr>
        <w:t>投标人向招标人财务部门缴纳</w:t>
      </w:r>
      <w:r>
        <w:rPr>
          <w:rFonts w:hint="eastAsia"/>
          <w:sz w:val="24"/>
          <w:szCs w:val="22"/>
          <w:u w:val="single"/>
        </w:rPr>
        <w:t>20</w:t>
      </w:r>
      <w:r>
        <w:rPr>
          <w:sz w:val="24"/>
          <w:szCs w:val="22"/>
          <w:u w:val="single"/>
        </w:rPr>
        <w:t>0</w:t>
      </w:r>
      <w:r>
        <w:rPr>
          <w:rFonts w:hint="eastAsia"/>
          <w:sz w:val="24"/>
          <w:szCs w:val="22"/>
          <w:u w:val="single"/>
        </w:rPr>
        <w:t>000元</w:t>
      </w:r>
      <w:r>
        <w:rPr>
          <w:rFonts w:hint="eastAsia"/>
          <w:sz w:val="24"/>
          <w:szCs w:val="22"/>
        </w:rPr>
        <w:t>（人民币），作为投标人本次投标的保证金。</w:t>
      </w:r>
    </w:p>
    <w:p>
      <w:pPr>
        <w:pStyle w:val="11"/>
        <w:spacing w:line="360" w:lineRule="auto"/>
        <w:ind w:firstLine="480" w:firstLineChars="200"/>
        <w:rPr>
          <w:sz w:val="24"/>
          <w:szCs w:val="22"/>
        </w:rPr>
      </w:pPr>
      <w:r>
        <w:rPr>
          <w:rFonts w:hint="eastAsia" w:hAnsi="宋体"/>
          <w:sz w:val="24"/>
          <w:szCs w:val="22"/>
        </w:rPr>
        <w:t>⑵</w:t>
      </w:r>
      <w:r>
        <w:rPr>
          <w:rFonts w:hint="eastAsia"/>
          <w:sz w:val="24"/>
          <w:szCs w:val="22"/>
        </w:rPr>
        <w:t>缴纳方式：基本账户转账；</w:t>
      </w:r>
    </w:p>
    <w:p>
      <w:pPr>
        <w:pStyle w:val="11"/>
        <w:spacing w:line="360" w:lineRule="auto"/>
        <w:ind w:firstLine="480" w:firstLineChars="200"/>
        <w:rPr>
          <w:sz w:val="24"/>
          <w:szCs w:val="22"/>
        </w:rPr>
      </w:pPr>
      <w:r>
        <w:rPr>
          <w:rFonts w:hint="eastAsia" w:hAnsi="宋体"/>
          <w:sz w:val="24"/>
          <w:szCs w:val="22"/>
        </w:rPr>
        <w:t>⑶</w:t>
      </w:r>
      <w:r>
        <w:rPr>
          <w:rFonts w:hint="eastAsia"/>
          <w:sz w:val="24"/>
          <w:szCs w:val="22"/>
        </w:rPr>
        <w:t>接收单位：中国重汽集团济南商用车有限公司</w:t>
      </w:r>
    </w:p>
    <w:p>
      <w:pPr>
        <w:pStyle w:val="11"/>
        <w:spacing w:line="360" w:lineRule="auto"/>
        <w:ind w:firstLine="480" w:firstLineChars="200"/>
        <w:rPr>
          <w:b/>
          <w:bCs/>
          <w:sz w:val="24"/>
          <w:szCs w:val="22"/>
        </w:rPr>
      </w:pPr>
      <w:r>
        <w:rPr>
          <w:rFonts w:hint="eastAsia" w:hAnsi="宋体"/>
          <w:sz w:val="24"/>
          <w:szCs w:val="22"/>
        </w:rPr>
        <w:t>⑷</w:t>
      </w:r>
      <w:r>
        <w:rPr>
          <w:rFonts w:hint="eastAsia"/>
          <w:sz w:val="24"/>
          <w:szCs w:val="22"/>
        </w:rPr>
        <w:t>转账信息：</w:t>
      </w:r>
      <w:r>
        <w:rPr>
          <w:rFonts w:hint="eastAsia"/>
          <w:b/>
          <w:bCs/>
          <w:sz w:val="24"/>
          <w:szCs w:val="22"/>
          <w:highlight w:val="yellow"/>
        </w:rPr>
        <w:t>转账请备注：付标准件仓配上线服务项目投标保证金</w:t>
      </w:r>
    </w:p>
    <w:tbl>
      <w:tblPr>
        <w:tblStyle w:val="21"/>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pPr>
              <w:pStyle w:val="11"/>
              <w:spacing w:line="360" w:lineRule="auto"/>
              <w:ind w:firstLine="480" w:firstLineChars="200"/>
              <w:rPr>
                <w:sz w:val="24"/>
                <w:szCs w:val="22"/>
              </w:rPr>
            </w:pPr>
            <w:r>
              <w:rPr>
                <w:rFonts w:hint="eastAsia"/>
                <w:sz w:val="24"/>
                <w:szCs w:val="22"/>
              </w:rPr>
              <w:t>开户银行：中行章丘支行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pPr>
              <w:pStyle w:val="11"/>
              <w:spacing w:line="360" w:lineRule="auto"/>
              <w:ind w:firstLine="480" w:firstLineChars="200"/>
              <w:rPr>
                <w:sz w:val="24"/>
                <w:szCs w:val="22"/>
              </w:rPr>
            </w:pPr>
            <w:r>
              <w:rPr>
                <w:rFonts w:hint="eastAsia"/>
                <w:sz w:val="24"/>
                <w:szCs w:val="22"/>
              </w:rPr>
              <w:t>户名：中国重汽集团济南商用车有限公司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pPr>
              <w:pStyle w:val="11"/>
              <w:spacing w:line="360" w:lineRule="auto"/>
              <w:ind w:firstLine="480" w:firstLineChars="200"/>
              <w:rPr>
                <w:sz w:val="24"/>
                <w:szCs w:val="22"/>
              </w:rPr>
            </w:pPr>
            <w:r>
              <w:rPr>
                <w:rFonts w:hint="eastAsia"/>
                <w:sz w:val="24"/>
                <w:szCs w:val="22"/>
              </w:rPr>
              <w:t>账号：</w:t>
            </w:r>
            <w:r>
              <w:rPr>
                <w:sz w:val="24"/>
                <w:szCs w:val="22"/>
              </w:rPr>
              <w:t>226005574527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pPr>
              <w:pStyle w:val="11"/>
              <w:spacing w:line="360" w:lineRule="auto"/>
              <w:ind w:firstLine="480" w:firstLineChars="200"/>
              <w:rPr>
                <w:sz w:val="24"/>
                <w:szCs w:val="22"/>
              </w:rPr>
            </w:pPr>
            <w:r>
              <w:rPr>
                <w:rFonts w:hint="eastAsia"/>
                <w:sz w:val="24"/>
                <w:szCs w:val="22"/>
              </w:rPr>
              <w:t>行号：</w:t>
            </w:r>
            <w:r>
              <w:rPr>
                <w:sz w:val="24"/>
                <w:szCs w:val="22"/>
              </w:rPr>
              <w:t>104451040689</w:t>
            </w:r>
          </w:p>
        </w:tc>
      </w:tr>
    </w:tbl>
    <w:p>
      <w:pPr>
        <w:pStyle w:val="11"/>
        <w:spacing w:line="360" w:lineRule="auto"/>
        <w:ind w:firstLine="480" w:firstLineChars="200"/>
        <w:rPr>
          <w:sz w:val="24"/>
          <w:szCs w:val="22"/>
        </w:rPr>
      </w:pPr>
      <w:r>
        <w:rPr>
          <w:rFonts w:hint="eastAsia"/>
          <w:sz w:val="24"/>
          <w:szCs w:val="22"/>
        </w:rPr>
        <w:t>⑸说明：</w:t>
      </w:r>
    </w:p>
    <w:p>
      <w:pPr>
        <w:pStyle w:val="11"/>
        <w:spacing w:line="360" w:lineRule="auto"/>
        <w:ind w:firstLine="480" w:firstLineChars="200"/>
        <w:rPr>
          <w:sz w:val="24"/>
          <w:szCs w:val="22"/>
        </w:rPr>
      </w:pPr>
      <w:r>
        <w:rPr>
          <w:rFonts w:hint="eastAsia"/>
          <w:sz w:val="24"/>
          <w:szCs w:val="22"/>
        </w:rPr>
        <w:t>(a)</w:t>
      </w:r>
      <w:r>
        <w:rPr>
          <w:rFonts w:hint="eastAsia"/>
          <w:b/>
          <w:sz w:val="24"/>
          <w:szCs w:val="22"/>
        </w:rPr>
        <w:t>中国重汽集团济南商用车有限公司的账户为招标人明确授权收取或按照本文件要求扣除投标人保证金的账户，视同招标人的收取或扣除行为。</w:t>
      </w:r>
      <w:r>
        <w:rPr>
          <w:rFonts w:hint="eastAsia"/>
          <w:sz w:val="24"/>
          <w:szCs w:val="22"/>
        </w:rPr>
        <w:t>投标人无正当理由随意放弃投标、</w:t>
      </w:r>
      <w:r>
        <w:rPr>
          <w:sz w:val="24"/>
          <w:szCs w:val="22"/>
        </w:rPr>
        <w:t>撤销投标文件</w:t>
      </w:r>
      <w:r>
        <w:rPr>
          <w:rFonts w:hint="eastAsia"/>
          <w:sz w:val="24"/>
          <w:szCs w:val="22"/>
        </w:rPr>
        <w:t>、</w:t>
      </w:r>
      <w:r>
        <w:rPr>
          <w:sz w:val="24"/>
          <w:szCs w:val="22"/>
        </w:rPr>
        <w:t>中标后</w:t>
      </w:r>
      <w:r>
        <w:rPr>
          <w:rFonts w:hint="eastAsia"/>
          <w:sz w:val="24"/>
          <w:szCs w:val="22"/>
        </w:rPr>
        <w:t>无</w:t>
      </w:r>
      <w:r>
        <w:rPr>
          <w:sz w:val="24"/>
          <w:szCs w:val="22"/>
        </w:rPr>
        <w:t>正当理由</w:t>
      </w:r>
      <w:r>
        <w:rPr>
          <w:rFonts w:hint="eastAsia"/>
          <w:sz w:val="24"/>
          <w:szCs w:val="22"/>
        </w:rPr>
        <w:t>拒签</w:t>
      </w:r>
      <w:r>
        <w:rPr>
          <w:sz w:val="24"/>
          <w:szCs w:val="22"/>
        </w:rPr>
        <w:t>合同</w:t>
      </w:r>
      <w:r>
        <w:rPr>
          <w:rFonts w:hint="eastAsia"/>
          <w:sz w:val="24"/>
          <w:szCs w:val="22"/>
        </w:rPr>
        <w:t>、</w:t>
      </w:r>
      <w:r>
        <w:rPr>
          <w:sz w:val="24"/>
          <w:szCs w:val="22"/>
        </w:rPr>
        <w:t>在签订合同时向招标人</w:t>
      </w:r>
      <w:r>
        <w:rPr>
          <w:rFonts w:hint="eastAsia"/>
          <w:sz w:val="24"/>
          <w:szCs w:val="22"/>
        </w:rPr>
        <w:t>或合同签订单位</w:t>
      </w:r>
      <w:r>
        <w:rPr>
          <w:sz w:val="24"/>
          <w:szCs w:val="22"/>
        </w:rPr>
        <w:t>提出</w:t>
      </w:r>
      <w:r>
        <w:rPr>
          <w:rFonts w:hint="eastAsia"/>
          <w:sz w:val="24"/>
          <w:szCs w:val="22"/>
        </w:rPr>
        <w:t>无理</w:t>
      </w:r>
      <w:r>
        <w:rPr>
          <w:sz w:val="24"/>
          <w:szCs w:val="22"/>
        </w:rPr>
        <w:t>附加条件</w:t>
      </w:r>
      <w:r>
        <w:rPr>
          <w:rFonts w:hint="eastAsia"/>
          <w:sz w:val="24"/>
          <w:szCs w:val="22"/>
        </w:rPr>
        <w:t>的，</w:t>
      </w:r>
      <w:r>
        <w:rPr>
          <w:sz w:val="24"/>
          <w:szCs w:val="22"/>
        </w:rPr>
        <w:t>投标保证金不予返还</w:t>
      </w:r>
      <w:r>
        <w:rPr>
          <w:rFonts w:hint="eastAsia"/>
          <w:sz w:val="24"/>
          <w:szCs w:val="22"/>
        </w:rPr>
        <w:t>，该投标人2</w:t>
      </w:r>
      <w:r>
        <w:rPr>
          <w:sz w:val="24"/>
          <w:szCs w:val="22"/>
        </w:rPr>
        <w:t>年</w:t>
      </w:r>
      <w:r>
        <w:rPr>
          <w:rFonts w:hint="eastAsia"/>
          <w:sz w:val="24"/>
          <w:szCs w:val="22"/>
        </w:rPr>
        <w:t>不得参与招标人组织的招投标项目。不存在以上违规情况的投标人，</w:t>
      </w:r>
      <w:r>
        <w:rPr>
          <w:sz w:val="24"/>
          <w:szCs w:val="22"/>
        </w:rPr>
        <w:t>招标人</w:t>
      </w:r>
      <w:r>
        <w:rPr>
          <w:rFonts w:hint="eastAsia"/>
          <w:sz w:val="24"/>
          <w:szCs w:val="22"/>
        </w:rPr>
        <w:t>按照退款程序，</w:t>
      </w:r>
      <w:r>
        <w:rPr>
          <w:sz w:val="24"/>
          <w:szCs w:val="22"/>
        </w:rPr>
        <w:t>在</w:t>
      </w:r>
      <w:r>
        <w:rPr>
          <w:rFonts w:hint="eastAsia"/>
          <w:sz w:val="24"/>
          <w:szCs w:val="22"/>
        </w:rPr>
        <w:t>确定中标人</w:t>
      </w:r>
      <w:r>
        <w:rPr>
          <w:sz w:val="24"/>
          <w:szCs w:val="22"/>
        </w:rPr>
        <w:t>后</w:t>
      </w:r>
      <w:r>
        <w:rPr>
          <w:sz w:val="24"/>
          <w:szCs w:val="22"/>
          <w:u w:val="single"/>
        </w:rPr>
        <w:t>30</w:t>
      </w:r>
      <w:r>
        <w:rPr>
          <w:rFonts w:hint="eastAsia"/>
          <w:sz w:val="24"/>
          <w:szCs w:val="22"/>
        </w:rPr>
        <w:t>个工作</w:t>
      </w:r>
      <w:r>
        <w:rPr>
          <w:sz w:val="24"/>
          <w:szCs w:val="22"/>
        </w:rPr>
        <w:t>日内</w:t>
      </w:r>
      <w:r>
        <w:rPr>
          <w:rFonts w:hint="eastAsia"/>
          <w:sz w:val="24"/>
          <w:szCs w:val="22"/>
        </w:rPr>
        <w:t>按投标人（除中标人外）所提供的</w:t>
      </w:r>
      <w:r>
        <w:rPr>
          <w:rFonts w:hint="eastAsia" w:hAnsi="宋体"/>
          <w:sz w:val="24"/>
          <w:szCs w:val="22"/>
        </w:rPr>
        <w:t>投标保证金退付表</w:t>
      </w:r>
      <w:r>
        <w:rPr>
          <w:rFonts w:hint="eastAsia"/>
          <w:sz w:val="24"/>
          <w:szCs w:val="22"/>
        </w:rPr>
        <w:t>退还</w:t>
      </w:r>
      <w:r>
        <w:rPr>
          <w:sz w:val="24"/>
          <w:szCs w:val="22"/>
        </w:rPr>
        <w:t>投标保证金</w:t>
      </w:r>
      <w:r>
        <w:rPr>
          <w:rFonts w:hint="eastAsia"/>
          <w:sz w:val="24"/>
          <w:szCs w:val="22"/>
        </w:rPr>
        <w:t>（本金，不计息）。</w:t>
      </w:r>
    </w:p>
    <w:p>
      <w:pPr>
        <w:pStyle w:val="11"/>
        <w:spacing w:line="360" w:lineRule="auto"/>
        <w:ind w:firstLine="480" w:firstLineChars="200"/>
        <w:rPr>
          <w:sz w:val="24"/>
          <w:szCs w:val="22"/>
        </w:rPr>
      </w:pPr>
      <w:r>
        <w:rPr>
          <w:rFonts w:hint="eastAsia"/>
          <w:sz w:val="24"/>
          <w:szCs w:val="22"/>
        </w:rPr>
        <w:t>(b)投标人在向招标人出示《投标保证金缴纳凭证》后方可进行投标。</w:t>
      </w:r>
    </w:p>
    <w:p>
      <w:pPr>
        <w:pStyle w:val="11"/>
        <w:spacing w:line="360" w:lineRule="auto"/>
        <w:ind w:firstLine="480" w:firstLineChars="200"/>
        <w:rPr>
          <w:sz w:val="24"/>
          <w:szCs w:val="28"/>
        </w:rPr>
      </w:pPr>
      <w:r>
        <w:rPr>
          <w:rFonts w:hint="eastAsia"/>
          <w:sz w:val="24"/>
          <w:szCs w:val="22"/>
        </w:rPr>
        <w:t>(c)</w:t>
      </w:r>
      <w:r>
        <w:rPr>
          <w:rFonts w:hint="eastAsia"/>
          <w:sz w:val="24"/>
          <w:szCs w:val="28"/>
        </w:rPr>
        <w:t>发生以下情况时，招标人有权没收保证金：</w:t>
      </w:r>
    </w:p>
    <w:p>
      <w:pPr>
        <w:pStyle w:val="11"/>
        <w:spacing w:line="360" w:lineRule="auto"/>
        <w:ind w:firstLine="480" w:firstLineChars="200"/>
        <w:rPr>
          <w:sz w:val="24"/>
          <w:szCs w:val="28"/>
        </w:rPr>
      </w:pPr>
      <w:r>
        <w:rPr>
          <w:rFonts w:hint="eastAsia"/>
          <w:sz w:val="24"/>
          <w:szCs w:val="28"/>
        </w:rPr>
        <w:t>a）截至开标前3天，投标人无正当理由、未以书面形式递交说明而在投标截止日不来的；</w:t>
      </w:r>
    </w:p>
    <w:p>
      <w:pPr>
        <w:pStyle w:val="11"/>
        <w:spacing w:line="360" w:lineRule="auto"/>
        <w:ind w:firstLine="480" w:firstLineChars="200"/>
        <w:rPr>
          <w:sz w:val="24"/>
          <w:szCs w:val="28"/>
        </w:rPr>
      </w:pPr>
      <w:r>
        <w:rPr>
          <w:rFonts w:hint="eastAsia"/>
          <w:sz w:val="24"/>
          <w:szCs w:val="28"/>
        </w:rPr>
        <w:t>b）投标人递送投标文件后，无正当理由放弃投标的；</w:t>
      </w:r>
    </w:p>
    <w:p>
      <w:pPr>
        <w:pStyle w:val="11"/>
        <w:spacing w:line="360" w:lineRule="auto"/>
        <w:ind w:firstLine="480" w:firstLineChars="200"/>
        <w:rPr>
          <w:sz w:val="24"/>
          <w:szCs w:val="28"/>
        </w:rPr>
      </w:pPr>
      <w:r>
        <w:rPr>
          <w:rFonts w:hint="eastAsia"/>
          <w:sz w:val="24"/>
          <w:szCs w:val="28"/>
        </w:rPr>
        <w:t>c）自中标通知书发出之日起30日内，中标人无正当理由不签订合同的；</w:t>
      </w:r>
    </w:p>
    <w:p>
      <w:pPr>
        <w:pStyle w:val="11"/>
        <w:spacing w:line="360" w:lineRule="auto"/>
        <w:ind w:firstLine="480" w:firstLineChars="200"/>
        <w:rPr>
          <w:sz w:val="24"/>
          <w:szCs w:val="28"/>
        </w:rPr>
      </w:pPr>
      <w:r>
        <w:rPr>
          <w:rFonts w:hint="eastAsia"/>
          <w:sz w:val="24"/>
          <w:szCs w:val="28"/>
        </w:rPr>
        <w:t>d）投标人在投标过程中被查实有串标、围标、陪标等违规违纪行为的；</w:t>
      </w:r>
    </w:p>
    <w:p>
      <w:pPr>
        <w:pStyle w:val="11"/>
        <w:spacing w:line="360" w:lineRule="auto"/>
        <w:ind w:firstLine="480" w:firstLineChars="200"/>
        <w:rPr>
          <w:sz w:val="24"/>
          <w:szCs w:val="22"/>
        </w:rPr>
      </w:pPr>
      <w:r>
        <w:rPr>
          <w:rFonts w:hint="eastAsia"/>
          <w:sz w:val="24"/>
          <w:szCs w:val="28"/>
        </w:rPr>
        <w:t>e）投标人有违约违规行为或被投诉、举报的，在调查处理期间，保证金暂不退还，待调查处理结束后按有关规定处理。</w:t>
      </w:r>
    </w:p>
    <w:p>
      <w:pPr>
        <w:pStyle w:val="11"/>
        <w:spacing w:line="360" w:lineRule="auto"/>
        <w:ind w:firstLine="480" w:firstLineChars="200"/>
        <w:rPr>
          <w:sz w:val="24"/>
          <w:szCs w:val="22"/>
        </w:rPr>
      </w:pPr>
      <w:r>
        <w:rPr>
          <w:rFonts w:hint="eastAsia"/>
          <w:sz w:val="24"/>
          <w:szCs w:val="22"/>
        </w:rPr>
        <w:t>2.开标</w:t>
      </w:r>
    </w:p>
    <w:p>
      <w:pPr>
        <w:pStyle w:val="11"/>
        <w:spacing w:line="360" w:lineRule="auto"/>
        <w:ind w:firstLine="480" w:firstLineChars="200"/>
        <w:rPr>
          <w:b/>
          <w:bCs/>
          <w:sz w:val="24"/>
          <w:szCs w:val="22"/>
        </w:rPr>
      </w:pPr>
      <w:r>
        <w:rPr>
          <w:rFonts w:hint="eastAsia"/>
          <w:sz w:val="24"/>
          <w:szCs w:val="22"/>
        </w:rPr>
        <w:t>所有报价货币单位均为：</w:t>
      </w:r>
      <w:r>
        <w:rPr>
          <w:rFonts w:hint="eastAsia"/>
          <w:b/>
          <w:bCs/>
          <w:sz w:val="24"/>
          <w:szCs w:val="22"/>
        </w:rPr>
        <w:t>元（人民币，不含税）。</w:t>
      </w:r>
    </w:p>
    <w:p>
      <w:pPr>
        <w:spacing w:line="360" w:lineRule="auto"/>
        <w:ind w:firstLine="480" w:firstLineChars="200"/>
        <w:rPr>
          <w:sz w:val="24"/>
          <w:szCs w:val="22"/>
        </w:rPr>
      </w:pPr>
      <w:r>
        <w:rPr>
          <w:rFonts w:hint="eastAsia"/>
          <w:sz w:val="24"/>
          <w:szCs w:val="22"/>
        </w:rPr>
        <w:t>投标文件的澄清</w:t>
      </w:r>
    </w:p>
    <w:p>
      <w:pPr>
        <w:spacing w:line="360" w:lineRule="auto"/>
        <w:ind w:firstLine="480" w:firstLineChars="200"/>
        <w:rPr>
          <w:sz w:val="24"/>
          <w:szCs w:val="22"/>
        </w:rPr>
      </w:pPr>
      <w:r>
        <w:rPr>
          <w:sz w:val="24"/>
          <w:szCs w:val="22"/>
        </w:rPr>
        <w:t>1</w:t>
      </w:r>
      <w:r>
        <w:rPr>
          <w:rFonts w:hint="eastAsia"/>
          <w:sz w:val="24"/>
          <w:szCs w:val="22"/>
        </w:rPr>
        <w:t>)为有助于对投标文件的审查、评价和比较，招标人可分别要求投标人对其投标文件进行澄清。投标人应按照招标人通知的时间、地点派技术和商务人员进行答疑和澄清。</w:t>
      </w:r>
    </w:p>
    <w:p>
      <w:pPr>
        <w:spacing w:line="360" w:lineRule="auto"/>
        <w:ind w:firstLine="480" w:firstLineChars="200"/>
        <w:rPr>
          <w:sz w:val="24"/>
          <w:szCs w:val="22"/>
        </w:rPr>
      </w:pPr>
      <w:r>
        <w:rPr>
          <w:sz w:val="24"/>
          <w:szCs w:val="22"/>
        </w:rPr>
        <w:t>2</w:t>
      </w:r>
      <w:r>
        <w:rPr>
          <w:rFonts w:hint="eastAsia"/>
          <w:sz w:val="24"/>
          <w:szCs w:val="22"/>
        </w:rPr>
        <w:t>)必要时招标人可要求投标人就澄清的问题作书面回答，该书面回答应有投标授权代表的签章，并将作为投标内容的一部分。</w:t>
      </w:r>
    </w:p>
    <w:p>
      <w:pPr>
        <w:pStyle w:val="11"/>
        <w:spacing w:line="360" w:lineRule="auto"/>
        <w:ind w:firstLine="480" w:firstLineChars="200"/>
        <w:rPr>
          <w:sz w:val="24"/>
          <w:szCs w:val="22"/>
        </w:rPr>
      </w:pPr>
      <w:r>
        <w:rPr>
          <w:rFonts w:hint="eastAsia"/>
          <w:sz w:val="24"/>
          <w:szCs w:val="22"/>
        </w:rPr>
        <w:t>3.评标</w:t>
      </w:r>
    </w:p>
    <w:p>
      <w:pPr>
        <w:pStyle w:val="11"/>
        <w:spacing w:line="360" w:lineRule="auto"/>
        <w:ind w:firstLine="480" w:firstLineChars="200"/>
        <w:rPr>
          <w:sz w:val="24"/>
          <w:szCs w:val="22"/>
        </w:rPr>
      </w:pPr>
      <w:r>
        <w:rPr>
          <w:rFonts w:hint="eastAsia" w:hAnsi="宋体"/>
          <w:sz w:val="24"/>
          <w:szCs w:val="24"/>
        </w:rPr>
        <w:t>为保证项目顺利实施，由招标方组织、按国家法律法规及公司相关规章制度要求，设立评标工作小组，采取合理最低价评标；</w:t>
      </w:r>
      <w:r>
        <w:rPr>
          <w:sz w:val="24"/>
          <w:szCs w:val="22"/>
        </w:rPr>
        <w:t>技术标与商务标分别投标</w:t>
      </w:r>
      <w:r>
        <w:rPr>
          <w:rFonts w:hint="eastAsia"/>
          <w:sz w:val="24"/>
          <w:szCs w:val="22"/>
        </w:rPr>
        <w:t>：</w:t>
      </w:r>
      <w:r>
        <w:rPr>
          <w:sz w:val="24"/>
          <w:szCs w:val="22"/>
        </w:rPr>
        <w:t>先投技术标，按照标书中规定的详细技术配置对比表进行技术评标，在满足技术要求的前提下进入商务标，</w:t>
      </w:r>
      <w:r>
        <w:rPr>
          <w:b/>
          <w:bCs/>
          <w:sz w:val="24"/>
          <w:szCs w:val="22"/>
        </w:rPr>
        <w:t>技术标评分不带入商务标</w:t>
      </w:r>
      <w:r>
        <w:rPr>
          <w:sz w:val="24"/>
          <w:szCs w:val="22"/>
        </w:rPr>
        <w:t>，原则上按照</w:t>
      </w:r>
      <w:r>
        <w:rPr>
          <w:b/>
          <w:bCs/>
          <w:sz w:val="24"/>
          <w:szCs w:val="22"/>
        </w:rPr>
        <w:t>评标合理最低价</w:t>
      </w:r>
      <w:r>
        <w:rPr>
          <w:sz w:val="24"/>
          <w:szCs w:val="22"/>
        </w:rPr>
        <w:t>选择中标厂家</w:t>
      </w:r>
      <w:r>
        <w:rPr>
          <w:rFonts w:hint="eastAsia"/>
          <w:sz w:val="24"/>
          <w:szCs w:val="22"/>
        </w:rPr>
        <w:t>。</w:t>
      </w:r>
    </w:p>
    <w:p>
      <w:pPr>
        <w:pStyle w:val="11"/>
        <w:spacing w:line="360" w:lineRule="auto"/>
        <w:ind w:firstLine="480" w:firstLineChars="200"/>
        <w:rPr>
          <w:sz w:val="24"/>
          <w:szCs w:val="22"/>
        </w:rPr>
      </w:pPr>
      <w:r>
        <w:rPr>
          <w:rFonts w:hint="eastAsia" w:hAnsi="宋体"/>
          <w:b/>
          <w:bCs/>
          <w:sz w:val="24"/>
          <w:szCs w:val="24"/>
          <w:highlight w:val="yellow"/>
        </w:rPr>
        <w:t>投标前请各投标方按照标书技术要求对项目方案进行充分准备，同时需准备PPT形式的汇报方案，技术标时向专家组进行现场述标。有意投标的单位应默认认同上述开标、评标过程，对未入围投标方及未中标人不做任何解释。</w:t>
      </w:r>
    </w:p>
    <w:p>
      <w:pPr>
        <w:pStyle w:val="11"/>
        <w:spacing w:line="360" w:lineRule="auto"/>
        <w:ind w:firstLine="480" w:firstLineChars="200"/>
        <w:rPr>
          <w:rFonts w:hint="eastAsia" w:hAnsi="宋体"/>
          <w:sz w:val="24"/>
          <w:szCs w:val="24"/>
        </w:rPr>
      </w:pPr>
      <w:r>
        <w:rPr>
          <w:rFonts w:hint="eastAsia" w:hAnsi="宋体"/>
          <w:sz w:val="24"/>
          <w:szCs w:val="24"/>
        </w:rPr>
        <w:t>4.技术标评分标准</w:t>
      </w:r>
    </w:p>
    <w:tbl>
      <w:tblPr>
        <w:tblStyle w:val="21"/>
        <w:tblW w:w="51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1169"/>
        <w:gridCol w:w="1192"/>
        <w:gridCol w:w="5812"/>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11"/>
              <w:spacing w:line="360" w:lineRule="auto"/>
              <w:jc w:val="center"/>
              <w:rPr>
                <w:rFonts w:hint="eastAsia" w:hAnsi="宋体"/>
                <w:b/>
                <w:bCs/>
                <w:sz w:val="24"/>
                <w:szCs w:val="24"/>
              </w:rPr>
            </w:pPr>
            <w:r>
              <w:rPr>
                <w:rFonts w:hint="eastAsia"/>
                <w:b/>
                <w:bCs/>
                <w:sz w:val="24"/>
                <w:szCs w:val="24"/>
              </w:rPr>
              <w:t>序号</w:t>
            </w:r>
          </w:p>
        </w:tc>
        <w:tc>
          <w:tcPr>
            <w:tcW w:w="616" w:type="pct"/>
            <w:vAlign w:val="center"/>
          </w:tcPr>
          <w:p>
            <w:pPr>
              <w:pStyle w:val="11"/>
              <w:spacing w:line="360" w:lineRule="auto"/>
              <w:jc w:val="center"/>
              <w:rPr>
                <w:rFonts w:hint="eastAsia" w:hAnsi="宋体"/>
                <w:b/>
                <w:bCs/>
                <w:sz w:val="24"/>
                <w:szCs w:val="24"/>
              </w:rPr>
            </w:pPr>
            <w:r>
              <w:rPr>
                <w:rFonts w:hint="eastAsia"/>
                <w:b/>
                <w:bCs/>
                <w:sz w:val="24"/>
                <w:szCs w:val="24"/>
              </w:rPr>
              <w:t>评审类别</w:t>
            </w:r>
          </w:p>
        </w:tc>
        <w:tc>
          <w:tcPr>
            <w:tcW w:w="628" w:type="pct"/>
            <w:vAlign w:val="center"/>
          </w:tcPr>
          <w:p>
            <w:pPr>
              <w:pStyle w:val="11"/>
              <w:spacing w:line="360" w:lineRule="auto"/>
              <w:jc w:val="center"/>
              <w:rPr>
                <w:rFonts w:hint="eastAsia" w:hAnsi="宋体"/>
                <w:b/>
                <w:bCs/>
                <w:sz w:val="24"/>
                <w:szCs w:val="24"/>
              </w:rPr>
            </w:pPr>
            <w:r>
              <w:rPr>
                <w:rFonts w:hint="eastAsia"/>
                <w:b/>
                <w:bCs/>
                <w:sz w:val="24"/>
                <w:szCs w:val="24"/>
              </w:rPr>
              <w:t>评审内容</w:t>
            </w:r>
          </w:p>
        </w:tc>
        <w:tc>
          <w:tcPr>
            <w:tcW w:w="3063" w:type="pct"/>
            <w:vAlign w:val="center"/>
          </w:tcPr>
          <w:p>
            <w:pPr>
              <w:pStyle w:val="11"/>
              <w:spacing w:line="360" w:lineRule="auto"/>
              <w:jc w:val="center"/>
              <w:rPr>
                <w:rFonts w:hint="eastAsia" w:hAnsi="宋体"/>
                <w:b/>
                <w:bCs/>
                <w:sz w:val="24"/>
                <w:szCs w:val="24"/>
              </w:rPr>
            </w:pPr>
            <w:r>
              <w:rPr>
                <w:rFonts w:hint="eastAsia"/>
                <w:b/>
                <w:bCs/>
                <w:sz w:val="24"/>
                <w:szCs w:val="24"/>
              </w:rPr>
              <w:t>评分标准</w:t>
            </w:r>
          </w:p>
        </w:tc>
        <w:tc>
          <w:tcPr>
            <w:tcW w:w="426" w:type="pct"/>
            <w:vAlign w:val="center"/>
          </w:tcPr>
          <w:p>
            <w:pPr>
              <w:pStyle w:val="11"/>
              <w:spacing w:line="360" w:lineRule="auto"/>
              <w:jc w:val="center"/>
              <w:rPr>
                <w:rFonts w:hint="eastAsia" w:hAnsi="宋体"/>
                <w:b/>
                <w:bCs/>
                <w:sz w:val="24"/>
                <w:szCs w:val="24"/>
              </w:rPr>
            </w:pPr>
            <w:r>
              <w:rPr>
                <w:rFonts w:hint="eastAsia"/>
                <w:b/>
                <w:bCs/>
                <w:sz w:val="24"/>
                <w:szCs w:val="24"/>
              </w:rPr>
              <w:t>最高得分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11"/>
              <w:spacing w:line="360" w:lineRule="auto"/>
              <w:jc w:val="center"/>
              <w:rPr>
                <w:rFonts w:hint="eastAsia" w:hAnsi="宋体"/>
                <w:sz w:val="24"/>
                <w:szCs w:val="24"/>
              </w:rPr>
            </w:pPr>
            <w:r>
              <w:rPr>
                <w:rFonts w:hint="eastAsia" w:hAnsi="宋体"/>
                <w:sz w:val="24"/>
                <w:szCs w:val="24"/>
              </w:rPr>
              <w:t>1</w:t>
            </w:r>
          </w:p>
        </w:tc>
        <w:tc>
          <w:tcPr>
            <w:tcW w:w="616" w:type="pct"/>
            <w:vMerge w:val="restart"/>
            <w:vAlign w:val="center"/>
          </w:tcPr>
          <w:p>
            <w:pPr>
              <w:pStyle w:val="11"/>
              <w:spacing w:line="360" w:lineRule="auto"/>
              <w:jc w:val="center"/>
              <w:rPr>
                <w:rFonts w:hint="eastAsia" w:hAnsi="宋体"/>
                <w:sz w:val="24"/>
                <w:szCs w:val="24"/>
              </w:rPr>
            </w:pPr>
            <w:r>
              <w:rPr>
                <w:rFonts w:hint="eastAsia"/>
                <w:sz w:val="24"/>
                <w:szCs w:val="24"/>
              </w:rPr>
              <w:t>综合实力</w:t>
            </w:r>
          </w:p>
        </w:tc>
        <w:tc>
          <w:tcPr>
            <w:tcW w:w="628" w:type="pct"/>
            <w:vAlign w:val="center"/>
          </w:tcPr>
          <w:p>
            <w:pPr>
              <w:pStyle w:val="11"/>
              <w:spacing w:line="360" w:lineRule="auto"/>
              <w:jc w:val="center"/>
              <w:rPr>
                <w:rFonts w:hint="eastAsia" w:hAnsi="宋体"/>
                <w:sz w:val="24"/>
                <w:szCs w:val="24"/>
              </w:rPr>
            </w:pPr>
            <w:r>
              <w:rPr>
                <w:rFonts w:hint="eastAsia" w:hAnsi="宋体"/>
                <w:sz w:val="24"/>
                <w:szCs w:val="24"/>
              </w:rPr>
              <w:t>项目经验</w:t>
            </w:r>
          </w:p>
        </w:tc>
        <w:tc>
          <w:tcPr>
            <w:tcW w:w="3063" w:type="pct"/>
            <w:vAlign w:val="center"/>
          </w:tcPr>
          <w:p>
            <w:pPr>
              <w:pStyle w:val="11"/>
              <w:spacing w:line="360" w:lineRule="auto"/>
              <w:rPr>
                <w:rFonts w:hint="eastAsia" w:hAnsi="宋体"/>
                <w:sz w:val="24"/>
                <w:szCs w:val="24"/>
              </w:rPr>
            </w:pPr>
            <w:r>
              <w:rPr>
                <w:rFonts w:hint="eastAsia" w:hAnsi="宋体"/>
                <w:sz w:val="24"/>
                <w:szCs w:val="24"/>
              </w:rPr>
              <w:t>投标人提供自2022年1月1日至2024年12月31日汽车制造业内相关项目案例，每个案例加1分（需提供相关合同等证明材料），最高5分。</w:t>
            </w:r>
          </w:p>
        </w:tc>
        <w:tc>
          <w:tcPr>
            <w:tcW w:w="426" w:type="pct"/>
            <w:vAlign w:val="center"/>
          </w:tcPr>
          <w:p>
            <w:pPr>
              <w:pStyle w:val="11"/>
              <w:spacing w:line="360" w:lineRule="auto"/>
              <w:jc w:val="center"/>
              <w:rPr>
                <w:rFonts w:hint="eastAsia" w:hAnsi="宋体"/>
                <w:sz w:val="24"/>
                <w:szCs w:val="24"/>
              </w:rPr>
            </w:pPr>
            <w:r>
              <w:rPr>
                <w:rFonts w:hint="eastAsia" w:hAnsi="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11"/>
              <w:spacing w:line="360" w:lineRule="auto"/>
              <w:jc w:val="center"/>
              <w:rPr>
                <w:rFonts w:hint="eastAsia" w:hAnsi="宋体"/>
                <w:sz w:val="24"/>
                <w:szCs w:val="24"/>
              </w:rPr>
            </w:pPr>
            <w:r>
              <w:rPr>
                <w:rFonts w:hint="eastAsia" w:hAnsi="宋体"/>
                <w:sz w:val="24"/>
                <w:szCs w:val="24"/>
              </w:rPr>
              <w:t>2</w:t>
            </w:r>
          </w:p>
        </w:tc>
        <w:tc>
          <w:tcPr>
            <w:tcW w:w="616" w:type="pct"/>
            <w:vMerge w:val="continue"/>
            <w:vAlign w:val="center"/>
          </w:tcPr>
          <w:p>
            <w:pPr>
              <w:pStyle w:val="11"/>
              <w:spacing w:line="360" w:lineRule="auto"/>
              <w:jc w:val="center"/>
              <w:rPr>
                <w:rFonts w:hint="eastAsia" w:hAnsi="宋体"/>
                <w:sz w:val="24"/>
                <w:szCs w:val="24"/>
              </w:rPr>
            </w:pPr>
          </w:p>
        </w:tc>
        <w:tc>
          <w:tcPr>
            <w:tcW w:w="628" w:type="pct"/>
            <w:vAlign w:val="center"/>
          </w:tcPr>
          <w:p>
            <w:pPr>
              <w:pStyle w:val="11"/>
              <w:spacing w:line="360" w:lineRule="auto"/>
              <w:jc w:val="center"/>
              <w:rPr>
                <w:rFonts w:hint="eastAsia" w:hAnsi="宋体"/>
                <w:sz w:val="24"/>
                <w:szCs w:val="24"/>
              </w:rPr>
            </w:pPr>
            <w:r>
              <w:rPr>
                <w:rFonts w:hint="eastAsia" w:hAnsi="宋体"/>
                <w:sz w:val="24"/>
                <w:szCs w:val="24"/>
              </w:rPr>
              <w:t>企业规模</w:t>
            </w:r>
          </w:p>
        </w:tc>
        <w:tc>
          <w:tcPr>
            <w:tcW w:w="3063" w:type="pct"/>
            <w:vAlign w:val="center"/>
          </w:tcPr>
          <w:p>
            <w:pPr>
              <w:pStyle w:val="11"/>
              <w:spacing w:line="360" w:lineRule="auto"/>
              <w:rPr>
                <w:rFonts w:hint="eastAsia" w:hAnsi="宋体"/>
                <w:sz w:val="24"/>
                <w:szCs w:val="24"/>
              </w:rPr>
            </w:pPr>
            <w:r>
              <w:rPr>
                <w:rFonts w:hint="eastAsia" w:hAnsi="宋体"/>
                <w:sz w:val="24"/>
                <w:szCs w:val="24"/>
              </w:rPr>
              <w:t>财务报表中的现金流量表为准：年度现金流入流出金额小于1000万得1分，1000万-3000万得2分，3000万-5000万得3分，5000万-7000万得4分，大于7000万得5分。</w:t>
            </w:r>
          </w:p>
        </w:tc>
        <w:tc>
          <w:tcPr>
            <w:tcW w:w="426" w:type="pct"/>
            <w:vAlign w:val="center"/>
          </w:tcPr>
          <w:p>
            <w:pPr>
              <w:pStyle w:val="11"/>
              <w:spacing w:line="360" w:lineRule="auto"/>
              <w:jc w:val="center"/>
              <w:rPr>
                <w:rFonts w:hint="eastAsia" w:hAnsi="宋体"/>
                <w:sz w:val="24"/>
                <w:szCs w:val="24"/>
              </w:rPr>
            </w:pPr>
            <w:r>
              <w:rPr>
                <w:rFonts w:hint="eastAsia" w:hAnsi="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11"/>
              <w:spacing w:line="360" w:lineRule="auto"/>
              <w:jc w:val="center"/>
              <w:rPr>
                <w:rFonts w:hint="eastAsia" w:hAnsi="宋体"/>
                <w:sz w:val="24"/>
                <w:szCs w:val="24"/>
              </w:rPr>
            </w:pPr>
            <w:r>
              <w:rPr>
                <w:rFonts w:hint="eastAsia" w:hAnsi="宋体"/>
                <w:sz w:val="24"/>
                <w:szCs w:val="24"/>
              </w:rPr>
              <w:t>3</w:t>
            </w:r>
          </w:p>
        </w:tc>
        <w:tc>
          <w:tcPr>
            <w:tcW w:w="616" w:type="pct"/>
            <w:vMerge w:val="restart"/>
            <w:vAlign w:val="center"/>
          </w:tcPr>
          <w:p>
            <w:pPr>
              <w:pStyle w:val="11"/>
              <w:spacing w:line="360" w:lineRule="auto"/>
              <w:jc w:val="center"/>
              <w:rPr>
                <w:rFonts w:hint="eastAsia" w:hAnsi="宋体"/>
                <w:sz w:val="24"/>
                <w:szCs w:val="24"/>
              </w:rPr>
            </w:pPr>
            <w:r>
              <w:rPr>
                <w:rFonts w:hint="eastAsia"/>
                <w:sz w:val="24"/>
                <w:szCs w:val="24"/>
              </w:rPr>
              <w:t>项目资源配置</w:t>
            </w:r>
          </w:p>
        </w:tc>
        <w:tc>
          <w:tcPr>
            <w:tcW w:w="628" w:type="pct"/>
            <w:vAlign w:val="center"/>
          </w:tcPr>
          <w:p>
            <w:pPr>
              <w:pStyle w:val="11"/>
              <w:spacing w:line="360" w:lineRule="auto"/>
              <w:jc w:val="center"/>
              <w:rPr>
                <w:rFonts w:hint="eastAsia" w:hAnsi="宋体"/>
                <w:sz w:val="24"/>
                <w:szCs w:val="24"/>
              </w:rPr>
            </w:pPr>
            <w:r>
              <w:rPr>
                <w:rFonts w:hint="eastAsia" w:hAnsi="宋体"/>
                <w:sz w:val="24"/>
                <w:szCs w:val="24"/>
              </w:rPr>
              <w:t>人员</w:t>
            </w:r>
          </w:p>
        </w:tc>
        <w:tc>
          <w:tcPr>
            <w:tcW w:w="3063" w:type="pct"/>
            <w:vAlign w:val="center"/>
          </w:tcPr>
          <w:p>
            <w:pPr>
              <w:pStyle w:val="11"/>
              <w:spacing w:line="360" w:lineRule="auto"/>
              <w:rPr>
                <w:rFonts w:hint="eastAsia" w:hAnsi="宋体"/>
                <w:sz w:val="24"/>
                <w:szCs w:val="24"/>
              </w:rPr>
            </w:pPr>
            <w:r>
              <w:rPr>
                <w:rFonts w:hint="eastAsia" w:hAnsi="宋体"/>
                <w:sz w:val="24"/>
                <w:szCs w:val="24"/>
              </w:rPr>
              <w:t>管理架构及项目人员配置合理，满足基本运营要求得3分；有人员规划及测算依据的加4分；有物流规划专业人才队伍的，自主加分1-3分。</w:t>
            </w:r>
          </w:p>
        </w:tc>
        <w:tc>
          <w:tcPr>
            <w:tcW w:w="426" w:type="pct"/>
            <w:vAlign w:val="center"/>
          </w:tcPr>
          <w:p>
            <w:pPr>
              <w:pStyle w:val="11"/>
              <w:spacing w:line="360" w:lineRule="auto"/>
              <w:jc w:val="center"/>
              <w:rPr>
                <w:rFonts w:hint="eastAsia" w:hAnsi="宋体"/>
                <w:sz w:val="24"/>
                <w:szCs w:val="24"/>
              </w:rPr>
            </w:pPr>
            <w:r>
              <w:rPr>
                <w:rFonts w:hint="eastAsia" w:hAnsi="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11"/>
              <w:spacing w:line="360" w:lineRule="auto"/>
              <w:jc w:val="center"/>
              <w:rPr>
                <w:rFonts w:hint="eastAsia" w:hAnsi="宋体"/>
                <w:sz w:val="24"/>
                <w:szCs w:val="24"/>
              </w:rPr>
            </w:pPr>
            <w:r>
              <w:rPr>
                <w:rFonts w:hint="eastAsia" w:hAnsi="宋体"/>
                <w:sz w:val="24"/>
                <w:szCs w:val="24"/>
              </w:rPr>
              <w:t>4</w:t>
            </w:r>
          </w:p>
        </w:tc>
        <w:tc>
          <w:tcPr>
            <w:tcW w:w="616" w:type="pct"/>
            <w:vMerge w:val="continue"/>
            <w:vAlign w:val="center"/>
          </w:tcPr>
          <w:p>
            <w:pPr>
              <w:pStyle w:val="11"/>
              <w:spacing w:line="360" w:lineRule="auto"/>
              <w:jc w:val="center"/>
              <w:rPr>
                <w:rFonts w:hint="eastAsia" w:hAnsi="宋体"/>
                <w:sz w:val="24"/>
                <w:szCs w:val="24"/>
              </w:rPr>
            </w:pPr>
          </w:p>
        </w:tc>
        <w:tc>
          <w:tcPr>
            <w:tcW w:w="628" w:type="pct"/>
            <w:vAlign w:val="center"/>
          </w:tcPr>
          <w:p>
            <w:pPr>
              <w:pStyle w:val="11"/>
              <w:spacing w:line="360" w:lineRule="auto"/>
              <w:jc w:val="center"/>
              <w:rPr>
                <w:rFonts w:hint="eastAsia" w:hAnsi="宋体"/>
                <w:sz w:val="24"/>
                <w:szCs w:val="24"/>
              </w:rPr>
            </w:pPr>
            <w:r>
              <w:rPr>
                <w:rFonts w:hint="eastAsia" w:hAnsi="宋体"/>
                <w:sz w:val="24"/>
                <w:szCs w:val="24"/>
              </w:rPr>
              <w:t>设备</w:t>
            </w:r>
          </w:p>
        </w:tc>
        <w:tc>
          <w:tcPr>
            <w:tcW w:w="3063" w:type="pct"/>
            <w:vAlign w:val="center"/>
          </w:tcPr>
          <w:p>
            <w:pPr>
              <w:pStyle w:val="11"/>
              <w:spacing w:line="360" w:lineRule="auto"/>
              <w:rPr>
                <w:rFonts w:hint="eastAsia" w:hAnsi="宋体"/>
                <w:sz w:val="24"/>
                <w:szCs w:val="24"/>
              </w:rPr>
            </w:pPr>
            <w:r>
              <w:rPr>
                <w:rFonts w:hint="eastAsia" w:hAnsi="宋体"/>
                <w:sz w:val="24"/>
                <w:szCs w:val="24"/>
              </w:rPr>
              <w:t>满足基本运营要求的设备得2分；有自动化物流设备投入的，评标专家可自主加分1-3分。</w:t>
            </w:r>
          </w:p>
        </w:tc>
        <w:tc>
          <w:tcPr>
            <w:tcW w:w="426" w:type="pct"/>
            <w:vAlign w:val="center"/>
          </w:tcPr>
          <w:p>
            <w:pPr>
              <w:pStyle w:val="11"/>
              <w:spacing w:line="360" w:lineRule="auto"/>
              <w:jc w:val="center"/>
              <w:rPr>
                <w:rFonts w:hint="eastAsia" w:hAnsi="宋体"/>
                <w:sz w:val="24"/>
                <w:szCs w:val="24"/>
              </w:rPr>
            </w:pPr>
            <w:r>
              <w:rPr>
                <w:rFonts w:hint="eastAsia" w:hAnsi="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11"/>
              <w:spacing w:line="360" w:lineRule="auto"/>
              <w:jc w:val="center"/>
              <w:rPr>
                <w:rFonts w:hint="eastAsia" w:hAnsi="宋体"/>
                <w:sz w:val="24"/>
                <w:szCs w:val="24"/>
              </w:rPr>
            </w:pPr>
            <w:r>
              <w:rPr>
                <w:rFonts w:hint="eastAsia" w:hAnsi="宋体"/>
                <w:sz w:val="24"/>
                <w:szCs w:val="24"/>
              </w:rPr>
              <w:t>5</w:t>
            </w:r>
          </w:p>
        </w:tc>
        <w:tc>
          <w:tcPr>
            <w:tcW w:w="616" w:type="pct"/>
            <w:vMerge w:val="continue"/>
            <w:vAlign w:val="center"/>
          </w:tcPr>
          <w:p>
            <w:pPr>
              <w:pStyle w:val="11"/>
              <w:spacing w:line="360" w:lineRule="auto"/>
              <w:jc w:val="center"/>
              <w:rPr>
                <w:rFonts w:hint="eastAsia" w:hAnsi="宋体"/>
                <w:sz w:val="24"/>
                <w:szCs w:val="24"/>
              </w:rPr>
            </w:pPr>
          </w:p>
        </w:tc>
        <w:tc>
          <w:tcPr>
            <w:tcW w:w="628" w:type="pct"/>
            <w:vAlign w:val="center"/>
          </w:tcPr>
          <w:p>
            <w:pPr>
              <w:pStyle w:val="11"/>
              <w:spacing w:line="360" w:lineRule="auto"/>
              <w:jc w:val="center"/>
              <w:rPr>
                <w:rFonts w:hint="eastAsia" w:hAnsi="宋体"/>
                <w:sz w:val="24"/>
                <w:szCs w:val="24"/>
              </w:rPr>
            </w:pPr>
            <w:r>
              <w:rPr>
                <w:rFonts w:hint="eastAsia" w:hAnsi="宋体"/>
                <w:sz w:val="24"/>
                <w:szCs w:val="24"/>
              </w:rPr>
              <w:t>场地</w:t>
            </w:r>
          </w:p>
        </w:tc>
        <w:tc>
          <w:tcPr>
            <w:tcW w:w="3063" w:type="pct"/>
            <w:vAlign w:val="center"/>
          </w:tcPr>
          <w:p>
            <w:pPr>
              <w:pStyle w:val="11"/>
              <w:spacing w:line="360" w:lineRule="auto"/>
              <w:rPr>
                <w:rFonts w:hint="eastAsia" w:hAnsi="宋体"/>
                <w:sz w:val="24"/>
                <w:szCs w:val="24"/>
              </w:rPr>
            </w:pPr>
            <w:r>
              <w:rPr>
                <w:rFonts w:hint="eastAsia" w:hAnsi="宋体"/>
                <w:sz w:val="24"/>
                <w:szCs w:val="24"/>
              </w:rPr>
              <w:t>能提供的场地满足招标范围业务需求的得2分；可在中标通知发布之日15天内确定满足条件的场地位置的加3分（需进行技术澄清）。</w:t>
            </w:r>
          </w:p>
        </w:tc>
        <w:tc>
          <w:tcPr>
            <w:tcW w:w="426" w:type="pct"/>
            <w:vAlign w:val="center"/>
          </w:tcPr>
          <w:p>
            <w:pPr>
              <w:pStyle w:val="11"/>
              <w:spacing w:line="360" w:lineRule="auto"/>
              <w:jc w:val="center"/>
              <w:rPr>
                <w:rFonts w:hint="eastAsia" w:hAnsi="宋体"/>
                <w:sz w:val="24"/>
                <w:szCs w:val="24"/>
              </w:rPr>
            </w:pPr>
            <w:r>
              <w:rPr>
                <w:rFonts w:hint="eastAsia" w:hAnsi="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11"/>
              <w:spacing w:line="360" w:lineRule="auto"/>
              <w:jc w:val="center"/>
              <w:rPr>
                <w:rFonts w:hint="eastAsia" w:hAnsi="宋体"/>
                <w:sz w:val="24"/>
                <w:szCs w:val="24"/>
              </w:rPr>
            </w:pPr>
            <w:r>
              <w:rPr>
                <w:rFonts w:hint="eastAsia" w:hAnsi="宋体"/>
                <w:sz w:val="24"/>
                <w:szCs w:val="24"/>
              </w:rPr>
              <w:t>6</w:t>
            </w:r>
          </w:p>
        </w:tc>
        <w:tc>
          <w:tcPr>
            <w:tcW w:w="616" w:type="pct"/>
            <w:vMerge w:val="restart"/>
            <w:vAlign w:val="center"/>
          </w:tcPr>
          <w:p>
            <w:pPr>
              <w:pStyle w:val="11"/>
              <w:spacing w:line="360" w:lineRule="auto"/>
              <w:jc w:val="center"/>
              <w:rPr>
                <w:rFonts w:hint="eastAsia" w:hAnsi="宋体"/>
                <w:sz w:val="24"/>
                <w:szCs w:val="24"/>
              </w:rPr>
            </w:pPr>
            <w:r>
              <w:rPr>
                <w:rFonts w:hint="eastAsia"/>
                <w:sz w:val="24"/>
                <w:szCs w:val="24"/>
              </w:rPr>
              <w:t>项目管理</w:t>
            </w:r>
            <w:r>
              <w:rPr>
                <w:rFonts w:hint="eastAsia" w:hAnsi="宋体"/>
                <w:sz w:val="24"/>
                <w:szCs w:val="24"/>
              </w:rPr>
              <w:t>（需提供材料证 明）</w:t>
            </w:r>
          </w:p>
        </w:tc>
        <w:tc>
          <w:tcPr>
            <w:tcW w:w="628" w:type="pct"/>
            <w:vAlign w:val="center"/>
          </w:tcPr>
          <w:p>
            <w:pPr>
              <w:pStyle w:val="11"/>
              <w:spacing w:line="360" w:lineRule="auto"/>
              <w:jc w:val="center"/>
              <w:rPr>
                <w:rFonts w:hint="eastAsia" w:hAnsi="宋体"/>
                <w:sz w:val="24"/>
                <w:szCs w:val="24"/>
              </w:rPr>
            </w:pPr>
            <w:r>
              <w:rPr>
                <w:rFonts w:hint="eastAsia" w:hAnsi="宋体"/>
                <w:sz w:val="24"/>
                <w:szCs w:val="24"/>
              </w:rPr>
              <w:t>现场管理</w:t>
            </w:r>
          </w:p>
        </w:tc>
        <w:tc>
          <w:tcPr>
            <w:tcW w:w="3063" w:type="pct"/>
            <w:vAlign w:val="center"/>
          </w:tcPr>
          <w:p>
            <w:pPr>
              <w:pStyle w:val="11"/>
              <w:spacing w:line="360" w:lineRule="auto"/>
              <w:rPr>
                <w:rFonts w:hint="eastAsia" w:hAnsi="宋体"/>
                <w:sz w:val="24"/>
                <w:szCs w:val="24"/>
              </w:rPr>
            </w:pPr>
            <w:r>
              <w:rPr>
                <w:rFonts w:hint="eastAsia" w:hAnsi="宋体"/>
                <w:sz w:val="24"/>
                <w:szCs w:val="24"/>
              </w:rPr>
              <w:t>保证现场按5S管理，有管理流程或文件要求，根据流程或文件覆盖度、详细度，自主赋分1-5分；现场目视化定制、区域标识牌等，自主赋分1-5分。</w:t>
            </w:r>
          </w:p>
        </w:tc>
        <w:tc>
          <w:tcPr>
            <w:tcW w:w="426" w:type="pct"/>
            <w:vAlign w:val="center"/>
          </w:tcPr>
          <w:p>
            <w:pPr>
              <w:pStyle w:val="11"/>
              <w:spacing w:line="360" w:lineRule="auto"/>
              <w:jc w:val="center"/>
              <w:rPr>
                <w:rFonts w:hint="eastAsia" w:hAnsi="宋体"/>
                <w:sz w:val="24"/>
                <w:szCs w:val="24"/>
              </w:rPr>
            </w:pPr>
            <w:r>
              <w:rPr>
                <w:rFonts w:hint="eastAsia" w:hAnsi="宋体"/>
                <w:sz w:val="24"/>
                <w:szCs w:val="24"/>
              </w:rPr>
              <w:t>1</w:t>
            </w:r>
            <w:r>
              <w:rPr>
                <w:rFonts w:hAnsi="宋体"/>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11"/>
              <w:spacing w:line="360" w:lineRule="auto"/>
              <w:jc w:val="center"/>
              <w:rPr>
                <w:rFonts w:hint="eastAsia" w:hAnsi="宋体"/>
                <w:sz w:val="24"/>
                <w:szCs w:val="24"/>
              </w:rPr>
            </w:pPr>
            <w:r>
              <w:rPr>
                <w:rFonts w:hint="eastAsia" w:hAnsi="宋体"/>
                <w:sz w:val="24"/>
                <w:szCs w:val="24"/>
              </w:rPr>
              <w:t>7</w:t>
            </w:r>
          </w:p>
        </w:tc>
        <w:tc>
          <w:tcPr>
            <w:tcW w:w="616" w:type="pct"/>
            <w:vMerge w:val="continue"/>
            <w:vAlign w:val="center"/>
          </w:tcPr>
          <w:p>
            <w:pPr>
              <w:pStyle w:val="11"/>
              <w:spacing w:line="360" w:lineRule="auto"/>
              <w:jc w:val="center"/>
              <w:rPr>
                <w:rFonts w:hint="eastAsia" w:hAnsi="宋体"/>
                <w:sz w:val="24"/>
                <w:szCs w:val="24"/>
              </w:rPr>
            </w:pPr>
          </w:p>
        </w:tc>
        <w:tc>
          <w:tcPr>
            <w:tcW w:w="628" w:type="pct"/>
            <w:vAlign w:val="center"/>
          </w:tcPr>
          <w:p>
            <w:pPr>
              <w:pStyle w:val="11"/>
              <w:spacing w:line="360" w:lineRule="auto"/>
              <w:jc w:val="center"/>
              <w:rPr>
                <w:rFonts w:hint="eastAsia" w:hAnsi="宋体"/>
                <w:sz w:val="24"/>
                <w:szCs w:val="24"/>
              </w:rPr>
            </w:pPr>
            <w:r>
              <w:rPr>
                <w:rFonts w:hint="eastAsia" w:hAnsi="宋体"/>
                <w:sz w:val="24"/>
                <w:szCs w:val="24"/>
              </w:rPr>
              <w:t>作业流程设计</w:t>
            </w:r>
          </w:p>
        </w:tc>
        <w:tc>
          <w:tcPr>
            <w:tcW w:w="3063" w:type="pct"/>
            <w:vAlign w:val="center"/>
          </w:tcPr>
          <w:p>
            <w:pPr>
              <w:pStyle w:val="11"/>
              <w:spacing w:line="360" w:lineRule="auto"/>
              <w:rPr>
                <w:rFonts w:hint="eastAsia" w:hAnsi="宋体"/>
                <w:sz w:val="24"/>
                <w:szCs w:val="24"/>
              </w:rPr>
            </w:pPr>
            <w:r>
              <w:rPr>
                <w:rFonts w:hint="eastAsia" w:hAnsi="宋体"/>
                <w:sz w:val="24"/>
                <w:szCs w:val="24"/>
              </w:rPr>
              <w:t>有运营范围内的作业流程文件、指导书或管理制度，如基本的仓储流程、配送流程、人员管理流程等得6分，根据流程制度的先进性、完善性、自动化程度等综合评审、排序，自主加分1-4分。</w:t>
            </w:r>
          </w:p>
        </w:tc>
        <w:tc>
          <w:tcPr>
            <w:tcW w:w="426" w:type="pct"/>
            <w:vAlign w:val="center"/>
          </w:tcPr>
          <w:p>
            <w:pPr>
              <w:pStyle w:val="11"/>
              <w:spacing w:line="360" w:lineRule="auto"/>
              <w:jc w:val="center"/>
              <w:rPr>
                <w:rFonts w:hint="eastAsia" w:hAnsi="宋体"/>
                <w:sz w:val="24"/>
                <w:szCs w:val="24"/>
              </w:rPr>
            </w:pPr>
            <w:r>
              <w:rPr>
                <w:rFonts w:hint="eastAsia" w:hAnsi="宋体"/>
                <w:sz w:val="24"/>
                <w:szCs w:val="24"/>
              </w:rPr>
              <w:t>1</w:t>
            </w:r>
            <w:r>
              <w:rPr>
                <w:rFonts w:hAnsi="宋体"/>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11"/>
              <w:spacing w:line="360" w:lineRule="auto"/>
              <w:jc w:val="center"/>
              <w:rPr>
                <w:rFonts w:hint="eastAsia" w:hAnsi="宋体"/>
                <w:sz w:val="24"/>
                <w:szCs w:val="24"/>
              </w:rPr>
            </w:pPr>
            <w:r>
              <w:rPr>
                <w:rFonts w:hint="eastAsia" w:hAnsi="宋体"/>
                <w:sz w:val="24"/>
                <w:szCs w:val="24"/>
              </w:rPr>
              <w:t>8</w:t>
            </w:r>
          </w:p>
        </w:tc>
        <w:tc>
          <w:tcPr>
            <w:tcW w:w="616" w:type="pct"/>
            <w:vMerge w:val="continue"/>
            <w:vAlign w:val="center"/>
          </w:tcPr>
          <w:p>
            <w:pPr>
              <w:pStyle w:val="11"/>
              <w:spacing w:line="360" w:lineRule="auto"/>
              <w:jc w:val="center"/>
              <w:rPr>
                <w:rFonts w:hint="eastAsia" w:hAnsi="宋体"/>
                <w:sz w:val="24"/>
                <w:szCs w:val="24"/>
              </w:rPr>
            </w:pPr>
          </w:p>
        </w:tc>
        <w:tc>
          <w:tcPr>
            <w:tcW w:w="628" w:type="pct"/>
            <w:vAlign w:val="center"/>
          </w:tcPr>
          <w:p>
            <w:pPr>
              <w:pStyle w:val="11"/>
              <w:spacing w:line="360" w:lineRule="auto"/>
              <w:jc w:val="center"/>
              <w:rPr>
                <w:rFonts w:hint="eastAsia" w:hAnsi="宋体"/>
                <w:sz w:val="24"/>
                <w:szCs w:val="24"/>
              </w:rPr>
            </w:pPr>
            <w:r>
              <w:rPr>
                <w:rFonts w:hint="eastAsia" w:hAnsi="宋体"/>
                <w:sz w:val="24"/>
                <w:szCs w:val="24"/>
              </w:rPr>
              <w:t>安全及质量管理</w:t>
            </w:r>
          </w:p>
        </w:tc>
        <w:tc>
          <w:tcPr>
            <w:tcW w:w="3063" w:type="pct"/>
            <w:vAlign w:val="center"/>
          </w:tcPr>
          <w:p>
            <w:pPr>
              <w:pStyle w:val="11"/>
              <w:spacing w:line="360" w:lineRule="auto"/>
              <w:rPr>
                <w:rFonts w:hint="eastAsia" w:hAnsi="宋体"/>
                <w:sz w:val="24"/>
                <w:szCs w:val="24"/>
              </w:rPr>
            </w:pPr>
            <w:r>
              <w:rPr>
                <w:rFonts w:hint="eastAsia" w:hAnsi="宋体"/>
                <w:sz w:val="24"/>
                <w:szCs w:val="24"/>
              </w:rPr>
              <w:t>1、有质量管理体系流程的得3分，没有的不得分；</w:t>
            </w:r>
          </w:p>
          <w:p>
            <w:pPr>
              <w:pStyle w:val="11"/>
              <w:spacing w:line="360" w:lineRule="auto"/>
              <w:rPr>
                <w:rFonts w:hint="eastAsia" w:hAnsi="宋体"/>
                <w:sz w:val="24"/>
                <w:szCs w:val="24"/>
              </w:rPr>
            </w:pPr>
            <w:r>
              <w:rPr>
                <w:rFonts w:hint="eastAsia" w:hAnsi="宋体"/>
                <w:sz w:val="24"/>
                <w:szCs w:val="24"/>
              </w:rPr>
              <w:t>2、有安全管理流程或规定的得2分，没有的不得分。</w:t>
            </w:r>
          </w:p>
        </w:tc>
        <w:tc>
          <w:tcPr>
            <w:tcW w:w="426" w:type="pct"/>
            <w:vAlign w:val="center"/>
          </w:tcPr>
          <w:p>
            <w:pPr>
              <w:pStyle w:val="11"/>
              <w:spacing w:line="360" w:lineRule="auto"/>
              <w:jc w:val="center"/>
              <w:rPr>
                <w:rFonts w:hint="eastAsia" w:hAnsi="宋体"/>
                <w:sz w:val="24"/>
                <w:szCs w:val="24"/>
              </w:rPr>
            </w:pPr>
            <w:r>
              <w:rPr>
                <w:rFonts w:hint="eastAsia" w:hAnsi="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11"/>
              <w:spacing w:line="360" w:lineRule="auto"/>
              <w:jc w:val="center"/>
              <w:rPr>
                <w:rFonts w:hint="eastAsia" w:hAnsi="宋体"/>
                <w:sz w:val="24"/>
                <w:szCs w:val="24"/>
              </w:rPr>
            </w:pPr>
            <w:r>
              <w:rPr>
                <w:rFonts w:hint="eastAsia" w:hAnsi="宋体"/>
                <w:sz w:val="24"/>
                <w:szCs w:val="24"/>
              </w:rPr>
              <w:t>9</w:t>
            </w:r>
          </w:p>
        </w:tc>
        <w:tc>
          <w:tcPr>
            <w:tcW w:w="616" w:type="pct"/>
            <w:vMerge w:val="continue"/>
            <w:vAlign w:val="center"/>
          </w:tcPr>
          <w:p>
            <w:pPr>
              <w:pStyle w:val="11"/>
              <w:spacing w:line="360" w:lineRule="auto"/>
              <w:jc w:val="center"/>
              <w:rPr>
                <w:rFonts w:hint="eastAsia" w:hAnsi="宋体"/>
                <w:sz w:val="24"/>
                <w:szCs w:val="24"/>
              </w:rPr>
            </w:pPr>
          </w:p>
        </w:tc>
        <w:tc>
          <w:tcPr>
            <w:tcW w:w="628" w:type="pct"/>
            <w:vAlign w:val="center"/>
          </w:tcPr>
          <w:p>
            <w:pPr>
              <w:pStyle w:val="11"/>
              <w:spacing w:line="360" w:lineRule="auto"/>
              <w:jc w:val="center"/>
              <w:rPr>
                <w:rFonts w:hint="eastAsia" w:hAnsi="宋体"/>
                <w:sz w:val="24"/>
                <w:szCs w:val="24"/>
              </w:rPr>
            </w:pPr>
            <w:r>
              <w:rPr>
                <w:rFonts w:hint="eastAsia" w:hAnsi="宋体"/>
                <w:sz w:val="24"/>
                <w:szCs w:val="24"/>
              </w:rPr>
              <w:t>紧急响应机制</w:t>
            </w:r>
          </w:p>
        </w:tc>
        <w:tc>
          <w:tcPr>
            <w:tcW w:w="3063" w:type="pct"/>
            <w:vAlign w:val="center"/>
          </w:tcPr>
          <w:p>
            <w:pPr>
              <w:pStyle w:val="11"/>
              <w:spacing w:line="360" w:lineRule="auto"/>
              <w:rPr>
                <w:rFonts w:hint="eastAsia" w:hAnsi="宋体"/>
                <w:sz w:val="24"/>
                <w:szCs w:val="24"/>
              </w:rPr>
            </w:pPr>
            <w:r>
              <w:rPr>
                <w:rFonts w:hint="eastAsia" w:hAnsi="宋体"/>
                <w:sz w:val="24"/>
                <w:szCs w:val="24"/>
              </w:rPr>
              <w:t>有应急管理措施及方案的，自主赋分1-5分。</w:t>
            </w:r>
          </w:p>
        </w:tc>
        <w:tc>
          <w:tcPr>
            <w:tcW w:w="426" w:type="pct"/>
            <w:vAlign w:val="center"/>
          </w:tcPr>
          <w:p>
            <w:pPr>
              <w:pStyle w:val="11"/>
              <w:spacing w:line="360" w:lineRule="auto"/>
              <w:jc w:val="center"/>
              <w:rPr>
                <w:rFonts w:hint="eastAsia" w:hAnsi="宋体"/>
                <w:sz w:val="24"/>
                <w:szCs w:val="24"/>
              </w:rPr>
            </w:pPr>
            <w:r>
              <w:rPr>
                <w:rFonts w:hint="eastAsia" w:hAnsi="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11"/>
              <w:spacing w:line="360" w:lineRule="auto"/>
              <w:jc w:val="center"/>
              <w:rPr>
                <w:rFonts w:hint="eastAsia" w:hAnsi="宋体"/>
                <w:sz w:val="24"/>
                <w:szCs w:val="24"/>
              </w:rPr>
            </w:pPr>
            <w:r>
              <w:rPr>
                <w:rFonts w:hint="eastAsia" w:hAnsi="宋体"/>
                <w:sz w:val="24"/>
                <w:szCs w:val="24"/>
              </w:rPr>
              <w:t>1</w:t>
            </w:r>
            <w:r>
              <w:rPr>
                <w:rFonts w:hAnsi="宋体"/>
                <w:sz w:val="24"/>
                <w:szCs w:val="24"/>
              </w:rPr>
              <w:t>0</w:t>
            </w:r>
          </w:p>
        </w:tc>
        <w:tc>
          <w:tcPr>
            <w:tcW w:w="616" w:type="pct"/>
            <w:vMerge w:val="restart"/>
            <w:vAlign w:val="center"/>
          </w:tcPr>
          <w:p>
            <w:pPr>
              <w:pStyle w:val="11"/>
              <w:spacing w:line="360" w:lineRule="auto"/>
              <w:jc w:val="center"/>
              <w:rPr>
                <w:rFonts w:hint="eastAsia" w:hAnsi="宋体"/>
                <w:sz w:val="24"/>
                <w:szCs w:val="24"/>
              </w:rPr>
            </w:pPr>
            <w:r>
              <w:rPr>
                <w:rFonts w:hint="eastAsia"/>
                <w:sz w:val="24"/>
                <w:szCs w:val="24"/>
              </w:rPr>
              <w:t>项目方案</w:t>
            </w:r>
          </w:p>
        </w:tc>
        <w:tc>
          <w:tcPr>
            <w:tcW w:w="628" w:type="pct"/>
            <w:vMerge w:val="restart"/>
            <w:vAlign w:val="center"/>
          </w:tcPr>
          <w:p>
            <w:pPr>
              <w:pStyle w:val="11"/>
              <w:spacing w:line="360" w:lineRule="auto"/>
              <w:jc w:val="center"/>
              <w:rPr>
                <w:rFonts w:hint="eastAsia" w:hAnsi="宋体"/>
                <w:sz w:val="24"/>
                <w:szCs w:val="24"/>
              </w:rPr>
            </w:pPr>
            <w:r>
              <w:rPr>
                <w:rFonts w:hint="eastAsia"/>
                <w:sz w:val="24"/>
                <w:szCs w:val="24"/>
              </w:rPr>
              <w:t>方案设计</w:t>
            </w:r>
          </w:p>
        </w:tc>
        <w:tc>
          <w:tcPr>
            <w:tcW w:w="3063" w:type="pct"/>
          </w:tcPr>
          <w:p>
            <w:pPr>
              <w:pStyle w:val="11"/>
              <w:spacing w:line="360" w:lineRule="auto"/>
              <w:rPr>
                <w:rFonts w:hint="eastAsia" w:hAnsi="宋体"/>
                <w:sz w:val="24"/>
                <w:szCs w:val="24"/>
              </w:rPr>
            </w:pPr>
            <w:r>
              <w:rPr>
                <w:rFonts w:hint="eastAsia"/>
                <w:sz w:val="24"/>
                <w:szCs w:val="24"/>
              </w:rPr>
              <w:t>当前业务调研及业务痛点分析</w:t>
            </w:r>
          </w:p>
        </w:tc>
        <w:tc>
          <w:tcPr>
            <w:tcW w:w="426" w:type="pct"/>
          </w:tcPr>
          <w:p>
            <w:pPr>
              <w:pStyle w:val="11"/>
              <w:spacing w:line="360" w:lineRule="auto"/>
              <w:jc w:val="center"/>
              <w:rPr>
                <w:rFonts w:hint="eastAsia" w:hAnsi="宋体"/>
                <w:sz w:val="24"/>
                <w:szCs w:val="24"/>
              </w:rPr>
            </w:pPr>
            <w:r>
              <w:rPr>
                <w:rFonts w:hint="eastAsia"/>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11"/>
              <w:spacing w:line="360" w:lineRule="auto"/>
              <w:jc w:val="center"/>
              <w:rPr>
                <w:rFonts w:hint="eastAsia" w:hAnsi="宋体"/>
                <w:sz w:val="24"/>
                <w:szCs w:val="24"/>
              </w:rPr>
            </w:pPr>
            <w:r>
              <w:rPr>
                <w:rFonts w:hint="eastAsia" w:hAnsi="宋体"/>
                <w:sz w:val="24"/>
                <w:szCs w:val="24"/>
              </w:rPr>
              <w:t>1</w:t>
            </w:r>
            <w:r>
              <w:rPr>
                <w:rFonts w:hAnsi="宋体"/>
                <w:sz w:val="24"/>
                <w:szCs w:val="24"/>
              </w:rPr>
              <w:t>1</w:t>
            </w:r>
          </w:p>
        </w:tc>
        <w:tc>
          <w:tcPr>
            <w:tcW w:w="616" w:type="pct"/>
            <w:vMerge w:val="continue"/>
            <w:vAlign w:val="center"/>
          </w:tcPr>
          <w:p>
            <w:pPr>
              <w:pStyle w:val="11"/>
              <w:spacing w:line="360" w:lineRule="auto"/>
              <w:jc w:val="center"/>
              <w:rPr>
                <w:rFonts w:hint="eastAsia" w:hAnsi="宋体"/>
                <w:sz w:val="24"/>
                <w:szCs w:val="24"/>
              </w:rPr>
            </w:pPr>
          </w:p>
        </w:tc>
        <w:tc>
          <w:tcPr>
            <w:tcW w:w="628" w:type="pct"/>
            <w:vMerge w:val="continue"/>
            <w:vAlign w:val="center"/>
          </w:tcPr>
          <w:p>
            <w:pPr>
              <w:pStyle w:val="11"/>
              <w:spacing w:line="360" w:lineRule="auto"/>
              <w:jc w:val="center"/>
              <w:rPr>
                <w:rFonts w:hint="eastAsia" w:hAnsi="宋体"/>
                <w:sz w:val="24"/>
                <w:szCs w:val="24"/>
              </w:rPr>
            </w:pPr>
          </w:p>
        </w:tc>
        <w:tc>
          <w:tcPr>
            <w:tcW w:w="3063" w:type="pct"/>
          </w:tcPr>
          <w:p>
            <w:pPr>
              <w:pStyle w:val="11"/>
              <w:spacing w:line="360" w:lineRule="auto"/>
              <w:rPr>
                <w:rFonts w:hint="eastAsia" w:hAnsi="宋体"/>
                <w:sz w:val="24"/>
                <w:szCs w:val="24"/>
              </w:rPr>
            </w:pPr>
            <w:r>
              <w:rPr>
                <w:rFonts w:hint="eastAsia"/>
                <w:sz w:val="24"/>
                <w:szCs w:val="24"/>
              </w:rPr>
              <w:t>项目总体规划实施方案：业务改善点分析及提升措施（自动化、信息化、少人化等措施）</w:t>
            </w:r>
          </w:p>
        </w:tc>
        <w:tc>
          <w:tcPr>
            <w:tcW w:w="426" w:type="pct"/>
          </w:tcPr>
          <w:p>
            <w:pPr>
              <w:pStyle w:val="11"/>
              <w:spacing w:line="360" w:lineRule="auto"/>
              <w:jc w:val="center"/>
              <w:rPr>
                <w:rFonts w:hint="eastAsia" w:hAnsi="宋体"/>
                <w:sz w:val="24"/>
                <w:szCs w:val="24"/>
              </w:rPr>
            </w:pPr>
            <w:r>
              <w:rPr>
                <w:rFonts w:hint="eastAsia"/>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Align w:val="center"/>
          </w:tcPr>
          <w:p>
            <w:pPr>
              <w:pStyle w:val="11"/>
              <w:spacing w:line="360" w:lineRule="auto"/>
              <w:jc w:val="center"/>
              <w:rPr>
                <w:rFonts w:hint="eastAsia" w:hAnsi="宋体"/>
                <w:sz w:val="24"/>
                <w:szCs w:val="24"/>
              </w:rPr>
            </w:pPr>
            <w:r>
              <w:rPr>
                <w:rFonts w:hint="eastAsia" w:hAnsi="宋体"/>
                <w:sz w:val="24"/>
                <w:szCs w:val="24"/>
              </w:rPr>
              <w:t>1</w:t>
            </w:r>
            <w:r>
              <w:rPr>
                <w:rFonts w:hAnsi="宋体"/>
                <w:sz w:val="24"/>
                <w:szCs w:val="24"/>
              </w:rPr>
              <w:t>2</w:t>
            </w:r>
          </w:p>
        </w:tc>
        <w:tc>
          <w:tcPr>
            <w:tcW w:w="616" w:type="pct"/>
            <w:vMerge w:val="continue"/>
            <w:vAlign w:val="center"/>
          </w:tcPr>
          <w:p>
            <w:pPr>
              <w:pStyle w:val="11"/>
              <w:spacing w:line="360" w:lineRule="auto"/>
              <w:jc w:val="center"/>
              <w:rPr>
                <w:rFonts w:hint="eastAsia" w:hAnsi="宋体"/>
                <w:sz w:val="24"/>
                <w:szCs w:val="24"/>
              </w:rPr>
            </w:pPr>
          </w:p>
        </w:tc>
        <w:tc>
          <w:tcPr>
            <w:tcW w:w="628" w:type="pct"/>
            <w:vMerge w:val="continue"/>
            <w:vAlign w:val="center"/>
          </w:tcPr>
          <w:p>
            <w:pPr>
              <w:pStyle w:val="11"/>
              <w:spacing w:line="360" w:lineRule="auto"/>
              <w:jc w:val="center"/>
              <w:rPr>
                <w:rFonts w:hint="eastAsia" w:hAnsi="宋体"/>
                <w:sz w:val="24"/>
                <w:szCs w:val="24"/>
              </w:rPr>
            </w:pPr>
          </w:p>
        </w:tc>
        <w:tc>
          <w:tcPr>
            <w:tcW w:w="3063" w:type="pct"/>
          </w:tcPr>
          <w:p>
            <w:pPr>
              <w:pStyle w:val="11"/>
              <w:spacing w:line="360" w:lineRule="auto"/>
              <w:rPr>
                <w:rFonts w:hint="eastAsia" w:hAnsi="宋体"/>
                <w:sz w:val="24"/>
                <w:szCs w:val="24"/>
              </w:rPr>
            </w:pPr>
            <w:r>
              <w:rPr>
                <w:rFonts w:hint="eastAsia"/>
                <w:sz w:val="24"/>
                <w:szCs w:val="24"/>
              </w:rPr>
              <w:t>目标及预计取得效果、持续降本措施</w:t>
            </w:r>
          </w:p>
        </w:tc>
        <w:tc>
          <w:tcPr>
            <w:tcW w:w="426" w:type="pct"/>
          </w:tcPr>
          <w:p>
            <w:pPr>
              <w:pStyle w:val="11"/>
              <w:spacing w:line="360" w:lineRule="auto"/>
              <w:jc w:val="center"/>
              <w:rPr>
                <w:rFonts w:hint="eastAsia" w:hAnsi="宋体"/>
                <w:sz w:val="24"/>
                <w:szCs w:val="24"/>
              </w:rPr>
            </w:pPr>
            <w:r>
              <w:rPr>
                <w:rFonts w:hint="eastAsia"/>
                <w:sz w:val="24"/>
                <w:szCs w:val="24"/>
              </w:rPr>
              <w:t>10</w:t>
            </w:r>
          </w:p>
        </w:tc>
      </w:tr>
    </w:tbl>
    <w:p>
      <w:pPr>
        <w:pStyle w:val="2"/>
        <w:keepLines w:val="0"/>
        <w:widowControl/>
        <w:spacing w:before="0" w:after="0" w:line="360" w:lineRule="auto"/>
        <w:ind w:right="206" w:rightChars="98"/>
        <w:rPr>
          <w:rFonts w:hint="eastAsia" w:hAnsi="宋体"/>
          <w:kern w:val="2"/>
          <w:sz w:val="32"/>
          <w:szCs w:val="32"/>
        </w:rPr>
      </w:pPr>
      <w:bookmarkStart w:id="9" w:name="_Toc205983503"/>
      <w:r>
        <w:rPr>
          <w:rFonts w:hint="eastAsia" w:hAnsi="宋体"/>
          <w:kern w:val="2"/>
          <w:sz w:val="32"/>
          <w:szCs w:val="32"/>
        </w:rPr>
        <w:t>八、合同签订</w:t>
      </w:r>
      <w:bookmarkEnd w:id="9"/>
    </w:p>
    <w:p>
      <w:pPr>
        <w:pStyle w:val="11"/>
        <w:spacing w:line="360" w:lineRule="auto"/>
        <w:ind w:firstLine="480" w:firstLineChars="200"/>
        <w:rPr>
          <w:sz w:val="24"/>
          <w:szCs w:val="22"/>
        </w:rPr>
      </w:pPr>
      <w:r>
        <w:rPr>
          <w:rFonts w:hint="eastAsia"/>
          <w:sz w:val="24"/>
          <w:szCs w:val="22"/>
        </w:rPr>
        <w:t>1.</w:t>
      </w:r>
      <w:r>
        <w:rPr>
          <w:rFonts w:hint="eastAsia" w:hAnsi="宋体"/>
          <w:sz w:val="24"/>
          <w:szCs w:val="24"/>
        </w:rPr>
        <w:t>根据评标工作小组的评标结果并按相关法律法规的规定及公司相关制度要求，确定中标人。中标人承诺无条件服从招标人针对该项目的后续所有安排。</w:t>
      </w:r>
    </w:p>
    <w:p>
      <w:pPr>
        <w:pStyle w:val="11"/>
        <w:spacing w:line="360" w:lineRule="auto"/>
        <w:ind w:firstLine="480" w:firstLineChars="200"/>
        <w:rPr>
          <w:rFonts w:hint="eastAsia" w:hAnsi="宋体"/>
          <w:sz w:val="24"/>
          <w:szCs w:val="24"/>
        </w:rPr>
      </w:pPr>
      <w:r>
        <w:rPr>
          <w:rFonts w:hint="eastAsia" w:hAnsi="宋体"/>
          <w:sz w:val="24"/>
          <w:szCs w:val="24"/>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11"/>
        <w:spacing w:line="360" w:lineRule="auto"/>
        <w:ind w:firstLine="480" w:firstLineChars="200"/>
        <w:rPr>
          <w:rFonts w:hint="eastAsia" w:hAnsi="宋体"/>
          <w:sz w:val="24"/>
          <w:szCs w:val="24"/>
        </w:rPr>
      </w:pPr>
      <w:r>
        <w:rPr>
          <w:rFonts w:hint="eastAsia" w:hAnsi="宋体"/>
          <w:sz w:val="24"/>
          <w:szCs w:val="24"/>
        </w:rPr>
        <w:t>3.中标人应当按照合同约定的履约责任，</w:t>
      </w:r>
      <w:r>
        <w:rPr>
          <w:rFonts w:hint="eastAsia" w:hAnsi="宋体"/>
          <w:sz w:val="24"/>
          <w:szCs w:val="22"/>
        </w:rPr>
        <w:t>向招标人指定的合同签订单位缴纳履约保证金（合同预计金额的5%，最高200万元），如中标人未按合同及其附件约定履行应承担的责任，招标人或招标人指定的合同签订单位有权扣除其履约保证金。</w:t>
      </w:r>
    </w:p>
    <w:p>
      <w:pPr>
        <w:pStyle w:val="11"/>
        <w:spacing w:line="360" w:lineRule="auto"/>
        <w:ind w:firstLine="480" w:firstLineChars="200"/>
        <w:rPr>
          <w:rFonts w:hint="eastAsia" w:hAnsi="宋体"/>
          <w:sz w:val="24"/>
          <w:szCs w:val="24"/>
        </w:rPr>
      </w:pPr>
      <w:r>
        <w:rPr>
          <w:rFonts w:hint="eastAsia" w:hAnsi="宋体"/>
          <w:sz w:val="24"/>
          <w:szCs w:val="24"/>
        </w:rPr>
        <w:t>4.中标人应在保证质量的前提下完成中标项目，不得将中标项目转包或分包给他人，否则视为违约，招标人或相关单位有权解除合同。</w:t>
      </w:r>
    </w:p>
    <w:p>
      <w:pPr>
        <w:pStyle w:val="11"/>
        <w:spacing w:line="360" w:lineRule="auto"/>
        <w:ind w:firstLine="480" w:firstLineChars="200"/>
        <w:rPr>
          <w:rFonts w:hint="eastAsia" w:hAnsi="宋体"/>
          <w:sz w:val="24"/>
          <w:szCs w:val="24"/>
        </w:rPr>
      </w:pPr>
      <w:r>
        <w:rPr>
          <w:rFonts w:hint="eastAsia" w:hAnsi="宋体"/>
          <w:sz w:val="24"/>
          <w:szCs w:val="24"/>
        </w:rPr>
        <w:t>5.中标人</w:t>
      </w:r>
      <w:r>
        <w:rPr>
          <w:rFonts w:hint="eastAsia"/>
          <w:sz w:val="24"/>
          <w:szCs w:val="24"/>
        </w:rPr>
        <w:t>由于履行义务的能力或信用有严重缺陷，</w:t>
      </w:r>
      <w:r>
        <w:rPr>
          <w:rFonts w:hint="eastAsia" w:hAnsi="宋体"/>
          <w:sz w:val="24"/>
          <w:szCs w:val="24"/>
        </w:rPr>
        <w:t>招标人有权取消其中标资格，招标人将从剩余投标人中依序重新确定中标人，或重新组织招标。</w:t>
      </w:r>
    </w:p>
    <w:p>
      <w:pPr>
        <w:pStyle w:val="11"/>
        <w:spacing w:line="360" w:lineRule="auto"/>
        <w:ind w:firstLine="480" w:firstLineChars="200"/>
        <w:rPr>
          <w:rFonts w:hint="eastAsia" w:hAnsi="宋体"/>
          <w:sz w:val="24"/>
          <w:szCs w:val="24"/>
        </w:rPr>
      </w:pPr>
      <w:r>
        <w:rPr>
          <w:rFonts w:hint="eastAsia" w:hAnsi="宋体"/>
          <w:sz w:val="24"/>
          <w:szCs w:val="24"/>
        </w:rPr>
        <w:t>6.招标人有权指定招标人的关联单位作为合同签订人，与中标人签署相关合同，且具体权利义务以双方最终签署的合同为准。</w:t>
      </w:r>
    </w:p>
    <w:p>
      <w:pPr>
        <w:pStyle w:val="11"/>
        <w:spacing w:line="360" w:lineRule="auto"/>
        <w:ind w:firstLine="480" w:firstLineChars="200"/>
        <w:rPr>
          <w:sz w:val="24"/>
          <w:szCs w:val="22"/>
        </w:rPr>
      </w:pPr>
      <w:r>
        <w:rPr>
          <w:rFonts w:hint="eastAsia"/>
          <w:sz w:val="24"/>
          <w:szCs w:val="22"/>
        </w:rPr>
        <w:t>7.中标人须认可由于招标人上级集团公司政策变化引起的合同签订前终止项目的要求。</w:t>
      </w:r>
    </w:p>
    <w:p>
      <w:pPr>
        <w:pStyle w:val="2"/>
        <w:keepLines w:val="0"/>
        <w:widowControl/>
        <w:spacing w:before="0" w:after="0" w:line="360" w:lineRule="auto"/>
        <w:ind w:right="206" w:rightChars="98"/>
        <w:rPr>
          <w:rFonts w:hint="eastAsia" w:hAnsi="宋体"/>
          <w:kern w:val="2"/>
          <w:sz w:val="32"/>
          <w:szCs w:val="32"/>
        </w:rPr>
      </w:pPr>
      <w:bookmarkStart w:id="10" w:name="_Toc205983504"/>
      <w:r>
        <w:rPr>
          <w:rFonts w:hint="eastAsia" w:hAnsi="宋体"/>
          <w:kern w:val="2"/>
          <w:sz w:val="32"/>
          <w:szCs w:val="32"/>
        </w:rPr>
        <w:t>九、废标及终止招标</w:t>
      </w:r>
      <w:bookmarkEnd w:id="10"/>
    </w:p>
    <w:p>
      <w:pPr>
        <w:spacing w:line="360" w:lineRule="auto"/>
        <w:ind w:right="2" w:firstLine="480" w:firstLineChars="200"/>
        <w:rPr>
          <w:rFonts w:ascii="宋体" w:hAnsi="Courier New"/>
          <w:sz w:val="24"/>
          <w:szCs w:val="22"/>
        </w:rPr>
      </w:pPr>
      <w:r>
        <w:rPr>
          <w:rFonts w:hint="eastAsia" w:ascii="宋体" w:hAnsi="Courier New"/>
          <w:sz w:val="24"/>
          <w:szCs w:val="22"/>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Courier New"/>
          <w:sz w:val="24"/>
          <w:szCs w:val="22"/>
        </w:rPr>
      </w:pPr>
      <w:r>
        <w:rPr>
          <w:rFonts w:hint="eastAsia" w:ascii="宋体" w:hAnsi="宋体"/>
          <w:sz w:val="24"/>
          <w:szCs w:val="22"/>
        </w:rPr>
        <w:t>⑴</w:t>
      </w:r>
      <w:r>
        <w:rPr>
          <w:rFonts w:hint="eastAsia" w:ascii="宋体" w:hAnsi="Courier New"/>
          <w:sz w:val="24"/>
          <w:szCs w:val="22"/>
        </w:rPr>
        <w:t>投标人提供的有关资格、资质证明文件不合格、不真实或提供虚假投标材料；</w:t>
      </w:r>
    </w:p>
    <w:p>
      <w:pPr>
        <w:spacing w:line="360" w:lineRule="auto"/>
        <w:ind w:right="2" w:firstLine="480" w:firstLineChars="200"/>
        <w:rPr>
          <w:rFonts w:ascii="宋体" w:hAnsi="Courier New"/>
          <w:sz w:val="24"/>
          <w:szCs w:val="22"/>
        </w:rPr>
      </w:pPr>
      <w:r>
        <w:rPr>
          <w:rFonts w:hint="eastAsia" w:ascii="宋体" w:hAnsi="宋体"/>
          <w:sz w:val="24"/>
          <w:szCs w:val="22"/>
        </w:rPr>
        <w:t>⑵</w:t>
      </w:r>
      <w:r>
        <w:rPr>
          <w:rFonts w:hint="eastAsia" w:ascii="宋体" w:hAnsi="Courier New"/>
          <w:sz w:val="24"/>
          <w:szCs w:val="22"/>
        </w:rPr>
        <w:t>投标人在报价有效期内撤回投标；</w:t>
      </w:r>
    </w:p>
    <w:p>
      <w:pPr>
        <w:spacing w:line="360" w:lineRule="auto"/>
        <w:ind w:right="2" w:firstLine="480" w:firstLineChars="200"/>
        <w:rPr>
          <w:rFonts w:ascii="宋体" w:hAnsi="Courier New"/>
          <w:sz w:val="24"/>
          <w:szCs w:val="22"/>
        </w:rPr>
      </w:pPr>
      <w:r>
        <w:rPr>
          <w:rFonts w:hint="eastAsia" w:ascii="宋体" w:hAnsi="宋体"/>
          <w:sz w:val="24"/>
          <w:szCs w:val="22"/>
        </w:rPr>
        <w:t>⑶</w:t>
      </w:r>
      <w:r>
        <w:rPr>
          <w:rFonts w:hint="eastAsia" w:ascii="宋体" w:hAnsi="Courier New"/>
          <w:sz w:val="24"/>
          <w:szCs w:val="22"/>
        </w:rPr>
        <w:t>在整个评标过程中，投标人有企图影响评标结果公正性的任何活动；</w:t>
      </w:r>
    </w:p>
    <w:p>
      <w:pPr>
        <w:spacing w:line="360" w:lineRule="auto"/>
        <w:ind w:right="2" w:firstLine="480" w:firstLineChars="200"/>
        <w:rPr>
          <w:rFonts w:ascii="宋体" w:hAnsi="Courier New"/>
          <w:sz w:val="24"/>
          <w:szCs w:val="22"/>
        </w:rPr>
      </w:pPr>
      <w:r>
        <w:rPr>
          <w:rFonts w:hint="eastAsia" w:ascii="宋体" w:hAnsi="宋体"/>
          <w:sz w:val="24"/>
          <w:szCs w:val="22"/>
        </w:rPr>
        <w:t>⑷</w:t>
      </w:r>
      <w:r>
        <w:rPr>
          <w:rFonts w:hint="eastAsia" w:ascii="宋体" w:hAnsi="Courier New"/>
          <w:sz w:val="24"/>
          <w:szCs w:val="22"/>
        </w:rPr>
        <w:t>投标人以任何方式诋毁其他投标人；</w:t>
      </w:r>
    </w:p>
    <w:p>
      <w:pPr>
        <w:spacing w:line="360" w:lineRule="auto"/>
        <w:ind w:right="2" w:firstLine="480" w:firstLineChars="200"/>
        <w:rPr>
          <w:rFonts w:ascii="宋体" w:hAnsi="Courier New"/>
          <w:sz w:val="24"/>
          <w:szCs w:val="22"/>
        </w:rPr>
      </w:pPr>
      <w:r>
        <w:rPr>
          <w:rFonts w:hint="eastAsia" w:ascii="宋体" w:hAnsi="宋体"/>
          <w:sz w:val="24"/>
          <w:szCs w:val="22"/>
        </w:rPr>
        <w:t>⑸</w:t>
      </w:r>
      <w:r>
        <w:rPr>
          <w:rFonts w:hint="eastAsia" w:ascii="宋体" w:hAnsi="Courier New"/>
          <w:sz w:val="24"/>
          <w:szCs w:val="22"/>
        </w:rPr>
        <w:t>投标人串通投标；</w:t>
      </w:r>
    </w:p>
    <w:p>
      <w:pPr>
        <w:spacing w:line="360" w:lineRule="auto"/>
        <w:ind w:right="2" w:firstLine="480" w:firstLineChars="200"/>
        <w:rPr>
          <w:rFonts w:ascii="宋体" w:hAnsi="Courier New"/>
          <w:sz w:val="24"/>
          <w:szCs w:val="22"/>
        </w:rPr>
      </w:pPr>
      <w:r>
        <w:rPr>
          <w:rFonts w:hint="eastAsia" w:ascii="宋体" w:hAnsi="宋体"/>
          <w:sz w:val="24"/>
          <w:szCs w:val="22"/>
        </w:rPr>
        <w:t>⑹</w:t>
      </w:r>
      <w:r>
        <w:rPr>
          <w:rFonts w:hint="eastAsia" w:ascii="宋体" w:hAnsi="Courier New"/>
          <w:sz w:val="24"/>
          <w:szCs w:val="22"/>
        </w:rPr>
        <w:t>以他人名义投标或者以其他方式弄虚作假，骗取中标的；</w:t>
      </w:r>
    </w:p>
    <w:p>
      <w:pPr>
        <w:spacing w:line="360" w:lineRule="auto"/>
        <w:ind w:right="2" w:firstLine="480" w:firstLineChars="200"/>
        <w:rPr>
          <w:rFonts w:ascii="宋体" w:hAnsi="Courier New"/>
          <w:sz w:val="24"/>
          <w:szCs w:val="22"/>
        </w:rPr>
      </w:pPr>
      <w:r>
        <w:rPr>
          <w:rFonts w:hint="eastAsia" w:ascii="宋体" w:hAnsi="宋体"/>
          <w:sz w:val="24"/>
          <w:szCs w:val="22"/>
        </w:rPr>
        <w:t>⑺</w:t>
      </w:r>
      <w:r>
        <w:rPr>
          <w:rFonts w:hint="eastAsia" w:ascii="宋体" w:hAnsi="Courier New"/>
          <w:sz w:val="24"/>
          <w:szCs w:val="22"/>
        </w:rPr>
        <w:t>中标人不按规定签订合同；</w:t>
      </w:r>
    </w:p>
    <w:p>
      <w:pPr>
        <w:spacing w:line="360" w:lineRule="auto"/>
        <w:ind w:firstLine="480" w:firstLineChars="200"/>
        <w:rPr>
          <w:rFonts w:hint="eastAsia" w:hAnsi="宋体"/>
          <w:sz w:val="24"/>
          <w:szCs w:val="22"/>
        </w:rPr>
      </w:pPr>
      <w:r>
        <w:rPr>
          <w:rFonts w:hint="eastAsia" w:ascii="宋体" w:hAnsi="宋体"/>
          <w:sz w:val="24"/>
          <w:szCs w:val="22"/>
        </w:rPr>
        <w:t>⑻</w:t>
      </w:r>
      <w:r>
        <w:rPr>
          <w:rFonts w:hint="eastAsia" w:hAnsi="宋体"/>
          <w:sz w:val="24"/>
          <w:szCs w:val="22"/>
        </w:rPr>
        <w:t>投标人负责人为同一人或者存在控股、管理关系的不同单位；</w:t>
      </w:r>
    </w:p>
    <w:p>
      <w:pPr>
        <w:spacing w:line="360" w:lineRule="auto"/>
        <w:ind w:firstLine="480" w:firstLineChars="200"/>
        <w:rPr>
          <w:sz w:val="24"/>
          <w:szCs w:val="22"/>
        </w:rPr>
      </w:pPr>
      <w:r>
        <w:rPr>
          <w:rFonts w:hint="eastAsia" w:hAnsi="宋体"/>
          <w:sz w:val="24"/>
          <w:szCs w:val="22"/>
        </w:rPr>
        <w:t>⑼</w:t>
      </w:r>
      <w:r>
        <w:rPr>
          <w:rFonts w:hint="eastAsia"/>
          <w:sz w:val="24"/>
          <w:szCs w:val="22"/>
        </w:rPr>
        <w:t>投标人被举报、检举，并经招标方查实无误的；</w:t>
      </w:r>
    </w:p>
    <w:p>
      <w:pPr>
        <w:spacing w:line="360" w:lineRule="auto"/>
        <w:ind w:firstLine="480" w:firstLineChars="200"/>
        <w:rPr>
          <w:rFonts w:hint="eastAsia" w:hAnsi="宋体"/>
          <w:sz w:val="24"/>
          <w:szCs w:val="22"/>
        </w:rPr>
      </w:pPr>
      <w:r>
        <w:rPr>
          <w:rFonts w:hint="eastAsia" w:hAnsi="宋体"/>
          <w:sz w:val="24"/>
          <w:szCs w:val="22"/>
        </w:rPr>
        <w:t>⑽不同投标人的投标文件异常一致或者投标报价呈规律性差异的；</w:t>
      </w:r>
    </w:p>
    <w:p>
      <w:pPr>
        <w:spacing w:line="360" w:lineRule="auto"/>
        <w:ind w:firstLine="480" w:firstLineChars="200"/>
        <w:rPr>
          <w:sz w:val="24"/>
          <w:szCs w:val="22"/>
        </w:rPr>
      </w:pPr>
      <w:r>
        <w:rPr>
          <w:rFonts w:hint="eastAsia" w:hAnsi="宋体"/>
          <w:sz w:val="24"/>
          <w:szCs w:val="22"/>
        </w:rPr>
        <w:t>⑾</w:t>
      </w:r>
      <w:r>
        <w:rPr>
          <w:rFonts w:hint="eastAsia" w:ascii="宋体" w:hAnsi="Courier New"/>
          <w:sz w:val="24"/>
          <w:szCs w:val="22"/>
        </w:rPr>
        <w:t>法律、法规规定的其他情况。</w:t>
      </w:r>
    </w:p>
    <w:p>
      <w:pPr>
        <w:spacing w:line="360" w:lineRule="auto"/>
        <w:ind w:right="2" w:firstLine="480" w:firstLineChars="200"/>
        <w:rPr>
          <w:rFonts w:ascii="宋体" w:hAnsi="Courier New"/>
          <w:sz w:val="24"/>
          <w:szCs w:val="22"/>
        </w:rPr>
      </w:pPr>
      <w:r>
        <w:rPr>
          <w:rFonts w:hint="eastAsia" w:ascii="宋体" w:hAnsi="Courier New"/>
          <w:sz w:val="24"/>
          <w:szCs w:val="22"/>
        </w:rPr>
        <w:t>2.出现下列情形之一，招标人有权否决所有投标人的投标，并终止招标。</w:t>
      </w:r>
    </w:p>
    <w:p>
      <w:pPr>
        <w:spacing w:line="360" w:lineRule="auto"/>
        <w:ind w:firstLine="480" w:firstLineChars="200"/>
        <w:rPr>
          <w:rFonts w:ascii="宋体" w:hAnsi="Courier New"/>
          <w:sz w:val="24"/>
          <w:szCs w:val="22"/>
        </w:rPr>
      </w:pPr>
      <w:r>
        <w:rPr>
          <w:rFonts w:hint="eastAsia" w:ascii="宋体" w:hAnsi="Courier New"/>
          <w:sz w:val="24"/>
          <w:szCs w:val="22"/>
        </w:rPr>
        <w:t>⑴出现影响采购公正的违法、违规行为的。</w:t>
      </w:r>
    </w:p>
    <w:p>
      <w:pPr>
        <w:spacing w:line="360" w:lineRule="auto"/>
        <w:ind w:firstLine="480" w:firstLineChars="200"/>
        <w:rPr>
          <w:rFonts w:ascii="宋体" w:hAnsi="Courier New"/>
          <w:sz w:val="24"/>
          <w:szCs w:val="22"/>
        </w:rPr>
      </w:pPr>
      <w:r>
        <w:rPr>
          <w:rFonts w:hint="eastAsia" w:ascii="宋体" w:hAnsi="Courier New"/>
          <w:sz w:val="24"/>
          <w:szCs w:val="22"/>
        </w:rPr>
        <w:t>⑵评标委员会经评审，认为所有投标都不符合招标文件要求的</w:t>
      </w:r>
    </w:p>
    <w:p>
      <w:pPr>
        <w:spacing w:line="360" w:lineRule="auto"/>
        <w:ind w:firstLine="480" w:firstLineChars="200"/>
        <w:rPr>
          <w:rFonts w:ascii="宋体" w:hAnsi="Courier New"/>
          <w:sz w:val="24"/>
          <w:szCs w:val="22"/>
        </w:rPr>
      </w:pPr>
      <w:r>
        <w:rPr>
          <w:rFonts w:hint="eastAsia" w:ascii="宋体" w:hAnsi="宋体"/>
          <w:sz w:val="24"/>
          <w:szCs w:val="22"/>
        </w:rPr>
        <w:t>⑶</w:t>
      </w:r>
      <w:r>
        <w:rPr>
          <w:rFonts w:hint="eastAsia" w:ascii="宋体" w:hAnsi="Courier New"/>
          <w:sz w:val="24"/>
          <w:szCs w:val="22"/>
        </w:rPr>
        <w:t>因重大变故，采购任务取消的。</w:t>
      </w:r>
    </w:p>
    <w:p>
      <w:pPr>
        <w:spacing w:line="360" w:lineRule="auto"/>
        <w:ind w:firstLine="480" w:firstLineChars="200"/>
        <w:rPr>
          <w:rFonts w:hint="eastAsia" w:ascii="宋体" w:hAnsi="宋体"/>
          <w:sz w:val="24"/>
          <w:szCs w:val="22"/>
        </w:rPr>
      </w:pPr>
      <w:r>
        <w:rPr>
          <w:rFonts w:hint="eastAsia" w:ascii="宋体" w:hAnsi="宋体"/>
          <w:sz w:val="24"/>
          <w:szCs w:val="22"/>
        </w:rPr>
        <w:t>⑷有效参与投标的单位不足三家以上的。</w:t>
      </w:r>
    </w:p>
    <w:p>
      <w:pPr>
        <w:spacing w:line="360" w:lineRule="auto"/>
        <w:ind w:firstLine="480" w:firstLineChars="200"/>
        <w:rPr>
          <w:rFonts w:hint="eastAsia" w:ascii="宋体" w:hAnsi="宋体"/>
          <w:sz w:val="24"/>
          <w:szCs w:val="22"/>
        </w:rPr>
      </w:pPr>
      <w:r>
        <w:rPr>
          <w:rFonts w:hint="eastAsia" w:ascii="宋体" w:hAnsi="宋体"/>
          <w:sz w:val="24"/>
          <w:szCs w:val="22"/>
        </w:rPr>
        <w:t>⑸招标人认为其他应终止招标的情形。</w:t>
      </w:r>
    </w:p>
    <w:p>
      <w:pPr>
        <w:pStyle w:val="2"/>
        <w:keepLines w:val="0"/>
        <w:widowControl/>
        <w:spacing w:before="0" w:after="0" w:line="360" w:lineRule="auto"/>
        <w:ind w:right="206" w:rightChars="98"/>
        <w:rPr>
          <w:rFonts w:hint="eastAsia" w:hAnsi="宋体"/>
          <w:kern w:val="2"/>
          <w:sz w:val="32"/>
          <w:szCs w:val="32"/>
        </w:rPr>
      </w:pPr>
      <w:bookmarkStart w:id="11" w:name="_Toc205983505"/>
      <w:r>
        <w:rPr>
          <w:rFonts w:hint="eastAsia" w:hAnsi="宋体"/>
          <w:kern w:val="2"/>
          <w:sz w:val="32"/>
          <w:szCs w:val="32"/>
        </w:rPr>
        <w:t>十、中标人瑕疵滞后发现的处理原则</w:t>
      </w:r>
      <w:bookmarkEnd w:id="11"/>
    </w:p>
    <w:p>
      <w:pPr>
        <w:spacing w:line="360" w:lineRule="auto"/>
        <w:ind w:firstLine="480" w:firstLineChars="200"/>
        <w:rPr>
          <w:rFonts w:ascii="宋体" w:hAnsi="Courier New"/>
          <w:sz w:val="24"/>
          <w:szCs w:val="22"/>
        </w:rPr>
      </w:pPr>
      <w:r>
        <w:rPr>
          <w:rFonts w:hint="eastAsia" w:ascii="宋体" w:hAnsi="Courier New"/>
          <w:sz w:val="24"/>
          <w:szCs w:val="22"/>
        </w:rPr>
        <w:t>无论基于何种原因，各项本应作为拒绝处理的情形即便未被及时发现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2"/>
        <w:keepLines w:val="0"/>
        <w:widowControl/>
        <w:spacing w:before="0" w:after="0" w:line="360" w:lineRule="auto"/>
        <w:ind w:right="206" w:rightChars="98"/>
        <w:rPr>
          <w:rFonts w:hint="eastAsia" w:hAnsi="宋体"/>
          <w:kern w:val="2"/>
          <w:sz w:val="32"/>
          <w:szCs w:val="32"/>
        </w:rPr>
      </w:pPr>
      <w:bookmarkStart w:id="12" w:name="_Toc205983506"/>
      <w:r>
        <w:rPr>
          <w:rFonts w:hint="eastAsia" w:hAnsi="宋体"/>
          <w:kern w:val="2"/>
          <w:sz w:val="32"/>
          <w:szCs w:val="32"/>
        </w:rPr>
        <w:t>十一、解释权</w:t>
      </w:r>
      <w:bookmarkEnd w:id="12"/>
    </w:p>
    <w:p>
      <w:pPr>
        <w:spacing w:line="360" w:lineRule="auto"/>
        <w:ind w:firstLine="480" w:firstLineChars="200"/>
        <w:rPr>
          <w:rFonts w:ascii="宋体" w:hAnsi="Courier New" w:cs="宋体"/>
          <w:sz w:val="24"/>
          <w:szCs w:val="22"/>
        </w:rPr>
      </w:pPr>
      <w:r>
        <w:rPr>
          <w:rFonts w:hint="eastAsia" w:ascii="宋体" w:hAnsi="Courier New" w:cs="宋体"/>
          <w:sz w:val="24"/>
          <w:szCs w:val="22"/>
        </w:rPr>
        <w:t>本招标文件的最终解释权归招标人，当对一个问题有多种解释时以招标人的书面解释为准。招标文件未做须知明示，而又有相关法律、法规规定的，招标人对此所做解释以相关的法律、法规规定为依据。</w:t>
      </w:r>
    </w:p>
    <w:p>
      <w:pPr>
        <w:pStyle w:val="2"/>
        <w:keepLines w:val="0"/>
        <w:widowControl/>
        <w:spacing w:before="0" w:after="0" w:line="360" w:lineRule="auto"/>
        <w:ind w:right="206" w:rightChars="98"/>
        <w:rPr>
          <w:rFonts w:hint="eastAsia" w:hAnsi="宋体"/>
          <w:kern w:val="2"/>
          <w:sz w:val="32"/>
          <w:szCs w:val="32"/>
        </w:rPr>
      </w:pPr>
      <w:bookmarkStart w:id="13" w:name="_Toc205983507"/>
      <w:r>
        <w:rPr>
          <w:rFonts w:hint="eastAsia" w:hAnsi="宋体"/>
          <w:kern w:val="2"/>
          <w:sz w:val="32"/>
          <w:szCs w:val="32"/>
        </w:rPr>
        <w:t>十二、技术要求</w:t>
      </w:r>
      <w:bookmarkEnd w:id="13"/>
    </w:p>
    <w:p>
      <w:pPr>
        <w:pStyle w:val="11"/>
        <w:spacing w:line="360" w:lineRule="auto"/>
        <w:ind w:firstLine="480" w:firstLineChars="200"/>
        <w:rPr>
          <w:sz w:val="24"/>
          <w:szCs w:val="22"/>
        </w:rPr>
      </w:pPr>
      <w:r>
        <w:rPr>
          <w:rFonts w:hint="eastAsia"/>
          <w:sz w:val="24"/>
          <w:szCs w:val="22"/>
        </w:rPr>
        <w:t>见本招标文件“第三章 技术要求”，附后。</w:t>
      </w:r>
    </w:p>
    <w:p>
      <w:pPr>
        <w:pStyle w:val="2"/>
        <w:keepLines w:val="0"/>
        <w:widowControl/>
        <w:spacing w:before="0" w:after="0" w:line="500" w:lineRule="exact"/>
        <w:ind w:right="206" w:rightChars="98"/>
        <w:jc w:val="center"/>
        <w:rPr>
          <w:rFonts w:hint="eastAsia" w:hAnsi="黑体" w:eastAsia="黑体"/>
          <w:color w:val="000000"/>
          <w:kern w:val="2"/>
          <w:sz w:val="36"/>
          <w:szCs w:val="36"/>
        </w:rPr>
      </w:pPr>
      <w:r>
        <w:br w:type="page"/>
      </w:r>
      <w:bookmarkStart w:id="14" w:name="_Toc205983508"/>
      <w:r>
        <w:rPr>
          <w:rFonts w:hint="eastAsia" w:hAnsi="黑体" w:eastAsia="黑体"/>
          <w:color w:val="000000"/>
          <w:kern w:val="2"/>
          <w:sz w:val="36"/>
          <w:szCs w:val="36"/>
        </w:rPr>
        <w:t>第二章 投标文件编制</w:t>
      </w:r>
      <w:bookmarkEnd w:id="14"/>
    </w:p>
    <w:p>
      <w:pPr>
        <w:pStyle w:val="2"/>
        <w:keepLines w:val="0"/>
        <w:widowControl/>
        <w:spacing w:before="0" w:after="0" w:line="360" w:lineRule="auto"/>
        <w:ind w:right="206" w:rightChars="98"/>
        <w:rPr>
          <w:rFonts w:hint="eastAsia" w:hAnsi="宋体"/>
          <w:kern w:val="2"/>
          <w:sz w:val="32"/>
          <w:szCs w:val="32"/>
        </w:rPr>
      </w:pPr>
      <w:bookmarkStart w:id="15" w:name="_Toc205983509"/>
      <w:r>
        <w:rPr>
          <w:rFonts w:hint="eastAsia" w:hAnsi="宋体"/>
          <w:kern w:val="2"/>
          <w:sz w:val="32"/>
          <w:szCs w:val="32"/>
        </w:rPr>
        <w:t>一、投标文件签署</w:t>
      </w:r>
      <w:bookmarkEnd w:id="15"/>
    </w:p>
    <w:p>
      <w:pPr>
        <w:pStyle w:val="11"/>
        <w:spacing w:line="360" w:lineRule="auto"/>
        <w:ind w:firstLine="480" w:firstLineChars="200"/>
        <w:rPr>
          <w:rFonts w:hint="eastAsia" w:hAnsi="宋体"/>
          <w:sz w:val="24"/>
          <w:szCs w:val="22"/>
        </w:rPr>
      </w:pPr>
      <w:r>
        <w:rPr>
          <w:rFonts w:hint="eastAsia" w:hAnsi="宋体"/>
          <w:sz w:val="24"/>
          <w:szCs w:val="22"/>
        </w:rPr>
        <w:t>1.法定代表人或投标人授权代表必须按招标文件的规定在投标文件（正本、副本及各附件）、开标一览表上签字并加盖</w:t>
      </w:r>
      <w:r>
        <w:rPr>
          <w:rFonts w:hint="eastAsia" w:hAnsi="宋体"/>
          <w:b/>
          <w:bCs/>
          <w:sz w:val="24"/>
          <w:szCs w:val="22"/>
        </w:rPr>
        <w:t>投标人单位公章</w:t>
      </w:r>
      <w:r>
        <w:rPr>
          <w:rFonts w:hint="eastAsia" w:hAnsi="宋体"/>
          <w:sz w:val="24"/>
          <w:szCs w:val="22"/>
        </w:rPr>
        <w:t>，不得使用其它形式如带有“专用章”等字样的印章，否则投标将被视为无效。如投标人对投标文件进行了修改，则须由投标人的法定代表人或授权代表在修改的每一页上签字或加盖公章。</w:t>
      </w:r>
    </w:p>
    <w:p>
      <w:pPr>
        <w:pStyle w:val="11"/>
        <w:spacing w:line="360" w:lineRule="auto"/>
        <w:ind w:firstLine="480" w:firstLineChars="200"/>
        <w:rPr>
          <w:rFonts w:hint="eastAsia" w:hAnsi="宋体"/>
          <w:sz w:val="24"/>
          <w:szCs w:val="22"/>
        </w:rPr>
      </w:pPr>
      <w:r>
        <w:rPr>
          <w:rFonts w:hint="eastAsia" w:hAnsi="宋体"/>
          <w:sz w:val="24"/>
          <w:szCs w:val="22"/>
        </w:rPr>
        <w:t>2.任何行间插字、涂改和增删，必须由投标人的法定代表人或授权代表签字或加盖公章后才有效。</w:t>
      </w:r>
    </w:p>
    <w:p>
      <w:pPr>
        <w:pStyle w:val="2"/>
        <w:keepLines w:val="0"/>
        <w:widowControl/>
        <w:spacing w:before="0" w:after="0" w:line="360" w:lineRule="auto"/>
        <w:ind w:right="206" w:rightChars="98"/>
        <w:rPr>
          <w:rFonts w:hint="eastAsia" w:hAnsi="宋体"/>
          <w:kern w:val="2"/>
          <w:sz w:val="32"/>
          <w:szCs w:val="32"/>
        </w:rPr>
      </w:pPr>
      <w:bookmarkStart w:id="16" w:name="_Toc205983510"/>
      <w:r>
        <w:rPr>
          <w:rFonts w:hint="eastAsia" w:hAnsi="宋体"/>
          <w:kern w:val="2"/>
          <w:sz w:val="32"/>
          <w:szCs w:val="32"/>
        </w:rPr>
        <w:t>二、投标文件的密封和标记</w:t>
      </w:r>
      <w:bookmarkEnd w:id="16"/>
    </w:p>
    <w:p>
      <w:pPr>
        <w:pStyle w:val="11"/>
        <w:spacing w:line="360" w:lineRule="auto"/>
        <w:ind w:firstLine="480" w:firstLineChars="200"/>
        <w:rPr>
          <w:rFonts w:hint="eastAsia" w:hAnsi="宋体"/>
          <w:sz w:val="24"/>
          <w:szCs w:val="22"/>
        </w:rPr>
      </w:pPr>
      <w:r>
        <w:rPr>
          <w:rFonts w:hint="eastAsia" w:hAnsi="宋体"/>
          <w:sz w:val="24"/>
          <w:szCs w:val="22"/>
        </w:rPr>
        <w:t>1.投标人应将投标文件正、副本及U盘电子版一同密封送达，并在封面明显处注明以下内容：</w:t>
      </w:r>
    </w:p>
    <w:p>
      <w:pPr>
        <w:pStyle w:val="11"/>
        <w:spacing w:line="360" w:lineRule="auto"/>
        <w:ind w:firstLine="480" w:firstLineChars="200"/>
        <w:rPr>
          <w:rFonts w:hint="eastAsia" w:hAnsi="宋体"/>
          <w:sz w:val="24"/>
          <w:szCs w:val="22"/>
        </w:rPr>
      </w:pPr>
      <w:r>
        <w:rPr>
          <w:rFonts w:hint="eastAsia" w:hAnsi="宋体"/>
          <w:sz w:val="24"/>
          <w:szCs w:val="22"/>
        </w:rPr>
        <w:t>⑴项目名称</w:t>
      </w:r>
    </w:p>
    <w:p>
      <w:pPr>
        <w:pStyle w:val="11"/>
        <w:spacing w:line="360" w:lineRule="auto"/>
        <w:ind w:firstLine="480" w:firstLineChars="200"/>
        <w:rPr>
          <w:rFonts w:hint="eastAsia" w:hAnsi="宋体"/>
          <w:sz w:val="24"/>
          <w:szCs w:val="22"/>
        </w:rPr>
      </w:pPr>
      <w:r>
        <w:rPr>
          <w:rFonts w:hint="eastAsia" w:hAnsi="宋体"/>
          <w:sz w:val="24"/>
          <w:szCs w:val="22"/>
        </w:rPr>
        <w:t>⑵投标人名称（加盖公章）、地址、邮编、电话、传真</w:t>
      </w:r>
    </w:p>
    <w:p>
      <w:pPr>
        <w:pStyle w:val="11"/>
        <w:spacing w:line="360" w:lineRule="auto"/>
        <w:ind w:firstLine="480" w:firstLineChars="200"/>
        <w:rPr>
          <w:rFonts w:hint="eastAsia" w:hAnsi="宋体"/>
          <w:sz w:val="24"/>
          <w:szCs w:val="22"/>
        </w:rPr>
      </w:pPr>
      <w:r>
        <w:rPr>
          <w:rFonts w:hint="eastAsia" w:hAnsi="宋体"/>
          <w:sz w:val="24"/>
          <w:szCs w:val="22"/>
        </w:rPr>
        <w:t>2.每一密封文件在封口处加盖投标人公章并注明“于</w:t>
      </w:r>
      <w:r>
        <w:rPr>
          <w:rFonts w:hint="eastAsia"/>
          <w:sz w:val="24"/>
          <w:szCs w:val="22"/>
        </w:rPr>
        <w:t>202X年</w:t>
      </w:r>
      <w:r>
        <w:rPr>
          <w:sz w:val="24"/>
          <w:szCs w:val="22"/>
        </w:rPr>
        <w:t>X</w:t>
      </w:r>
      <w:r>
        <w:rPr>
          <w:rFonts w:hint="eastAsia"/>
          <w:sz w:val="24"/>
          <w:szCs w:val="22"/>
        </w:rPr>
        <w:t>月</w:t>
      </w:r>
      <w:r>
        <w:rPr>
          <w:sz w:val="24"/>
          <w:szCs w:val="22"/>
        </w:rPr>
        <w:t>X</w:t>
      </w:r>
      <w:r>
        <w:rPr>
          <w:rFonts w:hint="eastAsia"/>
          <w:sz w:val="24"/>
          <w:szCs w:val="22"/>
        </w:rPr>
        <w:t>日</w:t>
      </w:r>
      <w:r>
        <w:rPr>
          <w:sz w:val="24"/>
          <w:szCs w:val="22"/>
        </w:rPr>
        <w:t>X</w:t>
      </w:r>
      <w:r>
        <w:rPr>
          <w:rFonts w:hint="eastAsia" w:hAnsi="宋体"/>
          <w:sz w:val="24"/>
          <w:szCs w:val="22"/>
        </w:rPr>
        <w:t>时之前不准启封”字样。</w:t>
      </w:r>
    </w:p>
    <w:p>
      <w:pPr>
        <w:pStyle w:val="11"/>
        <w:spacing w:line="360" w:lineRule="auto"/>
        <w:ind w:firstLine="480" w:firstLineChars="200"/>
        <w:rPr>
          <w:rFonts w:hint="eastAsia" w:hAnsi="宋体"/>
          <w:sz w:val="24"/>
          <w:szCs w:val="22"/>
        </w:rPr>
      </w:pPr>
      <w:r>
        <w:rPr>
          <w:rFonts w:hint="eastAsia" w:hAnsi="宋体"/>
          <w:sz w:val="24"/>
          <w:szCs w:val="22"/>
        </w:rPr>
        <w:t>3.如果投标人未按上述要求对投标文件密封及加写标记，招标人对投标人提前启封概不负责。对由此造成提前开封的投标文件，招标人有权予以拒绝，并退回投标人。</w:t>
      </w:r>
    </w:p>
    <w:p>
      <w:pPr>
        <w:pStyle w:val="2"/>
        <w:keepLines w:val="0"/>
        <w:widowControl/>
        <w:spacing w:before="0" w:after="0" w:line="360" w:lineRule="auto"/>
        <w:ind w:right="206" w:rightChars="98"/>
        <w:rPr>
          <w:rFonts w:hint="eastAsia" w:hAnsi="宋体"/>
          <w:kern w:val="2"/>
          <w:sz w:val="32"/>
          <w:szCs w:val="32"/>
        </w:rPr>
      </w:pPr>
      <w:bookmarkStart w:id="17" w:name="_Toc205983511"/>
      <w:r>
        <w:rPr>
          <w:rFonts w:hint="eastAsia" w:hAnsi="宋体"/>
          <w:kern w:val="2"/>
          <w:sz w:val="32"/>
          <w:szCs w:val="32"/>
        </w:rPr>
        <w:t>三、投标文件的装订</w:t>
      </w:r>
      <w:bookmarkEnd w:id="17"/>
    </w:p>
    <w:p>
      <w:pPr>
        <w:spacing w:line="360" w:lineRule="auto"/>
        <w:ind w:firstLine="480" w:firstLineChars="200"/>
        <w:rPr>
          <w:rFonts w:hint="eastAsia" w:ascii="宋体" w:hAnsi="宋体"/>
          <w:sz w:val="24"/>
          <w:szCs w:val="28"/>
        </w:rPr>
      </w:pPr>
      <w:r>
        <w:rPr>
          <w:rFonts w:hint="eastAsia" w:ascii="宋体" w:hAnsi="宋体"/>
          <w:sz w:val="24"/>
          <w:szCs w:val="28"/>
        </w:rPr>
        <w:t>投标时资格证明文件、技术标书和商务标书分别提交至中国重汽集团E采通系统，不按要求提交的投标资料将视为无效投标。</w:t>
      </w:r>
    </w:p>
    <w:p>
      <w:pPr>
        <w:spacing w:line="360" w:lineRule="auto"/>
        <w:ind w:firstLine="480" w:firstLineChars="200"/>
        <w:rPr>
          <w:rFonts w:hint="eastAsia" w:ascii="宋体" w:hAnsi="宋体"/>
          <w:sz w:val="24"/>
          <w:szCs w:val="28"/>
        </w:rPr>
      </w:pPr>
      <w:r>
        <w:rPr>
          <w:rFonts w:hint="eastAsia" w:ascii="宋体" w:hAnsi="宋体"/>
          <w:sz w:val="24"/>
          <w:szCs w:val="28"/>
        </w:rPr>
        <w:t>投标人必须将投标文件按照投标文件组成的顺序分别装订成册，并在首页编制“投标文件目录”。</w:t>
      </w:r>
    </w:p>
    <w:p>
      <w:pPr>
        <w:spacing w:line="360" w:lineRule="auto"/>
        <w:ind w:firstLine="480" w:firstLineChars="200"/>
        <w:rPr>
          <w:rFonts w:hint="eastAsia" w:ascii="宋体" w:hAnsi="宋体"/>
          <w:b/>
          <w:bCs/>
          <w:sz w:val="24"/>
          <w:szCs w:val="28"/>
        </w:rPr>
      </w:pPr>
      <w:r>
        <w:rPr>
          <w:rFonts w:hint="eastAsia" w:ascii="宋体" w:hAnsi="宋体"/>
          <w:b/>
          <w:bCs/>
          <w:sz w:val="24"/>
          <w:szCs w:val="28"/>
        </w:rPr>
        <w:t>1、开标一览表：</w:t>
      </w:r>
    </w:p>
    <w:p>
      <w:pPr>
        <w:spacing w:line="360" w:lineRule="auto"/>
        <w:ind w:firstLine="480" w:firstLineChars="200"/>
        <w:rPr>
          <w:rFonts w:hint="eastAsia" w:ascii="宋体" w:hAnsi="宋体"/>
          <w:b/>
          <w:bCs/>
          <w:sz w:val="24"/>
          <w:szCs w:val="28"/>
        </w:rPr>
      </w:pPr>
      <w:r>
        <w:rPr>
          <w:rFonts w:hint="eastAsia" w:ascii="宋体" w:hAnsi="宋体"/>
          <w:sz w:val="24"/>
          <w:szCs w:val="28"/>
        </w:rPr>
        <w:t>纸质版加盖公章 + USB设备存储的EXCEL电子版开标一览表一份，USB接口存储设备不退还，密封，并在密封袋外注明：**招标项目开标一览表、投标人名称（加盖公章）（提供纸质版材料同时须附开标一览表EXCEL电子版，格式严格按照excel版本《附件1》填写，不准删减或更改行列。开标现场录入供应商电子版报价信息。）。</w:t>
      </w:r>
    </w:p>
    <w:p>
      <w:pPr>
        <w:spacing w:line="360" w:lineRule="auto"/>
        <w:ind w:firstLine="480" w:firstLineChars="200"/>
        <w:rPr>
          <w:rFonts w:hint="eastAsia" w:ascii="宋体" w:hAnsi="宋体"/>
          <w:b/>
          <w:bCs/>
          <w:sz w:val="24"/>
          <w:szCs w:val="28"/>
        </w:rPr>
      </w:pPr>
      <w:r>
        <w:rPr>
          <w:rFonts w:hint="eastAsia" w:ascii="宋体" w:hAnsi="宋体"/>
          <w:b/>
          <w:bCs/>
          <w:sz w:val="24"/>
          <w:szCs w:val="28"/>
        </w:rPr>
        <w:t>2、资格审查文件：</w:t>
      </w:r>
    </w:p>
    <w:p>
      <w:pPr>
        <w:spacing w:line="360" w:lineRule="auto"/>
        <w:ind w:firstLine="480" w:firstLineChars="200"/>
        <w:rPr>
          <w:rFonts w:hint="eastAsia" w:ascii="宋体" w:hAnsi="宋体"/>
          <w:sz w:val="24"/>
          <w:szCs w:val="28"/>
        </w:rPr>
      </w:pPr>
      <w:r>
        <w:rPr>
          <w:rFonts w:hint="eastAsia" w:ascii="宋体" w:hAnsi="宋体"/>
          <w:sz w:val="24"/>
          <w:szCs w:val="28"/>
        </w:rPr>
        <w:t>资质文件1份，密封，并在密封袋外注明：**招标项目资质文件、投标人名称（加盖公章），内容包括：</w:t>
      </w:r>
    </w:p>
    <w:p>
      <w:pPr>
        <w:spacing w:line="360" w:lineRule="auto"/>
        <w:ind w:firstLine="480" w:firstLineChars="200"/>
        <w:rPr>
          <w:rFonts w:hint="eastAsia" w:ascii="宋体" w:hAnsi="宋体"/>
          <w:sz w:val="24"/>
          <w:szCs w:val="28"/>
        </w:rPr>
      </w:pPr>
      <w:r>
        <w:rPr>
          <w:rFonts w:hint="eastAsia" w:ascii="宋体" w:hAnsi="宋体"/>
          <w:sz w:val="24"/>
          <w:szCs w:val="28"/>
        </w:rPr>
        <w:t>（1）有统一社会信用代码的新版营业执照复印件，并加盖公章；</w:t>
      </w:r>
    </w:p>
    <w:p>
      <w:pPr>
        <w:spacing w:line="360" w:lineRule="auto"/>
        <w:ind w:firstLine="480" w:firstLineChars="200"/>
        <w:rPr>
          <w:rFonts w:hint="eastAsia" w:ascii="宋体" w:hAnsi="宋体"/>
          <w:sz w:val="24"/>
          <w:szCs w:val="28"/>
        </w:rPr>
      </w:pPr>
      <w:r>
        <w:rPr>
          <w:rFonts w:hint="eastAsia" w:ascii="宋体" w:hAnsi="宋体"/>
          <w:sz w:val="24"/>
          <w:szCs w:val="28"/>
        </w:rPr>
        <w:t>（2）法定代表人授权书；法定代表人参加投标的，需提供法人身份证复印件；委托授权人参加投标的，需提供法定代表人授权委托书、法定代表人身份证复印件、被授权人身份证复印件；</w:t>
      </w:r>
    </w:p>
    <w:p>
      <w:pPr>
        <w:spacing w:line="360" w:lineRule="auto"/>
        <w:ind w:firstLine="480" w:firstLineChars="200"/>
        <w:rPr>
          <w:rFonts w:hint="eastAsia" w:ascii="宋体" w:hAnsi="宋体"/>
          <w:sz w:val="24"/>
          <w:szCs w:val="28"/>
        </w:rPr>
      </w:pPr>
      <w:r>
        <w:rPr>
          <w:rFonts w:hint="eastAsia" w:ascii="宋体" w:hAnsi="宋体"/>
          <w:sz w:val="24"/>
          <w:szCs w:val="28"/>
        </w:rPr>
        <w:t>（3）《道路运输经营许可证》原件及复印件(加盖公章)，并保证行政许可在有效期内；</w:t>
      </w:r>
    </w:p>
    <w:p>
      <w:pPr>
        <w:spacing w:line="360" w:lineRule="auto"/>
        <w:ind w:firstLine="480" w:firstLineChars="200"/>
        <w:rPr>
          <w:rFonts w:hint="eastAsia" w:ascii="宋体" w:hAnsi="宋体"/>
          <w:sz w:val="24"/>
          <w:szCs w:val="28"/>
        </w:rPr>
      </w:pPr>
      <w:r>
        <w:rPr>
          <w:rFonts w:hint="eastAsia" w:ascii="宋体" w:hAnsi="宋体"/>
          <w:sz w:val="24"/>
          <w:szCs w:val="28"/>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80" w:firstLineChars="200"/>
        <w:rPr>
          <w:rFonts w:hint="eastAsia" w:ascii="宋体" w:hAnsi="宋体"/>
          <w:sz w:val="24"/>
          <w:szCs w:val="28"/>
        </w:rPr>
      </w:pPr>
      <w:r>
        <w:rPr>
          <w:rFonts w:hint="eastAsia" w:ascii="宋体" w:hAnsi="宋体"/>
          <w:sz w:val="24"/>
          <w:szCs w:val="28"/>
        </w:rPr>
        <w:t>（5）企业最近半年完税证明、信用证明材料（中国人民银行信用代码证+征信报告）；</w:t>
      </w:r>
    </w:p>
    <w:p>
      <w:pPr>
        <w:spacing w:line="360" w:lineRule="auto"/>
        <w:ind w:firstLine="480" w:firstLineChars="200"/>
        <w:rPr>
          <w:rFonts w:hint="eastAsia" w:ascii="宋体" w:hAnsi="宋体"/>
          <w:sz w:val="24"/>
          <w:szCs w:val="28"/>
        </w:rPr>
      </w:pPr>
      <w:r>
        <w:rPr>
          <w:rFonts w:hint="eastAsia" w:ascii="宋体" w:hAnsi="宋体"/>
          <w:sz w:val="24"/>
          <w:szCs w:val="28"/>
        </w:rPr>
        <w:t>（6）年度纳税信用评价信息（可从电子税务局查询截图，需加盖公章）；</w:t>
      </w:r>
    </w:p>
    <w:p>
      <w:pPr>
        <w:spacing w:line="360" w:lineRule="auto"/>
        <w:ind w:firstLine="480" w:firstLineChars="200"/>
        <w:rPr>
          <w:rFonts w:hint="eastAsia" w:ascii="宋体" w:hAnsi="宋体"/>
          <w:sz w:val="24"/>
          <w:szCs w:val="28"/>
        </w:rPr>
      </w:pPr>
      <w:r>
        <w:rPr>
          <w:rFonts w:hint="eastAsia" w:ascii="宋体" w:hAnsi="宋体"/>
          <w:sz w:val="24"/>
          <w:szCs w:val="28"/>
        </w:rPr>
        <w:t>（7）企业对外担保说明（写明对外有无对外担保和质押业务，需加盖公章）；</w:t>
      </w:r>
    </w:p>
    <w:p>
      <w:pPr>
        <w:spacing w:line="360" w:lineRule="auto"/>
        <w:ind w:firstLine="480" w:firstLineChars="200"/>
        <w:rPr>
          <w:rFonts w:hint="eastAsia" w:ascii="宋体" w:hAnsi="宋体"/>
          <w:sz w:val="24"/>
          <w:szCs w:val="28"/>
        </w:rPr>
      </w:pPr>
      <w:r>
        <w:rPr>
          <w:rFonts w:hint="eastAsia" w:ascii="宋体" w:hAnsi="宋体"/>
          <w:sz w:val="24"/>
          <w:szCs w:val="28"/>
        </w:rPr>
        <w:t>（8）近三年同类项目业绩一览表及完整、有效合同扫描件；</w:t>
      </w:r>
    </w:p>
    <w:p>
      <w:pPr>
        <w:spacing w:line="360" w:lineRule="auto"/>
        <w:ind w:firstLine="480" w:firstLineChars="200"/>
        <w:rPr>
          <w:rFonts w:hint="eastAsia" w:ascii="宋体" w:hAnsi="宋体"/>
          <w:sz w:val="24"/>
          <w:szCs w:val="28"/>
        </w:rPr>
      </w:pPr>
      <w:r>
        <w:rPr>
          <w:rFonts w:hint="eastAsia" w:ascii="宋体" w:hAnsi="宋体"/>
          <w:sz w:val="24"/>
          <w:szCs w:val="28"/>
        </w:rPr>
        <w:t>（9）投标方的直接或间接股东、法定代表人、董事、监事、高管非重汽员工及其亲属的声明；</w:t>
      </w:r>
    </w:p>
    <w:p>
      <w:pPr>
        <w:spacing w:line="360" w:lineRule="auto"/>
        <w:ind w:firstLine="480" w:firstLineChars="200"/>
        <w:rPr>
          <w:rFonts w:hint="eastAsia" w:ascii="宋体" w:hAnsi="宋体"/>
          <w:sz w:val="24"/>
          <w:szCs w:val="28"/>
        </w:rPr>
      </w:pPr>
      <w:r>
        <w:rPr>
          <w:rFonts w:hint="eastAsia" w:ascii="宋体" w:hAnsi="宋体"/>
          <w:sz w:val="24"/>
          <w:szCs w:val="28"/>
        </w:rPr>
        <w:t>（10）税务部门开具的依法缴纳税收的证明（如有）；</w:t>
      </w:r>
    </w:p>
    <w:p>
      <w:pPr>
        <w:spacing w:line="360" w:lineRule="auto"/>
        <w:ind w:firstLine="480" w:firstLineChars="200"/>
        <w:rPr>
          <w:rFonts w:hint="eastAsia" w:ascii="宋体" w:hAnsi="宋体"/>
          <w:sz w:val="24"/>
          <w:szCs w:val="28"/>
        </w:rPr>
      </w:pPr>
      <w:r>
        <w:rPr>
          <w:rFonts w:hint="eastAsia" w:ascii="宋体" w:hAnsi="宋体"/>
          <w:sz w:val="24"/>
          <w:szCs w:val="28"/>
        </w:rPr>
        <w:t>（11）本项目投标保证金缴纳凭证复印件。</w:t>
      </w:r>
    </w:p>
    <w:p>
      <w:pPr>
        <w:spacing w:line="360" w:lineRule="auto"/>
        <w:ind w:firstLine="480" w:firstLineChars="200"/>
        <w:rPr>
          <w:rFonts w:hint="eastAsia" w:ascii="宋体" w:hAnsi="宋体"/>
          <w:b/>
          <w:bCs/>
          <w:sz w:val="24"/>
          <w:szCs w:val="28"/>
        </w:rPr>
      </w:pPr>
      <w:r>
        <w:rPr>
          <w:rFonts w:hint="eastAsia" w:ascii="宋体" w:hAnsi="宋体"/>
          <w:b/>
          <w:bCs/>
          <w:sz w:val="24"/>
          <w:szCs w:val="28"/>
        </w:rPr>
        <w:t>3、技术标文件：</w:t>
      </w:r>
    </w:p>
    <w:p>
      <w:pPr>
        <w:spacing w:line="360" w:lineRule="auto"/>
        <w:ind w:firstLine="480" w:firstLineChars="200"/>
        <w:rPr>
          <w:rFonts w:hint="eastAsia" w:ascii="宋体" w:hAnsi="宋体"/>
          <w:sz w:val="24"/>
          <w:szCs w:val="28"/>
        </w:rPr>
      </w:pPr>
      <w:r>
        <w:rPr>
          <w:rFonts w:hint="eastAsia" w:ascii="宋体" w:hAnsi="宋体"/>
          <w:sz w:val="24"/>
          <w:szCs w:val="28"/>
        </w:rPr>
        <w:t>正本一份和副本四份，正、副本密封在一起，正本在最上，密封，并在密封袋外注明：**招标项目技术标书、投标人名称（加盖公章）：</w:t>
      </w:r>
    </w:p>
    <w:p>
      <w:pPr>
        <w:spacing w:line="360" w:lineRule="auto"/>
        <w:ind w:firstLine="480" w:firstLineChars="200"/>
        <w:rPr>
          <w:rFonts w:hint="eastAsia" w:ascii="宋体" w:hAnsi="宋体"/>
          <w:sz w:val="24"/>
          <w:szCs w:val="28"/>
        </w:rPr>
      </w:pPr>
      <w:r>
        <w:rPr>
          <w:rFonts w:hint="eastAsia" w:ascii="宋体" w:hAnsi="宋体"/>
          <w:sz w:val="24"/>
          <w:szCs w:val="28"/>
        </w:rPr>
        <w:t>（1）投标函（投标文件格式要求-格式1）；</w:t>
      </w:r>
    </w:p>
    <w:p>
      <w:pPr>
        <w:spacing w:line="360" w:lineRule="auto"/>
        <w:ind w:firstLine="480" w:firstLineChars="200"/>
        <w:rPr>
          <w:rFonts w:hint="eastAsia" w:ascii="宋体" w:hAnsi="宋体"/>
          <w:sz w:val="24"/>
          <w:szCs w:val="28"/>
        </w:rPr>
      </w:pPr>
      <w:r>
        <w:rPr>
          <w:rFonts w:hint="eastAsia" w:ascii="宋体" w:hAnsi="宋体"/>
          <w:sz w:val="24"/>
          <w:szCs w:val="28"/>
        </w:rPr>
        <w:t>（2）投标文件目录（投标文件格式要求-格式2）；</w:t>
      </w:r>
    </w:p>
    <w:p>
      <w:pPr>
        <w:spacing w:line="360" w:lineRule="auto"/>
        <w:ind w:firstLine="480" w:firstLineChars="200"/>
        <w:rPr>
          <w:rFonts w:hint="eastAsia" w:ascii="宋体" w:hAnsi="宋体"/>
          <w:sz w:val="24"/>
          <w:szCs w:val="28"/>
        </w:rPr>
      </w:pPr>
      <w:r>
        <w:rPr>
          <w:rFonts w:hint="eastAsia" w:ascii="宋体" w:hAnsi="宋体"/>
          <w:sz w:val="24"/>
          <w:szCs w:val="28"/>
        </w:rPr>
        <w:t>（3）技术偏离表（投标文件格式要求-格式6）；</w:t>
      </w:r>
    </w:p>
    <w:p>
      <w:pPr>
        <w:spacing w:line="360" w:lineRule="auto"/>
        <w:ind w:firstLine="480" w:firstLineChars="200"/>
        <w:rPr>
          <w:rFonts w:hint="eastAsia" w:ascii="宋体" w:hAnsi="宋体"/>
          <w:sz w:val="24"/>
          <w:szCs w:val="28"/>
        </w:rPr>
      </w:pPr>
      <w:r>
        <w:rPr>
          <w:rFonts w:hint="eastAsia" w:ascii="宋体" w:hAnsi="宋体"/>
          <w:sz w:val="24"/>
          <w:szCs w:val="28"/>
        </w:rPr>
        <w:t>（4）包括投标技术方案，技术要求详见“第五章：技术规范及要求” （投标文件格式要求-格式7）；</w:t>
      </w:r>
    </w:p>
    <w:p>
      <w:pPr>
        <w:spacing w:line="360" w:lineRule="auto"/>
        <w:ind w:firstLine="480" w:firstLineChars="200"/>
        <w:rPr>
          <w:rFonts w:hint="eastAsia" w:ascii="宋体" w:hAnsi="宋体"/>
          <w:sz w:val="24"/>
          <w:szCs w:val="28"/>
        </w:rPr>
      </w:pPr>
      <w:r>
        <w:rPr>
          <w:rFonts w:hint="eastAsia" w:ascii="宋体" w:hAnsi="宋体"/>
          <w:sz w:val="24"/>
          <w:szCs w:val="28"/>
        </w:rPr>
        <w:t>（5）企业情况简介；</w:t>
      </w:r>
    </w:p>
    <w:p>
      <w:pPr>
        <w:spacing w:line="360" w:lineRule="auto"/>
        <w:ind w:firstLine="480" w:firstLineChars="200"/>
        <w:rPr>
          <w:rFonts w:hint="eastAsia" w:ascii="宋体" w:hAnsi="宋体"/>
          <w:sz w:val="24"/>
          <w:szCs w:val="28"/>
        </w:rPr>
      </w:pPr>
      <w:r>
        <w:rPr>
          <w:rFonts w:hint="eastAsia" w:ascii="宋体" w:hAnsi="宋体"/>
          <w:sz w:val="24"/>
          <w:szCs w:val="28"/>
        </w:rPr>
        <w:t>（6）相关项目业绩；</w:t>
      </w:r>
    </w:p>
    <w:p>
      <w:pPr>
        <w:spacing w:line="360" w:lineRule="auto"/>
        <w:ind w:firstLine="480" w:firstLineChars="200"/>
        <w:rPr>
          <w:rFonts w:hint="eastAsia" w:ascii="宋体" w:hAnsi="宋体"/>
          <w:sz w:val="24"/>
          <w:szCs w:val="28"/>
        </w:rPr>
      </w:pPr>
      <w:r>
        <w:rPr>
          <w:rFonts w:hint="eastAsia" w:ascii="宋体" w:hAnsi="宋体"/>
          <w:sz w:val="24"/>
          <w:szCs w:val="28"/>
        </w:rPr>
        <w:t>（7）投标人认为需提交的其它资料。</w:t>
      </w:r>
    </w:p>
    <w:p>
      <w:pPr>
        <w:spacing w:line="360" w:lineRule="auto"/>
        <w:ind w:firstLine="480" w:firstLineChars="200"/>
        <w:rPr>
          <w:rFonts w:hint="eastAsia" w:ascii="宋体" w:hAnsi="宋体"/>
          <w:b/>
          <w:bCs/>
          <w:sz w:val="24"/>
          <w:szCs w:val="28"/>
        </w:rPr>
      </w:pPr>
      <w:r>
        <w:rPr>
          <w:rFonts w:hint="eastAsia" w:ascii="宋体" w:hAnsi="宋体"/>
          <w:b/>
          <w:bCs/>
          <w:sz w:val="24"/>
          <w:szCs w:val="28"/>
        </w:rPr>
        <w:t>4、商务标文件：</w:t>
      </w:r>
    </w:p>
    <w:p>
      <w:pPr>
        <w:spacing w:line="360" w:lineRule="auto"/>
        <w:ind w:firstLine="480" w:firstLineChars="200"/>
        <w:rPr>
          <w:rFonts w:hint="eastAsia" w:ascii="宋体" w:hAnsi="宋体"/>
          <w:sz w:val="24"/>
          <w:szCs w:val="28"/>
        </w:rPr>
      </w:pPr>
      <w:r>
        <w:rPr>
          <w:rFonts w:hint="eastAsia" w:ascii="宋体" w:hAnsi="宋体"/>
          <w:sz w:val="24"/>
          <w:szCs w:val="28"/>
        </w:rPr>
        <w:t>正本一份和副本四份，正、副本密封在一起，正本在最上，密封，并在密封袋外注明：**招标项目商务标书、投标人名称（加盖公章）：</w:t>
      </w:r>
    </w:p>
    <w:p>
      <w:pPr>
        <w:spacing w:line="360" w:lineRule="auto"/>
        <w:ind w:firstLine="480" w:firstLineChars="200"/>
        <w:rPr>
          <w:rFonts w:hint="eastAsia" w:ascii="宋体" w:hAnsi="宋体"/>
          <w:sz w:val="24"/>
          <w:szCs w:val="28"/>
        </w:rPr>
      </w:pPr>
      <w:r>
        <w:rPr>
          <w:rFonts w:hint="eastAsia" w:ascii="宋体" w:hAnsi="宋体"/>
          <w:sz w:val="24"/>
          <w:szCs w:val="28"/>
        </w:rPr>
        <w:t>（1）投标函（投标文件格式要求-格式1）；</w:t>
      </w:r>
    </w:p>
    <w:p>
      <w:pPr>
        <w:spacing w:line="360" w:lineRule="auto"/>
        <w:ind w:firstLine="480" w:firstLineChars="200"/>
        <w:rPr>
          <w:rFonts w:hint="eastAsia" w:ascii="宋体" w:hAnsi="宋体"/>
          <w:sz w:val="24"/>
          <w:szCs w:val="28"/>
        </w:rPr>
      </w:pPr>
      <w:r>
        <w:rPr>
          <w:rFonts w:hint="eastAsia" w:ascii="宋体" w:hAnsi="宋体"/>
          <w:sz w:val="24"/>
          <w:szCs w:val="28"/>
        </w:rPr>
        <w:t>（2）投标文件目录（投标文件格式要求-格式2）；</w:t>
      </w:r>
    </w:p>
    <w:p>
      <w:pPr>
        <w:spacing w:line="360" w:lineRule="auto"/>
        <w:ind w:firstLine="480" w:firstLineChars="200"/>
        <w:rPr>
          <w:rFonts w:hint="eastAsia" w:ascii="宋体" w:hAnsi="宋体"/>
          <w:sz w:val="24"/>
          <w:szCs w:val="28"/>
        </w:rPr>
      </w:pPr>
      <w:r>
        <w:rPr>
          <w:rFonts w:hint="eastAsia" w:ascii="宋体" w:hAnsi="宋体"/>
          <w:sz w:val="24"/>
          <w:szCs w:val="28"/>
        </w:rPr>
        <w:t>（3）商务偏离表（投标文件格式要求-格式6）；</w:t>
      </w:r>
    </w:p>
    <w:p>
      <w:pPr>
        <w:spacing w:line="360" w:lineRule="auto"/>
        <w:ind w:firstLine="480" w:firstLineChars="200"/>
        <w:rPr>
          <w:rFonts w:hint="eastAsia" w:ascii="宋体" w:hAnsi="宋体"/>
          <w:sz w:val="24"/>
          <w:szCs w:val="28"/>
        </w:rPr>
      </w:pPr>
      <w:r>
        <w:rPr>
          <w:rFonts w:hint="eastAsia" w:ascii="宋体" w:hAnsi="宋体"/>
          <w:sz w:val="24"/>
          <w:szCs w:val="28"/>
        </w:rPr>
        <w:t>（4）开标一览表（投标文件格式要求-格式3）；</w:t>
      </w:r>
    </w:p>
    <w:p>
      <w:pPr>
        <w:spacing w:line="360" w:lineRule="auto"/>
        <w:ind w:firstLine="480" w:firstLineChars="200"/>
        <w:rPr>
          <w:rFonts w:hint="eastAsia" w:ascii="宋体" w:hAnsi="宋体"/>
          <w:sz w:val="24"/>
          <w:szCs w:val="28"/>
        </w:rPr>
      </w:pPr>
      <w:r>
        <w:rPr>
          <w:rFonts w:hint="eastAsia" w:ascii="宋体" w:hAnsi="宋体"/>
          <w:sz w:val="24"/>
          <w:szCs w:val="28"/>
        </w:rPr>
        <w:t>（5）分项报价明细表（投标文件格式要求-格式4）；</w:t>
      </w:r>
    </w:p>
    <w:p>
      <w:pPr>
        <w:spacing w:line="360" w:lineRule="auto"/>
        <w:ind w:firstLine="480" w:firstLineChars="200"/>
        <w:rPr>
          <w:rFonts w:hint="eastAsia" w:ascii="宋体" w:hAnsi="宋体"/>
          <w:sz w:val="24"/>
          <w:szCs w:val="28"/>
        </w:rPr>
      </w:pPr>
      <w:r>
        <w:rPr>
          <w:rFonts w:hint="eastAsia" w:ascii="宋体" w:hAnsi="宋体"/>
          <w:sz w:val="24"/>
          <w:szCs w:val="28"/>
        </w:rPr>
        <w:t>（6）服务承诺函（投标文件格式要求-格式5）；</w:t>
      </w:r>
    </w:p>
    <w:p>
      <w:pPr>
        <w:spacing w:line="360" w:lineRule="auto"/>
        <w:ind w:firstLine="480" w:firstLineChars="200"/>
        <w:rPr>
          <w:rFonts w:hint="eastAsia" w:ascii="宋体" w:hAnsi="宋体"/>
          <w:sz w:val="24"/>
          <w:szCs w:val="28"/>
        </w:rPr>
      </w:pPr>
      <w:r>
        <w:rPr>
          <w:rFonts w:hint="eastAsia" w:ascii="宋体" w:hAnsi="宋体"/>
          <w:sz w:val="24"/>
          <w:szCs w:val="28"/>
        </w:rPr>
        <w:t>（7）投标人认为需提交的其它资料。</w:t>
      </w:r>
    </w:p>
    <w:p>
      <w:pPr>
        <w:spacing w:line="360" w:lineRule="auto"/>
        <w:ind w:firstLine="480" w:firstLineChars="200"/>
      </w:pPr>
      <w:r>
        <w:rPr>
          <w:rFonts w:hint="eastAsia" w:ascii="宋体" w:hAnsi="宋体"/>
          <w:b/>
          <w:bCs/>
          <w:color w:val="FF0000"/>
          <w:sz w:val="24"/>
          <w:szCs w:val="28"/>
        </w:rPr>
        <w:t>（上述1、2、3、4分别密封，不得在同一密封袋内）</w:t>
      </w:r>
    </w:p>
    <w:p>
      <w:pPr>
        <w:pStyle w:val="2"/>
        <w:keepLines w:val="0"/>
        <w:widowControl/>
        <w:spacing w:before="0" w:after="0" w:line="360" w:lineRule="auto"/>
        <w:ind w:right="206" w:rightChars="98"/>
        <w:rPr>
          <w:rFonts w:hint="eastAsia" w:hAnsi="宋体"/>
          <w:kern w:val="2"/>
          <w:sz w:val="32"/>
          <w:szCs w:val="32"/>
        </w:rPr>
      </w:pPr>
      <w:bookmarkStart w:id="18" w:name="_Toc205983512"/>
      <w:r>
        <w:rPr>
          <w:rFonts w:hint="eastAsia" w:hAnsi="宋体"/>
          <w:kern w:val="2"/>
          <w:sz w:val="32"/>
          <w:szCs w:val="32"/>
        </w:rPr>
        <w:t>四、投标文件格式要求</w:t>
      </w:r>
      <w:bookmarkEnd w:id="18"/>
    </w:p>
    <w:p>
      <w:pPr>
        <w:spacing w:line="360" w:lineRule="auto"/>
        <w:rPr>
          <w:rFonts w:hint="eastAsia" w:ascii="黑体" w:hAnsi="黑体" w:eastAsia="黑体"/>
          <w:b/>
          <w:bCs/>
          <w:sz w:val="28"/>
          <w:szCs w:val="32"/>
        </w:rPr>
      </w:pPr>
      <w:r>
        <w:rPr>
          <w:rFonts w:eastAsia="黑体"/>
          <w:b/>
          <w:bCs/>
          <w:sz w:val="28"/>
        </w:rPr>
        <w:br w:type="page"/>
      </w:r>
      <w:r>
        <w:rPr>
          <w:rFonts w:hint="eastAsia" w:ascii="黑体" w:hAnsi="黑体" w:eastAsia="黑体"/>
          <w:b/>
          <w:bCs/>
          <w:sz w:val="28"/>
          <w:szCs w:val="32"/>
        </w:rPr>
        <w:t>格式1</w:t>
      </w:r>
    </w:p>
    <w:p>
      <w:pPr>
        <w:pStyle w:val="4"/>
        <w:spacing w:line="440" w:lineRule="exact"/>
        <w:jc w:val="center"/>
        <w:rPr>
          <w:bCs w:val="0"/>
          <w:sz w:val="36"/>
          <w:szCs w:val="36"/>
        </w:rPr>
      </w:pPr>
      <w:r>
        <w:rPr>
          <w:rFonts w:hint="eastAsia"/>
          <w:bCs w:val="0"/>
          <w:sz w:val="36"/>
          <w:szCs w:val="36"/>
        </w:rPr>
        <w:t>投标书</w:t>
      </w:r>
    </w:p>
    <w:p>
      <w:pPr>
        <w:spacing w:line="360" w:lineRule="auto"/>
        <w:ind w:firstLine="480" w:firstLineChars="200"/>
        <w:rPr>
          <w:rFonts w:hint="eastAsia" w:ascii="宋体" w:hAnsi="宋体"/>
          <w:sz w:val="24"/>
          <w:szCs w:val="28"/>
        </w:rPr>
      </w:pPr>
      <w:r>
        <w:rPr>
          <w:rFonts w:hint="eastAsia" w:ascii="宋体" w:hAnsi="宋体"/>
          <w:sz w:val="24"/>
          <w:szCs w:val="28"/>
          <w:u w:val="single"/>
        </w:rPr>
        <w:t xml:space="preserve">            </w:t>
      </w:r>
      <w:r>
        <w:rPr>
          <w:rFonts w:hint="eastAsia" w:ascii="宋体" w:hAnsi="宋体"/>
          <w:sz w:val="24"/>
          <w:szCs w:val="28"/>
        </w:rPr>
        <w:t>公司（招标方全称）：</w:t>
      </w:r>
    </w:p>
    <w:p>
      <w:pPr>
        <w:spacing w:line="360" w:lineRule="auto"/>
        <w:ind w:firstLine="480" w:firstLineChars="200"/>
        <w:rPr>
          <w:rFonts w:hint="eastAsia" w:ascii="宋体" w:hAnsi="宋体"/>
          <w:sz w:val="24"/>
          <w:szCs w:val="28"/>
        </w:rPr>
      </w:pPr>
      <w:r>
        <w:rPr>
          <w:rFonts w:hint="eastAsia" w:ascii="宋体" w:hAnsi="宋体"/>
          <w:sz w:val="24"/>
          <w:szCs w:val="28"/>
        </w:rPr>
        <w:t>按照《中华人民共和国招标投标法》等有关法律规定，我们根据编号为     招标文件的要求，对</w:t>
      </w:r>
      <w:r>
        <w:rPr>
          <w:rFonts w:hint="eastAsia" w:ascii="宋体" w:hAnsi="宋体"/>
          <w:sz w:val="24"/>
          <w:szCs w:val="28"/>
          <w:u w:val="single"/>
        </w:rPr>
        <w:t xml:space="preserve">                 </w:t>
      </w:r>
      <w:r>
        <w:rPr>
          <w:rFonts w:hint="eastAsia" w:ascii="宋体" w:hAnsi="宋体"/>
          <w:sz w:val="24"/>
          <w:szCs w:val="28"/>
        </w:rPr>
        <w:t>（项目名称）（货物/服务名称）进行投标。由投标方（</w:t>
      </w:r>
      <w:r>
        <w:rPr>
          <w:rFonts w:hint="eastAsia" w:ascii="宋体" w:hAnsi="宋体"/>
          <w:sz w:val="24"/>
          <w:szCs w:val="28"/>
          <w:u w:val="single"/>
        </w:rPr>
        <w:t xml:space="preserve">                </w:t>
      </w:r>
      <w:r>
        <w:rPr>
          <w:rFonts w:hint="eastAsia" w:ascii="宋体" w:hAnsi="宋体"/>
          <w:sz w:val="24"/>
          <w:szCs w:val="28"/>
        </w:rPr>
        <w:t>全称）正式委托全权代表（</w:t>
      </w:r>
      <w:r>
        <w:rPr>
          <w:rFonts w:hint="eastAsia" w:ascii="宋体" w:hAnsi="宋体"/>
          <w:sz w:val="24"/>
          <w:szCs w:val="28"/>
          <w:u w:val="single"/>
        </w:rPr>
        <w:t xml:space="preserve">         </w:t>
      </w:r>
      <w:r>
        <w:rPr>
          <w:rFonts w:hint="eastAsia" w:ascii="宋体" w:hAnsi="宋体"/>
          <w:sz w:val="24"/>
          <w:szCs w:val="28"/>
        </w:rPr>
        <w:t>姓名、职务）提交投标文件，并保证所提供的全部资料的真实性、准确性。</w:t>
      </w:r>
    </w:p>
    <w:p>
      <w:pPr>
        <w:spacing w:line="360" w:lineRule="auto"/>
        <w:ind w:firstLine="480" w:firstLineChars="200"/>
        <w:rPr>
          <w:rFonts w:hint="eastAsia" w:ascii="宋体" w:hAnsi="宋体"/>
          <w:sz w:val="24"/>
          <w:szCs w:val="28"/>
        </w:rPr>
      </w:pPr>
      <w:r>
        <w:rPr>
          <w:rFonts w:hint="eastAsia" w:ascii="宋体" w:hAnsi="宋体"/>
          <w:sz w:val="24"/>
          <w:szCs w:val="28"/>
        </w:rPr>
        <w:t>（1）如果我方的投标文件被接受，我方将履行招标文件中规定的每一项要求，并按我方投标文件中的承诺按期、保质、保量提供货物/服务。</w:t>
      </w:r>
    </w:p>
    <w:p>
      <w:pPr>
        <w:spacing w:line="360" w:lineRule="auto"/>
        <w:ind w:firstLine="480" w:firstLineChars="200"/>
        <w:rPr>
          <w:rFonts w:hint="eastAsia" w:ascii="宋体" w:hAnsi="宋体"/>
          <w:sz w:val="24"/>
          <w:szCs w:val="28"/>
        </w:rPr>
      </w:pPr>
      <w:r>
        <w:rPr>
          <w:rFonts w:hint="eastAsia" w:ascii="宋体" w:hAnsi="宋体"/>
          <w:sz w:val="24"/>
          <w:szCs w:val="28"/>
        </w:rPr>
        <w:t>（2）我方理解，最低报价不是中标的唯一条件，你们有选择中标人的权利。</w:t>
      </w:r>
    </w:p>
    <w:p>
      <w:pPr>
        <w:spacing w:line="360" w:lineRule="auto"/>
        <w:ind w:firstLine="480" w:firstLineChars="200"/>
        <w:rPr>
          <w:rFonts w:hint="eastAsia" w:ascii="宋体" w:hAnsi="宋体"/>
          <w:sz w:val="24"/>
          <w:szCs w:val="28"/>
        </w:rPr>
      </w:pPr>
      <w:r>
        <w:rPr>
          <w:rFonts w:hint="eastAsia" w:ascii="宋体" w:hAnsi="宋体"/>
          <w:sz w:val="24"/>
          <w:szCs w:val="28"/>
        </w:rPr>
        <w:t>（3）我方已详细检查所有招标文件、附件以及所提供的参考文件等，因模糊和误解产生的一切后果，由我方自负。</w:t>
      </w:r>
    </w:p>
    <w:p>
      <w:pPr>
        <w:spacing w:line="360" w:lineRule="auto"/>
        <w:ind w:firstLine="480" w:firstLineChars="200"/>
        <w:rPr>
          <w:rFonts w:hint="eastAsia" w:ascii="宋体" w:hAnsi="宋体"/>
          <w:sz w:val="24"/>
          <w:szCs w:val="28"/>
        </w:rPr>
      </w:pPr>
      <w:r>
        <w:rPr>
          <w:rFonts w:hint="eastAsia" w:ascii="宋体" w:hAnsi="宋体"/>
          <w:sz w:val="24"/>
          <w:szCs w:val="28"/>
        </w:rPr>
        <w:t>（4）投标有效期：自投标截止之日起至合同签署日一直有效。</w:t>
      </w:r>
    </w:p>
    <w:p>
      <w:pPr>
        <w:spacing w:line="360" w:lineRule="auto"/>
        <w:ind w:firstLine="480" w:firstLineChars="200"/>
        <w:rPr>
          <w:rFonts w:hint="eastAsia" w:ascii="宋体" w:hAnsi="宋体"/>
          <w:sz w:val="24"/>
          <w:szCs w:val="28"/>
        </w:rPr>
      </w:pPr>
      <w:r>
        <w:rPr>
          <w:rFonts w:hint="eastAsia" w:ascii="宋体" w:hAnsi="宋体"/>
          <w:sz w:val="24"/>
          <w:szCs w:val="28"/>
        </w:rPr>
        <w:t>（5）我方同意招标方的要求，提供与递交投标文件有关的其他数据和资料。</w:t>
      </w:r>
    </w:p>
    <w:p>
      <w:pPr>
        <w:spacing w:line="360" w:lineRule="auto"/>
        <w:ind w:firstLine="480" w:firstLineChars="200"/>
        <w:rPr>
          <w:rFonts w:hint="eastAsia" w:ascii="宋体" w:hAnsi="宋体"/>
          <w:sz w:val="24"/>
          <w:szCs w:val="28"/>
        </w:rPr>
      </w:pPr>
      <w:r>
        <w:rPr>
          <w:rFonts w:hint="eastAsia" w:ascii="宋体" w:hAnsi="宋体"/>
          <w:sz w:val="24"/>
          <w:szCs w:val="28"/>
        </w:rPr>
        <w:t>（6）我方愿按《中华人民共和国民法典》履行自己的全部责任。</w:t>
      </w:r>
    </w:p>
    <w:p>
      <w:pPr>
        <w:spacing w:line="360" w:lineRule="auto"/>
        <w:ind w:firstLine="480" w:firstLineChars="200"/>
        <w:rPr>
          <w:rFonts w:hint="eastAsia" w:ascii="宋体" w:hAnsi="宋体"/>
          <w:sz w:val="24"/>
          <w:szCs w:val="28"/>
        </w:rPr>
      </w:pPr>
      <w:r>
        <w:rPr>
          <w:rFonts w:hint="eastAsia" w:ascii="宋体" w:hAnsi="宋体"/>
          <w:sz w:val="24"/>
          <w:szCs w:val="28"/>
        </w:rPr>
        <w:t>（7）我方若未成为中标人，招标方有权不做任何解释。</w:t>
      </w:r>
    </w:p>
    <w:p>
      <w:pPr>
        <w:spacing w:line="360" w:lineRule="auto"/>
        <w:ind w:firstLine="480" w:firstLineChars="200"/>
        <w:rPr>
          <w:rFonts w:hint="eastAsia" w:ascii="宋体" w:hAnsi="宋体"/>
          <w:sz w:val="24"/>
          <w:szCs w:val="28"/>
        </w:rPr>
      </w:pPr>
      <w:r>
        <w:rPr>
          <w:rFonts w:hint="eastAsia" w:ascii="宋体" w:hAnsi="宋体"/>
          <w:sz w:val="24"/>
          <w:szCs w:val="28"/>
        </w:rPr>
        <w:t>（8）我方同意遵守贵机构有关招标的各项规定。</w:t>
      </w:r>
    </w:p>
    <w:p>
      <w:pPr>
        <w:spacing w:line="360" w:lineRule="auto"/>
        <w:ind w:firstLine="480" w:firstLineChars="200"/>
        <w:rPr>
          <w:rFonts w:hint="eastAsia" w:ascii="宋体" w:hAnsi="宋体"/>
          <w:sz w:val="24"/>
          <w:szCs w:val="28"/>
        </w:rPr>
      </w:pPr>
      <w:r>
        <w:rPr>
          <w:rFonts w:hint="eastAsia" w:ascii="宋体" w:hAnsi="宋体"/>
          <w:sz w:val="24"/>
          <w:szCs w:val="28"/>
        </w:rPr>
        <w:t>（9）我方</w:t>
      </w:r>
      <w:r>
        <w:rPr>
          <w:rFonts w:hint="eastAsia" w:ascii="宋体" w:hAnsi="宋体"/>
          <w:sz w:val="24"/>
          <w:szCs w:val="22"/>
        </w:rPr>
        <w:t>承诺所提供的所有数据和资料均真实有效，如存在虚报情况，我方愿为此承担一切法律责任，并主动退出本项目竞标。</w:t>
      </w:r>
    </w:p>
    <w:p>
      <w:pPr>
        <w:spacing w:line="360" w:lineRule="auto"/>
        <w:ind w:firstLine="480" w:firstLineChars="200"/>
        <w:rPr>
          <w:rFonts w:hint="eastAsia" w:ascii="宋体" w:hAnsi="宋体"/>
          <w:sz w:val="24"/>
          <w:szCs w:val="28"/>
        </w:rPr>
      </w:pPr>
      <w:r>
        <w:rPr>
          <w:rFonts w:hint="eastAsia" w:ascii="宋体" w:hAnsi="宋体"/>
          <w:sz w:val="24"/>
          <w:szCs w:val="28"/>
        </w:rPr>
        <w:t>（10）与本报价有关的所有往来信函，应按下列地址进行：</w:t>
      </w:r>
    </w:p>
    <w:p>
      <w:pPr>
        <w:spacing w:line="360" w:lineRule="auto"/>
        <w:ind w:firstLine="480" w:firstLineChars="200"/>
        <w:rPr>
          <w:rFonts w:hint="eastAsia" w:ascii="宋体" w:hAnsi="宋体"/>
          <w:sz w:val="24"/>
          <w:szCs w:val="28"/>
        </w:rPr>
      </w:pPr>
      <w:r>
        <w:rPr>
          <w:rFonts w:hint="eastAsia" w:ascii="宋体" w:hAnsi="宋体"/>
          <w:sz w:val="24"/>
          <w:szCs w:val="28"/>
        </w:rPr>
        <w:t>地址：                             邮政编码：</w:t>
      </w:r>
    </w:p>
    <w:p>
      <w:pPr>
        <w:spacing w:line="360" w:lineRule="auto"/>
        <w:ind w:firstLine="480" w:firstLineChars="200"/>
        <w:rPr>
          <w:rFonts w:hint="eastAsia" w:ascii="宋体" w:hAnsi="宋体"/>
          <w:sz w:val="24"/>
          <w:szCs w:val="28"/>
        </w:rPr>
      </w:pPr>
      <w:r>
        <w:rPr>
          <w:rFonts w:hint="eastAsia" w:ascii="宋体" w:hAnsi="宋体"/>
          <w:sz w:val="24"/>
          <w:szCs w:val="28"/>
        </w:rPr>
        <w:t>电话：                             传真：</w:t>
      </w:r>
    </w:p>
    <w:p>
      <w:pPr>
        <w:spacing w:line="360" w:lineRule="auto"/>
        <w:ind w:firstLine="480" w:firstLineChars="200"/>
        <w:rPr>
          <w:rFonts w:hint="eastAsia" w:ascii="宋体" w:hAnsi="宋体"/>
          <w:sz w:val="24"/>
          <w:szCs w:val="28"/>
        </w:rPr>
      </w:pPr>
      <w:r>
        <w:rPr>
          <w:rFonts w:hint="eastAsia" w:ascii="宋体" w:hAnsi="宋体"/>
          <w:sz w:val="24"/>
          <w:szCs w:val="28"/>
        </w:rPr>
        <w:t>电子信箱：</w:t>
      </w:r>
    </w:p>
    <w:p>
      <w:pPr>
        <w:spacing w:line="360" w:lineRule="auto"/>
        <w:ind w:firstLine="480" w:firstLineChars="200"/>
        <w:rPr>
          <w:rFonts w:hint="eastAsia" w:ascii="宋体" w:hAnsi="宋体"/>
          <w:sz w:val="24"/>
          <w:szCs w:val="28"/>
        </w:rPr>
      </w:pPr>
      <w:r>
        <w:rPr>
          <w:rFonts w:hint="eastAsia" w:ascii="宋体" w:hAnsi="宋体"/>
          <w:sz w:val="24"/>
          <w:szCs w:val="28"/>
        </w:rPr>
        <w:t>投标方全称：                       开户银行名称：</w:t>
      </w:r>
    </w:p>
    <w:p>
      <w:pPr>
        <w:spacing w:line="360" w:lineRule="auto"/>
        <w:ind w:firstLine="480" w:firstLineChars="200"/>
        <w:rPr>
          <w:rFonts w:hint="eastAsia" w:ascii="宋体" w:hAnsi="宋体"/>
          <w:sz w:val="24"/>
          <w:szCs w:val="28"/>
        </w:rPr>
      </w:pPr>
      <w:r>
        <w:rPr>
          <w:rFonts w:hint="eastAsia" w:ascii="宋体" w:hAnsi="宋体"/>
          <w:sz w:val="24"/>
          <w:szCs w:val="28"/>
        </w:rPr>
        <w:t>公章：                             银行帐号：</w:t>
      </w:r>
    </w:p>
    <w:p>
      <w:pPr>
        <w:spacing w:line="360" w:lineRule="auto"/>
        <w:ind w:firstLine="480" w:firstLineChars="200"/>
        <w:rPr>
          <w:rFonts w:hint="eastAsia" w:ascii="宋体" w:hAnsi="宋体"/>
          <w:sz w:val="24"/>
          <w:szCs w:val="28"/>
        </w:rPr>
      </w:pPr>
      <w:r>
        <w:rPr>
          <w:rFonts w:hint="eastAsia" w:ascii="宋体" w:hAnsi="宋体"/>
          <w:sz w:val="24"/>
          <w:szCs w:val="28"/>
        </w:rPr>
        <w:t>法人代表签字：                     开户行地址：</w:t>
      </w:r>
    </w:p>
    <w:p>
      <w:pPr>
        <w:spacing w:line="360" w:lineRule="auto"/>
        <w:ind w:firstLine="480" w:firstLineChars="200"/>
        <w:jc w:val="right"/>
        <w:rPr>
          <w:rFonts w:hint="eastAsia" w:ascii="宋体" w:hAnsi="宋体"/>
          <w:sz w:val="24"/>
          <w:szCs w:val="28"/>
        </w:rPr>
      </w:pPr>
    </w:p>
    <w:p>
      <w:pPr>
        <w:spacing w:line="360" w:lineRule="auto"/>
        <w:ind w:firstLine="480" w:firstLineChars="200"/>
        <w:jc w:val="right"/>
        <w:rPr>
          <w:rFonts w:hint="eastAsia" w:ascii="宋体" w:hAnsi="宋体"/>
          <w:sz w:val="24"/>
          <w:szCs w:val="28"/>
        </w:rPr>
      </w:pPr>
      <w:r>
        <w:rPr>
          <w:rFonts w:hint="eastAsia" w:ascii="宋体" w:hAnsi="宋体"/>
          <w:sz w:val="24"/>
          <w:szCs w:val="28"/>
        </w:rPr>
        <w:t>年   月   日</w:t>
      </w:r>
    </w:p>
    <w:p>
      <w:pPr>
        <w:spacing w:line="360" w:lineRule="auto"/>
        <w:ind w:firstLine="480" w:firstLineChars="200"/>
        <w:jc w:val="right"/>
        <w:rPr>
          <w:rFonts w:hint="eastAsia" w:ascii="宋体" w:hAnsi="宋体"/>
          <w:sz w:val="24"/>
          <w:szCs w:val="28"/>
        </w:rPr>
      </w:pPr>
    </w:p>
    <w:p>
      <w:pPr>
        <w:spacing w:line="360" w:lineRule="auto"/>
        <w:rPr>
          <w:rFonts w:eastAsia="黑体"/>
          <w:b/>
          <w:bCs/>
          <w:sz w:val="28"/>
        </w:rPr>
      </w:pPr>
      <w:r>
        <w:rPr>
          <w:rFonts w:hint="eastAsia" w:eastAsia="黑体"/>
          <w:b/>
          <w:bCs/>
          <w:sz w:val="28"/>
        </w:rPr>
        <w:t>格式2</w:t>
      </w:r>
    </w:p>
    <w:p>
      <w:pPr>
        <w:rPr>
          <w:rFonts w:hint="eastAsia" w:ascii="宋体" w:hAnsi="宋体"/>
          <w:sz w:val="24"/>
          <w:szCs w:val="24"/>
        </w:rPr>
      </w:pPr>
      <w:r>
        <w:rPr>
          <w:rFonts w:hint="eastAsia" w:ascii="宋体" w:hAnsi="宋体"/>
          <w:sz w:val="24"/>
          <w:szCs w:val="24"/>
        </w:rPr>
        <w:t>项目名称：(XX项目)</w:t>
      </w:r>
    </w:p>
    <w:p>
      <w:pPr>
        <w:rPr>
          <w:rFonts w:hint="eastAsia" w:ascii="宋体" w:hAnsi="宋体"/>
          <w:sz w:val="24"/>
          <w:szCs w:val="24"/>
        </w:rPr>
      </w:pPr>
    </w:p>
    <w:p>
      <w:pPr>
        <w:rPr>
          <w:rFonts w:hint="eastAsia" w:ascii="宋体" w:hAnsi="宋体"/>
          <w:sz w:val="24"/>
          <w:szCs w:val="24"/>
        </w:rPr>
      </w:pPr>
      <w:r>
        <w:rPr>
          <w:rFonts w:hint="eastAsia" w:ascii="宋体" w:hAnsi="宋体"/>
          <w:sz w:val="24"/>
          <w:szCs w:val="24"/>
        </w:rPr>
        <w:t>日期：  年   月   日</w:t>
      </w:r>
    </w:p>
    <w:p>
      <w:pPr>
        <w:pStyle w:val="4"/>
        <w:spacing w:line="360" w:lineRule="auto"/>
        <w:jc w:val="center"/>
        <w:rPr>
          <w:bCs w:val="0"/>
          <w:sz w:val="36"/>
          <w:szCs w:val="36"/>
        </w:rPr>
      </w:pPr>
      <w:r>
        <w:rPr>
          <w:rFonts w:hint="eastAsia"/>
          <w:bCs w:val="0"/>
          <w:sz w:val="36"/>
          <w:szCs w:val="36"/>
        </w:rPr>
        <w:t>投标文件目录</w:t>
      </w:r>
    </w:p>
    <w:tbl>
      <w:tblPr>
        <w:tblStyle w:val="21"/>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r>
              <w:rPr>
                <w:rFonts w:hint="eastAsia" w:ascii="宋体" w:hAnsi="宋体"/>
                <w:sz w:val="24"/>
                <w:szCs w:val="24"/>
              </w:rPr>
              <w:t>序号</w:t>
            </w:r>
          </w:p>
        </w:tc>
        <w:tc>
          <w:tcPr>
            <w:tcW w:w="6520" w:type="dxa"/>
            <w:vAlign w:val="center"/>
          </w:tcPr>
          <w:p>
            <w:pPr>
              <w:jc w:val="center"/>
              <w:rPr>
                <w:rFonts w:hint="eastAsia" w:ascii="宋体" w:hAnsi="宋体"/>
                <w:sz w:val="24"/>
                <w:szCs w:val="24"/>
              </w:rPr>
            </w:pPr>
            <w:r>
              <w:rPr>
                <w:rFonts w:hint="eastAsia" w:ascii="宋体" w:hAnsi="宋体"/>
                <w:sz w:val="24"/>
                <w:szCs w:val="24"/>
              </w:rPr>
              <w:t>主要内容</w:t>
            </w:r>
          </w:p>
        </w:tc>
        <w:tc>
          <w:tcPr>
            <w:tcW w:w="1276" w:type="dxa"/>
            <w:vAlign w:val="center"/>
          </w:tcPr>
          <w:p>
            <w:pPr>
              <w:jc w:val="center"/>
              <w:rPr>
                <w:rFonts w:hint="eastAsia" w:ascii="宋体" w:hAnsi="宋体"/>
                <w:sz w:val="24"/>
                <w:szCs w:val="24"/>
              </w:rPr>
            </w:pPr>
            <w:r>
              <w:rPr>
                <w:rFonts w:hint="eastAsia" w:ascii="宋体" w:hAnsi="宋体"/>
                <w:sz w:val="24"/>
                <w:szCs w:val="24"/>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p>
        </w:tc>
        <w:tc>
          <w:tcPr>
            <w:tcW w:w="6520" w:type="dxa"/>
            <w:vAlign w:val="center"/>
          </w:tcPr>
          <w:p>
            <w:pPr>
              <w:jc w:val="center"/>
              <w:rPr>
                <w:rFonts w:hint="eastAsia" w:ascii="宋体" w:hAnsi="宋体"/>
                <w:sz w:val="24"/>
                <w:szCs w:val="24"/>
              </w:rPr>
            </w:pPr>
          </w:p>
        </w:tc>
        <w:tc>
          <w:tcPr>
            <w:tcW w:w="1276" w:type="dxa"/>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p>
        </w:tc>
        <w:tc>
          <w:tcPr>
            <w:tcW w:w="6520" w:type="dxa"/>
            <w:vAlign w:val="center"/>
          </w:tcPr>
          <w:p>
            <w:pPr>
              <w:jc w:val="center"/>
              <w:rPr>
                <w:rFonts w:hint="eastAsia" w:ascii="宋体" w:hAnsi="宋体"/>
                <w:sz w:val="24"/>
                <w:szCs w:val="24"/>
              </w:rPr>
            </w:pPr>
          </w:p>
        </w:tc>
        <w:tc>
          <w:tcPr>
            <w:tcW w:w="1276" w:type="dxa"/>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p>
        </w:tc>
        <w:tc>
          <w:tcPr>
            <w:tcW w:w="6520" w:type="dxa"/>
            <w:vAlign w:val="center"/>
          </w:tcPr>
          <w:p>
            <w:pPr>
              <w:jc w:val="center"/>
              <w:rPr>
                <w:rFonts w:hint="eastAsia" w:ascii="宋体" w:hAnsi="宋体"/>
                <w:sz w:val="24"/>
                <w:szCs w:val="24"/>
              </w:rPr>
            </w:pPr>
          </w:p>
        </w:tc>
        <w:tc>
          <w:tcPr>
            <w:tcW w:w="1276" w:type="dxa"/>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p>
        </w:tc>
        <w:tc>
          <w:tcPr>
            <w:tcW w:w="6520" w:type="dxa"/>
            <w:vAlign w:val="center"/>
          </w:tcPr>
          <w:p>
            <w:pPr>
              <w:jc w:val="center"/>
              <w:rPr>
                <w:rFonts w:hint="eastAsia" w:ascii="宋体" w:hAnsi="宋体"/>
                <w:sz w:val="24"/>
                <w:szCs w:val="24"/>
              </w:rPr>
            </w:pPr>
          </w:p>
        </w:tc>
        <w:tc>
          <w:tcPr>
            <w:tcW w:w="1276" w:type="dxa"/>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p>
        </w:tc>
        <w:tc>
          <w:tcPr>
            <w:tcW w:w="6520" w:type="dxa"/>
            <w:vAlign w:val="center"/>
          </w:tcPr>
          <w:p>
            <w:pPr>
              <w:jc w:val="center"/>
              <w:rPr>
                <w:rFonts w:hint="eastAsia" w:ascii="宋体" w:hAnsi="宋体"/>
                <w:sz w:val="24"/>
                <w:szCs w:val="24"/>
              </w:rPr>
            </w:pPr>
          </w:p>
        </w:tc>
        <w:tc>
          <w:tcPr>
            <w:tcW w:w="1276" w:type="dxa"/>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p>
        </w:tc>
        <w:tc>
          <w:tcPr>
            <w:tcW w:w="6520" w:type="dxa"/>
            <w:vAlign w:val="center"/>
          </w:tcPr>
          <w:p>
            <w:pPr>
              <w:jc w:val="center"/>
              <w:rPr>
                <w:rFonts w:hint="eastAsia" w:ascii="宋体" w:hAnsi="宋体"/>
                <w:sz w:val="24"/>
                <w:szCs w:val="24"/>
              </w:rPr>
            </w:pPr>
          </w:p>
        </w:tc>
        <w:tc>
          <w:tcPr>
            <w:tcW w:w="1276" w:type="dxa"/>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p>
        </w:tc>
        <w:tc>
          <w:tcPr>
            <w:tcW w:w="6520" w:type="dxa"/>
            <w:vAlign w:val="center"/>
          </w:tcPr>
          <w:p>
            <w:pPr>
              <w:jc w:val="center"/>
              <w:rPr>
                <w:rFonts w:hint="eastAsia" w:ascii="宋体" w:hAnsi="宋体"/>
                <w:sz w:val="24"/>
                <w:szCs w:val="24"/>
              </w:rPr>
            </w:pPr>
          </w:p>
        </w:tc>
        <w:tc>
          <w:tcPr>
            <w:tcW w:w="1276" w:type="dxa"/>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p>
        </w:tc>
        <w:tc>
          <w:tcPr>
            <w:tcW w:w="6520" w:type="dxa"/>
            <w:vAlign w:val="center"/>
          </w:tcPr>
          <w:p>
            <w:pPr>
              <w:jc w:val="center"/>
              <w:rPr>
                <w:rFonts w:hint="eastAsia" w:ascii="宋体" w:hAnsi="宋体"/>
                <w:sz w:val="24"/>
                <w:szCs w:val="24"/>
              </w:rPr>
            </w:pPr>
          </w:p>
        </w:tc>
        <w:tc>
          <w:tcPr>
            <w:tcW w:w="1276" w:type="dxa"/>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p>
        </w:tc>
        <w:tc>
          <w:tcPr>
            <w:tcW w:w="6520" w:type="dxa"/>
            <w:vAlign w:val="center"/>
          </w:tcPr>
          <w:p>
            <w:pPr>
              <w:jc w:val="center"/>
              <w:rPr>
                <w:rFonts w:hint="eastAsia" w:ascii="宋体" w:hAnsi="宋体"/>
                <w:sz w:val="24"/>
                <w:szCs w:val="24"/>
              </w:rPr>
            </w:pPr>
          </w:p>
        </w:tc>
        <w:tc>
          <w:tcPr>
            <w:tcW w:w="1276" w:type="dxa"/>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p>
        </w:tc>
        <w:tc>
          <w:tcPr>
            <w:tcW w:w="6520" w:type="dxa"/>
            <w:vAlign w:val="center"/>
          </w:tcPr>
          <w:p>
            <w:pPr>
              <w:jc w:val="center"/>
              <w:rPr>
                <w:rFonts w:hint="eastAsia" w:ascii="宋体" w:hAnsi="宋体"/>
                <w:sz w:val="24"/>
                <w:szCs w:val="24"/>
              </w:rPr>
            </w:pPr>
          </w:p>
        </w:tc>
        <w:tc>
          <w:tcPr>
            <w:tcW w:w="1276" w:type="dxa"/>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p>
        </w:tc>
        <w:tc>
          <w:tcPr>
            <w:tcW w:w="6520" w:type="dxa"/>
            <w:vAlign w:val="center"/>
          </w:tcPr>
          <w:p>
            <w:pPr>
              <w:jc w:val="center"/>
              <w:rPr>
                <w:rFonts w:hint="eastAsia" w:ascii="宋体" w:hAnsi="宋体"/>
                <w:sz w:val="24"/>
                <w:szCs w:val="24"/>
              </w:rPr>
            </w:pPr>
          </w:p>
        </w:tc>
        <w:tc>
          <w:tcPr>
            <w:tcW w:w="1276" w:type="dxa"/>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p>
        </w:tc>
        <w:tc>
          <w:tcPr>
            <w:tcW w:w="6520" w:type="dxa"/>
            <w:vAlign w:val="center"/>
          </w:tcPr>
          <w:p>
            <w:pPr>
              <w:jc w:val="center"/>
              <w:rPr>
                <w:rFonts w:hint="eastAsia" w:ascii="宋体" w:hAnsi="宋体"/>
                <w:sz w:val="24"/>
                <w:szCs w:val="24"/>
              </w:rPr>
            </w:pPr>
          </w:p>
        </w:tc>
        <w:tc>
          <w:tcPr>
            <w:tcW w:w="1276" w:type="dxa"/>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rFonts w:hint="eastAsia" w:ascii="宋体" w:hAnsi="宋体"/>
                <w:sz w:val="24"/>
                <w:szCs w:val="24"/>
              </w:rPr>
            </w:pPr>
          </w:p>
        </w:tc>
        <w:tc>
          <w:tcPr>
            <w:tcW w:w="6520" w:type="dxa"/>
            <w:vAlign w:val="center"/>
          </w:tcPr>
          <w:p>
            <w:pPr>
              <w:jc w:val="center"/>
              <w:rPr>
                <w:rFonts w:hint="eastAsia" w:ascii="宋体" w:hAnsi="宋体"/>
                <w:sz w:val="24"/>
                <w:szCs w:val="24"/>
              </w:rPr>
            </w:pPr>
          </w:p>
        </w:tc>
        <w:tc>
          <w:tcPr>
            <w:tcW w:w="1276" w:type="dxa"/>
            <w:vAlign w:val="center"/>
          </w:tcPr>
          <w:p>
            <w:pPr>
              <w:jc w:val="center"/>
              <w:rPr>
                <w:rFonts w:hint="eastAsia" w:ascii="宋体" w:hAnsi="宋体"/>
                <w:sz w:val="24"/>
                <w:szCs w:val="24"/>
              </w:rPr>
            </w:pPr>
          </w:p>
        </w:tc>
      </w:tr>
    </w:tbl>
    <w:p>
      <w:pPr>
        <w:rPr>
          <w:rFonts w:hint="eastAsia" w:ascii="宋体" w:hAnsi="宋体"/>
          <w:sz w:val="24"/>
          <w:szCs w:val="24"/>
        </w:rPr>
      </w:pPr>
      <w:r>
        <w:rPr>
          <w:rFonts w:hint="eastAsia" w:ascii="宋体" w:hAnsi="宋体"/>
          <w:sz w:val="24"/>
          <w:szCs w:val="24"/>
        </w:rPr>
        <w:t>投标人名称（盖章）：              法定代表人或授权代表签字：</w:t>
      </w:r>
    </w:p>
    <w:p>
      <w:pPr>
        <w:rPr>
          <w:rFonts w:hint="eastAsia" w:ascii="宋体" w:hAnsi="宋体"/>
          <w:sz w:val="24"/>
          <w:szCs w:val="24"/>
        </w:rPr>
      </w:pPr>
    </w:p>
    <w:p>
      <w:pPr>
        <w:rPr>
          <w:rFonts w:hint="eastAsia" w:ascii="宋体" w:hAnsi="宋体"/>
          <w:sz w:val="24"/>
          <w:szCs w:val="24"/>
        </w:rPr>
      </w:pPr>
      <w:r>
        <w:rPr>
          <w:rFonts w:hint="eastAsia" w:ascii="宋体" w:hAnsi="宋体"/>
          <w:b/>
          <w:sz w:val="24"/>
          <w:szCs w:val="24"/>
        </w:rPr>
        <w:t>注：</w:t>
      </w:r>
      <w:r>
        <w:rPr>
          <w:rFonts w:hint="eastAsia" w:ascii="宋体" w:hAnsi="宋体"/>
          <w:sz w:val="24"/>
          <w:szCs w:val="24"/>
        </w:rPr>
        <w:t>1.本表填写投标文件主要内容，以用于开标宣读。</w:t>
      </w:r>
    </w:p>
    <w:p>
      <w:pPr>
        <w:ind w:firstLine="480"/>
        <w:rPr>
          <w:rFonts w:hint="eastAsia" w:ascii="宋体" w:hAnsi="宋体"/>
          <w:sz w:val="24"/>
          <w:szCs w:val="24"/>
        </w:rPr>
      </w:pPr>
      <w:r>
        <w:rPr>
          <w:rFonts w:hint="eastAsia" w:ascii="宋体" w:hAnsi="宋体"/>
          <w:sz w:val="24"/>
          <w:szCs w:val="24"/>
        </w:rPr>
        <w:t>2．“索引”一栏填写该主要内容对应于投标文件的“条款号/页号”。</w:t>
      </w:r>
    </w:p>
    <w:p>
      <w:pPr>
        <w:rPr>
          <w:rFonts w:eastAsia="黑体"/>
          <w:b/>
          <w:bCs/>
          <w:sz w:val="28"/>
        </w:rPr>
        <w:sectPr>
          <w:footerReference r:id="rId5" w:type="first"/>
          <w:footerReference r:id="rId3" w:type="default"/>
          <w:footerReference r:id="rId4" w:type="even"/>
          <w:pgSz w:w="11906" w:h="16838"/>
          <w:pgMar w:top="1701" w:right="1418" w:bottom="1134" w:left="1418" w:header="851" w:footer="992" w:gutter="0"/>
          <w:pgNumType w:fmt="numberInDash" w:start="0"/>
          <w:cols w:space="720" w:num="1"/>
          <w:titlePg/>
          <w:docGrid w:type="lines" w:linePitch="312" w:charSpace="0"/>
        </w:sectPr>
      </w:pPr>
    </w:p>
    <w:p>
      <w:pPr>
        <w:rPr>
          <w:rFonts w:eastAsia="黑体"/>
          <w:b/>
          <w:bCs/>
          <w:sz w:val="28"/>
        </w:rPr>
      </w:pPr>
      <w:r>
        <w:rPr>
          <w:rFonts w:hint="eastAsia" w:eastAsia="黑体"/>
          <w:b/>
          <w:bCs/>
          <w:sz w:val="28"/>
        </w:rPr>
        <w:t>格式3</w:t>
      </w:r>
    </w:p>
    <w:p>
      <w:pPr>
        <w:pStyle w:val="4"/>
        <w:spacing w:line="360" w:lineRule="auto"/>
        <w:jc w:val="center"/>
        <w:rPr>
          <w:sz w:val="36"/>
          <w:szCs w:val="36"/>
        </w:rPr>
      </w:pPr>
      <w:r>
        <w:rPr>
          <w:rFonts w:hint="eastAsia"/>
          <w:sz w:val="36"/>
          <w:szCs w:val="36"/>
        </w:rPr>
        <w:t>开标一览表</w:t>
      </w:r>
    </w:p>
    <w:tbl>
      <w:tblPr>
        <w:tblStyle w:val="21"/>
        <w:tblW w:w="5000" w:type="pct"/>
        <w:tblInd w:w="0" w:type="dxa"/>
        <w:tblLayout w:type="autofit"/>
        <w:tblCellMar>
          <w:top w:w="0" w:type="dxa"/>
          <w:left w:w="108" w:type="dxa"/>
          <w:bottom w:w="0" w:type="dxa"/>
          <w:right w:w="108" w:type="dxa"/>
        </w:tblCellMar>
      </w:tblPr>
      <w:tblGrid>
        <w:gridCol w:w="478"/>
        <w:gridCol w:w="953"/>
        <w:gridCol w:w="2736"/>
        <w:gridCol w:w="1187"/>
        <w:gridCol w:w="479"/>
        <w:gridCol w:w="953"/>
        <w:gridCol w:w="2500"/>
      </w:tblGrid>
      <w:tr>
        <w:tblPrEx>
          <w:tblCellMar>
            <w:top w:w="0" w:type="dxa"/>
            <w:left w:w="108" w:type="dxa"/>
            <w:bottom w:w="0" w:type="dxa"/>
            <w:right w:w="108" w:type="dxa"/>
          </w:tblCellMar>
        </w:tblPrEx>
        <w:trPr>
          <w:trHeight w:val="734" w:hRule="atLeast"/>
        </w:trPr>
        <w:tc>
          <w:tcPr>
            <w:tcW w:w="25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b/>
                <w:bCs/>
                <w:kern w:val="0"/>
                <w:szCs w:val="21"/>
              </w:rPr>
            </w:pPr>
            <w:r>
              <w:rPr>
                <w:rFonts w:hint="eastAsia" w:ascii="宋体" w:hAnsi="宋体" w:cs="宋体"/>
                <w:b/>
                <w:bCs/>
                <w:kern w:val="0"/>
                <w:szCs w:val="21"/>
              </w:rPr>
              <w:t>序号</w:t>
            </w:r>
          </w:p>
        </w:tc>
        <w:tc>
          <w:tcPr>
            <w:tcW w:w="513"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eastAsia" w:ascii="宋体" w:hAnsi="宋体" w:cs="宋体"/>
                <w:b/>
                <w:bCs/>
                <w:kern w:val="0"/>
                <w:szCs w:val="21"/>
              </w:rPr>
            </w:pPr>
            <w:r>
              <w:rPr>
                <w:rFonts w:hint="eastAsia" w:ascii="宋体" w:hAnsi="宋体" w:cs="宋体"/>
                <w:b/>
                <w:bCs/>
                <w:kern w:val="0"/>
                <w:szCs w:val="21"/>
              </w:rPr>
              <w:t>项目名称</w:t>
            </w:r>
          </w:p>
        </w:tc>
        <w:tc>
          <w:tcPr>
            <w:tcW w:w="1473"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eastAsia" w:ascii="宋体" w:hAnsi="宋体" w:cs="宋体"/>
                <w:b/>
                <w:bCs/>
                <w:kern w:val="0"/>
                <w:szCs w:val="21"/>
              </w:rPr>
            </w:pPr>
            <w:r>
              <w:rPr>
                <w:rFonts w:hint="eastAsia" w:ascii="宋体" w:hAnsi="宋体" w:cs="宋体"/>
                <w:b/>
                <w:bCs/>
                <w:kern w:val="0"/>
                <w:szCs w:val="21"/>
              </w:rPr>
              <w:t>工作内容简介</w:t>
            </w:r>
          </w:p>
        </w:tc>
        <w:tc>
          <w:tcPr>
            <w:tcW w:w="639"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b/>
                <w:bCs/>
                <w:kern w:val="0"/>
                <w:szCs w:val="21"/>
              </w:rPr>
            </w:pPr>
            <w:r>
              <w:rPr>
                <w:rFonts w:hint="eastAsia" w:ascii="宋体" w:hAnsi="宋体" w:cs="宋体"/>
                <w:b/>
                <w:bCs/>
                <w:kern w:val="0"/>
                <w:szCs w:val="21"/>
              </w:rPr>
              <w:t>业务量</w:t>
            </w:r>
          </w:p>
        </w:tc>
        <w:tc>
          <w:tcPr>
            <w:tcW w:w="25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b/>
                <w:bCs/>
                <w:kern w:val="0"/>
                <w:szCs w:val="21"/>
              </w:rPr>
            </w:pPr>
            <w:r>
              <w:rPr>
                <w:rFonts w:hint="eastAsia" w:ascii="宋体" w:hAnsi="宋体" w:cs="宋体"/>
                <w:b/>
                <w:bCs/>
                <w:kern w:val="0"/>
                <w:szCs w:val="21"/>
              </w:rPr>
              <w:t>报价</w:t>
            </w:r>
          </w:p>
        </w:tc>
        <w:tc>
          <w:tcPr>
            <w:tcW w:w="512"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b/>
                <w:bCs/>
                <w:kern w:val="0"/>
                <w:szCs w:val="21"/>
              </w:rPr>
            </w:pPr>
            <w:r>
              <w:rPr>
                <w:rFonts w:hint="eastAsia" w:ascii="宋体" w:hAnsi="宋体" w:cs="宋体"/>
                <w:b/>
                <w:bCs/>
                <w:kern w:val="0"/>
                <w:szCs w:val="21"/>
              </w:rPr>
              <w:t>单位</w:t>
            </w:r>
          </w:p>
        </w:tc>
        <w:tc>
          <w:tcPr>
            <w:tcW w:w="1346"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b/>
                <w:bCs/>
                <w:kern w:val="0"/>
                <w:szCs w:val="21"/>
              </w:rPr>
            </w:pPr>
            <w:r>
              <w:rPr>
                <w:rFonts w:hint="eastAsia" w:ascii="宋体" w:hAnsi="宋体" w:cs="宋体"/>
                <w:b/>
                <w:bCs/>
                <w:kern w:val="0"/>
                <w:szCs w:val="21"/>
              </w:rPr>
              <w:t>备注</w:t>
            </w:r>
          </w:p>
        </w:tc>
      </w:tr>
      <w:tr>
        <w:tblPrEx>
          <w:tblCellMar>
            <w:top w:w="0" w:type="dxa"/>
            <w:left w:w="108" w:type="dxa"/>
            <w:bottom w:w="0" w:type="dxa"/>
            <w:right w:w="108" w:type="dxa"/>
          </w:tblCellMar>
        </w:tblPrEx>
        <w:trPr>
          <w:trHeight w:val="680" w:hRule="atLeast"/>
        </w:trPr>
        <w:tc>
          <w:tcPr>
            <w:tcW w:w="25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1</w:t>
            </w:r>
          </w:p>
        </w:tc>
        <w:tc>
          <w:tcPr>
            <w:tcW w:w="513" w:type="pct"/>
            <w:vMerge w:val="restart"/>
            <w:tcBorders>
              <w:left w:val="nil"/>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标准件仓配上线服务项目</w:t>
            </w:r>
          </w:p>
        </w:tc>
        <w:tc>
          <w:tcPr>
            <w:tcW w:w="1473" w:type="pct"/>
            <w:tcBorders>
              <w:left w:val="nil"/>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标准件类产品厂外三方仓储、分拣排序、入厂配送、根据生产顺序上线配送到指定工位服务费。</w:t>
            </w:r>
          </w:p>
        </w:tc>
        <w:tc>
          <w:tcPr>
            <w:tcW w:w="639"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年度发交金额14750万元</w:t>
            </w:r>
          </w:p>
        </w:tc>
        <w:tc>
          <w:tcPr>
            <w:tcW w:w="25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p>
        </w:tc>
        <w:tc>
          <w:tcPr>
            <w:tcW w:w="512"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费率（‰）</w:t>
            </w:r>
          </w:p>
        </w:tc>
        <w:tc>
          <w:tcPr>
            <w:tcW w:w="1346"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rPr>
                <w:rFonts w:hint="eastAsia" w:ascii="宋体" w:hAnsi="宋体" w:cs="宋体"/>
                <w:kern w:val="0"/>
                <w:szCs w:val="21"/>
              </w:rPr>
            </w:pPr>
            <w:r>
              <w:rPr>
                <w:rFonts w:hint="eastAsia" w:ascii="宋体" w:hAnsi="宋体" w:cs="宋体"/>
                <w:kern w:val="0"/>
                <w:szCs w:val="21"/>
              </w:rPr>
              <w:t>付费主体：供应商+商用车，其中供应商按照重汽标准费率支付，剩余部分重汽承担。</w:t>
            </w:r>
          </w:p>
        </w:tc>
      </w:tr>
      <w:tr>
        <w:tblPrEx>
          <w:tblCellMar>
            <w:top w:w="0" w:type="dxa"/>
            <w:left w:w="108" w:type="dxa"/>
            <w:bottom w:w="0" w:type="dxa"/>
            <w:right w:w="108" w:type="dxa"/>
          </w:tblCellMar>
        </w:tblPrEx>
        <w:trPr>
          <w:trHeight w:val="567" w:hRule="atLeast"/>
        </w:trPr>
        <w:tc>
          <w:tcPr>
            <w:tcW w:w="258"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2</w:t>
            </w:r>
          </w:p>
        </w:tc>
        <w:tc>
          <w:tcPr>
            <w:tcW w:w="513" w:type="pct"/>
            <w:vMerge w:val="continue"/>
            <w:tcBorders>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p>
        </w:tc>
        <w:tc>
          <w:tcPr>
            <w:tcW w:w="1473"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标准件翻包服务</w:t>
            </w:r>
          </w:p>
        </w:tc>
        <w:tc>
          <w:tcPr>
            <w:tcW w:w="639"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年度翻包金额3800万元</w:t>
            </w:r>
          </w:p>
        </w:tc>
        <w:tc>
          <w:tcPr>
            <w:tcW w:w="25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p>
        </w:tc>
        <w:tc>
          <w:tcPr>
            <w:tcW w:w="512"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费率（‰）</w:t>
            </w:r>
          </w:p>
        </w:tc>
        <w:tc>
          <w:tcPr>
            <w:tcW w:w="1346"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供应商支付：仅针对纸箱等原包装到货的标准件，投标方需提供料盒翻包服务。</w:t>
            </w:r>
          </w:p>
        </w:tc>
      </w:tr>
      <w:tr>
        <w:tblPrEx>
          <w:tblCellMar>
            <w:top w:w="0" w:type="dxa"/>
            <w:left w:w="108" w:type="dxa"/>
            <w:bottom w:w="0" w:type="dxa"/>
            <w:right w:w="108" w:type="dxa"/>
          </w:tblCellMar>
        </w:tblPrEx>
        <w:trPr>
          <w:trHeight w:val="567" w:hRule="atLeast"/>
        </w:trPr>
        <w:tc>
          <w:tcPr>
            <w:tcW w:w="258"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3</w:t>
            </w:r>
          </w:p>
        </w:tc>
        <w:tc>
          <w:tcPr>
            <w:tcW w:w="1986" w:type="pct"/>
            <w:gridSpan w:val="2"/>
            <w:tcBorders>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年度降幅</w:t>
            </w:r>
          </w:p>
        </w:tc>
        <w:tc>
          <w:tcPr>
            <w:tcW w:w="1410" w:type="pct"/>
            <w:gridSpan w:val="3"/>
            <w:tcBorders>
              <w:left w:val="single" w:color="auto" w:sz="4" w:space="0"/>
              <w:bottom w:val="single" w:color="auto" w:sz="4" w:space="0"/>
              <w:right w:val="single" w:color="auto" w:sz="4" w:space="0"/>
            </w:tcBorders>
            <w:shd w:val="clear" w:color="000000" w:fill="FFFFFF"/>
          </w:tcPr>
          <w:p>
            <w:pPr>
              <w:widowControl/>
              <w:jc w:val="center"/>
              <w:rPr>
                <w:rFonts w:hint="eastAsia" w:ascii="宋体" w:hAnsi="宋体" w:cs="宋体"/>
                <w:kern w:val="0"/>
                <w:szCs w:val="21"/>
              </w:rPr>
            </w:pPr>
          </w:p>
        </w:tc>
        <w:tc>
          <w:tcPr>
            <w:tcW w:w="1346"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p>
        </w:tc>
      </w:tr>
      <w:tr>
        <w:tblPrEx>
          <w:tblCellMar>
            <w:top w:w="0" w:type="dxa"/>
            <w:left w:w="108" w:type="dxa"/>
            <w:bottom w:w="0" w:type="dxa"/>
            <w:right w:w="108" w:type="dxa"/>
          </w:tblCellMar>
        </w:tblPrEx>
        <w:trPr>
          <w:trHeight w:val="567" w:hRule="atLeast"/>
        </w:trPr>
        <w:tc>
          <w:tcPr>
            <w:tcW w:w="258"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4</w:t>
            </w:r>
          </w:p>
        </w:tc>
        <w:tc>
          <w:tcPr>
            <w:tcW w:w="1986" w:type="pct"/>
            <w:gridSpan w:val="2"/>
            <w:tcBorders>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付款方式是否认同（半年期商业汇票（包括银行承兑汇票和商业承兑汇票）</w:t>
            </w:r>
          </w:p>
        </w:tc>
        <w:tc>
          <w:tcPr>
            <w:tcW w:w="1410" w:type="pct"/>
            <w:gridSpan w:val="3"/>
            <w:tcBorders>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p>
        </w:tc>
        <w:tc>
          <w:tcPr>
            <w:tcW w:w="1346"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p>
        </w:tc>
      </w:tr>
      <w:tr>
        <w:tblPrEx>
          <w:tblCellMar>
            <w:top w:w="0" w:type="dxa"/>
            <w:left w:w="108" w:type="dxa"/>
            <w:bottom w:w="0" w:type="dxa"/>
            <w:right w:w="108" w:type="dxa"/>
          </w:tblCellMar>
        </w:tblPrEx>
        <w:trPr>
          <w:trHeight w:val="567" w:hRule="atLeast"/>
        </w:trPr>
        <w:tc>
          <w:tcPr>
            <w:tcW w:w="258"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5</w:t>
            </w:r>
          </w:p>
        </w:tc>
        <w:tc>
          <w:tcPr>
            <w:tcW w:w="1986" w:type="pct"/>
            <w:gridSpan w:val="2"/>
            <w:tcBorders>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r>
              <w:rPr>
                <w:rFonts w:hint="eastAsia" w:ascii="宋体" w:hAnsi="宋体" w:cs="宋体"/>
                <w:kern w:val="0"/>
                <w:szCs w:val="21"/>
              </w:rPr>
              <w:t>招标文件有无异议</w:t>
            </w:r>
          </w:p>
        </w:tc>
        <w:tc>
          <w:tcPr>
            <w:tcW w:w="1410" w:type="pct"/>
            <w:gridSpan w:val="3"/>
            <w:tcBorders>
              <w:left w:val="single" w:color="auto" w:sz="4" w:space="0"/>
              <w:bottom w:val="single" w:color="auto" w:sz="4" w:space="0"/>
              <w:right w:val="single" w:color="auto" w:sz="4" w:space="0"/>
            </w:tcBorders>
            <w:shd w:val="clear" w:color="000000" w:fill="FFFFFF"/>
          </w:tcPr>
          <w:p>
            <w:pPr>
              <w:widowControl/>
              <w:jc w:val="center"/>
              <w:rPr>
                <w:rFonts w:hint="eastAsia" w:ascii="宋体" w:hAnsi="宋体" w:cs="宋体"/>
                <w:kern w:val="0"/>
                <w:szCs w:val="21"/>
              </w:rPr>
            </w:pPr>
          </w:p>
        </w:tc>
        <w:tc>
          <w:tcPr>
            <w:tcW w:w="1346"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cs="宋体"/>
                <w:kern w:val="0"/>
                <w:szCs w:val="21"/>
              </w:rPr>
            </w:pPr>
          </w:p>
        </w:tc>
      </w:tr>
    </w:tbl>
    <w:p>
      <w:pPr>
        <w:spacing w:line="400" w:lineRule="exact"/>
        <w:rPr>
          <w:rFonts w:hint="eastAsia" w:ascii="宋体" w:hAnsi="宋体"/>
          <w:b/>
          <w:bCs/>
          <w:sz w:val="24"/>
          <w:szCs w:val="24"/>
        </w:rPr>
      </w:pPr>
      <w:r>
        <w:rPr>
          <w:rFonts w:hint="eastAsia" w:ascii="宋体" w:hAnsi="宋体"/>
          <w:b/>
          <w:bCs/>
          <w:sz w:val="24"/>
          <w:szCs w:val="24"/>
        </w:rPr>
        <w:t>注：</w:t>
      </w:r>
    </w:p>
    <w:p>
      <w:pPr>
        <w:numPr>
          <w:ilvl w:val="0"/>
          <w:numId w:val="2"/>
        </w:numPr>
        <w:spacing w:line="400" w:lineRule="exact"/>
        <w:rPr>
          <w:rFonts w:hint="eastAsia" w:ascii="宋体" w:hAnsi="宋体"/>
          <w:b/>
          <w:bCs/>
          <w:sz w:val="24"/>
          <w:szCs w:val="24"/>
        </w:rPr>
      </w:pPr>
      <w:r>
        <w:rPr>
          <w:rFonts w:hint="eastAsia" w:ascii="宋体" w:hAnsi="宋体"/>
          <w:b/>
          <w:bCs/>
          <w:sz w:val="24"/>
          <w:szCs w:val="24"/>
        </w:rPr>
        <w:t>以上业务量基于年产66000测算的单年度发交金额，本次招标签约周期为三年；</w:t>
      </w:r>
    </w:p>
    <w:p>
      <w:pPr>
        <w:numPr>
          <w:ilvl w:val="0"/>
          <w:numId w:val="2"/>
        </w:numPr>
        <w:spacing w:line="400" w:lineRule="exact"/>
        <w:rPr>
          <w:rFonts w:hint="eastAsia" w:ascii="宋体" w:hAnsi="宋体"/>
          <w:b/>
          <w:bCs/>
          <w:sz w:val="24"/>
          <w:szCs w:val="24"/>
        </w:rPr>
      </w:pPr>
      <w:r>
        <w:rPr>
          <w:rFonts w:hint="eastAsia" w:ascii="宋体" w:hAnsi="宋体"/>
          <w:b/>
          <w:bCs/>
          <w:sz w:val="24"/>
          <w:szCs w:val="24"/>
        </w:rPr>
        <w:t>e采通报价单位：万元，含税，系统填报金额须为三年总金额。</w:t>
      </w:r>
    </w:p>
    <w:p>
      <w:pPr>
        <w:spacing w:line="660" w:lineRule="exact"/>
        <w:rPr>
          <w:rFonts w:hint="eastAsia" w:ascii="宋体" w:hAnsi="宋体"/>
          <w:sz w:val="24"/>
          <w:szCs w:val="24"/>
        </w:rPr>
      </w:pPr>
      <w:r>
        <w:rPr>
          <w:rFonts w:hint="eastAsia" w:ascii="宋体" w:hAnsi="宋体"/>
          <w:sz w:val="24"/>
          <w:szCs w:val="24"/>
        </w:rPr>
        <w:t>投标人：（盖章） 法定代表人（授权代表）：（签字）                                         日  期：   年  月  日</w:t>
      </w:r>
    </w:p>
    <w:p>
      <w:pPr>
        <w:spacing w:line="660" w:lineRule="exact"/>
        <w:rPr>
          <w:rFonts w:hint="eastAsia" w:ascii="宋体" w:hAnsi="宋体"/>
          <w:sz w:val="24"/>
          <w:szCs w:val="24"/>
        </w:rPr>
      </w:pPr>
    </w:p>
    <w:p>
      <w:pPr>
        <w:spacing w:line="660" w:lineRule="exact"/>
        <w:rPr>
          <w:rFonts w:hint="eastAsia" w:ascii="宋体" w:hAnsi="宋体"/>
          <w:sz w:val="24"/>
          <w:szCs w:val="24"/>
        </w:rPr>
        <w:sectPr>
          <w:pgSz w:w="11906" w:h="16838"/>
          <w:pgMar w:top="1701" w:right="1418" w:bottom="1134" w:left="1418" w:header="851" w:footer="992" w:gutter="0"/>
          <w:pgNumType w:fmt="numberInDash"/>
          <w:cols w:space="720" w:num="1"/>
          <w:titlePg/>
          <w:docGrid w:linePitch="312" w:charSpace="0"/>
        </w:sectPr>
      </w:pPr>
    </w:p>
    <w:p>
      <w:pPr>
        <w:spacing w:line="660" w:lineRule="exact"/>
        <w:rPr>
          <w:rFonts w:eastAsia="黑体"/>
          <w:b/>
          <w:bCs/>
          <w:sz w:val="28"/>
        </w:rPr>
      </w:pPr>
      <w:r>
        <w:rPr>
          <w:rFonts w:hint="eastAsia" w:eastAsia="黑体"/>
          <w:b/>
          <w:bCs/>
          <w:sz w:val="28"/>
        </w:rPr>
        <w:t xml:space="preserve">格式4  </w:t>
      </w:r>
    </w:p>
    <w:p>
      <w:pPr>
        <w:pStyle w:val="4"/>
        <w:spacing w:line="360" w:lineRule="auto"/>
        <w:jc w:val="center"/>
        <w:rPr>
          <w:bCs w:val="0"/>
          <w:sz w:val="36"/>
          <w:szCs w:val="36"/>
        </w:rPr>
      </w:pPr>
      <w:r>
        <w:rPr>
          <w:rFonts w:hint="eastAsia"/>
          <w:bCs w:val="0"/>
          <w:sz w:val="36"/>
          <w:szCs w:val="36"/>
        </w:rPr>
        <w:t>分项报价清单</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7"/>
        <w:gridCol w:w="1406"/>
        <w:gridCol w:w="1411"/>
        <w:gridCol w:w="1406"/>
        <w:gridCol w:w="1406"/>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17" w:type="pct"/>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项目</w:t>
            </w:r>
          </w:p>
        </w:tc>
        <w:tc>
          <w:tcPr>
            <w:tcW w:w="1517" w:type="pct"/>
            <w:gridSpan w:val="2"/>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类别</w:t>
            </w:r>
          </w:p>
        </w:tc>
        <w:tc>
          <w:tcPr>
            <w:tcW w:w="757" w:type="pct"/>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单价</w:t>
            </w:r>
          </w:p>
        </w:tc>
        <w:tc>
          <w:tcPr>
            <w:tcW w:w="757" w:type="pct"/>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数量</w:t>
            </w:r>
          </w:p>
        </w:tc>
        <w:tc>
          <w:tcPr>
            <w:tcW w:w="452" w:type="pct"/>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17" w:type="pct"/>
            <w:vMerge w:val="restart"/>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仓储设施</w:t>
            </w:r>
          </w:p>
        </w:tc>
        <w:tc>
          <w:tcPr>
            <w:tcW w:w="1517" w:type="pct"/>
            <w:gridSpan w:val="2"/>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场地费用</w:t>
            </w:r>
          </w:p>
        </w:tc>
        <w:tc>
          <w:tcPr>
            <w:tcW w:w="757" w:type="pct"/>
            <w:vAlign w:val="center"/>
          </w:tcPr>
          <w:p>
            <w:pPr>
              <w:widowControl/>
              <w:jc w:val="center"/>
              <w:rPr>
                <w:rFonts w:hint="eastAsia" w:ascii="宋体" w:hAnsi="宋体" w:cs="宋体"/>
                <w:b/>
                <w:bCs/>
                <w:kern w:val="0"/>
                <w:sz w:val="22"/>
                <w:szCs w:val="22"/>
              </w:rPr>
            </w:pPr>
          </w:p>
        </w:tc>
        <w:tc>
          <w:tcPr>
            <w:tcW w:w="757" w:type="pct"/>
            <w:vAlign w:val="center"/>
          </w:tcPr>
          <w:p>
            <w:pPr>
              <w:widowControl/>
              <w:jc w:val="center"/>
              <w:rPr>
                <w:rFonts w:hint="eastAsia" w:ascii="宋体" w:hAnsi="宋体" w:cs="宋体"/>
                <w:b/>
                <w:bCs/>
                <w:kern w:val="0"/>
                <w:sz w:val="22"/>
                <w:szCs w:val="22"/>
              </w:rPr>
            </w:pPr>
          </w:p>
        </w:tc>
        <w:tc>
          <w:tcPr>
            <w:tcW w:w="452" w:type="pct"/>
            <w:vAlign w:val="center"/>
          </w:tcPr>
          <w:p>
            <w:pPr>
              <w:widowControl/>
              <w:jc w:val="center"/>
              <w:rPr>
                <w:rFonts w:hint="eastAsia" w:ascii="宋体" w:hAnsi="宋体" w:cs="宋体"/>
                <w:b/>
                <w:bCs/>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17" w:type="pct"/>
            <w:vMerge w:val="continue"/>
            <w:vAlign w:val="center"/>
          </w:tcPr>
          <w:p>
            <w:pPr>
              <w:widowControl/>
              <w:jc w:val="center"/>
              <w:rPr>
                <w:rFonts w:hint="eastAsia" w:ascii="宋体" w:hAnsi="宋体" w:cs="宋体"/>
                <w:kern w:val="0"/>
                <w:sz w:val="22"/>
                <w:szCs w:val="22"/>
              </w:rPr>
            </w:pPr>
          </w:p>
        </w:tc>
        <w:tc>
          <w:tcPr>
            <w:tcW w:w="1517" w:type="pct"/>
            <w:gridSpan w:val="2"/>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仓库货架</w:t>
            </w:r>
          </w:p>
        </w:tc>
        <w:tc>
          <w:tcPr>
            <w:tcW w:w="757" w:type="pct"/>
            <w:vAlign w:val="center"/>
          </w:tcPr>
          <w:p>
            <w:pPr>
              <w:widowControl/>
              <w:jc w:val="center"/>
              <w:rPr>
                <w:rFonts w:hint="eastAsia" w:ascii="宋体" w:hAnsi="宋体" w:cs="宋体"/>
                <w:b/>
                <w:bCs/>
                <w:kern w:val="0"/>
                <w:sz w:val="22"/>
                <w:szCs w:val="22"/>
              </w:rPr>
            </w:pPr>
          </w:p>
        </w:tc>
        <w:tc>
          <w:tcPr>
            <w:tcW w:w="757" w:type="pct"/>
            <w:vAlign w:val="center"/>
          </w:tcPr>
          <w:p>
            <w:pPr>
              <w:widowControl/>
              <w:jc w:val="center"/>
              <w:rPr>
                <w:rFonts w:hint="eastAsia" w:ascii="宋体" w:hAnsi="宋体" w:cs="宋体"/>
                <w:b/>
                <w:bCs/>
                <w:kern w:val="0"/>
                <w:sz w:val="22"/>
                <w:szCs w:val="22"/>
              </w:rPr>
            </w:pPr>
          </w:p>
        </w:tc>
        <w:tc>
          <w:tcPr>
            <w:tcW w:w="452" w:type="pct"/>
            <w:vAlign w:val="center"/>
          </w:tcPr>
          <w:p>
            <w:pPr>
              <w:widowControl/>
              <w:jc w:val="center"/>
              <w:rPr>
                <w:rFonts w:hint="eastAsia" w:ascii="宋体" w:hAnsi="宋体" w:cs="宋体"/>
                <w:b/>
                <w:bCs/>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17" w:type="pct"/>
            <w:vMerge w:val="continue"/>
            <w:vAlign w:val="center"/>
          </w:tcPr>
          <w:p>
            <w:pPr>
              <w:widowControl/>
              <w:jc w:val="center"/>
              <w:rPr>
                <w:rFonts w:hint="eastAsia" w:ascii="宋体" w:hAnsi="宋体" w:cs="宋体"/>
                <w:kern w:val="0"/>
                <w:sz w:val="22"/>
                <w:szCs w:val="22"/>
              </w:rPr>
            </w:pPr>
          </w:p>
        </w:tc>
        <w:tc>
          <w:tcPr>
            <w:tcW w:w="1517" w:type="pct"/>
            <w:gridSpan w:val="2"/>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考勤监控等</w:t>
            </w:r>
          </w:p>
        </w:tc>
        <w:tc>
          <w:tcPr>
            <w:tcW w:w="757" w:type="pct"/>
            <w:vAlign w:val="center"/>
          </w:tcPr>
          <w:p>
            <w:pPr>
              <w:widowControl/>
              <w:jc w:val="center"/>
              <w:rPr>
                <w:rFonts w:hint="eastAsia" w:ascii="宋体" w:hAnsi="宋体" w:cs="宋体"/>
                <w:b/>
                <w:bCs/>
                <w:kern w:val="0"/>
                <w:sz w:val="22"/>
                <w:szCs w:val="22"/>
              </w:rPr>
            </w:pPr>
          </w:p>
        </w:tc>
        <w:tc>
          <w:tcPr>
            <w:tcW w:w="757" w:type="pct"/>
            <w:vAlign w:val="center"/>
          </w:tcPr>
          <w:p>
            <w:pPr>
              <w:widowControl/>
              <w:jc w:val="center"/>
              <w:rPr>
                <w:rFonts w:hint="eastAsia" w:ascii="宋体" w:hAnsi="宋体" w:cs="宋体"/>
                <w:b/>
                <w:bCs/>
                <w:kern w:val="0"/>
                <w:sz w:val="22"/>
                <w:szCs w:val="22"/>
              </w:rPr>
            </w:pPr>
          </w:p>
        </w:tc>
        <w:tc>
          <w:tcPr>
            <w:tcW w:w="452" w:type="pct"/>
            <w:vAlign w:val="center"/>
          </w:tcPr>
          <w:p>
            <w:pPr>
              <w:widowControl/>
              <w:jc w:val="center"/>
              <w:rPr>
                <w:rFonts w:hint="eastAsia" w:ascii="宋体" w:hAnsi="宋体" w:cs="宋体"/>
                <w:b/>
                <w:bCs/>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17" w:type="pct"/>
            <w:vMerge w:val="restart"/>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设备</w:t>
            </w:r>
          </w:p>
        </w:tc>
        <w:tc>
          <w:tcPr>
            <w:tcW w:w="1517" w:type="pct"/>
            <w:gridSpan w:val="2"/>
            <w:vAlign w:val="center"/>
          </w:tcPr>
          <w:p>
            <w:pPr>
              <w:widowControl/>
              <w:jc w:val="center"/>
              <w:rPr>
                <w:rFonts w:hint="eastAsia" w:ascii="宋体" w:hAnsi="宋体" w:cs="宋体"/>
                <w:b/>
                <w:bCs/>
                <w:kern w:val="0"/>
                <w:sz w:val="22"/>
                <w:szCs w:val="22"/>
              </w:rPr>
            </w:pPr>
            <w:r>
              <w:rPr>
                <w:rFonts w:hint="eastAsia" w:ascii="宋体" w:hAnsi="宋体" w:cs="宋体"/>
                <w:kern w:val="0"/>
                <w:sz w:val="22"/>
                <w:szCs w:val="22"/>
              </w:rPr>
              <w:t>信息设备</w:t>
            </w:r>
          </w:p>
        </w:tc>
        <w:tc>
          <w:tcPr>
            <w:tcW w:w="757" w:type="pct"/>
            <w:vAlign w:val="center"/>
          </w:tcPr>
          <w:p>
            <w:pPr>
              <w:widowControl/>
              <w:jc w:val="center"/>
              <w:rPr>
                <w:rFonts w:hint="eastAsia" w:ascii="宋体" w:hAnsi="宋体" w:cs="宋体"/>
                <w:b/>
                <w:bCs/>
                <w:kern w:val="0"/>
                <w:sz w:val="22"/>
                <w:szCs w:val="22"/>
              </w:rPr>
            </w:pPr>
          </w:p>
        </w:tc>
        <w:tc>
          <w:tcPr>
            <w:tcW w:w="757" w:type="pct"/>
            <w:vAlign w:val="center"/>
          </w:tcPr>
          <w:p>
            <w:pPr>
              <w:widowControl/>
              <w:jc w:val="center"/>
              <w:rPr>
                <w:rFonts w:hint="eastAsia" w:ascii="宋体" w:hAnsi="宋体" w:cs="宋体"/>
                <w:b/>
                <w:bCs/>
                <w:kern w:val="0"/>
                <w:sz w:val="22"/>
                <w:szCs w:val="22"/>
              </w:rPr>
            </w:pPr>
          </w:p>
        </w:tc>
        <w:tc>
          <w:tcPr>
            <w:tcW w:w="452" w:type="pct"/>
            <w:vAlign w:val="center"/>
          </w:tcPr>
          <w:p>
            <w:pPr>
              <w:widowControl/>
              <w:jc w:val="center"/>
              <w:rPr>
                <w:rFonts w:hint="eastAsia" w:ascii="宋体" w:hAnsi="宋体" w:cs="宋体"/>
                <w:b/>
                <w:bCs/>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17" w:type="pct"/>
            <w:vMerge w:val="continue"/>
            <w:vAlign w:val="center"/>
          </w:tcPr>
          <w:p>
            <w:pPr>
              <w:widowControl/>
              <w:jc w:val="center"/>
              <w:rPr>
                <w:rFonts w:hint="eastAsia" w:ascii="宋体" w:hAnsi="宋体" w:cs="宋体"/>
                <w:kern w:val="0"/>
                <w:sz w:val="22"/>
                <w:szCs w:val="22"/>
              </w:rPr>
            </w:pPr>
          </w:p>
        </w:tc>
        <w:tc>
          <w:tcPr>
            <w:tcW w:w="1517" w:type="pct"/>
            <w:gridSpan w:val="2"/>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叉车</w:t>
            </w:r>
          </w:p>
        </w:tc>
        <w:tc>
          <w:tcPr>
            <w:tcW w:w="757" w:type="pct"/>
            <w:vAlign w:val="center"/>
          </w:tcPr>
          <w:p>
            <w:pPr>
              <w:widowControl/>
              <w:jc w:val="center"/>
              <w:rPr>
                <w:rFonts w:ascii="Calibri" w:hAnsi="Calibri" w:cs="Calibri"/>
                <w:kern w:val="0"/>
                <w:szCs w:val="21"/>
              </w:rPr>
            </w:pPr>
          </w:p>
        </w:tc>
        <w:tc>
          <w:tcPr>
            <w:tcW w:w="757" w:type="pct"/>
            <w:vAlign w:val="center"/>
          </w:tcPr>
          <w:p>
            <w:pPr>
              <w:widowControl/>
              <w:jc w:val="center"/>
              <w:rPr>
                <w:rFonts w:ascii="Calibri" w:hAnsi="Calibri" w:cs="Calibri"/>
                <w:kern w:val="0"/>
                <w:szCs w:val="21"/>
              </w:rPr>
            </w:pPr>
          </w:p>
        </w:tc>
        <w:tc>
          <w:tcPr>
            <w:tcW w:w="452" w:type="pct"/>
            <w:vAlign w:val="center"/>
          </w:tcPr>
          <w:p>
            <w:pPr>
              <w:widowControl/>
              <w:jc w:val="center"/>
              <w:rPr>
                <w:rFonts w:ascii="Calibri" w:hAnsi="Calibri" w:cs="Calibri"/>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17" w:type="pct"/>
            <w:vMerge w:val="continue"/>
            <w:vAlign w:val="center"/>
          </w:tcPr>
          <w:p>
            <w:pPr>
              <w:widowControl/>
              <w:jc w:val="center"/>
              <w:rPr>
                <w:rFonts w:hint="eastAsia" w:ascii="宋体" w:hAnsi="宋体" w:cs="宋体"/>
                <w:kern w:val="0"/>
                <w:sz w:val="22"/>
                <w:szCs w:val="22"/>
              </w:rPr>
            </w:pPr>
          </w:p>
        </w:tc>
        <w:tc>
          <w:tcPr>
            <w:tcW w:w="1517" w:type="pct"/>
            <w:gridSpan w:val="2"/>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牵引车</w:t>
            </w:r>
          </w:p>
        </w:tc>
        <w:tc>
          <w:tcPr>
            <w:tcW w:w="757" w:type="pct"/>
            <w:vAlign w:val="center"/>
          </w:tcPr>
          <w:p>
            <w:pPr>
              <w:widowControl/>
              <w:jc w:val="center"/>
              <w:rPr>
                <w:rFonts w:ascii="Calibri" w:hAnsi="Calibri" w:cs="Calibri"/>
                <w:kern w:val="0"/>
                <w:szCs w:val="21"/>
              </w:rPr>
            </w:pPr>
          </w:p>
        </w:tc>
        <w:tc>
          <w:tcPr>
            <w:tcW w:w="757" w:type="pct"/>
            <w:vAlign w:val="center"/>
          </w:tcPr>
          <w:p>
            <w:pPr>
              <w:widowControl/>
              <w:jc w:val="center"/>
              <w:rPr>
                <w:rFonts w:ascii="Calibri" w:hAnsi="Calibri" w:cs="Calibri"/>
                <w:kern w:val="0"/>
                <w:szCs w:val="21"/>
              </w:rPr>
            </w:pPr>
          </w:p>
        </w:tc>
        <w:tc>
          <w:tcPr>
            <w:tcW w:w="452" w:type="pct"/>
            <w:vAlign w:val="center"/>
          </w:tcPr>
          <w:p>
            <w:pPr>
              <w:widowControl/>
              <w:jc w:val="center"/>
              <w:rPr>
                <w:rFonts w:ascii="Calibri" w:hAnsi="Calibri" w:cs="Calibri"/>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17" w:type="pct"/>
            <w:vMerge w:val="continue"/>
            <w:vAlign w:val="center"/>
          </w:tcPr>
          <w:p>
            <w:pPr>
              <w:widowControl/>
              <w:jc w:val="center"/>
              <w:rPr>
                <w:rFonts w:hint="eastAsia" w:ascii="宋体" w:hAnsi="宋体" w:cs="宋体"/>
                <w:kern w:val="0"/>
                <w:sz w:val="22"/>
                <w:szCs w:val="22"/>
              </w:rPr>
            </w:pPr>
          </w:p>
        </w:tc>
        <w:tc>
          <w:tcPr>
            <w:tcW w:w="1517" w:type="pct"/>
            <w:gridSpan w:val="2"/>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运输车辆</w:t>
            </w:r>
          </w:p>
        </w:tc>
        <w:tc>
          <w:tcPr>
            <w:tcW w:w="757" w:type="pct"/>
            <w:vAlign w:val="center"/>
          </w:tcPr>
          <w:p>
            <w:pPr>
              <w:widowControl/>
              <w:jc w:val="center"/>
              <w:rPr>
                <w:rFonts w:ascii="Calibri" w:hAnsi="Calibri" w:cs="Calibri"/>
                <w:kern w:val="0"/>
                <w:szCs w:val="21"/>
              </w:rPr>
            </w:pPr>
          </w:p>
        </w:tc>
        <w:tc>
          <w:tcPr>
            <w:tcW w:w="757" w:type="pct"/>
            <w:vAlign w:val="center"/>
          </w:tcPr>
          <w:p>
            <w:pPr>
              <w:widowControl/>
              <w:jc w:val="center"/>
              <w:rPr>
                <w:rFonts w:ascii="Calibri" w:hAnsi="Calibri" w:cs="Calibri"/>
                <w:kern w:val="0"/>
                <w:szCs w:val="21"/>
              </w:rPr>
            </w:pPr>
          </w:p>
        </w:tc>
        <w:tc>
          <w:tcPr>
            <w:tcW w:w="452" w:type="pct"/>
            <w:vAlign w:val="center"/>
          </w:tcPr>
          <w:p>
            <w:pPr>
              <w:widowControl/>
              <w:jc w:val="center"/>
              <w:rPr>
                <w:rFonts w:ascii="Calibri" w:hAnsi="Calibri" w:cs="Calibri"/>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17" w:type="pct"/>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器具</w:t>
            </w:r>
          </w:p>
        </w:tc>
        <w:tc>
          <w:tcPr>
            <w:tcW w:w="1517" w:type="pct"/>
            <w:gridSpan w:val="2"/>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上线器具</w:t>
            </w:r>
          </w:p>
        </w:tc>
        <w:tc>
          <w:tcPr>
            <w:tcW w:w="757" w:type="pct"/>
            <w:vAlign w:val="center"/>
          </w:tcPr>
          <w:p>
            <w:pPr>
              <w:widowControl/>
              <w:jc w:val="center"/>
              <w:rPr>
                <w:rFonts w:ascii="Calibri" w:hAnsi="Calibri" w:cs="Calibri"/>
                <w:kern w:val="0"/>
                <w:szCs w:val="21"/>
              </w:rPr>
            </w:pPr>
          </w:p>
        </w:tc>
        <w:tc>
          <w:tcPr>
            <w:tcW w:w="757" w:type="pct"/>
            <w:vAlign w:val="center"/>
          </w:tcPr>
          <w:p>
            <w:pPr>
              <w:widowControl/>
              <w:jc w:val="center"/>
              <w:rPr>
                <w:rFonts w:ascii="Calibri" w:hAnsi="Calibri" w:cs="Calibri"/>
                <w:kern w:val="0"/>
                <w:szCs w:val="21"/>
              </w:rPr>
            </w:pPr>
          </w:p>
        </w:tc>
        <w:tc>
          <w:tcPr>
            <w:tcW w:w="452" w:type="pct"/>
            <w:vAlign w:val="center"/>
          </w:tcPr>
          <w:p>
            <w:pPr>
              <w:widowControl/>
              <w:jc w:val="center"/>
              <w:rPr>
                <w:rFonts w:ascii="Calibri" w:hAnsi="Calibri" w:cs="Calibri"/>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17" w:type="pct"/>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人员</w:t>
            </w:r>
          </w:p>
        </w:tc>
        <w:tc>
          <w:tcPr>
            <w:tcW w:w="1517" w:type="pct"/>
            <w:gridSpan w:val="2"/>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作业人员</w:t>
            </w:r>
          </w:p>
        </w:tc>
        <w:tc>
          <w:tcPr>
            <w:tcW w:w="757" w:type="pct"/>
            <w:vAlign w:val="center"/>
          </w:tcPr>
          <w:p>
            <w:pPr>
              <w:widowControl/>
              <w:jc w:val="center"/>
              <w:rPr>
                <w:rFonts w:ascii="Calibri" w:hAnsi="Calibri" w:cs="Calibri"/>
                <w:kern w:val="0"/>
                <w:szCs w:val="21"/>
              </w:rPr>
            </w:pPr>
          </w:p>
        </w:tc>
        <w:tc>
          <w:tcPr>
            <w:tcW w:w="757" w:type="pct"/>
            <w:vAlign w:val="center"/>
          </w:tcPr>
          <w:p>
            <w:pPr>
              <w:widowControl/>
              <w:jc w:val="center"/>
              <w:rPr>
                <w:rFonts w:ascii="Calibri" w:hAnsi="Calibri" w:cs="Calibri"/>
                <w:kern w:val="0"/>
                <w:szCs w:val="21"/>
              </w:rPr>
            </w:pPr>
          </w:p>
        </w:tc>
        <w:tc>
          <w:tcPr>
            <w:tcW w:w="452" w:type="pct"/>
            <w:vAlign w:val="center"/>
          </w:tcPr>
          <w:p>
            <w:pPr>
              <w:widowControl/>
              <w:jc w:val="center"/>
              <w:rPr>
                <w:rFonts w:ascii="Calibri" w:hAnsi="Calibri" w:cs="Calibri"/>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17" w:type="pct"/>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能耗</w:t>
            </w:r>
          </w:p>
        </w:tc>
        <w:tc>
          <w:tcPr>
            <w:tcW w:w="1517" w:type="pct"/>
            <w:gridSpan w:val="2"/>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水、电、油、气等，可分项</w:t>
            </w:r>
          </w:p>
        </w:tc>
        <w:tc>
          <w:tcPr>
            <w:tcW w:w="757" w:type="pct"/>
            <w:vAlign w:val="center"/>
          </w:tcPr>
          <w:p>
            <w:pPr>
              <w:widowControl/>
              <w:jc w:val="center"/>
              <w:rPr>
                <w:rFonts w:ascii="Calibri" w:hAnsi="Calibri" w:cs="Calibri"/>
                <w:kern w:val="0"/>
                <w:szCs w:val="21"/>
              </w:rPr>
            </w:pPr>
          </w:p>
        </w:tc>
        <w:tc>
          <w:tcPr>
            <w:tcW w:w="757" w:type="pct"/>
            <w:vAlign w:val="center"/>
          </w:tcPr>
          <w:p>
            <w:pPr>
              <w:widowControl/>
              <w:jc w:val="center"/>
              <w:rPr>
                <w:rFonts w:ascii="Calibri" w:hAnsi="Calibri" w:cs="Calibri"/>
                <w:kern w:val="0"/>
                <w:szCs w:val="21"/>
              </w:rPr>
            </w:pPr>
          </w:p>
        </w:tc>
        <w:tc>
          <w:tcPr>
            <w:tcW w:w="452" w:type="pct"/>
            <w:vAlign w:val="center"/>
          </w:tcPr>
          <w:p>
            <w:pPr>
              <w:widowControl/>
              <w:jc w:val="center"/>
              <w:rPr>
                <w:rFonts w:ascii="Calibri" w:hAnsi="Calibri" w:cs="Calibri"/>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17" w:type="pct"/>
            <w:vMerge w:val="restart"/>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其他</w:t>
            </w:r>
          </w:p>
        </w:tc>
        <w:tc>
          <w:tcPr>
            <w:tcW w:w="1517" w:type="pct"/>
            <w:gridSpan w:val="2"/>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管理费用</w:t>
            </w:r>
          </w:p>
        </w:tc>
        <w:tc>
          <w:tcPr>
            <w:tcW w:w="757" w:type="pct"/>
            <w:vAlign w:val="center"/>
          </w:tcPr>
          <w:p>
            <w:pPr>
              <w:widowControl/>
              <w:jc w:val="center"/>
              <w:rPr>
                <w:rFonts w:ascii="Calibri" w:hAnsi="Calibri" w:cs="Calibri"/>
                <w:kern w:val="0"/>
                <w:szCs w:val="21"/>
              </w:rPr>
            </w:pPr>
          </w:p>
        </w:tc>
        <w:tc>
          <w:tcPr>
            <w:tcW w:w="757" w:type="pct"/>
            <w:vAlign w:val="center"/>
          </w:tcPr>
          <w:p>
            <w:pPr>
              <w:widowControl/>
              <w:jc w:val="center"/>
              <w:rPr>
                <w:rFonts w:ascii="Calibri" w:hAnsi="Calibri" w:cs="Calibri"/>
                <w:kern w:val="0"/>
                <w:szCs w:val="21"/>
              </w:rPr>
            </w:pPr>
          </w:p>
        </w:tc>
        <w:tc>
          <w:tcPr>
            <w:tcW w:w="452" w:type="pct"/>
            <w:vAlign w:val="center"/>
          </w:tcPr>
          <w:p>
            <w:pPr>
              <w:widowControl/>
              <w:jc w:val="center"/>
              <w:rPr>
                <w:rFonts w:ascii="Calibri" w:hAnsi="Calibri" w:cs="Calibri"/>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17" w:type="pct"/>
            <w:vMerge w:val="continue"/>
            <w:vAlign w:val="center"/>
          </w:tcPr>
          <w:p>
            <w:pPr>
              <w:widowControl/>
              <w:jc w:val="center"/>
              <w:rPr>
                <w:rFonts w:hint="eastAsia" w:ascii="宋体" w:hAnsi="宋体" w:cs="宋体"/>
                <w:kern w:val="0"/>
                <w:sz w:val="22"/>
                <w:szCs w:val="22"/>
              </w:rPr>
            </w:pPr>
          </w:p>
        </w:tc>
        <w:tc>
          <w:tcPr>
            <w:tcW w:w="1517" w:type="pct"/>
            <w:gridSpan w:val="2"/>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利润</w:t>
            </w:r>
          </w:p>
        </w:tc>
        <w:tc>
          <w:tcPr>
            <w:tcW w:w="757" w:type="pct"/>
            <w:vAlign w:val="center"/>
          </w:tcPr>
          <w:p>
            <w:pPr>
              <w:widowControl/>
              <w:jc w:val="center"/>
              <w:rPr>
                <w:rFonts w:ascii="Calibri" w:hAnsi="Calibri" w:cs="Calibri"/>
                <w:kern w:val="0"/>
                <w:szCs w:val="21"/>
              </w:rPr>
            </w:pPr>
          </w:p>
        </w:tc>
        <w:tc>
          <w:tcPr>
            <w:tcW w:w="757" w:type="pct"/>
            <w:vAlign w:val="center"/>
          </w:tcPr>
          <w:p>
            <w:pPr>
              <w:widowControl/>
              <w:jc w:val="center"/>
              <w:rPr>
                <w:rFonts w:ascii="Calibri" w:hAnsi="Calibri" w:cs="Calibri"/>
                <w:kern w:val="0"/>
                <w:szCs w:val="21"/>
              </w:rPr>
            </w:pPr>
          </w:p>
        </w:tc>
        <w:tc>
          <w:tcPr>
            <w:tcW w:w="452" w:type="pct"/>
            <w:vAlign w:val="center"/>
          </w:tcPr>
          <w:p>
            <w:pPr>
              <w:widowControl/>
              <w:jc w:val="center"/>
              <w:rPr>
                <w:rFonts w:ascii="Calibri" w:hAnsi="Calibri" w:cs="Calibri"/>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17" w:type="pct"/>
            <w:vMerge w:val="continue"/>
            <w:vAlign w:val="center"/>
          </w:tcPr>
          <w:p>
            <w:pPr>
              <w:widowControl/>
              <w:jc w:val="center"/>
              <w:rPr>
                <w:rFonts w:hint="eastAsia" w:ascii="宋体" w:hAnsi="宋体" w:cs="宋体"/>
                <w:kern w:val="0"/>
                <w:sz w:val="22"/>
                <w:szCs w:val="22"/>
              </w:rPr>
            </w:pPr>
          </w:p>
        </w:tc>
        <w:tc>
          <w:tcPr>
            <w:tcW w:w="1517" w:type="pct"/>
            <w:gridSpan w:val="2"/>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其他…</w:t>
            </w:r>
          </w:p>
        </w:tc>
        <w:tc>
          <w:tcPr>
            <w:tcW w:w="757" w:type="pct"/>
            <w:vAlign w:val="center"/>
          </w:tcPr>
          <w:p>
            <w:pPr>
              <w:widowControl/>
              <w:jc w:val="center"/>
              <w:rPr>
                <w:rFonts w:ascii="Calibri" w:hAnsi="Calibri" w:cs="Calibri"/>
                <w:kern w:val="0"/>
                <w:szCs w:val="21"/>
              </w:rPr>
            </w:pPr>
          </w:p>
        </w:tc>
        <w:tc>
          <w:tcPr>
            <w:tcW w:w="757" w:type="pct"/>
            <w:vAlign w:val="center"/>
          </w:tcPr>
          <w:p>
            <w:pPr>
              <w:widowControl/>
              <w:jc w:val="center"/>
              <w:rPr>
                <w:rFonts w:ascii="Calibri" w:hAnsi="Calibri" w:cs="Calibri"/>
                <w:kern w:val="0"/>
                <w:szCs w:val="21"/>
              </w:rPr>
            </w:pPr>
          </w:p>
        </w:tc>
        <w:tc>
          <w:tcPr>
            <w:tcW w:w="452" w:type="pct"/>
            <w:vAlign w:val="center"/>
          </w:tcPr>
          <w:p>
            <w:pPr>
              <w:widowControl/>
              <w:jc w:val="center"/>
              <w:rPr>
                <w:rFonts w:ascii="Calibri" w:hAnsi="Calibri" w:cs="Calibri"/>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17" w:type="pct"/>
            <w:vMerge w:val="continue"/>
            <w:vAlign w:val="center"/>
          </w:tcPr>
          <w:p>
            <w:pPr>
              <w:widowControl/>
              <w:jc w:val="center"/>
              <w:rPr>
                <w:rFonts w:hint="eastAsia" w:ascii="宋体" w:hAnsi="宋体" w:cs="宋体"/>
                <w:kern w:val="0"/>
                <w:sz w:val="22"/>
                <w:szCs w:val="22"/>
              </w:rPr>
            </w:pPr>
          </w:p>
        </w:tc>
        <w:tc>
          <w:tcPr>
            <w:tcW w:w="1517" w:type="pct"/>
            <w:gridSpan w:val="2"/>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合计金额（不含税）</w:t>
            </w:r>
          </w:p>
        </w:tc>
        <w:tc>
          <w:tcPr>
            <w:tcW w:w="757" w:type="pct"/>
            <w:vAlign w:val="center"/>
          </w:tcPr>
          <w:p>
            <w:pPr>
              <w:widowControl/>
              <w:jc w:val="center"/>
              <w:rPr>
                <w:rFonts w:ascii="Calibri" w:hAnsi="Calibri" w:cs="Calibri"/>
                <w:kern w:val="0"/>
                <w:szCs w:val="21"/>
              </w:rPr>
            </w:pPr>
          </w:p>
        </w:tc>
        <w:tc>
          <w:tcPr>
            <w:tcW w:w="757" w:type="pct"/>
            <w:vAlign w:val="center"/>
          </w:tcPr>
          <w:p>
            <w:pPr>
              <w:widowControl/>
              <w:jc w:val="center"/>
              <w:rPr>
                <w:rFonts w:ascii="Calibri" w:hAnsi="Calibri" w:cs="Calibri"/>
                <w:kern w:val="0"/>
                <w:szCs w:val="21"/>
              </w:rPr>
            </w:pPr>
          </w:p>
        </w:tc>
        <w:tc>
          <w:tcPr>
            <w:tcW w:w="452" w:type="pct"/>
            <w:vAlign w:val="center"/>
          </w:tcPr>
          <w:p>
            <w:pPr>
              <w:widowControl/>
              <w:jc w:val="center"/>
              <w:rPr>
                <w:rFonts w:ascii="Calibri" w:hAnsi="Calibri" w:cs="Calibri"/>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17" w:type="pct"/>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费率</w:t>
            </w:r>
          </w:p>
        </w:tc>
        <w:tc>
          <w:tcPr>
            <w:tcW w:w="757" w:type="pct"/>
            <w:vAlign w:val="center"/>
          </w:tcPr>
          <w:p>
            <w:pPr>
              <w:widowControl/>
              <w:jc w:val="center"/>
              <w:rPr>
                <w:rFonts w:hint="eastAsia" w:ascii="宋体" w:hAnsi="宋体" w:cs="宋体"/>
                <w:kern w:val="0"/>
                <w:sz w:val="22"/>
                <w:szCs w:val="22"/>
              </w:rPr>
            </w:pPr>
          </w:p>
        </w:tc>
        <w:tc>
          <w:tcPr>
            <w:tcW w:w="2274" w:type="pct"/>
            <w:gridSpan w:val="3"/>
            <w:vAlign w:val="center"/>
          </w:tcPr>
          <w:p>
            <w:pPr>
              <w:widowControl/>
              <w:jc w:val="center"/>
              <w:rPr>
                <w:rFonts w:ascii="Calibri" w:hAnsi="Calibri" w:cs="Calibri"/>
                <w:kern w:val="0"/>
                <w:szCs w:val="21"/>
              </w:rPr>
            </w:pPr>
            <w:r>
              <w:rPr>
                <w:rFonts w:hint="eastAsia" w:ascii="宋体" w:hAnsi="宋体" w:cs="宋体"/>
                <w:kern w:val="0"/>
                <w:sz w:val="22"/>
                <w:szCs w:val="22"/>
              </w:rPr>
              <w:t>报价费率</w:t>
            </w:r>
          </w:p>
        </w:tc>
        <w:tc>
          <w:tcPr>
            <w:tcW w:w="452" w:type="pct"/>
            <w:vAlign w:val="center"/>
          </w:tcPr>
          <w:p>
            <w:pPr>
              <w:widowControl/>
              <w:jc w:val="center"/>
              <w:rPr>
                <w:rFonts w:ascii="Calibri" w:hAnsi="Calibri" w:cs="Calibri"/>
                <w:kern w:val="0"/>
                <w:szCs w:val="21"/>
              </w:rPr>
            </w:pPr>
          </w:p>
        </w:tc>
      </w:tr>
    </w:tbl>
    <w:p>
      <w:pPr>
        <w:spacing w:line="660" w:lineRule="exact"/>
        <w:rPr>
          <w:rFonts w:hint="eastAsia" w:ascii="宋体" w:hAnsi="宋体" w:cs="宋体"/>
          <w:kern w:val="0"/>
          <w:sz w:val="22"/>
          <w:szCs w:val="22"/>
        </w:rPr>
      </w:pPr>
      <w:r>
        <w:rPr>
          <w:rFonts w:hint="eastAsia" w:ascii="宋体" w:hAnsi="宋体" w:cs="宋体"/>
          <w:kern w:val="0"/>
          <w:sz w:val="22"/>
          <w:szCs w:val="22"/>
        </w:rPr>
        <w:t>注：1.该表可根据实际情况做适当调整或增加附件说明，该表计价应与附件《开标一览表》中报价相符。</w:t>
      </w:r>
    </w:p>
    <w:p>
      <w:pPr>
        <w:spacing w:line="660" w:lineRule="exact"/>
        <w:rPr>
          <w:rFonts w:hint="eastAsia" w:ascii="宋体" w:hAnsi="宋体" w:cs="宋体"/>
          <w:kern w:val="0"/>
          <w:sz w:val="22"/>
          <w:szCs w:val="22"/>
        </w:rPr>
      </w:pPr>
      <w:r>
        <w:rPr>
          <w:rFonts w:hint="eastAsia" w:ascii="宋体" w:hAnsi="宋体" w:cs="宋体"/>
          <w:kern w:val="0"/>
          <w:sz w:val="22"/>
          <w:szCs w:val="22"/>
        </w:rPr>
        <w:t xml:space="preserve">   2.需提供详细的人员编制，作业内容；需提供设备明细表，包括但不限于设备数量、品牌、规格型号等。</w:t>
      </w:r>
    </w:p>
    <w:p>
      <w:pPr>
        <w:spacing w:line="660" w:lineRule="exact"/>
        <w:rPr>
          <w:rFonts w:eastAsia="黑体"/>
          <w:b/>
          <w:bCs/>
          <w:sz w:val="28"/>
        </w:rPr>
      </w:pPr>
    </w:p>
    <w:p>
      <w:pPr>
        <w:spacing w:line="660" w:lineRule="exact"/>
        <w:rPr>
          <w:rFonts w:eastAsia="黑体"/>
          <w:b/>
          <w:bCs/>
          <w:sz w:val="28"/>
        </w:rPr>
      </w:pPr>
    </w:p>
    <w:p>
      <w:pPr>
        <w:spacing w:line="660" w:lineRule="exact"/>
        <w:rPr>
          <w:rFonts w:eastAsia="黑体"/>
          <w:b/>
          <w:bCs/>
          <w:sz w:val="28"/>
        </w:rPr>
      </w:pPr>
    </w:p>
    <w:p>
      <w:pPr>
        <w:spacing w:line="660" w:lineRule="exact"/>
        <w:rPr>
          <w:rFonts w:eastAsia="黑体"/>
          <w:b/>
          <w:bCs/>
          <w:sz w:val="28"/>
        </w:rPr>
      </w:pPr>
    </w:p>
    <w:p>
      <w:pPr>
        <w:spacing w:line="660" w:lineRule="exact"/>
        <w:rPr>
          <w:rFonts w:eastAsia="黑体"/>
          <w:b/>
          <w:bCs/>
          <w:sz w:val="28"/>
        </w:rPr>
      </w:pPr>
      <w:r>
        <w:rPr>
          <w:rFonts w:hint="eastAsia" w:eastAsia="黑体"/>
          <w:b/>
          <w:bCs/>
          <w:sz w:val="28"/>
        </w:rPr>
        <w:t>格式5</w:t>
      </w:r>
    </w:p>
    <w:p>
      <w:pPr>
        <w:pStyle w:val="4"/>
        <w:spacing w:line="440" w:lineRule="exact"/>
        <w:jc w:val="center"/>
        <w:rPr>
          <w:sz w:val="36"/>
          <w:szCs w:val="36"/>
        </w:rPr>
      </w:pPr>
      <w:r>
        <w:rPr>
          <w:rFonts w:hint="eastAsia"/>
          <w:sz w:val="36"/>
          <w:szCs w:val="36"/>
        </w:rPr>
        <w:t>投标承诺函</w:t>
      </w:r>
    </w:p>
    <w:p>
      <w:pPr>
        <w:rPr>
          <w:rFonts w:hint="eastAsia" w:ascii="宋体" w:hAnsi="宋体"/>
        </w:rPr>
      </w:pPr>
      <w:r>
        <w:rPr>
          <w:rFonts w:hint="eastAsia" w:ascii="宋体" w:hAnsi="宋体"/>
        </w:rPr>
        <w:t>项目名称：(XX项目)</w:t>
      </w:r>
    </w:p>
    <w:p>
      <w:pPr>
        <w:rPr>
          <w:rFonts w:hint="eastAsia" w:ascii="宋体" w:hAnsi="宋体"/>
        </w:rPr>
      </w:pPr>
    </w:p>
    <w:p>
      <w:pPr>
        <w:rPr>
          <w:rFonts w:hint="eastAsia" w:ascii="宋体" w:hAnsi="宋体"/>
          <w:szCs w:val="21"/>
        </w:rPr>
      </w:pPr>
      <w:r>
        <w:rPr>
          <w:rFonts w:hint="eastAsia" w:ascii="宋体" w:hAnsi="宋体"/>
          <w:szCs w:val="21"/>
        </w:rPr>
        <w:t>日期：  年   月   日</w:t>
      </w:r>
    </w:p>
    <w:p>
      <w:pPr>
        <w:jc w:val="center"/>
        <w:rPr>
          <w:rFonts w:eastAsia="黑体"/>
          <w:b/>
          <w:bCs/>
          <w:sz w:val="28"/>
        </w:rPr>
      </w:pPr>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060" w:type="dxa"/>
          </w:tcPr>
          <w:p>
            <w:pPr>
              <w:rPr>
                <w:rFonts w:hint="eastAsia" w:ascii="仿宋_GB2312" w:hAnsi="宋体" w:eastAsia="仿宋_GB2312"/>
                <w:sz w:val="24"/>
              </w:rPr>
            </w:pPr>
            <w:r>
              <w:rPr>
                <w:rFonts w:hint="eastAsia" w:ascii="仿宋_GB2312" w:hAnsi="宋体" w:eastAsia="仿宋_GB2312"/>
                <w:sz w:val="24"/>
              </w:rPr>
              <w:t>投标人承诺：</w:t>
            </w:r>
          </w:p>
          <w:p>
            <w:pPr>
              <w:pStyle w:val="11"/>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pPr>
              <w:rPr>
                <w:rFonts w:hint="eastAsia" w:ascii="仿宋_GB2312" w:hAnsi="宋体" w:eastAsia="仿宋_GB2312"/>
                <w:sz w:val="24"/>
              </w:rPr>
            </w:pPr>
          </w:p>
        </w:tc>
      </w:tr>
    </w:tbl>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p>
    <w:p>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pPr>
        <w:rPr>
          <w:rFonts w:hint="eastAsia" w:ascii="宋体" w:hAnsi="宋体"/>
          <w:sz w:val="24"/>
        </w:rPr>
      </w:pPr>
    </w:p>
    <w:p>
      <w:pPr>
        <w:rPr>
          <w:rFonts w:hint="eastAsia" w:ascii="宋体" w:hAnsi="宋体"/>
          <w:sz w:val="24"/>
        </w:rPr>
      </w:pPr>
    </w:p>
    <w:p>
      <w:pPr>
        <w:rPr>
          <w:rFonts w:eastAsia="黑体"/>
          <w:b/>
          <w:bCs/>
          <w:sz w:val="28"/>
        </w:rPr>
      </w:pPr>
    </w:p>
    <w:p>
      <w:pPr>
        <w:rPr>
          <w:rFonts w:eastAsia="黑体"/>
          <w:b/>
          <w:bCs/>
          <w:sz w:val="28"/>
        </w:rPr>
      </w:pPr>
    </w:p>
    <w:p>
      <w:pPr>
        <w:ind w:firstLine="1"/>
        <w:rPr>
          <w:rFonts w:eastAsia="黑体"/>
          <w:b/>
          <w:bCs/>
          <w:sz w:val="28"/>
        </w:rPr>
      </w:pPr>
    </w:p>
    <w:p>
      <w:pPr>
        <w:ind w:firstLine="1"/>
        <w:rPr>
          <w:rFonts w:eastAsia="黑体"/>
          <w:b/>
          <w:bCs/>
          <w:sz w:val="28"/>
        </w:rPr>
      </w:pPr>
    </w:p>
    <w:p>
      <w:pPr>
        <w:ind w:firstLine="1"/>
        <w:rPr>
          <w:rFonts w:eastAsia="黑体"/>
          <w:b/>
          <w:bCs/>
          <w:sz w:val="28"/>
        </w:rPr>
      </w:pPr>
      <w:r>
        <w:rPr>
          <w:rFonts w:eastAsia="黑体"/>
          <w:b/>
          <w:bCs/>
          <w:sz w:val="28"/>
        </w:rPr>
        <w:br w:type="page"/>
      </w:r>
      <w:r>
        <w:rPr>
          <w:rFonts w:hint="eastAsia" w:eastAsia="黑体"/>
          <w:b/>
          <w:bCs/>
          <w:sz w:val="28"/>
        </w:rPr>
        <w:t>格式6</w:t>
      </w:r>
    </w:p>
    <w:p>
      <w:pPr>
        <w:rPr>
          <w:rFonts w:hint="eastAsia" w:ascii="宋体" w:hAnsi="宋体"/>
        </w:rPr>
      </w:pPr>
      <w:r>
        <w:rPr>
          <w:rFonts w:hint="eastAsia" w:ascii="宋体" w:hAnsi="宋体"/>
        </w:rPr>
        <w:t>项目名称：(XX项目)</w:t>
      </w:r>
    </w:p>
    <w:p>
      <w:pPr>
        <w:rPr>
          <w:rFonts w:hint="eastAsia" w:ascii="宋体" w:hAnsi="宋体"/>
        </w:rPr>
      </w:pPr>
    </w:p>
    <w:p>
      <w:pPr>
        <w:rPr>
          <w:rFonts w:hint="eastAsia" w:ascii="宋体" w:hAnsi="宋体"/>
          <w:szCs w:val="21"/>
        </w:rPr>
      </w:pPr>
      <w:r>
        <w:rPr>
          <w:rFonts w:hint="eastAsia" w:ascii="宋体" w:hAnsi="宋体"/>
          <w:szCs w:val="21"/>
        </w:rPr>
        <w:t>日期：  年   月   日</w:t>
      </w:r>
    </w:p>
    <w:p>
      <w:pPr>
        <w:jc w:val="center"/>
        <w:rPr>
          <w:rFonts w:eastAsia="黑体"/>
          <w:b/>
          <w:bCs/>
          <w:sz w:val="28"/>
        </w:rPr>
      </w:pPr>
    </w:p>
    <w:p>
      <w:pPr>
        <w:pStyle w:val="4"/>
        <w:spacing w:line="440" w:lineRule="exact"/>
        <w:jc w:val="center"/>
        <w:rPr>
          <w:sz w:val="36"/>
          <w:szCs w:val="36"/>
        </w:rPr>
      </w:pPr>
      <w:r>
        <w:rPr>
          <w:rFonts w:hint="eastAsia"/>
          <w:sz w:val="36"/>
          <w:szCs w:val="36"/>
        </w:rPr>
        <w:t>相关条款偏离表（含商务偏离及技术偏离）</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hint="eastAsia" w:ascii="宋体" w:hAnsi="宋体"/>
                <w:sz w:val="24"/>
              </w:rPr>
            </w:pPr>
            <w:r>
              <w:rPr>
                <w:rFonts w:hint="eastAsia" w:ascii="宋体" w:hAnsi="宋体"/>
                <w:sz w:val="24"/>
              </w:rPr>
              <w:t>序号</w:t>
            </w:r>
          </w:p>
        </w:tc>
        <w:tc>
          <w:tcPr>
            <w:tcW w:w="4140" w:type="dxa"/>
            <w:gridSpan w:val="2"/>
            <w:vAlign w:val="center"/>
          </w:tcPr>
          <w:p>
            <w:pPr>
              <w:jc w:val="center"/>
              <w:rPr>
                <w:rFonts w:hint="eastAsia" w:ascii="宋体" w:hAnsi="宋体"/>
                <w:sz w:val="24"/>
              </w:rPr>
            </w:pPr>
            <w:r>
              <w:rPr>
                <w:rFonts w:hint="eastAsia" w:ascii="宋体" w:hAnsi="宋体"/>
                <w:sz w:val="24"/>
              </w:rPr>
              <w:t>招标文件条款</w:t>
            </w:r>
          </w:p>
        </w:tc>
        <w:tc>
          <w:tcPr>
            <w:tcW w:w="3554" w:type="dxa"/>
            <w:vMerge w:val="restart"/>
            <w:vAlign w:val="center"/>
          </w:tcPr>
          <w:p>
            <w:pPr>
              <w:jc w:val="center"/>
              <w:rPr>
                <w:rFonts w:hint="eastAsia" w:ascii="宋体" w:hAnsi="宋体"/>
                <w:sz w:val="24"/>
              </w:rPr>
            </w:pPr>
            <w:r>
              <w:rPr>
                <w:rFonts w:hint="eastAsia" w:ascii="宋体" w:hAnsi="宋体"/>
                <w:sz w:val="24"/>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hint="eastAsia" w:ascii="宋体" w:hAnsi="宋体"/>
                <w:sz w:val="24"/>
              </w:rPr>
            </w:pPr>
          </w:p>
        </w:tc>
        <w:tc>
          <w:tcPr>
            <w:tcW w:w="1080" w:type="dxa"/>
            <w:vAlign w:val="center"/>
          </w:tcPr>
          <w:p>
            <w:pPr>
              <w:jc w:val="center"/>
              <w:rPr>
                <w:rFonts w:hint="eastAsia" w:ascii="宋体" w:hAnsi="宋体"/>
                <w:sz w:val="24"/>
              </w:rPr>
            </w:pPr>
            <w:r>
              <w:rPr>
                <w:rFonts w:hint="eastAsia" w:ascii="宋体" w:hAnsi="宋体"/>
                <w:sz w:val="24"/>
              </w:rPr>
              <w:t>条款号</w:t>
            </w:r>
          </w:p>
        </w:tc>
        <w:tc>
          <w:tcPr>
            <w:tcW w:w="3060" w:type="dxa"/>
            <w:vAlign w:val="center"/>
          </w:tcPr>
          <w:p>
            <w:pPr>
              <w:jc w:val="center"/>
              <w:rPr>
                <w:rFonts w:hint="eastAsia" w:ascii="宋体" w:hAnsi="宋体"/>
                <w:sz w:val="24"/>
              </w:rPr>
            </w:pPr>
            <w:r>
              <w:rPr>
                <w:rFonts w:hint="eastAsia" w:ascii="宋体" w:hAnsi="宋体"/>
                <w:sz w:val="24"/>
              </w:rPr>
              <w:t>条款要求</w:t>
            </w:r>
          </w:p>
        </w:tc>
        <w:tc>
          <w:tcPr>
            <w:tcW w:w="3554" w:type="dxa"/>
            <w:vMerge w:val="continue"/>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hint="eastAsia" w:ascii="宋体" w:hAnsi="宋体"/>
                <w:sz w:val="24"/>
              </w:rPr>
            </w:pPr>
            <w:r>
              <w:rPr>
                <w:rFonts w:hint="eastAsia" w:ascii="宋体" w:hAnsi="宋体"/>
                <w:sz w:val="24"/>
              </w:rPr>
              <w:t>1</w:t>
            </w:r>
          </w:p>
        </w:tc>
        <w:tc>
          <w:tcPr>
            <w:tcW w:w="1080" w:type="dxa"/>
            <w:vAlign w:val="center"/>
          </w:tcPr>
          <w:p>
            <w:pPr>
              <w:rPr>
                <w:rFonts w:hint="eastAsia" w:ascii="宋体" w:hAnsi="宋体"/>
                <w:sz w:val="24"/>
              </w:rPr>
            </w:pPr>
          </w:p>
        </w:tc>
        <w:tc>
          <w:tcPr>
            <w:tcW w:w="3060" w:type="dxa"/>
            <w:vAlign w:val="center"/>
          </w:tcPr>
          <w:p>
            <w:pPr>
              <w:rPr>
                <w:rFonts w:hint="eastAsia" w:ascii="宋体" w:hAnsi="宋体"/>
                <w:sz w:val="24"/>
              </w:rPr>
            </w:pPr>
          </w:p>
        </w:tc>
        <w:tc>
          <w:tcPr>
            <w:tcW w:w="3554" w:type="dxa"/>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hint="eastAsia" w:ascii="宋体" w:hAnsi="宋体"/>
                <w:sz w:val="24"/>
              </w:rPr>
            </w:pPr>
            <w:r>
              <w:rPr>
                <w:rFonts w:hint="eastAsia" w:ascii="宋体" w:hAnsi="宋体"/>
                <w:sz w:val="24"/>
              </w:rPr>
              <w:t>2</w:t>
            </w:r>
          </w:p>
        </w:tc>
        <w:tc>
          <w:tcPr>
            <w:tcW w:w="1080" w:type="dxa"/>
            <w:vAlign w:val="center"/>
          </w:tcPr>
          <w:p>
            <w:pPr>
              <w:rPr>
                <w:rFonts w:hint="eastAsia" w:ascii="宋体" w:hAnsi="宋体"/>
                <w:sz w:val="24"/>
              </w:rPr>
            </w:pPr>
          </w:p>
        </w:tc>
        <w:tc>
          <w:tcPr>
            <w:tcW w:w="3060" w:type="dxa"/>
            <w:vAlign w:val="center"/>
          </w:tcPr>
          <w:p>
            <w:pPr>
              <w:rPr>
                <w:rFonts w:hint="eastAsia" w:ascii="宋体" w:hAnsi="宋体"/>
                <w:sz w:val="24"/>
              </w:rPr>
            </w:pPr>
          </w:p>
        </w:tc>
        <w:tc>
          <w:tcPr>
            <w:tcW w:w="3554" w:type="dxa"/>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hint="eastAsia" w:ascii="宋体" w:hAnsi="宋体"/>
                <w:sz w:val="24"/>
              </w:rPr>
            </w:pPr>
            <w:r>
              <w:rPr>
                <w:rFonts w:hint="eastAsia" w:ascii="宋体" w:hAnsi="宋体"/>
                <w:sz w:val="24"/>
              </w:rPr>
              <w:t>3</w:t>
            </w:r>
          </w:p>
        </w:tc>
        <w:tc>
          <w:tcPr>
            <w:tcW w:w="1080" w:type="dxa"/>
            <w:vAlign w:val="center"/>
          </w:tcPr>
          <w:p>
            <w:pPr>
              <w:rPr>
                <w:rFonts w:hint="eastAsia" w:ascii="宋体" w:hAnsi="宋体"/>
                <w:sz w:val="24"/>
              </w:rPr>
            </w:pPr>
          </w:p>
        </w:tc>
        <w:tc>
          <w:tcPr>
            <w:tcW w:w="3060" w:type="dxa"/>
            <w:vAlign w:val="center"/>
          </w:tcPr>
          <w:p>
            <w:pPr>
              <w:rPr>
                <w:rFonts w:hint="eastAsia" w:ascii="宋体" w:hAnsi="宋体"/>
                <w:sz w:val="24"/>
              </w:rPr>
            </w:pPr>
          </w:p>
        </w:tc>
        <w:tc>
          <w:tcPr>
            <w:tcW w:w="3554" w:type="dxa"/>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hint="eastAsia" w:ascii="宋体" w:hAnsi="宋体"/>
                <w:sz w:val="24"/>
              </w:rPr>
            </w:pPr>
            <w:r>
              <w:rPr>
                <w:rFonts w:hint="eastAsia" w:ascii="宋体" w:hAnsi="宋体"/>
                <w:sz w:val="24"/>
              </w:rPr>
              <w:t>4</w:t>
            </w:r>
          </w:p>
        </w:tc>
        <w:tc>
          <w:tcPr>
            <w:tcW w:w="1080" w:type="dxa"/>
            <w:vAlign w:val="center"/>
          </w:tcPr>
          <w:p>
            <w:pPr>
              <w:rPr>
                <w:rFonts w:hint="eastAsia" w:ascii="宋体" w:hAnsi="宋体"/>
                <w:sz w:val="24"/>
              </w:rPr>
            </w:pPr>
          </w:p>
        </w:tc>
        <w:tc>
          <w:tcPr>
            <w:tcW w:w="3060" w:type="dxa"/>
            <w:vAlign w:val="center"/>
          </w:tcPr>
          <w:p>
            <w:pPr>
              <w:rPr>
                <w:rFonts w:hint="eastAsia" w:ascii="宋体" w:hAnsi="宋体"/>
                <w:sz w:val="24"/>
              </w:rPr>
            </w:pPr>
          </w:p>
        </w:tc>
        <w:tc>
          <w:tcPr>
            <w:tcW w:w="3554" w:type="dxa"/>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hint="eastAsia" w:ascii="宋体" w:hAnsi="宋体"/>
                <w:sz w:val="24"/>
              </w:rPr>
            </w:pPr>
            <w:r>
              <w:rPr>
                <w:rFonts w:hint="eastAsia" w:ascii="宋体" w:hAnsi="宋体"/>
                <w:sz w:val="24"/>
              </w:rPr>
              <w:t>5</w:t>
            </w:r>
          </w:p>
        </w:tc>
        <w:tc>
          <w:tcPr>
            <w:tcW w:w="1080" w:type="dxa"/>
            <w:vAlign w:val="center"/>
          </w:tcPr>
          <w:p>
            <w:pPr>
              <w:rPr>
                <w:rFonts w:hint="eastAsia" w:ascii="宋体" w:hAnsi="宋体"/>
                <w:sz w:val="24"/>
              </w:rPr>
            </w:pPr>
          </w:p>
        </w:tc>
        <w:tc>
          <w:tcPr>
            <w:tcW w:w="3060" w:type="dxa"/>
            <w:vAlign w:val="center"/>
          </w:tcPr>
          <w:p>
            <w:pPr>
              <w:rPr>
                <w:rFonts w:hint="eastAsia" w:ascii="宋体" w:hAnsi="宋体"/>
                <w:sz w:val="24"/>
              </w:rPr>
            </w:pPr>
          </w:p>
        </w:tc>
        <w:tc>
          <w:tcPr>
            <w:tcW w:w="3554" w:type="dxa"/>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hint="eastAsia" w:ascii="宋体" w:hAnsi="宋体"/>
                <w:sz w:val="24"/>
              </w:rPr>
            </w:pPr>
            <w:r>
              <w:rPr>
                <w:rFonts w:hint="eastAsia" w:ascii="宋体" w:hAnsi="宋体"/>
                <w:sz w:val="24"/>
              </w:rPr>
              <w:t>6</w:t>
            </w:r>
          </w:p>
        </w:tc>
        <w:tc>
          <w:tcPr>
            <w:tcW w:w="1080" w:type="dxa"/>
            <w:vAlign w:val="center"/>
          </w:tcPr>
          <w:p>
            <w:pPr>
              <w:rPr>
                <w:rFonts w:hint="eastAsia" w:ascii="宋体" w:hAnsi="宋体"/>
                <w:sz w:val="24"/>
              </w:rPr>
            </w:pPr>
          </w:p>
        </w:tc>
        <w:tc>
          <w:tcPr>
            <w:tcW w:w="3060" w:type="dxa"/>
            <w:vAlign w:val="center"/>
          </w:tcPr>
          <w:p>
            <w:pPr>
              <w:rPr>
                <w:rFonts w:hint="eastAsia" w:ascii="宋体" w:hAnsi="宋体"/>
                <w:sz w:val="24"/>
              </w:rPr>
            </w:pPr>
          </w:p>
        </w:tc>
        <w:tc>
          <w:tcPr>
            <w:tcW w:w="3554" w:type="dxa"/>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hint="eastAsia" w:ascii="宋体" w:hAnsi="宋体"/>
                <w:sz w:val="24"/>
              </w:rPr>
            </w:pPr>
            <w:r>
              <w:rPr>
                <w:rFonts w:hint="eastAsia" w:ascii="宋体" w:hAnsi="宋体"/>
                <w:sz w:val="24"/>
              </w:rPr>
              <w:t>7</w:t>
            </w:r>
          </w:p>
        </w:tc>
        <w:tc>
          <w:tcPr>
            <w:tcW w:w="1080" w:type="dxa"/>
            <w:vAlign w:val="center"/>
          </w:tcPr>
          <w:p>
            <w:pPr>
              <w:rPr>
                <w:rFonts w:hint="eastAsia" w:ascii="宋体" w:hAnsi="宋体"/>
                <w:sz w:val="24"/>
              </w:rPr>
            </w:pPr>
          </w:p>
        </w:tc>
        <w:tc>
          <w:tcPr>
            <w:tcW w:w="3060" w:type="dxa"/>
            <w:vAlign w:val="center"/>
          </w:tcPr>
          <w:p>
            <w:pPr>
              <w:rPr>
                <w:rFonts w:hint="eastAsia" w:ascii="宋体" w:hAnsi="宋体"/>
                <w:sz w:val="24"/>
              </w:rPr>
            </w:pPr>
          </w:p>
        </w:tc>
        <w:tc>
          <w:tcPr>
            <w:tcW w:w="3554" w:type="dxa"/>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hint="eastAsia" w:ascii="宋体" w:hAnsi="宋体"/>
                <w:sz w:val="24"/>
              </w:rPr>
            </w:pPr>
            <w:r>
              <w:rPr>
                <w:rFonts w:hint="eastAsia" w:ascii="宋体" w:hAnsi="宋体"/>
                <w:sz w:val="24"/>
              </w:rPr>
              <w:t>8</w:t>
            </w:r>
          </w:p>
        </w:tc>
        <w:tc>
          <w:tcPr>
            <w:tcW w:w="1080" w:type="dxa"/>
            <w:vAlign w:val="center"/>
          </w:tcPr>
          <w:p>
            <w:pPr>
              <w:rPr>
                <w:rFonts w:hint="eastAsia" w:ascii="宋体" w:hAnsi="宋体"/>
                <w:sz w:val="24"/>
              </w:rPr>
            </w:pPr>
          </w:p>
        </w:tc>
        <w:tc>
          <w:tcPr>
            <w:tcW w:w="3060" w:type="dxa"/>
            <w:vAlign w:val="center"/>
          </w:tcPr>
          <w:p>
            <w:pPr>
              <w:rPr>
                <w:rFonts w:hint="eastAsia" w:ascii="宋体" w:hAnsi="宋体"/>
                <w:sz w:val="24"/>
              </w:rPr>
            </w:pPr>
          </w:p>
        </w:tc>
        <w:tc>
          <w:tcPr>
            <w:tcW w:w="3554" w:type="dxa"/>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hint="eastAsia" w:ascii="宋体" w:hAnsi="宋体"/>
                <w:sz w:val="24"/>
              </w:rPr>
            </w:pPr>
            <w:r>
              <w:rPr>
                <w:rFonts w:hint="eastAsia" w:ascii="宋体" w:hAnsi="宋体"/>
                <w:sz w:val="24"/>
              </w:rPr>
              <w:t>9</w:t>
            </w:r>
          </w:p>
        </w:tc>
        <w:tc>
          <w:tcPr>
            <w:tcW w:w="1080" w:type="dxa"/>
            <w:vAlign w:val="center"/>
          </w:tcPr>
          <w:p>
            <w:pPr>
              <w:rPr>
                <w:rFonts w:hint="eastAsia" w:ascii="宋体" w:hAnsi="宋体"/>
                <w:sz w:val="24"/>
              </w:rPr>
            </w:pPr>
          </w:p>
        </w:tc>
        <w:tc>
          <w:tcPr>
            <w:tcW w:w="3060" w:type="dxa"/>
            <w:vAlign w:val="center"/>
          </w:tcPr>
          <w:p>
            <w:pPr>
              <w:rPr>
                <w:rFonts w:hint="eastAsia" w:ascii="宋体" w:hAnsi="宋体"/>
                <w:sz w:val="24"/>
              </w:rPr>
            </w:pPr>
          </w:p>
        </w:tc>
        <w:tc>
          <w:tcPr>
            <w:tcW w:w="3554" w:type="dxa"/>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hint="eastAsia" w:ascii="宋体" w:hAnsi="宋体"/>
                <w:sz w:val="24"/>
              </w:rPr>
            </w:pPr>
            <w:r>
              <w:rPr>
                <w:rFonts w:hint="eastAsia" w:ascii="宋体" w:hAnsi="宋体"/>
                <w:sz w:val="24"/>
              </w:rPr>
              <w:t>10</w:t>
            </w:r>
          </w:p>
        </w:tc>
        <w:tc>
          <w:tcPr>
            <w:tcW w:w="1080" w:type="dxa"/>
            <w:vAlign w:val="center"/>
          </w:tcPr>
          <w:p>
            <w:pPr>
              <w:rPr>
                <w:rFonts w:hint="eastAsia" w:ascii="宋体" w:hAnsi="宋体"/>
                <w:sz w:val="24"/>
              </w:rPr>
            </w:pPr>
          </w:p>
        </w:tc>
        <w:tc>
          <w:tcPr>
            <w:tcW w:w="3060" w:type="dxa"/>
            <w:vAlign w:val="center"/>
          </w:tcPr>
          <w:p>
            <w:pPr>
              <w:rPr>
                <w:rFonts w:hint="eastAsia" w:ascii="宋体" w:hAnsi="宋体"/>
                <w:sz w:val="24"/>
              </w:rPr>
            </w:pPr>
          </w:p>
        </w:tc>
        <w:tc>
          <w:tcPr>
            <w:tcW w:w="3554" w:type="dxa"/>
            <w:vAlign w:val="center"/>
          </w:tcPr>
          <w:p>
            <w:pPr>
              <w:rPr>
                <w:rFonts w:hint="eastAsia" w:ascii="宋体" w:hAnsi="宋体"/>
                <w:sz w:val="24"/>
              </w:rPr>
            </w:pPr>
          </w:p>
        </w:tc>
      </w:tr>
    </w:tbl>
    <w:p>
      <w:pPr>
        <w:rPr>
          <w:rFonts w:hint="eastAsia" w:ascii="宋体" w:hAnsi="宋体"/>
          <w:sz w:val="24"/>
        </w:rPr>
      </w:pPr>
    </w:p>
    <w:p>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pPr>
        <w:rPr>
          <w:rFonts w:hint="eastAsia" w:ascii="宋体" w:hAnsi="宋体"/>
          <w:sz w:val="24"/>
        </w:rPr>
      </w:pPr>
    </w:p>
    <w:p>
      <w:pPr>
        <w:rPr>
          <w:rFonts w:hint="eastAsia" w:ascii="宋体" w:hAnsi="宋体"/>
          <w:sz w:val="24"/>
        </w:rPr>
      </w:pPr>
    </w:p>
    <w:p>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pPr>
        <w:rPr>
          <w:rFonts w:hint="eastAsia" w:ascii="宋体" w:hAnsi="宋体"/>
          <w:sz w:val="24"/>
        </w:rPr>
      </w:pPr>
    </w:p>
    <w:p>
      <w:pPr>
        <w:jc w:val="left"/>
        <w:rPr>
          <w:rFonts w:eastAsia="黑体"/>
          <w:b/>
          <w:bCs/>
          <w:sz w:val="28"/>
        </w:rPr>
      </w:pPr>
      <w:r>
        <w:rPr>
          <w:rFonts w:eastAsia="黑体"/>
          <w:b/>
          <w:bCs/>
          <w:sz w:val="28"/>
        </w:rPr>
        <w:br w:type="page"/>
      </w:r>
      <w:r>
        <w:rPr>
          <w:rFonts w:hint="eastAsia" w:eastAsia="黑体"/>
          <w:b/>
          <w:bCs/>
          <w:sz w:val="28"/>
        </w:rPr>
        <w:t>格式7</w:t>
      </w:r>
    </w:p>
    <w:p>
      <w:pPr>
        <w:rPr>
          <w:rFonts w:hint="eastAsia" w:ascii="宋体" w:hAnsi="宋体"/>
        </w:rPr>
      </w:pPr>
      <w:r>
        <w:rPr>
          <w:rFonts w:hint="eastAsia" w:ascii="宋体" w:hAnsi="宋体"/>
        </w:rPr>
        <w:t>项目名称：(XX项目)</w:t>
      </w:r>
    </w:p>
    <w:p>
      <w:pPr>
        <w:pStyle w:val="4"/>
        <w:spacing w:line="360" w:lineRule="auto"/>
        <w:jc w:val="center"/>
        <w:rPr>
          <w:sz w:val="36"/>
          <w:szCs w:val="36"/>
        </w:rPr>
      </w:pPr>
      <w:r>
        <w:rPr>
          <w:rFonts w:hint="eastAsia"/>
          <w:sz w:val="36"/>
          <w:szCs w:val="36"/>
        </w:rPr>
        <w:t>技术方案</w:t>
      </w:r>
    </w:p>
    <w:p>
      <w:pPr>
        <w:spacing w:line="440" w:lineRule="exact"/>
        <w:ind w:firstLine="480" w:firstLineChars="200"/>
        <w:rPr>
          <w:sz w:val="24"/>
        </w:rPr>
      </w:pPr>
      <w:r>
        <w:rPr>
          <w:rFonts w:hint="eastAsia"/>
          <w:sz w:val="24"/>
        </w:rPr>
        <w:t>投标人应根据本招标文件要求提出详细运营及保障计划，该计划包括但不限于：</w:t>
      </w:r>
    </w:p>
    <w:p>
      <w:pPr>
        <w:spacing w:line="440" w:lineRule="exact"/>
        <w:ind w:firstLine="480" w:firstLineChars="200"/>
        <w:rPr>
          <w:sz w:val="24"/>
        </w:rPr>
      </w:pPr>
      <w:r>
        <w:rPr>
          <w:rFonts w:hint="eastAsia"/>
          <w:sz w:val="24"/>
        </w:rPr>
        <w:t>投标单位需阐明项目运营方案，包括计划投入的设备、设置管理人员数量，作业人员数量，日常生产作业的基本模式，紧急情况处理方案，现场管理模式及其他投标单位计划实施的模式</w:t>
      </w:r>
    </w:p>
    <w:p>
      <w:pPr>
        <w:spacing w:line="440" w:lineRule="exact"/>
        <w:ind w:firstLine="480" w:firstLineChars="200"/>
        <w:rPr>
          <w:sz w:val="24"/>
        </w:rPr>
      </w:pPr>
      <w:r>
        <w:rPr>
          <w:rFonts w:hint="eastAsia"/>
          <w:sz w:val="24"/>
        </w:rPr>
        <w:t>自身可以提供的服务及其他的增值服务等。</w:t>
      </w:r>
    </w:p>
    <w:p>
      <w:pPr>
        <w:spacing w:line="440" w:lineRule="exact"/>
        <w:ind w:firstLine="480" w:firstLineChars="200"/>
        <w:rPr>
          <w:rFonts w:ascii="黑体" w:eastAsia="黑体"/>
          <w:b/>
          <w:bCs/>
          <w:sz w:val="36"/>
          <w:szCs w:val="36"/>
        </w:rPr>
      </w:pPr>
      <w:r>
        <w:rPr>
          <w:rFonts w:hint="eastAsia"/>
          <w:sz w:val="24"/>
          <w:highlight w:val="yellow"/>
        </w:rPr>
        <w:t>投标人需明确</w:t>
      </w:r>
      <w:r>
        <w:rPr>
          <w:rFonts w:hint="eastAsia"/>
          <w:b/>
          <w:bCs/>
          <w:color w:val="FF0000"/>
          <w:sz w:val="24"/>
          <w:highlight w:val="yellow"/>
        </w:rPr>
        <w:t>三年规划方案及提升计划</w:t>
      </w:r>
      <w:r>
        <w:rPr>
          <w:rFonts w:hint="eastAsia"/>
          <w:sz w:val="24"/>
          <w:highlight w:val="yellow"/>
        </w:rPr>
        <w:t>；</w:t>
      </w:r>
    </w:p>
    <w:p>
      <w:pPr>
        <w:spacing w:line="440" w:lineRule="exact"/>
        <w:ind w:firstLine="600" w:firstLineChars="200"/>
        <w:rPr>
          <w:rFonts w:ascii="黑体" w:eastAsia="黑体"/>
          <w:sz w:val="30"/>
        </w:rPr>
      </w:pPr>
      <w:r>
        <w:rPr>
          <w:rFonts w:hint="eastAsia" w:ascii="黑体" w:eastAsia="黑体"/>
          <w:sz w:val="30"/>
          <w:highlight w:val="yellow"/>
        </w:rPr>
        <w:t>技术标评标现场需向专家组进行ppt述标。</w:t>
      </w:r>
    </w:p>
    <w:p>
      <w:pPr>
        <w:jc w:val="left"/>
        <w:rPr>
          <w:rFonts w:eastAsia="黑体"/>
          <w:b/>
          <w:bCs/>
          <w:sz w:val="28"/>
        </w:rPr>
      </w:pPr>
      <w:r>
        <w:rPr>
          <w:rFonts w:eastAsia="黑体"/>
          <w:b/>
          <w:bCs/>
          <w:sz w:val="28"/>
        </w:rPr>
        <w:br w:type="page"/>
      </w:r>
      <w:r>
        <w:rPr>
          <w:rFonts w:hint="eastAsia" w:eastAsia="黑体"/>
          <w:b/>
          <w:bCs/>
          <w:sz w:val="28"/>
        </w:rPr>
        <w:t>格式8</w:t>
      </w:r>
    </w:p>
    <w:p>
      <w:pPr>
        <w:pStyle w:val="4"/>
        <w:spacing w:line="360" w:lineRule="auto"/>
        <w:jc w:val="center"/>
        <w:rPr>
          <w:sz w:val="36"/>
          <w:szCs w:val="36"/>
        </w:rPr>
      </w:pPr>
      <w:r>
        <w:rPr>
          <w:rFonts w:hint="eastAsia"/>
          <w:sz w:val="36"/>
          <w:szCs w:val="36"/>
        </w:rPr>
        <w:t>企业情况、从业经历、服务承诺一览表</w:t>
      </w:r>
    </w:p>
    <w:p>
      <w:pPr>
        <w:spacing w:line="400" w:lineRule="exact"/>
        <w:jc w:val="center"/>
        <w:rPr>
          <w:rFonts w:ascii="黑体" w:eastAsia="黑体"/>
          <w:sz w:val="28"/>
          <w:szCs w:val="18"/>
        </w:rPr>
      </w:pPr>
      <w:r>
        <w:rPr>
          <w:rFonts w:hint="eastAsia" w:ascii="黑体" w:eastAsia="黑体"/>
          <w:sz w:val="28"/>
          <w:szCs w:val="18"/>
        </w:rPr>
        <w:t>（模板，信息仅供参考，项目需求单位根据项目实际情况自拟格式和内容）</w:t>
      </w:r>
    </w:p>
    <w:tbl>
      <w:tblPr>
        <w:tblStyle w:val="21"/>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hint="eastAsia" w:ascii="宋体" w:hAnsi="宋体"/>
                <w:sz w:val="24"/>
              </w:rPr>
            </w:pPr>
            <w:r>
              <w:rPr>
                <w:rFonts w:hint="eastAsia" w:ascii="宋体" w:hAnsi="宋体"/>
                <w:sz w:val="24"/>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hint="eastAsia" w:ascii="宋体" w:hAnsi="宋体"/>
                <w:sz w:val="24"/>
              </w:rPr>
            </w:pPr>
            <w:r>
              <w:rPr>
                <w:rFonts w:hint="eastAsia" w:ascii="宋体" w:hAnsi="宋体"/>
                <w:sz w:val="24"/>
              </w:rPr>
              <w:t>公司名称</w:t>
            </w:r>
          </w:p>
        </w:tc>
        <w:tc>
          <w:tcPr>
            <w:tcW w:w="2269" w:type="dxa"/>
            <w:gridSpan w:val="4"/>
            <w:vAlign w:val="center"/>
          </w:tcPr>
          <w:p>
            <w:pPr>
              <w:jc w:val="center"/>
              <w:rPr>
                <w:rFonts w:hint="eastAsia" w:ascii="宋体" w:hAnsi="宋体"/>
                <w:sz w:val="24"/>
              </w:rPr>
            </w:pPr>
          </w:p>
        </w:tc>
        <w:tc>
          <w:tcPr>
            <w:tcW w:w="1276" w:type="dxa"/>
            <w:gridSpan w:val="3"/>
            <w:vAlign w:val="center"/>
          </w:tcPr>
          <w:p>
            <w:pPr>
              <w:rPr>
                <w:rFonts w:hint="eastAsia" w:ascii="宋体" w:hAnsi="宋体"/>
                <w:sz w:val="24"/>
              </w:rPr>
            </w:pPr>
            <w:r>
              <w:rPr>
                <w:rFonts w:hint="eastAsia" w:ascii="宋体" w:hAnsi="宋体"/>
                <w:sz w:val="24"/>
              </w:rPr>
              <w:t>成立时间</w:t>
            </w:r>
          </w:p>
        </w:tc>
        <w:tc>
          <w:tcPr>
            <w:tcW w:w="1400" w:type="dxa"/>
            <w:vAlign w:val="center"/>
          </w:tcPr>
          <w:p>
            <w:pPr>
              <w:rPr>
                <w:rFonts w:hint="eastAsia" w:ascii="宋体" w:hAnsi="宋体"/>
                <w:sz w:val="24"/>
              </w:rPr>
            </w:pPr>
          </w:p>
        </w:tc>
        <w:tc>
          <w:tcPr>
            <w:tcW w:w="1293" w:type="dxa"/>
            <w:vAlign w:val="center"/>
          </w:tcPr>
          <w:p>
            <w:pPr>
              <w:rPr>
                <w:rFonts w:hint="eastAsia" w:ascii="宋体" w:hAnsi="宋体"/>
                <w:sz w:val="24"/>
              </w:rPr>
            </w:pPr>
            <w:r>
              <w:rPr>
                <w:rFonts w:hint="eastAsia" w:ascii="宋体" w:hAnsi="宋体"/>
                <w:sz w:val="24"/>
              </w:rPr>
              <w:t>注册资本</w:t>
            </w:r>
          </w:p>
        </w:tc>
        <w:tc>
          <w:tcPr>
            <w:tcW w:w="2263" w:type="dxa"/>
            <w:gridSpan w:val="2"/>
            <w:vAlign w:val="center"/>
          </w:tcPr>
          <w:p>
            <w:pPr>
              <w:jc w:val="right"/>
              <w:rPr>
                <w:rFonts w:hint="eastAsia"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pPr>
              <w:jc w:val="left"/>
              <w:rPr>
                <w:rFonts w:hint="eastAsia" w:ascii="宋体" w:hAnsi="宋体"/>
                <w:sz w:val="24"/>
              </w:rPr>
            </w:pPr>
            <w:r>
              <w:rPr>
                <w:rFonts w:hint="eastAsia" w:ascii="宋体" w:hAnsi="宋体"/>
                <w:sz w:val="24"/>
              </w:rPr>
              <w:t>公司在册员工人数</w:t>
            </w:r>
          </w:p>
        </w:tc>
        <w:tc>
          <w:tcPr>
            <w:tcW w:w="1984" w:type="dxa"/>
            <w:gridSpan w:val="4"/>
            <w:vAlign w:val="center"/>
          </w:tcPr>
          <w:p>
            <w:pPr>
              <w:jc w:val="right"/>
              <w:rPr>
                <w:rFonts w:hint="eastAsia" w:ascii="宋体" w:hAnsi="宋体"/>
                <w:sz w:val="24"/>
              </w:rPr>
            </w:pPr>
            <w:r>
              <w:rPr>
                <w:rFonts w:hint="eastAsia" w:ascii="宋体" w:hAnsi="宋体"/>
                <w:sz w:val="24"/>
              </w:rPr>
              <w:t>人</w:t>
            </w:r>
          </w:p>
        </w:tc>
        <w:tc>
          <w:tcPr>
            <w:tcW w:w="3970" w:type="dxa"/>
            <w:gridSpan w:val="4"/>
            <w:vAlign w:val="center"/>
          </w:tcPr>
          <w:p>
            <w:pPr>
              <w:rPr>
                <w:rFonts w:hint="eastAsia" w:ascii="宋体" w:hAnsi="宋体"/>
                <w:sz w:val="24"/>
              </w:rPr>
            </w:pPr>
            <w:r>
              <w:rPr>
                <w:rFonts w:hint="eastAsia" w:ascii="宋体" w:hAnsi="宋体"/>
                <w:sz w:val="24"/>
              </w:rPr>
              <w:t>专业从事产品研发、生产的员工人数</w:t>
            </w:r>
          </w:p>
        </w:tc>
        <w:tc>
          <w:tcPr>
            <w:tcW w:w="1554" w:type="dxa"/>
            <w:vAlign w:val="center"/>
          </w:tcPr>
          <w:p>
            <w:pPr>
              <w:jc w:val="right"/>
              <w:rPr>
                <w:rFonts w:hint="eastAsia" w:ascii="宋体" w:hAnsi="宋体"/>
                <w:sz w:val="24"/>
              </w:rPr>
            </w:pP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pPr>
              <w:jc w:val="left"/>
              <w:rPr>
                <w:rFonts w:hint="eastAsia" w:ascii="宋体" w:hAnsi="宋体"/>
                <w:sz w:val="24"/>
              </w:rPr>
            </w:pPr>
            <w:r>
              <w:rPr>
                <w:rFonts w:hint="eastAsia" w:ascii="宋体" w:hAnsi="宋体"/>
                <w:sz w:val="24"/>
              </w:rPr>
              <w:t>企业所通过的体系认证情况</w:t>
            </w:r>
          </w:p>
        </w:tc>
        <w:tc>
          <w:tcPr>
            <w:tcW w:w="6232" w:type="dxa"/>
            <w:gridSpan w:val="7"/>
            <w:vAlign w:val="center"/>
          </w:tcPr>
          <w:p>
            <w:pPr>
              <w:jc w:val="righ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pPr>
              <w:jc w:val="center"/>
              <w:rPr>
                <w:rFonts w:hint="eastAsia" w:ascii="宋体" w:hAnsi="宋体"/>
                <w:sz w:val="24"/>
              </w:rPr>
            </w:pPr>
            <w:r>
              <w:rPr>
                <w:rFonts w:hint="eastAsia" w:ascii="宋体" w:hAnsi="宋体"/>
                <w:sz w:val="24"/>
              </w:rPr>
              <w:t>公司现有主要研发、实验、生产设备</w:t>
            </w:r>
          </w:p>
        </w:tc>
        <w:tc>
          <w:tcPr>
            <w:tcW w:w="7493" w:type="dxa"/>
            <w:gridSpan w:val="8"/>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hint="eastAsia" w:ascii="宋体" w:hAnsi="宋体"/>
                <w:sz w:val="24"/>
              </w:rPr>
            </w:pPr>
            <w:r>
              <w:rPr>
                <w:rFonts w:hint="eastAsia" w:ascii="宋体" w:hAnsi="宋体"/>
                <w:sz w:val="24"/>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hint="eastAsia" w:ascii="宋体" w:hAnsi="宋体"/>
                <w:sz w:val="24"/>
              </w:rPr>
            </w:pPr>
            <w:r>
              <w:rPr>
                <w:rFonts w:hint="eastAsia" w:ascii="宋体" w:hAnsi="宋体"/>
                <w:szCs w:val="21"/>
              </w:rPr>
              <w:t>正在或曾经从事过的项目名称</w:t>
            </w:r>
          </w:p>
        </w:tc>
        <w:tc>
          <w:tcPr>
            <w:tcW w:w="2649" w:type="dxa"/>
            <w:gridSpan w:val="3"/>
            <w:vAlign w:val="center"/>
          </w:tcPr>
          <w:p>
            <w:pPr>
              <w:jc w:val="center"/>
              <w:rPr>
                <w:rFonts w:hint="eastAsia" w:ascii="宋体" w:hAnsi="宋体"/>
                <w:sz w:val="24"/>
              </w:rPr>
            </w:pPr>
            <w:r>
              <w:rPr>
                <w:rFonts w:hint="eastAsia" w:ascii="宋体" w:hAnsi="宋体"/>
                <w:sz w:val="24"/>
              </w:rPr>
              <w:t>项目起止时间</w:t>
            </w:r>
          </w:p>
        </w:tc>
        <w:tc>
          <w:tcPr>
            <w:tcW w:w="3556" w:type="dxa"/>
            <w:gridSpan w:val="3"/>
            <w:vAlign w:val="center"/>
          </w:tcPr>
          <w:p>
            <w:pPr>
              <w:jc w:val="center"/>
              <w:rPr>
                <w:rFonts w:hint="eastAsia" w:ascii="宋体" w:hAnsi="宋体"/>
                <w:sz w:val="24"/>
              </w:rPr>
            </w:pPr>
            <w:r>
              <w:rPr>
                <w:rFonts w:hint="eastAsia" w:ascii="宋体" w:hAnsi="宋体"/>
                <w:sz w:val="24"/>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hint="eastAsia" w:ascii="宋体" w:hAnsi="宋体"/>
                <w:sz w:val="24"/>
              </w:rPr>
            </w:pPr>
          </w:p>
        </w:tc>
        <w:tc>
          <w:tcPr>
            <w:tcW w:w="2649" w:type="dxa"/>
            <w:gridSpan w:val="3"/>
            <w:vAlign w:val="center"/>
          </w:tcPr>
          <w:p>
            <w:pPr>
              <w:rPr>
                <w:rFonts w:hint="eastAsia" w:ascii="宋体" w:hAnsi="宋体"/>
                <w:sz w:val="24"/>
              </w:rPr>
            </w:pPr>
          </w:p>
        </w:tc>
        <w:tc>
          <w:tcPr>
            <w:tcW w:w="3556" w:type="dxa"/>
            <w:gridSpan w:val="3"/>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hint="eastAsia" w:ascii="宋体" w:hAnsi="宋体"/>
                <w:sz w:val="24"/>
              </w:rPr>
            </w:pPr>
          </w:p>
        </w:tc>
        <w:tc>
          <w:tcPr>
            <w:tcW w:w="2649" w:type="dxa"/>
            <w:gridSpan w:val="3"/>
            <w:vAlign w:val="center"/>
          </w:tcPr>
          <w:p>
            <w:pPr>
              <w:rPr>
                <w:rFonts w:hint="eastAsia" w:ascii="宋体" w:hAnsi="宋体"/>
                <w:sz w:val="24"/>
              </w:rPr>
            </w:pPr>
          </w:p>
        </w:tc>
        <w:tc>
          <w:tcPr>
            <w:tcW w:w="3556" w:type="dxa"/>
            <w:gridSpan w:val="3"/>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hint="eastAsia" w:ascii="宋体" w:hAnsi="宋体"/>
                <w:sz w:val="24"/>
              </w:rPr>
            </w:pPr>
          </w:p>
        </w:tc>
        <w:tc>
          <w:tcPr>
            <w:tcW w:w="2649" w:type="dxa"/>
            <w:gridSpan w:val="3"/>
            <w:vAlign w:val="center"/>
          </w:tcPr>
          <w:p>
            <w:pPr>
              <w:rPr>
                <w:rFonts w:hint="eastAsia" w:ascii="宋体" w:hAnsi="宋体"/>
                <w:sz w:val="24"/>
              </w:rPr>
            </w:pPr>
          </w:p>
        </w:tc>
        <w:tc>
          <w:tcPr>
            <w:tcW w:w="3556" w:type="dxa"/>
            <w:gridSpan w:val="3"/>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hint="eastAsia" w:ascii="宋体" w:hAnsi="宋体"/>
                <w:sz w:val="24"/>
              </w:rPr>
            </w:pPr>
          </w:p>
        </w:tc>
        <w:tc>
          <w:tcPr>
            <w:tcW w:w="2649" w:type="dxa"/>
            <w:gridSpan w:val="3"/>
            <w:vAlign w:val="center"/>
          </w:tcPr>
          <w:p>
            <w:pPr>
              <w:rPr>
                <w:rFonts w:hint="eastAsia" w:ascii="宋体" w:hAnsi="宋体"/>
                <w:sz w:val="24"/>
              </w:rPr>
            </w:pPr>
          </w:p>
        </w:tc>
        <w:tc>
          <w:tcPr>
            <w:tcW w:w="3556" w:type="dxa"/>
            <w:gridSpan w:val="3"/>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hint="eastAsia" w:ascii="宋体" w:hAnsi="宋体"/>
                <w:sz w:val="24"/>
              </w:rPr>
            </w:pPr>
            <w:r>
              <w:rPr>
                <w:rFonts w:hint="eastAsia" w:ascii="宋体" w:hAnsi="宋体"/>
                <w:sz w:val="24"/>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hint="eastAsia" w:ascii="宋体" w:hAnsi="宋体"/>
                <w:sz w:val="24"/>
              </w:rPr>
            </w:pPr>
            <w:r>
              <w:rPr>
                <w:rFonts w:hint="eastAsia" w:ascii="宋体" w:hAnsi="宋体"/>
                <w:sz w:val="24"/>
              </w:rPr>
              <w:t>可为该项目配备人员、相关设备情况</w:t>
            </w:r>
          </w:p>
        </w:tc>
        <w:tc>
          <w:tcPr>
            <w:tcW w:w="1730" w:type="dxa"/>
            <w:gridSpan w:val="4"/>
            <w:vAlign w:val="center"/>
          </w:tcPr>
          <w:p>
            <w:pPr>
              <w:jc w:val="center"/>
              <w:rPr>
                <w:rFonts w:hint="eastAsia" w:ascii="宋体" w:hAnsi="宋体"/>
                <w:sz w:val="24"/>
              </w:rPr>
            </w:pPr>
            <w:r>
              <w:rPr>
                <w:rFonts w:hint="eastAsia" w:ascii="宋体" w:hAnsi="宋体"/>
                <w:sz w:val="24"/>
              </w:rPr>
              <w:t>管理规划人员</w:t>
            </w:r>
          </w:p>
        </w:tc>
        <w:tc>
          <w:tcPr>
            <w:tcW w:w="6205" w:type="dxa"/>
            <w:gridSpan w:val="6"/>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hint="eastAsia" w:ascii="宋体" w:hAnsi="宋体"/>
                <w:sz w:val="24"/>
              </w:rPr>
            </w:pPr>
          </w:p>
        </w:tc>
        <w:tc>
          <w:tcPr>
            <w:tcW w:w="1730" w:type="dxa"/>
            <w:gridSpan w:val="4"/>
            <w:vAlign w:val="center"/>
          </w:tcPr>
          <w:p>
            <w:pPr>
              <w:jc w:val="center"/>
              <w:rPr>
                <w:rFonts w:hint="eastAsia" w:ascii="宋体" w:hAnsi="宋体"/>
                <w:sz w:val="24"/>
              </w:rPr>
            </w:pPr>
            <w:r>
              <w:rPr>
                <w:rFonts w:hint="eastAsia" w:ascii="宋体" w:hAnsi="宋体"/>
                <w:sz w:val="24"/>
              </w:rPr>
              <w:t>自动化设备</w:t>
            </w:r>
          </w:p>
        </w:tc>
        <w:tc>
          <w:tcPr>
            <w:tcW w:w="6205" w:type="dxa"/>
            <w:gridSpan w:val="6"/>
            <w:vAlign w:val="center"/>
          </w:tcPr>
          <w:p>
            <w:pPr>
              <w:jc w:val="center"/>
              <w:rPr>
                <w:rFonts w:hint="eastAsia" w:ascii="宋体" w:hAnsi="宋体"/>
                <w:sz w:val="24"/>
              </w:rPr>
            </w:pPr>
            <w:r>
              <w:rPr>
                <w:rFonts w:hint="eastAsia" w:ascii="宋体" w:hAnsi="宋体"/>
                <w:sz w:val="24"/>
              </w:rPr>
              <w:t>（功能、型号、数量）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hint="eastAsia" w:ascii="宋体" w:hAnsi="宋体"/>
                <w:sz w:val="24"/>
              </w:rPr>
            </w:pPr>
          </w:p>
        </w:tc>
        <w:tc>
          <w:tcPr>
            <w:tcW w:w="1730" w:type="dxa"/>
            <w:gridSpan w:val="4"/>
            <w:vAlign w:val="center"/>
          </w:tcPr>
          <w:p>
            <w:pPr>
              <w:jc w:val="center"/>
              <w:rPr>
                <w:rFonts w:hint="eastAsia" w:ascii="宋体" w:hAnsi="宋体"/>
                <w:sz w:val="24"/>
              </w:rPr>
            </w:pPr>
            <w:r>
              <w:rPr>
                <w:rFonts w:hint="eastAsia" w:ascii="宋体" w:hAnsi="宋体"/>
                <w:sz w:val="24"/>
              </w:rPr>
              <w:t>装卸车辆</w:t>
            </w:r>
          </w:p>
        </w:tc>
        <w:tc>
          <w:tcPr>
            <w:tcW w:w="6205" w:type="dxa"/>
            <w:gridSpan w:val="6"/>
            <w:vAlign w:val="center"/>
          </w:tcPr>
          <w:p>
            <w:pPr>
              <w:jc w:val="center"/>
              <w:rPr>
                <w:rFonts w:hint="eastAsia" w:ascii="宋体" w:hAnsi="宋体"/>
                <w:sz w:val="24"/>
              </w:rPr>
            </w:pPr>
            <w:r>
              <w:rPr>
                <w:rFonts w:hint="eastAsia" w:ascii="宋体" w:hAnsi="宋体"/>
                <w:sz w:val="24"/>
              </w:rPr>
              <w:t>（型号、数量)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hint="eastAsia" w:ascii="宋体" w:hAnsi="宋体"/>
                <w:sz w:val="24"/>
              </w:rPr>
            </w:pPr>
          </w:p>
        </w:tc>
        <w:tc>
          <w:tcPr>
            <w:tcW w:w="1730" w:type="dxa"/>
            <w:gridSpan w:val="4"/>
            <w:vAlign w:val="center"/>
          </w:tcPr>
          <w:p>
            <w:pPr>
              <w:jc w:val="center"/>
              <w:rPr>
                <w:rFonts w:hint="eastAsia" w:ascii="宋体" w:hAnsi="宋体"/>
                <w:sz w:val="24"/>
                <w:szCs w:val="24"/>
              </w:rPr>
            </w:pPr>
            <w:r>
              <w:rPr>
                <w:rFonts w:ascii="宋体" w:hAnsi="宋体"/>
                <w:sz w:val="24"/>
              </w:rPr>
              <w:t>……</w:t>
            </w:r>
          </w:p>
        </w:tc>
        <w:tc>
          <w:tcPr>
            <w:tcW w:w="6205" w:type="dxa"/>
            <w:gridSpan w:val="6"/>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hint="eastAsia" w:ascii="宋体" w:hAnsi="宋体"/>
                <w:sz w:val="24"/>
              </w:rPr>
            </w:pPr>
          </w:p>
        </w:tc>
        <w:tc>
          <w:tcPr>
            <w:tcW w:w="1730" w:type="dxa"/>
            <w:gridSpan w:val="4"/>
            <w:vAlign w:val="center"/>
          </w:tcPr>
          <w:p>
            <w:pPr>
              <w:jc w:val="center"/>
              <w:rPr>
                <w:rFonts w:hint="eastAsia" w:ascii="宋体" w:hAnsi="宋体"/>
                <w:sz w:val="24"/>
              </w:rPr>
            </w:pPr>
            <w:r>
              <w:rPr>
                <w:rFonts w:ascii="宋体" w:hAnsi="宋体"/>
                <w:sz w:val="24"/>
              </w:rPr>
              <w:t>……</w:t>
            </w:r>
          </w:p>
        </w:tc>
        <w:tc>
          <w:tcPr>
            <w:tcW w:w="6205" w:type="dxa"/>
            <w:gridSpan w:val="6"/>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hint="eastAsia" w:ascii="宋体" w:hAnsi="宋体"/>
                <w:sz w:val="24"/>
              </w:rPr>
            </w:pPr>
            <w:r>
              <w:rPr>
                <w:rFonts w:hint="eastAsia" w:ascii="宋体" w:hAnsi="宋体"/>
                <w:sz w:val="24"/>
              </w:rPr>
              <w:t>其他</w:t>
            </w:r>
          </w:p>
        </w:tc>
        <w:tc>
          <w:tcPr>
            <w:tcW w:w="1730" w:type="dxa"/>
            <w:gridSpan w:val="4"/>
            <w:vAlign w:val="center"/>
          </w:tcPr>
          <w:p>
            <w:pPr>
              <w:jc w:val="center"/>
              <w:rPr>
                <w:rFonts w:hint="eastAsia" w:ascii="宋体" w:hAnsi="宋体"/>
                <w:sz w:val="24"/>
              </w:rPr>
            </w:pPr>
            <w:r>
              <w:rPr>
                <w:rFonts w:ascii="宋体" w:hAnsi="宋体"/>
                <w:sz w:val="24"/>
              </w:rPr>
              <w:t>……</w:t>
            </w:r>
          </w:p>
        </w:tc>
        <w:tc>
          <w:tcPr>
            <w:tcW w:w="6205" w:type="dxa"/>
            <w:gridSpan w:val="6"/>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hint="eastAsia" w:ascii="宋体" w:hAnsi="宋体"/>
                <w:sz w:val="24"/>
              </w:rPr>
            </w:pPr>
          </w:p>
        </w:tc>
        <w:tc>
          <w:tcPr>
            <w:tcW w:w="1730" w:type="dxa"/>
            <w:gridSpan w:val="4"/>
            <w:vAlign w:val="center"/>
          </w:tcPr>
          <w:p>
            <w:pPr>
              <w:jc w:val="center"/>
              <w:rPr>
                <w:rFonts w:hint="eastAsia" w:ascii="宋体" w:hAnsi="宋体"/>
                <w:sz w:val="24"/>
              </w:rPr>
            </w:pPr>
            <w:r>
              <w:rPr>
                <w:rFonts w:ascii="宋体" w:hAnsi="宋体"/>
                <w:sz w:val="24"/>
              </w:rPr>
              <w:t>……</w:t>
            </w:r>
          </w:p>
        </w:tc>
        <w:tc>
          <w:tcPr>
            <w:tcW w:w="6205" w:type="dxa"/>
            <w:gridSpan w:val="6"/>
            <w:vAlign w:val="center"/>
          </w:tcPr>
          <w:p>
            <w:pPr>
              <w:jc w:val="center"/>
              <w:rPr>
                <w:rFonts w:hint="eastAsia" w:ascii="宋体" w:hAnsi="宋体"/>
                <w:sz w:val="24"/>
              </w:rPr>
            </w:pPr>
          </w:p>
        </w:tc>
      </w:tr>
    </w:tbl>
    <w:p>
      <w:pPr>
        <w:pStyle w:val="11"/>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pPr>
        <w:pStyle w:val="11"/>
        <w:spacing w:line="360" w:lineRule="auto"/>
        <w:ind w:left="707" w:leftChars="115" w:hanging="466" w:hangingChars="194"/>
        <w:rPr>
          <w:rFonts w:hint="eastAsia"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pPr>
        <w:pStyle w:val="11"/>
        <w:spacing w:line="360" w:lineRule="auto"/>
        <w:ind w:left="661" w:leftChars="315"/>
        <w:rPr>
          <w:rFonts w:hint="eastAsia" w:hAnsi="宋体"/>
          <w:sz w:val="24"/>
        </w:rPr>
      </w:pPr>
      <w:r>
        <w:rPr>
          <w:rFonts w:hint="eastAsia" w:hAnsi="宋体"/>
          <w:sz w:val="24"/>
        </w:rPr>
        <w:t>2.投标人可在上表内容基础上，酌情自行增加相关条目，以便更好的满足项目开展之需要。</w:t>
      </w:r>
    </w:p>
    <w:p>
      <w:pPr>
        <w:rPr>
          <w:rFonts w:eastAsia="黑体"/>
          <w:b/>
          <w:bCs/>
          <w:sz w:val="28"/>
        </w:rPr>
      </w:pPr>
      <w:r>
        <w:rPr>
          <w:rFonts w:eastAsia="黑体"/>
          <w:b/>
          <w:bCs/>
          <w:sz w:val="28"/>
        </w:rPr>
        <w:br w:type="page"/>
      </w:r>
      <w:r>
        <w:rPr>
          <w:rFonts w:hint="eastAsia" w:eastAsia="黑体"/>
          <w:b/>
          <w:bCs/>
          <w:sz w:val="28"/>
        </w:rPr>
        <w:t>格式9</w:t>
      </w:r>
    </w:p>
    <w:p>
      <w:pPr>
        <w:pStyle w:val="4"/>
        <w:spacing w:line="360" w:lineRule="auto"/>
        <w:jc w:val="center"/>
        <w:rPr>
          <w:sz w:val="36"/>
          <w:szCs w:val="36"/>
        </w:rPr>
      </w:pPr>
      <w:r>
        <w:rPr>
          <w:rFonts w:hint="eastAsia"/>
          <w:sz w:val="36"/>
          <w:szCs w:val="36"/>
        </w:rPr>
        <w:t>经营业绩一览表</w:t>
      </w:r>
    </w:p>
    <w:p>
      <w:pPr>
        <w:pStyle w:val="8"/>
        <w:widowControl/>
        <w:spacing w:before="100" w:beforeAutospacing="1"/>
        <w:rPr>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pPr>
        <w:spacing w:line="360" w:lineRule="auto"/>
        <w:jc w:val="center"/>
        <w:rPr>
          <w:rFonts w:ascii="宋体"/>
          <w:sz w:val="28"/>
          <w:szCs w:val="28"/>
        </w:rPr>
      </w:pPr>
      <w:r>
        <w:rPr>
          <w:rFonts w:hint="eastAsia" w:ascii="宋体"/>
          <w:sz w:val="28"/>
          <w:szCs w:val="28"/>
          <w:lang w:bidi="ar"/>
        </w:rPr>
        <w:t xml:space="preserve"> </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4"/>
        <w:gridCol w:w="1099"/>
        <w:gridCol w:w="574"/>
        <w:gridCol w:w="2674"/>
        <w:gridCol w:w="1099"/>
        <w:gridCol w:w="1318"/>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2" w:hRule="atLeast"/>
        </w:trPr>
        <w:tc>
          <w:tcPr>
            <w:tcW w:w="315" w:type="pct"/>
            <w:tcMar>
              <w:top w:w="20" w:type="dxa"/>
              <w:left w:w="20" w:type="dxa"/>
              <w:right w:w="20" w:type="dxa"/>
            </w:tcMar>
            <w:vAlign w:val="center"/>
          </w:tcPr>
          <w:p>
            <w:pPr>
              <w:jc w:val="center"/>
              <w:rPr>
                <w:rFonts w:hint="eastAsia" w:ascii="宋体" w:hAnsi="宋体" w:cs="Arial Unicode MS"/>
                <w:szCs w:val="21"/>
              </w:rPr>
            </w:pPr>
            <w:r>
              <w:rPr>
                <w:rFonts w:hint="eastAsia" w:ascii="宋体" w:hAnsi="宋体"/>
                <w:szCs w:val="21"/>
                <w:lang w:bidi="ar"/>
              </w:rPr>
              <w:t>序号</w:t>
            </w:r>
          </w:p>
        </w:tc>
        <w:tc>
          <w:tcPr>
            <w:tcW w:w="603" w:type="pct"/>
            <w:tcMar>
              <w:top w:w="20" w:type="dxa"/>
              <w:left w:w="20" w:type="dxa"/>
              <w:right w:w="20" w:type="dxa"/>
            </w:tcMar>
            <w:vAlign w:val="center"/>
          </w:tcPr>
          <w:p>
            <w:pPr>
              <w:jc w:val="center"/>
              <w:rPr>
                <w:rFonts w:hint="eastAsia" w:ascii="宋体" w:hAnsi="宋体" w:cs="Arial Unicode MS"/>
                <w:szCs w:val="21"/>
              </w:rPr>
            </w:pPr>
            <w:r>
              <w:rPr>
                <w:rFonts w:hint="eastAsia" w:ascii="宋体" w:hAnsi="宋体"/>
                <w:szCs w:val="21"/>
                <w:lang w:bidi="ar"/>
              </w:rPr>
              <w:t>项目名称</w:t>
            </w:r>
          </w:p>
        </w:tc>
        <w:tc>
          <w:tcPr>
            <w:tcW w:w="315" w:type="pct"/>
            <w:tcMar>
              <w:top w:w="20" w:type="dxa"/>
              <w:left w:w="20" w:type="dxa"/>
              <w:right w:w="20" w:type="dxa"/>
            </w:tcMar>
            <w:vAlign w:val="center"/>
          </w:tcPr>
          <w:p>
            <w:pPr>
              <w:jc w:val="center"/>
              <w:rPr>
                <w:rFonts w:hint="eastAsia" w:ascii="宋体" w:hAnsi="宋体"/>
                <w:szCs w:val="21"/>
              </w:rPr>
            </w:pPr>
            <w:r>
              <w:rPr>
                <w:rFonts w:hint="eastAsia" w:ascii="宋体" w:hAnsi="宋体"/>
                <w:szCs w:val="21"/>
                <w:lang w:bidi="ar"/>
              </w:rPr>
              <w:t>签约</w:t>
            </w:r>
          </w:p>
          <w:p>
            <w:pPr>
              <w:jc w:val="center"/>
              <w:rPr>
                <w:rFonts w:hint="eastAsia" w:ascii="宋体" w:hAnsi="宋体" w:cs="Arial Unicode MS"/>
                <w:szCs w:val="21"/>
              </w:rPr>
            </w:pPr>
            <w:r>
              <w:rPr>
                <w:rFonts w:hint="eastAsia" w:ascii="宋体" w:hAnsi="宋体"/>
                <w:szCs w:val="21"/>
                <w:lang w:bidi="ar"/>
              </w:rPr>
              <w:t>日期</w:t>
            </w:r>
          </w:p>
        </w:tc>
        <w:tc>
          <w:tcPr>
            <w:tcW w:w="1467" w:type="pct"/>
            <w:tcMar>
              <w:top w:w="20" w:type="dxa"/>
              <w:left w:w="20" w:type="dxa"/>
              <w:right w:w="20" w:type="dxa"/>
            </w:tcMar>
            <w:vAlign w:val="center"/>
          </w:tcPr>
          <w:p>
            <w:pPr>
              <w:jc w:val="center"/>
              <w:rPr>
                <w:rFonts w:hint="eastAsia" w:ascii="宋体" w:hAnsi="宋体"/>
                <w:szCs w:val="21"/>
              </w:rPr>
            </w:pPr>
            <w:r>
              <w:rPr>
                <w:rFonts w:hint="eastAsia" w:ascii="宋体" w:hAnsi="宋体"/>
                <w:szCs w:val="21"/>
                <w:lang w:bidi="ar"/>
              </w:rPr>
              <w:t>同类或相似项目合同价</w:t>
            </w:r>
          </w:p>
        </w:tc>
        <w:tc>
          <w:tcPr>
            <w:tcW w:w="603" w:type="pct"/>
            <w:tcMar>
              <w:top w:w="20" w:type="dxa"/>
              <w:left w:w="20" w:type="dxa"/>
              <w:right w:w="20" w:type="dxa"/>
            </w:tcMar>
            <w:vAlign w:val="center"/>
          </w:tcPr>
          <w:p>
            <w:pPr>
              <w:jc w:val="center"/>
              <w:rPr>
                <w:rFonts w:hint="eastAsia" w:ascii="宋体" w:hAnsi="宋体"/>
                <w:szCs w:val="21"/>
              </w:rPr>
            </w:pPr>
            <w:r>
              <w:rPr>
                <w:rFonts w:hint="eastAsia" w:ascii="宋体" w:hAnsi="宋体"/>
                <w:szCs w:val="21"/>
                <w:lang w:bidi="ar"/>
              </w:rPr>
              <w:t>业主名称</w:t>
            </w:r>
          </w:p>
        </w:tc>
        <w:tc>
          <w:tcPr>
            <w:tcW w:w="723" w:type="pct"/>
            <w:vAlign w:val="center"/>
          </w:tcPr>
          <w:p>
            <w:pPr>
              <w:jc w:val="center"/>
              <w:rPr>
                <w:rFonts w:hint="eastAsia" w:ascii="宋体" w:hAnsi="宋体"/>
                <w:szCs w:val="21"/>
                <w:lang w:bidi="ar"/>
              </w:rPr>
            </w:pPr>
            <w:r>
              <w:rPr>
                <w:rFonts w:hint="eastAsia" w:ascii="宋体" w:hAnsi="宋体"/>
                <w:szCs w:val="21"/>
                <w:lang w:bidi="ar"/>
              </w:rPr>
              <w:t>业务联系人</w:t>
            </w:r>
          </w:p>
        </w:tc>
        <w:tc>
          <w:tcPr>
            <w:tcW w:w="972" w:type="pct"/>
            <w:tcMar>
              <w:top w:w="20" w:type="dxa"/>
              <w:left w:w="20" w:type="dxa"/>
              <w:right w:w="20" w:type="dxa"/>
            </w:tcMar>
            <w:vAlign w:val="center"/>
          </w:tcPr>
          <w:p>
            <w:pPr>
              <w:jc w:val="center"/>
              <w:rPr>
                <w:rFonts w:hint="eastAsia" w:ascii="宋体" w:hAnsi="宋体" w:cs="Arial Unicode MS"/>
                <w:szCs w:val="21"/>
              </w:rPr>
            </w:pPr>
            <w:r>
              <w:rPr>
                <w:rFonts w:hint="eastAsia" w:ascii="宋体" w:hAnsi="宋体"/>
                <w:szCs w:val="21"/>
                <w:lang w:bidi="ar"/>
              </w:rPr>
              <w:t>地址</w:t>
            </w:r>
            <w:r>
              <w:rPr>
                <w:szCs w:val="21"/>
                <w:lang w:bidi="ar"/>
              </w:rPr>
              <w:t>/</w:t>
            </w:r>
            <w:r>
              <w:rPr>
                <w:rFonts w:hint="eastAsia" w:ascii="宋体" w:hAnsi="宋体"/>
                <w:szCs w:val="21"/>
                <w:lang w:bidi="ar"/>
              </w:rPr>
              <w:t>电话</w:t>
            </w:r>
            <w:r>
              <w:rPr>
                <w:szCs w:val="21"/>
                <w:lang w:bidi="ar"/>
              </w:rPr>
              <w:t>/</w:t>
            </w:r>
            <w:r>
              <w:rPr>
                <w:rFonts w:hint="eastAsia" w:ascii="宋体" w:hAnsi="宋体"/>
                <w:szCs w:val="21"/>
                <w:lang w:bidi="ar"/>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315" w:type="pct"/>
            <w:tcMar>
              <w:top w:w="20" w:type="dxa"/>
              <w:left w:w="20" w:type="dxa"/>
              <w:right w:w="20" w:type="dxa"/>
            </w:tcMar>
            <w:vAlign w:val="center"/>
          </w:tcPr>
          <w:p>
            <w:pPr>
              <w:jc w:val="center"/>
              <w:rPr>
                <w:rFonts w:hint="eastAsia" w:ascii="宋体" w:hAnsi="宋体" w:cs="Arial Unicode MS"/>
                <w:szCs w:val="21"/>
              </w:rPr>
            </w:pPr>
            <w:r>
              <w:rPr>
                <w:rFonts w:hint="eastAsia" w:ascii="宋体" w:hAnsi="宋体"/>
                <w:szCs w:val="21"/>
                <w:lang w:bidi="ar"/>
              </w:rPr>
              <w:t>1</w:t>
            </w:r>
          </w:p>
        </w:tc>
        <w:tc>
          <w:tcPr>
            <w:tcW w:w="603" w:type="pct"/>
            <w:tcMar>
              <w:top w:w="20" w:type="dxa"/>
              <w:left w:w="20" w:type="dxa"/>
              <w:right w:w="20" w:type="dxa"/>
            </w:tcMar>
            <w:vAlign w:val="center"/>
          </w:tcPr>
          <w:p>
            <w:pPr>
              <w:jc w:val="center"/>
              <w:rPr>
                <w:rFonts w:hint="eastAsia" w:ascii="宋体" w:hAnsi="宋体" w:cs="Arial Unicode MS"/>
                <w:szCs w:val="21"/>
              </w:rPr>
            </w:pPr>
          </w:p>
        </w:tc>
        <w:tc>
          <w:tcPr>
            <w:tcW w:w="315" w:type="pct"/>
            <w:tcMar>
              <w:top w:w="20" w:type="dxa"/>
              <w:left w:w="20" w:type="dxa"/>
              <w:right w:w="20" w:type="dxa"/>
            </w:tcMar>
            <w:vAlign w:val="center"/>
          </w:tcPr>
          <w:p>
            <w:pPr>
              <w:jc w:val="center"/>
              <w:rPr>
                <w:rFonts w:hint="eastAsia" w:ascii="宋体" w:hAnsi="宋体" w:cs="Arial Unicode MS"/>
                <w:szCs w:val="21"/>
              </w:rPr>
            </w:pPr>
          </w:p>
        </w:tc>
        <w:tc>
          <w:tcPr>
            <w:tcW w:w="1467" w:type="pct"/>
            <w:tcMar>
              <w:top w:w="20" w:type="dxa"/>
              <w:left w:w="20" w:type="dxa"/>
              <w:right w:w="20" w:type="dxa"/>
            </w:tcMar>
            <w:vAlign w:val="center"/>
          </w:tcPr>
          <w:p>
            <w:pPr>
              <w:jc w:val="center"/>
              <w:rPr>
                <w:rFonts w:hint="eastAsia" w:ascii="宋体" w:hAnsi="宋体" w:cs="Arial Unicode MS"/>
                <w:szCs w:val="21"/>
              </w:rPr>
            </w:pPr>
          </w:p>
        </w:tc>
        <w:tc>
          <w:tcPr>
            <w:tcW w:w="603" w:type="pct"/>
            <w:tcMar>
              <w:top w:w="20" w:type="dxa"/>
              <w:left w:w="20" w:type="dxa"/>
              <w:right w:w="20" w:type="dxa"/>
            </w:tcMar>
            <w:vAlign w:val="center"/>
          </w:tcPr>
          <w:p>
            <w:pPr>
              <w:jc w:val="center"/>
              <w:rPr>
                <w:rFonts w:hint="eastAsia" w:ascii="宋体" w:hAnsi="宋体" w:cs="Arial Unicode MS"/>
                <w:szCs w:val="21"/>
              </w:rPr>
            </w:pPr>
          </w:p>
        </w:tc>
        <w:tc>
          <w:tcPr>
            <w:tcW w:w="723" w:type="pct"/>
            <w:vAlign w:val="center"/>
          </w:tcPr>
          <w:p>
            <w:pPr>
              <w:jc w:val="center"/>
              <w:rPr>
                <w:rFonts w:hint="eastAsia" w:ascii="宋体" w:hAnsi="宋体"/>
                <w:szCs w:val="21"/>
                <w:lang w:bidi="ar"/>
              </w:rPr>
            </w:pPr>
          </w:p>
        </w:tc>
        <w:tc>
          <w:tcPr>
            <w:tcW w:w="972" w:type="pct"/>
            <w:tcMar>
              <w:top w:w="20" w:type="dxa"/>
              <w:left w:w="20" w:type="dxa"/>
              <w:right w:w="20" w:type="dxa"/>
            </w:tcMar>
            <w:vAlign w:val="center"/>
          </w:tcPr>
          <w:p>
            <w:pPr>
              <w:jc w:val="center"/>
              <w:rPr>
                <w:rFonts w:hint="eastAsia" w:ascii="宋体" w:hAnsi="宋体" w:cs="Arial Unicode M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315" w:type="pct"/>
            <w:tcMar>
              <w:top w:w="20" w:type="dxa"/>
              <w:left w:w="20" w:type="dxa"/>
              <w:right w:w="20" w:type="dxa"/>
            </w:tcMar>
            <w:vAlign w:val="center"/>
          </w:tcPr>
          <w:p>
            <w:pPr>
              <w:jc w:val="center"/>
              <w:rPr>
                <w:rFonts w:hint="eastAsia" w:ascii="宋体" w:hAnsi="宋体" w:cs="Arial Unicode MS"/>
                <w:szCs w:val="21"/>
              </w:rPr>
            </w:pPr>
            <w:r>
              <w:rPr>
                <w:rFonts w:hint="eastAsia" w:ascii="宋体" w:hAnsi="宋体"/>
                <w:szCs w:val="21"/>
                <w:lang w:bidi="ar"/>
              </w:rPr>
              <w:t>2</w:t>
            </w:r>
          </w:p>
        </w:tc>
        <w:tc>
          <w:tcPr>
            <w:tcW w:w="603" w:type="pct"/>
            <w:tcMar>
              <w:top w:w="20" w:type="dxa"/>
              <w:left w:w="20" w:type="dxa"/>
              <w:right w:w="20" w:type="dxa"/>
            </w:tcMar>
            <w:vAlign w:val="center"/>
          </w:tcPr>
          <w:p>
            <w:pPr>
              <w:jc w:val="center"/>
              <w:rPr>
                <w:rFonts w:hint="eastAsia" w:ascii="宋体" w:hAnsi="宋体" w:cs="Arial Unicode MS"/>
                <w:szCs w:val="21"/>
              </w:rPr>
            </w:pPr>
          </w:p>
        </w:tc>
        <w:tc>
          <w:tcPr>
            <w:tcW w:w="315" w:type="pct"/>
            <w:tcMar>
              <w:top w:w="20" w:type="dxa"/>
              <w:left w:w="20" w:type="dxa"/>
              <w:right w:w="20" w:type="dxa"/>
            </w:tcMar>
            <w:vAlign w:val="center"/>
          </w:tcPr>
          <w:p>
            <w:pPr>
              <w:jc w:val="center"/>
              <w:rPr>
                <w:rFonts w:hint="eastAsia" w:ascii="宋体" w:hAnsi="宋体" w:cs="Arial Unicode MS"/>
                <w:szCs w:val="21"/>
              </w:rPr>
            </w:pPr>
          </w:p>
        </w:tc>
        <w:tc>
          <w:tcPr>
            <w:tcW w:w="1467" w:type="pct"/>
            <w:tcMar>
              <w:top w:w="20" w:type="dxa"/>
              <w:left w:w="20" w:type="dxa"/>
              <w:right w:w="20" w:type="dxa"/>
            </w:tcMar>
            <w:vAlign w:val="center"/>
          </w:tcPr>
          <w:p>
            <w:pPr>
              <w:jc w:val="center"/>
              <w:rPr>
                <w:rFonts w:hint="eastAsia" w:ascii="宋体" w:hAnsi="宋体" w:cs="Arial Unicode MS"/>
                <w:szCs w:val="21"/>
              </w:rPr>
            </w:pPr>
          </w:p>
        </w:tc>
        <w:tc>
          <w:tcPr>
            <w:tcW w:w="603" w:type="pct"/>
            <w:tcMar>
              <w:top w:w="20" w:type="dxa"/>
              <w:left w:w="20" w:type="dxa"/>
              <w:right w:w="20" w:type="dxa"/>
            </w:tcMar>
            <w:vAlign w:val="center"/>
          </w:tcPr>
          <w:p>
            <w:pPr>
              <w:jc w:val="center"/>
              <w:rPr>
                <w:rFonts w:hint="eastAsia" w:ascii="宋体" w:hAnsi="宋体" w:cs="Arial Unicode MS"/>
                <w:szCs w:val="21"/>
              </w:rPr>
            </w:pPr>
          </w:p>
        </w:tc>
        <w:tc>
          <w:tcPr>
            <w:tcW w:w="723" w:type="pct"/>
            <w:vAlign w:val="center"/>
          </w:tcPr>
          <w:p>
            <w:pPr>
              <w:jc w:val="center"/>
              <w:rPr>
                <w:rFonts w:hint="eastAsia" w:ascii="宋体" w:hAnsi="宋体"/>
                <w:szCs w:val="21"/>
                <w:lang w:bidi="ar"/>
              </w:rPr>
            </w:pPr>
          </w:p>
        </w:tc>
        <w:tc>
          <w:tcPr>
            <w:tcW w:w="972" w:type="pct"/>
            <w:tcMar>
              <w:top w:w="20" w:type="dxa"/>
              <w:left w:w="20" w:type="dxa"/>
              <w:right w:w="20" w:type="dxa"/>
            </w:tcMar>
            <w:vAlign w:val="center"/>
          </w:tcPr>
          <w:p>
            <w:pPr>
              <w:jc w:val="center"/>
              <w:rPr>
                <w:rFonts w:hint="eastAsia" w:ascii="宋体" w:hAnsi="宋体" w:cs="Arial Unicode M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315" w:type="pct"/>
            <w:tcMar>
              <w:top w:w="20" w:type="dxa"/>
              <w:left w:w="20" w:type="dxa"/>
              <w:right w:w="20" w:type="dxa"/>
            </w:tcMar>
            <w:vAlign w:val="center"/>
          </w:tcPr>
          <w:p>
            <w:pPr>
              <w:jc w:val="center"/>
              <w:rPr>
                <w:rFonts w:hint="eastAsia" w:ascii="宋体" w:hAnsi="宋体" w:cs="Arial Unicode MS"/>
                <w:szCs w:val="21"/>
              </w:rPr>
            </w:pPr>
            <w:r>
              <w:rPr>
                <w:rFonts w:hint="eastAsia" w:ascii="宋体" w:hAnsi="宋体"/>
                <w:szCs w:val="21"/>
                <w:lang w:bidi="ar"/>
              </w:rPr>
              <w:t>3</w:t>
            </w:r>
          </w:p>
        </w:tc>
        <w:tc>
          <w:tcPr>
            <w:tcW w:w="603" w:type="pct"/>
            <w:tcMar>
              <w:top w:w="20" w:type="dxa"/>
              <w:left w:w="20" w:type="dxa"/>
              <w:right w:w="20" w:type="dxa"/>
            </w:tcMar>
            <w:vAlign w:val="center"/>
          </w:tcPr>
          <w:p>
            <w:pPr>
              <w:jc w:val="center"/>
              <w:rPr>
                <w:rFonts w:hint="eastAsia" w:ascii="宋体" w:hAnsi="宋体" w:cs="Arial Unicode MS"/>
                <w:szCs w:val="21"/>
              </w:rPr>
            </w:pPr>
          </w:p>
        </w:tc>
        <w:tc>
          <w:tcPr>
            <w:tcW w:w="315" w:type="pct"/>
            <w:tcMar>
              <w:top w:w="20" w:type="dxa"/>
              <w:left w:w="20" w:type="dxa"/>
              <w:right w:w="20" w:type="dxa"/>
            </w:tcMar>
            <w:vAlign w:val="center"/>
          </w:tcPr>
          <w:p>
            <w:pPr>
              <w:jc w:val="center"/>
              <w:rPr>
                <w:rFonts w:hint="eastAsia" w:ascii="宋体" w:hAnsi="宋体" w:cs="Arial Unicode MS"/>
                <w:szCs w:val="21"/>
              </w:rPr>
            </w:pPr>
          </w:p>
        </w:tc>
        <w:tc>
          <w:tcPr>
            <w:tcW w:w="1467" w:type="pct"/>
            <w:tcMar>
              <w:top w:w="20" w:type="dxa"/>
              <w:left w:w="20" w:type="dxa"/>
              <w:right w:w="20" w:type="dxa"/>
            </w:tcMar>
            <w:vAlign w:val="center"/>
          </w:tcPr>
          <w:p>
            <w:pPr>
              <w:jc w:val="center"/>
              <w:rPr>
                <w:rFonts w:hint="eastAsia" w:ascii="宋体" w:hAnsi="宋体" w:cs="Arial Unicode MS"/>
                <w:szCs w:val="21"/>
              </w:rPr>
            </w:pPr>
          </w:p>
        </w:tc>
        <w:tc>
          <w:tcPr>
            <w:tcW w:w="603" w:type="pct"/>
            <w:tcMar>
              <w:top w:w="20" w:type="dxa"/>
              <w:left w:w="20" w:type="dxa"/>
              <w:right w:w="20" w:type="dxa"/>
            </w:tcMar>
            <w:vAlign w:val="center"/>
          </w:tcPr>
          <w:p>
            <w:pPr>
              <w:jc w:val="center"/>
              <w:rPr>
                <w:rFonts w:hint="eastAsia" w:ascii="宋体" w:hAnsi="宋体" w:cs="Arial Unicode MS"/>
                <w:szCs w:val="21"/>
              </w:rPr>
            </w:pPr>
          </w:p>
        </w:tc>
        <w:tc>
          <w:tcPr>
            <w:tcW w:w="723" w:type="pct"/>
            <w:vAlign w:val="center"/>
          </w:tcPr>
          <w:p>
            <w:pPr>
              <w:jc w:val="center"/>
              <w:rPr>
                <w:rFonts w:hint="eastAsia" w:ascii="宋体" w:hAnsi="宋体"/>
                <w:szCs w:val="21"/>
                <w:lang w:bidi="ar"/>
              </w:rPr>
            </w:pPr>
          </w:p>
        </w:tc>
        <w:tc>
          <w:tcPr>
            <w:tcW w:w="972" w:type="pct"/>
            <w:tcMar>
              <w:top w:w="20" w:type="dxa"/>
              <w:left w:w="20" w:type="dxa"/>
              <w:right w:w="20" w:type="dxa"/>
            </w:tcMar>
            <w:vAlign w:val="center"/>
          </w:tcPr>
          <w:p>
            <w:pPr>
              <w:jc w:val="center"/>
              <w:rPr>
                <w:rFonts w:hint="eastAsia" w:ascii="宋体" w:hAnsi="宋体" w:cs="Arial Unicode M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315" w:type="pct"/>
            <w:tcMar>
              <w:top w:w="20" w:type="dxa"/>
              <w:left w:w="20" w:type="dxa"/>
              <w:right w:w="20" w:type="dxa"/>
            </w:tcMar>
            <w:vAlign w:val="center"/>
          </w:tcPr>
          <w:p>
            <w:pPr>
              <w:jc w:val="center"/>
              <w:rPr>
                <w:rFonts w:hint="eastAsia" w:ascii="宋体" w:hAnsi="宋体" w:cs="Arial Unicode MS"/>
                <w:szCs w:val="21"/>
              </w:rPr>
            </w:pPr>
            <w:r>
              <w:rPr>
                <w:rFonts w:hint="eastAsia" w:ascii="宋体" w:hAnsi="宋体" w:cs="宋体"/>
                <w:szCs w:val="21"/>
                <w:lang w:bidi="ar"/>
              </w:rPr>
              <w:t>……</w:t>
            </w:r>
          </w:p>
        </w:tc>
        <w:tc>
          <w:tcPr>
            <w:tcW w:w="603" w:type="pct"/>
            <w:tcMar>
              <w:top w:w="20" w:type="dxa"/>
              <w:left w:w="20" w:type="dxa"/>
              <w:right w:w="20" w:type="dxa"/>
            </w:tcMar>
            <w:vAlign w:val="center"/>
          </w:tcPr>
          <w:p>
            <w:pPr>
              <w:jc w:val="center"/>
              <w:rPr>
                <w:rFonts w:hint="eastAsia" w:ascii="宋体" w:hAnsi="宋体" w:cs="Arial Unicode MS"/>
                <w:szCs w:val="21"/>
              </w:rPr>
            </w:pPr>
          </w:p>
        </w:tc>
        <w:tc>
          <w:tcPr>
            <w:tcW w:w="315" w:type="pct"/>
            <w:tcMar>
              <w:top w:w="20" w:type="dxa"/>
              <w:left w:w="20" w:type="dxa"/>
              <w:right w:w="20" w:type="dxa"/>
            </w:tcMar>
            <w:vAlign w:val="center"/>
          </w:tcPr>
          <w:p>
            <w:pPr>
              <w:jc w:val="center"/>
              <w:rPr>
                <w:rFonts w:hint="eastAsia" w:ascii="宋体" w:hAnsi="宋体" w:cs="Arial Unicode MS"/>
                <w:szCs w:val="21"/>
              </w:rPr>
            </w:pPr>
          </w:p>
        </w:tc>
        <w:tc>
          <w:tcPr>
            <w:tcW w:w="1467" w:type="pct"/>
            <w:tcMar>
              <w:top w:w="20" w:type="dxa"/>
              <w:left w:w="20" w:type="dxa"/>
              <w:right w:w="20" w:type="dxa"/>
            </w:tcMar>
            <w:vAlign w:val="center"/>
          </w:tcPr>
          <w:p>
            <w:pPr>
              <w:jc w:val="center"/>
              <w:rPr>
                <w:rFonts w:hint="eastAsia" w:ascii="宋体" w:hAnsi="宋体" w:cs="Arial Unicode MS"/>
                <w:szCs w:val="21"/>
              </w:rPr>
            </w:pPr>
          </w:p>
        </w:tc>
        <w:tc>
          <w:tcPr>
            <w:tcW w:w="603" w:type="pct"/>
            <w:tcMar>
              <w:top w:w="20" w:type="dxa"/>
              <w:left w:w="20" w:type="dxa"/>
              <w:right w:w="20" w:type="dxa"/>
            </w:tcMar>
            <w:vAlign w:val="center"/>
          </w:tcPr>
          <w:p>
            <w:pPr>
              <w:jc w:val="center"/>
              <w:rPr>
                <w:rFonts w:hint="eastAsia" w:ascii="宋体" w:hAnsi="宋体" w:cs="Arial Unicode MS"/>
                <w:szCs w:val="21"/>
              </w:rPr>
            </w:pPr>
          </w:p>
        </w:tc>
        <w:tc>
          <w:tcPr>
            <w:tcW w:w="723" w:type="pct"/>
            <w:vAlign w:val="center"/>
          </w:tcPr>
          <w:p>
            <w:pPr>
              <w:jc w:val="center"/>
              <w:rPr>
                <w:rFonts w:hint="eastAsia" w:ascii="宋体" w:hAnsi="宋体"/>
                <w:szCs w:val="21"/>
                <w:lang w:bidi="ar"/>
              </w:rPr>
            </w:pPr>
          </w:p>
        </w:tc>
        <w:tc>
          <w:tcPr>
            <w:tcW w:w="972" w:type="pct"/>
            <w:tcMar>
              <w:top w:w="20" w:type="dxa"/>
              <w:left w:w="20" w:type="dxa"/>
              <w:right w:w="20" w:type="dxa"/>
            </w:tcMar>
            <w:vAlign w:val="center"/>
          </w:tcPr>
          <w:p>
            <w:pPr>
              <w:jc w:val="center"/>
              <w:rPr>
                <w:rFonts w:hint="eastAsia" w:ascii="宋体" w:hAnsi="宋体" w:cs="Arial Unicode MS"/>
                <w:szCs w:val="21"/>
              </w:rPr>
            </w:pPr>
          </w:p>
        </w:tc>
      </w:tr>
    </w:tbl>
    <w:p>
      <w:pPr>
        <w:pStyle w:val="11"/>
        <w:spacing w:line="360" w:lineRule="auto"/>
        <w:rPr>
          <w:rFonts w:ascii="黑体" w:eastAsia="黑体"/>
          <w:sz w:val="28"/>
          <w:szCs w:val="28"/>
        </w:rPr>
      </w:pPr>
    </w:p>
    <w:p>
      <w:pPr>
        <w:spacing w:line="360" w:lineRule="auto"/>
        <w:rPr>
          <w:rFonts w:hint="eastAsia" w:ascii="黑体" w:hAnsi="黑体" w:eastAsia="黑体"/>
          <w:b/>
          <w:bCs/>
          <w:sz w:val="28"/>
          <w:szCs w:val="32"/>
        </w:rPr>
      </w:pPr>
      <w:r>
        <w:rPr>
          <w:rFonts w:ascii="黑体" w:eastAsia="黑体"/>
          <w:sz w:val="28"/>
          <w:szCs w:val="28"/>
        </w:rPr>
        <w:br w:type="page"/>
      </w:r>
      <w:r>
        <w:rPr>
          <w:rFonts w:hint="eastAsia" w:ascii="黑体" w:hAnsi="黑体" w:eastAsia="黑体"/>
          <w:b/>
          <w:bCs/>
          <w:sz w:val="28"/>
          <w:szCs w:val="32"/>
        </w:rPr>
        <w:t>格式10</w:t>
      </w:r>
    </w:p>
    <w:p>
      <w:pPr>
        <w:pStyle w:val="4"/>
        <w:spacing w:line="360" w:lineRule="auto"/>
        <w:jc w:val="center"/>
        <w:rPr>
          <w:sz w:val="36"/>
          <w:szCs w:val="36"/>
        </w:rPr>
      </w:pPr>
      <w:r>
        <w:rPr>
          <w:rFonts w:hint="eastAsia"/>
          <w:sz w:val="36"/>
          <w:szCs w:val="36"/>
        </w:rPr>
        <w:t>法定代表人授权委托书</w:t>
      </w:r>
    </w:p>
    <w:p>
      <w:pPr>
        <w:spacing w:line="360" w:lineRule="auto"/>
        <w:jc w:val="left"/>
        <w:rPr>
          <w:rFonts w:hint="eastAsia" w:ascii="宋体" w:hAnsi="宋体"/>
          <w:sz w:val="24"/>
          <w:szCs w:val="24"/>
          <w:u w:val="single"/>
        </w:rPr>
      </w:pPr>
      <w:r>
        <w:rPr>
          <w:rFonts w:hint="eastAsia" w:ascii="宋体" w:hAnsi="宋体"/>
          <w:sz w:val="22"/>
          <w:szCs w:val="24"/>
          <w:u w:val="single"/>
        </w:rPr>
        <w:t xml:space="preserve">             </w:t>
      </w:r>
      <w:r>
        <w:rPr>
          <w:rFonts w:hint="eastAsia" w:ascii="宋体" w:hAnsi="宋体"/>
          <w:sz w:val="24"/>
          <w:szCs w:val="24"/>
          <w:u w:val="single"/>
        </w:rPr>
        <w:t xml:space="preserve">      ：</w:t>
      </w:r>
    </w:p>
    <w:p>
      <w:pPr>
        <w:spacing w:line="360" w:lineRule="auto"/>
        <w:jc w:val="left"/>
        <w:rPr>
          <w:rFonts w:hint="eastAsia" w:ascii="宋体" w:hAnsi="宋体"/>
          <w:sz w:val="24"/>
          <w:szCs w:val="24"/>
        </w:rPr>
      </w:pPr>
      <w:r>
        <w:rPr>
          <w:rFonts w:hint="eastAsia" w:ascii="宋体" w:hAnsi="宋体"/>
          <w:sz w:val="24"/>
          <w:szCs w:val="24"/>
          <w:u w:val="single"/>
        </w:rPr>
        <w:t xml:space="preserve">                       （投标方名称）</w:t>
      </w:r>
      <w:r>
        <w:rPr>
          <w:rFonts w:hint="eastAsia" w:ascii="宋体" w:hAnsi="宋体"/>
          <w:sz w:val="24"/>
          <w:szCs w:val="24"/>
        </w:rPr>
        <w:t>法定代表人授权我公司</w:t>
      </w:r>
      <w:r>
        <w:rPr>
          <w:rFonts w:hint="eastAsia" w:ascii="宋体" w:hAnsi="宋体"/>
          <w:sz w:val="24"/>
          <w:szCs w:val="24"/>
          <w:u w:val="single"/>
        </w:rPr>
        <w:t xml:space="preserve">      （职务或职称）（姓名）</w:t>
      </w:r>
      <w:r>
        <w:rPr>
          <w:rFonts w:hint="eastAsia" w:ascii="宋体" w:hAnsi="宋体"/>
          <w:sz w:val="24"/>
          <w:szCs w:val="24"/>
        </w:rPr>
        <w:t>为我单位本次投标授权代理人，全权处理此次招标项目</w:t>
      </w:r>
      <w:r>
        <w:rPr>
          <w:rFonts w:hint="eastAsia" w:ascii="宋体" w:hAnsi="宋体"/>
          <w:sz w:val="24"/>
          <w:szCs w:val="24"/>
          <w:u w:val="single"/>
        </w:rPr>
        <w:t>（项目编号：            ）</w:t>
      </w:r>
      <w:r>
        <w:rPr>
          <w:rFonts w:hint="eastAsia" w:ascii="宋体" w:hAnsi="宋体"/>
          <w:sz w:val="24"/>
          <w:szCs w:val="24"/>
        </w:rPr>
        <w:t>投标活动、合同签订的一切事宜。</w:t>
      </w:r>
    </w:p>
    <w:p>
      <w:pPr>
        <w:spacing w:line="360" w:lineRule="auto"/>
        <w:jc w:val="left"/>
        <w:rPr>
          <w:rFonts w:hint="eastAsia" w:ascii="宋体" w:hAnsi="宋体"/>
          <w:sz w:val="24"/>
          <w:szCs w:val="24"/>
        </w:rPr>
      </w:pPr>
      <w:r>
        <w:rPr>
          <w:rFonts w:hint="eastAsia" w:ascii="宋体" w:hAnsi="宋体"/>
          <w:sz w:val="24"/>
          <w:szCs w:val="24"/>
        </w:rPr>
        <w:t>委托期限：</w:t>
      </w:r>
    </w:p>
    <w:p>
      <w:pPr>
        <w:spacing w:line="360" w:lineRule="auto"/>
        <w:jc w:val="left"/>
        <w:rPr>
          <w:rFonts w:hint="eastAsia" w:ascii="宋体" w:hAnsi="宋体"/>
          <w:sz w:val="24"/>
          <w:szCs w:val="24"/>
        </w:rPr>
      </w:pPr>
      <w:r>
        <w:rPr>
          <w:rFonts w:hint="eastAsia" w:ascii="宋体" w:hAnsi="宋体"/>
          <w:sz w:val="24"/>
          <w:szCs w:val="24"/>
        </w:rPr>
        <w:t>全权代表无转委权。特此委托。</w:t>
      </w:r>
    </w:p>
    <w:p>
      <w:pPr>
        <w:spacing w:line="360" w:lineRule="auto"/>
        <w:jc w:val="left"/>
        <w:rPr>
          <w:rFonts w:hint="eastAsia" w:ascii="宋体" w:hAnsi="宋体"/>
          <w:sz w:val="24"/>
          <w:szCs w:val="24"/>
        </w:rPr>
      </w:pPr>
      <w:r>
        <mc:AlternateContent>
          <mc:Choice Requires="wps">
            <w:drawing>
              <wp:anchor distT="0" distB="0" distL="114300" distR="114300" simplePos="0" relativeHeight="251666432" behindDoc="0" locked="0" layoutInCell="1" allowOverlap="1">
                <wp:simplePos x="0" y="0"/>
                <wp:positionH relativeFrom="column">
                  <wp:posOffset>2800350</wp:posOffset>
                </wp:positionH>
                <wp:positionV relativeFrom="paragraph">
                  <wp:posOffset>1735455</wp:posOffset>
                </wp:positionV>
                <wp:extent cx="2514600" cy="1552575"/>
                <wp:effectExtent l="0" t="0" r="0" b="9525"/>
                <wp:wrapNone/>
                <wp:docPr id="467777095" name="矩形 6"/>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a:effectLst/>
                      </wps:spPr>
                      <wps:txbx>
                        <w:txbxContent>
                          <w:p>
                            <w:pPr>
                              <w:jc w:val="center"/>
                              <w:rPr>
                                <w:rFonts w:hint="eastAsia" w:ascii="宋体" w:hAnsi="宋体"/>
                              </w:rPr>
                            </w:pPr>
                            <w:r>
                              <w:rPr>
                                <w:rFonts w:hint="eastAsia" w:ascii="宋体" w:hAnsi="宋体"/>
                              </w:rPr>
                              <w:t>授权代理人身份证扫描件（反面）</w:t>
                            </w: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20.5pt;margin-top:136.65pt;height:122.25pt;width:198pt;z-index:251666432;mso-width-relative:page;mso-height-relative:page;" fillcolor="#FFFFFF" filled="t" stroked="t" coordsize="21600,21600" o:gfxdata="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">
                <v:fill on="t" focussize="0,0"/>
                <v:stroke color="#000000" miterlimit="8" joinstyle="miter"/>
                <v:imagedata o:title=""/>
                <o:lock v:ext="edit" aspectratio="f"/>
                <v:textbox>
                  <w:txbxContent>
                    <w:p>
                      <w:pPr>
                        <w:jc w:val="center"/>
                        <w:rPr>
                          <w:rFonts w:hint="eastAsia" w:ascii="宋体" w:hAnsi="宋体"/>
                        </w:rPr>
                      </w:pPr>
                      <w:r>
                        <w:rPr>
                          <w:rFonts w:hint="eastAsia" w:ascii="宋体" w:hAnsi="宋体"/>
                        </w:rPr>
                        <w:t>授权代理人身份证扫描件（反面）</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1744980</wp:posOffset>
                </wp:positionV>
                <wp:extent cx="2657475" cy="1552575"/>
                <wp:effectExtent l="0" t="0" r="9525" b="9525"/>
                <wp:wrapNone/>
                <wp:docPr id="1013602130" name="矩形 5"/>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a:effectLst/>
                      </wps:spPr>
                      <wps:txbx>
                        <w:txbxContent>
                          <w:p>
                            <w:pPr>
                              <w:jc w:val="center"/>
                              <w:rPr>
                                <w:rFonts w:hint="eastAsia" w:ascii="宋体" w:hAnsi="宋体"/>
                              </w:rPr>
                            </w:pPr>
                            <w:r>
                              <w:rPr>
                                <w:rFonts w:hint="eastAsia" w:ascii="宋体" w:hAnsi="宋体"/>
                              </w:rPr>
                              <w:t>授权代理人身份证扫描件（正面）</w:t>
                            </w:r>
                          </w:p>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0pt;margin-top:137.4pt;height:122.25pt;width:209.25pt;z-index:251665408;mso-width-relative:page;mso-height-relative:page;" fillcolor="#FFFFFF" filled="t" stroked="t" coordsize="21600,21600" o:gfxdata="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">
                <v:fill on="t" focussize="0,0"/>
                <v:stroke color="#000000" miterlimit="8" joinstyle="miter"/>
                <v:imagedata o:title=""/>
                <o:lock v:ext="edit" aspectratio="f"/>
                <v:textbox>
                  <w:txbxContent>
                    <w:p>
                      <w:pPr>
                        <w:jc w:val="center"/>
                        <w:rPr>
                          <w:rFonts w:hint="eastAsia" w:ascii="宋体" w:hAnsi="宋体"/>
                        </w:rPr>
                      </w:pPr>
                      <w:r>
                        <w:rPr>
                          <w:rFonts w:hint="eastAsia" w:ascii="宋体" w:hAnsi="宋体"/>
                        </w:rPr>
                        <w:t>授权代理人身份证扫描件（正面）</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2800350</wp:posOffset>
                </wp:positionH>
                <wp:positionV relativeFrom="paragraph">
                  <wp:posOffset>144780</wp:posOffset>
                </wp:positionV>
                <wp:extent cx="2514600" cy="1552575"/>
                <wp:effectExtent l="0" t="0" r="0" b="9525"/>
                <wp:wrapNone/>
                <wp:docPr id="576466403" name="矩形 4"/>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a:effectLst/>
                      </wps:spPr>
                      <wps:txbx>
                        <w:txbxContent>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r>
                              <w:rPr>
                                <w:rFonts w:hint="eastAsia" w:ascii="宋体" w:hAnsi="宋体"/>
                              </w:rPr>
                              <w:t>法定代表人身份证扫描件（反面）</w:t>
                            </w:r>
                          </w:p>
                          <w:p>
                            <w:pPr>
                              <w:jc w:val="center"/>
                              <w:rPr>
                                <w:rFonts w:hint="eastAsia" w:ascii="宋体" w:hAnsi="宋体"/>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20.5pt;margin-top:11.4pt;height:122.25pt;width:198pt;z-index:251664384;mso-width-relative:page;mso-height-relative:page;" fillcolor="#FFFFFF" filled="t" stroked="t" coordsize="21600,21600" o:gfxdata="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">
                <v:fill on="t" focussize="0,0"/>
                <v:stroke color="#000000" miterlimit="8" joinstyle="miter"/>
                <v:imagedata o:title=""/>
                <o:lock v:ext="edit" aspectratio="f"/>
                <v:textbox>
                  <w:txbxContent>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r>
                        <w:rPr>
                          <w:rFonts w:hint="eastAsia" w:ascii="宋体" w:hAnsi="宋体"/>
                        </w:rPr>
                        <w:t>法定代表人身份证扫描件（反面）</w:t>
                      </w:r>
                    </w:p>
                    <w:p>
                      <w:pPr>
                        <w:jc w:val="center"/>
                        <w:rPr>
                          <w:rFonts w:hint="eastAsia" w:ascii="宋体" w:hAnsi="宋体"/>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144780</wp:posOffset>
                </wp:positionV>
                <wp:extent cx="2657475" cy="1552575"/>
                <wp:effectExtent l="0" t="0" r="9525" b="9525"/>
                <wp:wrapNone/>
                <wp:docPr id="164687623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a:effectLst/>
                      </wps:spPr>
                      <wps:txbx>
                        <w:txbxContent>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r>
                              <w:rPr>
                                <w:rFonts w:hint="eastAsia" w:ascii="宋体" w:hAnsi="宋体"/>
                              </w:rPr>
                              <w:t>法定代表人身份证扫描件（正面）</w:t>
                            </w:r>
                          </w:p>
                          <w:p>
                            <w:pPr>
                              <w:jc w:val="center"/>
                              <w:rPr>
                                <w:rFonts w:hint="eastAsia" w:ascii="宋体" w:hAnsi="宋体"/>
                              </w:rPr>
                            </w:pPr>
                          </w:p>
                          <w:p>
                            <w:pPr>
                              <w:jc w:val="center"/>
                              <w:rPr>
                                <w:rFonts w:hint="eastAsia" w:ascii="宋体" w:hAnsi="宋体"/>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pt;margin-top:11.4pt;height:122.25pt;width:209.25pt;z-index:251663360;mso-width-relative:page;mso-height-relative:page;" fillcolor="#FFFFFF" filled="t" stroked="t" coordsize="21600,21600" o:gfxdata="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">
                <v:fill on="t" focussize="0,0"/>
                <v:stroke color="#000000" miterlimit="8" joinstyle="miter"/>
                <v:imagedata o:title=""/>
                <o:lock v:ext="edit" aspectratio="f"/>
                <v:textbox>
                  <w:txbxContent>
                    <w:p>
                      <w:pPr>
                        <w:jc w:val="center"/>
                        <w:rPr>
                          <w:rFonts w:hint="eastAsia" w:ascii="宋体" w:hAnsi="宋体"/>
                        </w:rPr>
                      </w:pPr>
                    </w:p>
                    <w:p>
                      <w:pPr>
                        <w:jc w:val="center"/>
                        <w:rPr>
                          <w:rFonts w:hint="eastAsia" w:ascii="宋体" w:hAnsi="宋体"/>
                        </w:rPr>
                      </w:pPr>
                    </w:p>
                    <w:p>
                      <w:pPr>
                        <w:jc w:val="center"/>
                        <w:rPr>
                          <w:rFonts w:hint="eastAsia" w:ascii="宋体" w:hAnsi="宋体"/>
                        </w:rPr>
                      </w:pPr>
                    </w:p>
                    <w:p>
                      <w:pPr>
                        <w:jc w:val="center"/>
                        <w:rPr>
                          <w:rFonts w:hint="eastAsia" w:ascii="宋体" w:hAnsi="宋体"/>
                        </w:rPr>
                      </w:pPr>
                      <w:r>
                        <w:rPr>
                          <w:rFonts w:hint="eastAsia" w:ascii="宋体" w:hAnsi="宋体"/>
                        </w:rPr>
                        <w:t>法定代表人身份证扫描件（正面）</w:t>
                      </w:r>
                    </w:p>
                    <w:p>
                      <w:pPr>
                        <w:jc w:val="center"/>
                        <w:rPr>
                          <w:rFonts w:hint="eastAsia" w:ascii="宋体" w:hAnsi="宋体"/>
                        </w:rPr>
                      </w:pPr>
                    </w:p>
                    <w:p>
                      <w:pPr>
                        <w:jc w:val="center"/>
                        <w:rPr>
                          <w:rFonts w:hint="eastAsia" w:ascii="宋体" w:hAnsi="宋体"/>
                        </w:rPr>
                      </w:pPr>
                    </w:p>
                  </w:txbxContent>
                </v:textbox>
              </v:rect>
            </w:pict>
          </mc:Fallback>
        </mc:AlternateContent>
      </w: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rPr>
          <w:rFonts w:hint="eastAsia" w:ascii="宋体" w:hAnsi="宋体"/>
          <w:sz w:val="24"/>
          <w:szCs w:val="24"/>
        </w:rPr>
      </w:pPr>
    </w:p>
    <w:p>
      <w:pPr>
        <w:spacing w:line="480" w:lineRule="auto"/>
        <w:rPr>
          <w:rFonts w:hint="eastAsia" w:ascii="宋体" w:hAnsi="宋体"/>
          <w:sz w:val="24"/>
          <w:szCs w:val="24"/>
        </w:rPr>
      </w:pPr>
      <w:r>
        <w:rPr>
          <w:rFonts w:hint="eastAsia" w:ascii="宋体" w:hAnsi="宋体"/>
          <w:sz w:val="24"/>
          <w:szCs w:val="24"/>
        </w:rPr>
        <w:t>单位名称（公章）：</w:t>
      </w:r>
    </w:p>
    <w:p>
      <w:pPr>
        <w:spacing w:line="480" w:lineRule="auto"/>
        <w:rPr>
          <w:rFonts w:hint="eastAsia" w:ascii="宋体" w:hAnsi="宋体"/>
          <w:sz w:val="24"/>
          <w:szCs w:val="24"/>
        </w:rPr>
      </w:pPr>
      <w:r>
        <w:rPr>
          <w:rFonts w:hint="eastAsia" w:ascii="宋体" w:hAnsi="宋体"/>
          <w:sz w:val="24"/>
          <w:szCs w:val="24"/>
        </w:rPr>
        <w:t>法定代表人签字：</w:t>
      </w:r>
    </w:p>
    <w:p>
      <w:pPr>
        <w:spacing w:line="480" w:lineRule="auto"/>
        <w:rPr>
          <w:rFonts w:hint="eastAsia" w:ascii="宋体" w:hAnsi="宋体"/>
          <w:sz w:val="24"/>
          <w:szCs w:val="24"/>
        </w:rPr>
      </w:pPr>
      <w:r>
        <w:rPr>
          <w:rFonts w:hint="eastAsia" w:ascii="宋体" w:hAnsi="宋体"/>
          <w:sz w:val="24"/>
          <w:szCs w:val="24"/>
        </w:rPr>
        <w:t>授权代理人签字：</w:t>
      </w:r>
    </w:p>
    <w:p>
      <w:pPr>
        <w:spacing w:line="480" w:lineRule="auto"/>
        <w:jc w:val="right"/>
        <w:rPr>
          <w:rFonts w:hint="eastAsia" w:ascii="宋体" w:hAnsi="宋体"/>
          <w:sz w:val="24"/>
          <w:szCs w:val="24"/>
        </w:rPr>
      </w:pPr>
      <w:r>
        <w:rPr>
          <w:rFonts w:hint="eastAsia" w:ascii="宋体" w:hAnsi="宋体"/>
          <w:sz w:val="24"/>
          <w:szCs w:val="24"/>
        </w:rPr>
        <w:t xml:space="preserve"> 年   月   日</w:t>
      </w:r>
    </w:p>
    <w:p>
      <w:pPr>
        <w:pStyle w:val="11"/>
        <w:spacing w:line="360" w:lineRule="auto"/>
        <w:rPr>
          <w:rFonts w:ascii="黑体" w:eastAsia="黑体"/>
          <w:sz w:val="28"/>
          <w:szCs w:val="28"/>
        </w:rPr>
      </w:pPr>
    </w:p>
    <w:p>
      <w:pPr>
        <w:pStyle w:val="11"/>
        <w:spacing w:line="360" w:lineRule="auto"/>
        <w:rPr>
          <w:rFonts w:ascii="黑体" w:eastAsia="黑体"/>
          <w:sz w:val="28"/>
          <w:szCs w:val="28"/>
        </w:rPr>
      </w:pPr>
    </w:p>
    <w:p>
      <w:pPr>
        <w:pStyle w:val="11"/>
        <w:spacing w:line="360" w:lineRule="auto"/>
        <w:rPr>
          <w:rFonts w:ascii="黑体" w:eastAsia="黑体"/>
          <w:sz w:val="28"/>
          <w:szCs w:val="28"/>
        </w:rPr>
      </w:pPr>
    </w:p>
    <w:p>
      <w:pPr>
        <w:spacing w:line="360" w:lineRule="auto"/>
        <w:rPr>
          <w:rFonts w:hint="eastAsia" w:ascii="黑体" w:hAnsi="黑体" w:eastAsia="黑体"/>
          <w:b/>
          <w:bCs/>
          <w:sz w:val="28"/>
          <w:szCs w:val="32"/>
        </w:rPr>
      </w:pPr>
      <w:r>
        <w:rPr>
          <w:rFonts w:hint="eastAsia" w:ascii="黑体" w:hAnsi="黑体" w:eastAsia="黑体"/>
          <w:b/>
          <w:bCs/>
          <w:sz w:val="28"/>
          <w:szCs w:val="32"/>
        </w:rPr>
        <w:t>格式11</w:t>
      </w:r>
    </w:p>
    <w:p>
      <w:pPr>
        <w:pStyle w:val="4"/>
        <w:spacing w:line="360" w:lineRule="auto"/>
        <w:jc w:val="center"/>
        <w:rPr>
          <w:sz w:val="36"/>
          <w:szCs w:val="36"/>
        </w:rPr>
      </w:pPr>
      <w:r>
        <w:rPr>
          <w:rFonts w:hint="eastAsia"/>
          <w:sz w:val="36"/>
          <w:szCs w:val="36"/>
        </w:rPr>
        <w:t>投标人报名单</w:t>
      </w:r>
    </w:p>
    <w:p>
      <w:pPr>
        <w:ind w:firstLine="120" w:firstLineChars="50"/>
        <w:rPr>
          <w:sz w:val="24"/>
        </w:rPr>
      </w:pPr>
      <w:r>
        <w:rPr>
          <w:rFonts w:hint="eastAsia"/>
          <w:sz w:val="24"/>
        </w:rPr>
        <w:t>公章：</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pPr>
              <w:jc w:val="center"/>
              <w:rPr>
                <w:sz w:val="24"/>
                <w:szCs w:val="24"/>
              </w:rPr>
            </w:pPr>
            <w:r>
              <w:rPr>
                <w:rFonts w:hint="eastAsia"/>
                <w:sz w:val="24"/>
                <w:szCs w:val="24"/>
              </w:rPr>
              <w:t>项目名称</w:t>
            </w:r>
          </w:p>
        </w:tc>
        <w:tc>
          <w:tcPr>
            <w:tcW w:w="7123" w:type="dxa"/>
            <w:gridSpan w:val="3"/>
            <w:vAlign w:val="center"/>
          </w:tcPr>
          <w:p>
            <w:pPr>
              <w:jc w:val="center"/>
              <w:rPr>
                <w:sz w:val="24"/>
                <w:szCs w:val="24"/>
              </w:rPr>
            </w:pPr>
            <w:r>
              <w:rPr>
                <w:rFonts w:hint="eastAsia"/>
                <w:sz w:val="24"/>
                <w:szCs w:val="24"/>
              </w:rPr>
              <w:t>标准件仓配上线服务项目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pPr>
              <w:jc w:val="center"/>
              <w:rPr>
                <w:sz w:val="24"/>
                <w:szCs w:val="24"/>
              </w:rPr>
            </w:pPr>
            <w:r>
              <w:rPr>
                <w:rFonts w:hint="eastAsia" w:ascii="宋体" w:hAnsi="宋体"/>
                <w:sz w:val="24"/>
              </w:rPr>
              <w:t>项目编号</w:t>
            </w:r>
          </w:p>
        </w:tc>
        <w:tc>
          <w:tcPr>
            <w:tcW w:w="7123" w:type="dxa"/>
            <w:gridSpan w:val="3"/>
            <w:vAlign w:val="center"/>
          </w:tcPr>
          <w:p>
            <w:pPr>
              <w:jc w:val="center"/>
              <w:rPr>
                <w:sz w:val="24"/>
                <w:szCs w:val="24"/>
              </w:rPr>
            </w:pPr>
            <w:r>
              <w:rPr>
                <w:sz w:val="24"/>
                <w:szCs w:val="24"/>
              </w:rPr>
              <w:t>CGZX2025080098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pPr>
              <w:jc w:val="center"/>
              <w:rPr>
                <w:sz w:val="24"/>
                <w:szCs w:val="24"/>
              </w:rPr>
            </w:pPr>
            <w:r>
              <w:rPr>
                <w:rFonts w:hint="eastAsia"/>
                <w:sz w:val="24"/>
                <w:szCs w:val="24"/>
              </w:rPr>
              <w:t>投标单位</w:t>
            </w:r>
          </w:p>
          <w:p>
            <w:pPr>
              <w:jc w:val="center"/>
              <w:rPr>
                <w:sz w:val="24"/>
                <w:szCs w:val="24"/>
              </w:rPr>
            </w:pPr>
            <w:r>
              <w:rPr>
                <w:rFonts w:hint="eastAsia"/>
                <w:sz w:val="24"/>
                <w:szCs w:val="24"/>
              </w:rPr>
              <w:t>（全称）</w:t>
            </w:r>
          </w:p>
        </w:tc>
        <w:tc>
          <w:tcPr>
            <w:tcW w:w="7123" w:type="dxa"/>
            <w:gridSpan w:val="3"/>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pPr>
              <w:jc w:val="center"/>
              <w:rPr>
                <w:sz w:val="24"/>
                <w:szCs w:val="24"/>
              </w:rPr>
            </w:pPr>
            <w:r>
              <w:rPr>
                <w:rFonts w:hint="eastAsia"/>
                <w:sz w:val="24"/>
                <w:szCs w:val="24"/>
              </w:rPr>
              <w:t>项目负责人</w:t>
            </w:r>
          </w:p>
        </w:tc>
        <w:tc>
          <w:tcPr>
            <w:tcW w:w="2526" w:type="dxa"/>
            <w:vAlign w:val="center"/>
          </w:tcPr>
          <w:p>
            <w:pPr>
              <w:jc w:val="center"/>
              <w:rPr>
                <w:sz w:val="24"/>
                <w:szCs w:val="24"/>
              </w:rPr>
            </w:pPr>
          </w:p>
        </w:tc>
        <w:tc>
          <w:tcPr>
            <w:tcW w:w="2272" w:type="dxa"/>
            <w:vAlign w:val="center"/>
          </w:tcPr>
          <w:p>
            <w:pPr>
              <w:jc w:val="center"/>
              <w:rPr>
                <w:sz w:val="24"/>
                <w:szCs w:val="24"/>
              </w:rPr>
            </w:pPr>
            <w:r>
              <w:rPr>
                <w:rFonts w:hint="eastAsia"/>
                <w:sz w:val="24"/>
                <w:szCs w:val="24"/>
              </w:rPr>
              <w:t>联系电话</w:t>
            </w:r>
          </w:p>
        </w:tc>
        <w:tc>
          <w:tcPr>
            <w:tcW w:w="232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pPr>
              <w:jc w:val="center"/>
              <w:rPr>
                <w:sz w:val="24"/>
                <w:szCs w:val="24"/>
              </w:rPr>
            </w:pPr>
            <w:r>
              <w:rPr>
                <w:rFonts w:hint="eastAsia"/>
                <w:sz w:val="24"/>
                <w:szCs w:val="24"/>
              </w:rPr>
              <w:t>公司电话</w:t>
            </w:r>
          </w:p>
        </w:tc>
        <w:tc>
          <w:tcPr>
            <w:tcW w:w="2526" w:type="dxa"/>
            <w:vAlign w:val="center"/>
          </w:tcPr>
          <w:p>
            <w:pPr>
              <w:jc w:val="center"/>
              <w:rPr>
                <w:sz w:val="24"/>
                <w:szCs w:val="24"/>
              </w:rPr>
            </w:pPr>
          </w:p>
        </w:tc>
        <w:tc>
          <w:tcPr>
            <w:tcW w:w="2272" w:type="dxa"/>
            <w:vAlign w:val="center"/>
          </w:tcPr>
          <w:p>
            <w:pPr>
              <w:jc w:val="center"/>
              <w:rPr>
                <w:sz w:val="24"/>
                <w:szCs w:val="24"/>
              </w:rPr>
            </w:pPr>
            <w:r>
              <w:rPr>
                <w:rFonts w:hint="eastAsia"/>
                <w:sz w:val="24"/>
                <w:szCs w:val="24"/>
              </w:rPr>
              <w:t>传真</w:t>
            </w:r>
          </w:p>
        </w:tc>
        <w:tc>
          <w:tcPr>
            <w:tcW w:w="232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pPr>
              <w:jc w:val="center"/>
              <w:rPr>
                <w:sz w:val="24"/>
                <w:szCs w:val="24"/>
              </w:rPr>
            </w:pPr>
            <w:r>
              <w:rPr>
                <w:rFonts w:hint="eastAsia"/>
                <w:sz w:val="24"/>
                <w:szCs w:val="24"/>
              </w:rPr>
              <w:t>E-mail</w:t>
            </w:r>
          </w:p>
        </w:tc>
        <w:tc>
          <w:tcPr>
            <w:tcW w:w="7123" w:type="dxa"/>
            <w:gridSpan w:val="3"/>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pPr>
              <w:jc w:val="center"/>
              <w:rPr>
                <w:sz w:val="24"/>
                <w:szCs w:val="24"/>
              </w:rPr>
            </w:pPr>
            <w:r>
              <w:rPr>
                <w:rFonts w:hint="eastAsia"/>
                <w:sz w:val="24"/>
                <w:szCs w:val="24"/>
              </w:rPr>
              <w:t>报名时间</w:t>
            </w:r>
          </w:p>
        </w:tc>
        <w:tc>
          <w:tcPr>
            <w:tcW w:w="7123" w:type="dxa"/>
            <w:gridSpan w:val="3"/>
            <w:vAlign w:val="center"/>
          </w:tcPr>
          <w:p>
            <w:pPr>
              <w:jc w:val="center"/>
              <w:rPr>
                <w:sz w:val="24"/>
                <w:szCs w:val="24"/>
              </w:rPr>
            </w:pPr>
            <w:r>
              <w:rPr>
                <w:rFonts w:hint="eastAsia"/>
                <w:sz w:val="24"/>
                <w:szCs w:val="24"/>
              </w:rPr>
              <w:t>年    月    日</w:t>
            </w:r>
          </w:p>
        </w:tc>
      </w:tr>
    </w:tbl>
    <w:p>
      <w:pPr>
        <w:spacing w:line="360" w:lineRule="auto"/>
        <w:jc w:val="left"/>
        <w:rPr>
          <w:rFonts w:ascii="黑体" w:eastAsia="黑体"/>
          <w:sz w:val="30"/>
        </w:rPr>
        <w:sectPr>
          <w:pgSz w:w="11906" w:h="16838"/>
          <w:pgMar w:top="1701" w:right="1418" w:bottom="1134" w:left="1418" w:header="851" w:footer="992" w:gutter="0"/>
          <w:pgNumType w:fmt="numberInDash" w:start="0"/>
          <w:cols w:space="720" w:num="1"/>
          <w:titlePg/>
          <w:docGrid w:linePitch="312" w:charSpace="0"/>
        </w:sectPr>
      </w:pPr>
      <w:r>
        <w:rPr>
          <w:rFonts w:hint="eastAsia" w:ascii="宋体" w:hAnsi="宋体" w:cs="宋体"/>
          <w:b/>
          <w:sz w:val="24"/>
          <w:szCs w:val="24"/>
          <w:lang w:bidi="ar"/>
        </w:rPr>
        <w:t>注：请投标单位认真填写并加盖公章，并于规定日期前以扫描电子版形式回传至e采通应标。</w:t>
      </w:r>
    </w:p>
    <w:p>
      <w:pPr>
        <w:pStyle w:val="2"/>
        <w:keepLines w:val="0"/>
        <w:widowControl/>
        <w:spacing w:before="0" w:after="0" w:line="500" w:lineRule="exact"/>
        <w:ind w:right="206" w:rightChars="98"/>
        <w:jc w:val="center"/>
        <w:rPr>
          <w:rFonts w:hint="eastAsia" w:hAnsi="黑体" w:eastAsia="黑体"/>
          <w:color w:val="000000"/>
          <w:kern w:val="2"/>
          <w:sz w:val="30"/>
          <w:szCs w:val="30"/>
        </w:rPr>
      </w:pPr>
      <w:bookmarkStart w:id="19" w:name="_Toc205983513"/>
      <w:r>
        <w:rPr>
          <w:rFonts w:hint="eastAsia" w:hAnsi="黑体" w:eastAsia="黑体"/>
          <w:color w:val="000000"/>
          <w:kern w:val="2"/>
          <w:sz w:val="30"/>
          <w:szCs w:val="30"/>
        </w:rPr>
        <w:t xml:space="preserve">第三章 </w:t>
      </w:r>
      <w:r>
        <w:rPr>
          <w:rFonts w:hAnsi="黑体" w:eastAsia="黑体"/>
          <w:color w:val="000000"/>
          <w:kern w:val="2"/>
          <w:sz w:val="30"/>
          <w:szCs w:val="30"/>
        </w:rPr>
        <w:t>技术</w:t>
      </w:r>
      <w:r>
        <w:rPr>
          <w:rFonts w:hint="eastAsia" w:hAnsi="黑体" w:eastAsia="黑体"/>
          <w:color w:val="000000"/>
          <w:kern w:val="2"/>
          <w:sz w:val="30"/>
          <w:szCs w:val="30"/>
        </w:rPr>
        <w:t>要求</w:t>
      </w:r>
      <w:bookmarkEnd w:id="19"/>
    </w:p>
    <w:p>
      <w:pPr>
        <w:pStyle w:val="2"/>
        <w:keepLines w:val="0"/>
        <w:widowControl/>
        <w:spacing w:before="0" w:after="0" w:line="360" w:lineRule="auto"/>
        <w:ind w:right="206" w:rightChars="98"/>
        <w:rPr>
          <w:rFonts w:hint="eastAsia" w:hAnsi="宋体"/>
          <w:kern w:val="2"/>
          <w:sz w:val="32"/>
          <w:szCs w:val="32"/>
        </w:rPr>
      </w:pPr>
      <w:bookmarkStart w:id="20" w:name="_Toc205983514"/>
      <w:r>
        <w:rPr>
          <w:rFonts w:hint="eastAsia" w:hAnsi="宋体"/>
          <w:kern w:val="2"/>
          <w:sz w:val="32"/>
          <w:szCs w:val="32"/>
        </w:rPr>
        <w:t>一、业务介绍</w:t>
      </w:r>
      <w:bookmarkEnd w:id="20"/>
    </w:p>
    <w:p>
      <w:pPr>
        <w:pStyle w:val="4"/>
        <w:spacing w:line="360" w:lineRule="auto"/>
        <w:rPr>
          <w:bCs w:val="0"/>
          <w:sz w:val="24"/>
          <w:szCs w:val="24"/>
        </w:rPr>
      </w:pPr>
      <w:r>
        <w:rPr>
          <w:rFonts w:hint="eastAsia"/>
          <w:bCs w:val="0"/>
          <w:sz w:val="24"/>
          <w:szCs w:val="24"/>
        </w:rPr>
        <w:t>1、业务范围</w:t>
      </w:r>
    </w:p>
    <w:p>
      <w:pPr>
        <w:spacing w:line="360" w:lineRule="auto"/>
        <w:ind w:firstLine="480" w:firstLineChars="200"/>
        <w:rPr>
          <w:sz w:val="24"/>
        </w:rPr>
      </w:pPr>
      <w:r>
        <w:rPr>
          <w:rFonts w:hint="eastAsia"/>
          <w:sz w:val="24"/>
        </w:rPr>
        <w:t>投标人需投入必要的仓库、物流运输设备和服务人员完成标准件类产品的仓储、分拣排序及发交业务，具体如下：</w:t>
      </w:r>
      <w:r>
        <w:rPr>
          <w:sz w:val="24"/>
        </w:rPr>
        <w:t xml:space="preserve"> </w:t>
      </w:r>
    </w:p>
    <w:p>
      <w:pPr>
        <w:spacing w:line="360" w:lineRule="auto"/>
        <w:ind w:firstLine="480" w:firstLineChars="200"/>
        <w:rPr>
          <w:sz w:val="24"/>
        </w:rPr>
      </w:pPr>
      <w:r>
        <w:rPr>
          <w:rFonts w:hint="eastAsia"/>
          <w:sz w:val="24"/>
        </w:rPr>
        <w:t>1）按要求完成供方来货零部件的卸车、接收、入库、保管、下架、排序、发交（含正常计划发交、紧急计划发交、配件计划发交等）。</w:t>
      </w:r>
    </w:p>
    <w:p>
      <w:pPr>
        <w:spacing w:line="360" w:lineRule="auto"/>
        <w:ind w:firstLine="480" w:firstLineChars="200"/>
        <w:rPr>
          <w:sz w:val="24"/>
        </w:rPr>
      </w:pPr>
      <w:r>
        <w:rPr>
          <w:rFonts w:hint="eastAsia"/>
          <w:sz w:val="24"/>
        </w:rPr>
        <w:t>2）根据商用车配送计划，将产品翻包（如有）并按顺序摆放到对应的工位器具上，做好产品的器具防护后入待发区缓存；根据配送计划要求派车将满载器具分批次运输至商用车厂区内指定地点。</w:t>
      </w:r>
    </w:p>
    <w:p>
      <w:pPr>
        <w:spacing w:line="360" w:lineRule="auto"/>
        <w:ind w:firstLine="480" w:firstLineChars="200"/>
        <w:rPr>
          <w:sz w:val="24"/>
        </w:rPr>
      </w:pPr>
      <w:r>
        <w:rPr>
          <w:rFonts w:hint="eastAsia"/>
          <w:sz w:val="24"/>
        </w:rPr>
        <w:t>3）标准件类产品到达商用车厂区的的装卸、临时存储、单据打印、总装交接，同时投入相应设备，包括叉车、牵引车、充电桩等；投标方在商用车厂区内使用的叉车等充电设备，需单独向商用车支付电费；</w:t>
      </w:r>
    </w:p>
    <w:p>
      <w:pPr>
        <w:spacing w:line="360" w:lineRule="auto"/>
        <w:ind w:firstLine="480" w:firstLineChars="200"/>
        <w:rPr>
          <w:sz w:val="24"/>
        </w:rPr>
      </w:pPr>
      <w:r>
        <w:rPr>
          <w:rFonts w:hint="eastAsia"/>
          <w:sz w:val="24"/>
        </w:rPr>
        <w:t>4）标准件巡线人员应每2小时巡线一次，根据线边标准件余量实现看板拉动补货。</w:t>
      </w:r>
    </w:p>
    <w:p>
      <w:pPr>
        <w:spacing w:line="360" w:lineRule="auto"/>
        <w:ind w:firstLine="480" w:firstLineChars="200"/>
        <w:rPr>
          <w:sz w:val="24"/>
        </w:rPr>
      </w:pPr>
      <w:r>
        <w:rPr>
          <w:rFonts w:hint="eastAsia"/>
          <w:sz w:val="24"/>
        </w:rPr>
        <w:t>5）依据招标方提供的生产计划和要货计划，投标方负责产品上线配送相关工作，并按要求在确保产品质量的前提下将产品准时、足额配送发交到指定地点（包含但不限于总装、分装，车身、车架、试制线、KD及备配件包装库等)后，与接收单位办理签收手续，做到货单同步、日清日结。</w:t>
      </w:r>
    </w:p>
    <w:p>
      <w:pPr>
        <w:spacing w:line="360" w:lineRule="auto"/>
        <w:ind w:firstLine="480" w:firstLineChars="200"/>
        <w:rPr>
          <w:sz w:val="24"/>
        </w:rPr>
      </w:pPr>
      <w:r>
        <w:rPr>
          <w:rFonts w:hint="eastAsia"/>
          <w:sz w:val="24"/>
        </w:rPr>
        <w:t>6）投标人负责仓储、配送过程中使用的器具及料盒清洁、整理、维护维修、分类存储工作，按时完成料盒及器具的盘点工作，并按招标方要求办理出门手续、及时将空料盒及器具返回仓库。</w:t>
      </w:r>
    </w:p>
    <w:p>
      <w:pPr>
        <w:spacing w:line="360" w:lineRule="auto"/>
        <w:ind w:firstLine="480" w:firstLineChars="200"/>
        <w:rPr>
          <w:sz w:val="24"/>
        </w:rPr>
      </w:pPr>
      <w:r>
        <w:rPr>
          <w:rFonts w:hint="eastAsia"/>
          <w:sz w:val="24"/>
        </w:rPr>
        <w:t>7）定期盘点其仓储配送的产品件的数量等并按招标方指令提报指定产品库存数据，接受招标方的出、入产品的盘点稽核。仓库内账物一致率1</w:t>
      </w:r>
      <w:r>
        <w:rPr>
          <w:sz w:val="24"/>
        </w:rPr>
        <w:t>00</w:t>
      </w:r>
      <w:r>
        <w:rPr>
          <w:rFonts w:hint="eastAsia"/>
          <w:sz w:val="24"/>
        </w:rPr>
        <w:t>％，资产损失由投标方承担。</w:t>
      </w:r>
    </w:p>
    <w:p>
      <w:pPr>
        <w:spacing w:line="360" w:lineRule="auto"/>
        <w:ind w:firstLine="480" w:firstLineChars="200"/>
        <w:rPr>
          <w:sz w:val="24"/>
        </w:rPr>
      </w:pPr>
      <w:r>
        <w:rPr>
          <w:rFonts w:hint="eastAsia"/>
          <w:sz w:val="24"/>
        </w:rPr>
        <w:t>8）投标人负责配件计划、KD件计划、停车紧急件计划的物流配送工作。</w:t>
      </w:r>
    </w:p>
    <w:p>
      <w:pPr>
        <w:spacing w:line="360" w:lineRule="auto"/>
        <w:ind w:firstLine="480" w:firstLineChars="200"/>
        <w:rPr>
          <w:sz w:val="24"/>
        </w:rPr>
      </w:pPr>
      <w:r>
        <w:rPr>
          <w:rFonts w:hint="eastAsia"/>
          <w:sz w:val="24"/>
        </w:rPr>
        <w:t>9）做好逆向物流、随车工具发交及改制计划件的相关物流工作。</w:t>
      </w:r>
    </w:p>
    <w:p>
      <w:pPr>
        <w:spacing w:line="360" w:lineRule="auto"/>
        <w:ind w:firstLine="480" w:firstLineChars="200"/>
        <w:rPr>
          <w:sz w:val="24"/>
        </w:rPr>
      </w:pPr>
      <w:r>
        <w:rPr>
          <w:rFonts w:hint="eastAsia"/>
          <w:sz w:val="24"/>
        </w:rPr>
        <w:t>10）投标人负责零部件在以上过程中的物资安全和质量防护。</w:t>
      </w:r>
    </w:p>
    <w:p>
      <w:pPr>
        <w:spacing w:line="360" w:lineRule="auto"/>
        <w:ind w:firstLine="480" w:firstLineChars="200"/>
        <w:rPr>
          <w:sz w:val="24"/>
        </w:rPr>
      </w:pPr>
      <w:r>
        <w:rPr>
          <w:rFonts w:hint="eastAsia"/>
          <w:sz w:val="24"/>
        </w:rPr>
        <w:t>11）保证人员及车辆在厂区内的安全作业符合招标方相关规定。</w:t>
      </w:r>
    </w:p>
    <w:p>
      <w:pPr>
        <w:spacing w:line="360" w:lineRule="auto"/>
        <w:ind w:firstLine="480" w:firstLineChars="200"/>
        <w:rPr>
          <w:sz w:val="24"/>
        </w:rPr>
      </w:pPr>
      <w:r>
        <w:rPr>
          <w:rFonts w:hint="eastAsia"/>
          <w:sz w:val="24"/>
        </w:rPr>
        <w:t>12）按照招标方“</w:t>
      </w:r>
      <w:r>
        <w:rPr>
          <w:sz w:val="24"/>
        </w:rPr>
        <w:t>5</w:t>
      </w:r>
      <w:r>
        <w:rPr>
          <w:rFonts w:hint="eastAsia"/>
          <w:sz w:val="24"/>
        </w:rPr>
        <w:t>s”制度标准，做好现场管理。</w:t>
      </w:r>
    </w:p>
    <w:p>
      <w:pPr>
        <w:spacing w:line="360" w:lineRule="auto"/>
        <w:ind w:firstLine="480" w:firstLineChars="200"/>
        <w:rPr>
          <w:sz w:val="24"/>
        </w:rPr>
      </w:pPr>
      <w:r>
        <w:rPr>
          <w:rFonts w:hint="eastAsia"/>
          <w:sz w:val="24"/>
        </w:rPr>
        <w:t>13）根据物流提升安排，执行商用车物流提升具体工作。</w:t>
      </w:r>
    </w:p>
    <w:p>
      <w:pPr>
        <w:spacing w:line="360" w:lineRule="auto"/>
        <w:ind w:firstLine="480" w:firstLineChars="200"/>
        <w:rPr>
          <w:sz w:val="24"/>
        </w:rPr>
      </w:pPr>
      <w:r>
        <w:rPr>
          <w:rFonts w:hint="eastAsia"/>
          <w:sz w:val="24"/>
        </w:rPr>
        <w:t>14）配合招标方完成交代的临时性任务。</w:t>
      </w:r>
    </w:p>
    <w:p>
      <w:pPr>
        <w:pStyle w:val="4"/>
        <w:spacing w:line="360" w:lineRule="auto"/>
        <w:rPr>
          <w:rFonts w:hint="eastAsia" w:ascii="宋体" w:hAnsi="宋体"/>
          <w:bCs w:val="0"/>
          <w:sz w:val="24"/>
          <w:szCs w:val="24"/>
        </w:rPr>
      </w:pPr>
      <w:r>
        <w:rPr>
          <w:rFonts w:hint="eastAsia" w:ascii="宋体" w:hAnsi="宋体"/>
          <w:bCs w:val="0"/>
          <w:sz w:val="24"/>
          <w:szCs w:val="24"/>
        </w:rPr>
        <w:t>2、业务量</w:t>
      </w:r>
    </w:p>
    <w:p>
      <w:pPr>
        <w:spacing w:line="360" w:lineRule="auto"/>
        <w:ind w:firstLine="480" w:firstLineChars="200"/>
        <w:rPr>
          <w:rFonts w:hint="eastAsia" w:ascii="宋体" w:hAnsi="宋体"/>
          <w:sz w:val="24"/>
          <w:szCs w:val="24"/>
        </w:rPr>
      </w:pPr>
      <w:r>
        <w:rPr>
          <w:rFonts w:hint="eastAsia" w:ascii="宋体" w:hAnsi="宋体"/>
          <w:sz w:val="24"/>
          <w:szCs w:val="24"/>
        </w:rPr>
        <w:t>产量基数：66000辆/年</w:t>
      </w:r>
    </w:p>
    <w:p>
      <w:pPr>
        <w:spacing w:line="360" w:lineRule="auto"/>
        <w:ind w:firstLine="480" w:firstLineChars="200"/>
        <w:rPr>
          <w:rFonts w:hint="eastAsia" w:ascii="宋体" w:hAnsi="宋体"/>
          <w:sz w:val="24"/>
          <w:szCs w:val="24"/>
        </w:rPr>
      </w:pPr>
      <w:r>
        <w:rPr>
          <w:rFonts w:hint="eastAsia" w:ascii="宋体" w:hAnsi="宋体"/>
          <w:sz w:val="24"/>
          <w:szCs w:val="24"/>
        </w:rPr>
        <w:t>生产班次：该产量计划为单线双班</w:t>
      </w:r>
    </w:p>
    <w:p>
      <w:pPr>
        <w:spacing w:line="360" w:lineRule="auto"/>
        <w:ind w:firstLine="480" w:firstLineChars="200"/>
        <w:rPr>
          <w:rFonts w:hint="eastAsia" w:ascii="宋体" w:hAnsi="宋体"/>
          <w:sz w:val="24"/>
          <w:szCs w:val="24"/>
        </w:rPr>
      </w:pPr>
      <w:r>
        <w:rPr>
          <w:rFonts w:hint="eastAsia" w:ascii="宋体" w:hAnsi="宋体"/>
          <w:sz w:val="24"/>
          <w:szCs w:val="24"/>
        </w:rPr>
        <w:t>作业时间：10-12小时/班</w:t>
      </w:r>
    </w:p>
    <w:p>
      <w:pPr>
        <w:spacing w:line="360" w:lineRule="auto"/>
        <w:ind w:firstLine="480" w:firstLineChars="200"/>
        <w:rPr>
          <w:rFonts w:hint="eastAsia" w:ascii="宋体" w:hAnsi="宋体"/>
          <w:sz w:val="24"/>
          <w:szCs w:val="24"/>
          <w:highlight w:val="yellow"/>
        </w:rPr>
      </w:pPr>
      <w:r>
        <w:rPr>
          <w:rFonts w:hint="eastAsia" w:ascii="宋体" w:hAnsi="宋体"/>
          <w:sz w:val="24"/>
          <w:szCs w:val="24"/>
          <w:highlight w:val="yellow"/>
        </w:rPr>
        <w:t>产品件发交金额：</w:t>
      </w:r>
      <w:r>
        <w:rPr>
          <w:rFonts w:hint="eastAsia" w:ascii="宋体" w:hAnsi="宋体" w:cs="宋体"/>
          <w:b/>
          <w:bCs/>
          <w:kern w:val="0"/>
          <w:sz w:val="24"/>
          <w:szCs w:val="24"/>
          <w:highlight w:val="yellow"/>
        </w:rPr>
        <w:t>14750万元/年</w:t>
      </w:r>
    </w:p>
    <w:p>
      <w:pPr>
        <w:spacing w:line="360" w:lineRule="auto"/>
        <w:ind w:firstLine="480" w:firstLineChars="200"/>
        <w:rPr>
          <w:rFonts w:hint="eastAsia" w:ascii="宋体" w:hAnsi="宋体"/>
          <w:sz w:val="24"/>
          <w:szCs w:val="24"/>
        </w:rPr>
      </w:pPr>
      <w:r>
        <w:rPr>
          <w:rFonts w:hint="eastAsia" w:ascii="宋体" w:hAnsi="宋体"/>
          <w:sz w:val="24"/>
          <w:szCs w:val="24"/>
        </w:rPr>
        <w:t>业务签约期：三年</w:t>
      </w:r>
    </w:p>
    <w:p>
      <w:pPr>
        <w:pStyle w:val="2"/>
        <w:keepLines w:val="0"/>
        <w:widowControl/>
        <w:spacing w:before="0" w:after="0" w:line="360" w:lineRule="auto"/>
        <w:ind w:right="206" w:rightChars="98"/>
        <w:rPr>
          <w:rFonts w:hint="eastAsia" w:hAnsi="宋体"/>
          <w:kern w:val="2"/>
          <w:sz w:val="32"/>
          <w:szCs w:val="32"/>
        </w:rPr>
      </w:pPr>
      <w:bookmarkStart w:id="21" w:name="_Toc205983515"/>
      <w:r>
        <w:rPr>
          <w:rFonts w:hint="eastAsia" w:hAnsi="宋体"/>
          <w:kern w:val="2"/>
          <w:sz w:val="32"/>
          <w:szCs w:val="32"/>
        </w:rPr>
        <w:t>二、物流仓库情况</w:t>
      </w:r>
      <w:bookmarkEnd w:id="21"/>
    </w:p>
    <w:p>
      <w:pPr>
        <w:pStyle w:val="4"/>
        <w:spacing w:line="360" w:lineRule="auto"/>
      </w:pPr>
      <w:r>
        <w:rPr>
          <w:bCs w:val="0"/>
          <w:sz w:val="24"/>
          <w:szCs w:val="24"/>
        </w:rPr>
        <w:t>1、</w:t>
      </w:r>
      <w:r>
        <w:rPr>
          <w:rFonts w:hint="eastAsia"/>
          <w:bCs w:val="0"/>
          <w:sz w:val="24"/>
          <w:szCs w:val="24"/>
        </w:rPr>
        <w:t>物流仓库</w:t>
      </w:r>
    </w:p>
    <w:p>
      <w:pPr>
        <w:spacing w:line="360" w:lineRule="auto"/>
        <w:ind w:firstLine="480" w:firstLineChars="200"/>
        <w:rPr>
          <w:rFonts w:hint="eastAsia" w:hAnsi="等线"/>
          <w:sz w:val="24"/>
        </w:rPr>
      </w:pPr>
      <w:r>
        <w:rPr>
          <w:rFonts w:hint="eastAsia" w:hAnsi="等线"/>
          <w:sz w:val="24"/>
        </w:rPr>
        <w:t>投标方投入物流仓库</w:t>
      </w:r>
      <w:r>
        <w:rPr>
          <w:rFonts w:hAnsi="等线"/>
          <w:sz w:val="24"/>
        </w:rPr>
        <w:t>面积</w:t>
      </w:r>
      <w:r>
        <w:rPr>
          <w:rFonts w:hint="eastAsia" w:hAnsi="等线"/>
          <w:sz w:val="24"/>
        </w:rPr>
        <w:t>预计5000</w:t>
      </w:r>
      <w:r>
        <w:rPr>
          <w:rFonts w:hAnsi="等线"/>
          <w:sz w:val="24"/>
        </w:rPr>
        <w:t>㎡，</w:t>
      </w:r>
      <w:r>
        <w:rPr>
          <w:rFonts w:hint="eastAsia" w:hAnsi="等线"/>
          <w:sz w:val="24"/>
        </w:rPr>
        <w:t>负责标准件类产品的仓储暂存</w:t>
      </w:r>
      <w:r>
        <w:rPr>
          <w:rFonts w:hAnsi="等线"/>
          <w:sz w:val="24"/>
        </w:rPr>
        <w:t>。</w:t>
      </w:r>
      <w:r>
        <w:rPr>
          <w:rFonts w:hint="eastAsia" w:hAnsi="等线"/>
          <w:sz w:val="24"/>
        </w:rPr>
        <w:t>仓库内投入相应的设备设施和人员，</w:t>
      </w:r>
      <w:r>
        <w:rPr>
          <w:rFonts w:hAnsi="等线"/>
          <w:sz w:val="24"/>
        </w:rPr>
        <w:t>不得影响招标人的</w:t>
      </w:r>
      <w:r>
        <w:rPr>
          <w:rFonts w:hint="eastAsia" w:hAnsi="等线"/>
          <w:sz w:val="24"/>
        </w:rPr>
        <w:t>正常运作。</w:t>
      </w:r>
    </w:p>
    <w:p>
      <w:pPr>
        <w:spacing w:line="360" w:lineRule="auto"/>
        <w:ind w:firstLine="480" w:firstLineChars="200"/>
        <w:rPr>
          <w:rFonts w:hint="eastAsia" w:hAnsi="等线"/>
          <w:sz w:val="24"/>
          <w:highlight w:val="yellow"/>
        </w:rPr>
      </w:pPr>
      <w:r>
        <w:rPr>
          <w:rFonts w:hint="eastAsia" w:hAnsi="等线"/>
          <w:sz w:val="24"/>
          <w:highlight w:val="yellow"/>
        </w:rPr>
        <w:t>投标人投入仓库距招标人厂区距离须为10KM以内。</w:t>
      </w:r>
    </w:p>
    <w:p>
      <w:pPr>
        <w:pStyle w:val="4"/>
        <w:spacing w:line="360" w:lineRule="auto"/>
        <w:rPr>
          <w:bCs w:val="0"/>
          <w:sz w:val="24"/>
          <w:szCs w:val="24"/>
        </w:rPr>
      </w:pPr>
      <w:r>
        <w:rPr>
          <w:rFonts w:hint="eastAsia"/>
          <w:bCs w:val="0"/>
          <w:sz w:val="24"/>
          <w:szCs w:val="24"/>
        </w:rPr>
        <w:t>2</w:t>
      </w:r>
      <w:r>
        <w:rPr>
          <w:bCs w:val="0"/>
          <w:sz w:val="24"/>
          <w:szCs w:val="24"/>
        </w:rPr>
        <w:t>、信息化系统</w:t>
      </w:r>
    </w:p>
    <w:p>
      <w:pPr>
        <w:spacing w:line="360" w:lineRule="auto"/>
        <w:ind w:firstLine="480" w:firstLineChars="200"/>
        <w:rPr>
          <w:sz w:val="24"/>
        </w:rPr>
      </w:pPr>
      <w:r>
        <w:rPr>
          <w:sz w:val="24"/>
        </w:rPr>
        <w:t>3.1招标人提供此业务支持的信息化系统，包含但不限于</w:t>
      </w:r>
      <w:r>
        <w:rPr>
          <w:rFonts w:hint="eastAsia"/>
          <w:sz w:val="24"/>
        </w:rPr>
        <w:t>SAP、</w:t>
      </w:r>
      <w:r>
        <w:rPr>
          <w:sz w:val="24"/>
        </w:rPr>
        <w:t>WMS、MES等</w:t>
      </w:r>
      <w:r>
        <w:rPr>
          <w:rFonts w:hint="eastAsia"/>
          <w:sz w:val="24"/>
        </w:rPr>
        <w:t>。</w:t>
      </w:r>
      <w:r>
        <w:rPr>
          <w:sz w:val="24"/>
        </w:rPr>
        <w:t xml:space="preserve"> </w:t>
      </w:r>
    </w:p>
    <w:p>
      <w:pPr>
        <w:spacing w:line="360" w:lineRule="auto"/>
        <w:ind w:firstLine="480" w:firstLineChars="200"/>
        <w:rPr>
          <w:sz w:val="24"/>
        </w:rPr>
      </w:pPr>
      <w:r>
        <w:rPr>
          <w:sz w:val="24"/>
        </w:rPr>
        <w:t>3.2招标人</w:t>
      </w:r>
      <w:r>
        <w:rPr>
          <w:rFonts w:hint="eastAsia"/>
          <w:sz w:val="24"/>
        </w:rPr>
        <w:t>通过</w:t>
      </w:r>
      <w:r>
        <w:rPr>
          <w:sz w:val="24"/>
        </w:rPr>
        <w:t>系统发布物流计划、物料下架、分拣排序作业指导、拉动</w:t>
      </w:r>
      <w:r>
        <w:rPr>
          <w:rFonts w:hint="eastAsia"/>
          <w:sz w:val="24"/>
        </w:rPr>
        <w:t>计划</w:t>
      </w:r>
      <w:r>
        <w:rPr>
          <w:sz w:val="24"/>
        </w:rPr>
        <w:t>等信息。</w:t>
      </w:r>
    </w:p>
    <w:p>
      <w:pPr>
        <w:pStyle w:val="2"/>
        <w:keepLines w:val="0"/>
        <w:widowControl/>
        <w:spacing w:before="0" w:after="0" w:line="360" w:lineRule="auto"/>
        <w:ind w:right="206" w:rightChars="98"/>
        <w:rPr>
          <w:rFonts w:hint="eastAsia" w:hAnsi="宋体"/>
          <w:kern w:val="2"/>
          <w:sz w:val="32"/>
          <w:szCs w:val="32"/>
        </w:rPr>
      </w:pPr>
      <w:bookmarkStart w:id="22" w:name="_Toc205983516"/>
      <w:r>
        <w:rPr>
          <w:rFonts w:hint="eastAsia" w:hAnsi="宋体"/>
          <w:kern w:val="2"/>
          <w:sz w:val="32"/>
          <w:szCs w:val="32"/>
        </w:rPr>
        <w:t>三、收费介绍</w:t>
      </w:r>
      <w:bookmarkEnd w:id="22"/>
    </w:p>
    <w:p>
      <w:pPr>
        <w:pStyle w:val="4"/>
        <w:spacing w:line="360" w:lineRule="auto"/>
        <w:rPr>
          <w:bCs w:val="0"/>
          <w:sz w:val="24"/>
          <w:szCs w:val="24"/>
        </w:rPr>
      </w:pPr>
      <w:r>
        <w:rPr>
          <w:bCs w:val="0"/>
          <w:sz w:val="24"/>
          <w:szCs w:val="24"/>
        </w:rPr>
        <w:t>1、</w:t>
      </w:r>
      <w:r>
        <w:rPr>
          <w:rFonts w:hint="eastAsia"/>
          <w:bCs w:val="0"/>
          <w:sz w:val="24"/>
          <w:szCs w:val="24"/>
        </w:rPr>
        <w:t>业务收费模式</w:t>
      </w:r>
    </w:p>
    <w:p>
      <w:pPr>
        <w:spacing w:line="360" w:lineRule="auto"/>
        <w:ind w:firstLine="480" w:firstLineChars="200"/>
        <w:rPr>
          <w:rFonts w:hint="eastAsia" w:hAnsi="等线"/>
          <w:sz w:val="24"/>
        </w:rPr>
      </w:pPr>
      <w:r>
        <w:rPr>
          <w:rFonts w:hint="eastAsia" w:hAnsi="等线"/>
          <w:sz w:val="24"/>
        </w:rPr>
        <w:t>标准件仓配上线服务项目按产品货值及费率收费，由产品件供应商及商用车共同支付，投标方需与产品件供应商签订供应商物流服务协议，约定供应商支付的费率，剩余部分重汽承担。</w:t>
      </w:r>
    </w:p>
    <w:p>
      <w:pPr>
        <w:pStyle w:val="4"/>
        <w:spacing w:line="360" w:lineRule="auto"/>
        <w:rPr>
          <w:b w:val="0"/>
          <w:sz w:val="24"/>
          <w:szCs w:val="24"/>
        </w:rPr>
      </w:pPr>
      <w:bookmarkStart w:id="23" w:name="_Toc47031006"/>
      <w:bookmarkStart w:id="24" w:name="_Toc44077687"/>
      <w:bookmarkStart w:id="25" w:name="_Toc44077636"/>
      <w:r>
        <w:rPr>
          <w:rFonts w:hint="eastAsia"/>
          <w:b w:val="0"/>
          <w:sz w:val="24"/>
          <w:szCs w:val="24"/>
        </w:rPr>
        <w:t>2、重汽收费</w:t>
      </w:r>
    </w:p>
    <w:p>
      <w:pPr>
        <w:spacing w:line="360" w:lineRule="auto"/>
        <w:ind w:firstLine="480" w:firstLineChars="200"/>
        <w:rPr>
          <w:rFonts w:hint="eastAsia" w:hAnsi="等线"/>
          <w:bCs/>
          <w:sz w:val="24"/>
        </w:rPr>
      </w:pPr>
      <w:r>
        <w:rPr>
          <w:rFonts w:hint="eastAsia" w:hAnsi="等线"/>
          <w:bCs/>
          <w:sz w:val="24"/>
        </w:rPr>
        <w:t>在招标方厂区内作业的，招标方收取投标方厂房租赁费（招标方提供仓库的情况下）、水费、电费。</w:t>
      </w:r>
    </w:p>
    <w:p>
      <w:pPr>
        <w:spacing w:line="360" w:lineRule="auto"/>
        <w:ind w:firstLine="480" w:firstLineChars="200"/>
        <w:rPr>
          <w:rFonts w:hint="eastAsia" w:hAnsi="等线"/>
          <w:bCs/>
          <w:sz w:val="24"/>
        </w:rPr>
      </w:pPr>
      <w:r>
        <w:rPr>
          <w:rFonts w:hint="eastAsia" w:hAnsi="等线"/>
          <w:bCs/>
          <w:sz w:val="24"/>
        </w:rPr>
        <w:t>收费标准如下（以下均为含税价）：</w:t>
      </w:r>
    </w:p>
    <w:p>
      <w:pPr>
        <w:spacing w:line="360" w:lineRule="auto"/>
        <w:ind w:firstLine="480" w:firstLineChars="200"/>
        <w:rPr>
          <w:rFonts w:hint="eastAsia" w:hAnsi="等线"/>
          <w:bCs/>
          <w:sz w:val="24"/>
        </w:rPr>
      </w:pPr>
      <w:r>
        <w:rPr>
          <w:rFonts w:hint="eastAsia" w:hAnsi="等线"/>
          <w:bCs/>
          <w:sz w:val="24"/>
        </w:rPr>
        <w:t>厂房租赁费：0.6元/㎡/天</w:t>
      </w:r>
    </w:p>
    <w:p>
      <w:pPr>
        <w:spacing w:line="360" w:lineRule="auto"/>
        <w:ind w:firstLine="480" w:firstLineChars="200"/>
        <w:rPr>
          <w:rFonts w:hint="eastAsia" w:hAnsi="等线"/>
          <w:bCs/>
          <w:sz w:val="24"/>
        </w:rPr>
      </w:pPr>
      <w:r>
        <w:rPr>
          <w:rFonts w:hint="eastAsia" w:hAnsi="等线"/>
          <w:bCs/>
          <w:sz w:val="24"/>
        </w:rPr>
        <w:t>水费：4.5元/方</w:t>
      </w:r>
    </w:p>
    <w:p>
      <w:pPr>
        <w:spacing w:line="360" w:lineRule="auto"/>
        <w:ind w:firstLine="480" w:firstLineChars="200"/>
        <w:rPr>
          <w:rFonts w:hint="eastAsia" w:hAnsi="等线"/>
          <w:bCs/>
          <w:sz w:val="24"/>
        </w:rPr>
      </w:pPr>
      <w:r>
        <w:rPr>
          <w:rFonts w:hint="eastAsia" w:hAnsi="等线"/>
          <w:bCs/>
          <w:sz w:val="24"/>
        </w:rPr>
        <w:t>电费：1元/度</w:t>
      </w:r>
    </w:p>
    <w:p/>
    <w:p>
      <w:pPr>
        <w:pStyle w:val="2"/>
        <w:keepLines w:val="0"/>
        <w:widowControl/>
        <w:spacing w:before="0" w:after="0" w:line="360" w:lineRule="auto"/>
        <w:ind w:right="206" w:rightChars="98"/>
        <w:rPr>
          <w:rFonts w:hint="eastAsia" w:hAnsi="宋体"/>
          <w:kern w:val="2"/>
          <w:sz w:val="32"/>
          <w:szCs w:val="32"/>
        </w:rPr>
      </w:pPr>
      <w:bookmarkStart w:id="26" w:name="_Toc205983517"/>
      <w:r>
        <w:rPr>
          <w:rFonts w:hint="eastAsia" w:hAnsi="宋体"/>
          <w:kern w:val="2"/>
          <w:sz w:val="32"/>
          <w:szCs w:val="32"/>
        </w:rPr>
        <w:t>三</w:t>
      </w:r>
      <w:r>
        <w:rPr>
          <w:rFonts w:hAnsi="宋体"/>
          <w:kern w:val="2"/>
          <w:sz w:val="32"/>
          <w:szCs w:val="32"/>
        </w:rPr>
        <w:t>、运行管理要求</w:t>
      </w:r>
      <w:bookmarkEnd w:id="23"/>
      <w:bookmarkEnd w:id="24"/>
      <w:bookmarkEnd w:id="25"/>
      <w:bookmarkEnd w:id="26"/>
    </w:p>
    <w:p>
      <w:pPr>
        <w:pStyle w:val="4"/>
        <w:spacing w:line="440" w:lineRule="exact"/>
        <w:rPr>
          <w:bCs w:val="0"/>
          <w:sz w:val="24"/>
          <w:szCs w:val="24"/>
        </w:rPr>
      </w:pPr>
      <w:bookmarkStart w:id="27" w:name="_Toc44077637"/>
      <w:bookmarkStart w:id="28" w:name="_Toc44077688"/>
      <w:bookmarkStart w:id="29" w:name="_Toc47031007"/>
      <w:r>
        <w:rPr>
          <w:bCs w:val="0"/>
          <w:sz w:val="24"/>
          <w:szCs w:val="24"/>
        </w:rPr>
        <w:t>1、标准化要求</w:t>
      </w:r>
      <w:bookmarkEnd w:id="27"/>
      <w:bookmarkEnd w:id="28"/>
      <w:bookmarkEnd w:id="29"/>
    </w:p>
    <w:p>
      <w:pPr>
        <w:ind w:firstLine="480" w:firstLineChars="200"/>
        <w:rPr>
          <w:sz w:val="24"/>
        </w:rPr>
      </w:pPr>
      <w:r>
        <w:rPr>
          <w:sz w:val="24"/>
        </w:rPr>
        <w:t>投标人应针对收货、分拣、发运等物流操作环节建立流程文件，并将其用于指导员工的日常操作。相关流程文件包括但不限于以下内容：</w:t>
      </w:r>
    </w:p>
    <w:p>
      <w:pPr>
        <w:spacing w:line="480" w:lineRule="exact"/>
        <w:ind w:firstLine="482"/>
        <w:rPr>
          <w:sz w:val="24"/>
        </w:rPr>
      </w:pPr>
      <w:r>
        <w:rPr>
          <w:sz w:val="24"/>
        </w:rPr>
        <w:t>数据管理文件</w:t>
      </w:r>
    </w:p>
    <w:p>
      <w:pPr>
        <w:spacing w:line="480" w:lineRule="exact"/>
        <w:ind w:firstLine="482"/>
        <w:rPr>
          <w:sz w:val="24"/>
        </w:rPr>
      </w:pPr>
      <w:r>
        <w:rPr>
          <w:sz w:val="24"/>
        </w:rPr>
        <w:t>涉及岗位的标准作业指导书（SOP）</w:t>
      </w:r>
    </w:p>
    <w:p>
      <w:pPr>
        <w:spacing w:line="480" w:lineRule="exact"/>
        <w:ind w:firstLine="482"/>
        <w:rPr>
          <w:sz w:val="24"/>
        </w:rPr>
      </w:pPr>
      <w:r>
        <w:rPr>
          <w:sz w:val="24"/>
        </w:rPr>
        <w:t>先进先出（FIFO）管理文件</w:t>
      </w:r>
    </w:p>
    <w:p>
      <w:pPr>
        <w:spacing w:line="480" w:lineRule="exact"/>
        <w:ind w:firstLine="482"/>
        <w:rPr>
          <w:sz w:val="24"/>
        </w:rPr>
      </w:pPr>
      <w:r>
        <w:rPr>
          <w:sz w:val="24"/>
        </w:rPr>
        <w:t>批次管理文件</w:t>
      </w:r>
    </w:p>
    <w:p>
      <w:pPr>
        <w:spacing w:line="480" w:lineRule="exact"/>
        <w:ind w:firstLine="482"/>
        <w:rPr>
          <w:sz w:val="24"/>
        </w:rPr>
      </w:pPr>
      <w:r>
        <w:rPr>
          <w:sz w:val="24"/>
        </w:rPr>
        <w:t>MAX/MIN管理文件</w:t>
      </w:r>
    </w:p>
    <w:p>
      <w:pPr>
        <w:spacing w:line="480" w:lineRule="exact"/>
        <w:ind w:firstLine="482"/>
        <w:rPr>
          <w:sz w:val="24"/>
        </w:rPr>
      </w:pPr>
      <w:r>
        <w:rPr>
          <w:sz w:val="24"/>
        </w:rPr>
        <w:t>物料出入库管理文件</w:t>
      </w:r>
    </w:p>
    <w:p>
      <w:pPr>
        <w:spacing w:line="480" w:lineRule="exact"/>
        <w:ind w:firstLine="482"/>
        <w:rPr>
          <w:sz w:val="24"/>
        </w:rPr>
      </w:pPr>
      <w:r>
        <w:rPr>
          <w:sz w:val="24"/>
        </w:rPr>
        <w:t>工程变更（断点）管理文件</w:t>
      </w:r>
    </w:p>
    <w:p>
      <w:pPr>
        <w:spacing w:line="480" w:lineRule="exact"/>
        <w:ind w:firstLine="482"/>
        <w:rPr>
          <w:sz w:val="24"/>
        </w:rPr>
      </w:pPr>
      <w:r>
        <w:rPr>
          <w:sz w:val="24"/>
        </w:rPr>
        <w:t>预警流程文件</w:t>
      </w:r>
    </w:p>
    <w:p>
      <w:pPr>
        <w:spacing w:line="480" w:lineRule="exact"/>
        <w:ind w:firstLine="482"/>
        <w:rPr>
          <w:sz w:val="24"/>
        </w:rPr>
      </w:pPr>
      <w:r>
        <w:rPr>
          <w:sz w:val="24"/>
        </w:rPr>
        <w:t>盘点流程文件</w:t>
      </w:r>
    </w:p>
    <w:p>
      <w:pPr>
        <w:spacing w:line="480" w:lineRule="exact"/>
        <w:ind w:firstLine="482"/>
        <w:rPr>
          <w:sz w:val="24"/>
        </w:rPr>
      </w:pPr>
      <w:r>
        <w:rPr>
          <w:sz w:val="24"/>
        </w:rPr>
        <w:t>损坏零件/废料/可疑物料管理文件</w:t>
      </w:r>
    </w:p>
    <w:p>
      <w:pPr>
        <w:spacing w:line="480" w:lineRule="exact"/>
        <w:ind w:firstLine="482"/>
        <w:rPr>
          <w:sz w:val="24"/>
        </w:rPr>
      </w:pPr>
      <w:r>
        <w:rPr>
          <w:sz w:val="24"/>
        </w:rPr>
        <w:t>呆滞物料管理文件</w:t>
      </w:r>
    </w:p>
    <w:p>
      <w:pPr>
        <w:spacing w:line="480" w:lineRule="exact"/>
        <w:ind w:firstLine="482"/>
        <w:rPr>
          <w:sz w:val="24"/>
        </w:rPr>
      </w:pPr>
      <w:r>
        <w:rPr>
          <w:sz w:val="24"/>
        </w:rPr>
        <w:t>包装器具管理文件</w:t>
      </w:r>
    </w:p>
    <w:p>
      <w:pPr>
        <w:spacing w:line="480" w:lineRule="exact"/>
        <w:ind w:firstLine="482"/>
        <w:rPr>
          <w:sz w:val="24"/>
        </w:rPr>
      </w:pPr>
      <w:r>
        <w:rPr>
          <w:sz w:val="24"/>
        </w:rPr>
        <w:t>目视化管理文件</w:t>
      </w:r>
    </w:p>
    <w:p>
      <w:pPr>
        <w:pStyle w:val="4"/>
        <w:spacing w:line="440" w:lineRule="exact"/>
        <w:rPr>
          <w:bCs w:val="0"/>
          <w:sz w:val="24"/>
          <w:szCs w:val="24"/>
        </w:rPr>
      </w:pPr>
      <w:r>
        <w:rPr>
          <w:rFonts w:hint="eastAsia"/>
          <w:bCs w:val="0"/>
          <w:sz w:val="24"/>
          <w:szCs w:val="24"/>
        </w:rPr>
        <w:t>2</w:t>
      </w:r>
      <w:r>
        <w:rPr>
          <w:bCs w:val="0"/>
          <w:sz w:val="24"/>
          <w:szCs w:val="24"/>
        </w:rPr>
        <w:t>、生产计划与物料计划</w:t>
      </w:r>
    </w:p>
    <w:p>
      <w:pPr>
        <w:spacing w:line="480" w:lineRule="exact"/>
        <w:ind w:firstLine="482"/>
        <w:rPr>
          <w:sz w:val="24"/>
        </w:rPr>
      </w:pPr>
      <w:r>
        <w:rPr>
          <w:sz w:val="24"/>
        </w:rPr>
        <w:t>2.1 招标人将通过系统定时发布</w:t>
      </w:r>
      <w:r>
        <w:rPr>
          <w:rFonts w:hint="eastAsia"/>
          <w:sz w:val="24"/>
        </w:rPr>
        <w:t>生产</w:t>
      </w:r>
      <w:r>
        <w:rPr>
          <w:sz w:val="24"/>
        </w:rPr>
        <w:t>计划，投标人需根据生产计划合理安排和调配人员。如对生产计划存在疑问，及时与招标人进行沟通和协调。</w:t>
      </w:r>
    </w:p>
    <w:p>
      <w:pPr>
        <w:spacing w:line="480" w:lineRule="exact"/>
        <w:ind w:firstLine="482"/>
        <w:rPr>
          <w:sz w:val="24"/>
        </w:rPr>
      </w:pPr>
      <w:r>
        <w:rPr>
          <w:sz w:val="24"/>
        </w:rPr>
        <w:t>2.2 投标人须按要求及时接收招标人发出的各类物料计划，并及时、正确地使用这些物料计划指导实施日常操作。对物料计划中存在的疑问，要及时与招标人相关人员进行沟通和协调。</w:t>
      </w:r>
    </w:p>
    <w:p>
      <w:pPr>
        <w:spacing w:line="480" w:lineRule="exact"/>
        <w:ind w:firstLine="482"/>
        <w:rPr>
          <w:sz w:val="24"/>
        </w:rPr>
      </w:pPr>
      <w:r>
        <w:rPr>
          <w:sz w:val="24"/>
        </w:rPr>
        <w:t>2.3 遇招标人生产计划或物料计划调整时，投标人需要配合同步执行并建立相应预案。</w:t>
      </w:r>
    </w:p>
    <w:p>
      <w:pPr>
        <w:spacing w:line="480" w:lineRule="exact"/>
        <w:ind w:firstLine="482"/>
        <w:jc w:val="center"/>
        <w:rPr>
          <w:b/>
          <w:bCs/>
          <w:sz w:val="24"/>
        </w:rPr>
      </w:pPr>
      <w:r>
        <w:rPr>
          <w:rFonts w:hint="eastAsia"/>
          <w:b/>
          <w:bCs/>
          <w:sz w:val="24"/>
        </w:rPr>
        <w:t>仓储仓库管理要求</w:t>
      </w:r>
    </w:p>
    <w:tbl>
      <w:tblPr>
        <w:tblStyle w:val="21"/>
        <w:tblW w:w="0" w:type="auto"/>
        <w:jc w:val="center"/>
        <w:tblLayout w:type="autofit"/>
        <w:tblCellMar>
          <w:top w:w="0" w:type="dxa"/>
          <w:left w:w="108" w:type="dxa"/>
          <w:bottom w:w="0" w:type="dxa"/>
          <w:right w:w="108" w:type="dxa"/>
        </w:tblCellMar>
      </w:tblPr>
      <w:tblGrid>
        <w:gridCol w:w="502"/>
        <w:gridCol w:w="1071"/>
        <w:gridCol w:w="7163"/>
        <w:gridCol w:w="550"/>
      </w:tblGrid>
      <w:tr>
        <w:tblPrEx>
          <w:tblCellMar>
            <w:top w:w="0" w:type="dxa"/>
            <w:left w:w="108" w:type="dxa"/>
            <w:bottom w:w="0" w:type="dxa"/>
            <w:right w:w="108" w:type="dxa"/>
          </w:tblCellMar>
        </w:tblPrEx>
        <w:trPr>
          <w:trHeight w:val="450" w:hRule="atLeast"/>
          <w:jc w:val="center"/>
        </w:trPr>
        <w:tc>
          <w:tcPr>
            <w:tcW w:w="0" w:type="auto"/>
            <w:tcBorders>
              <w:top w:val="single" w:color="000000" w:sz="8" w:space="0"/>
              <w:left w:val="single" w:color="000000" w:sz="8" w:space="0"/>
              <w:bottom w:val="single" w:color="000000" w:sz="4" w:space="0"/>
              <w:right w:val="single" w:color="000000" w:sz="4" w:space="0"/>
            </w:tcBorders>
            <w:vAlign w:val="center"/>
          </w:tcPr>
          <w:p>
            <w:pPr>
              <w:widowControl/>
              <w:jc w:val="center"/>
              <w:textAlignment w:val="center"/>
              <w:rPr>
                <w:rStyle w:val="62"/>
                <w:rFonts w:hint="eastAsia" w:ascii="宋体" w:hAnsi="宋体" w:eastAsia="宋体"/>
                <w:b w:val="0"/>
                <w:bCs w:val="0"/>
                <w:color w:val="auto"/>
                <w:sz w:val="24"/>
                <w:szCs w:val="24"/>
                <w:lang w:bidi="ar"/>
              </w:rPr>
            </w:pPr>
            <w:r>
              <w:rPr>
                <w:rStyle w:val="62"/>
                <w:rFonts w:hint="eastAsia" w:ascii="宋体" w:hAnsi="宋体" w:eastAsia="宋体"/>
                <w:b w:val="0"/>
                <w:bCs w:val="0"/>
                <w:color w:val="auto"/>
                <w:sz w:val="24"/>
                <w:szCs w:val="24"/>
                <w:lang w:bidi="ar"/>
              </w:rPr>
              <w:t>活动</w:t>
            </w:r>
          </w:p>
          <w:p>
            <w:pPr>
              <w:widowControl/>
              <w:jc w:val="center"/>
              <w:textAlignment w:val="center"/>
              <w:rPr>
                <w:rFonts w:hint="eastAsia" w:ascii="宋体" w:hAnsi="宋体" w:cs="仿宋_GB2312"/>
                <w:sz w:val="24"/>
                <w:szCs w:val="24"/>
              </w:rPr>
            </w:pPr>
            <w:r>
              <w:rPr>
                <w:rStyle w:val="62"/>
                <w:rFonts w:hint="eastAsia" w:ascii="宋体" w:hAnsi="宋体" w:eastAsia="宋体"/>
                <w:b w:val="0"/>
                <w:bCs w:val="0"/>
                <w:color w:val="auto"/>
                <w:sz w:val="24"/>
                <w:szCs w:val="24"/>
                <w:lang w:bidi="ar"/>
              </w:rPr>
              <w:t>编号</w:t>
            </w:r>
          </w:p>
        </w:tc>
        <w:tc>
          <w:tcPr>
            <w:tcW w:w="0" w:type="auto"/>
            <w:tcBorders>
              <w:top w:val="single" w:color="000000" w:sz="8" w:space="0"/>
              <w:left w:val="single" w:color="000000" w:sz="4" w:space="0"/>
              <w:bottom w:val="single" w:color="000000" w:sz="4" w:space="0"/>
              <w:right w:val="single" w:color="000000" w:sz="4" w:space="0"/>
            </w:tcBorders>
            <w:vAlign w:val="center"/>
          </w:tcPr>
          <w:p>
            <w:pPr>
              <w:widowControl/>
              <w:jc w:val="center"/>
              <w:textAlignment w:val="center"/>
              <w:rPr>
                <w:rStyle w:val="62"/>
                <w:rFonts w:hint="eastAsia" w:ascii="宋体" w:hAnsi="宋体" w:eastAsia="宋体"/>
                <w:b w:val="0"/>
                <w:bCs w:val="0"/>
                <w:color w:val="auto"/>
                <w:sz w:val="24"/>
                <w:szCs w:val="24"/>
                <w:lang w:bidi="ar"/>
              </w:rPr>
            </w:pPr>
            <w:r>
              <w:rPr>
                <w:rStyle w:val="62"/>
                <w:rFonts w:hint="eastAsia" w:ascii="宋体" w:hAnsi="宋体" w:eastAsia="宋体"/>
                <w:b w:val="0"/>
                <w:bCs w:val="0"/>
                <w:color w:val="auto"/>
                <w:sz w:val="24"/>
                <w:szCs w:val="24"/>
                <w:lang w:bidi="ar"/>
              </w:rPr>
              <w:t>活动</w:t>
            </w:r>
          </w:p>
          <w:p>
            <w:pPr>
              <w:widowControl/>
              <w:jc w:val="center"/>
              <w:textAlignment w:val="center"/>
              <w:rPr>
                <w:rFonts w:hint="eastAsia" w:ascii="宋体" w:hAnsi="宋体" w:cs="仿宋_GB2312"/>
                <w:sz w:val="24"/>
                <w:szCs w:val="24"/>
              </w:rPr>
            </w:pPr>
            <w:r>
              <w:rPr>
                <w:rStyle w:val="62"/>
                <w:rFonts w:hint="eastAsia" w:ascii="宋体" w:hAnsi="宋体" w:eastAsia="宋体"/>
                <w:b w:val="0"/>
                <w:bCs w:val="0"/>
                <w:color w:val="auto"/>
                <w:sz w:val="24"/>
                <w:szCs w:val="24"/>
                <w:lang w:bidi="ar"/>
              </w:rPr>
              <w:t>名称</w:t>
            </w:r>
          </w:p>
        </w:tc>
        <w:tc>
          <w:tcPr>
            <w:tcW w:w="0" w:type="auto"/>
            <w:tcBorders>
              <w:top w:val="single" w:color="000000" w:sz="8"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Style w:val="62"/>
                <w:rFonts w:hint="eastAsia" w:ascii="宋体" w:hAnsi="宋体" w:eastAsia="宋体"/>
                <w:b w:val="0"/>
                <w:bCs w:val="0"/>
                <w:color w:val="auto"/>
                <w:sz w:val="24"/>
                <w:szCs w:val="24"/>
                <w:lang w:bidi="ar"/>
              </w:rPr>
              <w:t>管理要求</w:t>
            </w:r>
          </w:p>
        </w:tc>
        <w:tc>
          <w:tcPr>
            <w:tcW w:w="0" w:type="auto"/>
            <w:tcBorders>
              <w:top w:val="single" w:color="000000" w:sz="8" w:space="0"/>
              <w:left w:val="single" w:color="000000" w:sz="4" w:space="0"/>
              <w:bottom w:val="single" w:color="000000" w:sz="4" w:space="0"/>
              <w:right w:val="single" w:color="000000" w:sz="4" w:space="0"/>
            </w:tcBorders>
            <w:vAlign w:val="center"/>
          </w:tcPr>
          <w:p>
            <w:pPr>
              <w:widowControl/>
              <w:jc w:val="center"/>
              <w:textAlignment w:val="center"/>
              <w:rPr>
                <w:rStyle w:val="62"/>
                <w:rFonts w:hint="eastAsia" w:ascii="宋体" w:hAnsi="宋体" w:eastAsia="宋体"/>
                <w:b w:val="0"/>
                <w:bCs w:val="0"/>
                <w:color w:val="auto"/>
                <w:sz w:val="24"/>
                <w:szCs w:val="24"/>
                <w:lang w:bidi="ar"/>
              </w:rPr>
            </w:pPr>
            <w:r>
              <w:rPr>
                <w:rStyle w:val="62"/>
                <w:rFonts w:hint="eastAsia" w:ascii="宋体" w:hAnsi="宋体" w:eastAsia="宋体"/>
                <w:b w:val="0"/>
                <w:bCs w:val="0"/>
                <w:color w:val="auto"/>
                <w:sz w:val="24"/>
                <w:szCs w:val="24"/>
                <w:lang w:bidi="ar"/>
              </w:rPr>
              <w:t>主责</w:t>
            </w:r>
          </w:p>
          <w:p>
            <w:pPr>
              <w:widowControl/>
              <w:jc w:val="center"/>
              <w:textAlignment w:val="center"/>
              <w:rPr>
                <w:rFonts w:hint="eastAsia" w:ascii="宋体" w:hAnsi="宋体" w:cs="仿宋_GB2312"/>
                <w:sz w:val="24"/>
                <w:szCs w:val="24"/>
              </w:rPr>
            </w:pPr>
            <w:r>
              <w:rPr>
                <w:rStyle w:val="62"/>
                <w:rFonts w:hint="eastAsia" w:ascii="宋体" w:hAnsi="宋体" w:eastAsia="宋体"/>
                <w:b w:val="0"/>
                <w:bCs w:val="0"/>
                <w:color w:val="auto"/>
                <w:sz w:val="24"/>
                <w:szCs w:val="24"/>
                <w:lang w:bidi="ar"/>
              </w:rPr>
              <w:t>单位</w:t>
            </w:r>
          </w:p>
        </w:tc>
      </w:tr>
      <w:tr>
        <w:tblPrEx>
          <w:tblCellMar>
            <w:top w:w="0" w:type="dxa"/>
            <w:left w:w="108" w:type="dxa"/>
            <w:bottom w:w="0" w:type="dxa"/>
            <w:right w:w="108" w:type="dxa"/>
          </w:tblCellMar>
        </w:tblPrEx>
        <w:trPr>
          <w:trHeight w:val="2225" w:hRule="atLeast"/>
          <w:jc w:val="center"/>
        </w:trPr>
        <w:tc>
          <w:tcPr>
            <w:tcW w:w="0" w:type="auto"/>
            <w:tcBorders>
              <w:top w:val="single" w:color="000000" w:sz="8" w:space="0"/>
              <w:left w:val="single" w:color="000000" w:sz="8" w:space="0"/>
              <w:bottom w:val="single" w:color="000000" w:sz="4" w:space="0"/>
              <w:right w:val="single" w:color="000000" w:sz="4" w:space="0"/>
            </w:tcBorders>
            <w:vAlign w:val="center"/>
          </w:tcPr>
          <w:p>
            <w:pPr>
              <w:widowControl/>
              <w:jc w:val="center"/>
              <w:textAlignment w:val="center"/>
              <w:rPr>
                <w:rStyle w:val="62"/>
                <w:rFonts w:hint="eastAsia" w:ascii="宋体" w:hAnsi="宋体" w:eastAsia="宋体"/>
                <w:b w:val="0"/>
                <w:bCs w:val="0"/>
                <w:color w:val="auto"/>
                <w:sz w:val="24"/>
                <w:szCs w:val="24"/>
                <w:lang w:bidi="ar"/>
              </w:rPr>
            </w:pPr>
            <w:r>
              <w:rPr>
                <w:rStyle w:val="62"/>
                <w:rFonts w:hint="eastAsia" w:ascii="宋体" w:hAnsi="宋体" w:eastAsia="宋体"/>
                <w:b w:val="0"/>
                <w:bCs w:val="0"/>
                <w:color w:val="auto"/>
                <w:sz w:val="24"/>
                <w:szCs w:val="24"/>
                <w:lang w:bidi="ar"/>
              </w:rPr>
              <w:t>1</w:t>
            </w:r>
          </w:p>
        </w:tc>
        <w:tc>
          <w:tcPr>
            <w:tcW w:w="0" w:type="auto"/>
            <w:tcBorders>
              <w:top w:val="single" w:color="000000" w:sz="8" w:space="0"/>
              <w:left w:val="single" w:color="000000" w:sz="4" w:space="0"/>
              <w:bottom w:val="single" w:color="000000" w:sz="4" w:space="0"/>
              <w:right w:val="single" w:color="000000" w:sz="4" w:space="0"/>
            </w:tcBorders>
            <w:vAlign w:val="center"/>
          </w:tcPr>
          <w:p>
            <w:pPr>
              <w:spacing w:line="288" w:lineRule="auto"/>
              <w:jc w:val="left"/>
              <w:rPr>
                <w:rFonts w:hint="eastAsia" w:ascii="宋体" w:hAnsi="宋体" w:cs="仿宋_GB2312"/>
                <w:sz w:val="24"/>
                <w:szCs w:val="24"/>
                <w:lang w:val="zh-CN"/>
              </w:rPr>
            </w:pPr>
            <w:r>
              <w:rPr>
                <w:rFonts w:hint="eastAsia" w:ascii="宋体" w:hAnsi="宋体" w:cs="仿宋_GB2312"/>
                <w:sz w:val="24"/>
                <w:szCs w:val="24"/>
                <w:lang w:val="zh-CN"/>
              </w:rPr>
              <w:t>依据生产计划</w:t>
            </w:r>
          </w:p>
          <w:p>
            <w:pPr>
              <w:spacing w:line="288" w:lineRule="auto"/>
              <w:jc w:val="left"/>
              <w:rPr>
                <w:rStyle w:val="62"/>
                <w:rFonts w:hint="eastAsia" w:ascii="宋体" w:hAnsi="宋体" w:eastAsia="宋体"/>
                <w:b w:val="0"/>
                <w:bCs w:val="0"/>
                <w:color w:val="auto"/>
                <w:sz w:val="24"/>
                <w:szCs w:val="24"/>
                <w:lang w:val="zh-CN"/>
              </w:rPr>
            </w:pPr>
            <w:r>
              <w:rPr>
                <w:rFonts w:hint="eastAsia" w:ascii="宋体" w:hAnsi="宋体" w:cs="仿宋_GB2312"/>
                <w:sz w:val="24"/>
                <w:szCs w:val="24"/>
                <w:lang w:val="zh-CN"/>
              </w:rPr>
              <w:t>及库存，制定采购计划</w:t>
            </w:r>
          </w:p>
        </w:tc>
        <w:tc>
          <w:tcPr>
            <w:tcW w:w="0" w:type="auto"/>
            <w:tcBorders>
              <w:top w:val="single" w:color="000000" w:sz="8" w:space="0"/>
              <w:left w:val="single" w:color="000000" w:sz="4" w:space="0"/>
              <w:bottom w:val="single" w:color="000000" w:sz="4" w:space="0"/>
              <w:right w:val="single" w:color="000000" w:sz="4" w:space="0"/>
            </w:tcBorders>
            <w:vAlign w:val="center"/>
          </w:tcPr>
          <w:p>
            <w:pPr>
              <w:widowControl/>
              <w:jc w:val="left"/>
              <w:textAlignment w:val="center"/>
              <w:rPr>
                <w:rStyle w:val="62"/>
                <w:rFonts w:hint="eastAsia" w:ascii="宋体" w:hAnsi="宋体" w:eastAsia="宋体"/>
                <w:b w:val="0"/>
                <w:bCs w:val="0"/>
                <w:color w:val="auto"/>
                <w:sz w:val="24"/>
                <w:szCs w:val="24"/>
                <w:lang w:bidi="ar"/>
              </w:rPr>
            </w:pPr>
            <w:r>
              <w:rPr>
                <w:rStyle w:val="62"/>
                <w:rFonts w:hint="eastAsia" w:ascii="宋体" w:hAnsi="宋体" w:eastAsia="宋体"/>
                <w:b w:val="0"/>
                <w:bCs w:val="0"/>
                <w:color w:val="auto"/>
                <w:sz w:val="24"/>
                <w:szCs w:val="24"/>
                <w:lang w:bidi="ar"/>
              </w:rPr>
              <w:t>根据集团制造工程部生产计划及物资实际库存情况，制定采购计划。</w:t>
            </w:r>
          </w:p>
        </w:tc>
        <w:tc>
          <w:tcPr>
            <w:tcW w:w="0" w:type="auto"/>
            <w:tcBorders>
              <w:top w:val="single" w:color="000000" w:sz="8" w:space="0"/>
              <w:left w:val="single" w:color="000000" w:sz="4" w:space="0"/>
              <w:bottom w:val="single" w:color="000000" w:sz="4" w:space="0"/>
              <w:right w:val="single" w:color="000000" w:sz="4" w:space="0"/>
            </w:tcBorders>
            <w:vAlign w:val="center"/>
          </w:tcPr>
          <w:p>
            <w:pPr>
              <w:widowControl/>
              <w:textAlignment w:val="center"/>
              <w:rPr>
                <w:rStyle w:val="62"/>
                <w:rFonts w:hint="eastAsia" w:ascii="宋体" w:hAnsi="宋体" w:eastAsia="宋体"/>
                <w:b w:val="0"/>
                <w:bCs w:val="0"/>
                <w:color w:val="auto"/>
                <w:sz w:val="24"/>
                <w:szCs w:val="24"/>
                <w:lang w:bidi="ar"/>
              </w:rPr>
            </w:pPr>
            <w:r>
              <w:rPr>
                <w:rStyle w:val="62"/>
                <w:rFonts w:hint="eastAsia" w:ascii="宋体" w:hAnsi="宋体" w:eastAsia="宋体"/>
                <w:b w:val="0"/>
                <w:bCs w:val="0"/>
                <w:color w:val="auto"/>
                <w:sz w:val="24"/>
                <w:szCs w:val="24"/>
                <w:lang w:bidi="ar"/>
              </w:rPr>
              <w:t>招标人</w:t>
            </w:r>
          </w:p>
        </w:tc>
      </w:tr>
      <w:tr>
        <w:tblPrEx>
          <w:tblCellMar>
            <w:top w:w="0" w:type="dxa"/>
            <w:left w:w="108" w:type="dxa"/>
            <w:bottom w:w="0" w:type="dxa"/>
            <w:right w:w="108" w:type="dxa"/>
          </w:tblCellMar>
        </w:tblPrEx>
        <w:trPr>
          <w:trHeight w:val="318" w:hRule="atLeast"/>
          <w:jc w:val="center"/>
        </w:trPr>
        <w:tc>
          <w:tcPr>
            <w:tcW w:w="0" w:type="auto"/>
            <w:tcBorders>
              <w:top w:val="single" w:color="000000" w:sz="4" w:space="0"/>
              <w:left w:val="single" w:color="000000" w:sz="8"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Fonts w:hint="eastAsia" w:ascii="宋体" w:hAnsi="宋体" w:cs="仿宋_GB2312"/>
                <w:sz w:val="24"/>
                <w:szCs w:val="24"/>
              </w:rPr>
              <w:t>2</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Fonts w:hint="eastAsia" w:ascii="宋体" w:hAnsi="宋体" w:cs="仿宋_GB2312"/>
                <w:kern w:val="0"/>
                <w:sz w:val="24"/>
                <w:szCs w:val="24"/>
                <w:lang w:bidi="ar"/>
              </w:rPr>
              <w:t>收货入库</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仿宋_GB2312"/>
                <w:kern w:val="0"/>
                <w:sz w:val="24"/>
                <w:szCs w:val="24"/>
                <w:lang w:bidi="ar"/>
              </w:rPr>
            </w:pPr>
            <w:r>
              <w:rPr>
                <w:rFonts w:hint="eastAsia" w:ascii="宋体" w:hAnsi="宋体" w:cs="仿宋_GB2312"/>
                <w:kern w:val="0"/>
                <w:sz w:val="24"/>
                <w:szCs w:val="24"/>
                <w:lang w:bidi="ar"/>
              </w:rPr>
              <w:t>2.1投标人依据采购计划、送货单，对到货物资的产品名称、规格型号、到货数量、包装外观等信息进行检查，对有包装破损、产品明显锈蚀、磕碰等不良状态的产品件不予接收。供应商对收货判定有异议的，由质量部仲裁；</w:t>
            </w:r>
            <w:r>
              <w:rPr>
                <w:rFonts w:hint="eastAsia" w:ascii="宋体" w:hAnsi="宋体" w:cs="仿宋_GB2312"/>
                <w:kern w:val="0"/>
                <w:sz w:val="24"/>
                <w:szCs w:val="24"/>
                <w:lang w:bidi="ar"/>
              </w:rPr>
              <w:br w:type="textWrapping"/>
            </w:r>
            <w:r>
              <w:rPr>
                <w:rFonts w:hint="eastAsia" w:ascii="宋体" w:hAnsi="宋体" w:cs="仿宋_GB2312"/>
                <w:kern w:val="0"/>
                <w:sz w:val="24"/>
                <w:szCs w:val="24"/>
                <w:lang w:bidi="ar"/>
              </w:rPr>
              <w:t>2.2供应商到货物资，符合收货要求的，投标人须在2小时内（工作时间）完成收货;当天下午5点之前到货的物资，须当天完成收货入库；</w:t>
            </w:r>
          </w:p>
          <w:p>
            <w:pPr>
              <w:widowControl/>
              <w:jc w:val="left"/>
              <w:textAlignment w:val="center"/>
              <w:rPr>
                <w:rFonts w:hint="eastAsia" w:ascii="宋体" w:hAnsi="宋体" w:cs="仿宋_GB2312"/>
                <w:kern w:val="0"/>
                <w:sz w:val="24"/>
                <w:szCs w:val="24"/>
                <w:lang w:bidi="ar"/>
              </w:rPr>
            </w:pPr>
            <w:r>
              <w:rPr>
                <w:rFonts w:hint="eastAsia" w:ascii="宋体" w:hAnsi="宋体" w:cs="仿宋_GB2312"/>
                <w:kern w:val="0"/>
                <w:sz w:val="24"/>
                <w:szCs w:val="24"/>
                <w:lang w:bidi="ar"/>
              </w:rPr>
              <w:t>2.3投标人接收生产线边逆向退库物资时，需对退库物资产品名称、规格型号、退库数量、包装外观质量进行查验，对于包装物不满足防护要求的，重新做好防护后完成收货入库。逆向退库物资质量控制要求执行《生产物流配送管理流程》相关要求；</w:t>
            </w:r>
          </w:p>
          <w:p>
            <w:pPr>
              <w:widowControl/>
              <w:jc w:val="left"/>
              <w:textAlignment w:val="center"/>
              <w:rPr>
                <w:rFonts w:hint="eastAsia" w:ascii="宋体" w:hAnsi="宋体" w:cs="仿宋_GB2312"/>
                <w:kern w:val="0"/>
                <w:sz w:val="24"/>
                <w:szCs w:val="24"/>
                <w:lang w:bidi="ar"/>
              </w:rPr>
            </w:pPr>
            <w:r>
              <w:rPr>
                <w:rFonts w:hint="eastAsia" w:ascii="宋体" w:hAnsi="宋体" w:cs="仿宋_GB2312"/>
                <w:kern w:val="0"/>
                <w:sz w:val="24"/>
                <w:szCs w:val="24"/>
                <w:lang w:bidi="ar"/>
              </w:rPr>
              <w:t>2.4生产物资应严格按照采购计划办理入库，超出采购计划到货的物资不得办理入库。</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Fonts w:hint="eastAsia" w:ascii="宋体" w:hAnsi="宋体" w:cs="仿宋_GB2312"/>
                <w:kern w:val="0"/>
                <w:sz w:val="24"/>
                <w:szCs w:val="24"/>
                <w:lang w:bidi="ar"/>
              </w:rPr>
              <w:t>投标人</w:t>
            </w:r>
          </w:p>
        </w:tc>
      </w:tr>
      <w:tr>
        <w:tblPrEx>
          <w:tblCellMar>
            <w:top w:w="0" w:type="dxa"/>
            <w:left w:w="108" w:type="dxa"/>
            <w:bottom w:w="0" w:type="dxa"/>
            <w:right w:w="108" w:type="dxa"/>
          </w:tblCellMar>
        </w:tblPrEx>
        <w:trPr>
          <w:trHeight w:val="675" w:hRule="atLeast"/>
          <w:jc w:val="center"/>
        </w:trPr>
        <w:tc>
          <w:tcPr>
            <w:tcW w:w="0" w:type="auto"/>
            <w:tcBorders>
              <w:top w:val="single" w:color="000000" w:sz="4" w:space="0"/>
              <w:left w:val="single" w:color="000000" w:sz="8"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Fonts w:hint="eastAsia" w:ascii="宋体" w:hAnsi="宋体" w:cs="仿宋_GB2312"/>
                <w:sz w:val="24"/>
                <w:szCs w:val="24"/>
              </w:rPr>
              <w:t>3</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kern w:val="0"/>
                <w:sz w:val="24"/>
                <w:szCs w:val="24"/>
                <w:lang w:bidi="ar"/>
              </w:rPr>
            </w:pPr>
            <w:r>
              <w:rPr>
                <w:rFonts w:hint="eastAsia" w:ascii="宋体" w:hAnsi="宋体" w:cs="仿宋_GB2312"/>
                <w:kern w:val="0"/>
                <w:sz w:val="24"/>
                <w:szCs w:val="24"/>
                <w:lang w:bidi="ar"/>
              </w:rPr>
              <w:t>进货</w:t>
            </w:r>
          </w:p>
          <w:p>
            <w:pPr>
              <w:widowControl/>
              <w:jc w:val="center"/>
              <w:textAlignment w:val="center"/>
              <w:rPr>
                <w:rFonts w:hint="eastAsia" w:ascii="宋体" w:hAnsi="宋体" w:cs="仿宋_GB2312"/>
                <w:sz w:val="24"/>
                <w:szCs w:val="24"/>
              </w:rPr>
            </w:pPr>
            <w:r>
              <w:rPr>
                <w:rFonts w:hint="eastAsia" w:ascii="宋体" w:hAnsi="宋体" w:cs="仿宋_GB2312"/>
                <w:kern w:val="0"/>
                <w:sz w:val="24"/>
                <w:szCs w:val="24"/>
                <w:lang w:bidi="ar"/>
              </w:rPr>
              <w:t>检验是否合格</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cs="仿宋_GB2312"/>
                <w:kern w:val="0"/>
                <w:sz w:val="24"/>
                <w:szCs w:val="24"/>
                <w:lang w:bidi="ar"/>
              </w:rPr>
            </w:pPr>
            <w:r>
              <w:rPr>
                <w:rFonts w:hint="eastAsia" w:ascii="宋体" w:hAnsi="宋体" w:cs="仿宋_GB2312"/>
                <w:kern w:val="0"/>
                <w:sz w:val="24"/>
                <w:szCs w:val="24"/>
                <w:lang w:bidi="ar"/>
              </w:rPr>
              <w:t>3.1产品接收后，由招标人按照《进货检验管理办法》相关要求进行检验；</w:t>
            </w:r>
          </w:p>
          <w:p>
            <w:pPr>
              <w:widowControl/>
              <w:jc w:val="left"/>
              <w:textAlignment w:val="center"/>
              <w:rPr>
                <w:rFonts w:hint="eastAsia" w:ascii="宋体" w:hAnsi="宋体" w:cs="仿宋_GB2312"/>
                <w:kern w:val="0"/>
                <w:sz w:val="24"/>
                <w:szCs w:val="24"/>
                <w:lang w:bidi="ar"/>
              </w:rPr>
            </w:pPr>
            <w:r>
              <w:rPr>
                <w:rFonts w:hint="eastAsia" w:ascii="宋体" w:hAnsi="宋体" w:cs="仿宋_GB2312"/>
                <w:kern w:val="0"/>
                <w:sz w:val="24"/>
                <w:szCs w:val="24"/>
                <w:lang w:bidi="ar"/>
              </w:rPr>
              <w:t>3.2对于质检项目需离开物资仓储现场进行质检的产品，招标人通过智慧物流云平台系统将质检件由仓储库调拨至质量部外检库，完成账物移库处置，确保物随单走、账实相符。</w:t>
            </w:r>
          </w:p>
          <w:p>
            <w:pPr>
              <w:widowControl/>
              <w:jc w:val="left"/>
              <w:textAlignment w:val="center"/>
              <w:rPr>
                <w:rFonts w:hint="eastAsia" w:ascii="宋体" w:hAnsi="宋体" w:cs="仿宋_GB2312"/>
                <w:kern w:val="0"/>
                <w:sz w:val="24"/>
                <w:szCs w:val="24"/>
                <w:lang w:bidi="ar"/>
              </w:rPr>
            </w:pPr>
            <w:r>
              <w:rPr>
                <w:rFonts w:hint="eastAsia" w:ascii="宋体" w:hAnsi="宋体" w:cs="仿宋_GB2312"/>
                <w:kern w:val="0"/>
                <w:sz w:val="24"/>
                <w:szCs w:val="24"/>
                <w:lang w:bidi="ar"/>
              </w:rPr>
              <w:t>3.3进货检验结果合格的产品件，投标人执行组托上架，进货检验结果不合格的产品件，招标人对不合格产品做好标识，投标人进行隔离存放，做退供应商处理；</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Style w:val="62"/>
                <w:rFonts w:hint="eastAsia" w:ascii="宋体" w:hAnsi="宋体" w:eastAsia="宋体"/>
                <w:b w:val="0"/>
                <w:bCs w:val="0"/>
                <w:color w:val="auto"/>
                <w:sz w:val="24"/>
                <w:szCs w:val="24"/>
                <w:lang w:bidi="ar"/>
              </w:rPr>
              <w:t>招标人</w:t>
            </w:r>
          </w:p>
        </w:tc>
      </w:tr>
      <w:tr>
        <w:tblPrEx>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8" w:space="0"/>
              <w:bottom w:val="single" w:color="000000" w:sz="4" w:space="0"/>
              <w:right w:val="single" w:color="000000" w:sz="4" w:space="0"/>
            </w:tcBorders>
            <w:vAlign w:val="center"/>
          </w:tcPr>
          <w:p>
            <w:pPr>
              <w:widowControl/>
              <w:jc w:val="center"/>
              <w:textAlignment w:val="center"/>
              <w:rPr>
                <w:rFonts w:hint="eastAsia" w:ascii="宋体" w:hAnsi="宋体" w:cs="仿宋_GB2312"/>
                <w:kern w:val="0"/>
                <w:sz w:val="24"/>
                <w:szCs w:val="24"/>
                <w:lang w:bidi="ar"/>
              </w:rPr>
            </w:pPr>
            <w:r>
              <w:rPr>
                <w:rFonts w:hint="eastAsia" w:ascii="宋体" w:hAnsi="宋体" w:cs="仿宋_GB2312"/>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kern w:val="0"/>
                <w:sz w:val="24"/>
                <w:szCs w:val="24"/>
                <w:lang w:bidi="ar"/>
              </w:rPr>
            </w:pPr>
            <w:r>
              <w:rPr>
                <w:rFonts w:hint="eastAsia" w:ascii="宋体" w:hAnsi="宋体" w:cs="仿宋_GB2312"/>
                <w:kern w:val="0"/>
                <w:sz w:val="24"/>
                <w:szCs w:val="24"/>
                <w:lang w:bidi="ar"/>
              </w:rPr>
              <w:t>组托</w:t>
            </w:r>
          </w:p>
          <w:p>
            <w:pPr>
              <w:widowControl/>
              <w:jc w:val="center"/>
              <w:textAlignment w:val="center"/>
              <w:rPr>
                <w:rFonts w:hint="eastAsia" w:ascii="宋体" w:hAnsi="宋体" w:cs="仿宋_GB2312"/>
                <w:kern w:val="0"/>
                <w:sz w:val="24"/>
                <w:szCs w:val="24"/>
                <w:lang w:bidi="ar"/>
              </w:rPr>
            </w:pPr>
            <w:r>
              <w:rPr>
                <w:rFonts w:hint="eastAsia" w:ascii="宋体" w:hAnsi="宋体" w:cs="仿宋_GB2312"/>
                <w:kern w:val="0"/>
                <w:sz w:val="24"/>
                <w:szCs w:val="24"/>
                <w:lang w:bidi="ar"/>
              </w:rPr>
              <w:t>上架</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4.1</w:t>
            </w:r>
            <w:r>
              <w:rPr>
                <w:rStyle w:val="63"/>
                <w:rFonts w:hint="eastAsia" w:ascii="宋体" w:hAnsi="宋体" w:eastAsia="宋体"/>
                <w:color w:val="auto"/>
                <w:sz w:val="24"/>
                <w:szCs w:val="24"/>
                <w:lang w:bidi="ar"/>
              </w:rPr>
              <w:t>投标人打开</w:t>
            </w:r>
            <w:r>
              <w:rPr>
                <w:rFonts w:hint="eastAsia" w:ascii="宋体" w:hAnsi="宋体" w:cs="仿宋_GB2312"/>
                <w:kern w:val="0"/>
                <w:sz w:val="24"/>
                <w:szCs w:val="24"/>
                <w:lang w:bidi="ar"/>
              </w:rPr>
              <w:t>智慧物流云平台</w:t>
            </w:r>
            <w:r>
              <w:rPr>
                <w:rStyle w:val="63"/>
                <w:rFonts w:hint="eastAsia" w:ascii="宋体" w:hAnsi="宋体" w:eastAsia="宋体"/>
                <w:color w:val="auto"/>
                <w:sz w:val="24"/>
                <w:szCs w:val="24"/>
                <w:lang w:bidi="ar"/>
              </w:rPr>
              <w:t>系统PDA端“收货组托”功能，扫描ASN单确认物料信息、托容量，核对无误后选择器具类型，生成托盘条码；</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4.2投标人在</w:t>
            </w:r>
            <w:r>
              <w:rPr>
                <w:rFonts w:hint="eastAsia" w:ascii="宋体" w:hAnsi="宋体" w:cs="仿宋_GB2312"/>
                <w:kern w:val="0"/>
                <w:sz w:val="24"/>
                <w:szCs w:val="24"/>
                <w:lang w:bidi="ar"/>
              </w:rPr>
              <w:t>智慧物流云平台</w:t>
            </w:r>
            <w:r>
              <w:rPr>
                <w:rStyle w:val="63"/>
                <w:rFonts w:hint="eastAsia" w:ascii="宋体" w:hAnsi="宋体" w:eastAsia="宋体"/>
                <w:color w:val="auto"/>
                <w:sz w:val="24"/>
                <w:szCs w:val="24"/>
                <w:lang w:bidi="ar"/>
              </w:rPr>
              <w:t>系统PC端“箱条码记录”打印托盘条码，并张贴至相应托盘上，完成组托操作；</w:t>
            </w:r>
          </w:p>
          <w:p>
            <w:pPr>
              <w:widowControl/>
              <w:jc w:val="left"/>
              <w:textAlignment w:val="center"/>
              <w:rPr>
                <w:rFonts w:hint="eastAsia" w:ascii="宋体" w:hAnsi="宋体" w:cs="仿宋_GB2312"/>
                <w:kern w:val="0"/>
                <w:sz w:val="24"/>
                <w:szCs w:val="24"/>
                <w:lang w:bidi="ar"/>
              </w:rPr>
            </w:pPr>
            <w:r>
              <w:rPr>
                <w:rFonts w:hint="eastAsia" w:ascii="宋体" w:hAnsi="宋体" w:cs="仿宋_GB2312"/>
                <w:kern w:val="0"/>
                <w:sz w:val="24"/>
                <w:szCs w:val="24"/>
                <w:lang w:bidi="ar"/>
              </w:rPr>
              <w:t>4.3</w:t>
            </w:r>
            <w:r>
              <w:rPr>
                <w:rStyle w:val="63"/>
                <w:rFonts w:hint="eastAsia" w:ascii="宋体" w:hAnsi="宋体" w:eastAsia="宋体"/>
                <w:color w:val="auto"/>
                <w:sz w:val="24"/>
                <w:szCs w:val="24"/>
                <w:lang w:bidi="ar"/>
              </w:rPr>
              <w:t>投标人</w:t>
            </w:r>
            <w:r>
              <w:rPr>
                <w:rFonts w:hint="eastAsia" w:ascii="宋体" w:hAnsi="宋体" w:cs="仿宋_GB2312"/>
                <w:kern w:val="0"/>
                <w:sz w:val="24"/>
                <w:szCs w:val="24"/>
                <w:lang w:bidi="ar"/>
              </w:rPr>
              <w:t>打开智慧物流云平台系统PDA端“上架操作”功能，扫描需上架物料托盘码，核对物料信息、推荐库位编码信息，若需要更换库位，扫描目标库位编码，点击确认；</w:t>
            </w:r>
          </w:p>
          <w:p>
            <w:pPr>
              <w:widowControl/>
              <w:jc w:val="left"/>
              <w:textAlignment w:val="center"/>
              <w:rPr>
                <w:rFonts w:hint="eastAsia" w:ascii="宋体" w:hAnsi="宋体" w:cs="仿宋_GB2312"/>
                <w:kern w:val="0"/>
                <w:sz w:val="24"/>
                <w:szCs w:val="24"/>
                <w:lang w:bidi="ar"/>
              </w:rPr>
            </w:pPr>
            <w:r>
              <w:rPr>
                <w:rFonts w:hint="eastAsia" w:ascii="宋体" w:hAnsi="宋体" w:cs="仿宋_GB2312"/>
                <w:kern w:val="0"/>
                <w:sz w:val="24"/>
                <w:szCs w:val="24"/>
                <w:lang w:bidi="ar"/>
              </w:rPr>
              <w:t>4.4</w:t>
            </w:r>
            <w:r>
              <w:rPr>
                <w:rStyle w:val="63"/>
                <w:rFonts w:hint="eastAsia" w:ascii="宋体" w:hAnsi="宋体" w:eastAsia="宋体"/>
                <w:color w:val="auto"/>
                <w:sz w:val="24"/>
                <w:szCs w:val="24"/>
                <w:lang w:bidi="ar"/>
              </w:rPr>
              <w:t>投标人</w:t>
            </w:r>
            <w:r>
              <w:rPr>
                <w:rFonts w:hint="eastAsia" w:ascii="宋体" w:hAnsi="宋体" w:cs="仿宋_GB2312"/>
                <w:kern w:val="0"/>
                <w:sz w:val="24"/>
                <w:szCs w:val="24"/>
                <w:lang w:bidi="ar"/>
              </w:rPr>
              <w:t>（叉车工）叉取该托物料送至目标库位，完成上架操作。</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kern w:val="0"/>
                <w:sz w:val="24"/>
                <w:szCs w:val="24"/>
                <w:lang w:bidi="ar"/>
              </w:rPr>
            </w:pPr>
            <w:r>
              <w:rPr>
                <w:rStyle w:val="63"/>
                <w:rFonts w:hint="eastAsia" w:ascii="宋体" w:hAnsi="宋体" w:eastAsia="宋体"/>
                <w:color w:val="auto"/>
                <w:sz w:val="24"/>
                <w:szCs w:val="24"/>
                <w:lang w:bidi="ar"/>
              </w:rPr>
              <w:t>投标人</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8"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Fonts w:hint="eastAsia" w:ascii="宋体" w:hAnsi="宋体" w:cs="仿宋_GB2312"/>
                <w:sz w:val="24"/>
                <w:szCs w:val="24"/>
              </w:rPr>
              <w:t>5</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Fonts w:hint="eastAsia" w:ascii="宋体" w:hAnsi="宋体" w:cs="仿宋_GB2312"/>
                <w:kern w:val="0"/>
                <w:sz w:val="24"/>
                <w:szCs w:val="24"/>
                <w:lang w:bidi="ar"/>
              </w:rPr>
              <w:t>仓储保管</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5.1物资存放要求：投标人应按照以下要求对生产物资进行日常仓储保管</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5.1.1仓储物资应按照待检、合格、不合格等不同质量状态分类分货位存放，并做好相应标识。</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5.1.2</w:t>
            </w:r>
            <w:r>
              <w:rPr>
                <w:rStyle w:val="63"/>
                <w:rFonts w:hint="eastAsia" w:ascii="宋体" w:hAnsi="宋体" w:eastAsia="宋体"/>
                <w:color w:val="auto"/>
                <w:sz w:val="24"/>
                <w:szCs w:val="24"/>
                <w:lang w:bidi="ar"/>
              </w:rPr>
              <w:t>高位货架区托盘码放货物顶端距离货架上端横梁不得小于</w:t>
            </w:r>
            <w:r>
              <w:rPr>
                <w:rStyle w:val="64"/>
                <w:rFonts w:hint="eastAsia" w:ascii="宋体" w:hAnsi="宋体" w:cs="仿宋_GB2312"/>
                <w:color w:val="auto"/>
                <w:sz w:val="24"/>
                <w:szCs w:val="24"/>
                <w:lang w:bidi="ar"/>
              </w:rPr>
              <w:t>20</w:t>
            </w:r>
            <w:r>
              <w:rPr>
                <w:rStyle w:val="63"/>
                <w:rFonts w:hint="eastAsia" w:ascii="宋体" w:hAnsi="宋体" w:eastAsia="宋体"/>
                <w:color w:val="auto"/>
                <w:sz w:val="24"/>
                <w:szCs w:val="24"/>
                <w:lang w:bidi="ar"/>
              </w:rPr>
              <w:t>厘米；托盘与货架边缘平行，外端距离货架边缘</w:t>
            </w:r>
            <w:r>
              <w:rPr>
                <w:rStyle w:val="64"/>
                <w:rFonts w:hint="eastAsia" w:ascii="宋体" w:hAnsi="宋体" w:cs="仿宋_GB2312"/>
                <w:color w:val="auto"/>
                <w:sz w:val="24"/>
                <w:szCs w:val="24"/>
                <w:lang w:bidi="ar"/>
              </w:rPr>
              <w:t>5-10</w:t>
            </w:r>
            <w:r>
              <w:rPr>
                <w:rStyle w:val="63"/>
                <w:rFonts w:hint="eastAsia" w:ascii="宋体" w:hAnsi="宋体" w:eastAsia="宋体"/>
                <w:color w:val="auto"/>
                <w:sz w:val="24"/>
                <w:szCs w:val="24"/>
                <w:lang w:bidi="ar"/>
              </w:rPr>
              <w:t>厘米。</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5.1.3</w:t>
            </w:r>
            <w:r>
              <w:rPr>
                <w:rStyle w:val="63"/>
                <w:rFonts w:hint="eastAsia" w:ascii="宋体" w:hAnsi="宋体" w:eastAsia="宋体"/>
                <w:color w:val="auto"/>
                <w:sz w:val="24"/>
                <w:szCs w:val="24"/>
                <w:lang w:bidi="ar"/>
              </w:rPr>
              <w:t>平地码放区物料码放高度不得超过</w:t>
            </w:r>
            <w:r>
              <w:rPr>
                <w:rStyle w:val="64"/>
                <w:rFonts w:hint="eastAsia" w:ascii="宋体" w:hAnsi="宋体" w:cs="仿宋_GB2312"/>
                <w:color w:val="auto"/>
                <w:sz w:val="24"/>
                <w:szCs w:val="24"/>
                <w:lang w:bidi="ar"/>
              </w:rPr>
              <w:t>3</w:t>
            </w:r>
            <w:r>
              <w:rPr>
                <w:rStyle w:val="63"/>
                <w:rFonts w:hint="eastAsia" w:ascii="宋体" w:hAnsi="宋体" w:eastAsia="宋体"/>
                <w:color w:val="auto"/>
                <w:sz w:val="24"/>
                <w:szCs w:val="24"/>
                <w:lang w:bidi="ar"/>
              </w:rPr>
              <w:t>米；需人工拣配堆垛的，码放高度不得超过</w:t>
            </w:r>
            <w:r>
              <w:rPr>
                <w:rStyle w:val="64"/>
                <w:rFonts w:hint="eastAsia" w:ascii="宋体" w:hAnsi="宋体" w:cs="仿宋_GB2312"/>
                <w:color w:val="auto"/>
                <w:sz w:val="24"/>
                <w:szCs w:val="24"/>
                <w:lang w:bidi="ar"/>
              </w:rPr>
              <w:t>2</w:t>
            </w:r>
            <w:r>
              <w:rPr>
                <w:rStyle w:val="63"/>
                <w:rFonts w:hint="eastAsia" w:ascii="宋体" w:hAnsi="宋体" w:eastAsia="宋体"/>
                <w:color w:val="auto"/>
                <w:sz w:val="24"/>
                <w:szCs w:val="24"/>
                <w:lang w:bidi="ar"/>
              </w:rPr>
              <w:t>米；如包装箱有码放层数要求的，不得超过码放层数标准。</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5.1.4</w:t>
            </w:r>
            <w:r>
              <w:rPr>
                <w:rStyle w:val="63"/>
                <w:rFonts w:hint="eastAsia" w:ascii="宋体" w:hAnsi="宋体" w:eastAsia="宋体"/>
                <w:color w:val="auto"/>
                <w:sz w:val="24"/>
                <w:szCs w:val="24"/>
                <w:lang w:bidi="ar"/>
              </w:rPr>
              <w:t>靠近通道侧的物料器具，器具外侧距通道线</w:t>
            </w:r>
            <w:r>
              <w:rPr>
                <w:rStyle w:val="64"/>
                <w:rFonts w:hint="eastAsia" w:ascii="宋体" w:hAnsi="宋体" w:cs="仿宋_GB2312"/>
                <w:color w:val="auto"/>
                <w:sz w:val="24"/>
                <w:szCs w:val="24"/>
                <w:lang w:bidi="ar"/>
              </w:rPr>
              <w:t>5-10</w:t>
            </w:r>
            <w:r>
              <w:rPr>
                <w:rStyle w:val="63"/>
                <w:rFonts w:hint="eastAsia" w:ascii="宋体" w:hAnsi="宋体" w:eastAsia="宋体"/>
                <w:color w:val="auto"/>
                <w:sz w:val="24"/>
                <w:szCs w:val="24"/>
                <w:lang w:bidi="ar"/>
              </w:rPr>
              <w:t>厘米，同一区域按照统一距离标准摆放。</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5.1.5</w:t>
            </w:r>
            <w:r>
              <w:rPr>
                <w:rStyle w:val="63"/>
                <w:rFonts w:hint="eastAsia" w:ascii="宋体" w:hAnsi="宋体" w:eastAsia="宋体"/>
                <w:color w:val="auto"/>
                <w:sz w:val="24"/>
                <w:szCs w:val="24"/>
                <w:lang w:bidi="ar"/>
              </w:rPr>
              <w:t>料箱码放置于台车上时，料箱伸出台车各边距离不得超过料箱的四分之一，且不得超出</w:t>
            </w:r>
            <w:r>
              <w:rPr>
                <w:rStyle w:val="64"/>
                <w:rFonts w:hint="eastAsia" w:ascii="宋体" w:hAnsi="宋体" w:cs="仿宋_GB2312"/>
                <w:color w:val="auto"/>
                <w:sz w:val="24"/>
                <w:szCs w:val="24"/>
                <w:lang w:bidi="ar"/>
              </w:rPr>
              <w:t>10</w:t>
            </w:r>
            <w:r>
              <w:rPr>
                <w:rStyle w:val="63"/>
                <w:rFonts w:hint="eastAsia" w:ascii="宋体" w:hAnsi="宋体" w:eastAsia="宋体"/>
                <w:color w:val="auto"/>
                <w:sz w:val="24"/>
                <w:szCs w:val="24"/>
                <w:lang w:bidi="ar"/>
              </w:rPr>
              <w:t>厘米，确保料箱稳固。</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5.1.6</w:t>
            </w:r>
            <w:r>
              <w:rPr>
                <w:rStyle w:val="63"/>
                <w:rFonts w:hint="eastAsia" w:ascii="宋体" w:hAnsi="宋体" w:eastAsia="宋体"/>
                <w:color w:val="auto"/>
                <w:sz w:val="24"/>
                <w:szCs w:val="24"/>
                <w:lang w:bidi="ar"/>
              </w:rPr>
              <w:t>仓储物资应根据产品件性能和特点进行存储和保管，实行特殊产品特别管理。易燃易爆类产品的存放要设立专区，张贴或悬挂重点防火部位和严禁烟火标识牌。室外存放的工位器具、托盘、台车、料箱等易锈蚀物资，阴雨天气须遮盖苫布：</w:t>
            </w:r>
          </w:p>
          <w:p>
            <w:pPr>
              <w:pStyle w:val="7"/>
              <w:rPr>
                <w:rStyle w:val="63"/>
                <w:rFonts w:hint="eastAsia" w:ascii="宋体" w:hAnsi="宋体" w:eastAsia="宋体"/>
                <w:color w:val="auto"/>
                <w:sz w:val="24"/>
                <w:szCs w:val="24"/>
                <w:u w:val="single"/>
                <w:lang w:bidi="ar"/>
              </w:rPr>
            </w:pPr>
            <w:r>
              <w:rPr>
                <w:rStyle w:val="63"/>
                <w:rFonts w:hint="eastAsia" w:ascii="宋体" w:hAnsi="宋体" w:eastAsia="宋体"/>
                <w:color w:val="auto"/>
                <w:sz w:val="24"/>
                <w:szCs w:val="24"/>
                <w:u w:val="single"/>
                <w:lang w:bidi="ar"/>
              </w:rPr>
              <w:t>不同产品存储环境和保质周期要求执行《</w:t>
            </w:r>
            <w:r>
              <w:rPr>
                <w:rFonts w:hint="eastAsia" w:ascii="宋体" w:hAnsi="宋体" w:cs="仿宋_GB2312"/>
                <w:sz w:val="24"/>
                <w:szCs w:val="24"/>
                <w:u w:val="single"/>
              </w:rPr>
              <w:t>产品件仓储及转运存储管理规定》</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5.1.7</w:t>
            </w:r>
            <w:r>
              <w:rPr>
                <w:rStyle w:val="63"/>
                <w:rFonts w:hint="eastAsia" w:ascii="宋体" w:hAnsi="宋体" w:eastAsia="宋体"/>
                <w:color w:val="auto"/>
                <w:sz w:val="24"/>
                <w:szCs w:val="24"/>
                <w:lang w:bidi="ar"/>
              </w:rPr>
              <w:t>物资存放选择货位位置时应根据产品出库频率合理选定，便于提高出入库效率。</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5.1.8</w:t>
            </w:r>
            <w:r>
              <w:rPr>
                <w:rStyle w:val="63"/>
                <w:rFonts w:hint="eastAsia" w:ascii="宋体" w:hAnsi="宋体" w:eastAsia="宋体"/>
                <w:color w:val="auto"/>
                <w:sz w:val="24"/>
                <w:szCs w:val="24"/>
                <w:lang w:bidi="ar"/>
              </w:rPr>
              <w:t>不同供应商、不同批次入库的产品件应存放于不同货位上。</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5.1.9</w:t>
            </w:r>
            <w:r>
              <w:rPr>
                <w:rStyle w:val="63"/>
                <w:rFonts w:hint="eastAsia" w:ascii="宋体" w:hAnsi="宋体" w:eastAsia="宋体"/>
                <w:color w:val="auto"/>
                <w:sz w:val="24"/>
                <w:szCs w:val="24"/>
                <w:lang w:bidi="ar"/>
              </w:rPr>
              <w:t>同一货位上，产品件包装状态一致，禁止塑料周转箱和纸质包装箱混放。</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5.1.10</w:t>
            </w:r>
            <w:r>
              <w:rPr>
                <w:rStyle w:val="63"/>
                <w:rFonts w:hint="eastAsia" w:ascii="宋体" w:hAnsi="宋体" w:eastAsia="宋体"/>
                <w:color w:val="auto"/>
                <w:sz w:val="24"/>
                <w:szCs w:val="24"/>
                <w:lang w:bidi="ar"/>
              </w:rPr>
              <w:t>有储存期限要求的产品，应严格按照储存期限管理，超储存期限的产品要单独存放，并组织相关部门进行鉴定处理；没有储存期限要求的产品严格按库龄管理。</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5.1.11</w:t>
            </w:r>
            <w:r>
              <w:rPr>
                <w:rStyle w:val="63"/>
                <w:rFonts w:hint="eastAsia" w:ascii="宋体" w:hAnsi="宋体" w:eastAsia="宋体"/>
                <w:color w:val="auto"/>
                <w:sz w:val="24"/>
                <w:szCs w:val="24"/>
                <w:lang w:bidi="ar"/>
              </w:rPr>
              <w:t>仓储物资不得无防护直接落地存放，商品包装标识应一律向外，便于查找；有特殊防护要求的产品要有明确标识，并按照防护要求存放。</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5.1.12</w:t>
            </w:r>
            <w:r>
              <w:rPr>
                <w:rStyle w:val="63"/>
                <w:rFonts w:hint="eastAsia" w:ascii="宋体" w:hAnsi="宋体" w:eastAsia="宋体"/>
                <w:color w:val="auto"/>
                <w:sz w:val="24"/>
                <w:szCs w:val="24"/>
                <w:lang w:bidi="ar"/>
              </w:rPr>
              <w:t>物资堆放不得超过设计仓容和设计堆跺线，符合“安全、整齐、美观”的要求，货物的堆放应满足仓库“五距”（顶距、灯距、墙距、柱距、垛距）管理要求</w:t>
            </w:r>
            <w:r>
              <w:rPr>
                <w:rStyle w:val="64"/>
                <w:rFonts w:hint="eastAsia" w:ascii="宋体" w:hAnsi="宋体" w:cs="仿宋_GB2312"/>
                <w:color w:val="auto"/>
                <w:sz w:val="24"/>
                <w:szCs w:val="24"/>
                <w:lang w:bidi="ar"/>
              </w:rPr>
              <w:t>,</w:t>
            </w:r>
            <w:r>
              <w:rPr>
                <w:rStyle w:val="63"/>
                <w:rFonts w:hint="eastAsia" w:ascii="宋体" w:hAnsi="宋体" w:eastAsia="宋体"/>
                <w:color w:val="auto"/>
                <w:sz w:val="24"/>
                <w:szCs w:val="24"/>
                <w:lang w:bidi="ar"/>
              </w:rPr>
              <w:t>“五距”管理要求（见附件</w:t>
            </w:r>
            <w:r>
              <w:rPr>
                <w:rStyle w:val="64"/>
                <w:rFonts w:hint="eastAsia" w:ascii="宋体" w:hAnsi="宋体" w:cs="仿宋_GB2312"/>
                <w:color w:val="auto"/>
                <w:sz w:val="24"/>
                <w:szCs w:val="24"/>
                <w:lang w:bidi="ar"/>
              </w:rPr>
              <w:t>1</w:t>
            </w:r>
            <w:r>
              <w:rPr>
                <w:rStyle w:val="63"/>
                <w:rFonts w:hint="eastAsia" w:ascii="宋体" w:hAnsi="宋体" w:eastAsia="宋体"/>
                <w:color w:val="auto"/>
                <w:sz w:val="24"/>
                <w:szCs w:val="24"/>
                <w:lang w:bidi="ar"/>
              </w:rPr>
              <w:t>）。</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5.2</w:t>
            </w:r>
            <w:r>
              <w:rPr>
                <w:rStyle w:val="63"/>
                <w:rFonts w:hint="eastAsia" w:ascii="宋体" w:hAnsi="宋体" w:eastAsia="宋体"/>
                <w:color w:val="auto"/>
                <w:sz w:val="24"/>
                <w:szCs w:val="24"/>
                <w:lang w:bidi="ar"/>
              </w:rPr>
              <w:t>仓库仓储物资分类要求</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5.2.1</w:t>
            </w:r>
            <w:r>
              <w:rPr>
                <w:rStyle w:val="63"/>
                <w:rFonts w:hint="eastAsia" w:ascii="宋体" w:hAnsi="宋体" w:eastAsia="宋体"/>
                <w:color w:val="auto"/>
                <w:sz w:val="24"/>
                <w:szCs w:val="24"/>
                <w:lang w:bidi="ar"/>
              </w:rPr>
              <w:t>仓库仓储物资按</w:t>
            </w:r>
            <w:r>
              <w:rPr>
                <w:rStyle w:val="64"/>
                <w:rFonts w:hint="eastAsia" w:ascii="宋体" w:hAnsi="宋体" w:cs="仿宋_GB2312"/>
                <w:color w:val="auto"/>
                <w:sz w:val="24"/>
                <w:szCs w:val="24"/>
                <w:lang w:bidi="ar"/>
              </w:rPr>
              <w:t>ABC</w:t>
            </w:r>
            <w:r>
              <w:rPr>
                <w:rStyle w:val="63"/>
                <w:rFonts w:hint="eastAsia" w:ascii="宋体" w:hAnsi="宋体" w:eastAsia="宋体"/>
                <w:color w:val="auto"/>
                <w:sz w:val="24"/>
                <w:szCs w:val="24"/>
                <w:lang w:bidi="ar"/>
              </w:rPr>
              <w:t>进行分类管理。</w:t>
            </w:r>
          </w:p>
          <w:p>
            <w:pPr>
              <w:widowControl/>
              <w:numPr>
                <w:ilvl w:val="0"/>
                <w:numId w:val="3"/>
              </w:numPr>
              <w:jc w:val="left"/>
              <w:textAlignment w:val="center"/>
              <w:rPr>
                <w:rStyle w:val="63"/>
                <w:rFonts w:hint="eastAsia" w:ascii="宋体" w:hAnsi="宋体" w:eastAsia="宋体"/>
                <w:color w:val="auto"/>
                <w:sz w:val="24"/>
                <w:szCs w:val="24"/>
                <w:lang w:bidi="ar"/>
              </w:rPr>
            </w:pPr>
            <w:r>
              <w:rPr>
                <w:rStyle w:val="64"/>
                <w:rFonts w:hint="eastAsia" w:ascii="宋体" w:hAnsi="宋体" w:cs="仿宋_GB2312"/>
                <w:color w:val="auto"/>
                <w:sz w:val="24"/>
                <w:szCs w:val="24"/>
                <w:lang w:bidi="ar"/>
              </w:rPr>
              <w:t>A</w:t>
            </w:r>
            <w:r>
              <w:rPr>
                <w:rStyle w:val="63"/>
                <w:rFonts w:hint="eastAsia" w:ascii="宋体" w:hAnsi="宋体" w:eastAsia="宋体"/>
                <w:color w:val="auto"/>
                <w:sz w:val="24"/>
                <w:szCs w:val="24"/>
                <w:lang w:bidi="ar"/>
              </w:rPr>
              <w:t>类物资为重要物资，须重点、严格控制，密切监控该类物资的使用、保管情况，在不发生缺货的前提下尽量减少库存；</w:t>
            </w:r>
          </w:p>
          <w:p>
            <w:pPr>
              <w:widowControl/>
              <w:numPr>
                <w:ilvl w:val="0"/>
                <w:numId w:val="3"/>
              </w:numPr>
              <w:jc w:val="left"/>
              <w:textAlignment w:val="center"/>
              <w:rPr>
                <w:rFonts w:hint="eastAsia" w:ascii="宋体" w:hAnsi="宋体" w:cs="仿宋_GB2312"/>
                <w:sz w:val="24"/>
                <w:szCs w:val="24"/>
              </w:rPr>
            </w:pPr>
            <w:r>
              <w:rPr>
                <w:rStyle w:val="64"/>
                <w:rFonts w:hint="eastAsia" w:ascii="宋体" w:hAnsi="宋体" w:cs="仿宋_GB2312"/>
                <w:color w:val="auto"/>
                <w:sz w:val="24"/>
                <w:szCs w:val="24"/>
                <w:lang w:bidi="ar"/>
              </w:rPr>
              <w:t>B</w:t>
            </w:r>
            <w:r>
              <w:rPr>
                <w:rStyle w:val="63"/>
                <w:rFonts w:hint="eastAsia" w:ascii="宋体" w:hAnsi="宋体" w:eastAsia="宋体"/>
                <w:color w:val="auto"/>
                <w:sz w:val="24"/>
                <w:szCs w:val="24"/>
                <w:lang w:bidi="ar"/>
              </w:rPr>
              <w:t>类物资为一般重要物资，在仓库保管中要严加管理；</w:t>
            </w:r>
          </w:p>
          <w:p>
            <w:pPr>
              <w:widowControl/>
              <w:jc w:val="left"/>
              <w:textAlignment w:val="center"/>
              <w:rPr>
                <w:rStyle w:val="63"/>
                <w:rFonts w:hint="eastAsia" w:ascii="宋体" w:hAnsi="宋体" w:eastAsia="宋体"/>
                <w:color w:val="auto"/>
                <w:sz w:val="24"/>
                <w:szCs w:val="24"/>
                <w:lang w:bidi="ar"/>
              </w:rPr>
            </w:pPr>
            <w:r>
              <w:rPr>
                <w:rStyle w:val="64"/>
                <w:rFonts w:hint="eastAsia" w:ascii="宋体" w:hAnsi="宋体" w:cs="仿宋_GB2312"/>
                <w:color w:val="auto"/>
                <w:sz w:val="24"/>
                <w:szCs w:val="24"/>
                <w:lang w:bidi="ar"/>
              </w:rPr>
              <w:t>c) C</w:t>
            </w:r>
            <w:r>
              <w:rPr>
                <w:rStyle w:val="63"/>
                <w:rFonts w:hint="eastAsia" w:ascii="宋体" w:hAnsi="宋体" w:eastAsia="宋体"/>
                <w:color w:val="auto"/>
                <w:sz w:val="24"/>
                <w:szCs w:val="24"/>
                <w:lang w:bidi="ar"/>
              </w:rPr>
              <w:t>类物资品种繁多，占用资金少，可适当控制。</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Style w:val="63"/>
                <w:rFonts w:hint="eastAsia" w:ascii="宋体" w:hAnsi="宋体" w:eastAsia="宋体"/>
                <w:color w:val="auto"/>
                <w:sz w:val="24"/>
                <w:szCs w:val="24"/>
                <w:lang w:bidi="ar"/>
              </w:rPr>
              <w:t>投标人</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8"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Fonts w:hint="eastAsia" w:ascii="宋体" w:hAnsi="宋体" w:cs="仿宋_GB2312"/>
                <w:sz w:val="24"/>
                <w:szCs w:val="24"/>
              </w:rPr>
              <w:t>6</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宋体" w:hAnsi="宋体" w:cs="仿宋_GB2312"/>
                <w:kern w:val="0"/>
                <w:sz w:val="24"/>
                <w:szCs w:val="24"/>
                <w:lang w:bidi="ar"/>
              </w:rPr>
            </w:pPr>
            <w:r>
              <w:rPr>
                <w:rFonts w:hint="eastAsia" w:ascii="宋体" w:hAnsi="宋体" w:cs="仿宋_GB2312"/>
                <w:kern w:val="0"/>
                <w:sz w:val="24"/>
                <w:szCs w:val="24"/>
                <w:lang w:bidi="ar"/>
              </w:rPr>
              <w:t>制定出库计划</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63"/>
                <w:rFonts w:hint="eastAsia" w:ascii="宋体" w:hAnsi="宋体" w:eastAsia="宋体"/>
                <w:color w:val="auto"/>
                <w:sz w:val="24"/>
                <w:szCs w:val="24"/>
                <w:u w:val="single"/>
                <w:lang w:bidi="ar"/>
              </w:rPr>
            </w:pPr>
            <w:r>
              <w:rPr>
                <w:rFonts w:hint="eastAsia" w:ascii="宋体" w:hAnsi="宋体" w:cs="仿宋_GB2312"/>
                <w:kern w:val="0"/>
                <w:sz w:val="24"/>
                <w:szCs w:val="24"/>
                <w:lang w:bidi="ar"/>
              </w:rPr>
              <w:t>招标人根据排产计划制定物资配送及下架出库计划。</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kern w:val="0"/>
                <w:sz w:val="24"/>
                <w:szCs w:val="24"/>
                <w:lang w:bidi="ar"/>
              </w:rPr>
            </w:pPr>
            <w:r>
              <w:rPr>
                <w:rStyle w:val="62"/>
                <w:rFonts w:hint="eastAsia" w:ascii="宋体" w:hAnsi="宋体" w:eastAsia="宋体"/>
                <w:b w:val="0"/>
                <w:bCs w:val="0"/>
                <w:color w:val="auto"/>
                <w:sz w:val="24"/>
                <w:szCs w:val="24"/>
                <w:lang w:bidi="ar"/>
              </w:rPr>
              <w:t>招标人</w:t>
            </w:r>
          </w:p>
        </w:tc>
      </w:tr>
      <w:tr>
        <w:tblPrEx>
          <w:tblCellMar>
            <w:top w:w="0" w:type="dxa"/>
            <w:left w:w="108" w:type="dxa"/>
            <w:bottom w:w="0" w:type="dxa"/>
            <w:right w:w="108" w:type="dxa"/>
          </w:tblCellMar>
        </w:tblPrEx>
        <w:trPr>
          <w:trHeight w:val="450" w:hRule="atLeast"/>
          <w:jc w:val="center"/>
        </w:trPr>
        <w:tc>
          <w:tcPr>
            <w:tcW w:w="0" w:type="auto"/>
            <w:tcBorders>
              <w:top w:val="single" w:color="000000" w:sz="4" w:space="0"/>
              <w:left w:val="single" w:color="000000" w:sz="8"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Fonts w:hint="eastAsia" w:ascii="宋体" w:hAnsi="宋体" w:cs="仿宋_GB2312"/>
                <w:sz w:val="24"/>
                <w:szCs w:val="24"/>
              </w:rPr>
              <w:t>7</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Fonts w:hint="eastAsia" w:ascii="宋体" w:hAnsi="宋体" w:cs="仿宋_GB2312"/>
                <w:kern w:val="0"/>
                <w:sz w:val="24"/>
                <w:szCs w:val="24"/>
                <w:lang w:bidi="ar"/>
              </w:rPr>
              <w:t>办理出库</w:t>
            </w:r>
          </w:p>
        </w:tc>
        <w:tc>
          <w:tcPr>
            <w:tcW w:w="0" w:type="auto"/>
            <w:tcBorders>
              <w:top w:val="single" w:color="000000" w:sz="4" w:space="0"/>
              <w:left w:val="single" w:color="000000" w:sz="4" w:space="0"/>
              <w:bottom w:val="single" w:color="000000" w:sz="4" w:space="0"/>
              <w:right w:val="single" w:color="000000" w:sz="4" w:space="0"/>
            </w:tcBorders>
            <w:vAlign w:val="center"/>
          </w:tcPr>
          <w:p>
            <w:pPr>
              <w:jc w:val="left"/>
              <w:rPr>
                <w:rFonts w:hint="eastAsia" w:ascii="宋体" w:hAnsi="宋体" w:cs="仿宋_GB2312"/>
                <w:sz w:val="24"/>
                <w:szCs w:val="24"/>
              </w:rPr>
            </w:pPr>
            <w:r>
              <w:rPr>
                <w:rFonts w:hint="eastAsia" w:ascii="宋体" w:hAnsi="宋体" w:cs="仿宋_GB2312"/>
                <w:kern w:val="0"/>
                <w:sz w:val="24"/>
                <w:szCs w:val="24"/>
                <w:lang w:bidi="ar"/>
              </w:rPr>
              <w:t>7.1</w:t>
            </w:r>
            <w:r>
              <w:rPr>
                <w:rStyle w:val="63"/>
                <w:rFonts w:hint="eastAsia" w:ascii="宋体" w:hAnsi="宋体" w:eastAsia="宋体"/>
                <w:color w:val="auto"/>
                <w:sz w:val="24"/>
                <w:szCs w:val="24"/>
                <w:lang w:bidi="ar"/>
              </w:rPr>
              <w:t>投标人</w:t>
            </w:r>
            <w:r>
              <w:rPr>
                <w:rFonts w:hint="eastAsia" w:ascii="宋体" w:hAnsi="宋体" w:cs="仿宋_GB2312"/>
                <w:kern w:val="0"/>
                <w:sz w:val="24"/>
                <w:szCs w:val="24"/>
                <w:lang w:bidi="ar"/>
              </w:rPr>
              <w:t>依据出库计划，按照先进先出原则办理物资出库，出库时对照出库计划，重点核对图号、数量等信息办理物资出库，确保物随单走、单物一致；</w:t>
            </w:r>
            <w:r>
              <w:rPr>
                <w:rFonts w:hint="eastAsia" w:ascii="宋体" w:hAnsi="宋体" w:cs="仿宋_GB2312"/>
                <w:kern w:val="0"/>
                <w:sz w:val="24"/>
                <w:szCs w:val="24"/>
                <w:lang w:bidi="ar"/>
              </w:rPr>
              <w:br w:type="textWrapping"/>
            </w:r>
            <w:r>
              <w:rPr>
                <w:rFonts w:hint="eastAsia" w:ascii="宋体" w:hAnsi="宋体" w:cs="仿宋_GB2312"/>
                <w:kern w:val="0"/>
                <w:sz w:val="24"/>
                <w:szCs w:val="24"/>
                <w:lang w:bidi="ar"/>
              </w:rPr>
              <w:t>7.2</w:t>
            </w:r>
            <w:r>
              <w:rPr>
                <w:rStyle w:val="63"/>
                <w:rFonts w:hint="eastAsia" w:ascii="宋体" w:hAnsi="宋体" w:eastAsia="宋体"/>
                <w:color w:val="auto"/>
                <w:sz w:val="24"/>
                <w:szCs w:val="24"/>
                <w:lang w:bidi="ar"/>
              </w:rPr>
              <w:t>投标人</w:t>
            </w:r>
            <w:r>
              <w:rPr>
                <w:rFonts w:hint="eastAsia" w:ascii="宋体" w:hAnsi="宋体" w:cs="仿宋_GB2312"/>
                <w:kern w:val="0"/>
                <w:sz w:val="24"/>
                <w:szCs w:val="24"/>
                <w:lang w:bidi="ar"/>
              </w:rPr>
              <w:t>对出库过程中发现的产品磕碰、锈蚀等质量异常情况，要及时反馈招标人进行确认，满足使用需求时才能做出库操作。</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Style w:val="63"/>
                <w:rFonts w:hint="eastAsia" w:ascii="宋体" w:hAnsi="宋体" w:eastAsia="宋体"/>
                <w:color w:val="auto"/>
                <w:sz w:val="24"/>
                <w:szCs w:val="24"/>
                <w:lang w:bidi="ar"/>
              </w:rPr>
              <w:t>投标人</w:t>
            </w:r>
          </w:p>
        </w:tc>
      </w:tr>
      <w:tr>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8"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Fonts w:hint="eastAsia" w:ascii="宋体" w:hAnsi="宋体" w:cs="仿宋_GB2312"/>
                <w:sz w:val="24"/>
                <w:szCs w:val="24"/>
              </w:rPr>
              <w:t>8</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Fonts w:hint="eastAsia" w:ascii="宋体" w:hAnsi="宋体" w:cs="仿宋_GB2312"/>
                <w:kern w:val="0"/>
                <w:sz w:val="24"/>
                <w:szCs w:val="24"/>
                <w:lang w:bidi="ar"/>
              </w:rPr>
              <w:t>组织物资盘点、对账</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8.1物资盘点过程（适用于月度、半年、年度盘点）分为制定盘点计划、盘点安排、盘点准备、盘点作业、盘点原因分析、账务处理</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8.2盘点方式：</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8.2.1按物资是否已停止出入库动作进行动态盘点和静态全盘；</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8.2.2按仓库内供应商所供应物资进行盘点</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8.2.3按仓库库区或库位分布进行盘点</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8.2.4按物资库龄结构进行盘点</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8.2.5按物资配送在途状态进行盘点</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8.2.6按某一批次物资是否有出库记录进行盘点</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8.2.7以零库存货位为单位进行盘点</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8.2.8按物料大类进行盘点</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8.2.9按物资质量状态（合格、不合格品、待检）进行盘点</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8.2.10按物资属性托管/非托管进行盘点</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8.3物资盘点时，需核对物资实有数与物资系统明细账是否相符，检查仓库物资保管工作、安全工作是否符合规定和要求；</w:t>
            </w:r>
          </w:p>
          <w:p>
            <w:pPr>
              <w:widowControl/>
              <w:jc w:val="left"/>
              <w:textAlignment w:val="center"/>
              <w:rPr>
                <w:rStyle w:val="63"/>
                <w:rFonts w:hint="eastAsia" w:ascii="宋体" w:hAnsi="宋体" w:eastAsia="宋体"/>
                <w:color w:val="auto"/>
                <w:sz w:val="24"/>
                <w:szCs w:val="24"/>
                <w:lang w:bidi="ar"/>
              </w:rPr>
            </w:pPr>
            <w:r>
              <w:rPr>
                <w:rFonts w:hint="eastAsia" w:ascii="宋体" w:hAnsi="宋体" w:cs="仿宋_GB2312"/>
                <w:kern w:val="0"/>
                <w:sz w:val="24"/>
                <w:szCs w:val="24"/>
                <w:lang w:bidi="ar"/>
              </w:rPr>
              <w:t>8.4盘点结束后要将账实相符盘点结果、盘点差异原因分析、处置措施、工作改善措施等档案留存备查（留档时间不少于3年），并将盘点分析报告于次月2日前报招标人物流管理部门；</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8.5物资对账</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对于托管物资，物流商要按月对物资出入库和在库物资与供应商进行对账，对不配合或未按时完成对账的三方物流、供应商，招标人物流管理部门将进行考核；对连续</w:t>
            </w:r>
            <w:r>
              <w:rPr>
                <w:rStyle w:val="64"/>
                <w:rFonts w:hint="eastAsia" w:ascii="宋体" w:hAnsi="宋体" w:cs="仿宋_GB2312"/>
                <w:color w:val="auto"/>
                <w:sz w:val="24"/>
                <w:szCs w:val="24"/>
                <w:lang w:bidi="ar"/>
              </w:rPr>
              <w:t>2</w:t>
            </w:r>
            <w:r>
              <w:rPr>
                <w:rStyle w:val="63"/>
                <w:rFonts w:hint="eastAsia" w:ascii="宋体" w:hAnsi="宋体" w:eastAsia="宋体"/>
                <w:color w:val="auto"/>
                <w:sz w:val="24"/>
                <w:szCs w:val="24"/>
                <w:lang w:bidi="ar"/>
              </w:rPr>
              <w:t>个月不配合对账的物流商及供应商，停止支付物流费用及货款。</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8.6差异处置</w:t>
            </w:r>
          </w:p>
          <w:p>
            <w:pPr>
              <w:widowControl/>
              <w:jc w:val="left"/>
              <w:textAlignment w:val="center"/>
              <w:rPr>
                <w:rStyle w:val="63"/>
                <w:rFonts w:hint="eastAsia" w:ascii="宋体" w:hAnsi="宋体" w:eastAsia="宋体"/>
                <w:color w:val="auto"/>
                <w:sz w:val="24"/>
                <w:szCs w:val="24"/>
                <w:lang w:bidi="ar"/>
              </w:rPr>
            </w:pPr>
            <w:r>
              <w:rPr>
                <w:rStyle w:val="63"/>
                <w:rFonts w:hint="eastAsia" w:ascii="宋体" w:hAnsi="宋体" w:eastAsia="宋体"/>
                <w:color w:val="auto"/>
                <w:sz w:val="24"/>
                <w:szCs w:val="24"/>
                <w:lang w:bidi="ar"/>
              </w:rPr>
              <w:t>对于托管物资，物流商与供应商的盘点差异，自供应商应付给物流商的物流服务费中扣除与差异产品货值等额的物流费，同步将差异产品在SAP/WMS系统中做数据返厂处理；对于非托物资，自重汽应付给物流商的物流服务费中扣除与差异产品货值等额的物流费，同步将差异产品在SAP/WMS系统中投入成本中心，并根据产品价值对物流商进行考核。</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仿宋_GB2312"/>
                <w:sz w:val="24"/>
                <w:szCs w:val="24"/>
              </w:rPr>
            </w:pPr>
            <w:r>
              <w:rPr>
                <w:rStyle w:val="63"/>
                <w:rFonts w:hint="eastAsia" w:ascii="宋体" w:hAnsi="宋体" w:eastAsia="宋体"/>
                <w:color w:val="auto"/>
                <w:sz w:val="24"/>
                <w:szCs w:val="24"/>
                <w:lang w:bidi="ar"/>
              </w:rPr>
              <w:t>投标人</w:t>
            </w:r>
          </w:p>
        </w:tc>
      </w:tr>
    </w:tbl>
    <w:p>
      <w:pPr>
        <w:spacing w:line="480" w:lineRule="exact"/>
        <w:ind w:firstLine="482"/>
        <w:rPr>
          <w:sz w:val="24"/>
        </w:rPr>
      </w:pPr>
    </w:p>
    <w:p>
      <w:pPr>
        <w:spacing w:line="480" w:lineRule="exact"/>
        <w:ind w:firstLine="482"/>
        <w:jc w:val="center"/>
        <w:rPr>
          <w:b/>
          <w:bCs/>
          <w:sz w:val="24"/>
        </w:rPr>
      </w:pPr>
      <w:r>
        <w:rPr>
          <w:rFonts w:hint="eastAsia"/>
          <w:b/>
          <w:bCs/>
          <w:sz w:val="24"/>
        </w:rPr>
        <w:t>物流配送管理要求</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Layout w:type="autofit"/>
        <w:tblCellMar>
          <w:top w:w="0" w:type="dxa"/>
          <w:left w:w="108" w:type="dxa"/>
          <w:bottom w:w="0" w:type="dxa"/>
          <w:right w:w="108" w:type="dxa"/>
        </w:tblCellMar>
      </w:tblPr>
      <w:tblGrid>
        <w:gridCol w:w="641"/>
        <w:gridCol w:w="1070"/>
        <w:gridCol w:w="6794"/>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0" w:type="auto"/>
            <w:vAlign w:val="center"/>
          </w:tcPr>
          <w:p>
            <w:pPr>
              <w:tabs>
                <w:tab w:val="left" w:pos="709"/>
              </w:tabs>
              <w:adjustRightInd w:val="0"/>
              <w:snapToGrid w:val="0"/>
              <w:spacing w:line="300" w:lineRule="auto"/>
              <w:jc w:val="center"/>
              <w:rPr>
                <w:rFonts w:hint="eastAsia" w:ascii="宋体" w:hAnsi="宋体" w:cs="仿宋_GB2312"/>
                <w:b/>
                <w:bCs/>
                <w:sz w:val="24"/>
                <w:szCs w:val="24"/>
              </w:rPr>
            </w:pPr>
            <w:bookmarkStart w:id="30" w:name="_Hlk144731609"/>
            <w:r>
              <w:rPr>
                <w:rFonts w:hint="eastAsia" w:ascii="宋体" w:hAnsi="宋体" w:cs="仿宋_GB2312"/>
                <w:b/>
                <w:bCs/>
                <w:sz w:val="24"/>
                <w:szCs w:val="24"/>
              </w:rPr>
              <w:t>活动编号</w:t>
            </w:r>
          </w:p>
        </w:tc>
        <w:tc>
          <w:tcPr>
            <w:tcW w:w="0" w:type="auto"/>
            <w:vAlign w:val="center"/>
          </w:tcPr>
          <w:p>
            <w:pPr>
              <w:tabs>
                <w:tab w:val="left" w:pos="709"/>
              </w:tabs>
              <w:adjustRightInd w:val="0"/>
              <w:snapToGrid w:val="0"/>
              <w:spacing w:line="300" w:lineRule="auto"/>
              <w:jc w:val="center"/>
              <w:rPr>
                <w:rFonts w:hint="eastAsia" w:ascii="宋体" w:hAnsi="宋体" w:cs="仿宋_GB2312"/>
                <w:b/>
                <w:bCs/>
                <w:sz w:val="24"/>
                <w:szCs w:val="24"/>
              </w:rPr>
            </w:pPr>
            <w:r>
              <w:rPr>
                <w:rFonts w:hint="eastAsia" w:ascii="宋体" w:hAnsi="宋体" w:cs="仿宋_GB2312"/>
                <w:b/>
                <w:bCs/>
                <w:sz w:val="24"/>
                <w:szCs w:val="24"/>
              </w:rPr>
              <w:t>活动</w:t>
            </w:r>
          </w:p>
          <w:p>
            <w:pPr>
              <w:tabs>
                <w:tab w:val="left" w:pos="709"/>
              </w:tabs>
              <w:adjustRightInd w:val="0"/>
              <w:snapToGrid w:val="0"/>
              <w:spacing w:line="300" w:lineRule="auto"/>
              <w:jc w:val="center"/>
              <w:rPr>
                <w:rFonts w:hint="eastAsia" w:ascii="宋体" w:hAnsi="宋体" w:cs="仿宋_GB2312"/>
                <w:b/>
                <w:bCs/>
                <w:sz w:val="24"/>
                <w:szCs w:val="24"/>
              </w:rPr>
            </w:pPr>
            <w:r>
              <w:rPr>
                <w:rFonts w:hint="eastAsia" w:ascii="宋体" w:hAnsi="宋体" w:cs="仿宋_GB2312"/>
                <w:b/>
                <w:bCs/>
                <w:sz w:val="24"/>
                <w:szCs w:val="24"/>
              </w:rPr>
              <w:t>名称</w:t>
            </w:r>
          </w:p>
        </w:tc>
        <w:tc>
          <w:tcPr>
            <w:tcW w:w="0" w:type="auto"/>
            <w:vAlign w:val="center"/>
          </w:tcPr>
          <w:p>
            <w:pPr>
              <w:tabs>
                <w:tab w:val="left" w:pos="709"/>
              </w:tabs>
              <w:adjustRightInd w:val="0"/>
              <w:snapToGrid w:val="0"/>
              <w:spacing w:line="300" w:lineRule="auto"/>
              <w:jc w:val="center"/>
              <w:rPr>
                <w:rFonts w:hint="eastAsia" w:ascii="宋体" w:hAnsi="宋体" w:cs="仿宋_GB2312"/>
                <w:b/>
                <w:bCs/>
                <w:sz w:val="24"/>
                <w:szCs w:val="24"/>
              </w:rPr>
            </w:pPr>
            <w:r>
              <w:rPr>
                <w:rFonts w:hint="eastAsia" w:ascii="宋体" w:hAnsi="宋体" w:cs="仿宋_GB2312"/>
                <w:b/>
                <w:bCs/>
                <w:sz w:val="24"/>
                <w:szCs w:val="24"/>
              </w:rPr>
              <w:t>管理要求</w:t>
            </w:r>
          </w:p>
        </w:tc>
        <w:tc>
          <w:tcPr>
            <w:tcW w:w="0" w:type="auto"/>
            <w:vAlign w:val="center"/>
          </w:tcPr>
          <w:p>
            <w:pPr>
              <w:tabs>
                <w:tab w:val="left" w:pos="709"/>
              </w:tabs>
              <w:adjustRightInd w:val="0"/>
              <w:snapToGrid w:val="0"/>
              <w:spacing w:line="300" w:lineRule="auto"/>
              <w:jc w:val="center"/>
              <w:rPr>
                <w:rFonts w:hint="eastAsia" w:ascii="宋体" w:hAnsi="宋体" w:cs="仿宋_GB2312"/>
                <w:b/>
                <w:bCs/>
                <w:sz w:val="24"/>
                <w:szCs w:val="24"/>
              </w:rPr>
            </w:pPr>
            <w:r>
              <w:rPr>
                <w:rFonts w:hint="eastAsia" w:ascii="宋体" w:hAnsi="宋体" w:cs="仿宋_GB2312"/>
                <w:b/>
                <w:bCs/>
                <w:sz w:val="24"/>
                <w:szCs w:val="24"/>
              </w:rPr>
              <w:t>主责单位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90" w:hRule="atLeast"/>
          <w:jc w:val="center"/>
        </w:trPr>
        <w:tc>
          <w:tcPr>
            <w:tcW w:w="0" w:type="auto"/>
            <w:vAlign w:val="center"/>
          </w:tcPr>
          <w:p>
            <w:pPr>
              <w:tabs>
                <w:tab w:val="left" w:pos="709"/>
              </w:tabs>
              <w:adjustRightInd w:val="0"/>
              <w:snapToGrid w:val="0"/>
              <w:spacing w:line="300" w:lineRule="auto"/>
              <w:jc w:val="center"/>
              <w:rPr>
                <w:rFonts w:hint="eastAsia" w:ascii="宋体" w:hAnsi="宋体" w:cs="仿宋_GB2312"/>
                <w:b/>
                <w:bCs/>
                <w:sz w:val="24"/>
                <w:szCs w:val="24"/>
              </w:rPr>
            </w:pPr>
            <w:r>
              <w:rPr>
                <w:rFonts w:hint="eastAsia" w:ascii="宋体" w:hAnsi="宋体" w:cs="仿宋_GB2312"/>
                <w:sz w:val="24"/>
                <w:szCs w:val="24"/>
              </w:rPr>
              <w:t>1</w:t>
            </w:r>
          </w:p>
        </w:tc>
        <w:tc>
          <w:tcPr>
            <w:tcW w:w="0" w:type="auto"/>
            <w:vAlign w:val="center"/>
          </w:tcPr>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制定物料配送策略</w:t>
            </w:r>
          </w:p>
        </w:tc>
        <w:tc>
          <w:tcPr>
            <w:tcW w:w="0" w:type="auto"/>
            <w:vAlign w:val="center"/>
          </w:tcPr>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招标人物流管理员制定物料配送策略，配送策略包含包装配送、顺引排序配送、分层排序配送、组合排序配送、台套排序配送、期量排序配送。</w:t>
            </w:r>
          </w:p>
        </w:tc>
        <w:tc>
          <w:tcPr>
            <w:tcW w:w="0" w:type="auto"/>
            <w:vAlign w:val="center"/>
          </w:tcPr>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招标人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1125" w:hRule="atLeast"/>
          <w:jc w:val="center"/>
        </w:trPr>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2</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制定物料配送计划并下达</w:t>
            </w:r>
          </w:p>
        </w:tc>
        <w:tc>
          <w:tcPr>
            <w:tcW w:w="0" w:type="auto"/>
            <w:vAlign w:val="center"/>
          </w:tcPr>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2.1招标人根据各车间及产线的生产实际，针对不同物料大类，确定不同的配送策略及配送路线等基础信息并维护至智慧物流云平台。</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2.2为确保生产物料配送的及时性，招标人根据生产计划制定物料配送计划，在生产（包含提前分装）前，至少提前48小时完成计划下达。</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2.3 紧急拉动的物料配送，由需求发起部门负责及时通知投标人处置。</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招标人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2325" w:hRule="atLeast"/>
          <w:jc w:val="center"/>
        </w:trPr>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3</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完成配送计划分解</w:t>
            </w:r>
          </w:p>
        </w:tc>
        <w:tc>
          <w:tcPr>
            <w:tcW w:w="0" w:type="auto"/>
            <w:vAlign w:val="center"/>
          </w:tcPr>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3.1招标人接到物流配送计划后，及时完成配送计划分解，并根据计划组织物料配送工作，开展配送过程监控，招标人及时跟踪配送计划执行情况。</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3.2 招标人合理制定配送波次，实现分时、分批配送。</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招标人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691" w:hRule="atLeast"/>
          <w:jc w:val="center"/>
        </w:trPr>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4</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物料分拣</w:t>
            </w:r>
          </w:p>
        </w:tc>
        <w:tc>
          <w:tcPr>
            <w:tcW w:w="0" w:type="auto"/>
            <w:vAlign w:val="center"/>
          </w:tcPr>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4.1投标人应严格按系统生成的配送指令进行物流作业。并根据排产顺序进行物料分拣配送。</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4.2投标人必须根据生产装配顺序制定相应配送顺序，确保分拣配送按照排产顺序和装配顺序进行依次配送，严格按照配送波次指令进行作业，确保配送秩序。</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4.3投标人应根据所配送产品，按照效率优先、成本最优的原则，选择合理的配送周转设备。</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4.4投标人在分拣及配送时，必须合理选择配送器具，有专用配送器具的零部件必须使用专用器具。</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4.5投标人分拣时须核对出库单产品图号、数量、生产厂家等信息，严格按照产品先进先出、保质保量、单货一致等原则进行分拣作业。</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4.6投标人应严格按照器具设计容量和使用方法进行摆放物料，分拣作业时必须及时清除产品油污灰尘，同时确保工位器具保持清洁；在使用料盒盛放时，须对产品进行隔离防护；分拣作业过程中杜绝造成产品件的磕碰划伤。</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4.7投标人必须在理货完成后、物料配送前对仓库出库产品进行货单一致、器具使用等复核。</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4.8投标人理货作业完成后必须按照5S管理要求及时清理产品包装物、整理空闲器具。</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972" w:hRule="atLeast"/>
          <w:jc w:val="center"/>
        </w:trPr>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5</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物料配送</w:t>
            </w:r>
          </w:p>
        </w:tc>
        <w:tc>
          <w:tcPr>
            <w:tcW w:w="0" w:type="auto"/>
            <w:vAlign w:val="center"/>
          </w:tcPr>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5.1投标人进行配送物料时必须严格执行招标人规划的配送路线，按照线边规划进行定置摆放，将物料投放指定地点，保证配送有序。</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5.2投标人应根据等待交接区、交接区、待配送区等区域定置原则，分别对未交接产品、正在交接产品、交接完毕待投放产品进行状态区分。</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5.3投标人应根据排产首辆（台）上线时间及实际生产节拍，合理调度配送节拍。</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834" w:hRule="atLeast"/>
          <w:jc w:val="center"/>
        </w:trPr>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6</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物料配送是否存在异常</w:t>
            </w:r>
          </w:p>
        </w:tc>
        <w:tc>
          <w:tcPr>
            <w:tcW w:w="0" w:type="auto"/>
            <w:vAlign w:val="center"/>
          </w:tcPr>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物料投送应满足如下要求：</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a）投送物料的时段与时间节点一致；</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b）投送物料的条码与实物相符；</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c）投送的物料符合码垛标准和物料防护标准；</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d）投料车辆符合行驶与停放标准</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834" w:hRule="atLeast"/>
          <w:jc w:val="center"/>
        </w:trPr>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7</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物料接收</w:t>
            </w:r>
          </w:p>
        </w:tc>
        <w:tc>
          <w:tcPr>
            <w:tcW w:w="0" w:type="auto"/>
            <w:vAlign w:val="center"/>
          </w:tcPr>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7.1招标人指定专人进行物料接收，物流接收时应在物料投放指定地点，在物料清点、交接确认、回收单据等环节与物料配送人员完成交接。</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7.2物料接收应对配送物料的质量和工作器具进行检查，确认无问题的方可接收.</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招标人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834" w:hRule="atLeast"/>
          <w:jc w:val="center"/>
        </w:trPr>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8</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物料配送整改</w:t>
            </w:r>
          </w:p>
        </w:tc>
        <w:tc>
          <w:tcPr>
            <w:tcW w:w="0" w:type="auto"/>
            <w:vAlign w:val="center"/>
          </w:tcPr>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对于物料交接过程中出现的异常信息，应及时反馈，由招标人负责跟踪落实。投标人应按照如下标准进行整改：</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a）对于器具损坏的，更换物流器具，并提报维修计划；</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b）器具或物料清洁度不达标的，及时更换或清洁处理；</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c）物料数量不符的，及时调整数量，补发或退回处理。</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招标人/投标人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834" w:hRule="atLeast"/>
          <w:jc w:val="center"/>
        </w:trPr>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9</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物料退库</w:t>
            </w:r>
          </w:p>
        </w:tc>
        <w:tc>
          <w:tcPr>
            <w:tcW w:w="0" w:type="auto"/>
            <w:vAlign w:val="center"/>
          </w:tcPr>
          <w:p>
            <w:pPr>
              <w:widowControl/>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lang w:bidi="ar"/>
              </w:rPr>
              <w:t>招标人每日对生产车间多余零部件办理一次实物退库及账目处理，避免多余产品件在车间长时间滞留形成积压。</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招标人/投标人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108" w:type="dxa"/>
            <w:bottom w:w="0" w:type="dxa"/>
            <w:right w:w="108" w:type="dxa"/>
          </w:tblCellMar>
        </w:tblPrEx>
        <w:trPr>
          <w:trHeight w:val="354" w:hRule="atLeast"/>
          <w:jc w:val="center"/>
        </w:trPr>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10</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回收空置器具及包装物</w:t>
            </w:r>
          </w:p>
        </w:tc>
        <w:tc>
          <w:tcPr>
            <w:tcW w:w="0" w:type="auto"/>
            <w:vAlign w:val="center"/>
          </w:tcPr>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10.1招标人制定空置器具存放期量标准，对需回收的空置器具，按来源物流单位仓库实施分区、分类定置管理，以防返空过程中出现混淆，方便后续配送时的器具循环使用。</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10.2投标人应及时回收生产过程中出现的物流空置器具，避免因空器具占用空间而影响后续配送及生产。</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10.3当班生产作业结束后产生的空置器具，投标人在次日第一配送批次产品完成卸货后，完成空置器具的回收工作。</w:t>
            </w:r>
          </w:p>
          <w:p>
            <w:pPr>
              <w:tabs>
                <w:tab w:val="left" w:pos="709"/>
              </w:tabs>
              <w:adjustRightInd w:val="0"/>
              <w:snapToGrid w:val="0"/>
              <w:spacing w:line="300" w:lineRule="auto"/>
              <w:jc w:val="left"/>
              <w:rPr>
                <w:rFonts w:hint="eastAsia" w:ascii="宋体" w:hAnsi="宋体" w:cs="仿宋_GB2312"/>
                <w:sz w:val="24"/>
                <w:szCs w:val="24"/>
              </w:rPr>
            </w:pPr>
            <w:r>
              <w:rPr>
                <w:rFonts w:hint="eastAsia" w:ascii="宋体" w:hAnsi="宋体" w:cs="仿宋_GB2312"/>
                <w:sz w:val="24"/>
                <w:szCs w:val="24"/>
              </w:rPr>
              <w:t>10.4投标人对回收至仓库的空置器具须按照供应商分区分类定置管理，以方便器具循环使用。</w:t>
            </w:r>
          </w:p>
        </w:tc>
        <w:tc>
          <w:tcPr>
            <w:tcW w:w="0" w:type="auto"/>
            <w:vAlign w:val="center"/>
          </w:tcPr>
          <w:p>
            <w:pPr>
              <w:tabs>
                <w:tab w:val="left" w:pos="709"/>
              </w:tabs>
              <w:adjustRightInd w:val="0"/>
              <w:snapToGrid w:val="0"/>
              <w:spacing w:line="300" w:lineRule="auto"/>
              <w:jc w:val="center"/>
              <w:rPr>
                <w:rFonts w:hint="eastAsia" w:ascii="宋体" w:hAnsi="宋体" w:cs="仿宋_GB2312"/>
                <w:sz w:val="24"/>
                <w:szCs w:val="24"/>
              </w:rPr>
            </w:pPr>
            <w:r>
              <w:rPr>
                <w:rFonts w:hint="eastAsia" w:ascii="宋体" w:hAnsi="宋体" w:cs="仿宋_GB2312"/>
                <w:sz w:val="24"/>
                <w:szCs w:val="24"/>
              </w:rPr>
              <w:t>投标人</w:t>
            </w:r>
          </w:p>
        </w:tc>
      </w:tr>
      <w:bookmarkEnd w:id="30"/>
    </w:tbl>
    <w:p>
      <w:pPr>
        <w:spacing w:line="480" w:lineRule="exact"/>
        <w:ind w:firstLine="482"/>
        <w:rPr>
          <w:sz w:val="24"/>
        </w:rPr>
      </w:pPr>
    </w:p>
    <w:p>
      <w:pPr>
        <w:pStyle w:val="4"/>
        <w:spacing w:line="440" w:lineRule="exact"/>
        <w:rPr>
          <w:bCs w:val="0"/>
          <w:sz w:val="24"/>
          <w:szCs w:val="24"/>
        </w:rPr>
      </w:pPr>
      <w:r>
        <w:rPr>
          <w:rFonts w:hint="eastAsia"/>
          <w:bCs w:val="0"/>
          <w:sz w:val="24"/>
          <w:szCs w:val="24"/>
        </w:rPr>
        <w:t>3、</w:t>
      </w:r>
      <w:r>
        <w:rPr>
          <w:bCs w:val="0"/>
          <w:sz w:val="24"/>
          <w:szCs w:val="24"/>
        </w:rPr>
        <w:t>物料接收</w:t>
      </w:r>
      <w:r>
        <mc:AlternateContent>
          <mc:Choice Requires="wps">
            <w:drawing>
              <wp:anchor distT="0" distB="0" distL="114300" distR="114300" simplePos="0" relativeHeight="251661312" behindDoc="0" locked="0" layoutInCell="1" allowOverlap="1">
                <wp:simplePos x="0" y="0"/>
                <wp:positionH relativeFrom="column">
                  <wp:posOffset>166370</wp:posOffset>
                </wp:positionH>
                <wp:positionV relativeFrom="paragraph">
                  <wp:posOffset>1275080</wp:posOffset>
                </wp:positionV>
                <wp:extent cx="5848350" cy="288290"/>
                <wp:effectExtent l="0" t="0" r="0" b="0"/>
                <wp:wrapThrough wrapText="bothSides">
                  <wp:wrapPolygon>
                    <wp:start x="0" y="0"/>
                    <wp:lineTo x="0" y="19982"/>
                    <wp:lineTo x="21530" y="19982"/>
                    <wp:lineTo x="21530" y="0"/>
                    <wp:lineTo x="0" y="0"/>
                  </wp:wrapPolygon>
                </wp:wrapThrough>
                <wp:docPr id="3112873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48350" cy="288290"/>
                        </a:xfrm>
                        <a:prstGeom prst="rect">
                          <a:avLst/>
                        </a:prstGeom>
                        <a:solidFill>
                          <a:srgbClr val="FFFFFF"/>
                        </a:solidFill>
                        <a:ln>
                          <a:noFill/>
                        </a:ln>
                      </wps:spPr>
                      <wps:txbx>
                        <w:txbxContent>
                          <w:p>
                            <w:pPr>
                              <w:jc w:val="center"/>
                              <w:rPr>
                                <w:b/>
                                <w:szCs w:val="21"/>
                              </w:rPr>
                            </w:pPr>
                            <w:r>
                              <w:rPr>
                                <w:rFonts w:hint="eastAsia"/>
                                <w:b/>
                                <w:szCs w:val="21"/>
                              </w:rPr>
                              <w:t>图4供方到货仓储入库流程</w:t>
                            </w:r>
                          </w:p>
                          <w:p>
                            <w:pPr>
                              <w:pStyle w:val="6"/>
                              <w:ind w:firstLine="422"/>
                              <w:rPr>
                                <w:rFonts w:ascii="Calibri" w:hAnsi="Calibri"/>
                                <w:sz w:val="21"/>
                                <w:szCs w:val="21"/>
                              </w:rPr>
                            </w:pPr>
                          </w:p>
                        </w:txbxContent>
                      </wps:txbx>
                      <wps:bodyPr rot="0" vert="horz" wrap="square" lIns="0" tIns="0" rIns="0" bIns="0" anchor="t" anchorCtr="0" upright="1">
                        <a:noAutofit/>
                      </wps:bodyPr>
                    </wps:wsp>
                  </a:graphicData>
                </a:graphic>
              </wp:anchor>
            </w:drawing>
          </mc:Choice>
          <mc:Fallback>
            <w:pict>
              <v:shape id="文本框 2" o:spid="_x0000_s1026" o:spt="202" type="#_x0000_t202" style="position:absolute;left:0pt;margin-left:13.1pt;margin-top:100.4pt;height:22.7pt;width:460.5pt;mso-wrap-distance-left:9pt;mso-wrap-distance-right:9pt;z-index:251661312;mso-width-relative:page;mso-height-relative:page;" fillcolor="#FFFFFF" filled="t" stroked="f" coordsize="21600,21600" wrapcoords="0 0 0 19982 21530 19982 21530 0 0 0" o:gfxdata="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">
                <v:fill on="t" focussize="0,0"/>
                <v:stroke on="f"/>
                <v:imagedata o:title=""/>
                <o:lock v:ext="edit" aspectratio="f"/>
                <v:textbox inset="0mm,0mm,0mm,0mm">
                  <w:txbxContent>
                    <w:p>
                      <w:pPr>
                        <w:jc w:val="center"/>
                        <w:rPr>
                          <w:b/>
                          <w:szCs w:val="21"/>
                        </w:rPr>
                      </w:pPr>
                      <w:r>
                        <w:rPr>
                          <w:rFonts w:hint="eastAsia"/>
                          <w:b/>
                          <w:szCs w:val="21"/>
                        </w:rPr>
                        <w:t>图4供方到货仓储入库流程</w:t>
                      </w:r>
                    </w:p>
                    <w:p>
                      <w:pPr>
                        <w:pStyle w:val="6"/>
                        <w:ind w:firstLine="422"/>
                        <w:rPr>
                          <w:rFonts w:ascii="Calibri" w:hAnsi="Calibri"/>
                          <w:sz w:val="21"/>
                          <w:szCs w:val="21"/>
                        </w:rPr>
                      </w:pPr>
                    </w:p>
                  </w:txbxContent>
                </v:textbox>
                <w10:wrap type="through"/>
              </v:shape>
            </w:pict>
          </mc:Fallback>
        </mc:AlternateContent>
      </w:r>
      <w:r>
        <w:drawing>
          <wp:anchor distT="0" distB="0" distL="114300" distR="114300" simplePos="0" relativeHeight="251662336" behindDoc="1" locked="0" layoutInCell="1" allowOverlap="1">
            <wp:simplePos x="0" y="0"/>
            <wp:positionH relativeFrom="column">
              <wp:posOffset>166370</wp:posOffset>
            </wp:positionH>
            <wp:positionV relativeFrom="paragraph">
              <wp:posOffset>379730</wp:posOffset>
            </wp:positionV>
            <wp:extent cx="5848350" cy="838200"/>
            <wp:effectExtent l="0" t="0" r="0" b="0"/>
            <wp:wrapThrough wrapText="bothSides">
              <wp:wrapPolygon>
                <wp:start x="0" y="0"/>
                <wp:lineTo x="0" y="21109"/>
                <wp:lineTo x="21530" y="21109"/>
                <wp:lineTo x="21530" y="0"/>
                <wp:lineTo x="0" y="0"/>
              </wp:wrapPolygon>
            </wp:wrapThrough>
            <wp:docPr id="1935276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76205"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848350" cy="838200"/>
                    </a:xfrm>
                    <a:prstGeom prst="rect">
                      <a:avLst/>
                    </a:prstGeom>
                    <a:noFill/>
                    <a:ln>
                      <a:noFill/>
                    </a:ln>
                  </pic:spPr>
                </pic:pic>
              </a:graphicData>
            </a:graphic>
          </wp:anchor>
        </w:drawing>
      </w:r>
    </w:p>
    <w:p>
      <w:pPr>
        <w:spacing w:line="480" w:lineRule="exact"/>
        <w:ind w:firstLine="480" w:firstLineChars="200"/>
        <w:rPr>
          <w:sz w:val="24"/>
        </w:rPr>
      </w:pPr>
      <w:r>
        <w:rPr>
          <w:sz w:val="24"/>
        </w:rPr>
        <w:t>3.1 招标人将要求其零件供应商在送货前提交ASN（Advanced Shipping Notice, 提前发货通知），投标人必须能够支持ASN收货。</w:t>
      </w:r>
    </w:p>
    <w:p>
      <w:pPr>
        <w:spacing w:line="480" w:lineRule="exact"/>
        <w:ind w:firstLine="482"/>
        <w:rPr>
          <w:sz w:val="24"/>
        </w:rPr>
      </w:pPr>
      <w:r>
        <w:rPr>
          <w:sz w:val="24"/>
        </w:rPr>
        <w:t>3.2 招标人</w:t>
      </w:r>
      <w:r>
        <w:rPr>
          <w:rFonts w:hint="eastAsia"/>
          <w:sz w:val="24"/>
        </w:rPr>
        <w:t>WMS</w:t>
      </w:r>
      <w:r>
        <w:rPr>
          <w:sz w:val="24"/>
        </w:rPr>
        <w:t>系统支持扫描收货的方式，投标人必须采用扫描标签的方式进行收货，以提高物料接收效率。</w:t>
      </w:r>
    </w:p>
    <w:p>
      <w:pPr>
        <w:spacing w:line="480" w:lineRule="exact"/>
        <w:ind w:firstLine="482"/>
        <w:rPr>
          <w:sz w:val="24"/>
        </w:rPr>
      </w:pPr>
      <w:r>
        <w:rPr>
          <w:sz w:val="24"/>
        </w:rPr>
        <w:t>3.3 投标人收货人员应及时对到货物料卸货，并按要求完成来料检验和接收过程。</w:t>
      </w:r>
    </w:p>
    <w:p>
      <w:pPr>
        <w:spacing w:line="480" w:lineRule="exact"/>
        <w:ind w:firstLine="482"/>
        <w:rPr>
          <w:sz w:val="24"/>
        </w:rPr>
      </w:pPr>
      <w:r>
        <w:rPr>
          <w:sz w:val="24"/>
        </w:rPr>
        <w:t>3.4 投标人收货人员能够及时正确地对接收异常进行处理（如可疑物料、供应商单据信息、供货数量不符等）。</w:t>
      </w:r>
    </w:p>
    <w:p>
      <w:pPr>
        <w:spacing w:line="480" w:lineRule="exact"/>
        <w:ind w:firstLine="482"/>
        <w:rPr>
          <w:sz w:val="24"/>
        </w:rPr>
      </w:pPr>
      <w:r>
        <w:rPr>
          <w:sz w:val="24"/>
        </w:rPr>
        <w:t>3.5 投标人接收前后应对收货系统信息进行核对，确保系统信息与现场实物一致。如出现差异，应保证核对和调整工作当班完成。</w:t>
      </w:r>
    </w:p>
    <w:p>
      <w:pPr>
        <w:pStyle w:val="4"/>
        <w:spacing w:line="440" w:lineRule="exact"/>
        <w:rPr>
          <w:bCs w:val="0"/>
          <w:sz w:val="24"/>
          <w:szCs w:val="24"/>
        </w:rPr>
      </w:pPr>
      <w:bookmarkStart w:id="31" w:name="_Toc44077691"/>
      <w:bookmarkStart w:id="32" w:name="_Toc44077640"/>
      <w:r>
        <w:rPr>
          <w:bCs w:val="0"/>
          <w:sz w:val="24"/>
          <w:szCs w:val="24"/>
        </w:rPr>
        <w:t>4、仓储管理</w:t>
      </w:r>
      <w:bookmarkEnd w:id="31"/>
      <w:bookmarkEnd w:id="32"/>
    </w:p>
    <w:p>
      <w:pPr>
        <w:spacing w:line="480" w:lineRule="exact"/>
        <w:ind w:firstLine="480" w:firstLineChars="200"/>
        <w:rPr>
          <w:sz w:val="24"/>
        </w:rPr>
      </w:pPr>
      <w:r>
        <w:rPr>
          <w:sz w:val="24"/>
        </w:rPr>
        <w:t>4.1 投标人需采取必要的防护措施以确保产品在仓储过程中质量完好。</w:t>
      </w:r>
    </w:p>
    <w:p>
      <w:pPr>
        <w:spacing w:line="480" w:lineRule="exact"/>
        <w:ind w:firstLine="480" w:firstLineChars="200"/>
        <w:rPr>
          <w:sz w:val="24"/>
        </w:rPr>
      </w:pPr>
      <w:r>
        <w:rPr>
          <w:sz w:val="24"/>
        </w:rPr>
        <w:t>4.2对产品进行盘存，主要为定期盘点，包括每月月末一次、每季度末一次、每半年一次，每年年终一次。投标人最终将盘存结果传递至招标人及其相应供应商，与供应商完成对账及差异处理。</w:t>
      </w:r>
    </w:p>
    <w:p>
      <w:pPr>
        <w:spacing w:line="480" w:lineRule="exact"/>
        <w:ind w:firstLine="480" w:firstLineChars="200"/>
        <w:rPr>
          <w:sz w:val="24"/>
        </w:rPr>
      </w:pPr>
      <w:r>
        <w:rPr>
          <w:sz w:val="24"/>
        </w:rPr>
        <w:t>4.3投标人购置相应的物资保险、添置消防、防盗等设备，确保物资仓储安全。</w:t>
      </w:r>
    </w:p>
    <w:p>
      <w:pPr>
        <w:spacing w:line="480" w:lineRule="exact"/>
        <w:ind w:firstLine="480" w:firstLineChars="200"/>
        <w:rPr>
          <w:sz w:val="24"/>
        </w:rPr>
      </w:pPr>
      <w:r>
        <w:rPr>
          <w:sz w:val="24"/>
        </w:rPr>
        <w:t>4.4投标人按目视化标识（标牌、标线）、厂家、型号分类存放，不得随意混放。</w:t>
      </w:r>
    </w:p>
    <w:p>
      <w:pPr>
        <w:spacing w:line="480" w:lineRule="exact"/>
        <w:ind w:firstLine="480" w:firstLineChars="200"/>
        <w:rPr>
          <w:sz w:val="24"/>
        </w:rPr>
      </w:pPr>
      <w:r>
        <w:rPr>
          <w:sz w:val="24"/>
        </w:rPr>
        <w:t>4.5投标人严禁出、入库装卸野蛮操作，如出现磕碰由</w:t>
      </w:r>
      <w:r>
        <w:rPr>
          <w:rFonts w:hint="eastAsia"/>
          <w:sz w:val="24"/>
        </w:rPr>
        <w:t>投标人</w:t>
      </w:r>
      <w:r>
        <w:rPr>
          <w:sz w:val="24"/>
        </w:rPr>
        <w:t>承担。</w:t>
      </w:r>
    </w:p>
    <w:p>
      <w:pPr>
        <w:spacing w:line="480" w:lineRule="exact"/>
        <w:ind w:firstLine="480" w:firstLineChars="200"/>
        <w:rPr>
          <w:sz w:val="24"/>
        </w:rPr>
      </w:pPr>
      <w:r>
        <w:rPr>
          <w:sz w:val="24"/>
        </w:rPr>
        <w:t>4.6投标人按要求做好现场</w:t>
      </w:r>
      <w:r>
        <w:rPr>
          <w:rFonts w:hint="eastAsia"/>
          <w:sz w:val="24"/>
        </w:rPr>
        <w:t>5</w:t>
      </w:r>
      <w:r>
        <w:rPr>
          <w:sz w:val="24"/>
        </w:rPr>
        <w:t>S管理。</w:t>
      </w:r>
    </w:p>
    <w:p>
      <w:pPr>
        <w:spacing w:line="480" w:lineRule="exact"/>
        <w:ind w:firstLine="480" w:firstLineChars="200"/>
        <w:rPr>
          <w:sz w:val="24"/>
        </w:rPr>
      </w:pPr>
      <w:r>
        <w:rPr>
          <w:sz w:val="24"/>
        </w:rPr>
        <w:t>4.7投标人应确保账卡物一致率100%。</w:t>
      </w:r>
    </w:p>
    <w:p>
      <w:pPr>
        <w:spacing w:line="480" w:lineRule="exact"/>
        <w:ind w:firstLine="480" w:firstLineChars="200"/>
        <w:rPr>
          <w:sz w:val="24"/>
        </w:rPr>
      </w:pPr>
      <w:r>
        <w:rPr>
          <w:sz w:val="24"/>
        </w:rPr>
        <w:t>4.8 投标人入库、出库过程要满足目视化管理要求。</w:t>
      </w:r>
    </w:p>
    <w:p>
      <w:pPr>
        <w:spacing w:line="480" w:lineRule="exact"/>
        <w:ind w:firstLine="480" w:firstLineChars="200"/>
        <w:rPr>
          <w:sz w:val="24"/>
        </w:rPr>
      </w:pPr>
      <w:r>
        <w:rPr>
          <w:sz w:val="24"/>
        </w:rPr>
        <w:t>4.9 投标人应根据招标人提供的安全库存策略为每种物料设置合理的MAX/MIN值，进行库位定制及目视。</w:t>
      </w:r>
    </w:p>
    <w:p>
      <w:pPr>
        <w:spacing w:line="480" w:lineRule="exact"/>
        <w:ind w:firstLine="480" w:firstLineChars="200"/>
        <w:rPr>
          <w:sz w:val="24"/>
        </w:rPr>
      </w:pPr>
      <w:r>
        <w:rPr>
          <w:sz w:val="24"/>
        </w:rPr>
        <w:t>4.10 投标人及时将每日的收发数据录入招标人的仓库管理系统，确保招标人及供应商可查询准确的库存信息。</w:t>
      </w:r>
    </w:p>
    <w:p>
      <w:pPr>
        <w:spacing w:line="480" w:lineRule="exact"/>
        <w:ind w:firstLine="480" w:firstLineChars="200"/>
        <w:rPr>
          <w:sz w:val="24"/>
        </w:rPr>
      </w:pPr>
      <w:r>
        <w:rPr>
          <w:sz w:val="24"/>
        </w:rPr>
        <w:t>4.11 当出现库存异常情况（缺料、溢库），投标人及时向招标人及其供应商做出预警并采取补救措施，直至库存恢复正常。</w:t>
      </w:r>
    </w:p>
    <w:p>
      <w:pPr>
        <w:spacing w:line="480" w:lineRule="exact"/>
        <w:ind w:firstLine="480" w:firstLineChars="200"/>
        <w:rPr>
          <w:sz w:val="24"/>
        </w:rPr>
      </w:pPr>
      <w:r>
        <w:rPr>
          <w:sz w:val="24"/>
        </w:rPr>
        <w:t>4.12 投标人按照FIFO的原则进行物料出入库操作，并定期对物料先进先出执行情况进行排查。</w:t>
      </w:r>
    </w:p>
    <w:p>
      <w:pPr>
        <w:spacing w:line="480" w:lineRule="exact"/>
        <w:ind w:firstLine="480" w:firstLineChars="200"/>
        <w:rPr>
          <w:sz w:val="24"/>
        </w:rPr>
      </w:pPr>
      <w:r>
        <w:rPr>
          <w:sz w:val="24"/>
        </w:rPr>
        <w:t>4.13投标人一旦发现不合格品，应立即隔离至可疑物料区并通知招标人。</w:t>
      </w:r>
    </w:p>
    <w:p>
      <w:pPr>
        <w:pStyle w:val="4"/>
        <w:spacing w:line="480" w:lineRule="exact"/>
        <w:rPr>
          <w:rFonts w:eastAsia="等线"/>
          <w:b w:val="0"/>
          <w:sz w:val="24"/>
          <w:szCs w:val="24"/>
        </w:rPr>
      </w:pPr>
      <w:bookmarkStart w:id="33" w:name="_Toc44077641"/>
      <w:bookmarkStart w:id="34" w:name="_Toc44077692"/>
      <w:r>
        <w:rPr>
          <w:rFonts w:eastAsia="等线"/>
          <w:sz w:val="24"/>
          <w:szCs w:val="24"/>
        </w:rPr>
        <w:t>5、翻包及转运</w:t>
      </w:r>
      <w:bookmarkEnd w:id="33"/>
      <w:bookmarkEnd w:id="34"/>
    </w:p>
    <w:p>
      <w:pPr>
        <w:spacing w:line="480" w:lineRule="exact"/>
        <w:ind w:firstLine="482"/>
        <w:rPr>
          <w:sz w:val="24"/>
        </w:rPr>
      </w:pPr>
      <w:r>
        <w:rPr>
          <w:sz w:val="24"/>
        </w:rPr>
        <w:t xml:space="preserve">5.1 </w:t>
      </w:r>
      <w:r>
        <w:rPr>
          <w:rFonts w:hint="eastAsia"/>
          <w:sz w:val="24"/>
        </w:rPr>
        <w:t>投标人</w:t>
      </w:r>
      <w:r>
        <w:rPr>
          <w:sz w:val="24"/>
        </w:rPr>
        <w:t>翻包操作应符合以下要求：</w:t>
      </w: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sz w:val="24"/>
        </w:rPr>
        <w:t>正确的料箱/料架；</w:t>
      </w: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正确的内衬；</w:t>
      </w: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正确的物料标签；</w:t>
      </w: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sz w:val="24"/>
        </w:rPr>
        <w:t>翻包的料箱/料架保持良好清洁度；</w:t>
      </w:r>
      <w:r>
        <w:rPr>
          <w:sz w:val="24"/>
        </w:rPr>
        <w:fldChar w:fldCharType="begin"/>
      </w:r>
      <w:r>
        <w:rPr>
          <w:sz w:val="24"/>
        </w:rPr>
        <w:instrText xml:space="preserve"> </w:instrText>
      </w:r>
      <w:r>
        <w:rPr>
          <w:rFonts w:hint="eastAsia"/>
          <w:sz w:val="24"/>
        </w:rPr>
        <w:instrText xml:space="preserve">= 5 \* GB3</w:instrText>
      </w:r>
      <w:r>
        <w:rPr>
          <w:sz w:val="24"/>
        </w:rPr>
        <w:instrText xml:space="preserve"> </w:instrText>
      </w:r>
      <w:r>
        <w:rPr>
          <w:sz w:val="24"/>
        </w:rPr>
        <w:fldChar w:fldCharType="separate"/>
      </w:r>
      <w:r>
        <w:rPr>
          <w:rFonts w:hint="eastAsia"/>
          <w:sz w:val="24"/>
        </w:rPr>
        <w:t>⑤</w:t>
      </w:r>
      <w:r>
        <w:rPr>
          <w:sz w:val="24"/>
        </w:rPr>
        <w:fldChar w:fldCharType="end"/>
      </w:r>
      <w:r>
        <w:rPr>
          <w:sz w:val="24"/>
        </w:rPr>
        <w:t>标准的包装数量。</w:t>
      </w:r>
    </w:p>
    <w:p>
      <w:pPr>
        <w:spacing w:line="480" w:lineRule="exact"/>
        <w:ind w:firstLine="482"/>
        <w:rPr>
          <w:sz w:val="24"/>
        </w:rPr>
      </w:pPr>
      <w:r>
        <w:rPr>
          <w:sz w:val="24"/>
        </w:rPr>
        <w:t>5.2 投标人在开箱后应清点零件数量，并对其外表进行目视化检查，杜绝短缺和明显的损坏及污垢，确保再包装数量准确。</w:t>
      </w:r>
    </w:p>
    <w:p>
      <w:pPr>
        <w:spacing w:line="480" w:lineRule="exact"/>
        <w:ind w:firstLine="482"/>
        <w:rPr>
          <w:sz w:val="24"/>
        </w:rPr>
      </w:pPr>
      <w:r>
        <w:rPr>
          <w:sz w:val="24"/>
        </w:rPr>
        <w:t>5.3 投标人翻包装过程中注意轻拿轻放，保护零件质量。在翻包装过程中发现可疑物料应立即隔离，由质量人员到场解决。</w:t>
      </w:r>
    </w:p>
    <w:p>
      <w:pPr>
        <w:spacing w:line="480" w:lineRule="exact"/>
        <w:ind w:firstLine="482"/>
        <w:rPr>
          <w:sz w:val="24"/>
        </w:rPr>
      </w:pPr>
      <w:r>
        <w:rPr>
          <w:sz w:val="24"/>
        </w:rPr>
        <w:t>5.4 翻包装完成后的零件应及时转移至待发区，避免与原包装物料混放。</w:t>
      </w:r>
    </w:p>
    <w:p>
      <w:pPr>
        <w:spacing w:line="480" w:lineRule="exact"/>
        <w:ind w:firstLine="482"/>
        <w:rPr>
          <w:sz w:val="24"/>
        </w:rPr>
      </w:pPr>
      <w:r>
        <w:rPr>
          <w:sz w:val="24"/>
        </w:rPr>
        <w:t>5.5 翻包作业应严格遵守先进先出（FIFO），满足招标人对批次管理的要求。</w:t>
      </w:r>
    </w:p>
    <w:p>
      <w:pPr>
        <w:pStyle w:val="4"/>
        <w:spacing w:line="480" w:lineRule="exact"/>
        <w:rPr>
          <w:rFonts w:eastAsia="等线"/>
          <w:sz w:val="24"/>
          <w:szCs w:val="24"/>
        </w:rPr>
      </w:pPr>
      <w:bookmarkStart w:id="35" w:name="_Toc44077693"/>
      <w:bookmarkStart w:id="36" w:name="_Toc44077642"/>
      <w:r>
        <w:rPr>
          <w:rFonts w:eastAsia="等线"/>
          <w:sz w:val="24"/>
          <w:szCs w:val="24"/>
        </w:rPr>
        <w:t>6、分拣、排序及待发</w:t>
      </w:r>
      <w:bookmarkEnd w:id="35"/>
      <w:bookmarkEnd w:id="36"/>
    </w:p>
    <w:p>
      <w:pPr>
        <w:spacing w:line="480" w:lineRule="exact"/>
        <w:ind w:firstLine="482"/>
        <w:rPr>
          <w:sz w:val="24"/>
        </w:rPr>
      </w:pPr>
      <w:r>
        <w:rPr>
          <w:sz w:val="24"/>
        </w:rPr>
        <w:t>6.1 投标人依据招标人提供的排序零件清单，进行资源配置，确保排序所需的设备和人员满足工厂生产需求。</w:t>
      </w:r>
    </w:p>
    <w:p>
      <w:pPr>
        <w:spacing w:line="480" w:lineRule="exact"/>
        <w:ind w:firstLine="482"/>
        <w:rPr>
          <w:sz w:val="24"/>
        </w:rPr>
      </w:pPr>
      <w:r>
        <w:rPr>
          <w:sz w:val="24"/>
        </w:rPr>
        <w:t>6.2招标人有权在服务过程中，根据业务需要调整排序零件清单，投标人须无条件进行相应的资源配置调整，以满足最新的生产需求。因调整造成的资源配置变化，由投标人出具分析报告，经双方评审通过后，调整服务费用。</w:t>
      </w:r>
    </w:p>
    <w:p>
      <w:pPr>
        <w:spacing w:line="480" w:lineRule="exact"/>
        <w:ind w:firstLine="482"/>
        <w:rPr>
          <w:sz w:val="24"/>
        </w:rPr>
      </w:pPr>
      <w:r>
        <w:rPr>
          <w:sz w:val="24"/>
        </w:rPr>
        <w:t>6.3 投标人人员应及时接收并打印看板拉动单、排序单，并在规定的时间内完成备料及排序操作。</w:t>
      </w:r>
    </w:p>
    <w:p>
      <w:pPr>
        <w:spacing w:line="480" w:lineRule="exact"/>
        <w:ind w:firstLine="482"/>
        <w:rPr>
          <w:sz w:val="24"/>
        </w:rPr>
      </w:pPr>
      <w:r>
        <w:rPr>
          <w:sz w:val="24"/>
        </w:rPr>
        <w:t>6.4 建立备料及排序的</w:t>
      </w:r>
      <w:r>
        <w:rPr>
          <w:rFonts w:hint="eastAsia"/>
          <w:sz w:val="24"/>
        </w:rPr>
        <w:t>“</w:t>
      </w:r>
      <w:r>
        <w:rPr>
          <w:sz w:val="24"/>
        </w:rPr>
        <w:t>自检</w:t>
      </w:r>
      <w:r>
        <w:rPr>
          <w:rFonts w:hint="eastAsia"/>
          <w:sz w:val="24"/>
        </w:rPr>
        <w:t>”</w:t>
      </w:r>
      <w:r>
        <w:rPr>
          <w:sz w:val="24"/>
        </w:rPr>
        <w:t>和</w:t>
      </w:r>
      <w:r>
        <w:rPr>
          <w:rFonts w:hint="eastAsia"/>
          <w:sz w:val="24"/>
        </w:rPr>
        <w:t>“</w:t>
      </w:r>
      <w:r>
        <w:rPr>
          <w:sz w:val="24"/>
        </w:rPr>
        <w:t>互检</w:t>
      </w:r>
      <w:r>
        <w:rPr>
          <w:rFonts w:hint="eastAsia"/>
          <w:sz w:val="24"/>
        </w:rPr>
        <w:t>”</w:t>
      </w:r>
      <w:r>
        <w:rPr>
          <w:sz w:val="24"/>
        </w:rPr>
        <w:t>机制。采取特定的</w:t>
      </w:r>
      <w:r>
        <w:rPr>
          <w:rFonts w:hint="eastAsia"/>
          <w:sz w:val="24"/>
        </w:rPr>
        <w:t>“防呆”</w:t>
      </w:r>
      <w:r>
        <w:rPr>
          <w:sz w:val="24"/>
        </w:rPr>
        <w:t>措施，消除人为因素造成的备料和排序错误。</w:t>
      </w:r>
    </w:p>
    <w:p>
      <w:pPr>
        <w:spacing w:line="480" w:lineRule="exact"/>
        <w:ind w:firstLine="482"/>
        <w:rPr>
          <w:sz w:val="24"/>
        </w:rPr>
      </w:pPr>
      <w:r>
        <w:rPr>
          <w:sz w:val="24"/>
        </w:rPr>
        <w:t>6.5 投标人对待发区进行合理的MAX/MIN库存设置，并进行明显的目视。定时检查待发区物料的存量，发现溢出、短缺时及时预警。</w:t>
      </w:r>
    </w:p>
    <w:p>
      <w:pPr>
        <w:pStyle w:val="4"/>
        <w:spacing w:line="440" w:lineRule="exact"/>
        <w:rPr>
          <w:bCs w:val="0"/>
          <w:sz w:val="24"/>
          <w:szCs w:val="24"/>
        </w:rPr>
      </w:pPr>
      <w:r>
        <w:rPr>
          <w:rFonts w:hint="eastAsia"/>
          <w:bCs w:val="0"/>
          <w:sz w:val="24"/>
          <w:szCs w:val="24"/>
        </w:rPr>
        <w:t>7、</w:t>
      </w:r>
      <w:r>
        <w:rPr>
          <w:bCs w:val="0"/>
          <w:sz w:val="24"/>
          <w:szCs w:val="24"/>
        </w:rPr>
        <w:t>配送管理</w:t>
      </w:r>
    </w:p>
    <w:p>
      <w:pPr>
        <w:spacing w:line="480" w:lineRule="exact"/>
        <w:ind w:firstLine="482"/>
        <w:rPr>
          <w:sz w:val="24"/>
        </w:rPr>
      </w:pPr>
      <w:r>
        <w:rPr>
          <w:sz w:val="24"/>
        </w:rPr>
        <w:t>7.1 投标人应根据运输计划合理配备运输资源，如：配送车辆、短驳卡车及司机，保障全部配送计划的达成。</w:t>
      </w:r>
    </w:p>
    <w:p>
      <w:pPr>
        <w:spacing w:line="480" w:lineRule="exact"/>
        <w:ind w:firstLine="482"/>
        <w:rPr>
          <w:sz w:val="24"/>
        </w:rPr>
      </w:pPr>
      <w:r>
        <w:rPr>
          <w:sz w:val="24"/>
        </w:rPr>
        <w:t>7.2 投标人应按照招标人要求的交付时间（以拉动单、排序单为准），及时、准确地将零件配送至车间</w:t>
      </w:r>
      <w:r>
        <w:rPr>
          <w:rFonts w:hint="eastAsia"/>
          <w:sz w:val="24"/>
        </w:rPr>
        <w:t>（含</w:t>
      </w:r>
      <w:r>
        <w:rPr>
          <w:sz w:val="24"/>
        </w:rPr>
        <w:t>车身</w:t>
      </w:r>
      <w:r>
        <w:rPr>
          <w:rFonts w:hint="eastAsia"/>
          <w:sz w:val="24"/>
        </w:rPr>
        <w:t>部</w:t>
      </w:r>
      <w:r>
        <w:rPr>
          <w:sz w:val="24"/>
        </w:rPr>
        <w:t>、车架</w:t>
      </w:r>
      <w:r>
        <w:rPr>
          <w:rFonts w:hint="eastAsia"/>
          <w:sz w:val="24"/>
        </w:rPr>
        <w:t>部、调试、试制车间及客车园区</w:t>
      </w:r>
      <w:r>
        <w:rPr>
          <w:sz w:val="24"/>
        </w:rPr>
        <w:t>等</w:t>
      </w:r>
      <w:r>
        <w:rPr>
          <w:rFonts w:hint="eastAsia"/>
          <w:sz w:val="24"/>
        </w:rPr>
        <w:t>）</w:t>
      </w:r>
      <w:r>
        <w:rPr>
          <w:sz w:val="24"/>
        </w:rPr>
        <w:t>PC区，完成单据交接，同时将对应的空器具返回。</w:t>
      </w:r>
    </w:p>
    <w:p>
      <w:pPr>
        <w:spacing w:line="480" w:lineRule="exact"/>
        <w:ind w:firstLine="482"/>
        <w:rPr>
          <w:sz w:val="24"/>
        </w:rPr>
      </w:pPr>
      <w:r>
        <w:rPr>
          <w:rFonts w:hint="eastAsia"/>
          <w:sz w:val="24"/>
        </w:rPr>
        <w:t>7.3 投标人应按照招标人要求的上线时间，及时、准确地将零件配送至生产线，完成单据交接，同时将对应的空器具返回。</w:t>
      </w:r>
    </w:p>
    <w:p>
      <w:pPr>
        <w:spacing w:line="480" w:lineRule="exact"/>
        <w:ind w:firstLine="482"/>
        <w:rPr>
          <w:sz w:val="24"/>
        </w:rPr>
      </w:pPr>
      <w:r>
        <w:rPr>
          <w:sz w:val="24"/>
        </w:rPr>
        <w:t>7.3 对于短缺和紧急物料，投标人应优先安排车辆和人员进行配送，事后与招标人一起进行原因分析并做出改进。</w:t>
      </w:r>
    </w:p>
    <w:p>
      <w:pPr>
        <w:spacing w:line="480" w:lineRule="exact"/>
        <w:ind w:firstLine="482"/>
        <w:rPr>
          <w:sz w:val="24"/>
        </w:rPr>
      </w:pPr>
      <w:r>
        <w:rPr>
          <w:sz w:val="24"/>
        </w:rPr>
        <w:t>7.4 投标人应安排人员负责跟踪并记录拉动单据的完成情况，定期对配送及时率和准确率进行统计，分析异常原因并提出改进措施。</w:t>
      </w:r>
    </w:p>
    <w:p>
      <w:pPr>
        <w:pStyle w:val="4"/>
        <w:spacing w:line="440" w:lineRule="exact"/>
        <w:rPr>
          <w:bCs w:val="0"/>
          <w:sz w:val="24"/>
          <w:szCs w:val="24"/>
        </w:rPr>
      </w:pPr>
      <w:bookmarkStart w:id="37" w:name="_Toc44077644"/>
      <w:bookmarkStart w:id="38" w:name="_Toc44077695"/>
      <w:r>
        <w:rPr>
          <w:bCs w:val="0"/>
          <w:sz w:val="24"/>
          <w:szCs w:val="24"/>
        </w:rPr>
        <w:t>8、特殊物料管理</w:t>
      </w:r>
      <w:bookmarkEnd w:id="37"/>
      <w:bookmarkEnd w:id="38"/>
    </w:p>
    <w:p>
      <w:pPr>
        <w:spacing w:line="480" w:lineRule="exact"/>
        <w:ind w:firstLine="482"/>
        <w:rPr>
          <w:sz w:val="24"/>
        </w:rPr>
      </w:pPr>
      <w:r>
        <w:rPr>
          <w:sz w:val="24"/>
        </w:rPr>
        <w:t>8.1 对于有批次管理要求的零件，投标人应建立专门的管理文件，做好出入库批次记录，并确定批次准确率达到100%。</w:t>
      </w:r>
    </w:p>
    <w:p>
      <w:pPr>
        <w:spacing w:line="480" w:lineRule="exact"/>
        <w:ind w:firstLine="482"/>
        <w:rPr>
          <w:sz w:val="24"/>
        </w:rPr>
      </w:pPr>
      <w:r>
        <w:rPr>
          <w:sz w:val="24"/>
        </w:rPr>
        <w:t>8.2 在接收特殊物料验证时，投标人必须检查和督促零件供应商按供货要求悬挂特殊标识，特殊物料包括试装零件、断点零件、返修零件、新项目专用件零件、展车件、公告车专用件等。对于不符合供货标识要求的零件，应及时记录并反馈给招标人。</w:t>
      </w:r>
    </w:p>
    <w:p>
      <w:pPr>
        <w:spacing w:line="480" w:lineRule="exact"/>
        <w:ind w:firstLine="482"/>
        <w:rPr>
          <w:sz w:val="24"/>
        </w:rPr>
      </w:pPr>
      <w:r>
        <w:rPr>
          <w:sz w:val="24"/>
        </w:rPr>
        <w:t>8.3 投标人须安排专人负责断点零件的切换情况，包括按招标人要求控制断点零件的切换、评估断点完成时间、统计断点前旧物料的数量及对断点完成后旧物料的处理。</w:t>
      </w:r>
    </w:p>
    <w:p>
      <w:pPr>
        <w:spacing w:line="480" w:lineRule="exact"/>
        <w:ind w:firstLine="482"/>
        <w:rPr>
          <w:sz w:val="24"/>
        </w:rPr>
      </w:pPr>
      <w:r>
        <w:rPr>
          <w:sz w:val="24"/>
        </w:rPr>
        <w:t>8.4 有特殊存储要求的零件，应提供特殊的存储环境：如温度、湿度、防尘、防冲击要求等等。</w:t>
      </w:r>
    </w:p>
    <w:p>
      <w:pPr>
        <w:spacing w:line="480" w:lineRule="exact"/>
        <w:ind w:firstLine="482"/>
        <w:rPr>
          <w:sz w:val="24"/>
        </w:rPr>
      </w:pPr>
      <w:r>
        <w:rPr>
          <w:sz w:val="24"/>
        </w:rPr>
        <w:t>8.5可疑物料应及时隔离至可疑物料区域，定期通知供应商退货或进行返修，严禁将可疑物料二次配送至生产车间。</w:t>
      </w:r>
    </w:p>
    <w:p>
      <w:pPr>
        <w:pStyle w:val="4"/>
        <w:spacing w:line="440" w:lineRule="exact"/>
        <w:rPr>
          <w:bCs w:val="0"/>
          <w:sz w:val="24"/>
          <w:szCs w:val="24"/>
        </w:rPr>
      </w:pPr>
      <w:bookmarkStart w:id="39" w:name="_Toc44077696"/>
      <w:bookmarkStart w:id="40" w:name="_Toc44077645"/>
      <w:r>
        <w:rPr>
          <w:bCs w:val="0"/>
          <w:sz w:val="24"/>
          <w:szCs w:val="24"/>
        </w:rPr>
        <w:t>9、</w:t>
      </w:r>
      <w:r>
        <w:rPr>
          <w:rFonts w:hint="eastAsia"/>
          <w:bCs w:val="0"/>
          <w:sz w:val="24"/>
          <w:szCs w:val="24"/>
        </w:rPr>
        <w:t>账务</w:t>
      </w:r>
      <w:r>
        <w:rPr>
          <w:bCs w:val="0"/>
          <w:sz w:val="24"/>
          <w:szCs w:val="24"/>
        </w:rPr>
        <w:t>管理</w:t>
      </w:r>
      <w:bookmarkEnd w:id="39"/>
      <w:bookmarkEnd w:id="40"/>
    </w:p>
    <w:p>
      <w:pPr>
        <w:spacing w:line="480" w:lineRule="exact"/>
        <w:ind w:firstLine="482"/>
        <w:rPr>
          <w:sz w:val="24"/>
        </w:rPr>
      </w:pPr>
      <w:r>
        <w:rPr>
          <w:sz w:val="24"/>
        </w:rPr>
        <w:t>9.1 投标人应根据其内部管理并结合招标人的相关要求建立完整的账务管理体系。账务处理方法需满足招标人的账务要求，以便招标人的相关账务控制，如出现偏离，以招标人要求为准。</w:t>
      </w:r>
    </w:p>
    <w:p>
      <w:pPr>
        <w:spacing w:line="480" w:lineRule="exact"/>
        <w:ind w:firstLine="482"/>
        <w:rPr>
          <w:sz w:val="24"/>
        </w:rPr>
      </w:pPr>
      <w:r>
        <w:rPr>
          <w:sz w:val="24"/>
        </w:rPr>
        <w:t>9.2 投标人各环节单据必须执行日清管理，账务准确率必须100%。</w:t>
      </w:r>
    </w:p>
    <w:p>
      <w:pPr>
        <w:spacing w:line="480" w:lineRule="exact"/>
        <w:ind w:firstLine="482"/>
        <w:rPr>
          <w:sz w:val="24"/>
        </w:rPr>
      </w:pPr>
      <w:r>
        <w:rPr>
          <w:sz w:val="24"/>
        </w:rPr>
        <w:t>9.</w:t>
      </w:r>
      <w:r>
        <w:rPr>
          <w:rFonts w:hint="eastAsia"/>
          <w:sz w:val="24"/>
        </w:rPr>
        <w:t>3</w:t>
      </w:r>
      <w:r>
        <w:rPr>
          <w:sz w:val="24"/>
        </w:rPr>
        <w:t xml:space="preserve"> 物料接收、出库单据作为物权交接凭证，在投标人同招标人交接双方确认后，投标人应及时进行账务处理。入库单、出库单投标人必须保留三年以上，以备招标人后期进行对账、核查。</w:t>
      </w:r>
    </w:p>
    <w:p>
      <w:pPr>
        <w:spacing w:line="480" w:lineRule="exact"/>
        <w:ind w:firstLine="482"/>
        <w:rPr>
          <w:sz w:val="24"/>
        </w:rPr>
      </w:pPr>
      <w:r>
        <w:rPr>
          <w:sz w:val="24"/>
        </w:rPr>
        <w:t>9.</w:t>
      </w:r>
      <w:r>
        <w:rPr>
          <w:rFonts w:hint="eastAsia"/>
          <w:sz w:val="24"/>
        </w:rPr>
        <w:t>4</w:t>
      </w:r>
      <w:r>
        <w:rPr>
          <w:sz w:val="24"/>
        </w:rPr>
        <w:t xml:space="preserve"> 投标人应形成日盘、月盘、年中、年终、交叉盘点机制，清点库存零部件、物资，进行盘盈、盘亏统计和过期物资的统计分析。</w:t>
      </w:r>
    </w:p>
    <w:p>
      <w:pPr>
        <w:spacing w:line="480" w:lineRule="exact"/>
        <w:ind w:firstLine="482"/>
        <w:rPr>
          <w:sz w:val="24"/>
        </w:rPr>
      </w:pPr>
      <w:r>
        <w:rPr>
          <w:sz w:val="24"/>
        </w:rPr>
        <w:t>9.</w:t>
      </w:r>
      <w:r>
        <w:rPr>
          <w:rFonts w:hint="eastAsia"/>
          <w:sz w:val="24"/>
        </w:rPr>
        <w:t>5</w:t>
      </w:r>
      <w:r>
        <w:rPr>
          <w:sz w:val="24"/>
        </w:rPr>
        <w:t xml:space="preserve"> 招标人有权不定期抽盘，在抽盘检查时，在不影响正常工作的前提下，投标人应安排所需要的设备及人员，不得以任何理由阻挠、干扰盘点检查工作。</w:t>
      </w:r>
    </w:p>
    <w:p>
      <w:pPr>
        <w:spacing w:line="480" w:lineRule="exact"/>
        <w:ind w:firstLine="482"/>
        <w:rPr>
          <w:sz w:val="24"/>
        </w:rPr>
      </w:pPr>
      <w:r>
        <w:rPr>
          <w:sz w:val="24"/>
        </w:rPr>
        <w:t>9.</w:t>
      </w:r>
      <w:r>
        <w:rPr>
          <w:rFonts w:hint="eastAsia"/>
          <w:sz w:val="24"/>
        </w:rPr>
        <w:t>6</w:t>
      </w:r>
      <w:r>
        <w:rPr>
          <w:sz w:val="24"/>
        </w:rPr>
        <w:t xml:space="preserve"> 招标人物流主管部门和财务部门需要的各节点相关报表，投标人必须按照时间节点提供。</w:t>
      </w:r>
    </w:p>
    <w:p>
      <w:pPr>
        <w:spacing w:line="480" w:lineRule="exact"/>
        <w:ind w:firstLine="482"/>
        <w:rPr>
          <w:sz w:val="24"/>
        </w:rPr>
      </w:pPr>
      <w:r>
        <w:rPr>
          <w:sz w:val="24"/>
        </w:rPr>
        <w:t>9.</w:t>
      </w:r>
      <w:r>
        <w:rPr>
          <w:rFonts w:hint="eastAsia"/>
          <w:sz w:val="24"/>
        </w:rPr>
        <w:t>7</w:t>
      </w:r>
      <w:r>
        <w:rPr>
          <w:sz w:val="24"/>
        </w:rPr>
        <w:t>每次盘点后对于异常环节进行有效的分析，编制对策方案后与盘点报告一并提报于招标人物流主管部门，盘点报告中必须包含调查结果数据、差异原因说明（5个为什么）、暂定对策、长期对策及完成时间，在规定日期内没有完成账物调整，按合同规定进行处理。</w:t>
      </w:r>
    </w:p>
    <w:p>
      <w:pPr>
        <w:pStyle w:val="4"/>
        <w:spacing w:line="440" w:lineRule="exact"/>
        <w:rPr>
          <w:bCs w:val="0"/>
          <w:sz w:val="24"/>
          <w:szCs w:val="24"/>
        </w:rPr>
      </w:pPr>
      <w:bookmarkStart w:id="41" w:name="_Toc44077646"/>
      <w:bookmarkStart w:id="42" w:name="_Toc44077697"/>
      <w:r>
        <w:rPr>
          <w:bCs w:val="0"/>
          <w:sz w:val="24"/>
          <w:szCs w:val="24"/>
        </w:rPr>
        <w:t>10、紧急情况处理</w:t>
      </w:r>
      <w:bookmarkEnd w:id="41"/>
      <w:bookmarkEnd w:id="42"/>
    </w:p>
    <w:p>
      <w:pPr>
        <w:spacing w:line="480" w:lineRule="exact"/>
        <w:ind w:firstLine="482"/>
        <w:rPr>
          <w:sz w:val="24"/>
        </w:rPr>
      </w:pPr>
      <w:r>
        <w:rPr>
          <w:sz w:val="24"/>
        </w:rPr>
        <w:t>10.1 投标人应对运营过程中出现的异常情况有预警&amp;报警措施，及时通知招标人及供应商。</w:t>
      </w:r>
    </w:p>
    <w:p>
      <w:pPr>
        <w:spacing w:line="480" w:lineRule="exact"/>
        <w:ind w:firstLine="482"/>
        <w:rPr>
          <w:sz w:val="24"/>
        </w:rPr>
      </w:pPr>
      <w:r>
        <w:rPr>
          <w:sz w:val="24"/>
        </w:rPr>
        <w:t>10.2 建立紧急配送流程及运输方案，具备紧急配送车辆，有紧急配送路线及流程规划。</w:t>
      </w:r>
    </w:p>
    <w:p>
      <w:pPr>
        <w:spacing w:line="480" w:lineRule="exact"/>
        <w:ind w:firstLine="482"/>
        <w:rPr>
          <w:sz w:val="24"/>
        </w:rPr>
      </w:pPr>
      <w:r>
        <w:rPr>
          <w:sz w:val="24"/>
        </w:rPr>
        <w:t>10.3 有物料报警机制及库存补充预案，有专人负责对报警物料进行处理，物料异常报警包括但限于：库存MIN/MAX报警、批量质量问题报警。</w:t>
      </w:r>
    </w:p>
    <w:p>
      <w:pPr>
        <w:pStyle w:val="4"/>
        <w:spacing w:line="440" w:lineRule="exact"/>
        <w:rPr>
          <w:bCs w:val="0"/>
          <w:sz w:val="24"/>
          <w:szCs w:val="24"/>
        </w:rPr>
      </w:pPr>
      <w:bookmarkStart w:id="43" w:name="_Toc44077698"/>
      <w:bookmarkStart w:id="44" w:name="_Toc44077647"/>
      <w:r>
        <w:rPr>
          <w:bCs w:val="0"/>
          <w:sz w:val="24"/>
          <w:szCs w:val="24"/>
        </w:rPr>
        <w:t>11、运作报告与日常响应</w:t>
      </w:r>
      <w:bookmarkEnd w:id="43"/>
      <w:bookmarkEnd w:id="44"/>
    </w:p>
    <w:p>
      <w:pPr>
        <w:spacing w:line="480" w:lineRule="exact"/>
        <w:ind w:firstLine="482"/>
        <w:rPr>
          <w:sz w:val="24"/>
        </w:rPr>
      </w:pPr>
      <w:r>
        <w:rPr>
          <w:sz w:val="24"/>
        </w:rPr>
        <w:t>11.1 投标人有义务每周向招标人提供运作报告，报告内容必须涉及以下的信息：投标人每日运作情况、投标人人员变动情况、每日安全、质量等等。在实际情况下，招标人如有其他的信息要求，投标人必须无条件配合。</w:t>
      </w:r>
    </w:p>
    <w:p>
      <w:pPr>
        <w:spacing w:line="480" w:lineRule="exact"/>
        <w:ind w:firstLine="482"/>
        <w:rPr>
          <w:sz w:val="24"/>
        </w:rPr>
      </w:pPr>
      <w:r>
        <w:rPr>
          <w:sz w:val="24"/>
        </w:rPr>
        <w:t>11.2 除每周运作报告外，投标人还应第一时间汇报其他对招标人造成停线风险的运作问题，积极与招标人人员协调解决，并随时跟踪和更新结果。</w:t>
      </w:r>
    </w:p>
    <w:p>
      <w:pPr>
        <w:pStyle w:val="4"/>
        <w:spacing w:line="440" w:lineRule="exact"/>
        <w:rPr>
          <w:rFonts w:hint="eastAsia" w:hAnsi="宋体"/>
        </w:rPr>
      </w:pPr>
      <w:r>
        <w:rPr>
          <w:rFonts w:hint="eastAsia" w:hAnsi="宋体"/>
        </w:rPr>
        <w:t>四</w:t>
      </w:r>
      <w:r>
        <w:rPr>
          <w:rFonts w:hAnsi="宋体"/>
        </w:rPr>
        <w:t>、场地和设备管理要求</w:t>
      </w:r>
      <w:bookmarkStart w:id="45" w:name="_Toc44077700"/>
      <w:bookmarkStart w:id="46" w:name="_Toc44077649"/>
    </w:p>
    <w:p>
      <w:pPr>
        <w:pStyle w:val="4"/>
        <w:spacing w:line="440" w:lineRule="exact"/>
        <w:rPr>
          <w:bCs w:val="0"/>
          <w:sz w:val="24"/>
          <w:szCs w:val="24"/>
        </w:rPr>
      </w:pPr>
      <w:r>
        <w:rPr>
          <w:bCs w:val="0"/>
          <w:sz w:val="24"/>
          <w:szCs w:val="24"/>
        </w:rPr>
        <w:t>1、</w:t>
      </w:r>
      <w:bookmarkEnd w:id="45"/>
      <w:bookmarkEnd w:id="46"/>
      <w:r>
        <w:rPr>
          <w:bCs w:val="0"/>
          <w:sz w:val="24"/>
          <w:szCs w:val="24"/>
        </w:rPr>
        <w:t>场地管理要求</w:t>
      </w:r>
    </w:p>
    <w:p>
      <w:pPr>
        <w:ind w:firstLine="480" w:firstLineChars="200"/>
        <w:rPr>
          <w:b/>
          <w:bCs/>
          <w:sz w:val="24"/>
          <w:szCs w:val="22"/>
        </w:rPr>
      </w:pPr>
      <w:bookmarkStart w:id="47" w:name="_Hlk166582723"/>
      <w:r>
        <w:rPr>
          <w:rFonts w:hint="eastAsia"/>
          <w:b/>
          <w:bCs/>
          <w:sz w:val="24"/>
          <w:szCs w:val="22"/>
        </w:rPr>
        <w:t>-外部仓库</w:t>
      </w:r>
    </w:p>
    <w:bookmarkEnd w:id="47"/>
    <w:p>
      <w:pPr>
        <w:spacing w:line="480" w:lineRule="exact"/>
        <w:ind w:firstLine="482"/>
        <w:rPr>
          <w:sz w:val="24"/>
        </w:rPr>
      </w:pPr>
      <w:bookmarkStart w:id="48" w:name="_Hlk166582755"/>
      <w:r>
        <w:rPr>
          <w:sz w:val="24"/>
        </w:rPr>
        <w:t xml:space="preserve">1.1 </w:t>
      </w:r>
      <w:r>
        <w:rPr>
          <w:rFonts w:hint="eastAsia"/>
          <w:sz w:val="24"/>
        </w:rPr>
        <w:t>外部仓库由投标人</w:t>
      </w:r>
      <w:r>
        <w:rPr>
          <w:sz w:val="24"/>
        </w:rPr>
        <w:t>提供，</w:t>
      </w:r>
      <w:r>
        <w:rPr>
          <w:rFonts w:hint="eastAsia"/>
          <w:sz w:val="24"/>
        </w:rPr>
        <w:t>须</w:t>
      </w:r>
      <w:r>
        <w:rPr>
          <w:sz w:val="24"/>
        </w:rPr>
        <w:t>满足如下条件：</w:t>
      </w:r>
    </w:p>
    <w:p>
      <w:pPr>
        <w:spacing w:line="480" w:lineRule="exact"/>
        <w:ind w:firstLine="482"/>
        <w:rPr>
          <w:sz w:val="24"/>
        </w:rPr>
      </w:pPr>
      <w:r>
        <w:rPr>
          <w:sz w:val="24"/>
        </w:rPr>
        <w:t>（1）库房、地面、门窗、防撞柱、消防设施齐全、完好。</w:t>
      </w:r>
    </w:p>
    <w:p>
      <w:pPr>
        <w:spacing w:line="480" w:lineRule="exact"/>
        <w:ind w:firstLine="482"/>
        <w:rPr>
          <w:sz w:val="24"/>
        </w:rPr>
      </w:pPr>
      <w:r>
        <w:rPr>
          <w:sz w:val="24"/>
        </w:rPr>
        <w:t>（2）</w:t>
      </w:r>
      <w:r>
        <w:rPr>
          <w:rFonts w:hint="eastAsia"/>
          <w:sz w:val="24"/>
        </w:rPr>
        <w:t>仓库内</w:t>
      </w:r>
      <w:r>
        <w:rPr>
          <w:sz w:val="24"/>
        </w:rPr>
        <w:t>水源、电源、照明设施、电话和有线网络接口等库房设施</w:t>
      </w:r>
      <w:r>
        <w:rPr>
          <w:rFonts w:hint="eastAsia"/>
          <w:sz w:val="24"/>
        </w:rPr>
        <w:t>完善</w:t>
      </w:r>
      <w:r>
        <w:rPr>
          <w:sz w:val="24"/>
        </w:rPr>
        <w:t>，全仓库无线网络覆盖。</w:t>
      </w:r>
    </w:p>
    <w:p>
      <w:pPr>
        <w:spacing w:line="480" w:lineRule="exact"/>
        <w:ind w:firstLine="482"/>
        <w:rPr>
          <w:sz w:val="24"/>
        </w:rPr>
      </w:pPr>
      <w:r>
        <w:rPr>
          <w:sz w:val="24"/>
        </w:rPr>
        <w:t>1.2投标人的仓库消防等级应符合国家消防法规要求，同时投标人应建立完善的消防、安保措施，保证零部件的存储安全。</w:t>
      </w:r>
    </w:p>
    <w:p>
      <w:pPr>
        <w:spacing w:line="480" w:lineRule="exact"/>
        <w:ind w:firstLine="482"/>
        <w:rPr>
          <w:sz w:val="24"/>
        </w:rPr>
      </w:pPr>
      <w:r>
        <w:rPr>
          <w:sz w:val="24"/>
        </w:rPr>
        <w:t>1.</w:t>
      </w:r>
      <w:r>
        <w:rPr>
          <w:rFonts w:hint="eastAsia"/>
          <w:sz w:val="24"/>
        </w:rPr>
        <w:t>3</w:t>
      </w:r>
      <w:r>
        <w:rPr>
          <w:sz w:val="24"/>
        </w:rPr>
        <w:t>投标人的安保、安防系统须</w:t>
      </w:r>
      <w:r>
        <w:rPr>
          <w:rFonts w:hint="eastAsia"/>
          <w:sz w:val="24"/>
        </w:rPr>
        <w:t>对</w:t>
      </w:r>
      <w:r>
        <w:rPr>
          <w:sz w:val="24"/>
        </w:rPr>
        <w:t>招标人</w:t>
      </w:r>
      <w:r>
        <w:rPr>
          <w:rFonts w:hint="eastAsia"/>
          <w:sz w:val="24"/>
        </w:rPr>
        <w:t>开放</w:t>
      </w:r>
      <w:r>
        <w:rPr>
          <w:sz w:val="24"/>
        </w:rPr>
        <w:t xml:space="preserve">。 </w:t>
      </w:r>
    </w:p>
    <w:p>
      <w:pPr>
        <w:spacing w:line="480" w:lineRule="exact"/>
        <w:ind w:firstLine="482"/>
        <w:rPr>
          <w:sz w:val="24"/>
        </w:rPr>
      </w:pPr>
      <w:r>
        <w:rPr>
          <w:rFonts w:hint="eastAsia"/>
          <w:sz w:val="24"/>
        </w:rPr>
        <w:t>1.4仓储管理要求细则</w:t>
      </w:r>
    </w:p>
    <w:p>
      <w:pPr>
        <w:spacing w:line="360" w:lineRule="auto"/>
        <w:ind w:firstLine="482"/>
        <w:rPr>
          <w:sz w:val="24"/>
        </w:rPr>
      </w:pPr>
      <w:r>
        <w:rPr>
          <w:rFonts w:hint="eastAsia"/>
          <w:sz w:val="24"/>
        </w:rPr>
        <w:t>仓储区域应清晰划分收货区、待检区、高位货架区、平地码放区、不合格品存放区、分拣区、待发区、待清退品存放区、空器具存放区、充电区等功能区，明确区域责任人，并按HOS目视化管理要求悬挂、张贴区域标识，绘制仓库区域布局图，标明功能区、各类物资存放位置，并张贴于仓库入库门口。</w:t>
      </w:r>
    </w:p>
    <w:p>
      <w:pPr>
        <w:spacing w:line="360" w:lineRule="auto"/>
        <w:ind w:firstLine="482"/>
        <w:rPr>
          <w:sz w:val="24"/>
        </w:rPr>
      </w:pPr>
      <w:r>
        <w:rPr>
          <w:rFonts w:hint="eastAsia"/>
          <w:sz w:val="24"/>
        </w:rPr>
        <w:t>仓库现场应符合5S管理要求：仓库整体应做到“两齐”（库容整齐、堆放整齐）、“三清”（数量、质量、规格清晰可查）、“三洁”（货架、物件、地面整洁）、“两相符”（账、物一致相符）；货架区域号码准确、清晰、牢固，仓储区内区、架、层、位定位准确。</w:t>
      </w:r>
    </w:p>
    <w:p>
      <w:pPr>
        <w:spacing w:line="360" w:lineRule="auto"/>
        <w:ind w:firstLine="482"/>
        <w:rPr>
          <w:sz w:val="24"/>
        </w:rPr>
      </w:pPr>
      <w:r>
        <w:rPr>
          <w:rFonts w:hint="eastAsia"/>
          <w:sz w:val="24"/>
        </w:rPr>
        <w:t>仓储货架、升降平台、叉车等常用设施设备要做好保管、维护工作，做好日常点检记录及存档管理，便于追溯；定期清杂、除尘、润滑，涂漆防锈、调整紧固，大小件器材设备存放至指定储物柜或存放区</w:t>
      </w:r>
    </w:p>
    <w:p>
      <w:pPr>
        <w:spacing w:line="360" w:lineRule="auto"/>
        <w:ind w:firstLine="482"/>
        <w:rPr>
          <w:sz w:val="24"/>
        </w:rPr>
      </w:pPr>
      <w:r>
        <w:rPr>
          <w:rFonts w:hint="eastAsia"/>
          <w:sz w:val="24"/>
        </w:rPr>
        <w:t>仓储货架应设立警示标识显示其额定荷载及加载方式等信息。当同一个仓储区域内有多个不同承载能力的货架时，货架应在各局部区域醒目的位置，显示其相应的额定载荷及加载方式。</w:t>
      </w:r>
    </w:p>
    <w:p>
      <w:pPr>
        <w:adjustRightInd w:val="0"/>
        <w:snapToGrid w:val="0"/>
        <w:spacing w:line="360" w:lineRule="auto"/>
        <w:ind w:right="263" w:rightChars="125" w:firstLine="480" w:firstLineChars="200"/>
        <w:rPr>
          <w:sz w:val="24"/>
        </w:rPr>
      </w:pPr>
      <w:r>
        <w:rPr>
          <w:rFonts w:hint="eastAsia"/>
          <w:sz w:val="24"/>
        </w:rPr>
        <w:t>库区货架间、通道内严禁摆放其它物品，保持通道畅通；拆卸后的包装物和垃圾必须放置在指定区域，做到当班清理干净，保持库容整洁。</w:t>
      </w:r>
    </w:p>
    <w:p>
      <w:pPr>
        <w:adjustRightInd w:val="0"/>
        <w:snapToGrid w:val="0"/>
        <w:spacing w:line="360" w:lineRule="auto"/>
        <w:ind w:right="263" w:rightChars="125" w:firstLine="480" w:firstLineChars="200"/>
        <w:rPr>
          <w:sz w:val="24"/>
        </w:rPr>
      </w:pPr>
      <w:r>
        <w:rPr>
          <w:rFonts w:hint="eastAsia"/>
          <w:sz w:val="24"/>
        </w:rPr>
        <w:t>定期组织开展仓库防火、防汛、防盗、防爆检查，消除安全隐患，禁止出现仓储物资占用消防安全通道的现象，保障仓储场所消防通道、安全出口和消防车通道畅通等。</w:t>
      </w:r>
    </w:p>
    <w:bookmarkEnd w:id="48"/>
    <w:p>
      <w:pPr>
        <w:pStyle w:val="4"/>
        <w:spacing w:line="440" w:lineRule="exact"/>
        <w:rPr>
          <w:bCs w:val="0"/>
          <w:sz w:val="24"/>
          <w:szCs w:val="24"/>
        </w:rPr>
      </w:pPr>
      <w:bookmarkStart w:id="49" w:name="_Toc44077650"/>
      <w:bookmarkStart w:id="50" w:name="_Toc44077701"/>
      <w:r>
        <w:rPr>
          <w:bCs w:val="0"/>
          <w:sz w:val="24"/>
          <w:szCs w:val="24"/>
        </w:rPr>
        <w:t>2、器具管理要求</w:t>
      </w:r>
      <w:bookmarkEnd w:id="49"/>
      <w:bookmarkEnd w:id="50"/>
    </w:p>
    <w:p>
      <w:pPr>
        <w:spacing w:line="480" w:lineRule="exact"/>
        <w:ind w:firstLine="482"/>
        <w:rPr>
          <w:sz w:val="24"/>
        </w:rPr>
      </w:pPr>
      <w:r>
        <w:rPr>
          <w:sz w:val="24"/>
        </w:rPr>
        <w:t>2.1 招标人对供应商零部件的上线包装有严格的标准要求，投标人须对进出仓库的包装器具进行统一管理，对于管理不善造</w:t>
      </w:r>
      <w:r>
        <w:rPr>
          <w:rFonts w:hint="eastAsia"/>
          <w:sz w:val="24"/>
        </w:rPr>
        <w:t>成供应商或招标人</w:t>
      </w:r>
      <w:r>
        <w:rPr>
          <w:sz w:val="24"/>
        </w:rPr>
        <w:t>器具损坏或丢失的，应照器具年限折旧价赔偿。</w:t>
      </w:r>
    </w:p>
    <w:p>
      <w:pPr>
        <w:spacing w:line="480" w:lineRule="exact"/>
        <w:ind w:firstLine="482"/>
        <w:rPr>
          <w:sz w:val="24"/>
        </w:rPr>
      </w:pPr>
      <w:r>
        <w:rPr>
          <w:sz w:val="24"/>
        </w:rPr>
        <w:t>2.2 投标人应配备器具管理员，进行器具的保管、台账更新、维护、维修、保养等管理工作。供应商的器具只进行折叠、整理、保管工作。</w:t>
      </w:r>
    </w:p>
    <w:p>
      <w:pPr>
        <w:spacing w:line="480" w:lineRule="exact"/>
        <w:ind w:firstLine="482"/>
        <w:rPr>
          <w:sz w:val="24"/>
        </w:rPr>
      </w:pPr>
      <w:r>
        <w:rPr>
          <w:sz w:val="24"/>
        </w:rPr>
        <w:t>2.3 投标人应建立完整的器具管理流程和手段，保证器具的准确回收、清洁、保管（招标人供应商</w:t>
      </w:r>
      <w:r>
        <w:rPr>
          <w:rFonts w:hint="eastAsia"/>
          <w:sz w:val="24"/>
        </w:rPr>
        <w:t>器具</w:t>
      </w:r>
      <w:r>
        <w:rPr>
          <w:sz w:val="24"/>
        </w:rPr>
        <w:t>仅负责保管），并针对招标人及招标人供应商提供的器具提出可行性改善建议。</w:t>
      </w:r>
    </w:p>
    <w:p>
      <w:pPr>
        <w:spacing w:line="480" w:lineRule="exact"/>
        <w:ind w:firstLine="482"/>
        <w:rPr>
          <w:sz w:val="24"/>
        </w:rPr>
      </w:pPr>
      <w:r>
        <w:rPr>
          <w:sz w:val="24"/>
        </w:rPr>
        <w:t>2.4 投标人在其日常作业中发现包装器具损坏的情况，应第一时间对该包装器具进行隔离，避免损坏的包装器具流通使用。同时第一时间通知器具管理员，由器具管理员进行处理。</w:t>
      </w:r>
    </w:p>
    <w:p>
      <w:pPr>
        <w:spacing w:line="480" w:lineRule="exact"/>
        <w:ind w:firstLine="482"/>
        <w:rPr>
          <w:sz w:val="24"/>
        </w:rPr>
      </w:pPr>
      <w:r>
        <w:rPr>
          <w:sz w:val="24"/>
        </w:rPr>
        <w:t>2.5 投标人应对管辖范围内的器具实行动态管理，随时更新台帐，确保帐物相符。</w:t>
      </w:r>
    </w:p>
    <w:p>
      <w:pPr>
        <w:spacing w:line="480" w:lineRule="exact"/>
        <w:ind w:firstLine="482"/>
        <w:rPr>
          <w:sz w:val="24"/>
        </w:rPr>
      </w:pPr>
      <w:r>
        <w:rPr>
          <w:sz w:val="24"/>
        </w:rPr>
        <w:t>2.6 招标人有权定期组织投标人相关人员对自有包装器具进行盘点，盘点过程中，若存在差异，相关责任人需将异常原因及整改结果反馈给招标人。</w:t>
      </w:r>
    </w:p>
    <w:p>
      <w:pPr>
        <w:spacing w:line="480" w:lineRule="exact"/>
        <w:ind w:firstLine="482"/>
        <w:rPr>
          <w:sz w:val="24"/>
        </w:rPr>
      </w:pPr>
      <w:r>
        <w:rPr>
          <w:rFonts w:hint="eastAsia"/>
          <w:sz w:val="24"/>
        </w:rPr>
        <w:t>2.7 物流器具的使用不允许出现张开、凸出、悬出等不正确的荷载布置。</w:t>
      </w:r>
    </w:p>
    <w:p>
      <w:pPr>
        <w:pStyle w:val="4"/>
        <w:spacing w:line="440" w:lineRule="exact"/>
        <w:rPr>
          <w:bCs w:val="0"/>
          <w:sz w:val="24"/>
          <w:szCs w:val="24"/>
        </w:rPr>
      </w:pPr>
      <w:r>
        <w:rPr>
          <w:rFonts w:hint="eastAsia"/>
          <w:bCs w:val="0"/>
          <w:sz w:val="24"/>
          <w:szCs w:val="24"/>
        </w:rPr>
        <w:t>3、</w:t>
      </w:r>
      <w:r>
        <w:rPr>
          <w:bCs w:val="0"/>
          <w:sz w:val="24"/>
          <w:szCs w:val="24"/>
        </w:rPr>
        <w:t>信息系统要求</w:t>
      </w:r>
    </w:p>
    <w:p>
      <w:pPr>
        <w:spacing w:line="480" w:lineRule="exact"/>
        <w:ind w:firstLine="482"/>
        <w:rPr>
          <w:sz w:val="24"/>
        </w:rPr>
      </w:pPr>
      <w:r>
        <w:rPr>
          <w:sz w:val="24"/>
        </w:rPr>
        <w:t>3.1投标人接收招标人计划送达的供应商物料，录入系统，形成仓储信息。接收招标人指令进行产品下架、分拣配料、上器具、排序、交接。接收招标人的拉动信息配送至PC区完成系统交接录入。</w:t>
      </w:r>
    </w:p>
    <w:p>
      <w:pPr>
        <w:spacing w:line="480" w:lineRule="exact"/>
        <w:ind w:firstLine="482"/>
        <w:rPr>
          <w:sz w:val="24"/>
        </w:rPr>
      </w:pPr>
      <w:r>
        <w:rPr>
          <w:sz w:val="24"/>
        </w:rPr>
        <w:t>3.</w:t>
      </w:r>
      <w:r>
        <w:rPr>
          <w:rFonts w:hint="eastAsia"/>
          <w:sz w:val="24"/>
        </w:rPr>
        <w:t>2</w:t>
      </w:r>
      <w:r>
        <w:rPr>
          <w:sz w:val="24"/>
        </w:rPr>
        <w:t>招标人通过</w:t>
      </w:r>
      <w:r>
        <w:rPr>
          <w:rFonts w:hint="eastAsia"/>
          <w:sz w:val="24"/>
        </w:rPr>
        <w:t>E采通</w:t>
      </w:r>
      <w:r>
        <w:rPr>
          <w:sz w:val="24"/>
        </w:rPr>
        <w:t>系统进行供应商协同。</w:t>
      </w:r>
    </w:p>
    <w:p>
      <w:pPr>
        <w:spacing w:line="480" w:lineRule="exact"/>
        <w:ind w:firstLine="482"/>
        <w:rPr>
          <w:sz w:val="24"/>
        </w:rPr>
      </w:pPr>
      <w:r>
        <w:rPr>
          <w:sz w:val="24"/>
        </w:rPr>
        <w:t>3.</w:t>
      </w:r>
      <w:r>
        <w:rPr>
          <w:rFonts w:hint="eastAsia"/>
          <w:sz w:val="24"/>
        </w:rPr>
        <w:t>3</w:t>
      </w:r>
      <w:r>
        <w:rPr>
          <w:sz w:val="24"/>
        </w:rPr>
        <w:t>投标人应设置人员负责系统数据维护工作，所有数据变更都要有变更记录，便于后期追溯。</w:t>
      </w:r>
    </w:p>
    <w:p>
      <w:pPr>
        <w:spacing w:line="480" w:lineRule="exact"/>
        <w:ind w:firstLine="482"/>
        <w:rPr>
          <w:sz w:val="24"/>
        </w:rPr>
      </w:pPr>
      <w:r>
        <w:rPr>
          <w:sz w:val="24"/>
        </w:rPr>
        <w:t>3.7系统中的物流主数据（单车用量、包装信息等）由招标人负责维护，库位信息由投标人负责维护。如投标人在运营过程中发现物流主数据异常，有义务第一时间通知招标人核实更改。</w:t>
      </w:r>
    </w:p>
    <w:p>
      <w:pPr>
        <w:pStyle w:val="4"/>
        <w:spacing w:line="440" w:lineRule="exact"/>
        <w:rPr>
          <w:bCs w:val="0"/>
          <w:sz w:val="24"/>
          <w:szCs w:val="24"/>
        </w:rPr>
      </w:pPr>
      <w:bookmarkStart w:id="51" w:name="_Toc44077703"/>
      <w:bookmarkStart w:id="52" w:name="_Toc44077652"/>
      <w:r>
        <w:rPr>
          <w:bCs w:val="0"/>
          <w:sz w:val="24"/>
          <w:szCs w:val="24"/>
        </w:rPr>
        <w:t>4、运营设备要求</w:t>
      </w:r>
      <w:bookmarkEnd w:id="51"/>
      <w:bookmarkEnd w:id="52"/>
    </w:p>
    <w:p>
      <w:pPr>
        <w:widowControl/>
        <w:spacing w:line="360" w:lineRule="auto"/>
        <w:ind w:firstLine="480" w:firstLineChars="200"/>
        <w:jc w:val="left"/>
        <w:rPr>
          <w:sz w:val="24"/>
        </w:rPr>
      </w:pPr>
      <w:r>
        <w:rPr>
          <w:sz w:val="24"/>
        </w:rPr>
        <w:t>4.1 服务范围内所需的物流仓储设施、物流搬运设备（叉车、拖车、</w:t>
      </w:r>
      <w:r>
        <w:rPr>
          <w:rFonts w:hint="eastAsia"/>
          <w:sz w:val="24"/>
        </w:rPr>
        <w:t>AGV、</w:t>
      </w:r>
      <w:r>
        <w:rPr>
          <w:sz w:val="24"/>
        </w:rPr>
        <w:t>卡车及其附属电瓶等），由投标人自行投入并负责维护。投标人投入的物流搬运设备应优选国内外的知名品牌，以确保设备具有良好的使用性能。</w:t>
      </w:r>
    </w:p>
    <w:p>
      <w:pPr>
        <w:widowControl/>
        <w:spacing w:line="360" w:lineRule="auto"/>
        <w:jc w:val="center"/>
        <w:rPr>
          <w:b/>
          <w:bCs/>
          <w:kern w:val="0"/>
          <w:sz w:val="24"/>
        </w:rPr>
      </w:pPr>
      <w:r>
        <w:rPr>
          <w:rFonts w:hint="eastAsia"/>
          <w:b/>
          <w:bCs/>
          <w:kern w:val="0"/>
          <w:sz w:val="24"/>
        </w:rPr>
        <w:t>厂外仓库预计需要物流设备数量</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087"/>
        <w:gridCol w:w="1255"/>
        <w:gridCol w:w="3620"/>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noWrap/>
            <w:vAlign w:val="center"/>
          </w:tcPr>
          <w:p>
            <w:pPr>
              <w:widowControl/>
              <w:jc w:val="center"/>
              <w:rPr>
                <w:b/>
                <w:bCs/>
                <w:color w:val="000000"/>
                <w:sz w:val="22"/>
              </w:rPr>
            </w:pPr>
            <w:r>
              <w:rPr>
                <w:b/>
                <w:bCs/>
                <w:color w:val="000000"/>
                <w:sz w:val="22"/>
              </w:rPr>
              <w:t>序号</w:t>
            </w:r>
          </w:p>
        </w:tc>
        <w:tc>
          <w:tcPr>
            <w:tcW w:w="1124" w:type="pct"/>
            <w:noWrap/>
            <w:vAlign w:val="center"/>
          </w:tcPr>
          <w:p>
            <w:pPr>
              <w:widowControl/>
              <w:jc w:val="center"/>
              <w:rPr>
                <w:b/>
                <w:bCs/>
                <w:color w:val="000000"/>
                <w:sz w:val="22"/>
              </w:rPr>
            </w:pPr>
            <w:r>
              <w:rPr>
                <w:b/>
                <w:bCs/>
                <w:color w:val="000000"/>
                <w:sz w:val="22"/>
              </w:rPr>
              <w:t>项目</w:t>
            </w:r>
          </w:p>
        </w:tc>
        <w:tc>
          <w:tcPr>
            <w:tcW w:w="676" w:type="pct"/>
          </w:tcPr>
          <w:p>
            <w:pPr>
              <w:widowControl/>
              <w:jc w:val="center"/>
              <w:rPr>
                <w:b/>
                <w:bCs/>
                <w:color w:val="000000"/>
                <w:sz w:val="22"/>
              </w:rPr>
            </w:pPr>
            <w:r>
              <w:rPr>
                <w:rFonts w:hint="eastAsia"/>
                <w:b/>
                <w:bCs/>
                <w:color w:val="000000"/>
                <w:sz w:val="22"/>
              </w:rPr>
              <w:t>数量</w:t>
            </w:r>
          </w:p>
        </w:tc>
        <w:tc>
          <w:tcPr>
            <w:tcW w:w="1949" w:type="pct"/>
          </w:tcPr>
          <w:p>
            <w:pPr>
              <w:widowControl/>
              <w:jc w:val="center"/>
              <w:rPr>
                <w:b/>
                <w:bCs/>
                <w:color w:val="000000"/>
                <w:sz w:val="22"/>
              </w:rPr>
            </w:pPr>
            <w:r>
              <w:rPr>
                <w:rFonts w:hint="eastAsia"/>
                <w:b/>
                <w:bCs/>
                <w:color w:val="000000"/>
                <w:sz w:val="22"/>
              </w:rPr>
              <w:t>作业区域</w:t>
            </w:r>
          </w:p>
        </w:tc>
        <w:tc>
          <w:tcPr>
            <w:tcW w:w="625" w:type="pct"/>
            <w:vAlign w:val="center"/>
          </w:tcPr>
          <w:p>
            <w:pPr>
              <w:widowControl/>
              <w:jc w:val="center"/>
              <w:rPr>
                <w:b/>
                <w:bCs/>
                <w:color w:val="000000"/>
                <w:sz w:val="22"/>
              </w:rPr>
            </w:pPr>
            <w:r>
              <w:rPr>
                <w:b/>
                <w:bCs/>
                <w:color w:val="00000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noWrap/>
            <w:vAlign w:val="center"/>
          </w:tcPr>
          <w:p>
            <w:pPr>
              <w:widowControl/>
              <w:jc w:val="center"/>
              <w:rPr>
                <w:color w:val="000000"/>
                <w:sz w:val="22"/>
              </w:rPr>
            </w:pPr>
            <w:r>
              <w:rPr>
                <w:rFonts w:hint="eastAsia"/>
                <w:color w:val="000000"/>
                <w:sz w:val="22"/>
              </w:rPr>
              <w:t>1</w:t>
            </w:r>
          </w:p>
        </w:tc>
        <w:tc>
          <w:tcPr>
            <w:tcW w:w="1124" w:type="pct"/>
            <w:noWrap/>
            <w:vAlign w:val="center"/>
          </w:tcPr>
          <w:p>
            <w:pPr>
              <w:widowControl/>
              <w:jc w:val="center"/>
              <w:rPr>
                <w:color w:val="000000"/>
                <w:sz w:val="22"/>
              </w:rPr>
            </w:pPr>
            <w:r>
              <w:rPr>
                <w:rFonts w:hint="eastAsia"/>
                <w:color w:val="000000"/>
                <w:sz w:val="22"/>
              </w:rPr>
              <w:t>叉车</w:t>
            </w:r>
          </w:p>
        </w:tc>
        <w:tc>
          <w:tcPr>
            <w:tcW w:w="676" w:type="pct"/>
            <w:vAlign w:val="center"/>
          </w:tcPr>
          <w:p>
            <w:pPr>
              <w:jc w:val="center"/>
              <w:rPr>
                <w:color w:val="000000"/>
                <w:sz w:val="22"/>
              </w:rPr>
            </w:pPr>
            <w:r>
              <w:rPr>
                <w:rFonts w:hint="eastAsia"/>
                <w:color w:val="000000"/>
                <w:sz w:val="22"/>
              </w:rPr>
              <w:t>4台</w:t>
            </w:r>
          </w:p>
        </w:tc>
        <w:tc>
          <w:tcPr>
            <w:tcW w:w="1949" w:type="pct"/>
            <w:vAlign w:val="center"/>
          </w:tcPr>
          <w:p>
            <w:pPr>
              <w:jc w:val="center"/>
              <w:rPr>
                <w:color w:val="000000"/>
                <w:sz w:val="22"/>
              </w:rPr>
            </w:pPr>
            <w:r>
              <w:rPr>
                <w:rFonts w:hint="eastAsia"/>
                <w:color w:val="000000"/>
                <w:sz w:val="22"/>
              </w:rPr>
              <w:t>仓库、商用厂区</w:t>
            </w:r>
          </w:p>
        </w:tc>
        <w:tc>
          <w:tcPr>
            <w:tcW w:w="625" w:type="pct"/>
            <w:vAlign w:val="center"/>
          </w:tcPr>
          <w:p>
            <w:pPr>
              <w:jc w:val="center"/>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noWrap/>
            <w:vAlign w:val="center"/>
          </w:tcPr>
          <w:p>
            <w:pPr>
              <w:widowControl/>
              <w:jc w:val="center"/>
              <w:rPr>
                <w:color w:val="000000"/>
                <w:sz w:val="22"/>
              </w:rPr>
            </w:pPr>
            <w:r>
              <w:rPr>
                <w:rFonts w:hint="eastAsia"/>
                <w:color w:val="000000"/>
                <w:sz w:val="22"/>
              </w:rPr>
              <w:t>2</w:t>
            </w:r>
          </w:p>
        </w:tc>
        <w:tc>
          <w:tcPr>
            <w:tcW w:w="1124" w:type="pct"/>
            <w:noWrap/>
            <w:vAlign w:val="center"/>
          </w:tcPr>
          <w:p>
            <w:pPr>
              <w:widowControl/>
              <w:jc w:val="center"/>
              <w:rPr>
                <w:color w:val="000000"/>
                <w:sz w:val="22"/>
              </w:rPr>
            </w:pPr>
            <w:r>
              <w:rPr>
                <w:rFonts w:hint="eastAsia"/>
                <w:color w:val="000000"/>
                <w:sz w:val="22"/>
              </w:rPr>
              <w:t>拖车</w:t>
            </w:r>
          </w:p>
        </w:tc>
        <w:tc>
          <w:tcPr>
            <w:tcW w:w="676" w:type="pct"/>
            <w:vAlign w:val="center"/>
          </w:tcPr>
          <w:p>
            <w:pPr>
              <w:jc w:val="center"/>
              <w:rPr>
                <w:color w:val="000000"/>
                <w:sz w:val="22"/>
              </w:rPr>
            </w:pPr>
            <w:r>
              <w:rPr>
                <w:rFonts w:hint="eastAsia"/>
                <w:color w:val="000000"/>
                <w:sz w:val="22"/>
              </w:rPr>
              <w:t>5台</w:t>
            </w:r>
          </w:p>
        </w:tc>
        <w:tc>
          <w:tcPr>
            <w:tcW w:w="1949" w:type="pct"/>
            <w:vAlign w:val="center"/>
          </w:tcPr>
          <w:p>
            <w:pPr>
              <w:jc w:val="center"/>
              <w:rPr>
                <w:color w:val="000000"/>
                <w:sz w:val="22"/>
              </w:rPr>
            </w:pPr>
            <w:r>
              <w:rPr>
                <w:rFonts w:hint="eastAsia"/>
                <w:color w:val="000000"/>
                <w:sz w:val="22"/>
              </w:rPr>
              <w:t>商用厂区</w:t>
            </w:r>
          </w:p>
        </w:tc>
        <w:tc>
          <w:tcPr>
            <w:tcW w:w="625" w:type="pct"/>
            <w:vAlign w:val="center"/>
          </w:tcPr>
          <w:p>
            <w:pPr>
              <w:jc w:val="center"/>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noWrap/>
            <w:vAlign w:val="center"/>
          </w:tcPr>
          <w:p>
            <w:pPr>
              <w:widowControl/>
              <w:jc w:val="center"/>
              <w:rPr>
                <w:color w:val="000000"/>
                <w:sz w:val="22"/>
              </w:rPr>
            </w:pPr>
            <w:r>
              <w:rPr>
                <w:rFonts w:hint="eastAsia"/>
                <w:color w:val="000000"/>
                <w:sz w:val="22"/>
              </w:rPr>
              <w:t>3</w:t>
            </w:r>
          </w:p>
        </w:tc>
        <w:tc>
          <w:tcPr>
            <w:tcW w:w="1124" w:type="pct"/>
            <w:noWrap/>
            <w:vAlign w:val="center"/>
          </w:tcPr>
          <w:p>
            <w:pPr>
              <w:widowControl/>
              <w:jc w:val="center"/>
              <w:rPr>
                <w:color w:val="000000"/>
                <w:sz w:val="22"/>
              </w:rPr>
            </w:pPr>
            <w:r>
              <w:rPr>
                <w:rFonts w:hint="eastAsia"/>
                <w:color w:val="000000"/>
                <w:sz w:val="22"/>
              </w:rPr>
              <w:t>4.2M卡车</w:t>
            </w:r>
          </w:p>
        </w:tc>
        <w:tc>
          <w:tcPr>
            <w:tcW w:w="676" w:type="pct"/>
            <w:vAlign w:val="center"/>
          </w:tcPr>
          <w:p>
            <w:pPr>
              <w:jc w:val="center"/>
              <w:rPr>
                <w:color w:val="000000"/>
                <w:sz w:val="22"/>
              </w:rPr>
            </w:pPr>
            <w:r>
              <w:rPr>
                <w:rFonts w:hint="eastAsia"/>
                <w:color w:val="000000"/>
                <w:sz w:val="22"/>
              </w:rPr>
              <w:t>1台</w:t>
            </w:r>
          </w:p>
        </w:tc>
        <w:tc>
          <w:tcPr>
            <w:tcW w:w="1949" w:type="pct"/>
            <w:vAlign w:val="center"/>
          </w:tcPr>
          <w:p>
            <w:pPr>
              <w:jc w:val="center"/>
              <w:rPr>
                <w:color w:val="000000"/>
                <w:sz w:val="22"/>
              </w:rPr>
            </w:pPr>
            <w:r>
              <w:rPr>
                <w:rFonts w:hint="eastAsia"/>
                <w:color w:val="000000"/>
                <w:sz w:val="22"/>
              </w:rPr>
              <w:t>仓库-商用车厂区运输</w:t>
            </w:r>
          </w:p>
        </w:tc>
        <w:tc>
          <w:tcPr>
            <w:tcW w:w="625" w:type="pct"/>
            <w:vAlign w:val="center"/>
          </w:tcPr>
          <w:p>
            <w:pPr>
              <w:jc w:val="center"/>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noWrap/>
            <w:vAlign w:val="center"/>
          </w:tcPr>
          <w:p>
            <w:pPr>
              <w:widowControl/>
              <w:jc w:val="center"/>
              <w:rPr>
                <w:color w:val="000000"/>
                <w:sz w:val="22"/>
              </w:rPr>
            </w:pPr>
            <w:r>
              <w:rPr>
                <w:rFonts w:hint="eastAsia"/>
                <w:color w:val="000000"/>
                <w:sz w:val="22"/>
              </w:rPr>
              <w:t>4</w:t>
            </w:r>
          </w:p>
        </w:tc>
        <w:tc>
          <w:tcPr>
            <w:tcW w:w="1124" w:type="pct"/>
            <w:noWrap/>
            <w:vAlign w:val="center"/>
          </w:tcPr>
          <w:p>
            <w:pPr>
              <w:widowControl/>
              <w:jc w:val="center"/>
              <w:rPr>
                <w:color w:val="000000"/>
                <w:sz w:val="22"/>
              </w:rPr>
            </w:pPr>
            <w:r>
              <w:rPr>
                <w:rFonts w:hint="eastAsia"/>
                <w:color w:val="000000"/>
                <w:sz w:val="22"/>
              </w:rPr>
              <w:t>9.6M飞翼</w:t>
            </w:r>
          </w:p>
        </w:tc>
        <w:tc>
          <w:tcPr>
            <w:tcW w:w="676" w:type="pct"/>
            <w:vAlign w:val="center"/>
          </w:tcPr>
          <w:p>
            <w:pPr>
              <w:jc w:val="center"/>
              <w:rPr>
                <w:color w:val="000000"/>
                <w:sz w:val="22"/>
              </w:rPr>
            </w:pPr>
            <w:r>
              <w:rPr>
                <w:rFonts w:hint="eastAsia"/>
                <w:color w:val="000000"/>
                <w:sz w:val="22"/>
              </w:rPr>
              <w:t>1台</w:t>
            </w:r>
          </w:p>
        </w:tc>
        <w:tc>
          <w:tcPr>
            <w:tcW w:w="1949" w:type="pct"/>
            <w:vAlign w:val="center"/>
          </w:tcPr>
          <w:p>
            <w:pPr>
              <w:jc w:val="center"/>
              <w:rPr>
                <w:color w:val="000000"/>
                <w:sz w:val="22"/>
              </w:rPr>
            </w:pPr>
            <w:r>
              <w:rPr>
                <w:rFonts w:hint="eastAsia"/>
                <w:color w:val="000000"/>
                <w:sz w:val="22"/>
              </w:rPr>
              <w:t>仓库-商用车厂区运输</w:t>
            </w:r>
          </w:p>
        </w:tc>
        <w:tc>
          <w:tcPr>
            <w:tcW w:w="625" w:type="pct"/>
            <w:vAlign w:val="center"/>
          </w:tcPr>
          <w:p>
            <w:pPr>
              <w:jc w:val="center"/>
              <w:rPr>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noWrap/>
            <w:vAlign w:val="center"/>
          </w:tcPr>
          <w:p>
            <w:pPr>
              <w:widowControl/>
              <w:jc w:val="center"/>
              <w:rPr>
                <w:color w:val="000000"/>
                <w:sz w:val="22"/>
              </w:rPr>
            </w:pPr>
            <w:r>
              <w:rPr>
                <w:rFonts w:hint="eastAsia"/>
                <w:color w:val="000000"/>
                <w:sz w:val="22"/>
              </w:rPr>
              <w:t>5</w:t>
            </w:r>
          </w:p>
        </w:tc>
        <w:tc>
          <w:tcPr>
            <w:tcW w:w="1124" w:type="pct"/>
            <w:noWrap/>
            <w:vAlign w:val="center"/>
          </w:tcPr>
          <w:p>
            <w:pPr>
              <w:widowControl/>
              <w:jc w:val="center"/>
              <w:rPr>
                <w:color w:val="000000"/>
                <w:sz w:val="22"/>
              </w:rPr>
            </w:pPr>
            <w:r>
              <w:rPr>
                <w:rFonts w:hint="eastAsia"/>
                <w:color w:val="000000"/>
                <w:sz w:val="22"/>
              </w:rPr>
              <w:t>电动搬运车</w:t>
            </w:r>
          </w:p>
        </w:tc>
        <w:tc>
          <w:tcPr>
            <w:tcW w:w="676" w:type="pct"/>
            <w:vAlign w:val="center"/>
          </w:tcPr>
          <w:p>
            <w:pPr>
              <w:jc w:val="center"/>
              <w:rPr>
                <w:color w:val="000000"/>
                <w:sz w:val="22"/>
              </w:rPr>
            </w:pPr>
            <w:r>
              <w:rPr>
                <w:rFonts w:hint="eastAsia"/>
                <w:color w:val="000000"/>
                <w:sz w:val="22"/>
              </w:rPr>
              <w:t>3台</w:t>
            </w:r>
          </w:p>
        </w:tc>
        <w:tc>
          <w:tcPr>
            <w:tcW w:w="1949" w:type="pct"/>
            <w:vAlign w:val="center"/>
          </w:tcPr>
          <w:p>
            <w:pPr>
              <w:jc w:val="center"/>
              <w:rPr>
                <w:color w:val="000000"/>
                <w:sz w:val="22"/>
              </w:rPr>
            </w:pPr>
            <w:r>
              <w:rPr>
                <w:rFonts w:hint="eastAsia"/>
                <w:color w:val="000000"/>
                <w:sz w:val="22"/>
              </w:rPr>
              <w:t>仓库</w:t>
            </w:r>
          </w:p>
        </w:tc>
        <w:tc>
          <w:tcPr>
            <w:tcW w:w="625" w:type="pct"/>
            <w:vAlign w:val="center"/>
          </w:tcPr>
          <w:p>
            <w:pPr>
              <w:jc w:val="center"/>
              <w:rPr>
                <w:color w:val="000000"/>
                <w:sz w:val="22"/>
              </w:rPr>
            </w:pPr>
          </w:p>
        </w:tc>
      </w:tr>
    </w:tbl>
    <w:p>
      <w:pPr>
        <w:spacing w:line="360" w:lineRule="auto"/>
        <w:ind w:firstLine="482"/>
        <w:rPr>
          <w:sz w:val="24"/>
        </w:rPr>
      </w:pPr>
    </w:p>
    <w:p>
      <w:pPr>
        <w:spacing w:line="360" w:lineRule="auto"/>
        <w:ind w:firstLine="482"/>
        <w:rPr>
          <w:sz w:val="24"/>
        </w:rPr>
      </w:pPr>
      <w:r>
        <w:rPr>
          <w:rFonts w:hint="eastAsia"/>
          <w:sz w:val="24"/>
        </w:rPr>
        <w:t>4</w:t>
      </w:r>
      <w:r>
        <w:rPr>
          <w:sz w:val="24"/>
        </w:rPr>
        <w:t>.</w:t>
      </w:r>
      <w:r>
        <w:rPr>
          <w:rFonts w:hint="eastAsia"/>
          <w:sz w:val="24"/>
        </w:rPr>
        <w:t>2以上物流设备数量为预计量，最终由投标人根据实际作业量配置，</w:t>
      </w:r>
      <w:r>
        <w:rPr>
          <w:sz w:val="24"/>
        </w:rPr>
        <w:t>招标人有权对投标人的设备性能、投入数量进行审核，当设备无法满足招标人运营需求时，招标人有权要求投标人更换合格设备或追加设备投入。</w:t>
      </w:r>
      <w:r>
        <w:rPr>
          <w:rFonts w:hint="eastAsia"/>
          <w:sz w:val="24"/>
        </w:rPr>
        <w:t>其他需要的信息化设备投标方自行配备，确保符合业务需求。</w:t>
      </w:r>
    </w:p>
    <w:p>
      <w:pPr>
        <w:spacing w:line="360" w:lineRule="auto"/>
        <w:ind w:firstLine="482"/>
        <w:rPr>
          <w:sz w:val="24"/>
        </w:rPr>
      </w:pPr>
      <w:r>
        <w:rPr>
          <w:rFonts w:hint="eastAsia"/>
          <w:sz w:val="24"/>
        </w:rPr>
        <w:t>4.3投标人须</w:t>
      </w:r>
      <w:r>
        <w:rPr>
          <w:rFonts w:hint="eastAsia"/>
          <w:sz w:val="24"/>
          <w:highlight w:val="yellow"/>
        </w:rPr>
        <w:t>配备车队管理信息系统</w:t>
      </w:r>
      <w:r>
        <w:rPr>
          <w:rFonts w:hint="eastAsia"/>
          <w:sz w:val="24"/>
        </w:rPr>
        <w:t>，监控物流设备的运行情况，投标人需将系统权限对招标人开放。</w:t>
      </w:r>
    </w:p>
    <w:p>
      <w:pPr>
        <w:spacing w:line="360" w:lineRule="auto"/>
        <w:ind w:firstLine="482"/>
        <w:rPr>
          <w:sz w:val="24"/>
        </w:rPr>
      </w:pPr>
      <w:r>
        <w:rPr>
          <w:rFonts w:hint="eastAsia"/>
          <w:sz w:val="24"/>
        </w:rPr>
        <w:t>4.4 在招标人厂区内进行上线配送作业的设备所需的水、电等能耗由招标人提供，招标人按实际用量及收费标准向投标人收取费用。</w:t>
      </w:r>
    </w:p>
    <w:p>
      <w:pPr>
        <w:spacing w:line="360" w:lineRule="auto"/>
        <w:ind w:firstLine="482"/>
        <w:rPr>
          <w:sz w:val="24"/>
        </w:rPr>
      </w:pPr>
      <w:r>
        <w:rPr>
          <w:rFonts w:hint="eastAsia"/>
          <w:sz w:val="24"/>
        </w:rPr>
        <w:t>4.5</w:t>
      </w:r>
      <w:r>
        <w:rPr>
          <w:sz w:val="24"/>
        </w:rPr>
        <w:t>投标人需建立设备点检制度，定期对设备进行</w:t>
      </w:r>
      <w:r>
        <w:rPr>
          <w:rFonts w:hint="eastAsia"/>
          <w:sz w:val="24"/>
        </w:rPr>
        <w:t>维护</w:t>
      </w:r>
      <w:r>
        <w:rPr>
          <w:sz w:val="24"/>
        </w:rPr>
        <w:t>和保养，及时处理点检发现的问题，以确保设备保持良好的使用性能。</w:t>
      </w:r>
    </w:p>
    <w:p>
      <w:pPr>
        <w:spacing w:line="360" w:lineRule="auto"/>
        <w:ind w:firstLine="482"/>
        <w:rPr>
          <w:sz w:val="24"/>
          <w:szCs w:val="22"/>
        </w:rPr>
      </w:pPr>
      <w:r>
        <w:rPr>
          <w:rFonts w:hint="eastAsia"/>
          <w:sz w:val="24"/>
          <w:szCs w:val="22"/>
        </w:rPr>
        <w:t>4.6运输设备：入厂物流车辆</w:t>
      </w:r>
      <w:r>
        <w:rPr>
          <w:sz w:val="24"/>
          <w:szCs w:val="22"/>
        </w:rPr>
        <w:t>要求为</w:t>
      </w:r>
      <w:r>
        <w:rPr>
          <w:b/>
          <w:bCs/>
          <w:sz w:val="24"/>
          <w:szCs w:val="22"/>
        </w:rPr>
        <w:t>重汽品牌</w:t>
      </w:r>
      <w:r>
        <w:rPr>
          <w:rFonts w:hint="eastAsia"/>
          <w:sz w:val="24"/>
          <w:szCs w:val="22"/>
        </w:rPr>
        <w:t>，</w:t>
      </w:r>
      <w:r>
        <w:rPr>
          <w:sz w:val="24"/>
          <w:szCs w:val="22"/>
        </w:rPr>
        <w:t>排放标准国</w:t>
      </w:r>
      <w:r>
        <w:rPr>
          <w:sz w:val="24"/>
          <w:szCs w:val="22"/>
        </w:rPr>
        <w:fldChar w:fldCharType="begin"/>
      </w:r>
      <w:r>
        <w:rPr>
          <w:rFonts w:hint="eastAsia"/>
          <w:sz w:val="24"/>
          <w:szCs w:val="22"/>
        </w:rPr>
        <w:instrText xml:space="preserve">= 5 \* ROMAN</w:instrText>
      </w:r>
      <w:r>
        <w:rPr>
          <w:sz w:val="24"/>
          <w:szCs w:val="22"/>
        </w:rPr>
        <w:fldChar w:fldCharType="separate"/>
      </w:r>
      <w:r>
        <w:rPr>
          <w:sz w:val="24"/>
          <w:szCs w:val="22"/>
        </w:rPr>
        <w:t>V</w:t>
      </w:r>
      <w:r>
        <w:rPr>
          <w:sz w:val="24"/>
          <w:szCs w:val="22"/>
        </w:rPr>
        <w:fldChar w:fldCharType="end"/>
      </w:r>
      <w:r>
        <w:rPr>
          <w:rFonts w:hint="eastAsia"/>
          <w:sz w:val="24"/>
          <w:szCs w:val="22"/>
        </w:rPr>
        <w:t>及以上。</w:t>
      </w:r>
    </w:p>
    <w:p>
      <w:pPr>
        <w:spacing w:line="360" w:lineRule="auto"/>
        <w:ind w:firstLine="482"/>
        <w:rPr>
          <w:sz w:val="24"/>
          <w:szCs w:val="22"/>
        </w:rPr>
      </w:pPr>
      <w:r>
        <w:rPr>
          <w:rFonts w:hint="eastAsia"/>
          <w:sz w:val="24"/>
          <w:szCs w:val="22"/>
        </w:rPr>
        <w:t>4.7 设备管理细则</w:t>
      </w:r>
    </w:p>
    <w:p>
      <w:pPr>
        <w:spacing w:line="360" w:lineRule="auto"/>
        <w:ind w:firstLine="482"/>
        <w:rPr>
          <w:sz w:val="24"/>
          <w:szCs w:val="22"/>
        </w:rPr>
      </w:pPr>
      <w:r>
        <w:rPr>
          <w:sz w:val="24"/>
          <w:szCs w:val="22"/>
        </w:rPr>
        <w:t>叉车、拖车等常用设施设备要做好保管、维护工作，做好日常点检记录及存档管理，便于追溯；定期清杂、除尘、润滑，涂漆防锈、调整紧固，大小件器材设备存放至指定储物柜或存放区。</w:t>
      </w:r>
    </w:p>
    <w:p>
      <w:pPr>
        <w:spacing w:line="360" w:lineRule="auto"/>
        <w:ind w:firstLine="482"/>
        <w:rPr>
          <w:sz w:val="24"/>
          <w:szCs w:val="22"/>
        </w:rPr>
      </w:pPr>
      <w:r>
        <w:rPr>
          <w:sz w:val="24"/>
          <w:szCs w:val="22"/>
        </w:rPr>
        <w:t>叉车操作人员应持有相应的有效特种作业证，叉车操作过程中应注意如下事项：</w:t>
      </w:r>
    </w:p>
    <w:p>
      <w:pPr>
        <w:spacing w:line="360" w:lineRule="auto"/>
        <w:ind w:firstLine="482"/>
        <w:rPr>
          <w:sz w:val="24"/>
          <w:szCs w:val="22"/>
        </w:rPr>
      </w:pPr>
      <w:r>
        <w:rPr>
          <w:sz w:val="24"/>
          <w:szCs w:val="22"/>
        </w:rPr>
        <w:t>a）驾驶员在驾驶过程中须系紧安全带；</w:t>
      </w:r>
    </w:p>
    <w:p>
      <w:pPr>
        <w:spacing w:line="360" w:lineRule="auto"/>
        <w:ind w:firstLine="482"/>
        <w:rPr>
          <w:sz w:val="24"/>
          <w:szCs w:val="22"/>
        </w:rPr>
      </w:pPr>
      <w:r>
        <w:rPr>
          <w:sz w:val="24"/>
          <w:szCs w:val="22"/>
        </w:rPr>
        <w:t>b）叉车在库区内行驶速度不得超过5公里∕小时；</w:t>
      </w:r>
    </w:p>
    <w:p>
      <w:pPr>
        <w:spacing w:line="360" w:lineRule="auto"/>
        <w:ind w:firstLine="482"/>
        <w:rPr>
          <w:sz w:val="24"/>
          <w:szCs w:val="22"/>
        </w:rPr>
      </w:pPr>
      <w:r>
        <w:rPr>
          <w:sz w:val="24"/>
          <w:szCs w:val="22"/>
        </w:rPr>
        <w:t>c）叉车叉取物料高度超过1.5米时，须倒行；</w:t>
      </w:r>
    </w:p>
    <w:p>
      <w:pPr>
        <w:spacing w:line="360" w:lineRule="auto"/>
        <w:ind w:firstLine="482"/>
        <w:rPr>
          <w:sz w:val="24"/>
          <w:szCs w:val="22"/>
        </w:rPr>
      </w:pPr>
      <w:r>
        <w:rPr>
          <w:sz w:val="24"/>
          <w:szCs w:val="22"/>
        </w:rPr>
        <w:t>d）叉车停车后，须拉手刹、拔钥匙、车轮回正、货叉贴地。</w:t>
      </w:r>
    </w:p>
    <w:p>
      <w:pPr>
        <w:pStyle w:val="4"/>
        <w:spacing w:line="440" w:lineRule="exact"/>
        <w:rPr>
          <w:bCs w:val="0"/>
          <w:sz w:val="24"/>
          <w:szCs w:val="24"/>
        </w:rPr>
      </w:pPr>
      <w:r>
        <w:rPr>
          <w:rFonts w:hint="eastAsia"/>
          <w:bCs w:val="0"/>
          <w:sz w:val="24"/>
          <w:szCs w:val="24"/>
        </w:rPr>
        <w:t>5</w:t>
      </w:r>
      <w:r>
        <w:rPr>
          <w:bCs w:val="0"/>
          <w:sz w:val="24"/>
          <w:szCs w:val="24"/>
        </w:rPr>
        <w:t>、</w:t>
      </w:r>
      <w:r>
        <w:rPr>
          <w:rFonts w:hint="eastAsia"/>
          <w:bCs w:val="0"/>
          <w:sz w:val="24"/>
          <w:szCs w:val="24"/>
        </w:rPr>
        <w:t>其他</w:t>
      </w:r>
      <w:r>
        <w:rPr>
          <w:bCs w:val="0"/>
          <w:sz w:val="24"/>
          <w:szCs w:val="24"/>
        </w:rPr>
        <w:t>要求</w:t>
      </w:r>
    </w:p>
    <w:p>
      <w:pPr>
        <w:spacing w:line="480" w:lineRule="exact"/>
        <w:ind w:firstLine="480" w:firstLineChars="200"/>
        <w:rPr>
          <w:sz w:val="24"/>
        </w:rPr>
      </w:pPr>
      <w:r>
        <w:rPr>
          <w:rFonts w:hint="eastAsia"/>
          <w:sz w:val="24"/>
        </w:rPr>
        <w:t>5.1业务开展使用的辅料、办公用品、耗材等由投标方自行解决，且投标方采购的上述用品必须经过招标方的检验认可。</w:t>
      </w:r>
    </w:p>
    <w:p>
      <w:pPr>
        <w:spacing w:line="480" w:lineRule="exact"/>
        <w:ind w:firstLine="480" w:firstLineChars="200"/>
        <w:rPr>
          <w:sz w:val="24"/>
        </w:rPr>
      </w:pPr>
      <w:r>
        <w:rPr>
          <w:rFonts w:hint="eastAsia"/>
          <w:sz w:val="24"/>
        </w:rPr>
        <w:t>5.2投标方员工的乘用车、使用的工作服、手套、劳保鞋、防毒口罩等劳保用品由投标方自行解决，投标方应确保相关劳保用品的合格性和适用性。</w:t>
      </w:r>
    </w:p>
    <w:p>
      <w:pPr>
        <w:spacing w:line="480" w:lineRule="exact"/>
        <w:ind w:firstLine="480"/>
        <w:rPr>
          <w:sz w:val="24"/>
        </w:rPr>
      </w:pPr>
      <w:r>
        <w:rPr>
          <w:rFonts w:hint="eastAsia"/>
          <w:sz w:val="24"/>
        </w:rPr>
        <w:t>5.3 对于外部仓库，投标单位须</w:t>
      </w:r>
      <w:r>
        <w:rPr>
          <w:rFonts w:hint="eastAsia"/>
          <w:b/>
          <w:bCs/>
          <w:sz w:val="24"/>
        </w:rPr>
        <w:t>配置摄像头和考勤系统</w:t>
      </w:r>
      <w:r>
        <w:rPr>
          <w:rFonts w:hint="eastAsia"/>
          <w:sz w:val="24"/>
        </w:rPr>
        <w:t>，强化物流现场监控和人员考勤等日常管理。监控、考勤机的技术要求如下：</w:t>
      </w:r>
    </w:p>
    <w:p>
      <w:pPr>
        <w:spacing w:line="480" w:lineRule="exact"/>
        <w:ind w:firstLine="480"/>
        <w:rPr>
          <w:sz w:val="24"/>
        </w:rPr>
      </w:pPr>
      <w:r>
        <w:rPr>
          <w:rFonts w:hint="eastAsia"/>
          <w:sz w:val="24"/>
        </w:rPr>
        <w:t>建设整体要求：</w:t>
      </w:r>
    </w:p>
    <w:p>
      <w:pPr>
        <w:spacing w:line="480" w:lineRule="exact"/>
        <w:ind w:firstLine="480"/>
        <w:rPr>
          <w:sz w:val="24"/>
        </w:rPr>
      </w:pPr>
      <w:r>
        <w:rPr>
          <w:rFonts w:hint="eastAsia"/>
          <w:sz w:val="24"/>
        </w:rPr>
        <w:t>1.投标方须配套建设人员考勤、视频安防系统，并提供统一的管理系统（以下简称：系统）账户供招标人使用，满足人员考勤、视频安防监控等日常管理需求。</w:t>
      </w:r>
    </w:p>
    <w:p>
      <w:pPr>
        <w:spacing w:line="480" w:lineRule="exact"/>
        <w:ind w:firstLine="480"/>
        <w:rPr>
          <w:sz w:val="24"/>
        </w:rPr>
      </w:pPr>
      <w:r>
        <w:rPr>
          <w:rFonts w:hint="eastAsia"/>
          <w:sz w:val="24"/>
        </w:rPr>
        <w:t>2.投标方配套建设的系统须支持与中国重汽集团智慧园区平台对接，并根据整体建设规划与进度配合完成对接。</w:t>
      </w:r>
    </w:p>
    <w:p>
      <w:pPr>
        <w:spacing w:line="480" w:lineRule="exact"/>
        <w:ind w:firstLine="480"/>
        <w:rPr>
          <w:sz w:val="24"/>
        </w:rPr>
      </w:pPr>
      <w:r>
        <w:rPr>
          <w:rFonts w:hint="eastAsia"/>
          <w:sz w:val="24"/>
        </w:rPr>
        <w:t>3.投标方采购的硬件规格参数，可参照以下框架执行（监控及门禁考勤设备部分）。</w:t>
      </w:r>
    </w:p>
    <w:tbl>
      <w:tblPr>
        <w:tblStyle w:val="21"/>
        <w:tblpPr w:leftFromText="180" w:rightFromText="180" w:vertAnchor="text" w:horzAnchor="page" w:tblpX="1803" w:tblpY="113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692"/>
        <w:gridCol w:w="6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pStyle w:val="65"/>
              <w:numPr>
                <w:ilvl w:val="0"/>
                <w:numId w:val="0"/>
              </w:numPr>
              <w:jc w:val="center"/>
              <w:rPr>
                <w:rFonts w:hint="eastAsia" w:ascii="宋体" w:hAnsi="宋体"/>
                <w:b/>
                <w:color w:val="000000"/>
                <w:kern w:val="0"/>
                <w:szCs w:val="24"/>
              </w:rPr>
            </w:pPr>
            <w:r>
              <w:rPr>
                <w:rFonts w:ascii="宋体" w:hAnsi="宋体"/>
                <w:b/>
                <w:color w:val="000000"/>
                <w:kern w:val="0"/>
                <w:szCs w:val="24"/>
              </w:rPr>
              <w:t>序号</w:t>
            </w:r>
          </w:p>
        </w:tc>
        <w:tc>
          <w:tcPr>
            <w:tcW w:w="911" w:type="pct"/>
          </w:tcPr>
          <w:p>
            <w:pPr>
              <w:pStyle w:val="65"/>
              <w:numPr>
                <w:ilvl w:val="0"/>
                <w:numId w:val="0"/>
              </w:numPr>
              <w:jc w:val="center"/>
              <w:rPr>
                <w:rFonts w:hint="eastAsia" w:ascii="宋体" w:hAnsi="宋体"/>
                <w:b/>
                <w:color w:val="000000"/>
                <w:kern w:val="0"/>
                <w:szCs w:val="24"/>
              </w:rPr>
            </w:pPr>
            <w:r>
              <w:rPr>
                <w:rFonts w:ascii="宋体" w:hAnsi="宋体"/>
                <w:b/>
                <w:color w:val="000000"/>
                <w:kern w:val="0"/>
                <w:szCs w:val="24"/>
              </w:rPr>
              <w:t>名称</w:t>
            </w:r>
          </w:p>
        </w:tc>
        <w:tc>
          <w:tcPr>
            <w:tcW w:w="3547" w:type="pct"/>
          </w:tcPr>
          <w:p>
            <w:pPr>
              <w:pStyle w:val="65"/>
              <w:numPr>
                <w:ilvl w:val="0"/>
                <w:numId w:val="0"/>
              </w:numPr>
              <w:jc w:val="center"/>
              <w:rPr>
                <w:rFonts w:hint="eastAsia" w:ascii="宋体" w:hAnsi="宋体"/>
                <w:b/>
                <w:color w:val="000000"/>
                <w:kern w:val="0"/>
                <w:szCs w:val="24"/>
              </w:rPr>
            </w:pPr>
            <w:r>
              <w:rPr>
                <w:rFonts w:ascii="宋体" w:hAnsi="宋体"/>
                <w:b/>
                <w:color w:val="000000"/>
                <w:kern w:val="0"/>
                <w:szCs w:val="24"/>
              </w:rPr>
              <w:t>配置详情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hint="eastAsia" w:ascii="宋体" w:hAnsi="宋体"/>
                <w:color w:val="000000"/>
                <w:kern w:val="0"/>
                <w:szCs w:val="24"/>
              </w:rPr>
              <w:t>1</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枪机</w:t>
            </w:r>
          </w:p>
        </w:tc>
        <w:tc>
          <w:tcPr>
            <w:tcW w:w="3547" w:type="pct"/>
          </w:tcPr>
          <w:p>
            <w:pPr>
              <w:widowControl/>
              <w:jc w:val="left"/>
              <w:rPr>
                <w:rFonts w:hint="eastAsia" w:ascii="宋体" w:hAnsi="宋体"/>
                <w:color w:val="000000"/>
                <w:kern w:val="0"/>
                <w:sz w:val="24"/>
              </w:rPr>
            </w:pPr>
            <w:r>
              <w:rPr>
                <w:rFonts w:hint="eastAsia" w:ascii="宋体" w:hAnsi="宋体"/>
                <w:color w:val="000000"/>
                <w:kern w:val="0"/>
                <w:sz w:val="24"/>
              </w:rPr>
              <w:t>400万像素CMOS传感器，尺寸大于等于 1/3＂；</w:t>
            </w:r>
          </w:p>
          <w:p>
            <w:pPr>
              <w:widowControl/>
              <w:jc w:val="left"/>
              <w:rPr>
                <w:rFonts w:hint="eastAsia" w:ascii="宋体" w:hAnsi="宋体"/>
                <w:color w:val="000000"/>
                <w:kern w:val="0"/>
                <w:sz w:val="24"/>
              </w:rPr>
            </w:pPr>
            <w:r>
              <w:rPr>
                <w:rFonts w:hint="eastAsia" w:ascii="宋体" w:hAnsi="宋体"/>
                <w:color w:val="000000"/>
                <w:kern w:val="0"/>
                <w:sz w:val="24"/>
              </w:rPr>
              <w:t>镜头焦距4/6/8/12可选；</w:t>
            </w:r>
          </w:p>
          <w:p>
            <w:pPr>
              <w:widowControl/>
              <w:jc w:val="left"/>
              <w:rPr>
                <w:rFonts w:hint="eastAsia" w:ascii="宋体" w:hAnsi="宋体"/>
                <w:color w:val="000000"/>
                <w:kern w:val="0"/>
                <w:sz w:val="24"/>
              </w:rPr>
            </w:pPr>
            <w:r>
              <w:rPr>
                <w:rFonts w:hint="eastAsia" w:ascii="宋体" w:hAnsi="宋体"/>
                <w:color w:val="000000"/>
                <w:kern w:val="0"/>
                <w:sz w:val="24"/>
              </w:rPr>
              <w:t>网络摄像机供电方式支持POE；</w:t>
            </w:r>
          </w:p>
          <w:p>
            <w:pPr>
              <w:widowControl/>
              <w:jc w:val="left"/>
              <w:rPr>
                <w:rFonts w:hint="eastAsia" w:ascii="宋体" w:hAnsi="宋体"/>
                <w:color w:val="000000"/>
                <w:kern w:val="0"/>
                <w:sz w:val="24"/>
              </w:rPr>
            </w:pPr>
            <w:r>
              <w:rPr>
                <w:rFonts w:hint="eastAsia" w:ascii="宋体" w:hAnsi="宋体"/>
                <w:color w:val="000000"/>
                <w:kern w:val="0"/>
                <w:sz w:val="24"/>
              </w:rPr>
              <w:t>支持红外补光；</w:t>
            </w:r>
          </w:p>
          <w:p>
            <w:pPr>
              <w:widowControl/>
              <w:jc w:val="left"/>
              <w:rPr>
                <w:rFonts w:hint="eastAsia" w:ascii="宋体" w:hAnsi="宋体"/>
                <w:color w:val="000000"/>
                <w:kern w:val="0"/>
                <w:sz w:val="24"/>
              </w:rPr>
            </w:pPr>
            <w:r>
              <w:rPr>
                <w:rFonts w:hint="eastAsia" w:ascii="宋体" w:hAnsi="宋体"/>
                <w:color w:val="000000"/>
                <w:kern w:val="0"/>
                <w:sz w:val="24"/>
              </w:rPr>
              <w:t>视频编码支持H.264和H.265；</w:t>
            </w:r>
          </w:p>
          <w:p>
            <w:pPr>
              <w:widowControl/>
              <w:jc w:val="left"/>
              <w:rPr>
                <w:rFonts w:hint="eastAsia" w:ascii="宋体" w:hAnsi="宋体"/>
                <w:color w:val="000000"/>
                <w:kern w:val="0"/>
                <w:sz w:val="24"/>
              </w:rPr>
            </w:pPr>
            <w:r>
              <w:rPr>
                <w:rFonts w:hint="eastAsia" w:ascii="宋体" w:hAnsi="宋体"/>
                <w:color w:val="000000"/>
                <w:kern w:val="0"/>
                <w:sz w:val="24"/>
              </w:rPr>
              <w:t>支持宽动态、背光补偿、区域遮盖等；</w:t>
            </w:r>
          </w:p>
          <w:p>
            <w:pPr>
              <w:widowControl/>
              <w:jc w:val="left"/>
              <w:rPr>
                <w:rFonts w:hint="eastAsia" w:ascii="宋体" w:hAnsi="宋体"/>
                <w:color w:val="000000"/>
                <w:kern w:val="0"/>
                <w:sz w:val="24"/>
              </w:rPr>
            </w:pPr>
            <w:r>
              <w:rPr>
                <w:rFonts w:hint="eastAsia" w:ascii="宋体" w:hAnsi="宋体"/>
                <w:color w:val="000000"/>
                <w:kern w:val="0"/>
                <w:sz w:val="24"/>
              </w:rPr>
              <w:t>支持区域入侵侦测、越界侦测、移动侦测等智能侦测功能；</w:t>
            </w:r>
          </w:p>
          <w:p>
            <w:pPr>
              <w:widowControl/>
              <w:jc w:val="left"/>
              <w:rPr>
                <w:rFonts w:hint="eastAsia" w:ascii="宋体" w:hAnsi="宋体"/>
                <w:color w:val="000000"/>
                <w:kern w:val="0"/>
                <w:sz w:val="24"/>
              </w:rPr>
            </w:pPr>
            <w:r>
              <w:rPr>
                <w:rFonts w:hint="eastAsia" w:ascii="宋体" w:hAnsi="宋体"/>
                <w:color w:val="000000"/>
                <w:kern w:val="0"/>
                <w:sz w:val="24"/>
              </w:rPr>
              <w:t>支持3D数字降噪；</w:t>
            </w:r>
          </w:p>
          <w:p>
            <w:pPr>
              <w:widowControl/>
              <w:jc w:val="left"/>
              <w:rPr>
                <w:rFonts w:hint="eastAsia" w:ascii="宋体" w:hAnsi="宋体"/>
                <w:color w:val="000000"/>
                <w:kern w:val="0"/>
                <w:sz w:val="24"/>
              </w:rPr>
            </w:pPr>
            <w:r>
              <w:rPr>
                <w:rFonts w:hint="eastAsia" w:ascii="宋体" w:hAnsi="宋体"/>
                <w:color w:val="000000"/>
                <w:kern w:val="0"/>
                <w:sz w:val="24"/>
              </w:rPr>
              <w:t>支持三码流同时输出；</w:t>
            </w:r>
          </w:p>
          <w:p>
            <w:pPr>
              <w:widowControl/>
              <w:jc w:val="left"/>
              <w:rPr>
                <w:rFonts w:hint="eastAsia" w:ascii="宋体" w:hAnsi="宋体"/>
                <w:color w:val="000000"/>
                <w:kern w:val="0"/>
                <w:sz w:val="24"/>
              </w:rPr>
            </w:pPr>
            <w:r>
              <w:rPr>
                <w:rFonts w:hint="eastAsia" w:ascii="宋体" w:hAnsi="宋体"/>
                <w:color w:val="000000"/>
                <w:kern w:val="0"/>
                <w:sz w:val="24"/>
              </w:rPr>
              <w:t>外壳防护等级不低于IP66；</w:t>
            </w:r>
          </w:p>
          <w:p>
            <w:pPr>
              <w:widowControl/>
              <w:jc w:val="left"/>
              <w:rPr>
                <w:rFonts w:hint="eastAsia" w:ascii="宋体" w:hAnsi="宋体"/>
                <w:color w:val="000000"/>
                <w:kern w:val="0"/>
                <w:sz w:val="24"/>
              </w:rPr>
            </w:pPr>
            <w:r>
              <w:rPr>
                <w:rFonts w:hint="eastAsia" w:ascii="宋体" w:hAnsi="宋体"/>
                <w:color w:val="000000"/>
                <w:kern w:val="0"/>
                <w:sz w:val="24"/>
              </w:rPr>
              <w:t>协议支持：ONVIF、GB/T28181；</w:t>
            </w:r>
          </w:p>
          <w:p>
            <w:pPr>
              <w:widowControl/>
              <w:jc w:val="left"/>
              <w:rPr>
                <w:rFonts w:hint="eastAsia" w:ascii="宋体" w:hAnsi="宋体"/>
                <w:color w:val="000000"/>
                <w:kern w:val="0"/>
                <w:sz w:val="24"/>
              </w:rPr>
            </w:pPr>
            <w:r>
              <w:rPr>
                <w:rFonts w:hint="eastAsia" w:ascii="宋体" w:hAnsi="宋体"/>
                <w:color w:val="000000"/>
                <w:kern w:val="0"/>
                <w:sz w:val="24"/>
              </w:rPr>
              <w:t>产品需包含壁装支架以及电源模块。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hint="eastAsia" w:ascii="宋体" w:hAnsi="宋体"/>
                <w:color w:val="000000"/>
                <w:kern w:val="0"/>
                <w:szCs w:val="24"/>
              </w:rPr>
              <w:t>2</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普通球机</w:t>
            </w:r>
          </w:p>
        </w:tc>
        <w:tc>
          <w:tcPr>
            <w:tcW w:w="3547" w:type="pct"/>
          </w:tcPr>
          <w:p>
            <w:pPr>
              <w:widowControl/>
              <w:jc w:val="left"/>
              <w:rPr>
                <w:rFonts w:hint="eastAsia" w:ascii="宋体" w:hAnsi="宋体"/>
                <w:color w:val="000000"/>
                <w:kern w:val="0"/>
                <w:sz w:val="24"/>
              </w:rPr>
            </w:pPr>
            <w:r>
              <w:rPr>
                <w:rFonts w:hint="eastAsia" w:ascii="宋体" w:hAnsi="宋体"/>
                <w:color w:val="000000"/>
                <w:kern w:val="0"/>
                <w:sz w:val="24"/>
              </w:rPr>
              <w:t>400万像素CMOS传感器，尺寸大于等于 1/</w:t>
            </w:r>
            <w:r>
              <w:rPr>
                <w:rFonts w:ascii="宋体" w:hAnsi="宋体"/>
                <w:color w:val="000000"/>
                <w:kern w:val="0"/>
                <w:sz w:val="24"/>
              </w:rPr>
              <w:t>3</w:t>
            </w:r>
            <w:r>
              <w:rPr>
                <w:rFonts w:hint="eastAsia" w:ascii="宋体" w:hAnsi="宋体"/>
                <w:color w:val="000000"/>
                <w:kern w:val="0"/>
                <w:sz w:val="24"/>
              </w:rPr>
              <w:t>＂；支持23倍及以上光学变倍；</w:t>
            </w:r>
          </w:p>
          <w:p>
            <w:pPr>
              <w:widowControl/>
              <w:jc w:val="left"/>
              <w:rPr>
                <w:rFonts w:hint="eastAsia" w:ascii="宋体" w:hAnsi="宋体"/>
                <w:color w:val="000000"/>
                <w:kern w:val="0"/>
                <w:sz w:val="24"/>
              </w:rPr>
            </w:pPr>
            <w:r>
              <w:rPr>
                <w:rFonts w:hint="eastAsia" w:ascii="宋体" w:hAnsi="宋体"/>
                <w:color w:val="000000"/>
                <w:kern w:val="0"/>
                <w:sz w:val="24"/>
              </w:rPr>
              <w:t>支持红外补光，补光距离不低于40米，且红外灯开启后不影响画面清晰通透，画面无红斑；</w:t>
            </w:r>
          </w:p>
          <w:p>
            <w:pPr>
              <w:widowControl/>
              <w:jc w:val="left"/>
              <w:rPr>
                <w:rFonts w:hint="eastAsia" w:ascii="宋体" w:hAnsi="宋体"/>
                <w:color w:val="000000"/>
                <w:kern w:val="0"/>
                <w:sz w:val="24"/>
              </w:rPr>
            </w:pPr>
            <w:r>
              <w:rPr>
                <w:rFonts w:hint="eastAsia" w:ascii="宋体" w:hAnsi="宋体"/>
                <w:color w:val="000000"/>
                <w:kern w:val="0"/>
                <w:sz w:val="24"/>
              </w:rPr>
              <w:t>支持360°水平旋转，-15°-90°垂直转动；</w:t>
            </w:r>
          </w:p>
          <w:p>
            <w:pPr>
              <w:widowControl/>
              <w:jc w:val="left"/>
              <w:rPr>
                <w:rFonts w:hint="eastAsia" w:ascii="宋体" w:hAnsi="宋体"/>
                <w:color w:val="000000"/>
                <w:kern w:val="0"/>
                <w:sz w:val="24"/>
              </w:rPr>
            </w:pPr>
            <w:r>
              <w:rPr>
                <w:rFonts w:hint="eastAsia" w:ascii="宋体" w:hAnsi="宋体"/>
                <w:color w:val="000000"/>
                <w:kern w:val="0"/>
                <w:sz w:val="24"/>
              </w:rPr>
              <w:t>支持3D定位，通过框选目标实现快速放大定位；</w:t>
            </w:r>
          </w:p>
          <w:p>
            <w:pPr>
              <w:widowControl/>
              <w:jc w:val="left"/>
              <w:rPr>
                <w:rFonts w:hint="eastAsia" w:ascii="宋体" w:hAnsi="宋体"/>
                <w:color w:val="000000"/>
                <w:kern w:val="0"/>
                <w:sz w:val="24"/>
              </w:rPr>
            </w:pPr>
            <w:r>
              <w:rPr>
                <w:rFonts w:hint="eastAsia" w:ascii="宋体" w:hAnsi="宋体"/>
                <w:color w:val="000000"/>
                <w:kern w:val="0"/>
                <w:sz w:val="24"/>
              </w:rPr>
              <w:t>支持宽动态、背光补偿；</w:t>
            </w:r>
          </w:p>
          <w:p>
            <w:pPr>
              <w:widowControl/>
              <w:jc w:val="left"/>
              <w:rPr>
                <w:rFonts w:hint="eastAsia" w:ascii="宋体" w:hAnsi="宋体"/>
                <w:color w:val="000000"/>
                <w:kern w:val="0"/>
                <w:sz w:val="24"/>
              </w:rPr>
            </w:pPr>
            <w:r>
              <w:rPr>
                <w:rFonts w:hint="eastAsia" w:ascii="宋体" w:hAnsi="宋体"/>
                <w:color w:val="000000"/>
                <w:kern w:val="0"/>
                <w:sz w:val="24"/>
              </w:rPr>
              <w:t>支持区域入侵侦测、越界侦测、移动侦测等智能侦测功能；</w:t>
            </w:r>
          </w:p>
          <w:p>
            <w:pPr>
              <w:widowControl/>
              <w:jc w:val="left"/>
              <w:rPr>
                <w:rFonts w:hint="eastAsia" w:ascii="宋体" w:hAnsi="宋体"/>
                <w:color w:val="000000"/>
                <w:kern w:val="0"/>
                <w:sz w:val="24"/>
              </w:rPr>
            </w:pPr>
            <w:r>
              <w:rPr>
                <w:rFonts w:hint="eastAsia" w:ascii="宋体" w:hAnsi="宋体"/>
                <w:color w:val="000000"/>
                <w:kern w:val="0"/>
                <w:sz w:val="24"/>
              </w:rPr>
              <w:t>支持设置预置点、云台守望、云台限位、隐私遮挡、巡航等功能；</w:t>
            </w:r>
          </w:p>
          <w:p>
            <w:pPr>
              <w:widowControl/>
              <w:jc w:val="left"/>
              <w:rPr>
                <w:rFonts w:hint="eastAsia" w:ascii="宋体" w:hAnsi="宋体"/>
                <w:color w:val="000000"/>
                <w:kern w:val="0"/>
                <w:sz w:val="24"/>
              </w:rPr>
            </w:pPr>
            <w:r>
              <w:rPr>
                <w:rFonts w:hint="eastAsia" w:ascii="宋体" w:hAnsi="宋体"/>
                <w:color w:val="000000"/>
                <w:kern w:val="0"/>
                <w:sz w:val="24"/>
              </w:rPr>
              <w:t>支持三码流同时输出；</w:t>
            </w:r>
          </w:p>
          <w:p>
            <w:pPr>
              <w:widowControl/>
              <w:jc w:val="left"/>
              <w:rPr>
                <w:rFonts w:hint="eastAsia" w:ascii="宋体" w:hAnsi="宋体"/>
                <w:color w:val="000000"/>
                <w:kern w:val="0"/>
                <w:sz w:val="24"/>
              </w:rPr>
            </w:pPr>
            <w:r>
              <w:rPr>
                <w:rFonts w:hint="eastAsia" w:ascii="宋体" w:hAnsi="宋体"/>
                <w:color w:val="000000"/>
                <w:kern w:val="0"/>
                <w:sz w:val="24"/>
              </w:rPr>
              <w:t>支持3D数字降噪；</w:t>
            </w:r>
          </w:p>
          <w:p>
            <w:pPr>
              <w:widowControl/>
              <w:jc w:val="left"/>
              <w:rPr>
                <w:rFonts w:hint="eastAsia" w:ascii="宋体" w:hAnsi="宋体"/>
                <w:color w:val="000000"/>
                <w:kern w:val="0"/>
                <w:sz w:val="24"/>
              </w:rPr>
            </w:pPr>
            <w:r>
              <w:rPr>
                <w:rFonts w:hint="eastAsia" w:ascii="宋体" w:hAnsi="宋体"/>
                <w:color w:val="000000"/>
                <w:kern w:val="0"/>
                <w:sz w:val="24"/>
              </w:rPr>
              <w:t>视频编码支持H.264和H.265；</w:t>
            </w:r>
          </w:p>
          <w:p>
            <w:pPr>
              <w:widowControl/>
              <w:jc w:val="left"/>
              <w:rPr>
                <w:rFonts w:hint="eastAsia" w:ascii="宋体" w:hAnsi="宋体"/>
                <w:color w:val="000000"/>
                <w:kern w:val="0"/>
                <w:sz w:val="24"/>
              </w:rPr>
            </w:pPr>
            <w:r>
              <w:rPr>
                <w:rFonts w:hint="eastAsia" w:ascii="宋体" w:hAnsi="宋体"/>
                <w:color w:val="000000"/>
                <w:kern w:val="0"/>
                <w:sz w:val="24"/>
              </w:rPr>
              <w:t>外壳防护等级不低于IP66；</w:t>
            </w:r>
          </w:p>
          <w:p>
            <w:pPr>
              <w:widowControl/>
              <w:jc w:val="left"/>
              <w:rPr>
                <w:rFonts w:hint="eastAsia" w:ascii="宋体" w:hAnsi="宋体"/>
                <w:color w:val="000000"/>
                <w:kern w:val="0"/>
                <w:sz w:val="24"/>
              </w:rPr>
            </w:pPr>
            <w:r>
              <w:rPr>
                <w:rFonts w:hint="eastAsia" w:ascii="宋体" w:hAnsi="宋体"/>
                <w:color w:val="000000"/>
                <w:kern w:val="0"/>
                <w:sz w:val="24"/>
              </w:rPr>
              <w:t>协议支持：ONVIF、GB/T28181；</w:t>
            </w:r>
          </w:p>
          <w:p>
            <w:pPr>
              <w:widowControl/>
              <w:jc w:val="left"/>
              <w:rPr>
                <w:rFonts w:hint="eastAsia" w:ascii="宋体" w:hAnsi="宋体"/>
                <w:color w:val="000000"/>
                <w:kern w:val="0"/>
                <w:sz w:val="24"/>
              </w:rPr>
            </w:pPr>
            <w:r>
              <w:rPr>
                <w:rFonts w:hint="eastAsia" w:ascii="宋体" w:hAnsi="宋体"/>
                <w:color w:val="000000"/>
                <w:kern w:val="0"/>
                <w:sz w:val="24"/>
              </w:rPr>
              <w:t>支持吊装或墙装，配备吊装或壁装支架，以及电源模块。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ascii="宋体" w:hAnsi="宋体"/>
                <w:color w:val="000000"/>
                <w:kern w:val="0"/>
                <w:szCs w:val="24"/>
              </w:rPr>
              <w:t>3</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半球式摄像机</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400万像素CMOS传感器，尺寸大于等于 1/3＂；</w:t>
            </w:r>
          </w:p>
          <w:p>
            <w:pPr>
              <w:widowControl/>
              <w:jc w:val="left"/>
              <w:rPr>
                <w:rFonts w:hint="eastAsia" w:ascii="宋体" w:hAnsi="宋体" w:cs="宋体"/>
                <w:color w:val="000000"/>
                <w:kern w:val="0"/>
                <w:sz w:val="24"/>
              </w:rPr>
            </w:pPr>
            <w:r>
              <w:rPr>
                <w:rFonts w:hint="eastAsia" w:ascii="宋体" w:hAnsi="宋体" w:cs="宋体"/>
                <w:color w:val="000000"/>
                <w:kern w:val="0"/>
                <w:sz w:val="24"/>
              </w:rPr>
              <w:t>镜头焦距2.8/4/6</w:t>
            </w:r>
            <w:r>
              <w:rPr>
                <w:rFonts w:ascii="宋体" w:hAnsi="宋体" w:cs="宋体"/>
                <w:color w:val="000000"/>
                <w:kern w:val="0"/>
                <w:sz w:val="24"/>
              </w:rPr>
              <w:t>mm</w:t>
            </w:r>
            <w:r>
              <w:rPr>
                <w:rFonts w:hint="eastAsia" w:ascii="宋体" w:hAnsi="宋体" w:cs="宋体"/>
                <w:color w:val="000000"/>
                <w:kern w:val="0"/>
                <w:sz w:val="24"/>
              </w:rPr>
              <w:t>可选；</w:t>
            </w:r>
          </w:p>
          <w:p>
            <w:pPr>
              <w:widowControl/>
              <w:jc w:val="left"/>
              <w:rPr>
                <w:rFonts w:hint="eastAsia" w:ascii="宋体" w:hAnsi="宋体" w:cs="宋体"/>
                <w:color w:val="000000"/>
                <w:kern w:val="0"/>
                <w:sz w:val="24"/>
              </w:rPr>
            </w:pPr>
            <w:r>
              <w:rPr>
                <w:rFonts w:hint="eastAsia" w:ascii="宋体" w:hAnsi="宋体" w:cs="宋体"/>
                <w:color w:val="000000"/>
                <w:kern w:val="0"/>
                <w:sz w:val="24"/>
              </w:rPr>
              <w:t>支持红外补光；</w:t>
            </w:r>
          </w:p>
          <w:p>
            <w:pPr>
              <w:widowControl/>
              <w:jc w:val="left"/>
              <w:rPr>
                <w:rFonts w:hint="eastAsia" w:ascii="宋体" w:hAnsi="宋体" w:cs="宋体"/>
                <w:color w:val="000000"/>
                <w:kern w:val="0"/>
                <w:sz w:val="24"/>
              </w:rPr>
            </w:pPr>
            <w:r>
              <w:rPr>
                <w:rFonts w:hint="eastAsia" w:ascii="宋体" w:hAnsi="宋体" w:cs="宋体"/>
                <w:color w:val="000000"/>
                <w:kern w:val="0"/>
                <w:sz w:val="24"/>
              </w:rPr>
              <w:t>网络摄像机供电方式支持POE；</w:t>
            </w:r>
          </w:p>
          <w:p>
            <w:pPr>
              <w:widowControl/>
              <w:jc w:val="left"/>
              <w:rPr>
                <w:rFonts w:hint="eastAsia" w:ascii="宋体" w:hAnsi="宋体" w:cs="宋体"/>
                <w:color w:val="000000"/>
                <w:kern w:val="0"/>
                <w:sz w:val="24"/>
              </w:rPr>
            </w:pPr>
            <w:r>
              <w:rPr>
                <w:rFonts w:hint="eastAsia" w:ascii="宋体" w:hAnsi="宋体" w:cs="宋体"/>
                <w:color w:val="000000"/>
                <w:kern w:val="0"/>
                <w:sz w:val="24"/>
              </w:rPr>
              <w:t>视频编码支持H.264和H.265；</w:t>
            </w:r>
          </w:p>
          <w:p>
            <w:pPr>
              <w:widowControl/>
              <w:jc w:val="left"/>
              <w:rPr>
                <w:rFonts w:hint="eastAsia" w:ascii="宋体" w:hAnsi="宋体" w:cs="宋体"/>
                <w:color w:val="000000"/>
                <w:kern w:val="0"/>
                <w:sz w:val="24"/>
              </w:rPr>
            </w:pPr>
            <w:r>
              <w:rPr>
                <w:rFonts w:hint="eastAsia" w:ascii="宋体" w:hAnsi="宋体" w:cs="宋体"/>
                <w:color w:val="000000"/>
                <w:kern w:val="0"/>
                <w:sz w:val="24"/>
              </w:rPr>
              <w:t>支持宽动态、背光补偿、区域遮盖等；</w:t>
            </w:r>
          </w:p>
          <w:p>
            <w:pPr>
              <w:widowControl/>
              <w:jc w:val="left"/>
              <w:rPr>
                <w:rFonts w:hint="eastAsia" w:ascii="宋体" w:hAnsi="宋体" w:cs="宋体"/>
                <w:color w:val="000000"/>
                <w:kern w:val="0"/>
                <w:sz w:val="24"/>
              </w:rPr>
            </w:pPr>
            <w:r>
              <w:rPr>
                <w:rFonts w:hint="eastAsia" w:ascii="宋体" w:hAnsi="宋体" w:cs="宋体"/>
                <w:color w:val="000000"/>
                <w:kern w:val="0"/>
                <w:sz w:val="24"/>
              </w:rPr>
              <w:t>支持区域入侵侦测、越界侦测、移动侦测等智能侦测功能；</w:t>
            </w:r>
          </w:p>
          <w:p>
            <w:pPr>
              <w:widowControl/>
              <w:jc w:val="left"/>
              <w:rPr>
                <w:rFonts w:hint="eastAsia" w:ascii="宋体" w:hAnsi="宋体" w:cs="宋体"/>
                <w:color w:val="000000"/>
                <w:kern w:val="0"/>
                <w:sz w:val="24"/>
              </w:rPr>
            </w:pPr>
            <w:r>
              <w:rPr>
                <w:rFonts w:hint="eastAsia" w:ascii="宋体" w:hAnsi="宋体" w:cs="宋体"/>
                <w:color w:val="000000"/>
                <w:kern w:val="0"/>
                <w:sz w:val="24"/>
              </w:rPr>
              <w:t>支持3D数字降噪；</w:t>
            </w:r>
          </w:p>
          <w:p>
            <w:pPr>
              <w:widowControl/>
              <w:jc w:val="left"/>
              <w:rPr>
                <w:rFonts w:hint="eastAsia" w:ascii="宋体" w:hAnsi="宋体" w:cs="宋体"/>
                <w:color w:val="000000"/>
                <w:kern w:val="0"/>
                <w:sz w:val="24"/>
              </w:rPr>
            </w:pPr>
            <w:r>
              <w:rPr>
                <w:rFonts w:hint="eastAsia" w:ascii="宋体" w:hAnsi="宋体" w:cs="宋体"/>
                <w:color w:val="000000"/>
                <w:kern w:val="0"/>
                <w:sz w:val="24"/>
              </w:rPr>
              <w:t>支持三码流同时输出；</w:t>
            </w:r>
          </w:p>
          <w:p>
            <w:pPr>
              <w:widowControl/>
              <w:jc w:val="left"/>
              <w:rPr>
                <w:rFonts w:hint="eastAsia" w:ascii="宋体" w:hAnsi="宋体" w:cs="宋体"/>
                <w:color w:val="000000"/>
                <w:kern w:val="0"/>
                <w:sz w:val="24"/>
              </w:rPr>
            </w:pPr>
            <w:r>
              <w:rPr>
                <w:rFonts w:hint="eastAsia" w:ascii="宋体" w:hAnsi="宋体" w:cs="宋体"/>
                <w:color w:val="000000"/>
                <w:kern w:val="0"/>
                <w:sz w:val="24"/>
              </w:rPr>
              <w:t>外壳防护等级不低于IP66；</w:t>
            </w:r>
          </w:p>
          <w:p>
            <w:pPr>
              <w:widowControl/>
              <w:jc w:val="left"/>
              <w:rPr>
                <w:rFonts w:hint="eastAsia" w:ascii="宋体" w:hAnsi="宋体" w:cs="宋体"/>
                <w:color w:val="000000"/>
                <w:kern w:val="0"/>
                <w:sz w:val="24"/>
              </w:rPr>
            </w:pPr>
            <w:r>
              <w:rPr>
                <w:rFonts w:hint="eastAsia" w:ascii="宋体" w:hAnsi="宋体" w:cs="宋体"/>
                <w:color w:val="000000"/>
                <w:kern w:val="0"/>
                <w:sz w:val="24"/>
              </w:rPr>
              <w:t>需集成拾音器和喇叭，并且支持语音对讲功能；</w:t>
            </w:r>
          </w:p>
          <w:p>
            <w:pPr>
              <w:widowControl/>
              <w:jc w:val="left"/>
              <w:rPr>
                <w:rFonts w:hint="eastAsia" w:ascii="宋体" w:hAnsi="宋体" w:cs="宋体"/>
                <w:color w:val="000000"/>
                <w:kern w:val="0"/>
                <w:sz w:val="24"/>
              </w:rPr>
            </w:pPr>
            <w:r>
              <w:rPr>
                <w:rFonts w:hint="eastAsia" w:ascii="宋体" w:hAnsi="宋体" w:cs="宋体"/>
                <w:color w:val="000000"/>
                <w:kern w:val="0"/>
                <w:sz w:val="24"/>
              </w:rPr>
              <w:t>协议支持：ONVIF、GB/T28181；</w:t>
            </w:r>
          </w:p>
          <w:p>
            <w:pPr>
              <w:widowControl/>
              <w:jc w:val="left"/>
              <w:rPr>
                <w:rFonts w:hint="eastAsia" w:ascii="宋体" w:hAnsi="宋体" w:cs="宋体"/>
                <w:color w:val="000000"/>
                <w:kern w:val="0"/>
                <w:sz w:val="24"/>
              </w:rPr>
            </w:pPr>
            <w:r>
              <w:rPr>
                <w:rFonts w:hint="eastAsia" w:ascii="宋体" w:hAnsi="宋体" w:cs="宋体"/>
                <w:color w:val="000000"/>
                <w:kern w:val="0"/>
                <w:sz w:val="24"/>
              </w:rPr>
              <w:t>配备电源模块。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ascii="宋体" w:hAnsi="宋体"/>
                <w:color w:val="000000"/>
                <w:kern w:val="0"/>
                <w:szCs w:val="24"/>
              </w:rPr>
              <w:t>4</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防爆枪机</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400万像素CMOS传感器，尺寸大于等于1/3"；</w:t>
            </w:r>
          </w:p>
          <w:p>
            <w:pPr>
              <w:widowControl/>
              <w:jc w:val="left"/>
              <w:rPr>
                <w:rFonts w:hint="eastAsia" w:ascii="宋体" w:hAnsi="宋体" w:cs="宋体"/>
                <w:color w:val="000000"/>
                <w:kern w:val="0"/>
                <w:sz w:val="24"/>
              </w:rPr>
            </w:pPr>
            <w:r>
              <w:rPr>
                <w:rFonts w:hint="eastAsia" w:ascii="宋体" w:hAnsi="宋体" w:cs="宋体"/>
                <w:color w:val="000000"/>
                <w:kern w:val="0"/>
                <w:sz w:val="24"/>
              </w:rPr>
              <w:t>镜头焦距至少支持四倍变焦，最小焦距≤4mm；</w:t>
            </w:r>
          </w:p>
          <w:p>
            <w:pPr>
              <w:widowControl/>
              <w:jc w:val="left"/>
              <w:rPr>
                <w:rFonts w:hint="eastAsia" w:ascii="宋体" w:hAnsi="宋体" w:cs="宋体"/>
                <w:color w:val="000000"/>
                <w:kern w:val="0"/>
                <w:sz w:val="24"/>
              </w:rPr>
            </w:pPr>
            <w:r>
              <w:rPr>
                <w:rFonts w:hint="eastAsia" w:ascii="宋体" w:hAnsi="宋体" w:cs="宋体"/>
                <w:color w:val="000000"/>
                <w:kern w:val="0"/>
                <w:sz w:val="24"/>
              </w:rPr>
              <w:t>支持红外补光；</w:t>
            </w:r>
          </w:p>
          <w:p>
            <w:pPr>
              <w:widowControl/>
              <w:jc w:val="left"/>
              <w:rPr>
                <w:rFonts w:hint="eastAsia" w:ascii="宋体" w:hAnsi="宋体" w:cs="宋体"/>
                <w:color w:val="000000"/>
                <w:kern w:val="0"/>
                <w:sz w:val="24"/>
              </w:rPr>
            </w:pPr>
            <w:r>
              <w:rPr>
                <w:rFonts w:hint="eastAsia" w:ascii="宋体" w:hAnsi="宋体" w:cs="宋体"/>
                <w:color w:val="000000"/>
                <w:kern w:val="0"/>
                <w:sz w:val="24"/>
              </w:rPr>
              <w:t>网络摄像机供电方式支持POE；</w:t>
            </w:r>
          </w:p>
          <w:p>
            <w:pPr>
              <w:widowControl/>
              <w:jc w:val="left"/>
              <w:rPr>
                <w:rFonts w:hint="eastAsia" w:ascii="宋体" w:hAnsi="宋体" w:cs="宋体"/>
                <w:color w:val="000000"/>
                <w:kern w:val="0"/>
                <w:sz w:val="24"/>
              </w:rPr>
            </w:pPr>
            <w:r>
              <w:rPr>
                <w:rFonts w:hint="eastAsia" w:ascii="宋体" w:hAnsi="宋体" w:cs="宋体"/>
                <w:color w:val="000000"/>
                <w:kern w:val="0"/>
                <w:sz w:val="24"/>
              </w:rPr>
              <w:t>视频编码支持H.264和H.265；</w:t>
            </w:r>
          </w:p>
          <w:p>
            <w:pPr>
              <w:widowControl/>
              <w:jc w:val="left"/>
              <w:rPr>
                <w:rFonts w:hint="eastAsia" w:ascii="宋体" w:hAnsi="宋体" w:cs="宋体"/>
                <w:color w:val="000000"/>
                <w:kern w:val="0"/>
                <w:sz w:val="24"/>
              </w:rPr>
            </w:pPr>
            <w:r>
              <w:rPr>
                <w:rFonts w:hint="eastAsia" w:ascii="宋体" w:hAnsi="宋体" w:cs="宋体"/>
                <w:color w:val="000000"/>
                <w:kern w:val="0"/>
                <w:sz w:val="24"/>
              </w:rPr>
              <w:t>支持宽动态、背光补偿、区域遮盖、移动侦测、区域入侵、越界侦测等功能；</w:t>
            </w:r>
          </w:p>
          <w:p>
            <w:pPr>
              <w:widowControl/>
              <w:jc w:val="left"/>
              <w:rPr>
                <w:rFonts w:hint="eastAsia" w:ascii="宋体" w:hAnsi="宋体" w:cs="宋体"/>
                <w:color w:val="000000"/>
                <w:kern w:val="0"/>
                <w:sz w:val="24"/>
              </w:rPr>
            </w:pPr>
            <w:r>
              <w:rPr>
                <w:rFonts w:hint="eastAsia" w:ascii="宋体" w:hAnsi="宋体" w:cs="宋体"/>
                <w:color w:val="000000"/>
                <w:kern w:val="0"/>
                <w:sz w:val="24"/>
              </w:rPr>
              <w:t>支持3D数字降噪；</w:t>
            </w:r>
          </w:p>
          <w:p>
            <w:pPr>
              <w:widowControl/>
              <w:jc w:val="left"/>
              <w:rPr>
                <w:rFonts w:hint="eastAsia" w:ascii="宋体" w:hAnsi="宋体" w:cs="宋体"/>
                <w:color w:val="000000"/>
                <w:kern w:val="0"/>
                <w:sz w:val="24"/>
              </w:rPr>
            </w:pPr>
            <w:r>
              <w:rPr>
                <w:rFonts w:hint="eastAsia" w:ascii="宋体" w:hAnsi="宋体" w:cs="宋体"/>
                <w:color w:val="000000"/>
                <w:kern w:val="0"/>
                <w:sz w:val="24"/>
              </w:rPr>
              <w:t>支持三码流同时输出；</w:t>
            </w:r>
          </w:p>
          <w:p>
            <w:pPr>
              <w:widowControl/>
              <w:jc w:val="left"/>
              <w:rPr>
                <w:rFonts w:hint="eastAsia" w:ascii="宋体" w:hAnsi="宋体" w:cs="宋体"/>
                <w:color w:val="000000"/>
                <w:kern w:val="0"/>
                <w:sz w:val="24"/>
              </w:rPr>
            </w:pPr>
            <w:r>
              <w:rPr>
                <w:rFonts w:hint="eastAsia" w:ascii="宋体" w:hAnsi="宋体" w:cs="宋体"/>
                <w:color w:val="000000"/>
                <w:kern w:val="0"/>
                <w:sz w:val="24"/>
              </w:rPr>
              <w:t>外壳防护等级不低于IP68；</w:t>
            </w:r>
          </w:p>
          <w:p>
            <w:pPr>
              <w:widowControl/>
              <w:jc w:val="left"/>
              <w:rPr>
                <w:rFonts w:hint="eastAsia" w:ascii="宋体" w:hAnsi="宋体" w:cs="宋体"/>
                <w:color w:val="000000"/>
                <w:kern w:val="0"/>
                <w:sz w:val="24"/>
              </w:rPr>
            </w:pPr>
            <w:r>
              <w:rPr>
                <w:rFonts w:hint="eastAsia" w:ascii="宋体" w:hAnsi="宋体" w:cs="宋体"/>
                <w:color w:val="000000"/>
                <w:kern w:val="0"/>
                <w:sz w:val="24"/>
              </w:rPr>
              <w:t>304或316L不锈钢材质，满足Ex dⅡC T6 Gb/ Ex tD A21 IP68 T80℃；</w:t>
            </w:r>
          </w:p>
          <w:p>
            <w:pPr>
              <w:widowControl/>
              <w:jc w:val="left"/>
              <w:rPr>
                <w:rFonts w:hint="eastAsia" w:ascii="宋体" w:hAnsi="宋体" w:cs="宋体"/>
                <w:color w:val="000000"/>
                <w:kern w:val="0"/>
                <w:sz w:val="24"/>
              </w:rPr>
            </w:pPr>
            <w:r>
              <w:rPr>
                <w:rFonts w:hint="eastAsia" w:ascii="宋体" w:hAnsi="宋体" w:cs="宋体"/>
                <w:color w:val="000000"/>
                <w:kern w:val="0"/>
                <w:sz w:val="24"/>
              </w:rPr>
              <w:t>协议支持：至少支持ONVIF、GB/T28181；</w:t>
            </w:r>
          </w:p>
          <w:p>
            <w:pPr>
              <w:widowControl/>
              <w:jc w:val="left"/>
              <w:rPr>
                <w:rFonts w:hint="eastAsia" w:ascii="宋体" w:hAnsi="宋体" w:cs="宋体"/>
                <w:color w:val="000000"/>
                <w:kern w:val="0"/>
                <w:sz w:val="24"/>
              </w:rPr>
            </w:pPr>
            <w:r>
              <w:rPr>
                <w:rFonts w:hint="eastAsia" w:ascii="宋体" w:hAnsi="宋体" w:cs="宋体"/>
                <w:color w:val="000000"/>
                <w:kern w:val="0"/>
                <w:sz w:val="24"/>
              </w:rPr>
              <w:t>具有1对音频输入输出、1对报警输入输出接口；</w:t>
            </w:r>
          </w:p>
          <w:p>
            <w:pPr>
              <w:widowControl/>
              <w:jc w:val="left"/>
              <w:rPr>
                <w:rFonts w:hint="eastAsia" w:ascii="宋体" w:hAnsi="宋体" w:cs="宋体"/>
                <w:color w:val="000000"/>
                <w:kern w:val="0"/>
                <w:sz w:val="24"/>
              </w:rPr>
            </w:pPr>
            <w:r>
              <w:rPr>
                <w:rFonts w:hint="eastAsia" w:ascii="宋体" w:hAnsi="宋体" w:cs="宋体"/>
                <w:color w:val="000000"/>
                <w:kern w:val="0"/>
                <w:sz w:val="24"/>
              </w:rPr>
              <w:t>产品需包含壁装支架以及电源模块。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ascii="宋体" w:hAnsi="宋体"/>
                <w:color w:val="000000"/>
                <w:kern w:val="0"/>
                <w:szCs w:val="24"/>
              </w:rPr>
              <w:t>5</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人脸抓拍相机</w:t>
            </w:r>
          </w:p>
        </w:tc>
        <w:tc>
          <w:tcPr>
            <w:tcW w:w="3547" w:type="pct"/>
          </w:tcPr>
          <w:p>
            <w:pPr>
              <w:widowControl/>
              <w:jc w:val="left"/>
              <w:rPr>
                <w:rFonts w:hint="eastAsia" w:ascii="宋体" w:hAnsi="宋体"/>
                <w:color w:val="000000"/>
                <w:kern w:val="0"/>
                <w:sz w:val="24"/>
              </w:rPr>
            </w:pPr>
            <w:r>
              <w:rPr>
                <w:rFonts w:hint="eastAsia" w:ascii="宋体" w:hAnsi="宋体"/>
                <w:color w:val="000000"/>
                <w:kern w:val="0"/>
                <w:sz w:val="24"/>
              </w:rPr>
              <w:t>400万像素CMOS传感器，尺寸大于等于1/1.8"；</w:t>
            </w:r>
            <w:r>
              <w:rPr>
                <w:rFonts w:hint="eastAsia" w:ascii="宋体" w:hAnsi="宋体"/>
                <w:color w:val="000000"/>
                <w:kern w:val="0"/>
                <w:sz w:val="24"/>
              </w:rPr>
              <w:br w:type="textWrapping"/>
            </w:r>
            <w:r>
              <w:rPr>
                <w:rFonts w:hint="eastAsia" w:ascii="宋体" w:hAnsi="宋体"/>
                <w:color w:val="000000"/>
                <w:kern w:val="0"/>
                <w:sz w:val="24"/>
              </w:rPr>
              <w:t>镜头支持4倍电动变焦，最小焦距≤4mm；</w:t>
            </w:r>
            <w:r>
              <w:rPr>
                <w:rFonts w:hint="eastAsia" w:ascii="宋体" w:hAnsi="宋体"/>
                <w:color w:val="000000"/>
                <w:kern w:val="0"/>
                <w:sz w:val="24"/>
              </w:rPr>
              <w:br w:type="textWrapping"/>
            </w:r>
            <w:r>
              <w:rPr>
                <w:rFonts w:hint="eastAsia" w:ascii="宋体" w:hAnsi="宋体"/>
                <w:color w:val="000000"/>
                <w:kern w:val="0"/>
                <w:sz w:val="24"/>
              </w:rPr>
              <w:t>网络摄像机供电方式支持POE；</w:t>
            </w:r>
            <w:r>
              <w:rPr>
                <w:rFonts w:hint="eastAsia" w:ascii="宋体" w:hAnsi="宋体"/>
                <w:color w:val="000000"/>
                <w:kern w:val="0"/>
                <w:sz w:val="24"/>
              </w:rPr>
              <w:br w:type="textWrapping"/>
            </w:r>
            <w:r>
              <w:rPr>
                <w:rFonts w:hint="eastAsia" w:ascii="宋体" w:hAnsi="宋体"/>
                <w:color w:val="000000"/>
                <w:kern w:val="0"/>
                <w:sz w:val="24"/>
              </w:rPr>
              <w:t>视频编码支持H.264和H.265；</w:t>
            </w:r>
            <w:r>
              <w:rPr>
                <w:rFonts w:hint="eastAsia" w:ascii="宋体" w:hAnsi="宋体"/>
                <w:color w:val="000000"/>
                <w:kern w:val="0"/>
                <w:sz w:val="24"/>
              </w:rPr>
              <w:br w:type="textWrapping"/>
            </w:r>
            <w:r>
              <w:rPr>
                <w:rFonts w:hint="eastAsia" w:ascii="宋体" w:hAnsi="宋体"/>
                <w:color w:val="000000"/>
                <w:kern w:val="0"/>
                <w:sz w:val="24"/>
              </w:rPr>
              <w:t>支持宽动态、背光补偿、区域遮盖等功能；</w:t>
            </w:r>
            <w:r>
              <w:rPr>
                <w:rFonts w:hint="eastAsia" w:ascii="宋体" w:hAnsi="宋体"/>
                <w:color w:val="000000"/>
                <w:kern w:val="0"/>
                <w:sz w:val="24"/>
              </w:rPr>
              <w:br w:type="textWrapping"/>
            </w:r>
            <w:r>
              <w:rPr>
                <w:rFonts w:hint="eastAsia" w:ascii="宋体" w:hAnsi="宋体"/>
                <w:color w:val="000000"/>
                <w:kern w:val="0"/>
                <w:sz w:val="24"/>
              </w:rPr>
              <w:t>支持3D数字降噪；</w:t>
            </w:r>
            <w:r>
              <w:rPr>
                <w:rFonts w:hint="eastAsia" w:ascii="宋体" w:hAnsi="宋体"/>
                <w:color w:val="000000"/>
                <w:kern w:val="0"/>
                <w:sz w:val="24"/>
              </w:rPr>
              <w:br w:type="textWrapping"/>
            </w:r>
            <w:r>
              <w:rPr>
                <w:rFonts w:hint="eastAsia" w:ascii="宋体" w:hAnsi="宋体"/>
                <w:color w:val="000000"/>
                <w:kern w:val="0"/>
                <w:sz w:val="24"/>
              </w:rPr>
              <w:t>支持三码流同时输出；</w:t>
            </w:r>
            <w:r>
              <w:rPr>
                <w:rFonts w:hint="eastAsia" w:ascii="宋体" w:hAnsi="宋体"/>
                <w:color w:val="000000"/>
                <w:kern w:val="0"/>
                <w:sz w:val="24"/>
              </w:rPr>
              <w:br w:type="textWrapping"/>
            </w:r>
            <w:r>
              <w:rPr>
                <w:rFonts w:hint="eastAsia" w:ascii="宋体" w:hAnsi="宋体"/>
                <w:color w:val="000000"/>
                <w:kern w:val="0"/>
                <w:sz w:val="24"/>
              </w:rPr>
              <w:t>外壳防护等级不低于IP66；</w:t>
            </w:r>
            <w:r>
              <w:rPr>
                <w:rFonts w:hint="eastAsia" w:ascii="宋体" w:hAnsi="宋体"/>
                <w:color w:val="000000"/>
                <w:kern w:val="0"/>
                <w:sz w:val="24"/>
              </w:rPr>
              <w:br w:type="textWrapping"/>
            </w:r>
            <w:r>
              <w:rPr>
                <w:rFonts w:hint="eastAsia" w:ascii="宋体" w:hAnsi="宋体"/>
                <w:color w:val="000000"/>
                <w:kern w:val="0"/>
                <w:sz w:val="24"/>
              </w:rPr>
              <w:t>协议支持：ONVIF、GB/T28181；</w:t>
            </w:r>
            <w:r>
              <w:rPr>
                <w:rFonts w:hint="eastAsia" w:ascii="宋体" w:hAnsi="宋体"/>
                <w:color w:val="000000"/>
                <w:kern w:val="0"/>
                <w:sz w:val="24"/>
              </w:rPr>
              <w:br w:type="textWrapping"/>
            </w:r>
            <w:r>
              <w:rPr>
                <w:rFonts w:hint="eastAsia" w:ascii="宋体" w:hAnsi="宋体"/>
                <w:color w:val="000000"/>
                <w:kern w:val="0"/>
                <w:sz w:val="24"/>
              </w:rPr>
              <w:t>人脸检测性能不低于同时检测30个人脸；</w:t>
            </w:r>
            <w:r>
              <w:rPr>
                <w:rFonts w:hint="eastAsia" w:ascii="宋体" w:hAnsi="宋体"/>
                <w:color w:val="000000"/>
                <w:kern w:val="0"/>
                <w:sz w:val="24"/>
              </w:rPr>
              <w:br w:type="textWrapping"/>
            </w:r>
            <w:r>
              <w:rPr>
                <w:rFonts w:hint="eastAsia" w:ascii="宋体" w:hAnsi="宋体"/>
                <w:color w:val="000000"/>
                <w:kern w:val="0"/>
                <w:sz w:val="24"/>
              </w:rPr>
              <w:t>支持对运动人脸进行检测、筛选，输出最优的人脸抓图；</w:t>
            </w:r>
          </w:p>
          <w:p>
            <w:pPr>
              <w:widowControl/>
              <w:jc w:val="left"/>
              <w:rPr>
                <w:rFonts w:hint="eastAsia" w:ascii="宋体" w:hAnsi="宋体"/>
                <w:color w:val="000000"/>
                <w:kern w:val="0"/>
                <w:sz w:val="24"/>
              </w:rPr>
            </w:pPr>
            <w:r>
              <w:rPr>
                <w:rFonts w:hint="eastAsia" w:ascii="宋体" w:hAnsi="宋体"/>
                <w:color w:val="000000"/>
                <w:kern w:val="0"/>
                <w:sz w:val="24"/>
              </w:rPr>
              <w:t>配备壁装支架以及电源模块。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ascii="宋体" w:hAnsi="宋体"/>
                <w:color w:val="000000"/>
                <w:kern w:val="0"/>
                <w:szCs w:val="24"/>
              </w:rPr>
              <w:t>6</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全局相机</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全景不小于1/1.8英寸CMOS，细节不小于1/1.8英寸CMOS；全景不低于400W像素，细节不低于400W像素；支持最低照度彩色≤0.001Lux，黑白≤0.001Lux；</w:t>
            </w:r>
          </w:p>
          <w:p>
            <w:pPr>
              <w:widowControl/>
              <w:jc w:val="left"/>
              <w:rPr>
                <w:rFonts w:hint="eastAsia" w:ascii="宋体" w:hAnsi="宋体" w:cs="宋体"/>
                <w:color w:val="000000"/>
                <w:kern w:val="0"/>
                <w:sz w:val="24"/>
              </w:rPr>
            </w:pPr>
            <w:r>
              <w:rPr>
                <w:rFonts w:hint="eastAsia" w:ascii="宋体" w:hAnsi="宋体" w:cs="宋体"/>
                <w:color w:val="000000"/>
                <w:kern w:val="0"/>
                <w:sz w:val="24"/>
              </w:rPr>
              <w:t>支持人脸检测、人脸属性提取和人脸识别；</w:t>
            </w:r>
          </w:p>
          <w:p>
            <w:pPr>
              <w:widowControl/>
              <w:jc w:val="left"/>
              <w:rPr>
                <w:rFonts w:hint="eastAsia" w:ascii="宋体" w:hAnsi="宋体" w:cs="宋体"/>
                <w:color w:val="000000"/>
                <w:kern w:val="0"/>
                <w:sz w:val="24"/>
              </w:rPr>
            </w:pPr>
            <w:r>
              <w:rPr>
                <w:rFonts w:hint="eastAsia" w:ascii="宋体" w:hAnsi="宋体" w:cs="宋体"/>
                <w:color w:val="000000"/>
                <w:kern w:val="0"/>
                <w:sz w:val="24"/>
              </w:rPr>
              <w:t>支持目标检测：包括人脸、人体和车辆的检测及抓拍，支持人体属性提取；</w:t>
            </w:r>
          </w:p>
          <w:p>
            <w:pPr>
              <w:widowControl/>
              <w:jc w:val="left"/>
              <w:rPr>
                <w:rFonts w:hint="eastAsia" w:ascii="宋体" w:hAnsi="宋体" w:cs="宋体"/>
                <w:color w:val="000000"/>
                <w:kern w:val="0"/>
                <w:sz w:val="24"/>
              </w:rPr>
            </w:pPr>
            <w:r>
              <w:rPr>
                <w:rFonts w:hint="eastAsia" w:ascii="宋体" w:hAnsi="宋体" w:cs="宋体"/>
                <w:color w:val="000000"/>
                <w:kern w:val="0"/>
                <w:sz w:val="24"/>
              </w:rPr>
              <w:t>支持视频结构化功能：支持机动车抓拍、机动车属性提取，支持非机动车抓拍、非机动车属性提取，支持人体抓拍、人体属性提取，支持人脸抓拍、人脸属性提取，支持人脸识别；</w:t>
            </w:r>
          </w:p>
          <w:p>
            <w:pPr>
              <w:widowControl/>
              <w:jc w:val="left"/>
              <w:rPr>
                <w:rFonts w:hint="eastAsia" w:ascii="宋体" w:hAnsi="宋体" w:cs="宋体"/>
                <w:color w:val="000000"/>
                <w:kern w:val="0"/>
                <w:sz w:val="24"/>
              </w:rPr>
            </w:pPr>
            <w:r>
              <w:rPr>
                <w:rFonts w:hint="eastAsia" w:ascii="宋体" w:hAnsi="宋体" w:cs="宋体"/>
                <w:color w:val="000000"/>
                <w:kern w:val="0"/>
                <w:sz w:val="24"/>
              </w:rPr>
              <w:t>配备壁装或吊装支架以及电源模块。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ascii="宋体" w:hAnsi="宋体"/>
                <w:color w:val="000000"/>
                <w:kern w:val="0"/>
                <w:szCs w:val="24"/>
              </w:rPr>
              <w:t>7</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周界相机</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400万像素CMOS传感器，尺寸大于等于 1/</w:t>
            </w:r>
            <w:r>
              <w:rPr>
                <w:rFonts w:ascii="宋体" w:hAnsi="宋体" w:cs="宋体"/>
                <w:color w:val="000000"/>
                <w:kern w:val="0"/>
                <w:sz w:val="24"/>
              </w:rPr>
              <w:t>3</w:t>
            </w:r>
            <w:r>
              <w:rPr>
                <w:rFonts w:hint="eastAsia" w:ascii="宋体" w:hAnsi="宋体" w:cs="宋体"/>
                <w:color w:val="000000"/>
                <w:kern w:val="0"/>
                <w:sz w:val="24"/>
              </w:rPr>
              <w:t>＂；</w:t>
            </w:r>
          </w:p>
          <w:p>
            <w:pPr>
              <w:widowControl/>
              <w:jc w:val="left"/>
              <w:rPr>
                <w:rFonts w:hint="eastAsia" w:ascii="宋体" w:hAnsi="宋体" w:cs="宋体"/>
                <w:color w:val="000000"/>
                <w:kern w:val="0"/>
                <w:sz w:val="24"/>
              </w:rPr>
            </w:pPr>
            <w:r>
              <w:rPr>
                <w:rFonts w:hint="eastAsia" w:ascii="宋体" w:hAnsi="宋体" w:cs="宋体"/>
                <w:color w:val="000000"/>
                <w:kern w:val="0"/>
                <w:sz w:val="24"/>
              </w:rPr>
              <w:t>镜头焦距4/6</w:t>
            </w:r>
            <w:r>
              <w:rPr>
                <w:rFonts w:ascii="宋体" w:hAnsi="宋体" w:cs="宋体"/>
                <w:color w:val="000000"/>
                <w:kern w:val="0"/>
                <w:sz w:val="24"/>
              </w:rPr>
              <w:t>/8</w:t>
            </w:r>
            <w:r>
              <w:rPr>
                <w:rFonts w:hint="eastAsia" w:ascii="宋体" w:hAnsi="宋体" w:cs="宋体"/>
                <w:color w:val="000000"/>
                <w:kern w:val="0"/>
                <w:sz w:val="24"/>
              </w:rPr>
              <w:t>mm可选；</w:t>
            </w:r>
          </w:p>
          <w:p>
            <w:pPr>
              <w:widowControl/>
              <w:jc w:val="left"/>
              <w:rPr>
                <w:rFonts w:hint="eastAsia" w:ascii="宋体" w:hAnsi="宋体" w:cs="宋体"/>
                <w:color w:val="000000"/>
                <w:kern w:val="0"/>
                <w:sz w:val="24"/>
              </w:rPr>
            </w:pPr>
            <w:r>
              <w:rPr>
                <w:rFonts w:hint="eastAsia" w:ascii="宋体" w:hAnsi="宋体" w:cs="宋体"/>
                <w:color w:val="000000"/>
                <w:kern w:val="0"/>
                <w:sz w:val="24"/>
              </w:rPr>
              <w:t>支持红外补光；</w:t>
            </w:r>
          </w:p>
          <w:p>
            <w:pPr>
              <w:widowControl/>
              <w:jc w:val="left"/>
              <w:rPr>
                <w:rFonts w:hint="eastAsia" w:ascii="宋体" w:hAnsi="宋体" w:cs="宋体"/>
                <w:color w:val="000000"/>
                <w:kern w:val="0"/>
                <w:sz w:val="24"/>
              </w:rPr>
            </w:pPr>
            <w:r>
              <w:rPr>
                <w:rFonts w:hint="eastAsia" w:ascii="宋体" w:hAnsi="宋体" w:cs="宋体"/>
                <w:color w:val="000000"/>
                <w:kern w:val="0"/>
                <w:sz w:val="24"/>
              </w:rPr>
              <w:t>网络摄像机供电方式支持POE；</w:t>
            </w:r>
          </w:p>
          <w:p>
            <w:pPr>
              <w:widowControl/>
              <w:jc w:val="left"/>
              <w:rPr>
                <w:rFonts w:hint="eastAsia" w:ascii="宋体" w:hAnsi="宋体" w:cs="宋体"/>
                <w:color w:val="000000"/>
                <w:kern w:val="0"/>
                <w:sz w:val="24"/>
              </w:rPr>
            </w:pPr>
            <w:r>
              <w:rPr>
                <w:rFonts w:hint="eastAsia" w:ascii="宋体" w:hAnsi="宋体" w:cs="宋体"/>
                <w:color w:val="000000"/>
                <w:kern w:val="0"/>
                <w:sz w:val="24"/>
              </w:rPr>
              <w:t>视频编码支持H.264和H.265；</w:t>
            </w:r>
          </w:p>
          <w:p>
            <w:pPr>
              <w:widowControl/>
              <w:jc w:val="left"/>
              <w:rPr>
                <w:rFonts w:hint="eastAsia" w:ascii="宋体" w:hAnsi="宋体" w:cs="宋体"/>
                <w:color w:val="000000"/>
                <w:kern w:val="0"/>
                <w:sz w:val="24"/>
              </w:rPr>
            </w:pPr>
            <w:r>
              <w:rPr>
                <w:rFonts w:hint="eastAsia" w:ascii="宋体" w:hAnsi="宋体" w:cs="宋体"/>
                <w:color w:val="000000"/>
                <w:kern w:val="0"/>
                <w:sz w:val="24"/>
              </w:rPr>
              <w:t>支持宽动态、背光补偿、区域遮盖等；</w:t>
            </w:r>
          </w:p>
          <w:p>
            <w:pPr>
              <w:widowControl/>
              <w:jc w:val="left"/>
              <w:rPr>
                <w:rFonts w:hint="eastAsia" w:ascii="宋体" w:hAnsi="宋体" w:cs="宋体"/>
                <w:color w:val="000000"/>
                <w:kern w:val="0"/>
                <w:sz w:val="24"/>
              </w:rPr>
            </w:pPr>
            <w:r>
              <w:rPr>
                <w:rFonts w:hint="eastAsia" w:ascii="宋体" w:hAnsi="宋体" w:cs="宋体"/>
                <w:color w:val="000000"/>
                <w:kern w:val="0"/>
                <w:sz w:val="24"/>
              </w:rPr>
              <w:t>支持区域入侵侦测、越界侦测、移动侦测等智能侦测功能；</w:t>
            </w:r>
          </w:p>
          <w:p>
            <w:pPr>
              <w:widowControl/>
              <w:jc w:val="left"/>
              <w:rPr>
                <w:rFonts w:hint="eastAsia" w:ascii="宋体" w:hAnsi="宋体" w:cs="宋体"/>
                <w:color w:val="000000"/>
                <w:kern w:val="0"/>
                <w:sz w:val="24"/>
              </w:rPr>
            </w:pPr>
            <w:r>
              <w:rPr>
                <w:rFonts w:hint="eastAsia" w:ascii="宋体" w:hAnsi="宋体" w:cs="宋体"/>
                <w:color w:val="000000"/>
                <w:kern w:val="0"/>
                <w:sz w:val="24"/>
              </w:rPr>
              <w:t>支持联动声音报警、灯光报警；</w:t>
            </w:r>
          </w:p>
          <w:p>
            <w:pPr>
              <w:widowControl/>
              <w:jc w:val="left"/>
              <w:rPr>
                <w:rFonts w:hint="eastAsia" w:ascii="宋体" w:hAnsi="宋体" w:cs="宋体"/>
                <w:color w:val="000000"/>
                <w:kern w:val="0"/>
                <w:sz w:val="24"/>
              </w:rPr>
            </w:pPr>
            <w:r>
              <w:rPr>
                <w:rFonts w:hint="eastAsia" w:ascii="宋体" w:hAnsi="宋体" w:cs="宋体"/>
                <w:color w:val="000000"/>
                <w:kern w:val="0"/>
                <w:sz w:val="24"/>
              </w:rPr>
              <w:t>至少有1路报警输出接口；</w:t>
            </w:r>
          </w:p>
          <w:p>
            <w:pPr>
              <w:widowControl/>
              <w:jc w:val="left"/>
              <w:rPr>
                <w:rFonts w:hint="eastAsia" w:ascii="宋体" w:hAnsi="宋体" w:cs="宋体"/>
                <w:color w:val="000000"/>
                <w:kern w:val="0"/>
                <w:sz w:val="24"/>
              </w:rPr>
            </w:pPr>
            <w:r>
              <w:rPr>
                <w:rFonts w:hint="eastAsia" w:ascii="宋体" w:hAnsi="宋体" w:cs="宋体"/>
                <w:color w:val="000000"/>
                <w:kern w:val="0"/>
                <w:sz w:val="24"/>
              </w:rPr>
              <w:t>支持3D数字降噪；</w:t>
            </w:r>
          </w:p>
          <w:p>
            <w:pPr>
              <w:widowControl/>
              <w:jc w:val="left"/>
              <w:rPr>
                <w:rFonts w:hint="eastAsia" w:ascii="宋体" w:hAnsi="宋体" w:cs="宋体"/>
                <w:color w:val="000000"/>
                <w:kern w:val="0"/>
                <w:sz w:val="24"/>
              </w:rPr>
            </w:pPr>
            <w:r>
              <w:rPr>
                <w:rFonts w:hint="eastAsia" w:ascii="宋体" w:hAnsi="宋体" w:cs="宋体"/>
                <w:color w:val="000000"/>
                <w:kern w:val="0"/>
                <w:sz w:val="24"/>
              </w:rPr>
              <w:t>支持三码流同时输出；</w:t>
            </w:r>
          </w:p>
          <w:p>
            <w:pPr>
              <w:widowControl/>
              <w:jc w:val="left"/>
              <w:rPr>
                <w:rFonts w:hint="eastAsia" w:ascii="宋体" w:hAnsi="宋体" w:cs="宋体"/>
                <w:color w:val="000000"/>
                <w:kern w:val="0"/>
                <w:sz w:val="24"/>
              </w:rPr>
            </w:pPr>
            <w:r>
              <w:rPr>
                <w:rFonts w:hint="eastAsia" w:ascii="宋体" w:hAnsi="宋体" w:cs="宋体"/>
                <w:color w:val="000000"/>
                <w:kern w:val="0"/>
                <w:sz w:val="24"/>
              </w:rPr>
              <w:t>外壳防护等级不低于IP66；</w:t>
            </w:r>
          </w:p>
          <w:p>
            <w:pPr>
              <w:widowControl/>
              <w:jc w:val="left"/>
              <w:rPr>
                <w:rFonts w:hint="eastAsia" w:ascii="宋体" w:hAnsi="宋体" w:cs="宋体"/>
                <w:color w:val="000000"/>
                <w:kern w:val="0"/>
                <w:sz w:val="24"/>
              </w:rPr>
            </w:pPr>
            <w:r>
              <w:rPr>
                <w:rFonts w:hint="eastAsia" w:ascii="宋体" w:hAnsi="宋体" w:cs="宋体"/>
                <w:color w:val="000000"/>
                <w:kern w:val="0"/>
                <w:sz w:val="24"/>
              </w:rPr>
              <w:t>协议支持：ONVIF、GB/T28181；</w:t>
            </w:r>
          </w:p>
          <w:p>
            <w:pPr>
              <w:widowControl/>
              <w:jc w:val="left"/>
              <w:rPr>
                <w:rFonts w:hint="eastAsia" w:ascii="宋体" w:hAnsi="宋体" w:cs="宋体"/>
                <w:color w:val="000000"/>
                <w:kern w:val="0"/>
                <w:sz w:val="24"/>
              </w:rPr>
            </w:pPr>
            <w:r>
              <w:rPr>
                <w:rFonts w:hint="eastAsia" w:ascii="宋体" w:hAnsi="宋体" w:cs="宋体"/>
                <w:color w:val="000000"/>
                <w:kern w:val="0"/>
                <w:sz w:val="24"/>
              </w:rPr>
              <w:t>配备吊装或壁装支架及电源模块。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ascii="宋体" w:hAnsi="宋体"/>
                <w:color w:val="000000"/>
                <w:kern w:val="0"/>
                <w:szCs w:val="24"/>
              </w:rPr>
              <w:t>8</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1</w:t>
            </w:r>
            <w:r>
              <w:rPr>
                <w:rFonts w:ascii="宋体" w:hAnsi="宋体"/>
                <w:color w:val="000000"/>
                <w:kern w:val="0"/>
                <w:szCs w:val="24"/>
              </w:rPr>
              <w:t>6</w:t>
            </w:r>
            <w:r>
              <w:rPr>
                <w:rFonts w:hint="eastAsia" w:ascii="宋体" w:hAnsi="宋体"/>
                <w:color w:val="000000"/>
                <w:kern w:val="0"/>
                <w:szCs w:val="24"/>
              </w:rPr>
              <w:t>路硬盘录像机</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支持ONVIF、GB/T28181协议接入前端相机；</w:t>
            </w:r>
          </w:p>
          <w:p>
            <w:pPr>
              <w:widowControl/>
              <w:jc w:val="left"/>
              <w:rPr>
                <w:rFonts w:hint="eastAsia" w:ascii="宋体" w:hAnsi="宋体" w:cs="宋体"/>
                <w:color w:val="000000"/>
                <w:kern w:val="0"/>
                <w:sz w:val="24"/>
              </w:rPr>
            </w:pPr>
            <w:r>
              <w:rPr>
                <w:rFonts w:hint="eastAsia" w:ascii="宋体" w:hAnsi="宋体" w:cs="宋体"/>
                <w:color w:val="000000"/>
                <w:kern w:val="0"/>
                <w:sz w:val="24"/>
              </w:rPr>
              <w:t>支持不少于2个千兆网口，1个HDMI、1个VGA输出接口；</w:t>
            </w:r>
          </w:p>
          <w:p>
            <w:pPr>
              <w:widowControl/>
              <w:jc w:val="left"/>
              <w:rPr>
                <w:rFonts w:hint="eastAsia" w:ascii="宋体" w:hAnsi="宋体" w:cs="宋体"/>
                <w:color w:val="000000"/>
                <w:kern w:val="0"/>
                <w:sz w:val="24"/>
              </w:rPr>
            </w:pPr>
            <w:r>
              <w:rPr>
                <w:rFonts w:hint="eastAsia" w:ascii="宋体" w:hAnsi="宋体" w:cs="宋体"/>
                <w:color w:val="000000"/>
                <w:kern w:val="0"/>
                <w:sz w:val="24"/>
              </w:rPr>
              <w:t>接入带宽大于等于256Mbps；</w:t>
            </w:r>
          </w:p>
          <w:p>
            <w:pPr>
              <w:widowControl/>
              <w:jc w:val="left"/>
              <w:rPr>
                <w:rFonts w:hint="eastAsia" w:ascii="宋体" w:hAnsi="宋体" w:cs="宋体"/>
                <w:color w:val="000000"/>
                <w:kern w:val="0"/>
                <w:sz w:val="24"/>
              </w:rPr>
            </w:pPr>
            <w:r>
              <w:rPr>
                <w:rFonts w:hint="eastAsia" w:ascii="宋体" w:hAnsi="宋体" w:cs="宋体"/>
                <w:color w:val="000000"/>
                <w:kern w:val="0"/>
                <w:sz w:val="24"/>
              </w:rPr>
              <w:t>支持16×1080P解码，报警IO：16进4出；</w:t>
            </w:r>
          </w:p>
          <w:p>
            <w:pPr>
              <w:widowControl/>
              <w:jc w:val="left"/>
              <w:rPr>
                <w:rFonts w:hint="eastAsia" w:ascii="宋体" w:hAnsi="宋体" w:cs="宋体"/>
                <w:color w:val="000000"/>
                <w:kern w:val="0"/>
                <w:sz w:val="24"/>
              </w:rPr>
            </w:pPr>
            <w:r>
              <w:rPr>
                <w:rFonts w:hint="eastAsia" w:ascii="宋体" w:hAnsi="宋体" w:cs="宋体"/>
                <w:color w:val="000000"/>
                <w:kern w:val="0"/>
                <w:sz w:val="24"/>
              </w:rPr>
              <w:t>支持H.264、H.265编码方式；</w:t>
            </w:r>
          </w:p>
          <w:p>
            <w:pPr>
              <w:widowControl/>
              <w:jc w:val="left"/>
              <w:rPr>
                <w:rFonts w:hint="eastAsia" w:ascii="宋体" w:hAnsi="宋体" w:cs="宋体"/>
                <w:color w:val="000000"/>
                <w:kern w:val="0"/>
                <w:sz w:val="24"/>
              </w:rPr>
            </w:pPr>
            <w:r>
              <w:rPr>
                <w:rFonts w:hint="eastAsia" w:ascii="宋体" w:hAnsi="宋体" w:cs="宋体"/>
                <w:color w:val="000000"/>
                <w:kern w:val="0"/>
                <w:sz w:val="24"/>
              </w:rPr>
              <w:t>支持最少8个SATA接口，每个接口支持</w:t>
            </w:r>
            <w:r>
              <w:rPr>
                <w:rFonts w:hint="eastAsia" w:ascii="宋体" w:hAnsi="宋体" w:cs="宋体"/>
                <w:color w:val="FF0000"/>
                <w:kern w:val="0"/>
                <w:sz w:val="24"/>
              </w:rPr>
              <w:t>10T</w:t>
            </w:r>
            <w:r>
              <w:rPr>
                <w:rFonts w:hint="eastAsia" w:ascii="宋体" w:hAnsi="宋体" w:cs="宋体"/>
                <w:color w:val="000000"/>
                <w:kern w:val="0"/>
                <w:sz w:val="24"/>
              </w:rPr>
              <w:t>硬盘接入；</w:t>
            </w:r>
          </w:p>
          <w:p>
            <w:pPr>
              <w:widowControl/>
              <w:jc w:val="left"/>
              <w:rPr>
                <w:rFonts w:hint="eastAsia" w:ascii="宋体" w:hAnsi="宋体" w:cs="宋体"/>
                <w:color w:val="000000"/>
                <w:kern w:val="0"/>
                <w:sz w:val="24"/>
              </w:rPr>
            </w:pPr>
            <w:r>
              <w:rPr>
                <w:rFonts w:hint="eastAsia" w:ascii="宋体" w:hAnsi="宋体" w:cs="宋体"/>
                <w:color w:val="000000"/>
                <w:kern w:val="0"/>
                <w:sz w:val="24"/>
              </w:rPr>
              <w:t>支持硬盘配额存储模式，可对不同通道分配不同的录像保存容量或周期；</w:t>
            </w:r>
          </w:p>
          <w:p>
            <w:pPr>
              <w:widowControl/>
              <w:jc w:val="left"/>
              <w:rPr>
                <w:rFonts w:hint="eastAsia" w:ascii="宋体" w:hAnsi="宋体" w:cs="宋体"/>
                <w:color w:val="000000"/>
                <w:kern w:val="0"/>
                <w:sz w:val="24"/>
              </w:rPr>
            </w:pPr>
            <w:r>
              <w:rPr>
                <w:rFonts w:hint="eastAsia" w:ascii="宋体" w:hAnsi="宋体" w:cs="宋体"/>
                <w:color w:val="000000"/>
                <w:kern w:val="0"/>
                <w:sz w:val="24"/>
              </w:rPr>
              <w:t>支持最少16路4</w:t>
            </w:r>
            <w:r>
              <w:rPr>
                <w:rFonts w:ascii="宋体" w:hAnsi="宋体" w:cs="宋体"/>
                <w:color w:val="000000"/>
                <w:kern w:val="0"/>
                <w:sz w:val="24"/>
              </w:rPr>
              <w:t>00</w:t>
            </w:r>
            <w:r>
              <w:rPr>
                <w:rFonts w:hint="eastAsia" w:ascii="宋体" w:hAnsi="宋体" w:cs="宋体"/>
                <w:color w:val="000000"/>
                <w:kern w:val="0"/>
                <w:sz w:val="24"/>
              </w:rPr>
              <w:t>万像素视频接入；</w:t>
            </w:r>
          </w:p>
          <w:p>
            <w:pPr>
              <w:widowControl/>
              <w:jc w:val="left"/>
              <w:rPr>
                <w:rFonts w:hint="eastAsia" w:ascii="宋体" w:hAnsi="宋体" w:cs="宋体"/>
                <w:color w:val="000000"/>
                <w:kern w:val="0"/>
                <w:sz w:val="24"/>
              </w:rPr>
            </w:pPr>
            <w:r>
              <w:rPr>
                <w:rFonts w:hint="eastAsia" w:ascii="宋体" w:hAnsi="宋体" w:cs="宋体"/>
                <w:color w:val="000000"/>
                <w:kern w:val="0"/>
                <w:sz w:val="24"/>
              </w:rPr>
              <w:t>支持双千兆网卡，支持双网络ip设置；</w:t>
            </w:r>
          </w:p>
          <w:p>
            <w:pPr>
              <w:widowControl/>
              <w:jc w:val="left"/>
              <w:rPr>
                <w:rFonts w:hint="eastAsia" w:ascii="宋体" w:hAnsi="宋体" w:cs="宋体"/>
                <w:color w:val="000000"/>
                <w:kern w:val="0"/>
                <w:sz w:val="24"/>
              </w:rPr>
            </w:pPr>
            <w:r>
              <w:rPr>
                <w:rFonts w:hint="eastAsia" w:ascii="宋体" w:hAnsi="宋体" w:cs="宋体"/>
                <w:color w:val="000000"/>
                <w:kern w:val="0"/>
                <w:sz w:val="24"/>
              </w:rPr>
              <w:t>配备电源模块。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ascii="宋体" w:hAnsi="宋体"/>
                <w:color w:val="000000"/>
                <w:kern w:val="0"/>
                <w:szCs w:val="24"/>
              </w:rPr>
              <w:t>9</w:t>
            </w:r>
          </w:p>
        </w:tc>
        <w:tc>
          <w:tcPr>
            <w:tcW w:w="911" w:type="pct"/>
            <w:vAlign w:val="center"/>
          </w:tcPr>
          <w:p>
            <w:pPr>
              <w:pStyle w:val="65"/>
              <w:numPr>
                <w:ilvl w:val="0"/>
                <w:numId w:val="0"/>
              </w:numPr>
              <w:jc w:val="left"/>
              <w:rPr>
                <w:rFonts w:hint="eastAsia" w:ascii="宋体" w:hAnsi="宋体"/>
                <w:color w:val="000000"/>
                <w:kern w:val="0"/>
                <w:szCs w:val="24"/>
              </w:rPr>
            </w:pPr>
            <w:r>
              <w:rPr>
                <w:rFonts w:ascii="宋体" w:hAnsi="宋体"/>
                <w:color w:val="000000"/>
                <w:kern w:val="0"/>
                <w:szCs w:val="24"/>
              </w:rPr>
              <w:t>32</w:t>
            </w:r>
            <w:r>
              <w:rPr>
                <w:rFonts w:hint="eastAsia" w:ascii="宋体" w:hAnsi="宋体"/>
                <w:color w:val="000000"/>
                <w:kern w:val="0"/>
                <w:szCs w:val="24"/>
              </w:rPr>
              <w:t>路硬盘录像机</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支持ONVIF、GB/T28181协议接入前端相机；</w:t>
            </w:r>
          </w:p>
          <w:p>
            <w:pPr>
              <w:widowControl/>
              <w:jc w:val="left"/>
              <w:rPr>
                <w:rFonts w:hint="eastAsia" w:ascii="宋体" w:hAnsi="宋体" w:cs="宋体"/>
                <w:color w:val="000000"/>
                <w:kern w:val="0"/>
                <w:sz w:val="24"/>
              </w:rPr>
            </w:pPr>
            <w:r>
              <w:rPr>
                <w:rFonts w:hint="eastAsia" w:ascii="宋体" w:hAnsi="宋体" w:cs="宋体"/>
                <w:color w:val="000000"/>
                <w:kern w:val="0"/>
                <w:sz w:val="24"/>
              </w:rPr>
              <w:t>支持不少于2个千兆网口，1个HDMI、1个VGA输出接口；</w:t>
            </w:r>
          </w:p>
          <w:p>
            <w:pPr>
              <w:widowControl/>
              <w:jc w:val="left"/>
              <w:rPr>
                <w:rFonts w:hint="eastAsia" w:ascii="宋体" w:hAnsi="宋体" w:cs="宋体"/>
                <w:color w:val="000000"/>
                <w:kern w:val="0"/>
                <w:sz w:val="24"/>
              </w:rPr>
            </w:pPr>
            <w:r>
              <w:rPr>
                <w:rFonts w:hint="eastAsia" w:ascii="宋体" w:hAnsi="宋体" w:cs="宋体"/>
                <w:color w:val="000000"/>
                <w:kern w:val="0"/>
                <w:sz w:val="24"/>
              </w:rPr>
              <w:t>接入带宽大于等于</w:t>
            </w:r>
            <w:r>
              <w:rPr>
                <w:rFonts w:ascii="宋体" w:hAnsi="宋体" w:cs="宋体"/>
                <w:color w:val="000000"/>
                <w:kern w:val="0"/>
                <w:sz w:val="24"/>
              </w:rPr>
              <w:t>320</w:t>
            </w:r>
            <w:r>
              <w:rPr>
                <w:rFonts w:hint="eastAsia" w:ascii="宋体" w:hAnsi="宋体" w:cs="宋体"/>
                <w:color w:val="000000"/>
                <w:kern w:val="0"/>
                <w:sz w:val="24"/>
              </w:rPr>
              <w:t>Mbps；</w:t>
            </w:r>
          </w:p>
          <w:p>
            <w:pPr>
              <w:widowControl/>
              <w:jc w:val="left"/>
              <w:rPr>
                <w:rFonts w:hint="eastAsia" w:ascii="宋体" w:hAnsi="宋体" w:cs="宋体"/>
                <w:color w:val="000000"/>
                <w:kern w:val="0"/>
                <w:sz w:val="24"/>
              </w:rPr>
            </w:pPr>
            <w:r>
              <w:rPr>
                <w:rFonts w:hint="eastAsia" w:ascii="宋体" w:hAnsi="宋体" w:cs="宋体"/>
                <w:color w:val="000000"/>
                <w:kern w:val="0"/>
                <w:sz w:val="24"/>
              </w:rPr>
              <w:t>支持16×1080P解码，报警IO：16进4出；</w:t>
            </w:r>
          </w:p>
          <w:p>
            <w:pPr>
              <w:widowControl/>
              <w:jc w:val="left"/>
              <w:rPr>
                <w:rFonts w:hint="eastAsia" w:ascii="宋体" w:hAnsi="宋体" w:cs="宋体"/>
                <w:color w:val="000000"/>
                <w:kern w:val="0"/>
                <w:sz w:val="24"/>
              </w:rPr>
            </w:pPr>
            <w:r>
              <w:rPr>
                <w:rFonts w:hint="eastAsia" w:ascii="宋体" w:hAnsi="宋体" w:cs="宋体"/>
                <w:color w:val="000000"/>
                <w:kern w:val="0"/>
                <w:sz w:val="24"/>
              </w:rPr>
              <w:t>支持H.264、H.265编码方式；</w:t>
            </w:r>
          </w:p>
          <w:p>
            <w:pPr>
              <w:widowControl/>
              <w:jc w:val="left"/>
              <w:rPr>
                <w:rFonts w:hint="eastAsia" w:ascii="宋体" w:hAnsi="宋体" w:cs="宋体"/>
                <w:color w:val="000000"/>
                <w:kern w:val="0"/>
                <w:sz w:val="24"/>
              </w:rPr>
            </w:pPr>
            <w:r>
              <w:rPr>
                <w:rFonts w:hint="eastAsia" w:ascii="宋体" w:hAnsi="宋体" w:cs="宋体"/>
                <w:color w:val="000000"/>
                <w:kern w:val="0"/>
                <w:sz w:val="24"/>
              </w:rPr>
              <w:t>支持最少8个SATA接口，每个接口支持10T硬盘接入；</w:t>
            </w:r>
          </w:p>
          <w:p>
            <w:pPr>
              <w:widowControl/>
              <w:jc w:val="left"/>
              <w:rPr>
                <w:rFonts w:hint="eastAsia" w:ascii="宋体" w:hAnsi="宋体" w:cs="宋体"/>
                <w:color w:val="000000"/>
                <w:kern w:val="0"/>
                <w:sz w:val="24"/>
              </w:rPr>
            </w:pPr>
            <w:r>
              <w:rPr>
                <w:rFonts w:hint="eastAsia" w:ascii="宋体" w:hAnsi="宋体" w:cs="宋体"/>
                <w:color w:val="000000"/>
                <w:kern w:val="0"/>
                <w:sz w:val="24"/>
              </w:rPr>
              <w:t>支持硬盘配额存储模式，可对不同通道分配不同的录像保存容量或周期；</w:t>
            </w:r>
          </w:p>
          <w:p>
            <w:pPr>
              <w:widowControl/>
              <w:jc w:val="left"/>
              <w:rPr>
                <w:rFonts w:hint="eastAsia" w:ascii="宋体" w:hAnsi="宋体" w:cs="宋体"/>
                <w:color w:val="000000"/>
                <w:kern w:val="0"/>
                <w:sz w:val="24"/>
              </w:rPr>
            </w:pPr>
            <w:r>
              <w:rPr>
                <w:rFonts w:hint="eastAsia" w:ascii="宋体" w:hAnsi="宋体" w:cs="宋体"/>
                <w:color w:val="000000"/>
                <w:kern w:val="0"/>
                <w:sz w:val="24"/>
              </w:rPr>
              <w:t>支持最少32路4</w:t>
            </w:r>
            <w:r>
              <w:rPr>
                <w:rFonts w:ascii="宋体" w:hAnsi="宋体" w:cs="宋体"/>
                <w:color w:val="000000"/>
                <w:kern w:val="0"/>
                <w:sz w:val="24"/>
              </w:rPr>
              <w:t>00</w:t>
            </w:r>
            <w:r>
              <w:rPr>
                <w:rFonts w:hint="eastAsia" w:ascii="宋体" w:hAnsi="宋体" w:cs="宋体"/>
                <w:color w:val="000000"/>
                <w:kern w:val="0"/>
                <w:sz w:val="24"/>
              </w:rPr>
              <w:t>万像素视频接入；</w:t>
            </w:r>
          </w:p>
          <w:p>
            <w:pPr>
              <w:widowControl/>
              <w:jc w:val="left"/>
              <w:rPr>
                <w:rFonts w:hint="eastAsia" w:ascii="宋体" w:hAnsi="宋体" w:cs="宋体"/>
                <w:color w:val="000000"/>
                <w:kern w:val="0"/>
                <w:sz w:val="24"/>
              </w:rPr>
            </w:pPr>
            <w:r>
              <w:rPr>
                <w:rFonts w:hint="eastAsia" w:ascii="宋体" w:hAnsi="宋体" w:cs="宋体"/>
                <w:color w:val="000000"/>
                <w:kern w:val="0"/>
                <w:sz w:val="24"/>
              </w:rPr>
              <w:t>支持双千兆网卡，支持双网络ip设置；</w:t>
            </w:r>
          </w:p>
          <w:p>
            <w:pPr>
              <w:widowControl/>
              <w:jc w:val="left"/>
              <w:rPr>
                <w:rFonts w:hint="eastAsia" w:ascii="宋体" w:hAnsi="宋体" w:cs="宋体"/>
                <w:color w:val="000000"/>
                <w:kern w:val="0"/>
                <w:sz w:val="24"/>
              </w:rPr>
            </w:pPr>
            <w:r>
              <w:rPr>
                <w:rFonts w:hint="eastAsia" w:ascii="宋体" w:hAnsi="宋体" w:cs="宋体"/>
                <w:color w:val="000000"/>
                <w:kern w:val="0"/>
                <w:sz w:val="24"/>
              </w:rPr>
              <w:t>配备电源模块。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ascii="宋体" w:hAnsi="宋体"/>
                <w:color w:val="000000"/>
                <w:kern w:val="0"/>
                <w:szCs w:val="24"/>
              </w:rPr>
              <w:t>10</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6</w:t>
            </w:r>
            <w:r>
              <w:rPr>
                <w:rFonts w:ascii="宋体" w:hAnsi="宋体"/>
                <w:color w:val="000000"/>
                <w:kern w:val="0"/>
                <w:szCs w:val="24"/>
              </w:rPr>
              <w:t>4</w:t>
            </w:r>
            <w:r>
              <w:rPr>
                <w:rFonts w:hint="eastAsia" w:ascii="宋体" w:hAnsi="宋体"/>
                <w:color w:val="000000"/>
                <w:kern w:val="0"/>
                <w:szCs w:val="24"/>
              </w:rPr>
              <w:t>路硬盘录像机</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支持ONVIF、GB/T28181协议接入前端相机；</w:t>
            </w:r>
          </w:p>
          <w:p>
            <w:pPr>
              <w:widowControl/>
              <w:jc w:val="left"/>
              <w:rPr>
                <w:rFonts w:hint="eastAsia" w:ascii="宋体" w:hAnsi="宋体" w:cs="宋体"/>
                <w:color w:val="000000"/>
                <w:kern w:val="0"/>
                <w:sz w:val="24"/>
              </w:rPr>
            </w:pPr>
            <w:r>
              <w:rPr>
                <w:rFonts w:hint="eastAsia" w:ascii="宋体" w:hAnsi="宋体" w:cs="宋体"/>
                <w:color w:val="000000"/>
                <w:kern w:val="0"/>
                <w:sz w:val="24"/>
              </w:rPr>
              <w:t>支持不少于2个千兆网口，1个HDMI、1个VGA输出接口；</w:t>
            </w:r>
          </w:p>
          <w:p>
            <w:pPr>
              <w:widowControl/>
              <w:jc w:val="left"/>
              <w:rPr>
                <w:rFonts w:hint="eastAsia" w:ascii="宋体" w:hAnsi="宋体" w:cs="宋体"/>
                <w:color w:val="000000"/>
                <w:kern w:val="0"/>
                <w:sz w:val="24"/>
              </w:rPr>
            </w:pPr>
            <w:r>
              <w:rPr>
                <w:rFonts w:hint="eastAsia" w:ascii="宋体" w:hAnsi="宋体" w:cs="宋体"/>
                <w:color w:val="000000"/>
                <w:kern w:val="0"/>
                <w:sz w:val="24"/>
              </w:rPr>
              <w:t>接入带宽大于等于</w:t>
            </w:r>
            <w:r>
              <w:rPr>
                <w:rFonts w:ascii="宋体" w:hAnsi="宋体" w:cs="宋体"/>
                <w:color w:val="000000"/>
                <w:kern w:val="0"/>
                <w:sz w:val="24"/>
              </w:rPr>
              <w:t>320</w:t>
            </w:r>
            <w:r>
              <w:rPr>
                <w:rFonts w:hint="eastAsia" w:ascii="宋体" w:hAnsi="宋体" w:cs="宋体"/>
                <w:color w:val="000000"/>
                <w:kern w:val="0"/>
                <w:sz w:val="24"/>
              </w:rPr>
              <w:t>Mbps；</w:t>
            </w:r>
          </w:p>
          <w:p>
            <w:pPr>
              <w:widowControl/>
              <w:jc w:val="left"/>
              <w:rPr>
                <w:rFonts w:hint="eastAsia" w:ascii="宋体" w:hAnsi="宋体" w:cs="宋体"/>
                <w:color w:val="000000"/>
                <w:kern w:val="0"/>
                <w:sz w:val="24"/>
              </w:rPr>
            </w:pPr>
            <w:r>
              <w:rPr>
                <w:rFonts w:hint="eastAsia" w:ascii="宋体" w:hAnsi="宋体" w:cs="宋体"/>
                <w:color w:val="000000"/>
                <w:kern w:val="0"/>
                <w:sz w:val="24"/>
              </w:rPr>
              <w:t>支持16×1080P解码，报警IO：16进4出；</w:t>
            </w:r>
          </w:p>
          <w:p>
            <w:pPr>
              <w:widowControl/>
              <w:jc w:val="left"/>
              <w:rPr>
                <w:rFonts w:hint="eastAsia" w:ascii="宋体" w:hAnsi="宋体" w:cs="宋体"/>
                <w:color w:val="000000"/>
                <w:kern w:val="0"/>
                <w:sz w:val="24"/>
              </w:rPr>
            </w:pPr>
            <w:r>
              <w:rPr>
                <w:rFonts w:hint="eastAsia" w:ascii="宋体" w:hAnsi="宋体" w:cs="宋体"/>
                <w:color w:val="000000"/>
                <w:kern w:val="0"/>
                <w:sz w:val="24"/>
              </w:rPr>
              <w:t>支持H.264、H.265编码方式；</w:t>
            </w:r>
          </w:p>
          <w:p>
            <w:pPr>
              <w:widowControl/>
              <w:jc w:val="left"/>
              <w:rPr>
                <w:rFonts w:hint="eastAsia" w:ascii="宋体" w:hAnsi="宋体" w:cs="宋体"/>
                <w:color w:val="000000"/>
                <w:kern w:val="0"/>
                <w:sz w:val="24"/>
              </w:rPr>
            </w:pPr>
            <w:r>
              <w:rPr>
                <w:rFonts w:hint="eastAsia" w:ascii="宋体" w:hAnsi="宋体" w:cs="宋体"/>
                <w:color w:val="000000"/>
                <w:kern w:val="0"/>
                <w:sz w:val="24"/>
              </w:rPr>
              <w:t>支持最少</w:t>
            </w:r>
            <w:r>
              <w:rPr>
                <w:rFonts w:ascii="宋体" w:hAnsi="宋体" w:cs="宋体"/>
                <w:color w:val="000000"/>
                <w:kern w:val="0"/>
                <w:sz w:val="24"/>
              </w:rPr>
              <w:t>16</w:t>
            </w:r>
            <w:r>
              <w:rPr>
                <w:rFonts w:hint="eastAsia" w:ascii="宋体" w:hAnsi="宋体" w:cs="宋体"/>
                <w:color w:val="000000"/>
                <w:kern w:val="0"/>
                <w:sz w:val="24"/>
              </w:rPr>
              <w:t>个SATA接口，每个接口支持10T硬盘接入；</w:t>
            </w:r>
          </w:p>
          <w:p>
            <w:pPr>
              <w:widowControl/>
              <w:jc w:val="left"/>
              <w:rPr>
                <w:rFonts w:hint="eastAsia" w:ascii="宋体" w:hAnsi="宋体" w:cs="宋体"/>
                <w:color w:val="000000"/>
                <w:kern w:val="0"/>
                <w:sz w:val="24"/>
              </w:rPr>
            </w:pPr>
            <w:r>
              <w:rPr>
                <w:rFonts w:hint="eastAsia" w:ascii="宋体" w:hAnsi="宋体" w:cs="宋体"/>
                <w:color w:val="000000"/>
                <w:kern w:val="0"/>
                <w:sz w:val="24"/>
              </w:rPr>
              <w:t>支持硬盘配额存储模式，可对不同通道分配不同的录像保存容量或周期；</w:t>
            </w:r>
          </w:p>
          <w:p>
            <w:pPr>
              <w:widowControl/>
              <w:jc w:val="left"/>
              <w:rPr>
                <w:rFonts w:hint="eastAsia" w:ascii="宋体" w:hAnsi="宋体" w:cs="宋体"/>
                <w:color w:val="000000"/>
                <w:kern w:val="0"/>
                <w:sz w:val="24"/>
              </w:rPr>
            </w:pPr>
            <w:r>
              <w:rPr>
                <w:rFonts w:hint="eastAsia" w:ascii="宋体" w:hAnsi="宋体" w:cs="宋体"/>
                <w:color w:val="000000"/>
                <w:kern w:val="0"/>
                <w:sz w:val="24"/>
              </w:rPr>
              <w:t>支持最少64路4</w:t>
            </w:r>
            <w:r>
              <w:rPr>
                <w:rFonts w:ascii="宋体" w:hAnsi="宋体" w:cs="宋体"/>
                <w:color w:val="000000"/>
                <w:kern w:val="0"/>
                <w:sz w:val="24"/>
              </w:rPr>
              <w:t>00</w:t>
            </w:r>
            <w:r>
              <w:rPr>
                <w:rFonts w:hint="eastAsia" w:ascii="宋体" w:hAnsi="宋体" w:cs="宋体"/>
                <w:color w:val="000000"/>
                <w:kern w:val="0"/>
                <w:sz w:val="24"/>
              </w:rPr>
              <w:t>万像素视频接入；</w:t>
            </w:r>
          </w:p>
          <w:p>
            <w:pPr>
              <w:widowControl/>
              <w:jc w:val="left"/>
              <w:rPr>
                <w:rFonts w:hint="eastAsia" w:ascii="宋体" w:hAnsi="宋体" w:cs="宋体"/>
                <w:color w:val="000000"/>
                <w:kern w:val="0"/>
                <w:sz w:val="24"/>
              </w:rPr>
            </w:pPr>
            <w:r>
              <w:rPr>
                <w:rFonts w:hint="eastAsia" w:ascii="宋体" w:hAnsi="宋体" w:cs="宋体"/>
                <w:color w:val="000000"/>
                <w:kern w:val="0"/>
                <w:sz w:val="24"/>
              </w:rPr>
              <w:t>支持双千兆网卡，支持双网络ip设置；</w:t>
            </w:r>
          </w:p>
          <w:p>
            <w:pPr>
              <w:widowControl/>
              <w:jc w:val="left"/>
              <w:rPr>
                <w:rFonts w:hint="eastAsia" w:ascii="宋体" w:hAnsi="宋体" w:cs="宋体"/>
                <w:color w:val="000000"/>
                <w:kern w:val="0"/>
                <w:sz w:val="24"/>
              </w:rPr>
            </w:pPr>
            <w:r>
              <w:rPr>
                <w:rFonts w:hint="eastAsia" w:ascii="宋体" w:hAnsi="宋体" w:cs="宋体"/>
                <w:color w:val="000000"/>
                <w:kern w:val="0"/>
                <w:sz w:val="24"/>
              </w:rPr>
              <w:t>配备电源模块。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hint="eastAsia" w:ascii="宋体" w:hAnsi="宋体"/>
                <w:color w:val="000000"/>
                <w:kern w:val="0"/>
                <w:szCs w:val="24"/>
              </w:rPr>
              <w:t>1</w:t>
            </w:r>
            <w:r>
              <w:rPr>
                <w:rFonts w:ascii="宋体" w:hAnsi="宋体"/>
                <w:color w:val="000000"/>
                <w:kern w:val="0"/>
                <w:szCs w:val="24"/>
              </w:rPr>
              <w:t>1</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人脸识别门禁面板机</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设备采用高性能嵌入式Linux操作系统，7英寸LCD触摸屏，屏幕分辨率不小于1024*600；</w:t>
            </w:r>
          </w:p>
          <w:p>
            <w:pPr>
              <w:widowControl/>
              <w:jc w:val="left"/>
              <w:rPr>
                <w:rFonts w:hint="eastAsia" w:ascii="宋体" w:hAnsi="宋体" w:cs="宋体"/>
                <w:color w:val="000000"/>
                <w:kern w:val="0"/>
                <w:sz w:val="24"/>
              </w:rPr>
            </w:pPr>
            <w:r>
              <w:rPr>
                <w:rFonts w:hint="eastAsia" w:ascii="宋体" w:hAnsi="宋体" w:cs="宋体"/>
                <w:color w:val="000000"/>
                <w:kern w:val="0"/>
                <w:sz w:val="24"/>
              </w:rPr>
              <w:t>设备采用高清宽动态双目摄像头，分辨率不低于1080P；</w:t>
            </w:r>
          </w:p>
          <w:p>
            <w:pPr>
              <w:widowControl/>
              <w:jc w:val="left"/>
              <w:rPr>
                <w:rFonts w:hint="eastAsia" w:ascii="宋体" w:hAnsi="宋体" w:cs="宋体"/>
                <w:color w:val="000000"/>
                <w:kern w:val="0"/>
                <w:sz w:val="24"/>
              </w:rPr>
            </w:pPr>
            <w:r>
              <w:rPr>
                <w:rFonts w:hint="eastAsia" w:ascii="宋体" w:hAnsi="宋体" w:cs="宋体"/>
                <w:color w:val="000000"/>
                <w:kern w:val="0"/>
                <w:sz w:val="24"/>
              </w:rPr>
              <w:t>人脸识别误识率≤0.01%，准确率≥99.8%，人脸识别速度≤0.2s；</w:t>
            </w:r>
          </w:p>
          <w:p>
            <w:pPr>
              <w:widowControl/>
              <w:jc w:val="left"/>
              <w:rPr>
                <w:rFonts w:hint="eastAsia" w:ascii="宋体" w:hAnsi="宋体" w:cs="宋体"/>
                <w:color w:val="000000"/>
                <w:kern w:val="0"/>
                <w:sz w:val="24"/>
              </w:rPr>
            </w:pPr>
            <w:r>
              <w:rPr>
                <w:rFonts w:hint="eastAsia" w:ascii="宋体" w:hAnsi="宋体" w:cs="宋体"/>
                <w:color w:val="000000"/>
                <w:kern w:val="0"/>
                <w:sz w:val="24"/>
              </w:rPr>
              <w:t>可适应强光、逆光、暗光（0.001lux低照度无补光）等条件的人脸准确识别，最远人脸识别距离不低于2米；</w:t>
            </w:r>
          </w:p>
          <w:p>
            <w:pPr>
              <w:widowControl/>
              <w:jc w:val="left"/>
              <w:rPr>
                <w:rFonts w:hint="eastAsia" w:ascii="宋体" w:hAnsi="宋体" w:cs="宋体"/>
                <w:color w:val="000000"/>
                <w:kern w:val="0"/>
                <w:sz w:val="24"/>
              </w:rPr>
            </w:pPr>
            <w:r>
              <w:rPr>
                <w:rFonts w:hint="eastAsia" w:ascii="宋体" w:hAnsi="宋体" w:cs="宋体"/>
                <w:color w:val="000000"/>
                <w:kern w:val="0"/>
                <w:sz w:val="24"/>
              </w:rPr>
              <w:t>设备本身支持人脸容量≥50000张，卡片容量≥50000张，出入记录容量≥100000条；</w:t>
            </w:r>
          </w:p>
          <w:p>
            <w:pPr>
              <w:widowControl/>
              <w:jc w:val="left"/>
              <w:rPr>
                <w:rFonts w:hint="eastAsia" w:ascii="宋体" w:hAnsi="宋体" w:cs="宋体"/>
                <w:color w:val="000000"/>
                <w:kern w:val="0"/>
                <w:sz w:val="24"/>
              </w:rPr>
            </w:pPr>
            <w:r>
              <w:rPr>
                <w:rFonts w:hint="eastAsia" w:ascii="宋体" w:hAnsi="宋体" w:cs="宋体"/>
                <w:color w:val="000000"/>
                <w:kern w:val="0"/>
                <w:sz w:val="24"/>
              </w:rPr>
              <w:t>设备支持人脸识别、刷卡、密码等认证方式，且支持以上组合认证开门；</w:t>
            </w:r>
          </w:p>
          <w:p>
            <w:pPr>
              <w:widowControl/>
              <w:jc w:val="left"/>
              <w:rPr>
                <w:rFonts w:hint="eastAsia" w:ascii="宋体" w:hAnsi="宋体" w:cs="宋体"/>
                <w:color w:val="000000"/>
                <w:kern w:val="0"/>
                <w:sz w:val="24"/>
              </w:rPr>
            </w:pPr>
            <w:r>
              <w:rPr>
                <w:rFonts w:hint="eastAsia" w:ascii="宋体" w:hAnsi="宋体" w:cs="宋体"/>
                <w:color w:val="000000"/>
                <w:kern w:val="0"/>
                <w:sz w:val="24"/>
              </w:rPr>
              <w:t>设备应支持带口罩情况下的人脸识别；</w:t>
            </w:r>
          </w:p>
          <w:p>
            <w:pPr>
              <w:widowControl/>
              <w:jc w:val="left"/>
              <w:rPr>
                <w:rFonts w:hint="eastAsia" w:ascii="宋体" w:hAnsi="宋体" w:cs="宋体"/>
                <w:color w:val="000000"/>
                <w:kern w:val="0"/>
                <w:sz w:val="24"/>
              </w:rPr>
            </w:pPr>
            <w:r>
              <w:rPr>
                <w:rFonts w:hint="eastAsia" w:ascii="宋体" w:hAnsi="宋体" w:cs="宋体"/>
                <w:color w:val="000000"/>
                <w:kern w:val="0"/>
                <w:sz w:val="24"/>
              </w:rPr>
              <w:t>人脸识别终端具备防假体攻击功能，包括防照片欺骗，防视频欺骗功能；</w:t>
            </w:r>
          </w:p>
          <w:p>
            <w:pPr>
              <w:widowControl/>
              <w:jc w:val="left"/>
              <w:rPr>
                <w:rFonts w:hint="eastAsia" w:ascii="宋体" w:hAnsi="宋体" w:cs="宋体"/>
                <w:color w:val="000000"/>
                <w:kern w:val="0"/>
                <w:sz w:val="24"/>
              </w:rPr>
            </w:pPr>
            <w:r>
              <w:rPr>
                <w:rFonts w:hint="eastAsia" w:ascii="宋体" w:hAnsi="宋体" w:cs="宋体"/>
                <w:color w:val="000000"/>
                <w:kern w:val="0"/>
                <w:sz w:val="24"/>
              </w:rPr>
              <w:t>设备支持RS-485接口≥1个，RS-232接口≥1个，韦根接口≥1路输入/输出，USB接口≥2个USB2.0接口，网络接口≥1个；</w:t>
            </w:r>
          </w:p>
          <w:p>
            <w:pPr>
              <w:widowControl/>
              <w:jc w:val="left"/>
              <w:rPr>
                <w:rFonts w:hint="eastAsia" w:ascii="宋体" w:hAnsi="宋体" w:cs="宋体"/>
                <w:color w:val="000000"/>
                <w:kern w:val="0"/>
                <w:sz w:val="24"/>
              </w:rPr>
            </w:pPr>
            <w:r>
              <w:rPr>
                <w:rFonts w:hint="eastAsia" w:ascii="宋体" w:hAnsi="宋体" w:cs="宋体"/>
                <w:color w:val="000000"/>
                <w:kern w:val="0"/>
                <w:sz w:val="24"/>
              </w:rPr>
              <w:t>设备外观：设备厚度≤3</w:t>
            </w:r>
            <w:r>
              <w:rPr>
                <w:rFonts w:ascii="宋体" w:hAnsi="宋体" w:cs="宋体"/>
                <w:color w:val="000000"/>
                <w:kern w:val="0"/>
                <w:sz w:val="24"/>
              </w:rPr>
              <w:t>3</w:t>
            </w:r>
            <w:r>
              <w:rPr>
                <w:rFonts w:hint="eastAsia" w:ascii="宋体" w:hAnsi="宋体" w:cs="宋体"/>
                <w:color w:val="000000"/>
                <w:kern w:val="0"/>
                <w:sz w:val="24"/>
              </w:rPr>
              <w:t>mm，设备长度≤251mm，设备宽度≤130mm；</w:t>
            </w:r>
            <w:r>
              <w:rPr>
                <w:rFonts w:ascii="宋体" w:hAnsi="宋体" w:cs="宋体"/>
                <w:color w:val="000000"/>
                <w:kern w:val="0"/>
                <w:sz w:val="24"/>
              </w:rPr>
              <w:t xml:space="preserve"> </w:t>
            </w:r>
          </w:p>
          <w:p>
            <w:pPr>
              <w:widowControl/>
              <w:jc w:val="left"/>
              <w:rPr>
                <w:rFonts w:hint="eastAsia" w:ascii="宋体" w:hAnsi="宋体" w:cs="宋体"/>
                <w:color w:val="000000"/>
                <w:kern w:val="0"/>
                <w:sz w:val="24"/>
              </w:rPr>
            </w:pPr>
            <w:r>
              <w:rPr>
                <w:rFonts w:hint="eastAsia" w:ascii="宋体" w:hAnsi="宋体" w:cs="宋体"/>
                <w:color w:val="000000"/>
                <w:kern w:val="0"/>
                <w:sz w:val="24"/>
              </w:rPr>
              <w:t>设备室外安装，支持IP65防水等级，需配备遮阳罩；</w:t>
            </w:r>
          </w:p>
          <w:p>
            <w:pPr>
              <w:widowControl/>
              <w:jc w:val="left"/>
              <w:rPr>
                <w:rFonts w:hint="eastAsia" w:ascii="宋体" w:hAnsi="宋体" w:cs="宋体"/>
                <w:color w:val="000000"/>
                <w:kern w:val="0"/>
                <w:sz w:val="24"/>
              </w:rPr>
            </w:pPr>
            <w:r>
              <w:rPr>
                <w:rFonts w:hint="eastAsia" w:ascii="宋体" w:hAnsi="宋体" w:cs="宋体"/>
                <w:color w:val="000000"/>
                <w:kern w:val="0"/>
                <w:sz w:val="24"/>
              </w:rPr>
              <w:t>工作环境温度：-30℃~+70℃；</w:t>
            </w:r>
          </w:p>
          <w:p>
            <w:pPr>
              <w:widowControl/>
              <w:jc w:val="left"/>
              <w:rPr>
                <w:rFonts w:hint="eastAsia" w:ascii="宋体" w:hAnsi="宋体" w:cs="宋体"/>
                <w:color w:val="000000"/>
                <w:kern w:val="0"/>
                <w:sz w:val="24"/>
              </w:rPr>
            </w:pPr>
            <w:r>
              <w:rPr>
                <w:rFonts w:hint="eastAsia" w:ascii="宋体" w:hAnsi="宋体" w:cs="宋体"/>
                <w:color w:val="000000"/>
                <w:kern w:val="0"/>
                <w:sz w:val="24"/>
              </w:rPr>
              <w:t>需配置安装支架（支架类型根据现场安装实际情况可选，包含挂装支架，斜装支架，万向支架等）；</w:t>
            </w:r>
          </w:p>
          <w:p>
            <w:pPr>
              <w:widowControl/>
              <w:jc w:val="left"/>
              <w:rPr>
                <w:rFonts w:hint="eastAsia" w:ascii="宋体" w:hAnsi="宋体" w:cs="宋体"/>
                <w:color w:val="000000"/>
                <w:kern w:val="0"/>
                <w:sz w:val="24"/>
              </w:rPr>
            </w:pPr>
            <w:r>
              <w:rPr>
                <w:rFonts w:hint="eastAsia" w:ascii="宋体" w:hAnsi="宋体" w:cs="宋体"/>
                <w:color w:val="000000"/>
                <w:kern w:val="0"/>
                <w:sz w:val="24"/>
              </w:rPr>
              <w:t>需配置电源模块，且电源模块足够支持门禁及单门或双门电磁锁供电；</w:t>
            </w:r>
          </w:p>
          <w:p>
            <w:pPr>
              <w:widowControl/>
              <w:jc w:val="left"/>
              <w:rPr>
                <w:rFonts w:hint="eastAsia" w:ascii="宋体" w:hAnsi="宋体" w:cs="宋体"/>
                <w:color w:val="000000"/>
                <w:kern w:val="0"/>
                <w:sz w:val="24"/>
              </w:rPr>
            </w:pPr>
            <w:r>
              <w:rPr>
                <w:rFonts w:hint="eastAsia" w:ascii="宋体" w:hAnsi="宋体" w:cs="宋体"/>
                <w:color w:val="000000"/>
                <w:kern w:val="0"/>
                <w:sz w:val="24"/>
              </w:rPr>
              <w:t>支持配套电磁锁（单门双门可选），直线拉力≥250kg，开锁时间≤1s，带LED指示灯指示门锁状态，支持常开常闭信号反馈，支持反向安装，配备与现场匹配的电磁锁支架及开门按钮。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1" w:type="pct"/>
            <w:vAlign w:val="center"/>
          </w:tcPr>
          <w:p>
            <w:pPr>
              <w:pStyle w:val="65"/>
              <w:numPr>
                <w:ilvl w:val="0"/>
                <w:numId w:val="0"/>
              </w:numPr>
              <w:jc w:val="center"/>
              <w:rPr>
                <w:rFonts w:hint="eastAsia" w:ascii="宋体" w:hAnsi="宋体"/>
                <w:color w:val="000000"/>
                <w:kern w:val="0"/>
                <w:szCs w:val="24"/>
              </w:rPr>
            </w:pPr>
            <w:r>
              <w:rPr>
                <w:rFonts w:hint="eastAsia" w:ascii="宋体" w:hAnsi="宋体"/>
                <w:color w:val="000000"/>
                <w:kern w:val="0"/>
                <w:szCs w:val="24"/>
              </w:rPr>
              <w:t>1</w:t>
            </w:r>
            <w:r>
              <w:rPr>
                <w:rFonts w:ascii="宋体" w:hAnsi="宋体"/>
                <w:color w:val="000000"/>
                <w:kern w:val="0"/>
                <w:szCs w:val="24"/>
              </w:rPr>
              <w:t>2</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人脸识别一体机（速通门）</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设备采用高性能嵌入式Linux操作系统，7英寸LCD触摸屏，屏幕分辨率不小于1024*600；</w:t>
            </w:r>
          </w:p>
          <w:p>
            <w:pPr>
              <w:widowControl/>
              <w:jc w:val="left"/>
              <w:rPr>
                <w:rFonts w:hint="eastAsia" w:ascii="宋体" w:hAnsi="宋体" w:cs="宋体"/>
                <w:color w:val="000000"/>
                <w:kern w:val="0"/>
                <w:sz w:val="24"/>
              </w:rPr>
            </w:pPr>
            <w:r>
              <w:rPr>
                <w:rFonts w:hint="eastAsia" w:ascii="宋体" w:hAnsi="宋体" w:cs="宋体"/>
                <w:color w:val="000000"/>
                <w:kern w:val="0"/>
                <w:sz w:val="24"/>
              </w:rPr>
              <w:t>设备采用高清宽动态双目摄像头，分辨率不低于1080P；</w:t>
            </w:r>
          </w:p>
          <w:p>
            <w:pPr>
              <w:widowControl/>
              <w:jc w:val="left"/>
              <w:rPr>
                <w:rFonts w:hint="eastAsia" w:ascii="宋体" w:hAnsi="宋体" w:cs="宋体"/>
                <w:color w:val="000000"/>
                <w:kern w:val="0"/>
                <w:sz w:val="24"/>
              </w:rPr>
            </w:pPr>
            <w:r>
              <w:rPr>
                <w:rFonts w:hint="eastAsia" w:ascii="宋体" w:hAnsi="宋体" w:cs="宋体"/>
                <w:color w:val="000000"/>
                <w:kern w:val="0"/>
                <w:sz w:val="24"/>
              </w:rPr>
              <w:t>人脸识别误识率≤0.01%，准确率≥99.8%，人脸识别速度≤0.2s；</w:t>
            </w:r>
          </w:p>
          <w:p>
            <w:pPr>
              <w:widowControl/>
              <w:jc w:val="left"/>
              <w:rPr>
                <w:rFonts w:hint="eastAsia" w:ascii="宋体" w:hAnsi="宋体" w:cs="宋体"/>
                <w:color w:val="000000"/>
                <w:kern w:val="0"/>
                <w:sz w:val="24"/>
              </w:rPr>
            </w:pPr>
            <w:r>
              <w:rPr>
                <w:rFonts w:hint="eastAsia" w:ascii="宋体" w:hAnsi="宋体" w:cs="宋体"/>
                <w:color w:val="000000"/>
                <w:kern w:val="0"/>
                <w:sz w:val="24"/>
              </w:rPr>
              <w:t>可适应强光、逆光、暗光（0.001lux低照度无补光）等条件的人脸准确识别，最远人脸识别距离不低于2米；</w:t>
            </w:r>
          </w:p>
          <w:p>
            <w:pPr>
              <w:widowControl/>
              <w:jc w:val="left"/>
              <w:rPr>
                <w:rFonts w:hint="eastAsia" w:ascii="宋体" w:hAnsi="宋体" w:cs="宋体"/>
                <w:color w:val="000000"/>
                <w:kern w:val="0"/>
                <w:sz w:val="24"/>
              </w:rPr>
            </w:pPr>
            <w:r>
              <w:rPr>
                <w:rFonts w:hint="eastAsia" w:ascii="宋体" w:hAnsi="宋体" w:cs="宋体"/>
                <w:color w:val="000000"/>
                <w:kern w:val="0"/>
                <w:sz w:val="24"/>
              </w:rPr>
              <w:t>设备本身支持人脸容量≥50000张，卡片容量≥50000张，出入记录容量≥100000条；</w:t>
            </w:r>
          </w:p>
          <w:p>
            <w:pPr>
              <w:widowControl/>
              <w:jc w:val="left"/>
              <w:rPr>
                <w:rFonts w:hint="eastAsia" w:ascii="宋体" w:hAnsi="宋体" w:cs="宋体"/>
                <w:color w:val="000000"/>
                <w:kern w:val="0"/>
                <w:sz w:val="24"/>
              </w:rPr>
            </w:pPr>
            <w:r>
              <w:rPr>
                <w:rFonts w:hint="eastAsia" w:ascii="宋体" w:hAnsi="宋体" w:cs="宋体"/>
                <w:color w:val="000000"/>
                <w:kern w:val="0"/>
                <w:sz w:val="24"/>
              </w:rPr>
              <w:t>设备支持人脸识别、密码等认证方式，且支持以上组合认证开门；</w:t>
            </w:r>
          </w:p>
          <w:p>
            <w:pPr>
              <w:widowControl/>
              <w:jc w:val="left"/>
              <w:rPr>
                <w:rFonts w:hint="eastAsia" w:ascii="宋体" w:hAnsi="宋体" w:cs="宋体"/>
                <w:color w:val="000000"/>
                <w:kern w:val="0"/>
                <w:sz w:val="24"/>
              </w:rPr>
            </w:pPr>
            <w:r>
              <w:rPr>
                <w:rFonts w:hint="eastAsia" w:ascii="宋体" w:hAnsi="宋体" w:cs="宋体"/>
                <w:color w:val="000000"/>
                <w:kern w:val="0"/>
                <w:sz w:val="24"/>
              </w:rPr>
              <w:t>设备应支持带口罩情况下的人脸识别；</w:t>
            </w:r>
          </w:p>
          <w:p>
            <w:pPr>
              <w:widowControl/>
              <w:jc w:val="left"/>
              <w:rPr>
                <w:rFonts w:hint="eastAsia" w:ascii="宋体" w:hAnsi="宋体" w:cs="宋体"/>
                <w:color w:val="000000"/>
                <w:kern w:val="0"/>
                <w:sz w:val="24"/>
              </w:rPr>
            </w:pPr>
            <w:r>
              <w:rPr>
                <w:rFonts w:hint="eastAsia" w:ascii="宋体" w:hAnsi="宋体" w:cs="宋体"/>
                <w:color w:val="000000"/>
                <w:kern w:val="0"/>
                <w:sz w:val="24"/>
              </w:rPr>
              <w:t>人脸识别终端具备防假体攻击功能，包括防照片欺骗，防视频欺骗功能；</w:t>
            </w:r>
          </w:p>
          <w:p>
            <w:pPr>
              <w:widowControl/>
              <w:jc w:val="left"/>
              <w:rPr>
                <w:rFonts w:hint="eastAsia" w:ascii="宋体" w:hAnsi="宋体" w:cs="宋体"/>
                <w:color w:val="000000"/>
                <w:kern w:val="0"/>
                <w:sz w:val="24"/>
              </w:rPr>
            </w:pPr>
            <w:r>
              <w:rPr>
                <w:rFonts w:hint="eastAsia" w:ascii="宋体" w:hAnsi="宋体" w:cs="宋体"/>
                <w:color w:val="000000"/>
                <w:kern w:val="0"/>
                <w:sz w:val="24"/>
              </w:rPr>
              <w:t>设备支持RS-485接口≥1个，RS-232接口≥1个，韦根接口≥1路输入/输出，USB接口≥2个USB2.0接口，网络接口≥1个；</w:t>
            </w:r>
          </w:p>
          <w:p>
            <w:pPr>
              <w:widowControl/>
              <w:jc w:val="left"/>
              <w:rPr>
                <w:rFonts w:hint="eastAsia" w:ascii="宋体" w:hAnsi="宋体" w:cs="宋体"/>
                <w:color w:val="000000"/>
                <w:kern w:val="0"/>
                <w:sz w:val="24"/>
              </w:rPr>
            </w:pPr>
            <w:r>
              <w:rPr>
                <w:rFonts w:hint="eastAsia" w:ascii="宋体" w:hAnsi="宋体" w:cs="宋体"/>
                <w:color w:val="000000"/>
                <w:kern w:val="0"/>
                <w:sz w:val="24"/>
              </w:rPr>
              <w:t>设备室外安装，支持IP65防水等级，需配备遮阳罩；</w:t>
            </w:r>
          </w:p>
          <w:p>
            <w:pPr>
              <w:widowControl/>
              <w:jc w:val="left"/>
              <w:rPr>
                <w:rFonts w:hint="eastAsia" w:ascii="宋体" w:hAnsi="宋体" w:cs="宋体"/>
                <w:color w:val="000000"/>
                <w:kern w:val="0"/>
                <w:sz w:val="24"/>
              </w:rPr>
            </w:pPr>
            <w:r>
              <w:rPr>
                <w:rFonts w:hint="eastAsia" w:ascii="宋体" w:hAnsi="宋体" w:cs="宋体"/>
                <w:color w:val="000000"/>
                <w:kern w:val="0"/>
                <w:sz w:val="24"/>
              </w:rPr>
              <w:t>工作环境温度：-30℃~+70℃。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ascii="宋体" w:hAnsi="宋体"/>
                <w:color w:val="000000"/>
                <w:kern w:val="0"/>
                <w:szCs w:val="24"/>
              </w:rPr>
              <w:t>13</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速通门（人员通道）-翼闸</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驱动电机为直流无刷伺服电机，红外对射数量≥12对，门翼材质为亚克力材质；</w:t>
            </w:r>
          </w:p>
          <w:p>
            <w:pPr>
              <w:widowControl/>
              <w:jc w:val="left"/>
              <w:rPr>
                <w:rFonts w:hint="eastAsia" w:ascii="宋体" w:hAnsi="宋体" w:cs="宋体"/>
                <w:color w:val="000000"/>
                <w:kern w:val="0"/>
                <w:sz w:val="24"/>
              </w:rPr>
            </w:pPr>
            <w:r>
              <w:rPr>
                <w:rFonts w:hint="eastAsia" w:ascii="宋体" w:hAnsi="宋体" w:cs="宋体"/>
                <w:color w:val="000000"/>
                <w:kern w:val="0"/>
                <w:sz w:val="24"/>
              </w:rPr>
              <w:t>门翼开关速度≤0.4s，通行速率最大不低于40人/min，最小不低于20人/min；</w:t>
            </w:r>
          </w:p>
          <w:p>
            <w:pPr>
              <w:widowControl/>
              <w:jc w:val="left"/>
              <w:rPr>
                <w:rFonts w:hint="eastAsia" w:ascii="宋体" w:hAnsi="宋体" w:cs="宋体"/>
                <w:color w:val="000000"/>
                <w:kern w:val="0"/>
                <w:sz w:val="24"/>
              </w:rPr>
            </w:pPr>
            <w:r>
              <w:rPr>
                <w:rFonts w:hint="eastAsia" w:ascii="宋体" w:hAnsi="宋体" w:cs="宋体"/>
                <w:color w:val="000000"/>
                <w:kern w:val="0"/>
                <w:sz w:val="24"/>
              </w:rPr>
              <w:t>闸机通道应支持防尾随、防夹保护功能，同时支持翻越报警、滞留报警、反向闯入报警防拆报警等，且支持上传对应报警信息到平台。</w:t>
            </w:r>
          </w:p>
          <w:p>
            <w:pPr>
              <w:widowControl/>
              <w:jc w:val="left"/>
              <w:rPr>
                <w:rFonts w:hint="eastAsia" w:ascii="宋体" w:hAnsi="宋体" w:cs="宋体"/>
                <w:color w:val="000000"/>
                <w:kern w:val="0"/>
                <w:sz w:val="24"/>
              </w:rPr>
            </w:pPr>
            <w:r>
              <w:rPr>
                <w:rFonts w:hint="eastAsia" w:ascii="宋体" w:hAnsi="宋体" w:cs="宋体"/>
                <w:color w:val="000000"/>
                <w:kern w:val="0"/>
                <w:sz w:val="24"/>
              </w:rPr>
              <w:t>闸机通道应支持主板记忆功能，当有两人同时刷脸成功时，门翼需等两人都通过之后才关闭；</w:t>
            </w:r>
          </w:p>
          <w:p>
            <w:pPr>
              <w:widowControl/>
              <w:jc w:val="left"/>
              <w:rPr>
                <w:rFonts w:hint="eastAsia" w:ascii="宋体" w:hAnsi="宋体" w:cs="宋体"/>
                <w:color w:val="000000"/>
                <w:kern w:val="0"/>
                <w:sz w:val="24"/>
              </w:rPr>
            </w:pPr>
            <w:r>
              <w:rPr>
                <w:rFonts w:hint="eastAsia" w:ascii="宋体" w:hAnsi="宋体" w:cs="宋体"/>
                <w:color w:val="000000"/>
                <w:kern w:val="0"/>
                <w:sz w:val="24"/>
              </w:rPr>
              <w:t>闸机通道应同时支持机械防夹（在门翼复位的过程中，遇阻时电机自动停止工作，阻力消失后门翼自动复位）和红外防夹（人员通行时，红外检测到人员在非安全区域，门翼自动停止动作，人员离开通道后，门翼自动复位）；</w:t>
            </w:r>
          </w:p>
          <w:p>
            <w:pPr>
              <w:widowControl/>
              <w:jc w:val="left"/>
              <w:rPr>
                <w:rFonts w:hint="eastAsia" w:ascii="宋体" w:hAnsi="宋体" w:cs="宋体"/>
                <w:color w:val="000000"/>
                <w:kern w:val="0"/>
                <w:sz w:val="24"/>
              </w:rPr>
            </w:pPr>
            <w:r>
              <w:rPr>
                <w:rFonts w:hint="eastAsia" w:ascii="宋体" w:hAnsi="宋体" w:cs="宋体"/>
                <w:color w:val="000000"/>
                <w:kern w:val="0"/>
                <w:sz w:val="24"/>
              </w:rPr>
              <w:t>闸机需支持接入RS485和wiegand 读卡器，方便后续闸机扩容或变更使用场景；</w:t>
            </w:r>
          </w:p>
          <w:p>
            <w:pPr>
              <w:widowControl/>
              <w:jc w:val="left"/>
              <w:rPr>
                <w:rFonts w:hint="eastAsia" w:ascii="宋体" w:hAnsi="宋体" w:cs="宋体"/>
                <w:color w:val="000000"/>
                <w:kern w:val="0"/>
                <w:sz w:val="24"/>
              </w:rPr>
            </w:pPr>
            <w:r>
              <w:rPr>
                <w:rFonts w:hint="eastAsia" w:ascii="宋体" w:hAnsi="宋体" w:cs="宋体"/>
                <w:color w:val="000000"/>
                <w:kern w:val="0"/>
                <w:sz w:val="24"/>
              </w:rPr>
              <w:t>闸机通道外壳对外界机械碰撞的防护等级最薄弱处不低于IK04要求，其他表面不低于IK07要求；</w:t>
            </w:r>
          </w:p>
          <w:p>
            <w:pPr>
              <w:widowControl/>
              <w:jc w:val="left"/>
              <w:rPr>
                <w:rFonts w:hint="eastAsia" w:ascii="宋体" w:hAnsi="宋体" w:cs="宋体"/>
                <w:color w:val="000000"/>
                <w:kern w:val="0"/>
                <w:sz w:val="24"/>
              </w:rPr>
            </w:pPr>
            <w:r>
              <w:rPr>
                <w:rFonts w:hint="eastAsia" w:ascii="宋体" w:hAnsi="宋体" w:cs="宋体"/>
                <w:color w:val="000000"/>
                <w:kern w:val="0"/>
                <w:sz w:val="24"/>
              </w:rPr>
              <w:t>闸机支持读卡器、二维码、人脸识别组件、身份证阅读器、显示屏等设备扩展集成，并实现多种认证方式组合应用；</w:t>
            </w:r>
          </w:p>
          <w:p>
            <w:pPr>
              <w:widowControl/>
              <w:jc w:val="left"/>
              <w:rPr>
                <w:rFonts w:hint="eastAsia" w:ascii="宋体" w:hAnsi="宋体" w:cs="宋体"/>
                <w:color w:val="000000"/>
                <w:kern w:val="0"/>
                <w:sz w:val="24"/>
              </w:rPr>
            </w:pPr>
            <w:r>
              <w:rPr>
                <w:rFonts w:hint="eastAsia" w:ascii="宋体" w:hAnsi="宋体" w:cs="宋体"/>
                <w:color w:val="000000"/>
                <w:kern w:val="0"/>
                <w:sz w:val="24"/>
              </w:rPr>
              <w:t>闸机要求支持室外使用，支持遥控器开门，支持断电自动开闸；</w:t>
            </w:r>
          </w:p>
          <w:p>
            <w:pPr>
              <w:widowControl/>
              <w:jc w:val="left"/>
              <w:rPr>
                <w:rFonts w:hint="eastAsia" w:ascii="宋体" w:hAnsi="宋体" w:cs="宋体"/>
                <w:color w:val="000000"/>
                <w:kern w:val="0"/>
                <w:sz w:val="24"/>
              </w:rPr>
            </w:pPr>
            <w:r>
              <w:rPr>
                <w:rFonts w:hint="eastAsia" w:ascii="宋体" w:hAnsi="宋体" w:cs="宋体"/>
                <w:color w:val="000000"/>
                <w:kern w:val="0"/>
                <w:sz w:val="24"/>
              </w:rPr>
              <w:t>闸机通道支持设置每天不少于8个时间段常开/常闭，支持不少于52个周计划；</w:t>
            </w:r>
          </w:p>
          <w:p>
            <w:pPr>
              <w:widowControl/>
              <w:jc w:val="left"/>
              <w:rPr>
                <w:rFonts w:hint="eastAsia" w:ascii="宋体" w:hAnsi="宋体" w:cs="宋体"/>
                <w:color w:val="000000"/>
                <w:kern w:val="0"/>
                <w:sz w:val="24"/>
              </w:rPr>
            </w:pPr>
            <w:r>
              <w:rPr>
                <w:rFonts w:hint="eastAsia" w:ascii="宋体" w:hAnsi="宋体" w:cs="宋体"/>
                <w:color w:val="000000"/>
                <w:kern w:val="0"/>
                <w:sz w:val="24"/>
              </w:rPr>
              <w:t>工作环境温度:-25℃~+70℃；</w:t>
            </w:r>
          </w:p>
          <w:p>
            <w:pPr>
              <w:widowControl/>
              <w:jc w:val="left"/>
              <w:rPr>
                <w:rFonts w:hint="eastAsia" w:ascii="宋体" w:hAnsi="宋体" w:cs="宋体"/>
                <w:color w:val="000000"/>
                <w:kern w:val="0"/>
                <w:sz w:val="24"/>
              </w:rPr>
            </w:pPr>
            <w:r>
              <w:rPr>
                <w:rFonts w:hint="eastAsia" w:ascii="宋体" w:hAnsi="宋体" w:cs="宋体"/>
                <w:color w:val="000000"/>
                <w:kern w:val="0"/>
                <w:sz w:val="24"/>
              </w:rPr>
              <w:t>每组通道需包含至少一个遥控器。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ascii="宋体" w:hAnsi="宋体"/>
                <w:color w:val="000000"/>
                <w:kern w:val="0"/>
                <w:szCs w:val="24"/>
              </w:rPr>
              <w:t>14</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摆闸遥控器</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管控门数：1个；</w:t>
            </w:r>
          </w:p>
          <w:p>
            <w:pPr>
              <w:widowControl/>
              <w:jc w:val="left"/>
              <w:rPr>
                <w:rFonts w:hint="eastAsia" w:ascii="宋体" w:hAnsi="宋体" w:cs="宋体"/>
                <w:color w:val="000000"/>
                <w:kern w:val="0"/>
                <w:sz w:val="24"/>
              </w:rPr>
            </w:pPr>
            <w:r>
              <w:rPr>
                <w:rFonts w:hint="eastAsia" w:ascii="宋体" w:hAnsi="宋体" w:cs="宋体"/>
                <w:color w:val="000000"/>
                <w:kern w:val="0"/>
                <w:sz w:val="24"/>
              </w:rPr>
              <w:t>每组通道控制器</w:t>
            </w:r>
          </w:p>
          <w:p>
            <w:pPr>
              <w:widowControl/>
              <w:jc w:val="left"/>
              <w:rPr>
                <w:rFonts w:hint="eastAsia" w:ascii="宋体" w:hAnsi="宋体" w:cs="宋体"/>
                <w:color w:val="000000"/>
                <w:kern w:val="0"/>
                <w:sz w:val="24"/>
              </w:rPr>
            </w:pPr>
            <w:r>
              <w:rPr>
                <w:rFonts w:hint="eastAsia" w:ascii="宋体" w:hAnsi="宋体" w:cs="宋体"/>
                <w:color w:val="000000"/>
                <w:kern w:val="0"/>
                <w:sz w:val="24"/>
              </w:rPr>
              <w:t>发射频率：868MHz或</w:t>
            </w:r>
            <w:r>
              <w:rPr>
                <w:rFonts w:ascii="宋体" w:hAnsi="宋体" w:cs="宋体"/>
                <w:color w:val="000000"/>
                <w:kern w:val="0"/>
                <w:sz w:val="24"/>
              </w:rPr>
              <w:t>433MHz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541" w:type="pct"/>
            <w:vAlign w:val="center"/>
          </w:tcPr>
          <w:p>
            <w:pPr>
              <w:pStyle w:val="65"/>
              <w:numPr>
                <w:ilvl w:val="0"/>
                <w:numId w:val="0"/>
              </w:numPr>
              <w:jc w:val="center"/>
              <w:rPr>
                <w:rFonts w:hint="eastAsia" w:ascii="宋体" w:hAnsi="宋体"/>
                <w:color w:val="000000"/>
                <w:kern w:val="0"/>
                <w:szCs w:val="24"/>
              </w:rPr>
            </w:pPr>
            <w:r>
              <w:rPr>
                <w:rFonts w:hint="eastAsia" w:ascii="宋体" w:hAnsi="宋体"/>
                <w:color w:val="000000"/>
                <w:kern w:val="0"/>
                <w:szCs w:val="24"/>
              </w:rPr>
              <w:t>15</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监控支架</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配套支持枪机、球机固定支架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541" w:type="pct"/>
            <w:vAlign w:val="center"/>
          </w:tcPr>
          <w:p>
            <w:pPr>
              <w:pStyle w:val="65"/>
              <w:numPr>
                <w:ilvl w:val="0"/>
                <w:numId w:val="0"/>
              </w:numPr>
              <w:jc w:val="center"/>
              <w:rPr>
                <w:rFonts w:hint="eastAsia" w:ascii="宋体" w:hAnsi="宋体"/>
                <w:color w:val="000000"/>
                <w:kern w:val="0"/>
                <w:szCs w:val="24"/>
              </w:rPr>
            </w:pPr>
            <w:r>
              <w:rPr>
                <w:rFonts w:hint="eastAsia" w:ascii="宋体" w:hAnsi="宋体"/>
                <w:color w:val="000000"/>
                <w:kern w:val="0"/>
                <w:szCs w:val="24"/>
              </w:rPr>
              <w:t>16</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人员通道支架</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配套支持人脸识别门禁面板机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1" w:type="pct"/>
            <w:vAlign w:val="center"/>
          </w:tcPr>
          <w:p>
            <w:pPr>
              <w:pStyle w:val="65"/>
              <w:numPr>
                <w:ilvl w:val="0"/>
                <w:numId w:val="0"/>
              </w:numPr>
              <w:jc w:val="center"/>
              <w:rPr>
                <w:rFonts w:hint="eastAsia" w:ascii="宋体" w:hAnsi="宋体"/>
                <w:color w:val="000000"/>
                <w:kern w:val="0"/>
                <w:szCs w:val="24"/>
              </w:rPr>
            </w:pPr>
            <w:r>
              <w:rPr>
                <w:rFonts w:hint="eastAsia" w:ascii="宋体" w:hAnsi="宋体"/>
                <w:color w:val="000000"/>
                <w:kern w:val="0"/>
                <w:szCs w:val="24"/>
              </w:rPr>
              <w:t>17</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集中式存储</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采用LINUX操作系统，至少1个64位多核处理器。不少于2个千兆网口，电源1+1冗余。满足多种应用需求；</w:t>
            </w:r>
          </w:p>
          <w:p>
            <w:pPr>
              <w:widowControl/>
              <w:jc w:val="left"/>
              <w:rPr>
                <w:rFonts w:hint="eastAsia" w:ascii="宋体" w:hAnsi="宋体" w:cs="宋体"/>
                <w:color w:val="000000"/>
                <w:kern w:val="0"/>
                <w:sz w:val="24"/>
              </w:rPr>
            </w:pPr>
            <w:r>
              <w:rPr>
                <w:rFonts w:hint="eastAsia" w:ascii="宋体" w:hAnsi="宋体" w:cs="宋体"/>
                <w:color w:val="000000"/>
                <w:kern w:val="0"/>
                <w:sz w:val="24"/>
              </w:rPr>
              <w:t>支持RAID 0、1、3、5、6、10、50多种RAID模式，以及全局热备和局部热备，支持数据防篡改等数据安全保护技术，多重保护数据安全，本次需使用raid5，raid组内盘位数量以及热备盘数量按照行业通用标准执行，存储容量计算需计算raid损耗、热备损耗、硬盘损耗；</w:t>
            </w:r>
          </w:p>
          <w:p>
            <w:pPr>
              <w:widowControl/>
              <w:jc w:val="left"/>
              <w:rPr>
                <w:rFonts w:hint="eastAsia" w:ascii="宋体" w:hAnsi="宋体" w:cs="宋体"/>
                <w:color w:val="000000"/>
                <w:kern w:val="0"/>
                <w:sz w:val="24"/>
              </w:rPr>
            </w:pPr>
            <w:r>
              <w:rPr>
                <w:rFonts w:hint="eastAsia" w:ascii="宋体" w:hAnsi="宋体" w:cs="宋体"/>
                <w:color w:val="000000"/>
                <w:kern w:val="0"/>
                <w:sz w:val="24"/>
              </w:rPr>
              <w:t>支持视频流、图片流、SMART流、视频文件混合直存；</w:t>
            </w:r>
          </w:p>
          <w:p>
            <w:pPr>
              <w:widowControl/>
              <w:jc w:val="left"/>
              <w:rPr>
                <w:rFonts w:hint="eastAsia" w:ascii="宋体" w:hAnsi="宋体" w:cs="宋体"/>
                <w:color w:val="000000"/>
                <w:kern w:val="0"/>
                <w:sz w:val="24"/>
              </w:rPr>
            </w:pPr>
            <w:r>
              <w:rPr>
                <w:rFonts w:hint="eastAsia" w:ascii="宋体" w:hAnsi="宋体" w:cs="宋体"/>
                <w:color w:val="000000"/>
                <w:kern w:val="0"/>
                <w:sz w:val="24"/>
              </w:rPr>
              <w:t>支持前端以RTSP/SIP（GB/T28181）/ONVIF/PSIA等协议接入；</w:t>
            </w:r>
          </w:p>
          <w:p>
            <w:pPr>
              <w:widowControl/>
              <w:jc w:val="left"/>
              <w:rPr>
                <w:rFonts w:hint="eastAsia" w:ascii="宋体" w:hAnsi="宋体" w:cs="宋体"/>
                <w:color w:val="000000"/>
                <w:kern w:val="0"/>
                <w:sz w:val="24"/>
              </w:rPr>
            </w:pPr>
            <w:r>
              <w:rPr>
                <w:rFonts w:hint="eastAsia" w:ascii="宋体" w:hAnsi="宋体" w:cs="宋体"/>
                <w:color w:val="000000"/>
                <w:kern w:val="0"/>
                <w:sz w:val="24"/>
              </w:rPr>
              <w:t>存储为48盘位，且满配</w:t>
            </w:r>
            <w:r>
              <w:rPr>
                <w:rFonts w:ascii="宋体" w:hAnsi="宋体" w:cs="宋体"/>
                <w:color w:val="000000"/>
                <w:kern w:val="0"/>
                <w:sz w:val="24"/>
              </w:rPr>
              <w:t>8</w:t>
            </w:r>
            <w:r>
              <w:rPr>
                <w:rFonts w:hint="eastAsia" w:ascii="宋体" w:hAnsi="宋体" w:cs="宋体"/>
                <w:color w:val="000000"/>
                <w:kern w:val="0"/>
                <w:sz w:val="24"/>
              </w:rPr>
              <w:t>T企业级硬盘。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hint="eastAsia" w:ascii="宋体" w:hAnsi="宋体"/>
                <w:color w:val="000000"/>
                <w:kern w:val="0"/>
                <w:szCs w:val="24"/>
              </w:rPr>
              <w:t>18</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监控硬盘</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企业级硬盘8T，配套支持硬盘录像机及集中式存储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pStyle w:val="65"/>
              <w:numPr>
                <w:ilvl w:val="0"/>
                <w:numId w:val="0"/>
              </w:numPr>
              <w:jc w:val="center"/>
              <w:rPr>
                <w:rFonts w:hint="eastAsia" w:ascii="宋体" w:hAnsi="宋体"/>
                <w:color w:val="000000"/>
                <w:kern w:val="0"/>
                <w:szCs w:val="24"/>
              </w:rPr>
            </w:pPr>
            <w:r>
              <w:rPr>
                <w:rFonts w:hint="eastAsia" w:ascii="宋体" w:hAnsi="宋体"/>
                <w:color w:val="000000"/>
                <w:kern w:val="0"/>
                <w:szCs w:val="24"/>
              </w:rPr>
              <w:t>19</w:t>
            </w:r>
          </w:p>
        </w:tc>
        <w:tc>
          <w:tcPr>
            <w:tcW w:w="911" w:type="pct"/>
            <w:vAlign w:val="center"/>
          </w:tcPr>
          <w:p>
            <w:pPr>
              <w:pStyle w:val="65"/>
              <w:numPr>
                <w:ilvl w:val="0"/>
                <w:numId w:val="0"/>
              </w:numPr>
              <w:jc w:val="left"/>
              <w:rPr>
                <w:rFonts w:hint="eastAsia" w:ascii="宋体" w:hAnsi="宋体"/>
                <w:color w:val="000000"/>
                <w:kern w:val="0"/>
                <w:szCs w:val="24"/>
              </w:rPr>
            </w:pPr>
            <w:r>
              <w:rPr>
                <w:rFonts w:hint="eastAsia" w:ascii="宋体" w:hAnsi="宋体"/>
                <w:color w:val="000000"/>
                <w:kern w:val="0"/>
                <w:szCs w:val="24"/>
              </w:rPr>
              <w:t>监控硬盘</w:t>
            </w:r>
          </w:p>
        </w:tc>
        <w:tc>
          <w:tcPr>
            <w:tcW w:w="3547" w:type="pct"/>
            <w:vAlign w:val="center"/>
          </w:tcPr>
          <w:p>
            <w:pPr>
              <w:widowControl/>
              <w:jc w:val="left"/>
              <w:rPr>
                <w:rFonts w:hint="eastAsia" w:ascii="宋体" w:hAnsi="宋体" w:cs="宋体"/>
                <w:color w:val="000000"/>
                <w:kern w:val="0"/>
                <w:sz w:val="24"/>
              </w:rPr>
            </w:pPr>
            <w:r>
              <w:rPr>
                <w:rFonts w:hint="eastAsia" w:ascii="宋体" w:hAnsi="宋体" w:cs="宋体"/>
                <w:color w:val="000000"/>
                <w:kern w:val="0"/>
                <w:sz w:val="24"/>
              </w:rPr>
              <w:t>企业级硬盘10T，配套支持硬盘录像机及集中式存储</w:t>
            </w:r>
          </w:p>
        </w:tc>
      </w:tr>
    </w:tbl>
    <w:p>
      <w:pPr>
        <w:spacing w:line="480" w:lineRule="exact"/>
        <w:ind w:firstLine="480"/>
        <w:rPr>
          <w:sz w:val="24"/>
        </w:rPr>
      </w:pPr>
      <w:r>
        <w:rPr>
          <w:rFonts w:hint="eastAsia"/>
          <w:sz w:val="24"/>
        </w:rPr>
        <w:t>注：以上摄像机所配电源适配器需为开关电源适配器。</w:t>
      </w:r>
    </w:p>
    <w:p>
      <w:pPr>
        <w:pStyle w:val="2"/>
        <w:keepLines w:val="0"/>
        <w:widowControl/>
        <w:spacing w:before="0" w:after="0" w:line="360" w:lineRule="auto"/>
        <w:ind w:right="206" w:rightChars="98"/>
        <w:rPr>
          <w:rFonts w:hint="eastAsia" w:hAnsi="宋体"/>
          <w:kern w:val="2"/>
          <w:sz w:val="32"/>
          <w:szCs w:val="32"/>
        </w:rPr>
      </w:pPr>
      <w:bookmarkStart w:id="53" w:name="_Toc205983518"/>
      <w:r>
        <w:rPr>
          <w:rFonts w:hint="eastAsia" w:hAnsi="宋体"/>
          <w:kern w:val="2"/>
          <w:sz w:val="32"/>
          <w:szCs w:val="32"/>
        </w:rPr>
        <w:t>五</w:t>
      </w:r>
      <w:r>
        <w:rPr>
          <w:rFonts w:hAnsi="宋体"/>
          <w:kern w:val="2"/>
          <w:sz w:val="32"/>
          <w:szCs w:val="32"/>
        </w:rPr>
        <w:t>、人员管理要求</w:t>
      </w:r>
      <w:bookmarkEnd w:id="53"/>
    </w:p>
    <w:p>
      <w:pPr>
        <w:pStyle w:val="4"/>
        <w:spacing w:line="440" w:lineRule="exact"/>
        <w:rPr>
          <w:b w:val="0"/>
          <w:sz w:val="24"/>
          <w:szCs w:val="24"/>
        </w:rPr>
      </w:pPr>
      <w:r>
        <w:rPr>
          <w:bCs w:val="0"/>
          <w:sz w:val="24"/>
          <w:szCs w:val="24"/>
        </w:rPr>
        <w:t>1、人员测算</w:t>
      </w:r>
    </w:p>
    <w:p>
      <w:pPr>
        <w:widowControl/>
        <w:spacing w:line="360" w:lineRule="auto"/>
        <w:jc w:val="center"/>
        <w:rPr>
          <w:b/>
          <w:bCs/>
          <w:kern w:val="0"/>
          <w:sz w:val="24"/>
        </w:rPr>
      </w:pPr>
      <w:r>
        <w:rPr>
          <w:rFonts w:hint="eastAsia"/>
          <w:b/>
          <w:bCs/>
          <w:kern w:val="0"/>
          <w:sz w:val="24"/>
        </w:rPr>
        <w:t>厂外仓库人员预计（按单班人员测算）</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291"/>
        <w:gridCol w:w="771"/>
        <w:gridCol w:w="1031"/>
        <w:gridCol w:w="1031"/>
        <w:gridCol w:w="1031"/>
        <w:gridCol w:w="1291"/>
        <w:gridCol w:w="1291"/>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pPr>
              <w:spacing w:line="480" w:lineRule="exact"/>
              <w:jc w:val="center"/>
              <w:rPr>
                <w:sz w:val="22"/>
                <w:szCs w:val="18"/>
              </w:rPr>
            </w:pPr>
            <w:r>
              <w:rPr>
                <w:rFonts w:hint="eastAsia"/>
                <w:sz w:val="22"/>
                <w:szCs w:val="18"/>
              </w:rPr>
              <w:t>序号</w:t>
            </w:r>
          </w:p>
        </w:tc>
        <w:tc>
          <w:tcPr>
            <w:tcW w:w="695" w:type="pct"/>
            <w:vAlign w:val="center"/>
          </w:tcPr>
          <w:p>
            <w:pPr>
              <w:spacing w:line="480" w:lineRule="exact"/>
              <w:jc w:val="center"/>
              <w:rPr>
                <w:sz w:val="22"/>
                <w:szCs w:val="18"/>
              </w:rPr>
            </w:pPr>
            <w:r>
              <w:rPr>
                <w:rFonts w:hint="eastAsia"/>
                <w:sz w:val="22"/>
                <w:szCs w:val="18"/>
              </w:rPr>
              <w:t>管理人员</w:t>
            </w:r>
          </w:p>
        </w:tc>
        <w:tc>
          <w:tcPr>
            <w:tcW w:w="415" w:type="pct"/>
            <w:vAlign w:val="center"/>
          </w:tcPr>
          <w:p>
            <w:pPr>
              <w:spacing w:line="480" w:lineRule="exact"/>
              <w:jc w:val="center"/>
              <w:rPr>
                <w:sz w:val="22"/>
                <w:szCs w:val="18"/>
              </w:rPr>
            </w:pPr>
            <w:r>
              <w:rPr>
                <w:rFonts w:hint="eastAsia"/>
                <w:sz w:val="22"/>
                <w:szCs w:val="18"/>
              </w:rPr>
              <w:t>保管</w:t>
            </w:r>
          </w:p>
        </w:tc>
        <w:tc>
          <w:tcPr>
            <w:tcW w:w="555" w:type="pct"/>
            <w:vAlign w:val="center"/>
          </w:tcPr>
          <w:p>
            <w:pPr>
              <w:spacing w:line="480" w:lineRule="exact"/>
              <w:jc w:val="center"/>
              <w:rPr>
                <w:sz w:val="22"/>
                <w:szCs w:val="18"/>
              </w:rPr>
            </w:pPr>
            <w:r>
              <w:rPr>
                <w:rFonts w:hint="eastAsia"/>
                <w:sz w:val="22"/>
                <w:szCs w:val="18"/>
              </w:rPr>
              <w:t>叉车工</w:t>
            </w:r>
          </w:p>
        </w:tc>
        <w:tc>
          <w:tcPr>
            <w:tcW w:w="555" w:type="pct"/>
            <w:vAlign w:val="center"/>
          </w:tcPr>
          <w:p>
            <w:pPr>
              <w:spacing w:line="480" w:lineRule="exact"/>
              <w:jc w:val="center"/>
              <w:rPr>
                <w:sz w:val="22"/>
                <w:szCs w:val="18"/>
              </w:rPr>
            </w:pPr>
            <w:r>
              <w:rPr>
                <w:rFonts w:hint="eastAsia"/>
                <w:sz w:val="22"/>
                <w:szCs w:val="18"/>
              </w:rPr>
              <w:t>分拣工</w:t>
            </w:r>
          </w:p>
        </w:tc>
        <w:tc>
          <w:tcPr>
            <w:tcW w:w="555" w:type="pct"/>
            <w:vAlign w:val="center"/>
          </w:tcPr>
          <w:p>
            <w:pPr>
              <w:spacing w:line="480" w:lineRule="exact"/>
              <w:jc w:val="center"/>
              <w:rPr>
                <w:sz w:val="22"/>
                <w:szCs w:val="18"/>
              </w:rPr>
            </w:pPr>
            <w:r>
              <w:rPr>
                <w:rFonts w:hint="eastAsia"/>
                <w:sz w:val="22"/>
                <w:szCs w:val="18"/>
              </w:rPr>
              <w:t>配送工</w:t>
            </w:r>
          </w:p>
        </w:tc>
        <w:tc>
          <w:tcPr>
            <w:tcW w:w="695" w:type="pct"/>
            <w:vAlign w:val="center"/>
          </w:tcPr>
          <w:p>
            <w:pPr>
              <w:spacing w:line="480" w:lineRule="exact"/>
              <w:jc w:val="center"/>
              <w:rPr>
                <w:sz w:val="22"/>
                <w:szCs w:val="18"/>
              </w:rPr>
            </w:pPr>
            <w:r>
              <w:rPr>
                <w:rFonts w:hint="eastAsia"/>
                <w:sz w:val="22"/>
                <w:szCs w:val="18"/>
              </w:rPr>
              <w:t>巡线人员</w:t>
            </w:r>
          </w:p>
        </w:tc>
        <w:tc>
          <w:tcPr>
            <w:tcW w:w="695" w:type="pct"/>
            <w:vAlign w:val="center"/>
          </w:tcPr>
          <w:p>
            <w:pPr>
              <w:spacing w:line="480" w:lineRule="exact"/>
              <w:jc w:val="center"/>
              <w:rPr>
                <w:sz w:val="22"/>
                <w:szCs w:val="18"/>
              </w:rPr>
            </w:pPr>
            <w:r>
              <w:rPr>
                <w:rFonts w:hint="eastAsia"/>
                <w:sz w:val="22"/>
                <w:szCs w:val="18"/>
              </w:rPr>
              <w:t>运输司机</w:t>
            </w:r>
          </w:p>
        </w:tc>
        <w:tc>
          <w:tcPr>
            <w:tcW w:w="415" w:type="pct"/>
            <w:vAlign w:val="center"/>
          </w:tcPr>
          <w:p>
            <w:pPr>
              <w:spacing w:line="480" w:lineRule="exact"/>
              <w:jc w:val="center"/>
              <w:rPr>
                <w:sz w:val="22"/>
                <w:szCs w:val="18"/>
              </w:rPr>
            </w:pPr>
            <w:r>
              <w:rPr>
                <w:rFonts w:hint="eastAsia"/>
                <w:sz w:val="22"/>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pPr>
              <w:spacing w:line="480" w:lineRule="exact"/>
              <w:jc w:val="center"/>
              <w:rPr>
                <w:sz w:val="22"/>
                <w:szCs w:val="18"/>
              </w:rPr>
            </w:pPr>
            <w:r>
              <w:rPr>
                <w:rFonts w:hint="eastAsia"/>
                <w:sz w:val="22"/>
                <w:szCs w:val="18"/>
              </w:rPr>
              <w:t>1</w:t>
            </w:r>
          </w:p>
        </w:tc>
        <w:tc>
          <w:tcPr>
            <w:tcW w:w="695" w:type="pct"/>
            <w:vAlign w:val="center"/>
          </w:tcPr>
          <w:p>
            <w:pPr>
              <w:spacing w:line="480" w:lineRule="exact"/>
              <w:jc w:val="center"/>
              <w:rPr>
                <w:sz w:val="22"/>
                <w:szCs w:val="18"/>
              </w:rPr>
            </w:pPr>
            <w:r>
              <w:rPr>
                <w:rFonts w:hint="eastAsia"/>
                <w:sz w:val="22"/>
                <w:szCs w:val="18"/>
              </w:rPr>
              <w:t>1</w:t>
            </w:r>
          </w:p>
        </w:tc>
        <w:tc>
          <w:tcPr>
            <w:tcW w:w="415" w:type="pct"/>
            <w:vAlign w:val="center"/>
          </w:tcPr>
          <w:p>
            <w:pPr>
              <w:spacing w:line="480" w:lineRule="exact"/>
              <w:jc w:val="center"/>
              <w:rPr>
                <w:sz w:val="22"/>
                <w:szCs w:val="18"/>
              </w:rPr>
            </w:pPr>
            <w:r>
              <w:rPr>
                <w:rFonts w:hint="eastAsia"/>
                <w:sz w:val="22"/>
                <w:szCs w:val="18"/>
              </w:rPr>
              <w:t>2</w:t>
            </w:r>
          </w:p>
        </w:tc>
        <w:tc>
          <w:tcPr>
            <w:tcW w:w="555" w:type="pct"/>
            <w:vAlign w:val="center"/>
          </w:tcPr>
          <w:p>
            <w:pPr>
              <w:spacing w:line="480" w:lineRule="exact"/>
              <w:jc w:val="center"/>
              <w:rPr>
                <w:sz w:val="22"/>
                <w:szCs w:val="18"/>
              </w:rPr>
            </w:pPr>
            <w:r>
              <w:rPr>
                <w:rFonts w:hint="eastAsia"/>
                <w:sz w:val="22"/>
                <w:szCs w:val="18"/>
              </w:rPr>
              <w:t>2</w:t>
            </w:r>
          </w:p>
        </w:tc>
        <w:tc>
          <w:tcPr>
            <w:tcW w:w="555" w:type="pct"/>
            <w:vAlign w:val="center"/>
          </w:tcPr>
          <w:p>
            <w:pPr>
              <w:spacing w:line="480" w:lineRule="exact"/>
              <w:jc w:val="center"/>
              <w:rPr>
                <w:sz w:val="22"/>
                <w:szCs w:val="18"/>
              </w:rPr>
            </w:pPr>
            <w:r>
              <w:rPr>
                <w:rFonts w:hint="eastAsia"/>
                <w:sz w:val="22"/>
                <w:szCs w:val="18"/>
              </w:rPr>
              <w:t>3</w:t>
            </w:r>
          </w:p>
        </w:tc>
        <w:tc>
          <w:tcPr>
            <w:tcW w:w="555" w:type="pct"/>
            <w:vAlign w:val="center"/>
          </w:tcPr>
          <w:p>
            <w:pPr>
              <w:spacing w:line="480" w:lineRule="exact"/>
              <w:jc w:val="center"/>
              <w:rPr>
                <w:sz w:val="22"/>
                <w:szCs w:val="18"/>
              </w:rPr>
            </w:pPr>
            <w:r>
              <w:rPr>
                <w:rFonts w:hint="eastAsia"/>
                <w:sz w:val="22"/>
                <w:szCs w:val="18"/>
              </w:rPr>
              <w:t>5</w:t>
            </w:r>
          </w:p>
        </w:tc>
        <w:tc>
          <w:tcPr>
            <w:tcW w:w="695" w:type="pct"/>
            <w:vAlign w:val="center"/>
          </w:tcPr>
          <w:p>
            <w:pPr>
              <w:spacing w:line="480" w:lineRule="exact"/>
              <w:jc w:val="center"/>
              <w:rPr>
                <w:sz w:val="22"/>
                <w:szCs w:val="18"/>
              </w:rPr>
            </w:pPr>
            <w:r>
              <w:rPr>
                <w:rFonts w:hint="eastAsia"/>
                <w:sz w:val="22"/>
                <w:szCs w:val="18"/>
              </w:rPr>
              <w:t>2</w:t>
            </w:r>
          </w:p>
        </w:tc>
        <w:tc>
          <w:tcPr>
            <w:tcW w:w="695" w:type="pct"/>
            <w:vAlign w:val="center"/>
          </w:tcPr>
          <w:p>
            <w:pPr>
              <w:spacing w:line="480" w:lineRule="exact"/>
              <w:jc w:val="center"/>
              <w:rPr>
                <w:sz w:val="22"/>
                <w:szCs w:val="18"/>
              </w:rPr>
            </w:pPr>
            <w:r>
              <w:rPr>
                <w:rFonts w:hint="eastAsia"/>
                <w:sz w:val="22"/>
                <w:szCs w:val="18"/>
              </w:rPr>
              <w:t>2</w:t>
            </w:r>
          </w:p>
        </w:tc>
        <w:tc>
          <w:tcPr>
            <w:tcW w:w="415" w:type="pct"/>
            <w:vAlign w:val="center"/>
          </w:tcPr>
          <w:p>
            <w:pPr>
              <w:spacing w:line="480" w:lineRule="exact"/>
              <w:jc w:val="center"/>
              <w:rPr>
                <w:sz w:val="22"/>
                <w:szCs w:val="18"/>
              </w:rPr>
            </w:pPr>
          </w:p>
        </w:tc>
      </w:tr>
    </w:tbl>
    <w:p>
      <w:pPr>
        <w:pStyle w:val="4"/>
        <w:spacing w:line="440" w:lineRule="exact"/>
        <w:rPr>
          <w:bCs w:val="0"/>
          <w:sz w:val="24"/>
          <w:szCs w:val="24"/>
        </w:rPr>
      </w:pPr>
      <w:r>
        <w:rPr>
          <w:bCs w:val="0"/>
          <w:sz w:val="24"/>
          <w:szCs w:val="24"/>
        </w:rPr>
        <w:t>2、组织机构</w:t>
      </w:r>
    </w:p>
    <w:p>
      <w:pPr>
        <w:spacing w:line="480" w:lineRule="exact"/>
        <w:ind w:firstLine="482"/>
        <w:rPr>
          <w:sz w:val="24"/>
        </w:rPr>
      </w:pPr>
      <w:r>
        <w:rPr>
          <w:sz w:val="24"/>
        </w:rPr>
        <w:t>2.1 投标人项目经理责任人必须具备五年以上团队带领经验，三年以上运营管理及规划经验。投标人项目经理责任人的任用，必须通过招标人对其资质和能力的评审。</w:t>
      </w:r>
    </w:p>
    <w:p>
      <w:pPr>
        <w:spacing w:line="480" w:lineRule="exact"/>
        <w:ind w:firstLine="482"/>
        <w:rPr>
          <w:sz w:val="24"/>
        </w:rPr>
      </w:pPr>
      <w:r>
        <w:rPr>
          <w:sz w:val="24"/>
        </w:rPr>
        <w:t>2.2 投标人运营组织架构的设置须以招标人的业务设定为基础，与招标人系统的业务框架和运营流程保持一致。</w:t>
      </w:r>
    </w:p>
    <w:p>
      <w:pPr>
        <w:spacing w:line="480" w:lineRule="exact"/>
        <w:ind w:firstLine="482"/>
        <w:rPr>
          <w:sz w:val="24"/>
        </w:rPr>
      </w:pPr>
      <w:r>
        <w:rPr>
          <w:sz w:val="24"/>
        </w:rPr>
        <w:t>2.3 投标人必须建立合理的薪酬体系及员工激励机制，控制人员流失率，避免对招标人的生产运营造成不良影响。</w:t>
      </w:r>
    </w:p>
    <w:p>
      <w:pPr>
        <w:spacing w:line="480" w:lineRule="exact"/>
        <w:ind w:firstLine="482"/>
        <w:rPr>
          <w:sz w:val="24"/>
        </w:rPr>
      </w:pPr>
      <w:r>
        <w:rPr>
          <w:sz w:val="24"/>
        </w:rPr>
        <w:t>2.4 各级人员应具备“一岗多能”，在组织机构设置和人员配备上投标人应充分体现这一要求。</w:t>
      </w:r>
    </w:p>
    <w:p>
      <w:pPr>
        <w:spacing w:line="480" w:lineRule="exact"/>
        <w:ind w:firstLine="482"/>
        <w:rPr>
          <w:sz w:val="24"/>
        </w:rPr>
      </w:pPr>
      <w:r>
        <w:rPr>
          <w:sz w:val="24"/>
        </w:rPr>
        <w:t>2.5 在某些特殊岗位投标人人员必须达到相关岗位要求并且具备相关的操作资格证。</w:t>
      </w:r>
    </w:p>
    <w:p>
      <w:pPr>
        <w:pStyle w:val="4"/>
        <w:spacing w:line="440" w:lineRule="exact"/>
        <w:rPr>
          <w:bCs w:val="0"/>
          <w:sz w:val="24"/>
          <w:szCs w:val="24"/>
        </w:rPr>
      </w:pPr>
      <w:r>
        <w:rPr>
          <w:bCs w:val="0"/>
          <w:sz w:val="24"/>
          <w:szCs w:val="24"/>
        </w:rPr>
        <w:t>3、人员管理</w:t>
      </w:r>
    </w:p>
    <w:p>
      <w:pPr>
        <w:spacing w:line="480" w:lineRule="exact"/>
        <w:ind w:firstLine="482"/>
        <w:rPr>
          <w:sz w:val="24"/>
        </w:rPr>
      </w:pPr>
      <w:r>
        <w:rPr>
          <w:sz w:val="24"/>
        </w:rPr>
        <w:t>3.1 投标人专职岗位人员如发生变更，需要在变更前2个工作日内向招标人物流部门备案并获得招标人同意后方可进行人员的变更。</w:t>
      </w:r>
    </w:p>
    <w:p>
      <w:pPr>
        <w:spacing w:line="480" w:lineRule="exact"/>
        <w:ind w:firstLine="482"/>
        <w:rPr>
          <w:sz w:val="24"/>
        </w:rPr>
      </w:pPr>
      <w:r>
        <w:rPr>
          <w:sz w:val="24"/>
        </w:rPr>
        <w:t>3.2 投标人根据招标人业务定期组织人员培训，保存培训记录，培训费用由投标人自行承担。培训类型包括操作技能及标准化作业培训、安全和消防培训、新业务流程培训等。</w:t>
      </w:r>
    </w:p>
    <w:p>
      <w:pPr>
        <w:spacing w:line="480" w:lineRule="exact"/>
        <w:ind w:firstLine="482"/>
        <w:rPr>
          <w:sz w:val="24"/>
        </w:rPr>
      </w:pPr>
      <w:r>
        <w:rPr>
          <w:rFonts w:hint="eastAsia" w:ascii="宋体" w:hAnsi="宋体" w:cs="宋体"/>
          <w:sz w:val="24"/>
        </w:rPr>
        <w:t>3.3 投标人需要保证岗位人员每日出勤率</w:t>
      </w:r>
      <w:r>
        <w:rPr>
          <w:rFonts w:hint="eastAsia" w:ascii="宋体" w:hAnsi="宋体" w:cs="宋体"/>
          <w:b/>
          <w:bCs/>
          <w:sz w:val="24"/>
        </w:rPr>
        <w:t>大于95%</w:t>
      </w:r>
      <w:r>
        <w:rPr>
          <w:rFonts w:hint="eastAsia" w:ascii="宋体" w:hAnsi="宋体" w:cs="宋体"/>
          <w:sz w:val="24"/>
        </w:rPr>
        <w:t>，自有人员比例</w:t>
      </w:r>
      <w:r>
        <w:rPr>
          <w:rFonts w:hint="eastAsia" w:ascii="宋体" w:hAnsi="宋体" w:cs="宋体"/>
          <w:b/>
          <w:bCs/>
          <w:sz w:val="24"/>
        </w:rPr>
        <w:t>不少于60%</w:t>
      </w:r>
      <w:r>
        <w:rPr>
          <w:rFonts w:hint="eastAsia" w:ascii="宋体" w:hAnsi="宋体" w:cs="宋体"/>
          <w:sz w:val="24"/>
        </w:rPr>
        <w:t>。鉴于整车制造物流属劳动密集型行业，作业强度大，原则上厂内作业人员男性年龄</w:t>
      </w:r>
      <w:r>
        <w:rPr>
          <w:rFonts w:hint="eastAsia" w:ascii="宋体" w:hAnsi="宋体" w:cs="宋体"/>
          <w:b/>
          <w:bCs/>
          <w:sz w:val="24"/>
        </w:rPr>
        <w:t>小于50</w:t>
      </w:r>
      <w:r>
        <w:rPr>
          <w:rFonts w:hint="eastAsia" w:ascii="宋体" w:hAnsi="宋体" w:cs="宋体"/>
          <w:sz w:val="24"/>
        </w:rPr>
        <w:t>周岁，女性年龄</w:t>
      </w:r>
      <w:r>
        <w:rPr>
          <w:rFonts w:hint="eastAsia" w:ascii="宋体" w:hAnsi="宋体" w:cs="宋体"/>
          <w:b/>
          <w:bCs/>
          <w:sz w:val="24"/>
        </w:rPr>
        <w:t>小于45</w:t>
      </w:r>
      <w:r>
        <w:rPr>
          <w:rFonts w:hint="eastAsia" w:ascii="宋体" w:hAnsi="宋体" w:cs="宋体"/>
          <w:sz w:val="24"/>
        </w:rPr>
        <w:t>周岁。</w:t>
      </w:r>
    </w:p>
    <w:p>
      <w:pPr>
        <w:spacing w:line="480" w:lineRule="exact"/>
        <w:ind w:firstLine="482"/>
        <w:rPr>
          <w:sz w:val="24"/>
        </w:rPr>
      </w:pPr>
    </w:p>
    <w:p>
      <w:pPr>
        <w:pStyle w:val="2"/>
        <w:keepLines w:val="0"/>
        <w:widowControl/>
        <w:spacing w:before="0" w:after="0" w:line="360" w:lineRule="auto"/>
        <w:ind w:right="206" w:rightChars="98"/>
        <w:rPr>
          <w:rFonts w:hint="eastAsia" w:hAnsi="宋体"/>
          <w:kern w:val="2"/>
          <w:sz w:val="32"/>
          <w:szCs w:val="32"/>
        </w:rPr>
      </w:pPr>
      <w:bookmarkStart w:id="54" w:name="_Toc205983519"/>
      <w:r>
        <w:rPr>
          <w:rFonts w:hint="eastAsia" w:hAnsi="宋体"/>
          <w:kern w:val="2"/>
          <w:sz w:val="32"/>
          <w:szCs w:val="32"/>
        </w:rPr>
        <w:t>六</w:t>
      </w:r>
      <w:r>
        <w:rPr>
          <w:rFonts w:hAnsi="宋体"/>
          <w:kern w:val="2"/>
          <w:sz w:val="32"/>
          <w:szCs w:val="32"/>
        </w:rPr>
        <w:t>、考核</w:t>
      </w:r>
      <w:bookmarkEnd w:id="54"/>
    </w:p>
    <w:p>
      <w:pPr>
        <w:pStyle w:val="4"/>
        <w:spacing w:line="440" w:lineRule="exact"/>
        <w:rPr>
          <w:bCs w:val="0"/>
          <w:sz w:val="24"/>
          <w:szCs w:val="24"/>
        </w:rPr>
      </w:pPr>
      <w:r>
        <w:rPr>
          <w:bCs w:val="0"/>
          <w:sz w:val="24"/>
          <w:szCs w:val="24"/>
        </w:rPr>
        <w:t>1、基础管理项目检查考核办法</w:t>
      </w:r>
    </w:p>
    <w:p>
      <w:pPr>
        <w:spacing w:line="480" w:lineRule="exact"/>
        <w:ind w:firstLine="482"/>
        <w:rPr>
          <w:sz w:val="24"/>
        </w:rPr>
      </w:pPr>
      <w:r>
        <w:rPr>
          <w:sz w:val="24"/>
        </w:rPr>
        <w:t>1.1影响生产及配件发交</w:t>
      </w:r>
    </w:p>
    <w:p>
      <w:pPr>
        <w:spacing w:line="480" w:lineRule="exact"/>
        <w:ind w:firstLine="482"/>
        <w:rPr>
          <w:sz w:val="24"/>
        </w:rPr>
      </w:pPr>
      <w:r>
        <w:rPr>
          <w:sz w:val="24"/>
        </w:rPr>
        <w:t>因投标人原因造成配送发交不及时，致使公司生产停线或配件计划未按时完成，造成总装线停线每10分钟考核10000元</w:t>
      </w:r>
      <w:r>
        <w:rPr>
          <w:rFonts w:hint="eastAsia"/>
          <w:sz w:val="24"/>
        </w:rPr>
        <w:t>，</w:t>
      </w:r>
      <w:r>
        <w:rPr>
          <w:sz w:val="24"/>
        </w:rPr>
        <w:t>问题处理不及时，影响生产视情节扣款。</w:t>
      </w:r>
    </w:p>
    <w:p>
      <w:pPr>
        <w:spacing w:line="480" w:lineRule="exact"/>
        <w:ind w:firstLine="482"/>
        <w:rPr>
          <w:sz w:val="24"/>
        </w:rPr>
      </w:pPr>
      <w:r>
        <w:rPr>
          <w:sz w:val="24"/>
        </w:rPr>
        <w:t>1.2配送差异</w:t>
      </w:r>
    </w:p>
    <w:p>
      <w:pPr>
        <w:spacing w:line="480" w:lineRule="exact"/>
        <w:ind w:firstLine="482"/>
        <w:rPr>
          <w:sz w:val="24"/>
        </w:rPr>
      </w:pPr>
      <w:r>
        <w:rPr>
          <w:sz w:val="24"/>
        </w:rPr>
        <w:t>如投标人人员虚签单据，一经查实，招标人视情况按照差异产品总价值的100%至200%对责任三方物流进行经济考核。</w:t>
      </w:r>
    </w:p>
    <w:p>
      <w:pPr>
        <w:spacing w:line="480" w:lineRule="exact"/>
        <w:ind w:firstLine="482"/>
        <w:rPr>
          <w:sz w:val="24"/>
        </w:rPr>
      </w:pPr>
      <w:r>
        <w:rPr>
          <w:sz w:val="24"/>
        </w:rPr>
        <w:t>1.3账卡物不一致</w:t>
      </w:r>
    </w:p>
    <w:p>
      <w:pPr>
        <w:spacing w:line="480" w:lineRule="exact"/>
        <w:ind w:firstLine="482"/>
        <w:rPr>
          <w:sz w:val="24"/>
        </w:rPr>
      </w:pPr>
      <w:r>
        <w:rPr>
          <w:sz w:val="24"/>
        </w:rPr>
        <w:t>检查中发现投标人产品账卡物不一致，</w:t>
      </w:r>
      <w:r>
        <w:rPr>
          <w:rFonts w:hint="eastAsia"/>
          <w:sz w:val="24"/>
        </w:rPr>
        <w:t>执行商用车公司考核细则。</w:t>
      </w:r>
    </w:p>
    <w:p>
      <w:pPr>
        <w:spacing w:line="480" w:lineRule="exact"/>
        <w:ind w:firstLine="482"/>
        <w:rPr>
          <w:sz w:val="24"/>
        </w:rPr>
      </w:pPr>
      <w:r>
        <w:rPr>
          <w:sz w:val="24"/>
        </w:rPr>
        <w:t>1.4安全</w:t>
      </w:r>
    </w:p>
    <w:p>
      <w:pPr>
        <w:spacing w:line="480" w:lineRule="exact"/>
        <w:ind w:firstLine="482"/>
        <w:rPr>
          <w:sz w:val="24"/>
        </w:rPr>
      </w:pPr>
      <w:r>
        <w:rPr>
          <w:sz w:val="24"/>
        </w:rPr>
        <w:t>对于安全隐患严重或不符合项重复出现的，处理措施包含但不限于提升经济考核力度、停转相关费用、调整产品结构等。</w:t>
      </w:r>
    </w:p>
    <w:p>
      <w:pPr>
        <w:spacing w:line="480" w:lineRule="exact"/>
        <w:ind w:firstLine="482"/>
        <w:rPr>
          <w:sz w:val="24"/>
        </w:rPr>
      </w:pPr>
      <w:r>
        <w:rPr>
          <w:sz w:val="24"/>
        </w:rPr>
        <w:t>1.5出厂违规</w:t>
      </w:r>
    </w:p>
    <w:p>
      <w:pPr>
        <w:spacing w:line="480" w:lineRule="exact"/>
        <w:ind w:firstLine="482"/>
        <w:rPr>
          <w:sz w:val="24"/>
        </w:rPr>
      </w:pPr>
      <w:r>
        <w:rPr>
          <w:sz w:val="24"/>
        </w:rPr>
        <w:t>a）对于违规携带产品件出厂行为，视情况给予责任单位500至5000元经济考核，情况严重的按照违规携带物品总价值的10-20倍对责任单位进行经济考核。</w:t>
      </w:r>
    </w:p>
    <w:p>
      <w:pPr>
        <w:spacing w:line="480" w:lineRule="exact"/>
        <w:ind w:firstLine="482"/>
        <w:rPr>
          <w:sz w:val="24"/>
        </w:rPr>
      </w:pPr>
      <w:r>
        <w:rPr>
          <w:sz w:val="24"/>
        </w:rPr>
        <w:t>b）对于违规携带废旧物资类（纸包装、塑料包装、木头等）出厂行为，招标人视情况给予责任单位500至2000元经济考核；</w:t>
      </w:r>
    </w:p>
    <w:p>
      <w:pPr>
        <w:spacing w:line="480" w:lineRule="exact"/>
        <w:ind w:firstLine="482"/>
        <w:rPr>
          <w:sz w:val="24"/>
        </w:rPr>
      </w:pPr>
      <w:r>
        <w:rPr>
          <w:sz w:val="24"/>
        </w:rPr>
        <w:t>c）视违规严重程度，可采取限期取消涉事车辆入厂资格，将涉事人列入招标人入厂人员黑名单，禁止从事与招标人相关的物流业务等措施。</w:t>
      </w:r>
    </w:p>
    <w:p>
      <w:pPr>
        <w:spacing w:line="480" w:lineRule="exact"/>
        <w:ind w:firstLine="482"/>
        <w:rPr>
          <w:sz w:val="24"/>
        </w:rPr>
      </w:pPr>
      <w:r>
        <w:rPr>
          <w:sz w:val="24"/>
        </w:rPr>
        <w:t>1.6除严重不合格项外，检查中发现一般不合格项，视情况考核投标人50至500元；一般不合格项包括：</w:t>
      </w:r>
    </w:p>
    <w:p>
      <w:pPr>
        <w:spacing w:line="480" w:lineRule="exact"/>
        <w:ind w:firstLine="482"/>
        <w:rPr>
          <w:sz w:val="24"/>
        </w:rPr>
      </w:pPr>
      <w:r>
        <w:rPr>
          <w:sz w:val="24"/>
        </w:rPr>
        <w:t>a）投标人工作流程中的相关项</w:t>
      </w:r>
    </w:p>
    <w:p>
      <w:pPr>
        <w:spacing w:line="480" w:lineRule="exact"/>
        <w:ind w:firstLine="482"/>
        <w:rPr>
          <w:sz w:val="24"/>
        </w:rPr>
      </w:pPr>
      <w:r>
        <w:rPr>
          <w:sz w:val="24"/>
        </w:rPr>
        <w:t>b）投标人产品质量控制中相关项</w:t>
      </w:r>
    </w:p>
    <w:p>
      <w:pPr>
        <w:spacing w:line="480" w:lineRule="exact"/>
        <w:ind w:firstLine="482"/>
        <w:rPr>
          <w:sz w:val="24"/>
        </w:rPr>
      </w:pPr>
      <w:r>
        <w:rPr>
          <w:sz w:val="24"/>
        </w:rPr>
        <w:t>c）投标人内部管理制度的相关项</w:t>
      </w:r>
    </w:p>
    <w:p>
      <w:pPr>
        <w:spacing w:line="480" w:lineRule="exact"/>
        <w:ind w:firstLine="482"/>
        <w:rPr>
          <w:sz w:val="24"/>
        </w:rPr>
      </w:pPr>
      <w:r>
        <w:rPr>
          <w:sz w:val="24"/>
        </w:rPr>
        <w:t>d）投标人</w:t>
      </w:r>
      <w:r>
        <w:rPr>
          <w:rFonts w:hint="eastAsia"/>
          <w:sz w:val="24"/>
        </w:rPr>
        <w:t>上线</w:t>
      </w:r>
      <w:r>
        <w:rPr>
          <w:sz w:val="24"/>
        </w:rPr>
        <w:t>配送的相关项</w:t>
      </w:r>
    </w:p>
    <w:p>
      <w:pPr>
        <w:spacing w:line="480" w:lineRule="exact"/>
        <w:ind w:firstLine="482"/>
        <w:rPr>
          <w:sz w:val="24"/>
        </w:rPr>
      </w:pPr>
      <w:r>
        <w:rPr>
          <w:sz w:val="24"/>
        </w:rPr>
        <w:t>e）投标人投入产出流程的相关项</w:t>
      </w:r>
    </w:p>
    <w:p>
      <w:pPr>
        <w:spacing w:line="480" w:lineRule="exact"/>
        <w:ind w:firstLine="482"/>
        <w:rPr>
          <w:sz w:val="24"/>
        </w:rPr>
      </w:pPr>
      <w:r>
        <w:rPr>
          <w:sz w:val="24"/>
        </w:rPr>
        <w:t>1.7投标人公司被检查出的不合格项，未制订纠正措施或未按期关闭的，经检查落实，每发生一次加扣500元；经加倍考核后仍未制订纠正措施或继续未按期关闭的，每拖延一个工作日再加罚责任公司100元。</w:t>
      </w:r>
    </w:p>
    <w:p/>
    <w:p>
      <w:pPr>
        <w:pStyle w:val="2"/>
        <w:keepLines w:val="0"/>
        <w:widowControl/>
        <w:spacing w:before="0" w:after="0" w:line="360" w:lineRule="auto"/>
        <w:ind w:right="206" w:rightChars="98"/>
        <w:rPr>
          <w:rFonts w:hint="eastAsia" w:hAnsi="宋体"/>
          <w:kern w:val="2"/>
          <w:sz w:val="32"/>
          <w:szCs w:val="32"/>
        </w:rPr>
      </w:pPr>
      <w:bookmarkStart w:id="55" w:name="_Toc205983520"/>
      <w:bookmarkStart w:id="56" w:name="_Toc47031030"/>
      <w:bookmarkStart w:id="57" w:name="_Toc44077713"/>
      <w:bookmarkStart w:id="58" w:name="_Toc44077662"/>
      <w:bookmarkStart w:id="59" w:name="_Toc38810802"/>
      <w:r>
        <w:rPr>
          <w:rFonts w:hint="eastAsia" w:hAnsi="宋体"/>
          <w:kern w:val="2"/>
          <w:sz w:val="32"/>
          <w:szCs w:val="32"/>
        </w:rPr>
        <w:t>七</w:t>
      </w:r>
      <w:r>
        <w:rPr>
          <w:rFonts w:hAnsi="宋体"/>
          <w:kern w:val="2"/>
          <w:sz w:val="32"/>
          <w:szCs w:val="32"/>
        </w:rPr>
        <w:t>、物流服务终止说明</w:t>
      </w:r>
      <w:bookmarkEnd w:id="55"/>
      <w:bookmarkEnd w:id="56"/>
      <w:bookmarkEnd w:id="57"/>
      <w:bookmarkEnd w:id="58"/>
      <w:bookmarkEnd w:id="59"/>
    </w:p>
    <w:p>
      <w:pPr>
        <w:spacing w:line="480" w:lineRule="exact"/>
        <w:ind w:firstLine="482"/>
        <w:rPr>
          <w:sz w:val="24"/>
        </w:rPr>
      </w:pPr>
      <w:r>
        <w:rPr>
          <w:sz w:val="24"/>
        </w:rPr>
        <w:t>物流服务终止分为：合同期满双方任何一方提出终止合同、投标人因自身原因主动提前退出（需在合同中明确违约赔偿问题）、因投标人服务业绩差、不能满足招标人生产需求、在合同期内造成招标人重大资产损失，招标人有权单方面要求终止合同（招标人无违约责任）。</w:t>
      </w:r>
    </w:p>
    <w:p>
      <w:pPr>
        <w:spacing w:line="480" w:lineRule="exact"/>
        <w:ind w:firstLine="482"/>
        <w:rPr>
          <w:sz w:val="24"/>
        </w:rPr>
      </w:pPr>
      <w:r>
        <w:rPr>
          <w:sz w:val="24"/>
        </w:rPr>
        <w:t>1、如因投标人原因主动提出终止业务，投标人应提前三个月向招标人出具书面申请。</w:t>
      </w:r>
    </w:p>
    <w:p>
      <w:pPr>
        <w:spacing w:line="480" w:lineRule="exact"/>
        <w:ind w:firstLine="482"/>
        <w:rPr>
          <w:sz w:val="24"/>
        </w:rPr>
      </w:pPr>
      <w:r>
        <w:rPr>
          <w:sz w:val="24"/>
        </w:rPr>
        <w:t>2、投标人的绩效考评出现四级、五级情况、不能满足招标人生产需求、在合同期内造成招标人重大资产损失时，招标人有权启动终止合同的流程，经相关领导批准后，提前三个月通知投标人准备退出的方案实施。</w:t>
      </w:r>
    </w:p>
    <w:p>
      <w:pPr>
        <w:spacing w:line="480" w:lineRule="exact"/>
        <w:ind w:firstLine="482"/>
        <w:rPr>
          <w:sz w:val="24"/>
        </w:rPr>
      </w:pPr>
      <w:bookmarkStart w:id="60" w:name="_Toc44077663"/>
      <w:bookmarkStart w:id="61" w:name="_Toc44077714"/>
      <w:r>
        <w:rPr>
          <w:sz w:val="24"/>
        </w:rPr>
        <w:t>物流服务终止时，投标人应同意招标人的下一中标方按设备折旧后的价格购买相关设备，在业务过渡期继续使用设备，以确保招标人业务正常运作；或经招标人同意后将设备限期拆除。</w:t>
      </w:r>
    </w:p>
    <w:p>
      <w:pPr>
        <w:pStyle w:val="2"/>
        <w:keepLines w:val="0"/>
        <w:widowControl/>
        <w:spacing w:before="0" w:after="0" w:line="360" w:lineRule="auto"/>
        <w:ind w:right="206" w:rightChars="98"/>
        <w:rPr>
          <w:rFonts w:hint="eastAsia" w:hAnsi="宋体"/>
          <w:kern w:val="2"/>
          <w:sz w:val="32"/>
          <w:szCs w:val="32"/>
        </w:rPr>
      </w:pPr>
      <w:bookmarkStart w:id="62" w:name="_Toc205983521"/>
      <w:r>
        <w:rPr>
          <w:rFonts w:hint="eastAsia" w:hAnsi="宋体"/>
          <w:kern w:val="2"/>
          <w:sz w:val="32"/>
          <w:szCs w:val="32"/>
        </w:rPr>
        <w:t>八、物流业务切换要求</w:t>
      </w:r>
      <w:bookmarkEnd w:id="62"/>
    </w:p>
    <w:p>
      <w:pPr>
        <w:spacing w:line="360" w:lineRule="auto"/>
        <w:ind w:firstLine="482"/>
        <w:rPr>
          <w:sz w:val="24"/>
        </w:rPr>
      </w:pPr>
      <w:r>
        <w:rPr>
          <w:rFonts w:hint="eastAsia"/>
          <w:sz w:val="24"/>
        </w:rPr>
        <w:t>物流商接到中标通知后，应立即联系招标人物流管理部门确定业务开展计划，并在5个工作日内确定好外部仓库地址并由招标人确认。</w:t>
      </w:r>
    </w:p>
    <w:p>
      <w:pPr>
        <w:spacing w:line="360" w:lineRule="auto"/>
        <w:ind w:firstLine="482"/>
        <w:rPr>
          <w:sz w:val="24"/>
        </w:rPr>
      </w:pPr>
      <w:r>
        <w:rPr>
          <w:rFonts w:hint="eastAsia"/>
          <w:sz w:val="24"/>
        </w:rPr>
        <w:t>业务交接期间（交接期为3个月），原物流商须本着友好协商原则，无条件配合业务交接工作，确保业务正常运转。对于交接期间出现影响生产的情况，交接期第1个月由原物流商承担70%责任，新物流商承担30%责任；交接期第2个月，由原物流商承担</w:t>
      </w:r>
      <w:r>
        <w:rPr>
          <w:sz w:val="24"/>
        </w:rPr>
        <w:t>5</w:t>
      </w:r>
      <w:r>
        <w:rPr>
          <w:rFonts w:hint="eastAsia"/>
          <w:sz w:val="24"/>
        </w:rPr>
        <w:t>0%责任，新物流商承担</w:t>
      </w:r>
      <w:r>
        <w:rPr>
          <w:sz w:val="24"/>
        </w:rPr>
        <w:t>5</w:t>
      </w:r>
      <w:r>
        <w:rPr>
          <w:rFonts w:hint="eastAsia"/>
          <w:sz w:val="24"/>
        </w:rPr>
        <w:t>0%责任；交接期第</w:t>
      </w:r>
      <w:r>
        <w:rPr>
          <w:sz w:val="24"/>
        </w:rPr>
        <w:t>3</w:t>
      </w:r>
      <w:r>
        <w:rPr>
          <w:rFonts w:hint="eastAsia"/>
          <w:sz w:val="24"/>
        </w:rPr>
        <w:t>个月，由原物流商承担</w:t>
      </w:r>
      <w:r>
        <w:rPr>
          <w:sz w:val="24"/>
        </w:rPr>
        <w:t>3</w:t>
      </w:r>
      <w:r>
        <w:rPr>
          <w:rFonts w:hint="eastAsia"/>
          <w:sz w:val="24"/>
        </w:rPr>
        <w:t>0%责任，新物流商承担</w:t>
      </w:r>
      <w:r>
        <w:rPr>
          <w:sz w:val="24"/>
        </w:rPr>
        <w:t>7</w:t>
      </w:r>
      <w:r>
        <w:rPr>
          <w:rFonts w:hint="eastAsia"/>
          <w:sz w:val="24"/>
        </w:rPr>
        <w:t>0%责任；</w:t>
      </w:r>
    </w:p>
    <w:p>
      <w:pPr>
        <w:spacing w:line="360" w:lineRule="auto"/>
        <w:ind w:firstLine="482"/>
        <w:rPr>
          <w:sz w:val="24"/>
        </w:rPr>
      </w:pPr>
      <w:r>
        <w:rPr>
          <w:rFonts w:hint="eastAsia"/>
          <w:sz w:val="24"/>
        </w:rPr>
        <w:t>交接期间物流费：合同签订后商用车与新物流商结算费用，由新物流商与老物流商结算费用；新物流商须与老物流商协商签署过渡期间相关协议，确定费用结算事宜。</w:t>
      </w:r>
    </w:p>
    <w:p>
      <w:pPr>
        <w:pStyle w:val="2"/>
        <w:keepLines w:val="0"/>
        <w:widowControl/>
        <w:spacing w:before="0" w:after="0" w:line="360" w:lineRule="auto"/>
        <w:ind w:right="206" w:rightChars="98"/>
        <w:rPr>
          <w:rFonts w:hint="eastAsia" w:hAnsi="宋体"/>
          <w:kern w:val="2"/>
          <w:sz w:val="32"/>
          <w:szCs w:val="32"/>
        </w:rPr>
      </w:pPr>
      <w:bookmarkStart w:id="63" w:name="_Toc47031031"/>
      <w:bookmarkStart w:id="64" w:name="_Toc205983522"/>
      <w:r>
        <w:rPr>
          <w:rFonts w:hint="eastAsia" w:hAnsi="宋体"/>
          <w:kern w:val="2"/>
          <w:sz w:val="32"/>
          <w:szCs w:val="32"/>
        </w:rPr>
        <w:t>九</w:t>
      </w:r>
      <w:r>
        <w:rPr>
          <w:rFonts w:hAnsi="宋体"/>
          <w:kern w:val="2"/>
          <w:sz w:val="32"/>
          <w:szCs w:val="32"/>
        </w:rPr>
        <w:t>、投标技术方案要求</w:t>
      </w:r>
      <w:bookmarkEnd w:id="60"/>
      <w:bookmarkEnd w:id="61"/>
      <w:bookmarkEnd w:id="63"/>
      <w:bookmarkEnd w:id="64"/>
    </w:p>
    <w:p>
      <w:pPr>
        <w:spacing w:line="480" w:lineRule="exact"/>
        <w:ind w:firstLine="482"/>
        <w:rPr>
          <w:sz w:val="24"/>
        </w:rPr>
      </w:pPr>
      <w:r>
        <w:rPr>
          <w:rFonts w:hint="eastAsia"/>
          <w:sz w:val="24"/>
        </w:rPr>
        <w:t>8</w:t>
      </w:r>
      <w:r>
        <w:rPr>
          <w:sz w:val="24"/>
        </w:rPr>
        <w:t>.1投标人在投标前应与招标人技术负责人和业务部门进行充分沟通，在招标前提交投标技术方案，技术方案需包含以下方面：</w:t>
      </w:r>
    </w:p>
    <w:p>
      <w:pPr>
        <w:spacing w:line="480" w:lineRule="exact"/>
        <w:ind w:firstLine="482"/>
        <w:rPr>
          <w:sz w:val="24"/>
        </w:rPr>
      </w:pPr>
      <w:r>
        <w:rPr>
          <w:sz w:val="24"/>
        </w:rPr>
        <w:t>（1）业务理解及详细的运营方案。</w:t>
      </w:r>
    </w:p>
    <w:p>
      <w:pPr>
        <w:spacing w:line="480" w:lineRule="exact"/>
        <w:ind w:firstLine="482"/>
        <w:rPr>
          <w:sz w:val="24"/>
        </w:rPr>
      </w:pPr>
      <w:r>
        <w:rPr>
          <w:sz w:val="24"/>
        </w:rPr>
        <w:t>（2）管理架构及项目人员配置，操作员工配置，人员招聘计划。</w:t>
      </w:r>
    </w:p>
    <w:p>
      <w:pPr>
        <w:spacing w:line="480" w:lineRule="exact"/>
        <w:ind w:firstLine="482"/>
        <w:rPr>
          <w:sz w:val="24"/>
        </w:rPr>
      </w:pPr>
      <w:r>
        <w:rPr>
          <w:sz w:val="24"/>
        </w:rPr>
        <w:t>（3）物流</w:t>
      </w:r>
      <w:r>
        <w:rPr>
          <w:rFonts w:hint="eastAsia"/>
          <w:sz w:val="24"/>
        </w:rPr>
        <w:t>装卸</w:t>
      </w:r>
      <w:r>
        <w:rPr>
          <w:sz w:val="24"/>
        </w:rPr>
        <w:t>设备</w:t>
      </w:r>
      <w:r>
        <w:rPr>
          <w:rFonts w:hint="eastAsia"/>
          <w:sz w:val="24"/>
        </w:rPr>
        <w:t>、</w:t>
      </w:r>
      <w:r>
        <w:rPr>
          <w:sz w:val="24"/>
        </w:rPr>
        <w:t>配送车辆购买或租赁计划</w:t>
      </w:r>
      <w:r>
        <w:rPr>
          <w:rFonts w:hint="eastAsia"/>
          <w:sz w:val="24"/>
        </w:rPr>
        <w:t>。</w:t>
      </w:r>
      <w:r>
        <w:rPr>
          <w:sz w:val="24"/>
        </w:rPr>
        <w:t>同时提供设备的详细计划推进表，包括设备厂家，安装、调试、生产等计划安排</w:t>
      </w:r>
      <w:r>
        <w:rPr>
          <w:rFonts w:hint="eastAsia"/>
          <w:sz w:val="24"/>
        </w:rPr>
        <w:t>。</w:t>
      </w:r>
    </w:p>
    <w:p>
      <w:pPr>
        <w:spacing w:line="480" w:lineRule="exact"/>
        <w:ind w:firstLine="482"/>
        <w:rPr>
          <w:sz w:val="24"/>
        </w:rPr>
      </w:pPr>
      <w:r>
        <w:rPr>
          <w:sz w:val="24"/>
        </w:rPr>
        <w:t>（4）作业流程（基本的收发存流程，应急管理流程，批次管理方案）。</w:t>
      </w:r>
    </w:p>
    <w:p>
      <w:pPr>
        <w:spacing w:line="480" w:lineRule="exact"/>
        <w:ind w:firstLine="482"/>
        <w:rPr>
          <w:sz w:val="24"/>
        </w:rPr>
      </w:pPr>
      <w:r>
        <w:rPr>
          <w:sz w:val="24"/>
        </w:rPr>
        <w:t>（</w:t>
      </w:r>
      <w:r>
        <w:rPr>
          <w:rFonts w:hint="eastAsia"/>
          <w:sz w:val="24"/>
        </w:rPr>
        <w:t>5</w:t>
      </w:r>
      <w:r>
        <w:rPr>
          <w:sz w:val="24"/>
        </w:rPr>
        <w:t>）项目启动准备周期及推进计划。</w:t>
      </w:r>
    </w:p>
    <w:p>
      <w:pPr>
        <w:spacing w:line="480" w:lineRule="exact"/>
        <w:ind w:firstLine="482"/>
        <w:rPr>
          <w:sz w:val="24"/>
        </w:rPr>
      </w:pPr>
      <w:r>
        <w:rPr>
          <w:sz w:val="24"/>
        </w:rPr>
        <w:t>（</w:t>
      </w:r>
      <w:r>
        <w:rPr>
          <w:rFonts w:hint="eastAsia"/>
          <w:sz w:val="24"/>
        </w:rPr>
        <w:t>6</w:t>
      </w:r>
      <w:r>
        <w:rPr>
          <w:sz w:val="24"/>
        </w:rPr>
        <w:t>）其他先进业务模式及亮点展示。</w:t>
      </w:r>
    </w:p>
    <w:p>
      <w:pPr>
        <w:spacing w:line="480" w:lineRule="exact"/>
        <w:ind w:firstLine="482"/>
        <w:rPr>
          <w:sz w:val="24"/>
        </w:rPr>
      </w:pPr>
      <w:r>
        <w:rPr>
          <w:rFonts w:hint="eastAsia"/>
          <w:sz w:val="24"/>
        </w:rPr>
        <w:t>8</w:t>
      </w:r>
      <w:r>
        <w:rPr>
          <w:sz w:val="24"/>
        </w:rPr>
        <w:t>.2投标人在上述技术方案要求中提供的人员、设备配备和投入计划，在项目启动阶段必须切实执行。当出现执行不力或未能满足招标人要求，对招标人生产运营造成重大风险时，招标人有权中止商务合同。</w:t>
      </w:r>
    </w:p>
    <w:p/>
    <w:tbl>
      <w:tblPr>
        <w:tblStyle w:val="21"/>
        <w:tblW w:w="14656" w:type="dxa"/>
        <w:jc w:val="center"/>
        <w:tblLayout w:type="fixed"/>
        <w:tblCellMar>
          <w:top w:w="0" w:type="dxa"/>
          <w:left w:w="0" w:type="dxa"/>
          <w:bottom w:w="0" w:type="dxa"/>
          <w:right w:w="0" w:type="dxa"/>
        </w:tblCellMar>
      </w:tblPr>
      <w:tblGrid>
        <w:gridCol w:w="14656"/>
      </w:tblGrid>
      <w:tr>
        <w:tblPrEx>
          <w:tblCellMar>
            <w:top w:w="0" w:type="dxa"/>
            <w:left w:w="0" w:type="dxa"/>
            <w:bottom w:w="0" w:type="dxa"/>
            <w:right w:w="0" w:type="dxa"/>
          </w:tblCellMar>
        </w:tblPrEx>
        <w:trPr>
          <w:trHeight w:val="389" w:hRule="atLeast"/>
          <w:jc w:val="center"/>
        </w:trPr>
        <w:tc>
          <w:tcPr>
            <w:tcW w:w="14656" w:type="dxa"/>
            <w:tcBorders>
              <w:top w:val="nil"/>
              <w:left w:val="nil"/>
              <w:bottom w:val="nil"/>
              <w:right w:val="nil"/>
            </w:tcBorders>
            <w:tcMar>
              <w:top w:w="15" w:type="dxa"/>
              <w:left w:w="15" w:type="dxa"/>
              <w:right w:w="15" w:type="dxa"/>
            </w:tcMar>
            <w:vAlign w:val="bottom"/>
          </w:tcPr>
          <w:p/>
        </w:tc>
      </w:tr>
    </w:tbl>
    <w:p>
      <w:r>
        <w:br w:type="page"/>
      </w:r>
    </w:p>
    <w:p>
      <w:pPr>
        <w:spacing w:line="360" w:lineRule="auto"/>
        <w:ind w:firstLine="561" w:firstLineChars="200"/>
        <w:rPr>
          <w:rFonts w:hint="eastAsia" w:hAnsi="黑体" w:eastAsia="黑体"/>
          <w:b/>
          <w:bCs/>
          <w:color w:val="000000"/>
          <w:sz w:val="28"/>
          <w:szCs w:val="28"/>
        </w:rPr>
      </w:pPr>
      <w:r>
        <w:rPr>
          <w:rFonts w:hint="eastAsia" w:hAnsi="黑体" w:eastAsia="黑体"/>
          <w:b/>
          <w:bCs/>
          <w:color w:val="000000"/>
          <w:sz w:val="28"/>
          <w:szCs w:val="28"/>
        </w:rPr>
        <w:t>投标人应承诺</w:t>
      </w:r>
      <w:r>
        <w:rPr>
          <w:rFonts w:hAnsi="黑体" w:eastAsia="黑体"/>
          <w:b/>
          <w:bCs/>
          <w:color w:val="000000"/>
          <w:sz w:val="28"/>
          <w:szCs w:val="28"/>
        </w:rPr>
        <w:t>严格遵守</w:t>
      </w:r>
      <w:r>
        <w:rPr>
          <w:rFonts w:hint="eastAsia" w:hAnsi="黑体" w:eastAsia="黑体"/>
          <w:b/>
          <w:bCs/>
          <w:color w:val="000000"/>
          <w:sz w:val="28"/>
          <w:szCs w:val="28"/>
        </w:rPr>
        <w:t>中国重汽</w:t>
      </w:r>
      <w:r>
        <w:rPr>
          <w:rFonts w:hAnsi="黑体" w:eastAsia="黑体"/>
          <w:b/>
          <w:bCs/>
          <w:color w:val="000000"/>
          <w:sz w:val="28"/>
          <w:szCs w:val="28"/>
        </w:rPr>
        <w:t>集团公司发布的《</w:t>
      </w:r>
      <w:r>
        <w:rPr>
          <w:rFonts w:hint="eastAsia" w:hAnsi="黑体" w:eastAsia="黑体"/>
          <w:b/>
          <w:bCs/>
          <w:color w:val="000000"/>
          <w:sz w:val="28"/>
          <w:szCs w:val="28"/>
        </w:rPr>
        <w:t>关于物流服务商的管理规定（1</w:t>
      </w:r>
      <w:r>
        <w:rPr>
          <w:rFonts w:hAnsi="黑体" w:eastAsia="黑体"/>
          <w:b/>
          <w:bCs/>
          <w:color w:val="000000"/>
          <w:sz w:val="28"/>
          <w:szCs w:val="28"/>
        </w:rPr>
        <w:t>8</w:t>
      </w:r>
      <w:r>
        <w:rPr>
          <w:rFonts w:hint="eastAsia" w:hAnsi="黑体" w:eastAsia="黑体"/>
          <w:b/>
          <w:bCs/>
          <w:color w:val="000000"/>
          <w:sz w:val="28"/>
          <w:szCs w:val="28"/>
        </w:rPr>
        <w:t>条）</w:t>
      </w:r>
      <w:r>
        <w:rPr>
          <w:rFonts w:hAnsi="黑体" w:eastAsia="黑体"/>
          <w:b/>
          <w:bCs/>
          <w:color w:val="000000"/>
          <w:sz w:val="28"/>
          <w:szCs w:val="28"/>
        </w:rPr>
        <w:t>》</w:t>
      </w:r>
      <w:r>
        <w:rPr>
          <w:rFonts w:hint="eastAsia" w:hAnsi="黑体" w:eastAsia="黑体"/>
          <w:b/>
          <w:bCs/>
          <w:color w:val="000000"/>
          <w:sz w:val="28"/>
          <w:szCs w:val="28"/>
        </w:rPr>
        <w:t>，</w:t>
      </w:r>
      <w:r>
        <w:rPr>
          <w:rFonts w:hAnsi="黑体" w:eastAsia="黑体"/>
          <w:b/>
          <w:bCs/>
          <w:color w:val="000000"/>
          <w:sz w:val="28"/>
          <w:szCs w:val="28"/>
        </w:rPr>
        <w:t>此项是中标及授予合同的前提</w:t>
      </w:r>
      <w:r>
        <w:rPr>
          <w:rFonts w:hint="eastAsia" w:hAnsi="黑体" w:eastAsia="黑体"/>
          <w:b/>
          <w:bCs/>
          <w:color w:val="000000"/>
          <w:sz w:val="28"/>
          <w:szCs w:val="28"/>
        </w:rPr>
        <w:t>，</w:t>
      </w:r>
      <w:r>
        <w:rPr>
          <w:rFonts w:hAnsi="黑体" w:eastAsia="黑体"/>
          <w:b/>
          <w:bCs/>
          <w:color w:val="000000"/>
          <w:sz w:val="28"/>
          <w:szCs w:val="28"/>
        </w:rPr>
        <w:t>不允许偏离。</w:t>
      </w:r>
    </w:p>
    <w:p>
      <w:pPr>
        <w:pStyle w:val="2"/>
        <w:keepLines w:val="0"/>
        <w:widowControl/>
        <w:spacing w:before="0" w:after="0" w:line="360" w:lineRule="auto"/>
        <w:ind w:right="206" w:rightChars="98" w:firstLine="2242" w:firstLineChars="700"/>
        <w:rPr>
          <w:rFonts w:hint="eastAsia" w:hAnsi="宋体"/>
          <w:kern w:val="2"/>
          <w:sz w:val="32"/>
          <w:szCs w:val="32"/>
        </w:rPr>
      </w:pPr>
      <w:bookmarkStart w:id="65" w:name="_Toc205983523"/>
      <w:r>
        <w:rPr>
          <w:rFonts w:hint="eastAsia" w:hAnsi="宋体"/>
          <w:kern w:val="2"/>
          <w:sz w:val="32"/>
          <w:szCs w:val="32"/>
        </w:rPr>
        <w:t>第三方物流服务商管理规定（1</w:t>
      </w:r>
      <w:r>
        <w:rPr>
          <w:rFonts w:hAnsi="宋体"/>
          <w:kern w:val="2"/>
          <w:sz w:val="32"/>
          <w:szCs w:val="32"/>
        </w:rPr>
        <w:t>8</w:t>
      </w:r>
      <w:r>
        <w:rPr>
          <w:rFonts w:hint="eastAsia" w:hAnsi="宋体"/>
          <w:kern w:val="2"/>
          <w:sz w:val="32"/>
          <w:szCs w:val="32"/>
        </w:rPr>
        <w:t>条）</w:t>
      </w:r>
      <w:bookmarkEnd w:id="65"/>
    </w:p>
    <w:p>
      <w:pPr>
        <w:rPr>
          <w:rFonts w:hint="eastAsia" w:ascii="黑体" w:hAnsi="黑体" w:eastAsia="黑体" w:cs="黑体"/>
          <w:sz w:val="36"/>
          <w:szCs w:val="36"/>
        </w:rPr>
      </w:pPr>
    </w:p>
    <w:p>
      <w:pPr>
        <w:spacing w:line="360" w:lineRule="auto"/>
        <w:ind w:firstLine="482"/>
        <w:rPr>
          <w:rFonts w:hint="eastAsia" w:ascii="宋体" w:hAnsi="宋体"/>
          <w:b/>
          <w:szCs w:val="21"/>
        </w:rPr>
      </w:pPr>
      <w:r>
        <w:rPr>
          <w:rFonts w:hint="eastAsia" w:ascii="宋体" w:hAnsi="宋体"/>
          <w:b/>
          <w:szCs w:val="21"/>
        </w:rPr>
        <w:t>一、物流商资质</w:t>
      </w:r>
    </w:p>
    <w:p>
      <w:pPr>
        <w:spacing w:line="360" w:lineRule="auto"/>
        <w:ind w:firstLine="482"/>
        <w:rPr>
          <w:rFonts w:hint="eastAsia" w:ascii="宋体" w:hAnsi="宋体"/>
          <w:szCs w:val="21"/>
        </w:rPr>
      </w:pPr>
      <w:r>
        <w:rPr>
          <w:rFonts w:hint="eastAsia" w:ascii="宋体" w:hAnsi="宋体"/>
          <w:szCs w:val="21"/>
        </w:rPr>
        <w:t>1.作为中国重汽及/或中国重汽下属关联单位（以下称：中国重汽）的物流业务服务商，必须具有独立法人资格和国家综合服务型物流企业认证资质，注册资本金1000万元以上（已进入中国重汽物流商目录的不受该条件限制）；</w:t>
      </w:r>
    </w:p>
    <w:p>
      <w:pPr>
        <w:spacing w:line="360" w:lineRule="auto"/>
        <w:ind w:firstLine="482"/>
        <w:rPr>
          <w:rFonts w:hint="eastAsia" w:ascii="宋体" w:hAnsi="宋体"/>
          <w:szCs w:val="21"/>
        </w:rPr>
      </w:pPr>
      <w:r>
        <w:rPr>
          <w:rFonts w:hint="eastAsia" w:ascii="宋体" w:hAnsi="宋体"/>
          <w:szCs w:val="21"/>
        </w:rPr>
        <w:t>2.有3年以上汽车行业物流服务经验，有经验丰富的从事物流业务的员工团队，有为客户提供一体化物流服务的硬件资源和运营能力。</w:t>
      </w:r>
    </w:p>
    <w:p>
      <w:pPr>
        <w:spacing w:line="360" w:lineRule="auto"/>
        <w:ind w:firstLine="482"/>
        <w:rPr>
          <w:rFonts w:hint="eastAsia" w:ascii="宋体" w:hAnsi="宋体"/>
          <w:b/>
          <w:szCs w:val="21"/>
        </w:rPr>
      </w:pPr>
      <w:r>
        <w:rPr>
          <w:rFonts w:hint="eastAsia" w:ascii="宋体" w:hAnsi="宋体"/>
          <w:b/>
          <w:szCs w:val="21"/>
        </w:rPr>
        <w:t>二、物流商进入</w:t>
      </w:r>
    </w:p>
    <w:p>
      <w:pPr>
        <w:spacing w:line="360" w:lineRule="auto"/>
        <w:ind w:firstLine="482"/>
        <w:rPr>
          <w:rFonts w:hint="eastAsia" w:ascii="宋体" w:hAnsi="宋体"/>
          <w:szCs w:val="21"/>
        </w:rPr>
      </w:pPr>
      <w:r>
        <w:rPr>
          <w:rFonts w:hint="eastAsia" w:ascii="宋体" w:hAnsi="宋体"/>
          <w:szCs w:val="21"/>
        </w:rPr>
        <w:t>3.所有物流商进入均须经过中国重汽招标程序，进入物流服务商目录，中标物流商在合同签订时须缴纳标的额5%（最高200万）的履约保证金；</w:t>
      </w:r>
    </w:p>
    <w:p>
      <w:pPr>
        <w:spacing w:line="360" w:lineRule="auto"/>
        <w:ind w:firstLine="482"/>
        <w:rPr>
          <w:rFonts w:hint="eastAsia" w:ascii="宋体" w:hAnsi="宋体"/>
          <w:szCs w:val="21"/>
        </w:rPr>
      </w:pPr>
      <w:r>
        <w:rPr>
          <w:rFonts w:hint="eastAsia" w:ascii="宋体" w:hAnsi="宋体"/>
          <w:szCs w:val="21"/>
        </w:rPr>
        <w:t>4.物流商在合同签订后，按照合同时间节点，投入相应的设施设备（仓库、车辆、工位器具等），并组织人员培训（知识培训、作业培训、软件培训）。物流商投入的设施设备，招标会须由中国重汽确认是否参加，培训结果须中国重汽审核确认通过，确保提供满足节拍产能需求的专业物流服务。</w:t>
      </w:r>
    </w:p>
    <w:p>
      <w:pPr>
        <w:spacing w:line="360" w:lineRule="auto"/>
        <w:ind w:firstLine="482"/>
        <w:rPr>
          <w:rFonts w:hint="eastAsia" w:ascii="宋体" w:hAnsi="宋体"/>
          <w:b/>
          <w:szCs w:val="21"/>
        </w:rPr>
      </w:pPr>
      <w:r>
        <w:rPr>
          <w:rFonts w:hint="eastAsia" w:ascii="宋体" w:hAnsi="宋体"/>
          <w:b/>
          <w:szCs w:val="21"/>
        </w:rPr>
        <w:t>三、物流商管理</w:t>
      </w:r>
    </w:p>
    <w:p>
      <w:pPr>
        <w:spacing w:line="360" w:lineRule="auto"/>
        <w:ind w:firstLine="482"/>
        <w:rPr>
          <w:rFonts w:hint="eastAsia" w:ascii="宋体" w:hAnsi="宋体"/>
          <w:szCs w:val="21"/>
        </w:rPr>
      </w:pPr>
      <w:r>
        <w:rPr>
          <w:rFonts w:hint="eastAsia" w:ascii="宋体" w:hAnsi="宋体"/>
          <w:szCs w:val="21"/>
        </w:rPr>
        <w:t>5.物流商在提供物流服务时，要无条件接受中国重汽的日常管理和制度流程，实施等级管理：每年6月份开展一次物流商服务能力评价和竞争性谈判，按照评价等级，接受相应的奖励与考核，调增或调减物流业务量，并适用物流商末位淘汰机制。物流商服务合同签订周期统一为当年7月1日至次年6月30日；</w:t>
      </w:r>
    </w:p>
    <w:p>
      <w:pPr>
        <w:spacing w:line="360" w:lineRule="auto"/>
        <w:ind w:firstLine="482"/>
        <w:rPr>
          <w:rFonts w:hint="eastAsia" w:ascii="宋体" w:hAnsi="宋体"/>
          <w:szCs w:val="21"/>
        </w:rPr>
      </w:pPr>
      <w:r>
        <w:rPr>
          <w:rFonts w:hint="eastAsia" w:ascii="宋体" w:hAnsi="宋体"/>
          <w:szCs w:val="21"/>
        </w:rPr>
        <w:t>6.物流商在提供服务过程中对所配送的产品负有保管义务，因物流商原因造成的产品损坏、丢失，物流商承担全部赔偿责任。物流商须按月度对托管和非托管物资进行盘点对账，按照中国重汽相关管理制度进行差异处置，差异处置由物流商与供应商进行协商，协商不一致时，由中国重汽进行调解；</w:t>
      </w:r>
    </w:p>
    <w:p>
      <w:pPr>
        <w:spacing w:line="360" w:lineRule="auto"/>
        <w:ind w:firstLine="482"/>
        <w:rPr>
          <w:rFonts w:hint="eastAsia" w:ascii="宋体" w:hAnsi="宋体"/>
          <w:szCs w:val="21"/>
        </w:rPr>
      </w:pPr>
      <w:r>
        <w:rPr>
          <w:rFonts w:hint="eastAsia" w:ascii="宋体" w:hAnsi="宋体"/>
          <w:szCs w:val="21"/>
        </w:rPr>
        <w:t>7.物流商须遵守100%满足生产需求这一红线指标，因物流商原因造成生产线停线的，按照中国重汽物流商管理细则进行考核，严肃追责，由物流商承担因此带来的所有损失；</w:t>
      </w:r>
    </w:p>
    <w:p>
      <w:pPr>
        <w:spacing w:line="360" w:lineRule="auto"/>
        <w:ind w:firstLine="482"/>
        <w:rPr>
          <w:rFonts w:hint="eastAsia" w:ascii="宋体" w:hAnsi="宋体"/>
          <w:szCs w:val="21"/>
        </w:rPr>
      </w:pPr>
      <w:r>
        <w:rPr>
          <w:rFonts w:hint="eastAsia" w:ascii="宋体" w:hAnsi="宋体"/>
          <w:szCs w:val="21"/>
        </w:rPr>
        <w:t>8.物流商须无条件配合中国重汽的物流管理提升和优化工作。对于提升过程中新增物流业务（如分拣、排序等作业）产生的用工增加、费用增加等问题，由中国重汽相关部门与物流商商谈，进行相应的价格调整；</w:t>
      </w:r>
    </w:p>
    <w:p>
      <w:pPr>
        <w:spacing w:line="360" w:lineRule="auto"/>
        <w:ind w:firstLine="482"/>
        <w:rPr>
          <w:rFonts w:hint="eastAsia" w:ascii="宋体" w:hAnsi="宋体"/>
          <w:szCs w:val="21"/>
        </w:rPr>
      </w:pPr>
      <w:r>
        <w:rPr>
          <w:rFonts w:hint="eastAsia" w:ascii="宋体" w:hAnsi="宋体"/>
          <w:szCs w:val="21"/>
        </w:rPr>
        <w:t>9.物流商须每年自主开展2次以上流程化优和管理创新工作，对于物流商提出的管理创新项目，需要中国重汽配合推动的，由中国重汽物流管理部门确认合理的，由双方共同推进，对于创新项目为中国重汽或供应商创造的、可测量的经济效益，按照50%比例返还物流商；</w:t>
      </w:r>
    </w:p>
    <w:p>
      <w:pPr>
        <w:spacing w:line="360" w:lineRule="auto"/>
        <w:ind w:firstLine="482"/>
        <w:rPr>
          <w:rFonts w:hint="eastAsia" w:ascii="宋体" w:hAnsi="宋体"/>
          <w:szCs w:val="21"/>
        </w:rPr>
      </w:pPr>
      <w:r>
        <w:rPr>
          <w:rFonts w:hint="eastAsia" w:ascii="宋体" w:hAnsi="宋体"/>
          <w:szCs w:val="21"/>
        </w:rPr>
        <w:t>10.物流商对提供服务过程中知悉的中国重汽的商业秘密（包括但不限于物流信息、生产信息、财务信息等），负有保密责任，不得向任何第三方披露，否则中国重汽有权追究物流商的违约责任，物流商就中国重汽因此造成的损失承担赔偿责任。</w:t>
      </w:r>
    </w:p>
    <w:p>
      <w:pPr>
        <w:spacing w:line="360" w:lineRule="auto"/>
        <w:ind w:firstLine="482"/>
        <w:rPr>
          <w:rFonts w:hint="eastAsia" w:ascii="宋体" w:hAnsi="宋体"/>
          <w:b/>
          <w:szCs w:val="21"/>
        </w:rPr>
      </w:pPr>
      <w:r>
        <w:rPr>
          <w:rFonts w:hint="eastAsia" w:ascii="宋体" w:hAnsi="宋体"/>
          <w:b/>
          <w:szCs w:val="21"/>
        </w:rPr>
        <w:t>四、物流商退出</w:t>
      </w:r>
    </w:p>
    <w:p>
      <w:pPr>
        <w:spacing w:line="360" w:lineRule="auto"/>
        <w:ind w:firstLine="482"/>
        <w:rPr>
          <w:rFonts w:hint="eastAsia" w:ascii="宋体" w:hAnsi="宋体"/>
          <w:szCs w:val="21"/>
        </w:rPr>
      </w:pPr>
      <w:r>
        <w:rPr>
          <w:rFonts w:hint="eastAsia" w:ascii="宋体" w:hAnsi="宋体"/>
          <w:szCs w:val="21"/>
        </w:rPr>
        <w:t>11.对于恶意中标、不能提供标书约定服务能力、不能满足中国重汽业务需要、年度能力评价不合格的物流商，由中国重汽物流专家评审委员会进行评审，情况属实的，处理完毕债权债务后，该物流商立即退出物流服务商目录，并列入中国重汽物流商黑名单，禁止参加后续中国重汽集团范围内的所有物流业务招标；</w:t>
      </w:r>
    </w:p>
    <w:p>
      <w:pPr>
        <w:spacing w:line="360" w:lineRule="auto"/>
        <w:ind w:firstLine="482"/>
        <w:rPr>
          <w:rFonts w:hint="eastAsia" w:ascii="宋体" w:hAnsi="宋体"/>
          <w:szCs w:val="21"/>
        </w:rPr>
      </w:pPr>
      <w:r>
        <w:rPr>
          <w:rFonts w:hint="eastAsia" w:ascii="宋体" w:hAnsi="宋体"/>
          <w:szCs w:val="21"/>
        </w:rPr>
        <w:t>12.在中标后的运营过程中，因物流商投入设施设备不足，不能满足业务需求的，由物流商自行拆除设备，终止合同，一切损失由物流商承担。经中国重汽同意后，物流商可以新增、更换设施设备，直至满足业务需求，一切损失由物流商承担；</w:t>
      </w:r>
    </w:p>
    <w:p>
      <w:pPr>
        <w:spacing w:line="360" w:lineRule="auto"/>
        <w:ind w:firstLine="482"/>
        <w:rPr>
          <w:rFonts w:hint="eastAsia" w:ascii="宋体" w:hAnsi="宋体"/>
          <w:szCs w:val="21"/>
        </w:rPr>
      </w:pPr>
      <w:r>
        <w:rPr>
          <w:rFonts w:hint="eastAsia" w:ascii="宋体" w:hAnsi="宋体"/>
          <w:szCs w:val="21"/>
        </w:rPr>
        <w:t>13.物流商因自身经营原因主动提出退出的，需提前6个月提出退出申请，物流商在服务期间所投入的物流设施（如仓库、分装线等），按照折旧年限净值的90%进行返还；提前3个月提出退出申请的，物流商在服务期间所投入的物流设施，按照折旧年限净值的80%进行返还；提出申请时间不足3个月的，物流商在服务期间所投入的物流设施净值不予返还并扣除履约保证金；</w:t>
      </w:r>
    </w:p>
    <w:p>
      <w:pPr>
        <w:spacing w:line="360" w:lineRule="auto"/>
        <w:ind w:firstLine="482"/>
        <w:rPr>
          <w:rFonts w:hint="eastAsia" w:ascii="宋体" w:hAnsi="宋体"/>
          <w:szCs w:val="21"/>
        </w:rPr>
      </w:pPr>
      <w:r>
        <w:rPr>
          <w:rFonts w:hint="eastAsia" w:ascii="宋体" w:hAnsi="宋体"/>
          <w:szCs w:val="21"/>
        </w:rPr>
        <w:t>14.因物流商管理水平不足、服务评价连续2年较差的，中国重汽有权随时终止合同，经中国重汽物流专家评审委员会审核后，根据日常服务水平和等级评价，对物流商在服务期间所投入的物流设施按照折旧年限净值的10%-60%进行返还；</w:t>
      </w:r>
    </w:p>
    <w:p>
      <w:pPr>
        <w:spacing w:line="360" w:lineRule="auto"/>
        <w:ind w:firstLine="482"/>
        <w:rPr>
          <w:rFonts w:hint="eastAsia" w:ascii="宋体" w:hAnsi="宋体"/>
          <w:szCs w:val="21"/>
        </w:rPr>
      </w:pPr>
      <w:r>
        <w:rPr>
          <w:rFonts w:hint="eastAsia" w:ascii="宋体" w:hAnsi="宋体"/>
          <w:szCs w:val="21"/>
        </w:rPr>
        <w:t>15.经中国重汽物流专家评审委员会评审后，同意物流商退出的，由中国重汽立即组织新物流商的招标和引入。在招标期间和业务交接期间（交接期为3个月），原物流商须本着友好协商原则，无条件配合业务交接工作，确保业务正常运转。对于交接期间出现影响生产的情况，交接期第1个月由原物流商承担70%责任，新物流商承担30%责任；交接期第2个月，由原物流商承担</w:t>
      </w:r>
      <w:r>
        <w:rPr>
          <w:rFonts w:ascii="宋体" w:hAnsi="宋体"/>
          <w:szCs w:val="21"/>
        </w:rPr>
        <w:t>5</w:t>
      </w:r>
      <w:r>
        <w:rPr>
          <w:rFonts w:hint="eastAsia" w:ascii="宋体" w:hAnsi="宋体"/>
          <w:szCs w:val="21"/>
        </w:rPr>
        <w:t>0%责任，新物流商承担</w:t>
      </w:r>
      <w:r>
        <w:rPr>
          <w:rFonts w:ascii="宋体" w:hAnsi="宋体"/>
          <w:szCs w:val="21"/>
        </w:rPr>
        <w:t>5</w:t>
      </w:r>
      <w:r>
        <w:rPr>
          <w:rFonts w:hint="eastAsia" w:ascii="宋体" w:hAnsi="宋体"/>
          <w:szCs w:val="21"/>
        </w:rPr>
        <w:t>0%责任；交接期第</w:t>
      </w:r>
      <w:r>
        <w:rPr>
          <w:rFonts w:ascii="宋体" w:hAnsi="宋体"/>
          <w:szCs w:val="21"/>
        </w:rPr>
        <w:t>3</w:t>
      </w:r>
      <w:r>
        <w:rPr>
          <w:rFonts w:hint="eastAsia" w:ascii="宋体" w:hAnsi="宋体"/>
          <w:szCs w:val="21"/>
        </w:rPr>
        <w:t>个月，由原物流商承担</w:t>
      </w:r>
      <w:r>
        <w:rPr>
          <w:rFonts w:ascii="宋体" w:hAnsi="宋体"/>
          <w:szCs w:val="21"/>
        </w:rPr>
        <w:t>3</w:t>
      </w:r>
      <w:r>
        <w:rPr>
          <w:rFonts w:hint="eastAsia" w:ascii="宋体" w:hAnsi="宋体"/>
          <w:szCs w:val="21"/>
        </w:rPr>
        <w:t>0%责任，新物流商承担</w:t>
      </w:r>
      <w:r>
        <w:rPr>
          <w:rFonts w:ascii="宋体" w:hAnsi="宋体"/>
          <w:szCs w:val="21"/>
        </w:rPr>
        <w:t>7</w:t>
      </w:r>
      <w:r>
        <w:rPr>
          <w:rFonts w:hint="eastAsia" w:ascii="宋体" w:hAnsi="宋体"/>
          <w:szCs w:val="21"/>
        </w:rPr>
        <w:t>0%责任；</w:t>
      </w:r>
    </w:p>
    <w:p>
      <w:pPr>
        <w:spacing w:line="360" w:lineRule="auto"/>
        <w:ind w:firstLine="482"/>
        <w:rPr>
          <w:rFonts w:hint="eastAsia" w:ascii="宋体" w:hAnsi="宋体"/>
          <w:szCs w:val="21"/>
        </w:rPr>
      </w:pPr>
      <w:r>
        <w:rPr>
          <w:rFonts w:hint="eastAsia" w:ascii="宋体" w:hAnsi="宋体"/>
          <w:szCs w:val="21"/>
        </w:rPr>
        <w:t>16.新物流商须无条件承接原物流商在中国重汽厂区内建设的、能够满足业务需求的固定类设施设备（如仓库等）；对于因时间变迁等原因不能满足业务需求的固定类设施设备，由原物流商负责拆除；对于叉车、车辆、器具等非固定类设备，按照设备折旧年限核算设备净值，由双方协商承接，新物流商在同等条件下有优先购买权；</w:t>
      </w:r>
    </w:p>
    <w:p>
      <w:pPr>
        <w:spacing w:line="360" w:lineRule="auto"/>
        <w:ind w:firstLine="482"/>
        <w:rPr>
          <w:rFonts w:hint="eastAsia" w:ascii="宋体" w:hAnsi="宋体"/>
          <w:szCs w:val="21"/>
        </w:rPr>
      </w:pPr>
      <w:r>
        <w:rPr>
          <w:rFonts w:hint="eastAsia" w:ascii="宋体" w:hAnsi="宋体"/>
          <w:szCs w:val="21"/>
        </w:rPr>
        <w:t>17.对物流商提供物流服务产生的物流费，按照财务结算制度进行挂账结算；在物流商切换期间，因双方业务交接产生的物流费，由双方协商解决；双方协商不一致时，由中国重汽物流管理部门进行仲裁，直至双方交接完毕，结清物流费；</w:t>
      </w:r>
    </w:p>
    <w:p>
      <w:pPr>
        <w:spacing w:line="360" w:lineRule="auto"/>
        <w:ind w:firstLine="482"/>
        <w:rPr>
          <w:rFonts w:hint="eastAsia" w:ascii="宋体" w:hAnsi="宋体"/>
          <w:szCs w:val="21"/>
        </w:rPr>
      </w:pPr>
      <w:r>
        <w:rPr>
          <w:rFonts w:hint="eastAsia" w:ascii="宋体" w:hAnsi="宋体"/>
          <w:szCs w:val="21"/>
        </w:rPr>
        <w:t>18.对新老物流商顺利完成交接、业务正常开展的，经中国重汽物流专家评审委员会审核同意后，由中国重汽物流管理部门组织签订物流合同终止协议，确认供应商与物流商资产账务一致无异议，或物流合同到期后不再续签，一次性100%无息返还保证金；对于在交接过程中出现影响生产的情况，由中国重汽物流管理部门提出证据判定物流商责任，损失从保证金中扣除，扣除后的保证金一次性无息100%返还物流商；对于在交接过程中，出现物流商与供应商物资对账差异的情况，先由双方协商，协调不一致的，由中国重汽物流管理部门进行调解；根据仲裁结果由中国重汽、供应商、原物流商、新物流商签订相关协议。</w:t>
      </w:r>
    </w:p>
    <w:p>
      <w:pPr>
        <w:spacing w:line="360" w:lineRule="auto"/>
        <w:ind w:firstLine="482"/>
        <w:rPr>
          <w:rFonts w:hint="eastAsia" w:ascii="宋体" w:hAnsi="宋体"/>
          <w:b/>
          <w:szCs w:val="21"/>
        </w:rPr>
      </w:pPr>
      <w:r>
        <w:rPr>
          <w:rFonts w:hint="eastAsia" w:ascii="宋体" w:hAnsi="宋体"/>
          <w:b/>
          <w:szCs w:val="21"/>
        </w:rPr>
        <w:t>附表：中国重汽物流商投入资产折旧年限表</w:t>
      </w:r>
    </w:p>
    <w:tbl>
      <w:tblPr>
        <w:tblStyle w:val="21"/>
        <w:tblW w:w="7609" w:type="dxa"/>
        <w:jc w:val="center"/>
        <w:tblLayout w:type="fixed"/>
        <w:tblCellMar>
          <w:top w:w="0" w:type="dxa"/>
          <w:left w:w="0" w:type="dxa"/>
          <w:bottom w:w="0" w:type="dxa"/>
          <w:right w:w="0" w:type="dxa"/>
        </w:tblCellMar>
      </w:tblPr>
      <w:tblGrid>
        <w:gridCol w:w="708"/>
        <w:gridCol w:w="1277"/>
        <w:gridCol w:w="3337"/>
        <w:gridCol w:w="1276"/>
        <w:gridCol w:w="1011"/>
      </w:tblGrid>
      <w:tr>
        <w:tblPrEx>
          <w:tblCellMar>
            <w:top w:w="0" w:type="dxa"/>
            <w:left w:w="0" w:type="dxa"/>
            <w:bottom w:w="0" w:type="dxa"/>
            <w:right w:w="0" w:type="dxa"/>
          </w:tblCellMar>
        </w:tblPrEx>
        <w:trPr>
          <w:trHeight w:val="400" w:hRule="atLeast"/>
          <w:jc w:val="center"/>
        </w:trPr>
        <w:tc>
          <w:tcPr>
            <w:tcW w:w="70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黑体" w:hAnsi="宋体" w:eastAsia="黑体" w:cs="黑体"/>
                <w:b/>
                <w:color w:val="000000"/>
                <w:sz w:val="24"/>
              </w:rPr>
            </w:pPr>
            <w:r>
              <w:rPr>
                <w:rFonts w:hint="eastAsia" w:ascii="黑体" w:hAnsi="宋体" w:eastAsia="黑体" w:cs="黑体"/>
                <w:b/>
                <w:color w:val="000000"/>
                <w:kern w:val="0"/>
                <w:sz w:val="24"/>
              </w:rPr>
              <w:t>序号</w:t>
            </w:r>
          </w:p>
        </w:tc>
        <w:tc>
          <w:tcPr>
            <w:tcW w:w="127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黑体" w:hAnsi="宋体" w:eastAsia="黑体" w:cs="黑体"/>
                <w:b/>
                <w:color w:val="000000"/>
                <w:sz w:val="24"/>
              </w:rPr>
            </w:pPr>
            <w:r>
              <w:rPr>
                <w:rFonts w:hint="eastAsia" w:ascii="黑体" w:hAnsi="宋体" w:eastAsia="黑体" w:cs="黑体"/>
                <w:b/>
                <w:color w:val="000000"/>
                <w:kern w:val="0"/>
                <w:sz w:val="24"/>
              </w:rPr>
              <w:t>资产类别</w:t>
            </w:r>
          </w:p>
        </w:tc>
        <w:tc>
          <w:tcPr>
            <w:tcW w:w="333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黑体" w:hAnsi="宋体" w:eastAsia="黑体" w:cs="黑体"/>
                <w:b/>
                <w:color w:val="000000"/>
                <w:sz w:val="24"/>
              </w:rPr>
            </w:pPr>
            <w:r>
              <w:rPr>
                <w:rFonts w:hint="eastAsia" w:ascii="黑体" w:hAnsi="宋体" w:eastAsia="黑体" w:cs="黑体"/>
                <w:b/>
                <w:color w:val="000000"/>
                <w:kern w:val="0"/>
                <w:sz w:val="24"/>
              </w:rPr>
              <w:t>主要内容</w:t>
            </w:r>
          </w:p>
        </w:tc>
        <w:tc>
          <w:tcPr>
            <w:tcW w:w="127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黑体" w:hAnsi="宋体" w:eastAsia="黑体" w:cs="黑体"/>
                <w:b/>
                <w:color w:val="000000"/>
                <w:sz w:val="24"/>
              </w:rPr>
            </w:pPr>
            <w:r>
              <w:rPr>
                <w:rFonts w:hint="eastAsia" w:ascii="黑体" w:hAnsi="宋体" w:eastAsia="黑体" w:cs="黑体"/>
                <w:b/>
                <w:color w:val="000000"/>
                <w:kern w:val="0"/>
                <w:sz w:val="24"/>
              </w:rPr>
              <w:t>折旧年限</w:t>
            </w:r>
          </w:p>
        </w:tc>
        <w:tc>
          <w:tcPr>
            <w:tcW w:w="101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黑体" w:hAnsi="宋体" w:eastAsia="黑体" w:cs="黑体"/>
                <w:b/>
                <w:color w:val="000000"/>
                <w:sz w:val="24"/>
              </w:rPr>
            </w:pPr>
            <w:r>
              <w:rPr>
                <w:rFonts w:hint="eastAsia" w:ascii="黑体" w:hAnsi="宋体" w:eastAsia="黑体" w:cs="黑体"/>
                <w:b/>
                <w:color w:val="000000"/>
                <w:kern w:val="0"/>
                <w:sz w:val="24"/>
              </w:rPr>
              <w:t>备注</w:t>
            </w:r>
          </w:p>
        </w:tc>
      </w:tr>
      <w:tr>
        <w:tblPrEx>
          <w:tblCellMar>
            <w:top w:w="0" w:type="dxa"/>
            <w:left w:w="0" w:type="dxa"/>
            <w:bottom w:w="0" w:type="dxa"/>
            <w:right w:w="0" w:type="dxa"/>
          </w:tblCellMar>
        </w:tblPrEx>
        <w:trPr>
          <w:trHeight w:val="400" w:hRule="atLeast"/>
          <w:jc w:val="center"/>
        </w:trPr>
        <w:tc>
          <w:tcPr>
            <w:tcW w:w="70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rPr>
              <w:t>1</w:t>
            </w:r>
          </w:p>
        </w:tc>
        <w:tc>
          <w:tcPr>
            <w:tcW w:w="127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rPr>
              <w:t>仓储类</w:t>
            </w:r>
          </w:p>
        </w:tc>
        <w:tc>
          <w:tcPr>
            <w:tcW w:w="333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rPr>
              <w:t>仓库、多层货架、高层立体库</w:t>
            </w:r>
          </w:p>
        </w:tc>
        <w:tc>
          <w:tcPr>
            <w:tcW w:w="127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rPr>
              <w:t>10年</w:t>
            </w:r>
          </w:p>
        </w:tc>
        <w:tc>
          <w:tcPr>
            <w:tcW w:w="101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hint="eastAsia" w:ascii="宋体" w:hAnsi="宋体" w:cs="宋体"/>
                <w:b/>
                <w:color w:val="000000"/>
                <w:sz w:val="22"/>
                <w:szCs w:val="22"/>
              </w:rPr>
            </w:pPr>
          </w:p>
        </w:tc>
      </w:tr>
      <w:tr>
        <w:trPr>
          <w:trHeight w:val="400" w:hRule="atLeast"/>
          <w:jc w:val="center"/>
        </w:trPr>
        <w:tc>
          <w:tcPr>
            <w:tcW w:w="70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rPr>
              <w:t>2</w:t>
            </w:r>
          </w:p>
        </w:tc>
        <w:tc>
          <w:tcPr>
            <w:tcW w:w="127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rPr>
              <w:t>运输类</w:t>
            </w:r>
          </w:p>
        </w:tc>
        <w:tc>
          <w:tcPr>
            <w:tcW w:w="333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rPr>
              <w:t>运输车辆、电动牵引车、AGV</w:t>
            </w:r>
          </w:p>
        </w:tc>
        <w:tc>
          <w:tcPr>
            <w:tcW w:w="127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宋体" w:hAnsi="宋体" w:cs="宋体"/>
                <w:b/>
                <w:sz w:val="22"/>
                <w:szCs w:val="22"/>
              </w:rPr>
            </w:pPr>
            <w:r>
              <w:rPr>
                <w:rFonts w:ascii="宋体" w:hAnsi="宋体" w:cs="宋体"/>
                <w:b/>
                <w:kern w:val="0"/>
                <w:sz w:val="22"/>
                <w:szCs w:val="22"/>
              </w:rPr>
              <w:t>8</w:t>
            </w:r>
            <w:r>
              <w:rPr>
                <w:rFonts w:hint="eastAsia" w:ascii="宋体" w:hAnsi="宋体" w:cs="宋体"/>
                <w:b/>
                <w:kern w:val="0"/>
                <w:sz w:val="22"/>
                <w:szCs w:val="22"/>
              </w:rPr>
              <w:t>年</w:t>
            </w:r>
          </w:p>
        </w:tc>
        <w:tc>
          <w:tcPr>
            <w:tcW w:w="101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hint="eastAsia" w:ascii="宋体" w:hAnsi="宋体" w:cs="宋体"/>
                <w:b/>
                <w:color w:val="000000"/>
                <w:sz w:val="22"/>
                <w:szCs w:val="22"/>
              </w:rPr>
            </w:pPr>
          </w:p>
        </w:tc>
      </w:tr>
      <w:tr>
        <w:trPr>
          <w:trHeight w:val="400" w:hRule="atLeast"/>
          <w:jc w:val="center"/>
        </w:trPr>
        <w:tc>
          <w:tcPr>
            <w:tcW w:w="708"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rPr>
              <w:t>3</w:t>
            </w:r>
          </w:p>
        </w:tc>
        <w:tc>
          <w:tcPr>
            <w:tcW w:w="127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rPr>
              <w:t>器具类</w:t>
            </w:r>
          </w:p>
        </w:tc>
        <w:tc>
          <w:tcPr>
            <w:tcW w:w="3337"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宋体" w:hAnsi="宋体" w:cs="宋体"/>
                <w:b/>
                <w:color w:val="000000"/>
                <w:sz w:val="22"/>
                <w:szCs w:val="22"/>
              </w:rPr>
            </w:pPr>
            <w:r>
              <w:rPr>
                <w:rFonts w:hint="eastAsia" w:ascii="宋体" w:hAnsi="宋体" w:cs="宋体"/>
                <w:b/>
                <w:color w:val="000000"/>
                <w:kern w:val="0"/>
                <w:sz w:val="22"/>
                <w:szCs w:val="22"/>
              </w:rPr>
              <w:t>专用器具、金属料箱</w:t>
            </w:r>
          </w:p>
        </w:tc>
        <w:tc>
          <w:tcPr>
            <w:tcW w:w="1276"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宋体" w:hAnsi="宋体" w:cs="宋体"/>
                <w:b/>
                <w:sz w:val="22"/>
                <w:szCs w:val="22"/>
              </w:rPr>
            </w:pPr>
            <w:r>
              <w:rPr>
                <w:rFonts w:ascii="宋体" w:hAnsi="宋体" w:cs="宋体"/>
                <w:b/>
                <w:kern w:val="0"/>
                <w:sz w:val="22"/>
                <w:szCs w:val="22"/>
              </w:rPr>
              <w:t>5</w:t>
            </w:r>
            <w:r>
              <w:rPr>
                <w:rFonts w:hint="eastAsia" w:ascii="宋体" w:hAnsi="宋体" w:cs="宋体"/>
                <w:b/>
                <w:kern w:val="0"/>
                <w:sz w:val="22"/>
                <w:szCs w:val="22"/>
              </w:rPr>
              <w:t>年</w:t>
            </w:r>
          </w:p>
        </w:tc>
        <w:tc>
          <w:tcPr>
            <w:tcW w:w="101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rPr>
                <w:rFonts w:hint="eastAsia" w:ascii="宋体" w:hAnsi="宋体" w:cs="宋体"/>
                <w:b/>
                <w:color w:val="000000"/>
                <w:sz w:val="22"/>
                <w:szCs w:val="22"/>
              </w:rPr>
            </w:pPr>
          </w:p>
        </w:tc>
      </w:tr>
    </w:tbl>
    <w:p>
      <w:pPr>
        <w:pStyle w:val="19"/>
        <w:jc w:val="left"/>
        <w:rPr>
          <w:rFonts w:hint="eastAsia"/>
        </w:rPr>
      </w:pPr>
      <w:bookmarkStart w:id="66" w:name="_Toc205983524"/>
      <w:r>
        <w:rPr>
          <w:rFonts w:hint="eastAsia"/>
          <w:b w:val="0"/>
        </w:rPr>
        <w:t>附件一：</w:t>
      </w:r>
      <w:r>
        <w:rPr>
          <w:b w:val="0"/>
        </w:rPr>
        <w:t>非生产供应商注册操作手册</w:t>
      </w:r>
      <w:bookmarkEnd w:id="66"/>
    </w:p>
    <w:p>
      <w:r>
        <w:rPr>
          <w:rFonts w:ascii="宋体" w:hAnsi="宋体" w:cs="宋体"/>
          <w:color w:val="000000"/>
        </w:rPr>
        <w:t>浏览器中输入地址</w:t>
      </w:r>
      <w:r>
        <w:rPr>
          <w:rFonts w:ascii="Calibri" w:hAnsi="Calibri" w:eastAsia="Calibri" w:cs="Calibri"/>
          <w:color w:val="000000"/>
        </w:rPr>
        <w:t>;</w:t>
      </w:r>
    </w:p>
    <w:p>
      <w:r>
        <w:fldChar w:fldCharType="begin"/>
      </w:r>
      <w:r>
        <w:instrText xml:space="preserve"> HYPERLINK "https://ecaitong.sinotruk.com:8012/" \l "/login" </w:instrText>
      </w:r>
      <w:r>
        <w:fldChar w:fldCharType="separate"/>
      </w:r>
      <w:r>
        <w:rPr>
          <w:rStyle w:val="28"/>
        </w:rPr>
        <w:t>https://ecaitong.sinotruk.com:8012/#/login</w:t>
      </w:r>
      <w:r>
        <w:rPr>
          <w:rStyle w:val="28"/>
        </w:rPr>
        <w:fldChar w:fldCharType="end"/>
      </w:r>
    </w:p>
    <w:p>
      <w:r>
        <w:rPr>
          <w:rFonts w:ascii="Calibri" w:hAnsi="Calibri" w:eastAsia="Calibri" w:cs="Calibri"/>
          <w:color w:val="000000"/>
        </w:rPr>
        <w:t>1.</w:t>
      </w:r>
      <w:r>
        <w:rPr>
          <w:rFonts w:ascii="宋体" w:hAnsi="宋体" w:cs="宋体"/>
          <w:color w:val="000000"/>
        </w:rPr>
        <w:t>点击立即注册</w:t>
      </w:r>
    </w:p>
    <w:p>
      <w:r>
        <w:drawing>
          <wp:inline distT="0" distB="0" distL="0" distR="0">
            <wp:extent cx="5762625" cy="2933700"/>
            <wp:effectExtent l="0" t="0" r="0" b="0"/>
            <wp:docPr id="2"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descri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2625" cy="2933700"/>
                    </a:xfrm>
                    <a:prstGeom prst="rect">
                      <a:avLst/>
                    </a:prstGeom>
                    <a:noFill/>
                    <a:ln>
                      <a:noFill/>
                    </a:ln>
                  </pic:spPr>
                </pic:pic>
              </a:graphicData>
            </a:graphic>
          </wp:inline>
        </w:drawing>
      </w:r>
    </w:p>
    <w:p>
      <w:r>
        <w:rPr>
          <w:rFonts w:ascii="Calibri" w:hAnsi="Calibri" w:eastAsia="Calibri" w:cs="Calibri"/>
          <w:color w:val="000000"/>
        </w:rPr>
        <w:t xml:space="preserve">2.     </w:t>
      </w:r>
      <w:r>
        <w:rPr>
          <w:rFonts w:ascii="宋体" w:hAnsi="宋体" w:cs="宋体"/>
          <w:color w:val="000000"/>
        </w:rPr>
        <w:t>填写手机号码（没有注册过的）</w:t>
      </w:r>
    </w:p>
    <w:p>
      <w:r>
        <w:drawing>
          <wp:inline distT="0" distB="0" distL="0" distR="0">
            <wp:extent cx="5762625" cy="2771775"/>
            <wp:effectExtent l="0" t="0" r="0" b="0"/>
            <wp:docPr id="3"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descri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2625" cy="2771775"/>
                    </a:xfrm>
                    <a:prstGeom prst="rect">
                      <a:avLst/>
                    </a:prstGeom>
                    <a:noFill/>
                    <a:ln>
                      <a:noFill/>
                    </a:ln>
                  </pic:spPr>
                </pic:pic>
              </a:graphicData>
            </a:graphic>
          </wp:inline>
        </w:drawing>
      </w:r>
    </w:p>
    <w:p>
      <w:r>
        <w:rPr>
          <w:rFonts w:ascii="Calibri" w:hAnsi="Calibri" w:eastAsia="Calibri" w:cs="Calibri"/>
          <w:color w:val="000000"/>
        </w:rPr>
        <w:t xml:space="preserve">3.     </w:t>
      </w:r>
      <w:r>
        <w:rPr>
          <w:rFonts w:ascii="宋体" w:hAnsi="宋体" w:cs="宋体"/>
          <w:color w:val="000000"/>
        </w:rPr>
        <w:t>注册成功登录这个手机号码的账号进入系统，点击供应商注册</w:t>
      </w:r>
    </w:p>
    <w:p>
      <w:r>
        <w:drawing>
          <wp:inline distT="0" distB="0" distL="0" distR="0">
            <wp:extent cx="5762625" cy="2867025"/>
            <wp:effectExtent l="0" t="0" r="0" b="0"/>
            <wp:docPr id="4"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descri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2625" cy="2867025"/>
                    </a:xfrm>
                    <a:prstGeom prst="rect">
                      <a:avLst/>
                    </a:prstGeom>
                    <a:noFill/>
                    <a:ln>
                      <a:noFill/>
                    </a:ln>
                  </pic:spPr>
                </pic:pic>
              </a:graphicData>
            </a:graphic>
          </wp:inline>
        </w:drawing>
      </w:r>
    </w:p>
    <w:p>
      <w:r>
        <w:rPr>
          <w:rFonts w:ascii="Calibri" w:hAnsi="Calibri" w:eastAsia="Calibri" w:cs="Calibri"/>
          <w:color w:val="000000"/>
        </w:rPr>
        <w:t xml:space="preserve">4.     </w:t>
      </w:r>
      <w:r>
        <w:rPr>
          <w:rFonts w:ascii="宋体" w:hAnsi="宋体" w:cs="宋体"/>
          <w:color w:val="000000"/>
        </w:rPr>
        <w:t>点击新增</w:t>
      </w:r>
    </w:p>
    <w:p>
      <w:r>
        <w:drawing>
          <wp:inline distT="0" distB="0" distL="0" distR="0">
            <wp:extent cx="5762625" cy="2847975"/>
            <wp:effectExtent l="0" t="0" r="0" b="0"/>
            <wp:docPr id="5"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descri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2625" cy="2847975"/>
                    </a:xfrm>
                    <a:prstGeom prst="rect">
                      <a:avLst/>
                    </a:prstGeom>
                    <a:noFill/>
                    <a:ln>
                      <a:noFill/>
                    </a:ln>
                  </pic:spPr>
                </pic:pic>
              </a:graphicData>
            </a:graphic>
          </wp:inline>
        </w:drawing>
      </w:r>
    </w:p>
    <w:p>
      <w:r>
        <w:t>5</w:t>
      </w:r>
      <w:r>
        <w:rPr>
          <w:rFonts w:ascii="Calibri" w:hAnsi="Calibri" w:eastAsia="Calibri" w:cs="Calibri"/>
          <w:color w:val="000000"/>
        </w:rPr>
        <w:t xml:space="preserve"> </w:t>
      </w:r>
      <w:r>
        <w:rPr>
          <w:rFonts w:ascii="宋体" w:hAnsi="宋体" w:cs="宋体"/>
          <w:color w:val="000000"/>
        </w:rPr>
        <w:t>按要求填写所有信息，注意非生产类要填写</w:t>
      </w:r>
      <w:r>
        <w:rPr>
          <w:rFonts w:hint="eastAsia" w:ascii="宋体" w:hAnsi="宋体" w:cs="宋体"/>
          <w:color w:val="000000"/>
        </w:rPr>
        <w:t>业务</w:t>
      </w:r>
      <w:r>
        <w:rPr>
          <w:rFonts w:ascii="宋体" w:hAnsi="宋体" w:cs="宋体"/>
          <w:color w:val="000000"/>
        </w:rPr>
        <w:t>单位，最后提交审批</w:t>
      </w:r>
    </w:p>
    <w:p>
      <w:pPr>
        <w:rPr>
          <w:rFonts w:hint="eastAsia" w:ascii="宋体" w:hAnsi="宋体" w:cs="宋体"/>
          <w:color w:val="000000"/>
        </w:rPr>
      </w:pPr>
    </w:p>
    <w:p>
      <w:r>
        <w:drawing>
          <wp:inline distT="0" distB="0" distL="0" distR="0">
            <wp:extent cx="5762625" cy="2809875"/>
            <wp:effectExtent l="0" t="0" r="0" b="0"/>
            <wp:docPr id="6"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descri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2625" cy="2809875"/>
                    </a:xfrm>
                    <a:prstGeom prst="rect">
                      <a:avLst/>
                    </a:prstGeom>
                    <a:noFill/>
                    <a:ln>
                      <a:noFill/>
                    </a:ln>
                  </pic:spPr>
                </pic:pic>
              </a:graphicData>
            </a:graphic>
          </wp:inline>
        </w:drawing>
      </w:r>
    </w:p>
    <w:p>
      <w:r>
        <w:drawing>
          <wp:inline distT="0" distB="0" distL="0" distR="0">
            <wp:extent cx="5762625" cy="2819400"/>
            <wp:effectExtent l="0" t="0" r="0" b="0"/>
            <wp:docPr id="7"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descrip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62625" cy="2819400"/>
                    </a:xfrm>
                    <a:prstGeom prst="rect">
                      <a:avLst/>
                    </a:prstGeom>
                    <a:noFill/>
                    <a:ln>
                      <a:noFill/>
                    </a:ln>
                  </pic:spPr>
                </pic:pic>
              </a:graphicData>
            </a:graphic>
          </wp:inline>
        </w:drawing>
      </w:r>
    </w:p>
    <w:p>
      <w:pPr>
        <w:pStyle w:val="19"/>
        <w:jc w:val="left"/>
        <w:rPr>
          <w:rFonts w:hint="eastAsia"/>
        </w:rPr>
      </w:pPr>
      <w:bookmarkStart w:id="67" w:name="_Toc205983525"/>
      <w:r>
        <w:rPr>
          <w:rFonts w:hint="eastAsia"/>
          <w:b w:val="0"/>
        </w:rPr>
        <w:t>附件二：</w:t>
      </w:r>
      <w:r>
        <w:rPr>
          <w:b w:val="0"/>
        </w:rPr>
        <w:t>非生产供应商</w:t>
      </w:r>
      <w:r>
        <w:rPr>
          <w:rFonts w:hint="eastAsia"/>
          <w:b w:val="0"/>
        </w:rPr>
        <w:t>投标操作手册</w:t>
      </w:r>
      <w:bookmarkEnd w:id="67"/>
    </w:p>
    <w:p>
      <w:pPr>
        <w:pStyle w:val="5"/>
        <w:spacing w:before="280" w:after="290" w:line="372" w:lineRule="auto"/>
        <w:ind w:left="425" w:hanging="425"/>
      </w:pPr>
      <w:r>
        <w:rPr>
          <w:rFonts w:eastAsia="Arial" w:cs="Arial"/>
          <w:color w:val="000000"/>
          <w:sz w:val="28"/>
        </w:rPr>
        <w:t xml:space="preserve">1.     </w:t>
      </w:r>
      <w:r>
        <w:rPr>
          <w:rFonts w:ascii="黑体" w:hAnsi="黑体" w:eastAsia="黑体" w:cs="黑体"/>
          <w:color w:val="000000"/>
          <w:sz w:val="28"/>
        </w:rPr>
        <w:t>供应商应标</w:t>
      </w:r>
    </w:p>
    <w:p>
      <w:r>
        <w:rPr>
          <w:rFonts w:ascii="宋体" w:hAnsi="宋体" w:cs="宋体"/>
          <w:color w:val="000000"/>
        </w:rPr>
        <w:t>路径：招投标中心</w:t>
      </w:r>
      <w:r>
        <w:rPr>
          <w:rFonts w:ascii="Calibri" w:hAnsi="Calibri" w:eastAsia="Calibri" w:cs="Calibri"/>
          <w:color w:val="000000"/>
        </w:rPr>
        <w:t>-</w:t>
      </w:r>
      <w:r>
        <w:rPr>
          <w:rFonts w:ascii="宋体" w:hAnsi="宋体" w:cs="宋体"/>
          <w:color w:val="000000"/>
        </w:rPr>
        <w:t>非生产类招投标</w:t>
      </w:r>
      <w:r>
        <w:rPr>
          <w:rFonts w:ascii="Calibri" w:hAnsi="Calibri" w:eastAsia="Calibri" w:cs="Calibri"/>
          <w:color w:val="000000"/>
        </w:rPr>
        <w:t>-</w:t>
      </w:r>
      <w:r>
        <w:rPr>
          <w:rFonts w:ascii="宋体" w:hAnsi="宋体" w:cs="宋体"/>
          <w:color w:val="000000"/>
        </w:rPr>
        <w:t>供应商应标</w:t>
      </w:r>
    </w:p>
    <w:p>
      <w:pPr>
        <w:rPr>
          <w:rFonts w:hint="eastAsia" w:ascii="宋体" w:hAnsi="宋体" w:cs="宋体"/>
          <w:color w:val="000000"/>
        </w:rPr>
      </w:pPr>
      <w:r>
        <w:rPr>
          <w:rFonts w:ascii="宋体" w:hAnsi="宋体" w:cs="宋体"/>
          <w:color w:val="000000"/>
        </w:rPr>
        <w:t>点击应标，上传文件之后点击提交。</w:t>
      </w:r>
    </w:p>
    <w:p>
      <w:r>
        <w:drawing>
          <wp:inline distT="0" distB="0" distL="0" distR="0">
            <wp:extent cx="5762625" cy="2266950"/>
            <wp:effectExtent l="0" t="0" r="0" b="0"/>
            <wp:docPr id="8"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descri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62625" cy="2266950"/>
                    </a:xfrm>
                    <a:prstGeom prst="rect">
                      <a:avLst/>
                    </a:prstGeom>
                    <a:noFill/>
                    <a:ln>
                      <a:noFill/>
                    </a:ln>
                  </pic:spPr>
                </pic:pic>
              </a:graphicData>
            </a:graphic>
          </wp:inline>
        </w:drawing>
      </w:r>
    </w:p>
    <w:p/>
    <w:p>
      <w:pPr>
        <w:pStyle w:val="5"/>
        <w:spacing w:before="280" w:after="290" w:line="372" w:lineRule="auto"/>
        <w:ind w:left="425" w:hanging="425"/>
      </w:pPr>
      <w:r>
        <w:rPr>
          <w:rFonts w:eastAsia="Arial" w:cs="Arial"/>
          <w:color w:val="000000"/>
          <w:sz w:val="28"/>
        </w:rPr>
        <w:t xml:space="preserve">2.     </w:t>
      </w:r>
      <w:r>
        <w:rPr>
          <w:rFonts w:ascii="黑体" w:hAnsi="黑体" w:eastAsia="黑体" w:cs="黑体"/>
          <w:color w:val="000000"/>
          <w:sz w:val="28"/>
        </w:rPr>
        <w:t>供应商投标</w:t>
      </w:r>
    </w:p>
    <w:p>
      <w:r>
        <w:rPr>
          <w:rFonts w:ascii="宋体" w:hAnsi="宋体" w:cs="宋体"/>
          <w:color w:val="000000"/>
        </w:rPr>
        <w:t>路径：招投标中心</w:t>
      </w:r>
      <w:r>
        <w:rPr>
          <w:rFonts w:ascii="Calibri" w:hAnsi="Calibri" w:eastAsia="Calibri" w:cs="Calibri"/>
          <w:color w:val="000000"/>
        </w:rPr>
        <w:t>-</w:t>
      </w:r>
      <w:r>
        <w:rPr>
          <w:rFonts w:ascii="宋体" w:hAnsi="宋体" w:cs="宋体"/>
          <w:color w:val="000000"/>
        </w:rPr>
        <w:t>非生产类招投标</w:t>
      </w:r>
      <w:r>
        <w:rPr>
          <w:rFonts w:ascii="Calibri" w:hAnsi="Calibri" w:eastAsia="Calibri" w:cs="Calibri"/>
          <w:color w:val="000000"/>
        </w:rPr>
        <w:t>-</w:t>
      </w:r>
      <w:r>
        <w:rPr>
          <w:rFonts w:ascii="宋体" w:hAnsi="宋体" w:cs="宋体"/>
          <w:color w:val="000000"/>
        </w:rPr>
        <w:t>供应商投标</w:t>
      </w:r>
    </w:p>
    <w:p>
      <w:pPr>
        <w:rPr>
          <w:rFonts w:hint="eastAsia" w:ascii="宋体" w:hAnsi="宋体" w:cs="宋体"/>
          <w:color w:val="000000"/>
        </w:rPr>
      </w:pPr>
      <w:r>
        <w:rPr>
          <w:rFonts w:ascii="宋体" w:hAnsi="宋体" w:cs="宋体"/>
          <w:color w:val="000000"/>
        </w:rPr>
        <w:drawing>
          <wp:inline distT="0" distB="0" distL="0" distR="0">
            <wp:extent cx="5762625" cy="2124075"/>
            <wp:effectExtent l="0" t="0" r="0" b="0"/>
            <wp:docPr id="9"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descrip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2625" cy="2124075"/>
                    </a:xfrm>
                    <a:prstGeom prst="rect">
                      <a:avLst/>
                    </a:prstGeom>
                    <a:noFill/>
                    <a:ln>
                      <a:noFill/>
                    </a:ln>
                  </pic:spPr>
                </pic:pic>
              </a:graphicData>
            </a:graphic>
          </wp:inline>
        </w:drawing>
      </w:r>
    </w:p>
    <w:p>
      <w:r>
        <w:drawing>
          <wp:anchor distT="0" distB="0" distL="114300" distR="114300" simplePos="0" relativeHeight="251659264" behindDoc="0" locked="0" layoutInCell="1" allowOverlap="1">
            <wp:simplePos x="0" y="0"/>
            <wp:positionH relativeFrom="margin">
              <wp:posOffset>1270</wp:posOffset>
            </wp:positionH>
            <wp:positionV relativeFrom="margin">
              <wp:posOffset>6063615</wp:posOffset>
            </wp:positionV>
            <wp:extent cx="5490210" cy="1979930"/>
            <wp:effectExtent l="0" t="0" r="0" b="0"/>
            <wp:wrapSquare wrapText="bothSides"/>
            <wp:docPr id="509725824" name="图片 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25824" name="图片 9" descr="descrip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90210" cy="1979930"/>
                    </a:xfrm>
                    <a:prstGeom prst="rect">
                      <a:avLst/>
                    </a:prstGeom>
                    <a:noFill/>
                    <a:ln>
                      <a:noFill/>
                    </a:ln>
                  </pic:spPr>
                </pic:pic>
              </a:graphicData>
            </a:graphic>
          </wp:anchor>
        </w:drawing>
      </w:r>
      <w:r>
        <w:rPr>
          <w:rFonts w:ascii="宋体" w:hAnsi="宋体" w:cs="宋体"/>
          <w:color w:val="000000"/>
        </w:rPr>
        <w:t>点击投标按钮，进入详情页，输入投标报价并上传相应的附件。</w:t>
      </w:r>
    </w:p>
    <w:p>
      <w:pPr>
        <w:pStyle w:val="5"/>
        <w:spacing w:before="280" w:after="290" w:line="372" w:lineRule="auto"/>
        <w:ind w:left="425" w:hanging="425"/>
      </w:pPr>
      <w:r>
        <w:rPr>
          <w:rFonts w:eastAsia="Arial" w:cs="Arial"/>
          <w:color w:val="000000"/>
          <w:sz w:val="28"/>
        </w:rPr>
        <w:t xml:space="preserve">3.     </w:t>
      </w:r>
      <w:r>
        <w:rPr>
          <w:rFonts w:ascii="黑体" w:hAnsi="黑体" w:eastAsia="黑体" w:cs="黑体"/>
          <w:color w:val="000000"/>
          <w:sz w:val="28"/>
        </w:rPr>
        <w:t>供应商技术标澄清函</w:t>
      </w:r>
    </w:p>
    <w:p>
      <w:r>
        <w:rPr>
          <w:rFonts w:ascii="宋体" w:hAnsi="宋体" w:cs="宋体"/>
          <w:color w:val="000000"/>
        </w:rPr>
        <w:t>路径：招投标中心</w:t>
      </w:r>
      <w:r>
        <w:rPr>
          <w:rFonts w:ascii="Calibri" w:hAnsi="Calibri" w:eastAsia="Calibri" w:cs="Calibri"/>
          <w:color w:val="000000"/>
        </w:rPr>
        <w:t>-</w:t>
      </w:r>
      <w:r>
        <w:rPr>
          <w:rFonts w:ascii="宋体" w:hAnsi="宋体" w:cs="宋体"/>
          <w:color w:val="000000"/>
        </w:rPr>
        <w:t>非生产类招投标</w:t>
      </w:r>
      <w:r>
        <w:rPr>
          <w:rFonts w:ascii="Calibri" w:hAnsi="Calibri" w:eastAsia="Calibri" w:cs="Calibri"/>
          <w:color w:val="000000"/>
        </w:rPr>
        <w:t>-</w:t>
      </w:r>
      <w:r>
        <w:rPr>
          <w:rFonts w:ascii="宋体" w:hAnsi="宋体" w:cs="宋体"/>
          <w:color w:val="000000"/>
        </w:rPr>
        <w:t>供应商技术标澄清函</w:t>
      </w:r>
    </w:p>
    <w:p>
      <w:r>
        <w:rPr>
          <w:rFonts w:ascii="宋体" w:hAnsi="宋体" w:cs="宋体"/>
          <w:color w:val="000000"/>
        </w:rPr>
        <w:t>点击编辑按钮进入系统，上传技术标澄清函。</w:t>
      </w:r>
    </w:p>
    <w:p>
      <w:r>
        <w:rPr>
          <w:rFonts w:ascii="宋体" w:hAnsi="宋体" w:cs="宋体"/>
          <w:color w:val="000000"/>
        </w:rPr>
        <w:t>开标之后所有投标的供应商都可编辑提交，技术标入围之后</w:t>
      </w:r>
      <w:r>
        <w:rPr>
          <w:rFonts w:ascii="Calibri" w:hAnsi="Calibri" w:eastAsia="Calibri" w:cs="Calibri"/>
          <w:color w:val="000000"/>
        </w:rPr>
        <w:t xml:space="preserve"> </w:t>
      </w:r>
      <w:r>
        <w:rPr>
          <w:rFonts w:ascii="宋体" w:hAnsi="宋体" w:cs="宋体"/>
          <w:color w:val="000000"/>
        </w:rPr>
        <w:t>都不可编辑</w:t>
      </w:r>
    </w:p>
    <w:p/>
    <w:p>
      <w:pPr>
        <w:pStyle w:val="5"/>
        <w:spacing w:before="280" w:after="290" w:line="372" w:lineRule="auto"/>
        <w:ind w:left="425" w:hanging="425"/>
      </w:pPr>
      <w:r>
        <w:drawing>
          <wp:anchor distT="0" distB="0" distL="114300" distR="114300" simplePos="0" relativeHeight="251660288" behindDoc="0" locked="0" layoutInCell="1" allowOverlap="1">
            <wp:simplePos x="0" y="0"/>
            <wp:positionH relativeFrom="margin">
              <wp:posOffset>125095</wp:posOffset>
            </wp:positionH>
            <wp:positionV relativeFrom="margin">
              <wp:posOffset>72390</wp:posOffset>
            </wp:positionV>
            <wp:extent cx="5490210" cy="1992630"/>
            <wp:effectExtent l="0" t="0" r="0" b="0"/>
            <wp:wrapSquare wrapText="bothSides"/>
            <wp:docPr id="1297285565" name="图片 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85565" name="图片 10" descr="descrip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90210" cy="1992630"/>
                    </a:xfrm>
                    <a:prstGeom prst="rect">
                      <a:avLst/>
                    </a:prstGeom>
                    <a:noFill/>
                    <a:ln>
                      <a:noFill/>
                    </a:ln>
                  </pic:spPr>
                </pic:pic>
              </a:graphicData>
            </a:graphic>
          </wp:anchor>
        </w:drawing>
      </w:r>
      <w:r>
        <w:rPr>
          <w:rFonts w:eastAsia="Arial" w:cs="Arial"/>
          <w:color w:val="000000"/>
          <w:sz w:val="28"/>
        </w:rPr>
        <w:t xml:space="preserve">4.     </w:t>
      </w:r>
      <w:r>
        <w:rPr>
          <w:rFonts w:ascii="黑体" w:hAnsi="黑体" w:eastAsia="黑体" w:cs="黑体"/>
          <w:color w:val="000000"/>
          <w:sz w:val="28"/>
        </w:rPr>
        <w:t>供应商报价</w:t>
      </w:r>
    </w:p>
    <w:p>
      <w:r>
        <w:rPr>
          <w:rFonts w:ascii="宋体" w:hAnsi="宋体" w:cs="宋体"/>
          <w:color w:val="000000"/>
        </w:rPr>
        <w:t>路径：招投标中心</w:t>
      </w:r>
      <w:r>
        <w:rPr>
          <w:rFonts w:ascii="Calibri" w:hAnsi="Calibri" w:eastAsia="Calibri" w:cs="Calibri"/>
          <w:color w:val="000000"/>
        </w:rPr>
        <w:t>-</w:t>
      </w:r>
      <w:r>
        <w:rPr>
          <w:rFonts w:ascii="宋体" w:hAnsi="宋体" w:cs="宋体"/>
          <w:color w:val="000000"/>
        </w:rPr>
        <w:t>非生产类招投标</w:t>
      </w:r>
      <w:r>
        <w:rPr>
          <w:rFonts w:ascii="Calibri" w:hAnsi="Calibri" w:eastAsia="Calibri" w:cs="Calibri"/>
          <w:color w:val="000000"/>
        </w:rPr>
        <w:t>-</w:t>
      </w:r>
      <w:r>
        <w:rPr>
          <w:rFonts w:ascii="宋体" w:hAnsi="宋体" w:cs="宋体"/>
          <w:color w:val="000000"/>
        </w:rPr>
        <w:t>供应商报价</w:t>
      </w:r>
    </w:p>
    <w:p>
      <w:r>
        <w:rPr>
          <w:rFonts w:ascii="宋体" w:hAnsi="宋体" w:cs="宋体"/>
          <w:color w:val="000000"/>
        </w:rPr>
        <w:t>点击报价按钮进入报价详情界面，请在此轮报价起止时间内报价，否则无法报价。</w:t>
      </w:r>
    </w:p>
    <w:p>
      <w:pPr>
        <w:pStyle w:val="5"/>
        <w:spacing w:before="280" w:after="290" w:line="372" w:lineRule="auto"/>
        <w:ind w:left="425" w:hanging="425"/>
      </w:pPr>
      <w:r>
        <w:rPr>
          <w:rFonts w:eastAsia="Arial" w:cs="Arial"/>
          <w:color w:val="000000"/>
          <w:sz w:val="28"/>
        </w:rPr>
        <w:t xml:space="preserve">5.     </w:t>
      </w:r>
      <w:r>
        <w:rPr>
          <w:rFonts w:ascii="黑体" w:hAnsi="黑体" w:eastAsia="黑体" w:cs="黑体"/>
          <w:color w:val="000000"/>
          <w:sz w:val="28"/>
        </w:rPr>
        <w:t>供应商澄清报价</w:t>
      </w:r>
    </w:p>
    <w:p>
      <w:r>
        <w:rPr>
          <w:rFonts w:ascii="宋体" w:hAnsi="宋体" w:cs="宋体"/>
          <w:color w:val="000000"/>
        </w:rPr>
        <w:t>路径：招投标中心</w:t>
      </w:r>
      <w:r>
        <w:rPr>
          <w:rFonts w:ascii="Calibri" w:hAnsi="Calibri" w:eastAsia="Calibri" w:cs="Calibri"/>
          <w:color w:val="000000"/>
        </w:rPr>
        <w:t>-</w:t>
      </w:r>
      <w:r>
        <w:rPr>
          <w:rFonts w:ascii="宋体" w:hAnsi="宋体" w:cs="宋体"/>
          <w:color w:val="000000"/>
        </w:rPr>
        <w:t>非生产类招投标</w:t>
      </w:r>
      <w:r>
        <w:rPr>
          <w:rFonts w:ascii="Calibri" w:hAnsi="Calibri" w:eastAsia="Calibri" w:cs="Calibri"/>
          <w:color w:val="000000"/>
        </w:rPr>
        <w:t>-</w:t>
      </w:r>
      <w:r>
        <w:rPr>
          <w:rFonts w:ascii="宋体" w:hAnsi="宋体" w:cs="宋体"/>
          <w:color w:val="000000"/>
        </w:rPr>
        <w:t>供应商澄清报价</w:t>
      </w:r>
    </w:p>
    <w:p/>
    <w:p>
      <w:pPr>
        <w:rPr>
          <w:rFonts w:hint="eastAsia" w:ascii="宋体" w:hAnsi="宋体" w:cs="宋体"/>
          <w:color w:val="000000"/>
        </w:rPr>
      </w:pPr>
      <w:r>
        <w:rPr>
          <w:rFonts w:ascii="宋体" w:hAnsi="宋体" w:cs="宋体"/>
          <w:color w:val="000000"/>
        </w:rPr>
        <w:t>招标发起人接收建议价的同时会给供应商发送澄清报价，供应商在此界面进行澄清报价，点击编辑按钮进入澄清报价详细界面，输入价格并上传澄清函，之后点击提交</w:t>
      </w:r>
      <w:r>
        <w:rPr>
          <w:rFonts w:hint="eastAsia" w:ascii="宋体" w:hAnsi="宋体" w:cs="宋体"/>
          <w:color w:val="000000"/>
        </w:rPr>
        <w:t>。</w:t>
      </w:r>
    </w:p>
    <w:p>
      <w:r>
        <w:rPr>
          <w:rFonts w:ascii="宋体" w:hAnsi="宋体" w:cs="宋体"/>
          <w:bCs/>
          <w:color w:val="000000"/>
        </w:rPr>
        <w:drawing>
          <wp:inline distT="0" distB="0" distL="0" distR="0">
            <wp:extent cx="2324100" cy="1085850"/>
            <wp:effectExtent l="0" t="0" r="0" b="0"/>
            <wp:docPr id="10" name="图片 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descrip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24100" cy="1085850"/>
                    </a:xfrm>
                    <a:prstGeom prst="rect">
                      <a:avLst/>
                    </a:prstGeom>
                    <a:noFill/>
                    <a:ln>
                      <a:noFill/>
                    </a:ln>
                  </pic:spPr>
                </pic:pic>
              </a:graphicData>
            </a:graphic>
          </wp:inline>
        </w:drawing>
      </w:r>
    </w:p>
    <w:p>
      <w:pPr>
        <w:pStyle w:val="5"/>
        <w:spacing w:before="280" w:after="290" w:line="372" w:lineRule="auto"/>
        <w:ind w:left="425" w:hanging="425"/>
      </w:pPr>
      <w:r>
        <w:rPr>
          <w:rFonts w:eastAsia="Arial" w:cs="Arial"/>
          <w:color w:val="000000"/>
          <w:sz w:val="28"/>
        </w:rPr>
        <w:t xml:space="preserve">6.     </w:t>
      </w:r>
      <w:r>
        <w:rPr>
          <w:rFonts w:ascii="黑体" w:hAnsi="黑体" w:eastAsia="黑体" w:cs="黑体"/>
          <w:color w:val="000000"/>
          <w:sz w:val="28"/>
        </w:rPr>
        <w:t>供应商查看中标通知</w:t>
      </w:r>
    </w:p>
    <w:p>
      <w:r>
        <w:rPr>
          <w:rFonts w:ascii="宋体" w:hAnsi="宋体" w:cs="宋体"/>
          <w:color w:val="000000"/>
        </w:rPr>
        <w:t>路径：招投标中心</w:t>
      </w:r>
      <w:r>
        <w:rPr>
          <w:rFonts w:ascii="Calibri" w:hAnsi="Calibri" w:eastAsia="Calibri" w:cs="Calibri"/>
          <w:color w:val="000000"/>
        </w:rPr>
        <w:t>-</w:t>
      </w:r>
      <w:r>
        <w:rPr>
          <w:rFonts w:ascii="宋体" w:hAnsi="宋体" w:cs="宋体"/>
          <w:color w:val="000000"/>
        </w:rPr>
        <w:t>非生产类招投标</w:t>
      </w:r>
      <w:r>
        <w:rPr>
          <w:rFonts w:ascii="Calibri" w:hAnsi="Calibri" w:eastAsia="Calibri" w:cs="Calibri"/>
          <w:color w:val="000000"/>
        </w:rPr>
        <w:t>-</w:t>
      </w:r>
      <w:r>
        <w:rPr>
          <w:rFonts w:ascii="宋体" w:hAnsi="宋体" w:cs="宋体"/>
          <w:color w:val="000000"/>
        </w:rPr>
        <w:t>中标项目</w:t>
      </w:r>
    </w:p>
    <w:p>
      <w:r>
        <w:rPr>
          <w:rFonts w:ascii="宋体" w:hAnsi="宋体" w:cs="宋体"/>
          <w:color w:val="000000"/>
        </w:rPr>
        <w:t>点击查看进入查看中标项目详情</w:t>
      </w:r>
    </w:p>
    <w:p>
      <w:r>
        <w:drawing>
          <wp:inline distT="0" distB="0" distL="0" distR="0">
            <wp:extent cx="5762625" cy="1952625"/>
            <wp:effectExtent l="0" t="0" r="0" b="0"/>
            <wp:docPr id="11" name="图片 1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descrip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62625" cy="1952625"/>
                    </a:xfrm>
                    <a:prstGeom prst="rect">
                      <a:avLst/>
                    </a:prstGeom>
                    <a:noFill/>
                    <a:ln>
                      <a:noFill/>
                    </a:ln>
                  </pic:spPr>
                </pic:pic>
              </a:graphicData>
            </a:graphic>
          </wp:inline>
        </w:drawing>
      </w:r>
    </w:p>
    <w:sectPr>
      <w:pgSz w:w="11906" w:h="16838"/>
      <w:pgMar w:top="1701" w:right="1418" w:bottom="1134" w:left="1418" w:header="851" w:footer="992" w:gutter="0"/>
      <w:pgNumType w:fmt="numberInDash" w:start="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仿宋体">
    <w:altName w:val="汉仪仿宋KW"/>
    <w:panose1 w:val="00000000000000000000"/>
    <w:charset w:val="86"/>
    <w:family w:val="auto"/>
    <w:pitch w:val="default"/>
    <w:sig w:usb0="00000000" w:usb1="00000000" w:usb2="00000010" w:usb3="00000000" w:csb0="00040000" w:csb1="00000000"/>
  </w:font>
  <w:font w:name="仿宋_GB2312">
    <w:altName w:val="汉仪仿宋KW"/>
    <w:panose1 w:val="00000000000000000000"/>
    <w:charset w:val="86"/>
    <w:family w:val="modern"/>
    <w:pitch w:val="default"/>
    <w:sig w:usb0="00000000" w:usb1="0000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0000019F"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Arial Unicode MS">
    <w:altName w:val="Arial"/>
    <w:panose1 w:val="020B0604020202020204"/>
    <w:charset w:val="86"/>
    <w:family w:val="swiss"/>
    <w:pitch w:val="default"/>
    <w:sig w:usb0="00000000" w:usb1="00000000" w:usb2="0000003F" w:usb3="00000000" w:csb0="003F01FF" w:csb1="00000000"/>
  </w:font>
  <w:font w:name="汉仪仿宋KW">
    <w:panose1 w:val="00020600040101010101"/>
    <w:charset w:val="86"/>
    <w:family w:val="auto"/>
    <w:pitch w:val="default"/>
    <w:sig w:usb0="A00002BF" w:usb1="18EF7CFA" w:usb2="00000016" w:usb3="00000000" w:csb0="00040000" w:csb1="00000000"/>
  </w:font>
  <w:font w:name="Georgia">
    <w:panose1 w:val="02040502050405020303"/>
    <w:charset w:val="00"/>
    <w:family w:val="auto"/>
    <w:pitch w:val="default"/>
    <w:sig w:usb0="00000287" w:usb1="00000000" w:usb2="00000000" w:usb3="00000000" w:csb0="2000009F" w:csb1="00000000"/>
  </w:font>
  <w:font w:name="汉仪楷体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90500" cy="284480"/>
              <wp:effectExtent l="0" t="0" r="0" b="0"/>
              <wp:wrapNone/>
              <wp:docPr id="41988838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0500" cy="284480"/>
                      </a:xfrm>
                      <a:prstGeom prst="rect">
                        <a:avLst/>
                      </a:prstGeom>
                      <a:noFill/>
                      <a:ln>
                        <a:noFill/>
                      </a:ln>
                    </wps:spPr>
                    <wps:txbx>
                      <w:txbxContent>
                        <w:p>
                          <w:pPr>
                            <w:pStyle w:val="13"/>
                            <w:rPr>
                              <w:rStyle w:val="25"/>
                            </w:rPr>
                          </w:pPr>
                          <w:r>
                            <w:fldChar w:fldCharType="begin"/>
                          </w:r>
                          <w:r>
                            <w:rPr>
                              <w:rStyle w:val="25"/>
                            </w:rPr>
                            <w:instrText xml:space="preserve">PAGE  </w:instrText>
                          </w:r>
                          <w:r>
                            <w:fldChar w:fldCharType="separate"/>
                          </w:r>
                          <w:r>
                            <w:rPr>
                              <w:rStyle w:val="25"/>
                            </w:rPr>
                            <w:t>- 7 -</w:t>
                          </w:r>
                          <w:r>
                            <w:fldChar w:fldCharType="end"/>
                          </w:r>
                        </w:p>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22.4pt;width:15pt;mso-position-horizontal:center;mso-position-horizontal-relative:margin;mso-wrap-style:none;z-index:251663360;mso-width-relative:page;mso-height-relative:page;" filled="f" stroked="f" coordsize="21600,21600" o:gfxdata="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">
              <v:fill on="f" focussize="0,0"/>
              <v:stroke on="f"/>
              <v:imagedata o:title=""/>
              <o:lock v:ext="edit" aspectratio="f"/>
              <v:textbox inset="0mm,0mm,0mm,0mm" style="mso-fit-shape-to-text:t;">
                <w:txbxContent>
                  <w:p>
                    <w:pPr>
                      <w:pStyle w:val="13"/>
                      <w:rPr>
                        <w:rStyle w:val="25"/>
                      </w:rPr>
                    </w:pPr>
                    <w:r>
                      <w:fldChar w:fldCharType="begin"/>
                    </w:r>
                    <w:r>
                      <w:rPr>
                        <w:rStyle w:val="25"/>
                      </w:rPr>
                      <w:instrText xml:space="preserve">PAGE  </w:instrText>
                    </w:r>
                    <w:r>
                      <w:fldChar w:fldCharType="separate"/>
                    </w:r>
                    <w:r>
                      <w:rPr>
                        <w:rStyle w:val="25"/>
                      </w:rPr>
                      <w:t>- 7 -</w:t>
                    </w:r>
                    <w:r>
                      <w:fldChar w:fldCharType="end"/>
                    </w:r>
                  </w:p>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5"/>
      </w:rPr>
    </w:pPr>
    <w:r>
      <w:fldChar w:fldCharType="begin"/>
    </w:r>
    <w:r>
      <w:rPr>
        <w:rStyle w:val="25"/>
      </w:rPr>
      <w:instrText xml:space="preserve">PAGE  </w:instrText>
    </w:r>
    <w:r>
      <w:fldChar w:fldCharType="separate"/>
    </w:r>
    <w:r>
      <w:rPr>
        <w:rStyle w:val="25"/>
      </w:rPr>
      <w:t>- 1 -</w:t>
    </w:r>
    <w: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3465"/>
        <w:tab w:val="left" w:pos="6390"/>
        <w:tab w:val="clear" w:pos="4153"/>
        <w:tab w:val="clear" w:pos="8306"/>
      </w:tabs>
    </w:pPr>
    <w:r>
      <w:tab/>
    </w:r>
    <w: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69D827"/>
    <w:multiLevelType w:val="singleLevel"/>
    <w:tmpl w:val="C569D827"/>
    <w:lvl w:ilvl="0" w:tentative="0">
      <w:start w:val="1"/>
      <w:numFmt w:val="lowerLetter"/>
      <w:suff w:val="nothing"/>
      <w:lvlText w:val="%1）"/>
      <w:lvlJc w:val="left"/>
    </w:lvl>
  </w:abstractNum>
  <w:abstractNum w:abstractNumId="1">
    <w:nsid w:val="00000008"/>
    <w:multiLevelType w:val="multilevel"/>
    <w:tmpl w:val="00000008"/>
    <w:lvl w:ilvl="0" w:tentative="0">
      <w:start w:val="1"/>
      <w:numFmt w:val="decimal"/>
      <w:pStyle w:val="65"/>
      <w:lvlText w:val="%1)"/>
      <w:lvlJc w:val="left"/>
      <w:pPr>
        <w:ind w:left="846" w:hanging="420"/>
      </w:pPr>
    </w:lvl>
    <w:lvl w:ilvl="1" w:tentative="0">
      <w:start w:val="1"/>
      <w:numFmt w:val="decimal"/>
      <w:lvlText w:val="%2)"/>
      <w:lvlJc w:val="left"/>
      <w:pPr>
        <w:tabs>
          <w:tab w:val="left" w:pos="1113"/>
        </w:tabs>
        <w:ind w:left="1113" w:hanging="420"/>
      </w:pPr>
      <w:rPr>
        <w:rFonts w:hint="eastAsia"/>
      </w:rPr>
    </w:lvl>
    <w:lvl w:ilvl="2" w:tentative="0">
      <w:start w:val="1"/>
      <w:numFmt w:val="lowerRoman"/>
      <w:lvlText w:val="%3."/>
      <w:lvlJc w:val="right"/>
      <w:pPr>
        <w:ind w:left="1533" w:hanging="420"/>
      </w:pPr>
    </w:lvl>
    <w:lvl w:ilvl="3" w:tentative="0">
      <w:start w:val="1"/>
      <w:numFmt w:val="decimal"/>
      <w:lvlText w:val="%4."/>
      <w:lvlJc w:val="left"/>
      <w:pPr>
        <w:ind w:left="1953" w:hanging="420"/>
      </w:pPr>
    </w:lvl>
    <w:lvl w:ilvl="4" w:tentative="0">
      <w:start w:val="1"/>
      <w:numFmt w:val="lowerLetter"/>
      <w:lvlText w:val="%5)"/>
      <w:lvlJc w:val="left"/>
      <w:pPr>
        <w:ind w:left="2373" w:hanging="420"/>
      </w:pPr>
    </w:lvl>
    <w:lvl w:ilvl="5" w:tentative="0">
      <w:start w:val="1"/>
      <w:numFmt w:val="lowerRoman"/>
      <w:lvlText w:val="%6."/>
      <w:lvlJc w:val="right"/>
      <w:pPr>
        <w:ind w:left="2793" w:hanging="420"/>
      </w:pPr>
    </w:lvl>
    <w:lvl w:ilvl="6" w:tentative="0">
      <w:start w:val="1"/>
      <w:numFmt w:val="decimal"/>
      <w:lvlText w:val="%7."/>
      <w:lvlJc w:val="left"/>
      <w:pPr>
        <w:ind w:left="3213" w:hanging="420"/>
      </w:pPr>
    </w:lvl>
    <w:lvl w:ilvl="7" w:tentative="0">
      <w:start w:val="1"/>
      <w:numFmt w:val="lowerLetter"/>
      <w:lvlText w:val="%8)"/>
      <w:lvlJc w:val="left"/>
      <w:pPr>
        <w:ind w:left="3633" w:hanging="420"/>
      </w:pPr>
    </w:lvl>
    <w:lvl w:ilvl="8" w:tentative="0">
      <w:start w:val="1"/>
      <w:numFmt w:val="lowerRoman"/>
      <w:lvlText w:val="%9."/>
      <w:lvlJc w:val="right"/>
      <w:pPr>
        <w:ind w:left="4053" w:hanging="420"/>
      </w:pPr>
    </w:lvl>
  </w:abstractNum>
  <w:abstractNum w:abstractNumId="2">
    <w:nsid w:val="56C50EBC"/>
    <w:multiLevelType w:val="multilevel"/>
    <w:tmpl w:val="56C50EBC"/>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lOWUwZjE1ZTc0YTcwNTU4Mjc3NzIzYmUyMTA4ZDYifQ=="/>
  </w:docVars>
  <w:rsids>
    <w:rsidRoot w:val="003447BF"/>
    <w:rsid w:val="0000023A"/>
    <w:rsid w:val="00000CFA"/>
    <w:rsid w:val="00000D5A"/>
    <w:rsid w:val="00000D8A"/>
    <w:rsid w:val="00002207"/>
    <w:rsid w:val="0000223C"/>
    <w:rsid w:val="0000340B"/>
    <w:rsid w:val="000035F7"/>
    <w:rsid w:val="00003EA6"/>
    <w:rsid w:val="000048DB"/>
    <w:rsid w:val="000056AD"/>
    <w:rsid w:val="00006391"/>
    <w:rsid w:val="000066B1"/>
    <w:rsid w:val="000066C7"/>
    <w:rsid w:val="00007938"/>
    <w:rsid w:val="000109D5"/>
    <w:rsid w:val="00010C85"/>
    <w:rsid w:val="00010D10"/>
    <w:rsid w:val="000121F4"/>
    <w:rsid w:val="000126A7"/>
    <w:rsid w:val="00013B94"/>
    <w:rsid w:val="00013CCE"/>
    <w:rsid w:val="00013EAD"/>
    <w:rsid w:val="000140D2"/>
    <w:rsid w:val="00015473"/>
    <w:rsid w:val="00016CB2"/>
    <w:rsid w:val="000176E1"/>
    <w:rsid w:val="0002035A"/>
    <w:rsid w:val="000203CA"/>
    <w:rsid w:val="00022BFC"/>
    <w:rsid w:val="000235F1"/>
    <w:rsid w:val="00027A64"/>
    <w:rsid w:val="00030120"/>
    <w:rsid w:val="000305C9"/>
    <w:rsid w:val="00031202"/>
    <w:rsid w:val="00031718"/>
    <w:rsid w:val="00031D49"/>
    <w:rsid w:val="0003264D"/>
    <w:rsid w:val="00033243"/>
    <w:rsid w:val="00034F4C"/>
    <w:rsid w:val="00035188"/>
    <w:rsid w:val="00035689"/>
    <w:rsid w:val="00035A30"/>
    <w:rsid w:val="00035E1B"/>
    <w:rsid w:val="000368DB"/>
    <w:rsid w:val="00036978"/>
    <w:rsid w:val="00036C95"/>
    <w:rsid w:val="000370BC"/>
    <w:rsid w:val="000417EA"/>
    <w:rsid w:val="00042463"/>
    <w:rsid w:val="000433A7"/>
    <w:rsid w:val="00043A71"/>
    <w:rsid w:val="00043FE0"/>
    <w:rsid w:val="00046197"/>
    <w:rsid w:val="0004713F"/>
    <w:rsid w:val="00050A47"/>
    <w:rsid w:val="00050FAE"/>
    <w:rsid w:val="00051C07"/>
    <w:rsid w:val="0005230D"/>
    <w:rsid w:val="00052373"/>
    <w:rsid w:val="0005298D"/>
    <w:rsid w:val="00053A3B"/>
    <w:rsid w:val="00053ACB"/>
    <w:rsid w:val="00054226"/>
    <w:rsid w:val="0005466F"/>
    <w:rsid w:val="000547D0"/>
    <w:rsid w:val="000551E5"/>
    <w:rsid w:val="00056024"/>
    <w:rsid w:val="000602B2"/>
    <w:rsid w:val="00060CC1"/>
    <w:rsid w:val="00061089"/>
    <w:rsid w:val="0006147C"/>
    <w:rsid w:val="0006230D"/>
    <w:rsid w:val="000629E2"/>
    <w:rsid w:val="00062C50"/>
    <w:rsid w:val="00062D25"/>
    <w:rsid w:val="00063CA3"/>
    <w:rsid w:val="0006413E"/>
    <w:rsid w:val="00064E83"/>
    <w:rsid w:val="00066470"/>
    <w:rsid w:val="000664B1"/>
    <w:rsid w:val="00066685"/>
    <w:rsid w:val="000702C7"/>
    <w:rsid w:val="0007042D"/>
    <w:rsid w:val="000711E0"/>
    <w:rsid w:val="000711E8"/>
    <w:rsid w:val="000713FA"/>
    <w:rsid w:val="00071B86"/>
    <w:rsid w:val="00072B98"/>
    <w:rsid w:val="000737D5"/>
    <w:rsid w:val="00073F28"/>
    <w:rsid w:val="00074924"/>
    <w:rsid w:val="000758F4"/>
    <w:rsid w:val="00075EE4"/>
    <w:rsid w:val="00076460"/>
    <w:rsid w:val="000769C0"/>
    <w:rsid w:val="0008021F"/>
    <w:rsid w:val="0008030B"/>
    <w:rsid w:val="0008074A"/>
    <w:rsid w:val="00080FDE"/>
    <w:rsid w:val="00080FEA"/>
    <w:rsid w:val="00081392"/>
    <w:rsid w:val="000825CD"/>
    <w:rsid w:val="00082C65"/>
    <w:rsid w:val="00082E41"/>
    <w:rsid w:val="00083710"/>
    <w:rsid w:val="00083C90"/>
    <w:rsid w:val="00083F30"/>
    <w:rsid w:val="00084236"/>
    <w:rsid w:val="0008426E"/>
    <w:rsid w:val="000850E9"/>
    <w:rsid w:val="000859E7"/>
    <w:rsid w:val="00085F92"/>
    <w:rsid w:val="000862B1"/>
    <w:rsid w:val="00086313"/>
    <w:rsid w:val="00086CF7"/>
    <w:rsid w:val="00087562"/>
    <w:rsid w:val="00087A9D"/>
    <w:rsid w:val="00087DB2"/>
    <w:rsid w:val="0009014F"/>
    <w:rsid w:val="000903E0"/>
    <w:rsid w:val="0009085D"/>
    <w:rsid w:val="00090E33"/>
    <w:rsid w:val="00091234"/>
    <w:rsid w:val="000915B5"/>
    <w:rsid w:val="000924E1"/>
    <w:rsid w:val="00092ABD"/>
    <w:rsid w:val="00093597"/>
    <w:rsid w:val="00093BE6"/>
    <w:rsid w:val="00093F23"/>
    <w:rsid w:val="000940E3"/>
    <w:rsid w:val="000950DD"/>
    <w:rsid w:val="00095825"/>
    <w:rsid w:val="00095FA9"/>
    <w:rsid w:val="00096A42"/>
    <w:rsid w:val="000977D2"/>
    <w:rsid w:val="000A1C07"/>
    <w:rsid w:val="000A224B"/>
    <w:rsid w:val="000A23F5"/>
    <w:rsid w:val="000A2765"/>
    <w:rsid w:val="000A3F5B"/>
    <w:rsid w:val="000A424B"/>
    <w:rsid w:val="000A5072"/>
    <w:rsid w:val="000A53D7"/>
    <w:rsid w:val="000A70C0"/>
    <w:rsid w:val="000A76FF"/>
    <w:rsid w:val="000A799D"/>
    <w:rsid w:val="000A79E8"/>
    <w:rsid w:val="000B005C"/>
    <w:rsid w:val="000B06EC"/>
    <w:rsid w:val="000B1727"/>
    <w:rsid w:val="000B1DF7"/>
    <w:rsid w:val="000B2779"/>
    <w:rsid w:val="000B47AD"/>
    <w:rsid w:val="000B4E00"/>
    <w:rsid w:val="000B517B"/>
    <w:rsid w:val="000B6146"/>
    <w:rsid w:val="000B6DD8"/>
    <w:rsid w:val="000B7BC0"/>
    <w:rsid w:val="000C0825"/>
    <w:rsid w:val="000C17A9"/>
    <w:rsid w:val="000C3ED3"/>
    <w:rsid w:val="000C482E"/>
    <w:rsid w:val="000C6390"/>
    <w:rsid w:val="000C6B8A"/>
    <w:rsid w:val="000C7955"/>
    <w:rsid w:val="000C79E7"/>
    <w:rsid w:val="000C7F44"/>
    <w:rsid w:val="000C7F80"/>
    <w:rsid w:val="000D0155"/>
    <w:rsid w:val="000D1219"/>
    <w:rsid w:val="000D12F5"/>
    <w:rsid w:val="000D14A9"/>
    <w:rsid w:val="000D2F21"/>
    <w:rsid w:val="000D486A"/>
    <w:rsid w:val="000D486E"/>
    <w:rsid w:val="000D4D7C"/>
    <w:rsid w:val="000D4D91"/>
    <w:rsid w:val="000D4EA2"/>
    <w:rsid w:val="000D55C4"/>
    <w:rsid w:val="000D5E0D"/>
    <w:rsid w:val="000D6D59"/>
    <w:rsid w:val="000D6F72"/>
    <w:rsid w:val="000D7392"/>
    <w:rsid w:val="000D7A5B"/>
    <w:rsid w:val="000E0480"/>
    <w:rsid w:val="000E0698"/>
    <w:rsid w:val="000E0D71"/>
    <w:rsid w:val="000E2607"/>
    <w:rsid w:val="000E2B96"/>
    <w:rsid w:val="000E301C"/>
    <w:rsid w:val="000E31DA"/>
    <w:rsid w:val="000E3266"/>
    <w:rsid w:val="000E3A8A"/>
    <w:rsid w:val="000E406C"/>
    <w:rsid w:val="000E444B"/>
    <w:rsid w:val="000E44AB"/>
    <w:rsid w:val="000E5A9F"/>
    <w:rsid w:val="000E67D6"/>
    <w:rsid w:val="000E6C7D"/>
    <w:rsid w:val="000E74ED"/>
    <w:rsid w:val="000E7CD2"/>
    <w:rsid w:val="000E7EB1"/>
    <w:rsid w:val="000F02A3"/>
    <w:rsid w:val="000F1557"/>
    <w:rsid w:val="000F1864"/>
    <w:rsid w:val="000F259B"/>
    <w:rsid w:val="000F379E"/>
    <w:rsid w:val="000F42DF"/>
    <w:rsid w:val="000F456F"/>
    <w:rsid w:val="000F47D9"/>
    <w:rsid w:val="000F4AE1"/>
    <w:rsid w:val="000F4FEF"/>
    <w:rsid w:val="000F513A"/>
    <w:rsid w:val="000F5B40"/>
    <w:rsid w:val="000F73CC"/>
    <w:rsid w:val="000F7555"/>
    <w:rsid w:val="000F7EEB"/>
    <w:rsid w:val="001005DF"/>
    <w:rsid w:val="00100B27"/>
    <w:rsid w:val="00102526"/>
    <w:rsid w:val="0010264B"/>
    <w:rsid w:val="00102A52"/>
    <w:rsid w:val="00103DDD"/>
    <w:rsid w:val="001043B1"/>
    <w:rsid w:val="00104A1E"/>
    <w:rsid w:val="00104B25"/>
    <w:rsid w:val="001057C3"/>
    <w:rsid w:val="00105D37"/>
    <w:rsid w:val="00106911"/>
    <w:rsid w:val="00107537"/>
    <w:rsid w:val="00107698"/>
    <w:rsid w:val="00107C0E"/>
    <w:rsid w:val="001112B1"/>
    <w:rsid w:val="0011183F"/>
    <w:rsid w:val="00112A18"/>
    <w:rsid w:val="0011354F"/>
    <w:rsid w:val="001135A8"/>
    <w:rsid w:val="00114457"/>
    <w:rsid w:val="00114A6A"/>
    <w:rsid w:val="00114E84"/>
    <w:rsid w:val="0011558A"/>
    <w:rsid w:val="001160D8"/>
    <w:rsid w:val="00117E5D"/>
    <w:rsid w:val="00120F1C"/>
    <w:rsid w:val="001226E7"/>
    <w:rsid w:val="001228DF"/>
    <w:rsid w:val="001228FF"/>
    <w:rsid w:val="00122E2A"/>
    <w:rsid w:val="001236BF"/>
    <w:rsid w:val="00123E58"/>
    <w:rsid w:val="00123EBD"/>
    <w:rsid w:val="00124EB2"/>
    <w:rsid w:val="001258FA"/>
    <w:rsid w:val="001263DC"/>
    <w:rsid w:val="0012648F"/>
    <w:rsid w:val="0012656C"/>
    <w:rsid w:val="0012708D"/>
    <w:rsid w:val="00127270"/>
    <w:rsid w:val="001302DE"/>
    <w:rsid w:val="0013033C"/>
    <w:rsid w:val="001306E4"/>
    <w:rsid w:val="001314F8"/>
    <w:rsid w:val="00131E0F"/>
    <w:rsid w:val="001328C8"/>
    <w:rsid w:val="0013293C"/>
    <w:rsid w:val="00133BAB"/>
    <w:rsid w:val="0013423B"/>
    <w:rsid w:val="001342D9"/>
    <w:rsid w:val="00134F74"/>
    <w:rsid w:val="001352AC"/>
    <w:rsid w:val="0013625A"/>
    <w:rsid w:val="00136356"/>
    <w:rsid w:val="0013681A"/>
    <w:rsid w:val="001369FF"/>
    <w:rsid w:val="00137533"/>
    <w:rsid w:val="00137596"/>
    <w:rsid w:val="00137B5D"/>
    <w:rsid w:val="0014056C"/>
    <w:rsid w:val="0014074B"/>
    <w:rsid w:val="0014122C"/>
    <w:rsid w:val="00142434"/>
    <w:rsid w:val="00142B8C"/>
    <w:rsid w:val="001450B9"/>
    <w:rsid w:val="00146A76"/>
    <w:rsid w:val="001471B2"/>
    <w:rsid w:val="001471D4"/>
    <w:rsid w:val="001478CA"/>
    <w:rsid w:val="0015024C"/>
    <w:rsid w:val="00152113"/>
    <w:rsid w:val="00152E22"/>
    <w:rsid w:val="0015365C"/>
    <w:rsid w:val="0015375E"/>
    <w:rsid w:val="0015400F"/>
    <w:rsid w:val="00154D0D"/>
    <w:rsid w:val="00156A1E"/>
    <w:rsid w:val="00157933"/>
    <w:rsid w:val="00157A60"/>
    <w:rsid w:val="00157F55"/>
    <w:rsid w:val="001608A1"/>
    <w:rsid w:val="00160CA8"/>
    <w:rsid w:val="00160CB4"/>
    <w:rsid w:val="00161267"/>
    <w:rsid w:val="00161362"/>
    <w:rsid w:val="00161531"/>
    <w:rsid w:val="0016164D"/>
    <w:rsid w:val="00161CFF"/>
    <w:rsid w:val="00161D40"/>
    <w:rsid w:val="00161DA3"/>
    <w:rsid w:val="00162435"/>
    <w:rsid w:val="001637D7"/>
    <w:rsid w:val="0016393B"/>
    <w:rsid w:val="00163E3C"/>
    <w:rsid w:val="0016432A"/>
    <w:rsid w:val="00164641"/>
    <w:rsid w:val="001648E0"/>
    <w:rsid w:val="00164ED6"/>
    <w:rsid w:val="001652C8"/>
    <w:rsid w:val="001656BB"/>
    <w:rsid w:val="00166452"/>
    <w:rsid w:val="001708B6"/>
    <w:rsid w:val="00171559"/>
    <w:rsid w:val="00172ADC"/>
    <w:rsid w:val="00173082"/>
    <w:rsid w:val="001733E1"/>
    <w:rsid w:val="00177487"/>
    <w:rsid w:val="001778BA"/>
    <w:rsid w:val="00177CEC"/>
    <w:rsid w:val="001801B1"/>
    <w:rsid w:val="00180DE7"/>
    <w:rsid w:val="0018208D"/>
    <w:rsid w:val="00184A4E"/>
    <w:rsid w:val="001851E0"/>
    <w:rsid w:val="001853C2"/>
    <w:rsid w:val="00185E40"/>
    <w:rsid w:val="00185E90"/>
    <w:rsid w:val="00185FEE"/>
    <w:rsid w:val="00187848"/>
    <w:rsid w:val="00187F43"/>
    <w:rsid w:val="0019057F"/>
    <w:rsid w:val="001917A0"/>
    <w:rsid w:val="00191F3F"/>
    <w:rsid w:val="00193497"/>
    <w:rsid w:val="0019365A"/>
    <w:rsid w:val="00194DAA"/>
    <w:rsid w:val="001953D9"/>
    <w:rsid w:val="00196915"/>
    <w:rsid w:val="00197DDB"/>
    <w:rsid w:val="001A0476"/>
    <w:rsid w:val="001A0538"/>
    <w:rsid w:val="001A12D7"/>
    <w:rsid w:val="001A3503"/>
    <w:rsid w:val="001A3DE7"/>
    <w:rsid w:val="001A5107"/>
    <w:rsid w:val="001A551A"/>
    <w:rsid w:val="001A5DBA"/>
    <w:rsid w:val="001A703C"/>
    <w:rsid w:val="001A70BD"/>
    <w:rsid w:val="001A7F57"/>
    <w:rsid w:val="001B00E7"/>
    <w:rsid w:val="001B1B87"/>
    <w:rsid w:val="001B2EE1"/>
    <w:rsid w:val="001B2F65"/>
    <w:rsid w:val="001B544A"/>
    <w:rsid w:val="001B5B6E"/>
    <w:rsid w:val="001B6A93"/>
    <w:rsid w:val="001C0DAC"/>
    <w:rsid w:val="001C109C"/>
    <w:rsid w:val="001C1F20"/>
    <w:rsid w:val="001C234A"/>
    <w:rsid w:val="001C294D"/>
    <w:rsid w:val="001C394F"/>
    <w:rsid w:val="001C4527"/>
    <w:rsid w:val="001C4A9E"/>
    <w:rsid w:val="001C70F9"/>
    <w:rsid w:val="001C7893"/>
    <w:rsid w:val="001C7D91"/>
    <w:rsid w:val="001D065F"/>
    <w:rsid w:val="001D06C5"/>
    <w:rsid w:val="001D09BD"/>
    <w:rsid w:val="001D1DF0"/>
    <w:rsid w:val="001D2210"/>
    <w:rsid w:val="001D3840"/>
    <w:rsid w:val="001D5539"/>
    <w:rsid w:val="001D5600"/>
    <w:rsid w:val="001D6A5D"/>
    <w:rsid w:val="001D71CD"/>
    <w:rsid w:val="001D75F8"/>
    <w:rsid w:val="001E0295"/>
    <w:rsid w:val="001E03C5"/>
    <w:rsid w:val="001E1591"/>
    <w:rsid w:val="001E174C"/>
    <w:rsid w:val="001E1FE5"/>
    <w:rsid w:val="001E2AFF"/>
    <w:rsid w:val="001E345D"/>
    <w:rsid w:val="001E39F6"/>
    <w:rsid w:val="001E4164"/>
    <w:rsid w:val="001E4691"/>
    <w:rsid w:val="001E516F"/>
    <w:rsid w:val="001E5288"/>
    <w:rsid w:val="001E6646"/>
    <w:rsid w:val="001E70F0"/>
    <w:rsid w:val="001E7253"/>
    <w:rsid w:val="001F0144"/>
    <w:rsid w:val="001F039E"/>
    <w:rsid w:val="001F03C3"/>
    <w:rsid w:val="001F0E74"/>
    <w:rsid w:val="001F11D2"/>
    <w:rsid w:val="001F139E"/>
    <w:rsid w:val="001F245F"/>
    <w:rsid w:val="001F25F8"/>
    <w:rsid w:val="001F2B23"/>
    <w:rsid w:val="001F2BB0"/>
    <w:rsid w:val="001F337F"/>
    <w:rsid w:val="001F3575"/>
    <w:rsid w:val="001F3A41"/>
    <w:rsid w:val="001F46E7"/>
    <w:rsid w:val="001F4963"/>
    <w:rsid w:val="001F6864"/>
    <w:rsid w:val="001F6C83"/>
    <w:rsid w:val="001F7C97"/>
    <w:rsid w:val="001F7DFE"/>
    <w:rsid w:val="00200170"/>
    <w:rsid w:val="0020091A"/>
    <w:rsid w:val="0020169E"/>
    <w:rsid w:val="00202F5C"/>
    <w:rsid w:val="00203CF7"/>
    <w:rsid w:val="00203E0E"/>
    <w:rsid w:val="002047D2"/>
    <w:rsid w:val="002049D9"/>
    <w:rsid w:val="00205040"/>
    <w:rsid w:val="00205850"/>
    <w:rsid w:val="0020679E"/>
    <w:rsid w:val="002071C3"/>
    <w:rsid w:val="00207669"/>
    <w:rsid w:val="002106C9"/>
    <w:rsid w:val="00211DB2"/>
    <w:rsid w:val="00211EEF"/>
    <w:rsid w:val="0021316A"/>
    <w:rsid w:val="00216839"/>
    <w:rsid w:val="00216AA3"/>
    <w:rsid w:val="0021730F"/>
    <w:rsid w:val="00217CE3"/>
    <w:rsid w:val="00217F9F"/>
    <w:rsid w:val="002206D8"/>
    <w:rsid w:val="002217E5"/>
    <w:rsid w:val="00222679"/>
    <w:rsid w:val="002230A3"/>
    <w:rsid w:val="00223BB6"/>
    <w:rsid w:val="00223D75"/>
    <w:rsid w:val="00224E12"/>
    <w:rsid w:val="002266A7"/>
    <w:rsid w:val="0022670E"/>
    <w:rsid w:val="002272FC"/>
    <w:rsid w:val="00227E8F"/>
    <w:rsid w:val="002332B2"/>
    <w:rsid w:val="002332EF"/>
    <w:rsid w:val="002333E8"/>
    <w:rsid w:val="00233830"/>
    <w:rsid w:val="00234927"/>
    <w:rsid w:val="00234ABD"/>
    <w:rsid w:val="00234FBE"/>
    <w:rsid w:val="00234FC1"/>
    <w:rsid w:val="00235499"/>
    <w:rsid w:val="00236056"/>
    <w:rsid w:val="0023657F"/>
    <w:rsid w:val="00236F49"/>
    <w:rsid w:val="00237107"/>
    <w:rsid w:val="00237B23"/>
    <w:rsid w:val="00237E16"/>
    <w:rsid w:val="002401A4"/>
    <w:rsid w:val="00240742"/>
    <w:rsid w:val="00240890"/>
    <w:rsid w:val="0024103C"/>
    <w:rsid w:val="00241326"/>
    <w:rsid w:val="00241470"/>
    <w:rsid w:val="002418C4"/>
    <w:rsid w:val="002427FF"/>
    <w:rsid w:val="0024334D"/>
    <w:rsid w:val="002433FF"/>
    <w:rsid w:val="002437BF"/>
    <w:rsid w:val="00243AF4"/>
    <w:rsid w:val="002444B8"/>
    <w:rsid w:val="00245095"/>
    <w:rsid w:val="002458E4"/>
    <w:rsid w:val="00245A2F"/>
    <w:rsid w:val="00245CCD"/>
    <w:rsid w:val="00245F4A"/>
    <w:rsid w:val="00246E64"/>
    <w:rsid w:val="00247266"/>
    <w:rsid w:val="00247518"/>
    <w:rsid w:val="002516D9"/>
    <w:rsid w:val="0025198C"/>
    <w:rsid w:val="0025278D"/>
    <w:rsid w:val="0025313C"/>
    <w:rsid w:val="00253410"/>
    <w:rsid w:val="00253B8D"/>
    <w:rsid w:val="00254469"/>
    <w:rsid w:val="0025474D"/>
    <w:rsid w:val="00254E81"/>
    <w:rsid w:val="002553C4"/>
    <w:rsid w:val="0025548A"/>
    <w:rsid w:val="002554ED"/>
    <w:rsid w:val="00256532"/>
    <w:rsid w:val="00256680"/>
    <w:rsid w:val="00256758"/>
    <w:rsid w:val="002575B7"/>
    <w:rsid w:val="00257BC9"/>
    <w:rsid w:val="0026150E"/>
    <w:rsid w:val="00261D7B"/>
    <w:rsid w:val="00261FDD"/>
    <w:rsid w:val="002638BB"/>
    <w:rsid w:val="0026442A"/>
    <w:rsid w:val="00264955"/>
    <w:rsid w:val="002650E7"/>
    <w:rsid w:val="00266E6B"/>
    <w:rsid w:val="002673FB"/>
    <w:rsid w:val="00270705"/>
    <w:rsid w:val="0027177D"/>
    <w:rsid w:val="00271A2C"/>
    <w:rsid w:val="002726E6"/>
    <w:rsid w:val="0027312C"/>
    <w:rsid w:val="0027316E"/>
    <w:rsid w:val="002740CA"/>
    <w:rsid w:val="00274153"/>
    <w:rsid w:val="00274394"/>
    <w:rsid w:val="00274683"/>
    <w:rsid w:val="00275B04"/>
    <w:rsid w:val="00275B67"/>
    <w:rsid w:val="00275E2D"/>
    <w:rsid w:val="002762AD"/>
    <w:rsid w:val="002777B6"/>
    <w:rsid w:val="00277AAF"/>
    <w:rsid w:val="00277E73"/>
    <w:rsid w:val="00277FD4"/>
    <w:rsid w:val="002806B7"/>
    <w:rsid w:val="00281775"/>
    <w:rsid w:val="0028179E"/>
    <w:rsid w:val="002819B1"/>
    <w:rsid w:val="00281AA6"/>
    <w:rsid w:val="00283190"/>
    <w:rsid w:val="00285B8B"/>
    <w:rsid w:val="00285CB2"/>
    <w:rsid w:val="00285D9D"/>
    <w:rsid w:val="00286B69"/>
    <w:rsid w:val="00286BCC"/>
    <w:rsid w:val="00286D70"/>
    <w:rsid w:val="002908CC"/>
    <w:rsid w:val="002922B8"/>
    <w:rsid w:val="00292AAB"/>
    <w:rsid w:val="00292AEF"/>
    <w:rsid w:val="002934D1"/>
    <w:rsid w:val="00293E14"/>
    <w:rsid w:val="002950A8"/>
    <w:rsid w:val="00295456"/>
    <w:rsid w:val="00295578"/>
    <w:rsid w:val="00296619"/>
    <w:rsid w:val="00296699"/>
    <w:rsid w:val="00297CE2"/>
    <w:rsid w:val="002A00A4"/>
    <w:rsid w:val="002A00F9"/>
    <w:rsid w:val="002A0762"/>
    <w:rsid w:val="002A2078"/>
    <w:rsid w:val="002A2153"/>
    <w:rsid w:val="002A2208"/>
    <w:rsid w:val="002A22D5"/>
    <w:rsid w:val="002A2AAF"/>
    <w:rsid w:val="002A2C3F"/>
    <w:rsid w:val="002A3F0B"/>
    <w:rsid w:val="002A3FFA"/>
    <w:rsid w:val="002A421A"/>
    <w:rsid w:val="002A46C7"/>
    <w:rsid w:val="002A59F7"/>
    <w:rsid w:val="002A5D95"/>
    <w:rsid w:val="002A5DB0"/>
    <w:rsid w:val="002A6016"/>
    <w:rsid w:val="002A63F2"/>
    <w:rsid w:val="002B01E2"/>
    <w:rsid w:val="002B12BE"/>
    <w:rsid w:val="002B12F1"/>
    <w:rsid w:val="002B18B8"/>
    <w:rsid w:val="002B1CE6"/>
    <w:rsid w:val="002B2899"/>
    <w:rsid w:val="002B379D"/>
    <w:rsid w:val="002B3B5C"/>
    <w:rsid w:val="002B5016"/>
    <w:rsid w:val="002B5135"/>
    <w:rsid w:val="002B5881"/>
    <w:rsid w:val="002B5BE4"/>
    <w:rsid w:val="002B6529"/>
    <w:rsid w:val="002B6E49"/>
    <w:rsid w:val="002B7B69"/>
    <w:rsid w:val="002C03A8"/>
    <w:rsid w:val="002C05CA"/>
    <w:rsid w:val="002C1DA8"/>
    <w:rsid w:val="002C243C"/>
    <w:rsid w:val="002C296F"/>
    <w:rsid w:val="002C2972"/>
    <w:rsid w:val="002C3389"/>
    <w:rsid w:val="002C364F"/>
    <w:rsid w:val="002C44D2"/>
    <w:rsid w:val="002C4507"/>
    <w:rsid w:val="002C4A24"/>
    <w:rsid w:val="002C625E"/>
    <w:rsid w:val="002C662D"/>
    <w:rsid w:val="002C7038"/>
    <w:rsid w:val="002C7783"/>
    <w:rsid w:val="002C791E"/>
    <w:rsid w:val="002D0354"/>
    <w:rsid w:val="002D037B"/>
    <w:rsid w:val="002D046C"/>
    <w:rsid w:val="002D15B4"/>
    <w:rsid w:val="002D185A"/>
    <w:rsid w:val="002D1F57"/>
    <w:rsid w:val="002D2A91"/>
    <w:rsid w:val="002D318E"/>
    <w:rsid w:val="002D32FC"/>
    <w:rsid w:val="002D34FF"/>
    <w:rsid w:val="002D3628"/>
    <w:rsid w:val="002D3934"/>
    <w:rsid w:val="002D4284"/>
    <w:rsid w:val="002D478F"/>
    <w:rsid w:val="002D4879"/>
    <w:rsid w:val="002D50D1"/>
    <w:rsid w:val="002D5392"/>
    <w:rsid w:val="002D5708"/>
    <w:rsid w:val="002D59E9"/>
    <w:rsid w:val="002D5AF4"/>
    <w:rsid w:val="002D6F72"/>
    <w:rsid w:val="002D700F"/>
    <w:rsid w:val="002D79E9"/>
    <w:rsid w:val="002D7D93"/>
    <w:rsid w:val="002E01C1"/>
    <w:rsid w:val="002E15B5"/>
    <w:rsid w:val="002E1A3C"/>
    <w:rsid w:val="002E206E"/>
    <w:rsid w:val="002E24B9"/>
    <w:rsid w:val="002E2940"/>
    <w:rsid w:val="002E2A22"/>
    <w:rsid w:val="002E3F33"/>
    <w:rsid w:val="002E556A"/>
    <w:rsid w:val="002E6683"/>
    <w:rsid w:val="002E66B1"/>
    <w:rsid w:val="002E6C06"/>
    <w:rsid w:val="002E7155"/>
    <w:rsid w:val="002E74EB"/>
    <w:rsid w:val="002E7666"/>
    <w:rsid w:val="002E78FD"/>
    <w:rsid w:val="002F0950"/>
    <w:rsid w:val="002F0C2A"/>
    <w:rsid w:val="002F12E6"/>
    <w:rsid w:val="002F336F"/>
    <w:rsid w:val="002F3A5C"/>
    <w:rsid w:val="002F3AD1"/>
    <w:rsid w:val="002F420D"/>
    <w:rsid w:val="002F48AC"/>
    <w:rsid w:val="002F4AC5"/>
    <w:rsid w:val="002F4F1E"/>
    <w:rsid w:val="002F6A58"/>
    <w:rsid w:val="002F7B85"/>
    <w:rsid w:val="002F7BA7"/>
    <w:rsid w:val="0030183C"/>
    <w:rsid w:val="00302CB6"/>
    <w:rsid w:val="00303AD0"/>
    <w:rsid w:val="00303FB2"/>
    <w:rsid w:val="0030419C"/>
    <w:rsid w:val="00304245"/>
    <w:rsid w:val="00304399"/>
    <w:rsid w:val="0030440D"/>
    <w:rsid w:val="00304CB5"/>
    <w:rsid w:val="0030503D"/>
    <w:rsid w:val="003058C6"/>
    <w:rsid w:val="003058F1"/>
    <w:rsid w:val="003059F1"/>
    <w:rsid w:val="003059FD"/>
    <w:rsid w:val="00305CE7"/>
    <w:rsid w:val="0030603D"/>
    <w:rsid w:val="00306490"/>
    <w:rsid w:val="00306665"/>
    <w:rsid w:val="00306E10"/>
    <w:rsid w:val="00311DFF"/>
    <w:rsid w:val="00311F53"/>
    <w:rsid w:val="00312AD3"/>
    <w:rsid w:val="00312C29"/>
    <w:rsid w:val="00313F9C"/>
    <w:rsid w:val="003154DE"/>
    <w:rsid w:val="0031577A"/>
    <w:rsid w:val="00315ADD"/>
    <w:rsid w:val="00316501"/>
    <w:rsid w:val="00317434"/>
    <w:rsid w:val="0031756D"/>
    <w:rsid w:val="0031770E"/>
    <w:rsid w:val="00317973"/>
    <w:rsid w:val="003208EE"/>
    <w:rsid w:val="003210EA"/>
    <w:rsid w:val="0032300C"/>
    <w:rsid w:val="0032399A"/>
    <w:rsid w:val="00323CEF"/>
    <w:rsid w:val="00323D93"/>
    <w:rsid w:val="00324AF8"/>
    <w:rsid w:val="003250CA"/>
    <w:rsid w:val="00325C8A"/>
    <w:rsid w:val="00325D75"/>
    <w:rsid w:val="003275B3"/>
    <w:rsid w:val="003275C9"/>
    <w:rsid w:val="003276D0"/>
    <w:rsid w:val="00327747"/>
    <w:rsid w:val="00327895"/>
    <w:rsid w:val="00327E98"/>
    <w:rsid w:val="00330BEF"/>
    <w:rsid w:val="00332D92"/>
    <w:rsid w:val="00333070"/>
    <w:rsid w:val="003331CD"/>
    <w:rsid w:val="00333EF5"/>
    <w:rsid w:val="00334FCD"/>
    <w:rsid w:val="003351E3"/>
    <w:rsid w:val="00335FDD"/>
    <w:rsid w:val="00336698"/>
    <w:rsid w:val="003369A5"/>
    <w:rsid w:val="0033708F"/>
    <w:rsid w:val="003372AA"/>
    <w:rsid w:val="00337328"/>
    <w:rsid w:val="00340410"/>
    <w:rsid w:val="00340911"/>
    <w:rsid w:val="00341DDB"/>
    <w:rsid w:val="00342F07"/>
    <w:rsid w:val="003433F8"/>
    <w:rsid w:val="00343CD4"/>
    <w:rsid w:val="003447BF"/>
    <w:rsid w:val="00344916"/>
    <w:rsid w:val="00344B0C"/>
    <w:rsid w:val="003453AC"/>
    <w:rsid w:val="003453B7"/>
    <w:rsid w:val="003456EA"/>
    <w:rsid w:val="00346034"/>
    <w:rsid w:val="00347301"/>
    <w:rsid w:val="003475BD"/>
    <w:rsid w:val="00350D6A"/>
    <w:rsid w:val="003517BF"/>
    <w:rsid w:val="00351F3C"/>
    <w:rsid w:val="00352BCF"/>
    <w:rsid w:val="00353563"/>
    <w:rsid w:val="003539D5"/>
    <w:rsid w:val="00354518"/>
    <w:rsid w:val="00355532"/>
    <w:rsid w:val="00355F34"/>
    <w:rsid w:val="003572FE"/>
    <w:rsid w:val="003575BC"/>
    <w:rsid w:val="00357707"/>
    <w:rsid w:val="003604F6"/>
    <w:rsid w:val="003607AF"/>
    <w:rsid w:val="00360B4A"/>
    <w:rsid w:val="00360D4A"/>
    <w:rsid w:val="003627B9"/>
    <w:rsid w:val="00362AA0"/>
    <w:rsid w:val="00363894"/>
    <w:rsid w:val="00366DBA"/>
    <w:rsid w:val="003670E6"/>
    <w:rsid w:val="003704BC"/>
    <w:rsid w:val="003705D4"/>
    <w:rsid w:val="003712A8"/>
    <w:rsid w:val="00371A94"/>
    <w:rsid w:val="0037221C"/>
    <w:rsid w:val="00372CDD"/>
    <w:rsid w:val="00372F98"/>
    <w:rsid w:val="003730E5"/>
    <w:rsid w:val="0037345E"/>
    <w:rsid w:val="003738A3"/>
    <w:rsid w:val="0037492B"/>
    <w:rsid w:val="00376438"/>
    <w:rsid w:val="00376454"/>
    <w:rsid w:val="00376B00"/>
    <w:rsid w:val="00376D4B"/>
    <w:rsid w:val="00377C5E"/>
    <w:rsid w:val="003806BE"/>
    <w:rsid w:val="00380AC9"/>
    <w:rsid w:val="00380F99"/>
    <w:rsid w:val="003814D2"/>
    <w:rsid w:val="0038248B"/>
    <w:rsid w:val="00382E34"/>
    <w:rsid w:val="00383AE3"/>
    <w:rsid w:val="00383EDC"/>
    <w:rsid w:val="003842B2"/>
    <w:rsid w:val="00384B38"/>
    <w:rsid w:val="00385D8D"/>
    <w:rsid w:val="00387BFB"/>
    <w:rsid w:val="0039049F"/>
    <w:rsid w:val="00391CBF"/>
    <w:rsid w:val="00391F59"/>
    <w:rsid w:val="0039243F"/>
    <w:rsid w:val="00393515"/>
    <w:rsid w:val="003936E5"/>
    <w:rsid w:val="00394999"/>
    <w:rsid w:val="00394A5E"/>
    <w:rsid w:val="00394FDC"/>
    <w:rsid w:val="00395111"/>
    <w:rsid w:val="00396005"/>
    <w:rsid w:val="003962B6"/>
    <w:rsid w:val="0039667E"/>
    <w:rsid w:val="00396D76"/>
    <w:rsid w:val="00397087"/>
    <w:rsid w:val="00397485"/>
    <w:rsid w:val="003A0D2D"/>
    <w:rsid w:val="003A157A"/>
    <w:rsid w:val="003A1CA9"/>
    <w:rsid w:val="003A22A0"/>
    <w:rsid w:val="003A31B0"/>
    <w:rsid w:val="003A4141"/>
    <w:rsid w:val="003A4916"/>
    <w:rsid w:val="003A4F24"/>
    <w:rsid w:val="003A5AB3"/>
    <w:rsid w:val="003A60C6"/>
    <w:rsid w:val="003A616E"/>
    <w:rsid w:val="003A661D"/>
    <w:rsid w:val="003A6EA0"/>
    <w:rsid w:val="003A7020"/>
    <w:rsid w:val="003A7C66"/>
    <w:rsid w:val="003B030C"/>
    <w:rsid w:val="003B0768"/>
    <w:rsid w:val="003B12E1"/>
    <w:rsid w:val="003B12F5"/>
    <w:rsid w:val="003B1BC1"/>
    <w:rsid w:val="003B2025"/>
    <w:rsid w:val="003B2637"/>
    <w:rsid w:val="003B4186"/>
    <w:rsid w:val="003B43AE"/>
    <w:rsid w:val="003B4955"/>
    <w:rsid w:val="003B4A6D"/>
    <w:rsid w:val="003B554A"/>
    <w:rsid w:val="003B6086"/>
    <w:rsid w:val="003B6F25"/>
    <w:rsid w:val="003B7877"/>
    <w:rsid w:val="003B7A80"/>
    <w:rsid w:val="003B7DF3"/>
    <w:rsid w:val="003C0548"/>
    <w:rsid w:val="003C0D3E"/>
    <w:rsid w:val="003C1101"/>
    <w:rsid w:val="003C1690"/>
    <w:rsid w:val="003C1A89"/>
    <w:rsid w:val="003C212C"/>
    <w:rsid w:val="003C2ADE"/>
    <w:rsid w:val="003C38DC"/>
    <w:rsid w:val="003C3C44"/>
    <w:rsid w:val="003C43BB"/>
    <w:rsid w:val="003C471A"/>
    <w:rsid w:val="003C4BB9"/>
    <w:rsid w:val="003C51CE"/>
    <w:rsid w:val="003C5EE4"/>
    <w:rsid w:val="003C680B"/>
    <w:rsid w:val="003C7426"/>
    <w:rsid w:val="003C7AC5"/>
    <w:rsid w:val="003D06B5"/>
    <w:rsid w:val="003D1E15"/>
    <w:rsid w:val="003D24E4"/>
    <w:rsid w:val="003D2CAD"/>
    <w:rsid w:val="003D32CB"/>
    <w:rsid w:val="003D3562"/>
    <w:rsid w:val="003D427E"/>
    <w:rsid w:val="003D5F94"/>
    <w:rsid w:val="003D692F"/>
    <w:rsid w:val="003D77DF"/>
    <w:rsid w:val="003D7BF1"/>
    <w:rsid w:val="003D7E97"/>
    <w:rsid w:val="003E079B"/>
    <w:rsid w:val="003E0D7A"/>
    <w:rsid w:val="003E1132"/>
    <w:rsid w:val="003E1462"/>
    <w:rsid w:val="003E1760"/>
    <w:rsid w:val="003E2B07"/>
    <w:rsid w:val="003E2CD9"/>
    <w:rsid w:val="003E2F40"/>
    <w:rsid w:val="003E4138"/>
    <w:rsid w:val="003E499F"/>
    <w:rsid w:val="003E4FE1"/>
    <w:rsid w:val="003E5280"/>
    <w:rsid w:val="003E5D1E"/>
    <w:rsid w:val="003E61F1"/>
    <w:rsid w:val="003E7138"/>
    <w:rsid w:val="003E7A55"/>
    <w:rsid w:val="003F01B1"/>
    <w:rsid w:val="003F0346"/>
    <w:rsid w:val="003F0D42"/>
    <w:rsid w:val="003F1410"/>
    <w:rsid w:val="003F1823"/>
    <w:rsid w:val="003F18EF"/>
    <w:rsid w:val="003F2458"/>
    <w:rsid w:val="003F2A8C"/>
    <w:rsid w:val="003F4857"/>
    <w:rsid w:val="003F5808"/>
    <w:rsid w:val="003F63A5"/>
    <w:rsid w:val="003F698E"/>
    <w:rsid w:val="003F7389"/>
    <w:rsid w:val="00400481"/>
    <w:rsid w:val="00400544"/>
    <w:rsid w:val="00402B19"/>
    <w:rsid w:val="00404624"/>
    <w:rsid w:val="0040490A"/>
    <w:rsid w:val="00404A6E"/>
    <w:rsid w:val="00404B70"/>
    <w:rsid w:val="00405CED"/>
    <w:rsid w:val="00405ED8"/>
    <w:rsid w:val="004060A3"/>
    <w:rsid w:val="00406610"/>
    <w:rsid w:val="004066C6"/>
    <w:rsid w:val="00406D84"/>
    <w:rsid w:val="004103AB"/>
    <w:rsid w:val="00410BB9"/>
    <w:rsid w:val="004114E0"/>
    <w:rsid w:val="00411996"/>
    <w:rsid w:val="00411CDC"/>
    <w:rsid w:val="00411FD8"/>
    <w:rsid w:val="00412DC6"/>
    <w:rsid w:val="00413830"/>
    <w:rsid w:val="00413CB8"/>
    <w:rsid w:val="00413F69"/>
    <w:rsid w:val="00414A75"/>
    <w:rsid w:val="00414C8D"/>
    <w:rsid w:val="0041517A"/>
    <w:rsid w:val="00416A49"/>
    <w:rsid w:val="00417894"/>
    <w:rsid w:val="00417AA2"/>
    <w:rsid w:val="00417AE1"/>
    <w:rsid w:val="00417D08"/>
    <w:rsid w:val="0042005F"/>
    <w:rsid w:val="00420A69"/>
    <w:rsid w:val="004210D1"/>
    <w:rsid w:val="00421609"/>
    <w:rsid w:val="00422042"/>
    <w:rsid w:val="00422976"/>
    <w:rsid w:val="00422C17"/>
    <w:rsid w:val="00422F31"/>
    <w:rsid w:val="00423FBD"/>
    <w:rsid w:val="00425890"/>
    <w:rsid w:val="0042623C"/>
    <w:rsid w:val="00426915"/>
    <w:rsid w:val="00426AFE"/>
    <w:rsid w:val="0042794B"/>
    <w:rsid w:val="00427EF6"/>
    <w:rsid w:val="00427FCD"/>
    <w:rsid w:val="00430413"/>
    <w:rsid w:val="004318F8"/>
    <w:rsid w:val="00431BD5"/>
    <w:rsid w:val="004322A0"/>
    <w:rsid w:val="00432D73"/>
    <w:rsid w:val="00432D9A"/>
    <w:rsid w:val="00432F85"/>
    <w:rsid w:val="004331B4"/>
    <w:rsid w:val="004338F3"/>
    <w:rsid w:val="004339F6"/>
    <w:rsid w:val="00433B7C"/>
    <w:rsid w:val="00434598"/>
    <w:rsid w:val="00434883"/>
    <w:rsid w:val="0043550A"/>
    <w:rsid w:val="00435C8F"/>
    <w:rsid w:val="00437FAC"/>
    <w:rsid w:val="004408FF"/>
    <w:rsid w:val="00440B29"/>
    <w:rsid w:val="00441522"/>
    <w:rsid w:val="004419A1"/>
    <w:rsid w:val="00441D90"/>
    <w:rsid w:val="00441EA6"/>
    <w:rsid w:val="00442068"/>
    <w:rsid w:val="004438E7"/>
    <w:rsid w:val="004439A5"/>
    <w:rsid w:val="00443DF4"/>
    <w:rsid w:val="00443ED8"/>
    <w:rsid w:val="004443B1"/>
    <w:rsid w:val="00444776"/>
    <w:rsid w:val="0044543E"/>
    <w:rsid w:val="00445613"/>
    <w:rsid w:val="004461E3"/>
    <w:rsid w:val="0044634E"/>
    <w:rsid w:val="0044650A"/>
    <w:rsid w:val="00450742"/>
    <w:rsid w:val="0045099D"/>
    <w:rsid w:val="0045181F"/>
    <w:rsid w:val="004525CF"/>
    <w:rsid w:val="00452AF5"/>
    <w:rsid w:val="00453A33"/>
    <w:rsid w:val="00453EF1"/>
    <w:rsid w:val="00454AB3"/>
    <w:rsid w:val="00454E8E"/>
    <w:rsid w:val="00455615"/>
    <w:rsid w:val="004558A9"/>
    <w:rsid w:val="004563BF"/>
    <w:rsid w:val="00456A3C"/>
    <w:rsid w:val="00456F86"/>
    <w:rsid w:val="00461D9C"/>
    <w:rsid w:val="00461E1E"/>
    <w:rsid w:val="004622B4"/>
    <w:rsid w:val="00462BD9"/>
    <w:rsid w:val="00462E0C"/>
    <w:rsid w:val="00463340"/>
    <w:rsid w:val="00463F84"/>
    <w:rsid w:val="00464298"/>
    <w:rsid w:val="004645F7"/>
    <w:rsid w:val="00464654"/>
    <w:rsid w:val="00465860"/>
    <w:rsid w:val="004661C7"/>
    <w:rsid w:val="004661E3"/>
    <w:rsid w:val="0046680E"/>
    <w:rsid w:val="00467023"/>
    <w:rsid w:val="004673B9"/>
    <w:rsid w:val="0046758A"/>
    <w:rsid w:val="00470ABA"/>
    <w:rsid w:val="0047173A"/>
    <w:rsid w:val="0047213C"/>
    <w:rsid w:val="0047223E"/>
    <w:rsid w:val="0047256B"/>
    <w:rsid w:val="00472EA5"/>
    <w:rsid w:val="00473EA0"/>
    <w:rsid w:val="00474213"/>
    <w:rsid w:val="004748B0"/>
    <w:rsid w:val="00474F95"/>
    <w:rsid w:val="004752F0"/>
    <w:rsid w:val="00476827"/>
    <w:rsid w:val="00477365"/>
    <w:rsid w:val="00480B53"/>
    <w:rsid w:val="00480D01"/>
    <w:rsid w:val="00482C6D"/>
    <w:rsid w:val="004832BC"/>
    <w:rsid w:val="004843CF"/>
    <w:rsid w:val="00484890"/>
    <w:rsid w:val="00484D5F"/>
    <w:rsid w:val="00485C52"/>
    <w:rsid w:val="00486766"/>
    <w:rsid w:val="00486988"/>
    <w:rsid w:val="00487D7A"/>
    <w:rsid w:val="00487DEE"/>
    <w:rsid w:val="00490A89"/>
    <w:rsid w:val="00492103"/>
    <w:rsid w:val="00492A36"/>
    <w:rsid w:val="00492D2B"/>
    <w:rsid w:val="004931AC"/>
    <w:rsid w:val="004934C0"/>
    <w:rsid w:val="00494697"/>
    <w:rsid w:val="00494E61"/>
    <w:rsid w:val="004958F8"/>
    <w:rsid w:val="00495CBA"/>
    <w:rsid w:val="00495DBB"/>
    <w:rsid w:val="00496877"/>
    <w:rsid w:val="004A023A"/>
    <w:rsid w:val="004A1014"/>
    <w:rsid w:val="004A141A"/>
    <w:rsid w:val="004A142B"/>
    <w:rsid w:val="004A2863"/>
    <w:rsid w:val="004A362C"/>
    <w:rsid w:val="004A3928"/>
    <w:rsid w:val="004A48C0"/>
    <w:rsid w:val="004A594C"/>
    <w:rsid w:val="004A67D7"/>
    <w:rsid w:val="004A78E9"/>
    <w:rsid w:val="004B0197"/>
    <w:rsid w:val="004B09C6"/>
    <w:rsid w:val="004B2233"/>
    <w:rsid w:val="004B288A"/>
    <w:rsid w:val="004B2F5D"/>
    <w:rsid w:val="004B31F9"/>
    <w:rsid w:val="004B3759"/>
    <w:rsid w:val="004B4497"/>
    <w:rsid w:val="004B486A"/>
    <w:rsid w:val="004B58F5"/>
    <w:rsid w:val="004B5E11"/>
    <w:rsid w:val="004B691A"/>
    <w:rsid w:val="004B787F"/>
    <w:rsid w:val="004C0025"/>
    <w:rsid w:val="004C096A"/>
    <w:rsid w:val="004C0D82"/>
    <w:rsid w:val="004C15BD"/>
    <w:rsid w:val="004C1798"/>
    <w:rsid w:val="004C2C9F"/>
    <w:rsid w:val="004C3EB7"/>
    <w:rsid w:val="004C3F74"/>
    <w:rsid w:val="004C43B6"/>
    <w:rsid w:val="004C485E"/>
    <w:rsid w:val="004C5310"/>
    <w:rsid w:val="004C5A4B"/>
    <w:rsid w:val="004C5B41"/>
    <w:rsid w:val="004C6AA1"/>
    <w:rsid w:val="004C6BDF"/>
    <w:rsid w:val="004C6D3B"/>
    <w:rsid w:val="004C6E27"/>
    <w:rsid w:val="004C7285"/>
    <w:rsid w:val="004D12A5"/>
    <w:rsid w:val="004D1C44"/>
    <w:rsid w:val="004D26A6"/>
    <w:rsid w:val="004D278C"/>
    <w:rsid w:val="004D286B"/>
    <w:rsid w:val="004D2CFD"/>
    <w:rsid w:val="004D52BE"/>
    <w:rsid w:val="004D5A4B"/>
    <w:rsid w:val="004D5F57"/>
    <w:rsid w:val="004D6094"/>
    <w:rsid w:val="004D68D1"/>
    <w:rsid w:val="004D72C0"/>
    <w:rsid w:val="004D753B"/>
    <w:rsid w:val="004D7EB9"/>
    <w:rsid w:val="004E130F"/>
    <w:rsid w:val="004E277C"/>
    <w:rsid w:val="004E3AEB"/>
    <w:rsid w:val="004E4166"/>
    <w:rsid w:val="004E4538"/>
    <w:rsid w:val="004E47DF"/>
    <w:rsid w:val="004E5730"/>
    <w:rsid w:val="004E66C9"/>
    <w:rsid w:val="004E6C8C"/>
    <w:rsid w:val="004E7249"/>
    <w:rsid w:val="004E77B6"/>
    <w:rsid w:val="004F087B"/>
    <w:rsid w:val="004F08D6"/>
    <w:rsid w:val="004F36AB"/>
    <w:rsid w:val="004F47A8"/>
    <w:rsid w:val="004F50BC"/>
    <w:rsid w:val="004F5278"/>
    <w:rsid w:val="004F599C"/>
    <w:rsid w:val="004F6792"/>
    <w:rsid w:val="004F726A"/>
    <w:rsid w:val="004F78CE"/>
    <w:rsid w:val="004F79EB"/>
    <w:rsid w:val="00502165"/>
    <w:rsid w:val="00502621"/>
    <w:rsid w:val="0050287F"/>
    <w:rsid w:val="00502FCA"/>
    <w:rsid w:val="005038C5"/>
    <w:rsid w:val="00503D31"/>
    <w:rsid w:val="00504291"/>
    <w:rsid w:val="00504868"/>
    <w:rsid w:val="00504912"/>
    <w:rsid w:val="00505669"/>
    <w:rsid w:val="00505A43"/>
    <w:rsid w:val="00507DB0"/>
    <w:rsid w:val="00510353"/>
    <w:rsid w:val="005108DF"/>
    <w:rsid w:val="00510ABF"/>
    <w:rsid w:val="0051210D"/>
    <w:rsid w:val="005129D7"/>
    <w:rsid w:val="00513345"/>
    <w:rsid w:val="0051428E"/>
    <w:rsid w:val="00516023"/>
    <w:rsid w:val="00517D84"/>
    <w:rsid w:val="005207CB"/>
    <w:rsid w:val="005215CB"/>
    <w:rsid w:val="00521CD5"/>
    <w:rsid w:val="005225BE"/>
    <w:rsid w:val="005225ED"/>
    <w:rsid w:val="00522791"/>
    <w:rsid w:val="00523559"/>
    <w:rsid w:val="00523C97"/>
    <w:rsid w:val="00524C4C"/>
    <w:rsid w:val="005258B1"/>
    <w:rsid w:val="00525DCD"/>
    <w:rsid w:val="00527818"/>
    <w:rsid w:val="00527CA1"/>
    <w:rsid w:val="00530470"/>
    <w:rsid w:val="0053060F"/>
    <w:rsid w:val="00530F7A"/>
    <w:rsid w:val="0053137D"/>
    <w:rsid w:val="00532407"/>
    <w:rsid w:val="005325C8"/>
    <w:rsid w:val="00532796"/>
    <w:rsid w:val="00534FD6"/>
    <w:rsid w:val="00537577"/>
    <w:rsid w:val="0053797B"/>
    <w:rsid w:val="00537D47"/>
    <w:rsid w:val="00537F86"/>
    <w:rsid w:val="00540261"/>
    <w:rsid w:val="005404C5"/>
    <w:rsid w:val="00541489"/>
    <w:rsid w:val="00541DDC"/>
    <w:rsid w:val="00542A86"/>
    <w:rsid w:val="005435FD"/>
    <w:rsid w:val="0054574F"/>
    <w:rsid w:val="0054704E"/>
    <w:rsid w:val="00547193"/>
    <w:rsid w:val="00547460"/>
    <w:rsid w:val="0055043D"/>
    <w:rsid w:val="00550970"/>
    <w:rsid w:val="00550B76"/>
    <w:rsid w:val="00550E03"/>
    <w:rsid w:val="00551123"/>
    <w:rsid w:val="00551492"/>
    <w:rsid w:val="005515D7"/>
    <w:rsid w:val="00551BD5"/>
    <w:rsid w:val="00551D52"/>
    <w:rsid w:val="00552812"/>
    <w:rsid w:val="00552A81"/>
    <w:rsid w:val="005538C5"/>
    <w:rsid w:val="00553E3D"/>
    <w:rsid w:val="005540F3"/>
    <w:rsid w:val="00554926"/>
    <w:rsid w:val="005549EE"/>
    <w:rsid w:val="0055576A"/>
    <w:rsid w:val="00555A6F"/>
    <w:rsid w:val="00556897"/>
    <w:rsid w:val="00556E82"/>
    <w:rsid w:val="00556F1D"/>
    <w:rsid w:val="0055796F"/>
    <w:rsid w:val="005606F1"/>
    <w:rsid w:val="00560E1D"/>
    <w:rsid w:val="00560F93"/>
    <w:rsid w:val="0056161D"/>
    <w:rsid w:val="00562D9E"/>
    <w:rsid w:val="00562F3F"/>
    <w:rsid w:val="00562FD3"/>
    <w:rsid w:val="00564CDE"/>
    <w:rsid w:val="00565140"/>
    <w:rsid w:val="00565D70"/>
    <w:rsid w:val="00566160"/>
    <w:rsid w:val="005666BC"/>
    <w:rsid w:val="00566BAC"/>
    <w:rsid w:val="005676C4"/>
    <w:rsid w:val="00567A36"/>
    <w:rsid w:val="00567EE7"/>
    <w:rsid w:val="00570A08"/>
    <w:rsid w:val="00570BBF"/>
    <w:rsid w:val="0057116D"/>
    <w:rsid w:val="00571945"/>
    <w:rsid w:val="00571A10"/>
    <w:rsid w:val="00571A35"/>
    <w:rsid w:val="00573405"/>
    <w:rsid w:val="00573489"/>
    <w:rsid w:val="005738E0"/>
    <w:rsid w:val="00573BFD"/>
    <w:rsid w:val="00573C89"/>
    <w:rsid w:val="0057441F"/>
    <w:rsid w:val="0057534A"/>
    <w:rsid w:val="00575765"/>
    <w:rsid w:val="005757DC"/>
    <w:rsid w:val="005768AF"/>
    <w:rsid w:val="00577906"/>
    <w:rsid w:val="0058006A"/>
    <w:rsid w:val="005802C4"/>
    <w:rsid w:val="00580BF4"/>
    <w:rsid w:val="00580F44"/>
    <w:rsid w:val="00581111"/>
    <w:rsid w:val="005819DF"/>
    <w:rsid w:val="00581E43"/>
    <w:rsid w:val="00582DD6"/>
    <w:rsid w:val="00582FC4"/>
    <w:rsid w:val="0058351A"/>
    <w:rsid w:val="005839AE"/>
    <w:rsid w:val="00583D05"/>
    <w:rsid w:val="00584610"/>
    <w:rsid w:val="00585864"/>
    <w:rsid w:val="0058593C"/>
    <w:rsid w:val="005859FB"/>
    <w:rsid w:val="00585AB5"/>
    <w:rsid w:val="005868BF"/>
    <w:rsid w:val="005871BC"/>
    <w:rsid w:val="0058737F"/>
    <w:rsid w:val="00587665"/>
    <w:rsid w:val="005877F8"/>
    <w:rsid w:val="005901DD"/>
    <w:rsid w:val="00591322"/>
    <w:rsid w:val="005917D3"/>
    <w:rsid w:val="00591B98"/>
    <w:rsid w:val="00591E24"/>
    <w:rsid w:val="00591FD1"/>
    <w:rsid w:val="005925A8"/>
    <w:rsid w:val="005933B6"/>
    <w:rsid w:val="0059434F"/>
    <w:rsid w:val="00595B44"/>
    <w:rsid w:val="00596807"/>
    <w:rsid w:val="0059710B"/>
    <w:rsid w:val="005971A5"/>
    <w:rsid w:val="00597424"/>
    <w:rsid w:val="00597E9B"/>
    <w:rsid w:val="005A12DF"/>
    <w:rsid w:val="005A14F6"/>
    <w:rsid w:val="005A2A58"/>
    <w:rsid w:val="005A2FF5"/>
    <w:rsid w:val="005A3047"/>
    <w:rsid w:val="005A30F1"/>
    <w:rsid w:val="005A3131"/>
    <w:rsid w:val="005A31D6"/>
    <w:rsid w:val="005A3C1F"/>
    <w:rsid w:val="005A473D"/>
    <w:rsid w:val="005A53FF"/>
    <w:rsid w:val="005A56B4"/>
    <w:rsid w:val="005A58DB"/>
    <w:rsid w:val="005A58E1"/>
    <w:rsid w:val="005A5BE6"/>
    <w:rsid w:val="005A686F"/>
    <w:rsid w:val="005A7B11"/>
    <w:rsid w:val="005B02C8"/>
    <w:rsid w:val="005B1743"/>
    <w:rsid w:val="005B185E"/>
    <w:rsid w:val="005B186A"/>
    <w:rsid w:val="005B1B4C"/>
    <w:rsid w:val="005B2624"/>
    <w:rsid w:val="005B2A43"/>
    <w:rsid w:val="005B2C2B"/>
    <w:rsid w:val="005B346B"/>
    <w:rsid w:val="005B3F35"/>
    <w:rsid w:val="005B46F9"/>
    <w:rsid w:val="005B4853"/>
    <w:rsid w:val="005B4D26"/>
    <w:rsid w:val="005B6343"/>
    <w:rsid w:val="005B6728"/>
    <w:rsid w:val="005B7C63"/>
    <w:rsid w:val="005B7D81"/>
    <w:rsid w:val="005C0453"/>
    <w:rsid w:val="005C0CD6"/>
    <w:rsid w:val="005C1667"/>
    <w:rsid w:val="005C223C"/>
    <w:rsid w:val="005C2E3C"/>
    <w:rsid w:val="005C2E7F"/>
    <w:rsid w:val="005C31DA"/>
    <w:rsid w:val="005C3B53"/>
    <w:rsid w:val="005C3EBF"/>
    <w:rsid w:val="005C4288"/>
    <w:rsid w:val="005C43D6"/>
    <w:rsid w:val="005C4A27"/>
    <w:rsid w:val="005C4AA7"/>
    <w:rsid w:val="005C4BDB"/>
    <w:rsid w:val="005C4D70"/>
    <w:rsid w:val="005C54EC"/>
    <w:rsid w:val="005C56C2"/>
    <w:rsid w:val="005C67D2"/>
    <w:rsid w:val="005C7328"/>
    <w:rsid w:val="005D0EDC"/>
    <w:rsid w:val="005D24B7"/>
    <w:rsid w:val="005D27F2"/>
    <w:rsid w:val="005D2F1F"/>
    <w:rsid w:val="005D304D"/>
    <w:rsid w:val="005D31AB"/>
    <w:rsid w:val="005D3783"/>
    <w:rsid w:val="005D3809"/>
    <w:rsid w:val="005D4C08"/>
    <w:rsid w:val="005D51D2"/>
    <w:rsid w:val="005D59EF"/>
    <w:rsid w:val="005D6E1F"/>
    <w:rsid w:val="005D70B5"/>
    <w:rsid w:val="005D72A1"/>
    <w:rsid w:val="005D7CEF"/>
    <w:rsid w:val="005D7E2E"/>
    <w:rsid w:val="005E0C25"/>
    <w:rsid w:val="005E0C36"/>
    <w:rsid w:val="005E1353"/>
    <w:rsid w:val="005E1ABD"/>
    <w:rsid w:val="005E1C06"/>
    <w:rsid w:val="005E32F1"/>
    <w:rsid w:val="005E37E2"/>
    <w:rsid w:val="005E3B99"/>
    <w:rsid w:val="005E4493"/>
    <w:rsid w:val="005E5036"/>
    <w:rsid w:val="005E50FA"/>
    <w:rsid w:val="005E57C8"/>
    <w:rsid w:val="005E5937"/>
    <w:rsid w:val="005E77EC"/>
    <w:rsid w:val="005F0182"/>
    <w:rsid w:val="005F0D22"/>
    <w:rsid w:val="005F1243"/>
    <w:rsid w:val="005F19C6"/>
    <w:rsid w:val="005F2D69"/>
    <w:rsid w:val="005F3361"/>
    <w:rsid w:val="005F397E"/>
    <w:rsid w:val="005F42ED"/>
    <w:rsid w:val="005F4A1F"/>
    <w:rsid w:val="005F571E"/>
    <w:rsid w:val="005F6EEB"/>
    <w:rsid w:val="005F707C"/>
    <w:rsid w:val="005F76A1"/>
    <w:rsid w:val="005F77FD"/>
    <w:rsid w:val="005F79B1"/>
    <w:rsid w:val="0060015A"/>
    <w:rsid w:val="0060084A"/>
    <w:rsid w:val="0060404B"/>
    <w:rsid w:val="00604DCF"/>
    <w:rsid w:val="00606725"/>
    <w:rsid w:val="0060689B"/>
    <w:rsid w:val="00607354"/>
    <w:rsid w:val="006073AC"/>
    <w:rsid w:val="00607D6F"/>
    <w:rsid w:val="0061010C"/>
    <w:rsid w:val="00610436"/>
    <w:rsid w:val="00610EC5"/>
    <w:rsid w:val="00611095"/>
    <w:rsid w:val="00612106"/>
    <w:rsid w:val="006139C5"/>
    <w:rsid w:val="00613B85"/>
    <w:rsid w:val="00614AFD"/>
    <w:rsid w:val="00615633"/>
    <w:rsid w:val="0061598C"/>
    <w:rsid w:val="00616005"/>
    <w:rsid w:val="006171F2"/>
    <w:rsid w:val="00617B4C"/>
    <w:rsid w:val="0062044E"/>
    <w:rsid w:val="00620483"/>
    <w:rsid w:val="006204A3"/>
    <w:rsid w:val="006218E1"/>
    <w:rsid w:val="00623088"/>
    <w:rsid w:val="00623524"/>
    <w:rsid w:val="00623739"/>
    <w:rsid w:val="00624CCB"/>
    <w:rsid w:val="0062511A"/>
    <w:rsid w:val="00625D23"/>
    <w:rsid w:val="00625D86"/>
    <w:rsid w:val="0062612A"/>
    <w:rsid w:val="00626630"/>
    <w:rsid w:val="0062699C"/>
    <w:rsid w:val="00627024"/>
    <w:rsid w:val="00630EA1"/>
    <w:rsid w:val="00631290"/>
    <w:rsid w:val="006320CB"/>
    <w:rsid w:val="00632470"/>
    <w:rsid w:val="006329B9"/>
    <w:rsid w:val="00632AFC"/>
    <w:rsid w:val="00632B4F"/>
    <w:rsid w:val="00632CE5"/>
    <w:rsid w:val="006335E3"/>
    <w:rsid w:val="00633BE8"/>
    <w:rsid w:val="006348DA"/>
    <w:rsid w:val="00634CD6"/>
    <w:rsid w:val="00634E9E"/>
    <w:rsid w:val="00635A79"/>
    <w:rsid w:val="00635B90"/>
    <w:rsid w:val="0063740A"/>
    <w:rsid w:val="00637745"/>
    <w:rsid w:val="006377D1"/>
    <w:rsid w:val="00637868"/>
    <w:rsid w:val="00637C80"/>
    <w:rsid w:val="00640339"/>
    <w:rsid w:val="006411A5"/>
    <w:rsid w:val="00641908"/>
    <w:rsid w:val="00641AD3"/>
    <w:rsid w:val="006422D1"/>
    <w:rsid w:val="0064270E"/>
    <w:rsid w:val="00642AEC"/>
    <w:rsid w:val="00642B7E"/>
    <w:rsid w:val="00642C02"/>
    <w:rsid w:val="00643E03"/>
    <w:rsid w:val="00644051"/>
    <w:rsid w:val="006441EC"/>
    <w:rsid w:val="00645FB2"/>
    <w:rsid w:val="006461D6"/>
    <w:rsid w:val="0064671A"/>
    <w:rsid w:val="00646B13"/>
    <w:rsid w:val="006474DF"/>
    <w:rsid w:val="0065024D"/>
    <w:rsid w:val="0065035C"/>
    <w:rsid w:val="00653112"/>
    <w:rsid w:val="00653556"/>
    <w:rsid w:val="00653FD3"/>
    <w:rsid w:val="00654495"/>
    <w:rsid w:val="00654FCF"/>
    <w:rsid w:val="006551F0"/>
    <w:rsid w:val="00655A50"/>
    <w:rsid w:val="006561E0"/>
    <w:rsid w:val="00656294"/>
    <w:rsid w:val="006568EC"/>
    <w:rsid w:val="006570AD"/>
    <w:rsid w:val="00660640"/>
    <w:rsid w:val="006606B7"/>
    <w:rsid w:val="0066104F"/>
    <w:rsid w:val="00661A49"/>
    <w:rsid w:val="00661EC3"/>
    <w:rsid w:val="0066260B"/>
    <w:rsid w:val="00662E32"/>
    <w:rsid w:val="00663948"/>
    <w:rsid w:val="006639D2"/>
    <w:rsid w:val="00664009"/>
    <w:rsid w:val="0066413E"/>
    <w:rsid w:val="006643FA"/>
    <w:rsid w:val="00664523"/>
    <w:rsid w:val="006657CE"/>
    <w:rsid w:val="00665A02"/>
    <w:rsid w:val="006669CF"/>
    <w:rsid w:val="00667082"/>
    <w:rsid w:val="00670650"/>
    <w:rsid w:val="00670713"/>
    <w:rsid w:val="00670CC8"/>
    <w:rsid w:val="0067145D"/>
    <w:rsid w:val="00671BAD"/>
    <w:rsid w:val="00672FCF"/>
    <w:rsid w:val="00673A13"/>
    <w:rsid w:val="0067471C"/>
    <w:rsid w:val="00674A33"/>
    <w:rsid w:val="00674DF7"/>
    <w:rsid w:val="00675673"/>
    <w:rsid w:val="006764A1"/>
    <w:rsid w:val="00676E4C"/>
    <w:rsid w:val="006777B0"/>
    <w:rsid w:val="006778F7"/>
    <w:rsid w:val="00677917"/>
    <w:rsid w:val="0068028B"/>
    <w:rsid w:val="006802D8"/>
    <w:rsid w:val="00680874"/>
    <w:rsid w:val="00682257"/>
    <w:rsid w:val="00682704"/>
    <w:rsid w:val="00682F96"/>
    <w:rsid w:val="00683155"/>
    <w:rsid w:val="0068338C"/>
    <w:rsid w:val="00683674"/>
    <w:rsid w:val="00684283"/>
    <w:rsid w:val="006843E4"/>
    <w:rsid w:val="006844FF"/>
    <w:rsid w:val="00684EAF"/>
    <w:rsid w:val="0068557F"/>
    <w:rsid w:val="00686871"/>
    <w:rsid w:val="00686CBA"/>
    <w:rsid w:val="00687A16"/>
    <w:rsid w:val="00687AA3"/>
    <w:rsid w:val="00687ED7"/>
    <w:rsid w:val="00690544"/>
    <w:rsid w:val="0069069F"/>
    <w:rsid w:val="00692355"/>
    <w:rsid w:val="006928A7"/>
    <w:rsid w:val="00692FF4"/>
    <w:rsid w:val="006933AB"/>
    <w:rsid w:val="00693B5D"/>
    <w:rsid w:val="00693E1F"/>
    <w:rsid w:val="00694336"/>
    <w:rsid w:val="00695182"/>
    <w:rsid w:val="006956DB"/>
    <w:rsid w:val="00695E62"/>
    <w:rsid w:val="00696044"/>
    <w:rsid w:val="006979B6"/>
    <w:rsid w:val="006A046C"/>
    <w:rsid w:val="006A0555"/>
    <w:rsid w:val="006A09C8"/>
    <w:rsid w:val="006A1DB2"/>
    <w:rsid w:val="006A2304"/>
    <w:rsid w:val="006A2993"/>
    <w:rsid w:val="006A2CF2"/>
    <w:rsid w:val="006A4160"/>
    <w:rsid w:val="006A449C"/>
    <w:rsid w:val="006A47A3"/>
    <w:rsid w:val="006A4BA4"/>
    <w:rsid w:val="006A4EC8"/>
    <w:rsid w:val="006A4EE1"/>
    <w:rsid w:val="006A650D"/>
    <w:rsid w:val="006A6D40"/>
    <w:rsid w:val="006A75D9"/>
    <w:rsid w:val="006A7DC9"/>
    <w:rsid w:val="006B1377"/>
    <w:rsid w:val="006B1378"/>
    <w:rsid w:val="006B1DF0"/>
    <w:rsid w:val="006B1E24"/>
    <w:rsid w:val="006B1F50"/>
    <w:rsid w:val="006B2BA2"/>
    <w:rsid w:val="006B5DCE"/>
    <w:rsid w:val="006B633A"/>
    <w:rsid w:val="006B659F"/>
    <w:rsid w:val="006B6C1C"/>
    <w:rsid w:val="006B6FA0"/>
    <w:rsid w:val="006B79DF"/>
    <w:rsid w:val="006B7CD5"/>
    <w:rsid w:val="006C0085"/>
    <w:rsid w:val="006C0AEC"/>
    <w:rsid w:val="006C0FA6"/>
    <w:rsid w:val="006C14A8"/>
    <w:rsid w:val="006C1523"/>
    <w:rsid w:val="006C26A1"/>
    <w:rsid w:val="006C29A8"/>
    <w:rsid w:val="006C33B7"/>
    <w:rsid w:val="006C348B"/>
    <w:rsid w:val="006C5839"/>
    <w:rsid w:val="006C5C0F"/>
    <w:rsid w:val="006C5FAA"/>
    <w:rsid w:val="006C6130"/>
    <w:rsid w:val="006C63BD"/>
    <w:rsid w:val="006C64F8"/>
    <w:rsid w:val="006C6982"/>
    <w:rsid w:val="006C72FE"/>
    <w:rsid w:val="006C770D"/>
    <w:rsid w:val="006C7812"/>
    <w:rsid w:val="006D1451"/>
    <w:rsid w:val="006D1D40"/>
    <w:rsid w:val="006D2BDC"/>
    <w:rsid w:val="006D2E9E"/>
    <w:rsid w:val="006D3D16"/>
    <w:rsid w:val="006D4A2F"/>
    <w:rsid w:val="006D4E56"/>
    <w:rsid w:val="006D57CF"/>
    <w:rsid w:val="006D585E"/>
    <w:rsid w:val="006D5B1B"/>
    <w:rsid w:val="006D60A2"/>
    <w:rsid w:val="006D6284"/>
    <w:rsid w:val="006D6545"/>
    <w:rsid w:val="006D6805"/>
    <w:rsid w:val="006D68B9"/>
    <w:rsid w:val="006D6C51"/>
    <w:rsid w:val="006D6F56"/>
    <w:rsid w:val="006D76C2"/>
    <w:rsid w:val="006D7C18"/>
    <w:rsid w:val="006D7E84"/>
    <w:rsid w:val="006E09A9"/>
    <w:rsid w:val="006E31B2"/>
    <w:rsid w:val="006E335D"/>
    <w:rsid w:val="006E4C5B"/>
    <w:rsid w:val="006E53AA"/>
    <w:rsid w:val="006E5AF1"/>
    <w:rsid w:val="006E5FAC"/>
    <w:rsid w:val="006E672C"/>
    <w:rsid w:val="006E6B07"/>
    <w:rsid w:val="006E71B4"/>
    <w:rsid w:val="006E73C4"/>
    <w:rsid w:val="006F15C5"/>
    <w:rsid w:val="006F17F6"/>
    <w:rsid w:val="006F1AD4"/>
    <w:rsid w:val="006F1DCB"/>
    <w:rsid w:val="006F2AC1"/>
    <w:rsid w:val="006F3DA3"/>
    <w:rsid w:val="006F4BA1"/>
    <w:rsid w:val="006F60ED"/>
    <w:rsid w:val="006F6435"/>
    <w:rsid w:val="006F6B1C"/>
    <w:rsid w:val="006F71DC"/>
    <w:rsid w:val="00700916"/>
    <w:rsid w:val="00700FAB"/>
    <w:rsid w:val="00700FBD"/>
    <w:rsid w:val="007014C1"/>
    <w:rsid w:val="007014D0"/>
    <w:rsid w:val="007015F7"/>
    <w:rsid w:val="00701969"/>
    <w:rsid w:val="00701A83"/>
    <w:rsid w:val="00702A54"/>
    <w:rsid w:val="007033C6"/>
    <w:rsid w:val="007046E9"/>
    <w:rsid w:val="007047A8"/>
    <w:rsid w:val="007049FC"/>
    <w:rsid w:val="00704B4F"/>
    <w:rsid w:val="00705463"/>
    <w:rsid w:val="00705D6E"/>
    <w:rsid w:val="00706391"/>
    <w:rsid w:val="007064FB"/>
    <w:rsid w:val="007066D7"/>
    <w:rsid w:val="00707595"/>
    <w:rsid w:val="00710395"/>
    <w:rsid w:val="00710D1D"/>
    <w:rsid w:val="00710E10"/>
    <w:rsid w:val="00710ECF"/>
    <w:rsid w:val="00710EF6"/>
    <w:rsid w:val="00711B2C"/>
    <w:rsid w:val="00711D97"/>
    <w:rsid w:val="0071328E"/>
    <w:rsid w:val="007139F3"/>
    <w:rsid w:val="00715110"/>
    <w:rsid w:val="0071527D"/>
    <w:rsid w:val="007159A1"/>
    <w:rsid w:val="00715A95"/>
    <w:rsid w:val="00716B7C"/>
    <w:rsid w:val="00717961"/>
    <w:rsid w:val="00717B42"/>
    <w:rsid w:val="007202E6"/>
    <w:rsid w:val="00720D7E"/>
    <w:rsid w:val="00721369"/>
    <w:rsid w:val="007213C6"/>
    <w:rsid w:val="0072186C"/>
    <w:rsid w:val="0072229A"/>
    <w:rsid w:val="00722583"/>
    <w:rsid w:val="00722943"/>
    <w:rsid w:val="00722EF3"/>
    <w:rsid w:val="00722F42"/>
    <w:rsid w:val="007234BC"/>
    <w:rsid w:val="0072361D"/>
    <w:rsid w:val="00723CE5"/>
    <w:rsid w:val="00724048"/>
    <w:rsid w:val="007243B3"/>
    <w:rsid w:val="00725C8B"/>
    <w:rsid w:val="00725D5C"/>
    <w:rsid w:val="00725FFD"/>
    <w:rsid w:val="007263AD"/>
    <w:rsid w:val="00726A37"/>
    <w:rsid w:val="00727292"/>
    <w:rsid w:val="00727619"/>
    <w:rsid w:val="00731CD9"/>
    <w:rsid w:val="00731DC0"/>
    <w:rsid w:val="0073305A"/>
    <w:rsid w:val="00733139"/>
    <w:rsid w:val="00733E32"/>
    <w:rsid w:val="0073400C"/>
    <w:rsid w:val="00734438"/>
    <w:rsid w:val="007344E4"/>
    <w:rsid w:val="00735288"/>
    <w:rsid w:val="00736683"/>
    <w:rsid w:val="00736948"/>
    <w:rsid w:val="00737DCF"/>
    <w:rsid w:val="007409DD"/>
    <w:rsid w:val="00741644"/>
    <w:rsid w:val="007419A1"/>
    <w:rsid w:val="00742441"/>
    <w:rsid w:val="0074282E"/>
    <w:rsid w:val="00742B65"/>
    <w:rsid w:val="0074303D"/>
    <w:rsid w:val="00743A46"/>
    <w:rsid w:val="007445DE"/>
    <w:rsid w:val="0074486C"/>
    <w:rsid w:val="00746D34"/>
    <w:rsid w:val="00746EB4"/>
    <w:rsid w:val="007478E4"/>
    <w:rsid w:val="00747A13"/>
    <w:rsid w:val="00750C90"/>
    <w:rsid w:val="00751065"/>
    <w:rsid w:val="00751326"/>
    <w:rsid w:val="007521DE"/>
    <w:rsid w:val="00752D03"/>
    <w:rsid w:val="00753195"/>
    <w:rsid w:val="00753DF1"/>
    <w:rsid w:val="007563AD"/>
    <w:rsid w:val="0075664F"/>
    <w:rsid w:val="007571CB"/>
    <w:rsid w:val="0075766A"/>
    <w:rsid w:val="00757DFF"/>
    <w:rsid w:val="00760FAB"/>
    <w:rsid w:val="007613E2"/>
    <w:rsid w:val="00761627"/>
    <w:rsid w:val="00762F64"/>
    <w:rsid w:val="00763967"/>
    <w:rsid w:val="007645E6"/>
    <w:rsid w:val="00764DE0"/>
    <w:rsid w:val="00765AEA"/>
    <w:rsid w:val="0076602E"/>
    <w:rsid w:val="00766186"/>
    <w:rsid w:val="00766A79"/>
    <w:rsid w:val="007677FF"/>
    <w:rsid w:val="00767AE4"/>
    <w:rsid w:val="00767DA2"/>
    <w:rsid w:val="00770BCA"/>
    <w:rsid w:val="007721EB"/>
    <w:rsid w:val="0077270C"/>
    <w:rsid w:val="007731F9"/>
    <w:rsid w:val="00773342"/>
    <w:rsid w:val="007734B2"/>
    <w:rsid w:val="0077359E"/>
    <w:rsid w:val="0077395B"/>
    <w:rsid w:val="00774D7C"/>
    <w:rsid w:val="00775CAE"/>
    <w:rsid w:val="0077654F"/>
    <w:rsid w:val="00776F49"/>
    <w:rsid w:val="00776FA2"/>
    <w:rsid w:val="00777551"/>
    <w:rsid w:val="00781155"/>
    <w:rsid w:val="00781C6D"/>
    <w:rsid w:val="00781F25"/>
    <w:rsid w:val="0078234F"/>
    <w:rsid w:val="0078328C"/>
    <w:rsid w:val="007832E9"/>
    <w:rsid w:val="007852F5"/>
    <w:rsid w:val="00785378"/>
    <w:rsid w:val="00785913"/>
    <w:rsid w:val="007879D2"/>
    <w:rsid w:val="007903E6"/>
    <w:rsid w:val="00790D18"/>
    <w:rsid w:val="007927C0"/>
    <w:rsid w:val="00793075"/>
    <w:rsid w:val="007945B4"/>
    <w:rsid w:val="00794C30"/>
    <w:rsid w:val="00795CA8"/>
    <w:rsid w:val="00795FC3"/>
    <w:rsid w:val="00797249"/>
    <w:rsid w:val="00797504"/>
    <w:rsid w:val="0079769C"/>
    <w:rsid w:val="007977A7"/>
    <w:rsid w:val="007A1AFC"/>
    <w:rsid w:val="007A1B56"/>
    <w:rsid w:val="007A1C10"/>
    <w:rsid w:val="007A2423"/>
    <w:rsid w:val="007A375B"/>
    <w:rsid w:val="007A42AC"/>
    <w:rsid w:val="007A59E0"/>
    <w:rsid w:val="007A5DEE"/>
    <w:rsid w:val="007A6EB4"/>
    <w:rsid w:val="007A75AD"/>
    <w:rsid w:val="007B0DB0"/>
    <w:rsid w:val="007B14F3"/>
    <w:rsid w:val="007B15CB"/>
    <w:rsid w:val="007B2A0F"/>
    <w:rsid w:val="007B2ABF"/>
    <w:rsid w:val="007B30C9"/>
    <w:rsid w:val="007B341B"/>
    <w:rsid w:val="007B36A0"/>
    <w:rsid w:val="007B3DC1"/>
    <w:rsid w:val="007B4862"/>
    <w:rsid w:val="007B4BE4"/>
    <w:rsid w:val="007B5177"/>
    <w:rsid w:val="007B58CE"/>
    <w:rsid w:val="007B69B0"/>
    <w:rsid w:val="007B719E"/>
    <w:rsid w:val="007B72C9"/>
    <w:rsid w:val="007C4CCD"/>
    <w:rsid w:val="007C605A"/>
    <w:rsid w:val="007C60C1"/>
    <w:rsid w:val="007C6739"/>
    <w:rsid w:val="007C7683"/>
    <w:rsid w:val="007D01DE"/>
    <w:rsid w:val="007D1E79"/>
    <w:rsid w:val="007D1F80"/>
    <w:rsid w:val="007D1FB0"/>
    <w:rsid w:val="007D4261"/>
    <w:rsid w:val="007D46BA"/>
    <w:rsid w:val="007D4A4E"/>
    <w:rsid w:val="007D5010"/>
    <w:rsid w:val="007D537C"/>
    <w:rsid w:val="007D5E02"/>
    <w:rsid w:val="007D6102"/>
    <w:rsid w:val="007D6A84"/>
    <w:rsid w:val="007D6BE3"/>
    <w:rsid w:val="007D7872"/>
    <w:rsid w:val="007D7AD5"/>
    <w:rsid w:val="007D7CD0"/>
    <w:rsid w:val="007E0ABF"/>
    <w:rsid w:val="007E0CCF"/>
    <w:rsid w:val="007E105F"/>
    <w:rsid w:val="007E13EB"/>
    <w:rsid w:val="007E1660"/>
    <w:rsid w:val="007E195E"/>
    <w:rsid w:val="007E2B7E"/>
    <w:rsid w:val="007E3074"/>
    <w:rsid w:val="007E31F2"/>
    <w:rsid w:val="007E4A70"/>
    <w:rsid w:val="007E5894"/>
    <w:rsid w:val="007E59BC"/>
    <w:rsid w:val="007E5CFB"/>
    <w:rsid w:val="007E645B"/>
    <w:rsid w:val="007E7224"/>
    <w:rsid w:val="007E7672"/>
    <w:rsid w:val="007F039D"/>
    <w:rsid w:val="007F06FA"/>
    <w:rsid w:val="007F09D3"/>
    <w:rsid w:val="007F0C53"/>
    <w:rsid w:val="007F1875"/>
    <w:rsid w:val="007F18C4"/>
    <w:rsid w:val="007F3D7D"/>
    <w:rsid w:val="007F5CF7"/>
    <w:rsid w:val="007F64BD"/>
    <w:rsid w:val="00800195"/>
    <w:rsid w:val="008007D3"/>
    <w:rsid w:val="008017B2"/>
    <w:rsid w:val="00801A37"/>
    <w:rsid w:val="00804FAA"/>
    <w:rsid w:val="0080566D"/>
    <w:rsid w:val="008058C3"/>
    <w:rsid w:val="00805D62"/>
    <w:rsid w:val="00806A08"/>
    <w:rsid w:val="00806BE7"/>
    <w:rsid w:val="008106E5"/>
    <w:rsid w:val="00810754"/>
    <w:rsid w:val="00810E5C"/>
    <w:rsid w:val="00811458"/>
    <w:rsid w:val="00811CD6"/>
    <w:rsid w:val="00811EBD"/>
    <w:rsid w:val="00812745"/>
    <w:rsid w:val="008135EC"/>
    <w:rsid w:val="00814026"/>
    <w:rsid w:val="0081428A"/>
    <w:rsid w:val="0081437F"/>
    <w:rsid w:val="00815F1E"/>
    <w:rsid w:val="0081628D"/>
    <w:rsid w:val="008173A7"/>
    <w:rsid w:val="00817C2C"/>
    <w:rsid w:val="00817D81"/>
    <w:rsid w:val="00820578"/>
    <w:rsid w:val="008205B5"/>
    <w:rsid w:val="00820930"/>
    <w:rsid w:val="00820B1F"/>
    <w:rsid w:val="00821A87"/>
    <w:rsid w:val="00821EC4"/>
    <w:rsid w:val="008224D3"/>
    <w:rsid w:val="008226B6"/>
    <w:rsid w:val="0082277A"/>
    <w:rsid w:val="00823398"/>
    <w:rsid w:val="00823992"/>
    <w:rsid w:val="00825EC6"/>
    <w:rsid w:val="00826394"/>
    <w:rsid w:val="00826F1F"/>
    <w:rsid w:val="00826FEC"/>
    <w:rsid w:val="00827065"/>
    <w:rsid w:val="0082714A"/>
    <w:rsid w:val="00827EAD"/>
    <w:rsid w:val="0083021F"/>
    <w:rsid w:val="00831A8B"/>
    <w:rsid w:val="00832706"/>
    <w:rsid w:val="00832A4F"/>
    <w:rsid w:val="00834014"/>
    <w:rsid w:val="008355E0"/>
    <w:rsid w:val="008365FD"/>
    <w:rsid w:val="008368CC"/>
    <w:rsid w:val="00836C39"/>
    <w:rsid w:val="00836DC4"/>
    <w:rsid w:val="00837705"/>
    <w:rsid w:val="008377BF"/>
    <w:rsid w:val="00837C49"/>
    <w:rsid w:val="00840B0A"/>
    <w:rsid w:val="00840B93"/>
    <w:rsid w:val="00840E23"/>
    <w:rsid w:val="008418F3"/>
    <w:rsid w:val="00841A0A"/>
    <w:rsid w:val="00842C3C"/>
    <w:rsid w:val="00843D9C"/>
    <w:rsid w:val="00843E81"/>
    <w:rsid w:val="00844785"/>
    <w:rsid w:val="0084566C"/>
    <w:rsid w:val="00846205"/>
    <w:rsid w:val="008466E3"/>
    <w:rsid w:val="008475DC"/>
    <w:rsid w:val="00847C41"/>
    <w:rsid w:val="00850544"/>
    <w:rsid w:val="00851CDF"/>
    <w:rsid w:val="00851F89"/>
    <w:rsid w:val="00852F31"/>
    <w:rsid w:val="00853A37"/>
    <w:rsid w:val="00853D14"/>
    <w:rsid w:val="008545B3"/>
    <w:rsid w:val="00854CA5"/>
    <w:rsid w:val="00856017"/>
    <w:rsid w:val="00856769"/>
    <w:rsid w:val="00856B41"/>
    <w:rsid w:val="00857551"/>
    <w:rsid w:val="00857BB1"/>
    <w:rsid w:val="00860109"/>
    <w:rsid w:val="0086391E"/>
    <w:rsid w:val="00863B9D"/>
    <w:rsid w:val="00863DA9"/>
    <w:rsid w:val="0086411E"/>
    <w:rsid w:val="00864252"/>
    <w:rsid w:val="00864314"/>
    <w:rsid w:val="0086484E"/>
    <w:rsid w:val="008649D1"/>
    <w:rsid w:val="00864DDF"/>
    <w:rsid w:val="0086654D"/>
    <w:rsid w:val="00866DA7"/>
    <w:rsid w:val="00867405"/>
    <w:rsid w:val="00867D6E"/>
    <w:rsid w:val="00870C4F"/>
    <w:rsid w:val="0087618C"/>
    <w:rsid w:val="008772E5"/>
    <w:rsid w:val="00877AA9"/>
    <w:rsid w:val="0088079F"/>
    <w:rsid w:val="008819D4"/>
    <w:rsid w:val="0088200C"/>
    <w:rsid w:val="00882ABE"/>
    <w:rsid w:val="00883BE6"/>
    <w:rsid w:val="00884236"/>
    <w:rsid w:val="008846ED"/>
    <w:rsid w:val="00884B0B"/>
    <w:rsid w:val="008850CF"/>
    <w:rsid w:val="008869C4"/>
    <w:rsid w:val="008871CF"/>
    <w:rsid w:val="008878FC"/>
    <w:rsid w:val="00890573"/>
    <w:rsid w:val="0089105A"/>
    <w:rsid w:val="00891259"/>
    <w:rsid w:val="008912E8"/>
    <w:rsid w:val="00892132"/>
    <w:rsid w:val="00894512"/>
    <w:rsid w:val="00896120"/>
    <w:rsid w:val="0089676C"/>
    <w:rsid w:val="00896FA6"/>
    <w:rsid w:val="00897A6F"/>
    <w:rsid w:val="00897D64"/>
    <w:rsid w:val="008A2477"/>
    <w:rsid w:val="008A262F"/>
    <w:rsid w:val="008A28A2"/>
    <w:rsid w:val="008A3CCD"/>
    <w:rsid w:val="008A4860"/>
    <w:rsid w:val="008A5AB9"/>
    <w:rsid w:val="008A60AF"/>
    <w:rsid w:val="008A7063"/>
    <w:rsid w:val="008A7463"/>
    <w:rsid w:val="008A760C"/>
    <w:rsid w:val="008A763D"/>
    <w:rsid w:val="008A7E4D"/>
    <w:rsid w:val="008B00D5"/>
    <w:rsid w:val="008B026C"/>
    <w:rsid w:val="008B181D"/>
    <w:rsid w:val="008B19A9"/>
    <w:rsid w:val="008B2DE8"/>
    <w:rsid w:val="008B3820"/>
    <w:rsid w:val="008B4B06"/>
    <w:rsid w:val="008B5338"/>
    <w:rsid w:val="008B5537"/>
    <w:rsid w:val="008B6BFF"/>
    <w:rsid w:val="008B7267"/>
    <w:rsid w:val="008B77F9"/>
    <w:rsid w:val="008B7E6B"/>
    <w:rsid w:val="008C0184"/>
    <w:rsid w:val="008C05D6"/>
    <w:rsid w:val="008C10A9"/>
    <w:rsid w:val="008C113D"/>
    <w:rsid w:val="008C1A4B"/>
    <w:rsid w:val="008C2E72"/>
    <w:rsid w:val="008C35F5"/>
    <w:rsid w:val="008C40DD"/>
    <w:rsid w:val="008C46E9"/>
    <w:rsid w:val="008C5160"/>
    <w:rsid w:val="008C5747"/>
    <w:rsid w:val="008C6299"/>
    <w:rsid w:val="008C639B"/>
    <w:rsid w:val="008C74F9"/>
    <w:rsid w:val="008C7CCF"/>
    <w:rsid w:val="008C7F47"/>
    <w:rsid w:val="008D001E"/>
    <w:rsid w:val="008D0337"/>
    <w:rsid w:val="008D0B0D"/>
    <w:rsid w:val="008D277C"/>
    <w:rsid w:val="008D2B91"/>
    <w:rsid w:val="008D36EA"/>
    <w:rsid w:val="008D36FA"/>
    <w:rsid w:val="008D424A"/>
    <w:rsid w:val="008D4549"/>
    <w:rsid w:val="008D45C5"/>
    <w:rsid w:val="008D45C6"/>
    <w:rsid w:val="008D4870"/>
    <w:rsid w:val="008D54ED"/>
    <w:rsid w:val="008D667E"/>
    <w:rsid w:val="008D6821"/>
    <w:rsid w:val="008D6C84"/>
    <w:rsid w:val="008D76C0"/>
    <w:rsid w:val="008D7D37"/>
    <w:rsid w:val="008E09E7"/>
    <w:rsid w:val="008E0CB3"/>
    <w:rsid w:val="008E1610"/>
    <w:rsid w:val="008E271A"/>
    <w:rsid w:val="008E28DD"/>
    <w:rsid w:val="008E3042"/>
    <w:rsid w:val="008E32E0"/>
    <w:rsid w:val="008E3A6F"/>
    <w:rsid w:val="008E3AFB"/>
    <w:rsid w:val="008E3FDF"/>
    <w:rsid w:val="008E43D8"/>
    <w:rsid w:val="008E490E"/>
    <w:rsid w:val="008E4B45"/>
    <w:rsid w:val="008E5071"/>
    <w:rsid w:val="008E5276"/>
    <w:rsid w:val="008E6057"/>
    <w:rsid w:val="008E656C"/>
    <w:rsid w:val="008E6881"/>
    <w:rsid w:val="008E7B9F"/>
    <w:rsid w:val="008F0684"/>
    <w:rsid w:val="008F0BD8"/>
    <w:rsid w:val="008F17B2"/>
    <w:rsid w:val="008F2568"/>
    <w:rsid w:val="008F29C2"/>
    <w:rsid w:val="008F3745"/>
    <w:rsid w:val="008F3D10"/>
    <w:rsid w:val="008F3E1D"/>
    <w:rsid w:val="008F4059"/>
    <w:rsid w:val="008F4106"/>
    <w:rsid w:val="008F476C"/>
    <w:rsid w:val="008F59C2"/>
    <w:rsid w:val="008F5A62"/>
    <w:rsid w:val="008F601C"/>
    <w:rsid w:val="008F6542"/>
    <w:rsid w:val="008F6F7F"/>
    <w:rsid w:val="008F7BEF"/>
    <w:rsid w:val="00900156"/>
    <w:rsid w:val="00900595"/>
    <w:rsid w:val="00900943"/>
    <w:rsid w:val="00900C82"/>
    <w:rsid w:val="00900C84"/>
    <w:rsid w:val="00901E23"/>
    <w:rsid w:val="00903D3E"/>
    <w:rsid w:val="009045D4"/>
    <w:rsid w:val="00904B0A"/>
    <w:rsid w:val="00904D9A"/>
    <w:rsid w:val="00904DC5"/>
    <w:rsid w:val="009050AB"/>
    <w:rsid w:val="009052E7"/>
    <w:rsid w:val="009066A7"/>
    <w:rsid w:val="00906D53"/>
    <w:rsid w:val="009072EC"/>
    <w:rsid w:val="0090745D"/>
    <w:rsid w:val="00910D53"/>
    <w:rsid w:val="00913CDD"/>
    <w:rsid w:val="00914208"/>
    <w:rsid w:val="00914EFB"/>
    <w:rsid w:val="009152A8"/>
    <w:rsid w:val="00916C78"/>
    <w:rsid w:val="00917415"/>
    <w:rsid w:val="00917F6A"/>
    <w:rsid w:val="00920A48"/>
    <w:rsid w:val="00920C14"/>
    <w:rsid w:val="00921F68"/>
    <w:rsid w:val="00923766"/>
    <w:rsid w:val="009237D0"/>
    <w:rsid w:val="00923A3D"/>
    <w:rsid w:val="00924020"/>
    <w:rsid w:val="00924658"/>
    <w:rsid w:val="00924C61"/>
    <w:rsid w:val="00924E39"/>
    <w:rsid w:val="009254EB"/>
    <w:rsid w:val="00925F0D"/>
    <w:rsid w:val="00930410"/>
    <w:rsid w:val="00930C0F"/>
    <w:rsid w:val="00930E5C"/>
    <w:rsid w:val="009312DB"/>
    <w:rsid w:val="00931C23"/>
    <w:rsid w:val="00932553"/>
    <w:rsid w:val="00932D8E"/>
    <w:rsid w:val="0093415D"/>
    <w:rsid w:val="0093430C"/>
    <w:rsid w:val="0093494E"/>
    <w:rsid w:val="00934A60"/>
    <w:rsid w:val="00934E0E"/>
    <w:rsid w:val="00935C03"/>
    <w:rsid w:val="0093626C"/>
    <w:rsid w:val="009370FD"/>
    <w:rsid w:val="0094039C"/>
    <w:rsid w:val="0094095B"/>
    <w:rsid w:val="0094128F"/>
    <w:rsid w:val="00941FF1"/>
    <w:rsid w:val="00942484"/>
    <w:rsid w:val="00943372"/>
    <w:rsid w:val="0094424A"/>
    <w:rsid w:val="00944CC3"/>
    <w:rsid w:val="00944CC7"/>
    <w:rsid w:val="00945E88"/>
    <w:rsid w:val="00946606"/>
    <w:rsid w:val="00946F98"/>
    <w:rsid w:val="0094771A"/>
    <w:rsid w:val="009506F3"/>
    <w:rsid w:val="009526DC"/>
    <w:rsid w:val="00952CE1"/>
    <w:rsid w:val="00952EC3"/>
    <w:rsid w:val="00953334"/>
    <w:rsid w:val="009545A8"/>
    <w:rsid w:val="00954649"/>
    <w:rsid w:val="00954AB8"/>
    <w:rsid w:val="009551F5"/>
    <w:rsid w:val="00955DE9"/>
    <w:rsid w:val="009561FF"/>
    <w:rsid w:val="00956F4B"/>
    <w:rsid w:val="009572D5"/>
    <w:rsid w:val="00957C6E"/>
    <w:rsid w:val="00957E08"/>
    <w:rsid w:val="00960A7B"/>
    <w:rsid w:val="00961DDE"/>
    <w:rsid w:val="00962652"/>
    <w:rsid w:val="0096282A"/>
    <w:rsid w:val="009633D2"/>
    <w:rsid w:val="00963731"/>
    <w:rsid w:val="00964141"/>
    <w:rsid w:val="009653DD"/>
    <w:rsid w:val="009667AB"/>
    <w:rsid w:val="009668A1"/>
    <w:rsid w:val="0097098E"/>
    <w:rsid w:val="00970A49"/>
    <w:rsid w:val="00970F66"/>
    <w:rsid w:val="00971BC1"/>
    <w:rsid w:val="00971D1D"/>
    <w:rsid w:val="00972152"/>
    <w:rsid w:val="00973331"/>
    <w:rsid w:val="00973485"/>
    <w:rsid w:val="00974DBF"/>
    <w:rsid w:val="00975E10"/>
    <w:rsid w:val="00976125"/>
    <w:rsid w:val="0097669E"/>
    <w:rsid w:val="00977FAD"/>
    <w:rsid w:val="009805DB"/>
    <w:rsid w:val="00982221"/>
    <w:rsid w:val="009844ED"/>
    <w:rsid w:val="00984B9E"/>
    <w:rsid w:val="00985108"/>
    <w:rsid w:val="009870E9"/>
    <w:rsid w:val="0098762D"/>
    <w:rsid w:val="00990B62"/>
    <w:rsid w:val="00991056"/>
    <w:rsid w:val="00991149"/>
    <w:rsid w:val="00991477"/>
    <w:rsid w:val="009915C1"/>
    <w:rsid w:val="00991A94"/>
    <w:rsid w:val="00991C35"/>
    <w:rsid w:val="0099211A"/>
    <w:rsid w:val="00992A60"/>
    <w:rsid w:val="00993001"/>
    <w:rsid w:val="00993A84"/>
    <w:rsid w:val="00994339"/>
    <w:rsid w:val="00994F12"/>
    <w:rsid w:val="009950F1"/>
    <w:rsid w:val="00995887"/>
    <w:rsid w:val="0099636D"/>
    <w:rsid w:val="0099670B"/>
    <w:rsid w:val="00997610"/>
    <w:rsid w:val="009A0987"/>
    <w:rsid w:val="009A11C0"/>
    <w:rsid w:val="009A195F"/>
    <w:rsid w:val="009A2D7F"/>
    <w:rsid w:val="009A31B6"/>
    <w:rsid w:val="009A3842"/>
    <w:rsid w:val="009A431D"/>
    <w:rsid w:val="009A4DF0"/>
    <w:rsid w:val="009A5CE8"/>
    <w:rsid w:val="009A6311"/>
    <w:rsid w:val="009B0CA1"/>
    <w:rsid w:val="009B11BB"/>
    <w:rsid w:val="009B12B2"/>
    <w:rsid w:val="009B20CD"/>
    <w:rsid w:val="009B254B"/>
    <w:rsid w:val="009B29B7"/>
    <w:rsid w:val="009B29F9"/>
    <w:rsid w:val="009B2E92"/>
    <w:rsid w:val="009B35B4"/>
    <w:rsid w:val="009B367D"/>
    <w:rsid w:val="009B49DA"/>
    <w:rsid w:val="009B562F"/>
    <w:rsid w:val="009B5958"/>
    <w:rsid w:val="009B6E6B"/>
    <w:rsid w:val="009B7561"/>
    <w:rsid w:val="009B78BF"/>
    <w:rsid w:val="009C1668"/>
    <w:rsid w:val="009C1A89"/>
    <w:rsid w:val="009C1B39"/>
    <w:rsid w:val="009C2895"/>
    <w:rsid w:val="009C2FAB"/>
    <w:rsid w:val="009C3350"/>
    <w:rsid w:val="009C5700"/>
    <w:rsid w:val="009C570A"/>
    <w:rsid w:val="009C5942"/>
    <w:rsid w:val="009C5A0E"/>
    <w:rsid w:val="009C5B1B"/>
    <w:rsid w:val="009C618F"/>
    <w:rsid w:val="009C65E6"/>
    <w:rsid w:val="009C6C33"/>
    <w:rsid w:val="009C71E4"/>
    <w:rsid w:val="009D0DB0"/>
    <w:rsid w:val="009D228D"/>
    <w:rsid w:val="009D4E3B"/>
    <w:rsid w:val="009D4F7D"/>
    <w:rsid w:val="009D5790"/>
    <w:rsid w:val="009D7465"/>
    <w:rsid w:val="009E0233"/>
    <w:rsid w:val="009E0AAC"/>
    <w:rsid w:val="009E1067"/>
    <w:rsid w:val="009E11E9"/>
    <w:rsid w:val="009E16C0"/>
    <w:rsid w:val="009E22DE"/>
    <w:rsid w:val="009E2842"/>
    <w:rsid w:val="009E28FF"/>
    <w:rsid w:val="009E2A23"/>
    <w:rsid w:val="009E2F43"/>
    <w:rsid w:val="009E2FDB"/>
    <w:rsid w:val="009E340B"/>
    <w:rsid w:val="009E3989"/>
    <w:rsid w:val="009E4EAE"/>
    <w:rsid w:val="009E5E6A"/>
    <w:rsid w:val="009E629C"/>
    <w:rsid w:val="009E6567"/>
    <w:rsid w:val="009E6865"/>
    <w:rsid w:val="009E6F8B"/>
    <w:rsid w:val="009E7315"/>
    <w:rsid w:val="009F0724"/>
    <w:rsid w:val="009F0847"/>
    <w:rsid w:val="009F0E15"/>
    <w:rsid w:val="009F0E4E"/>
    <w:rsid w:val="009F2084"/>
    <w:rsid w:val="009F25B4"/>
    <w:rsid w:val="009F2FE9"/>
    <w:rsid w:val="009F36FA"/>
    <w:rsid w:val="009F3E1A"/>
    <w:rsid w:val="009F3F24"/>
    <w:rsid w:val="009F5980"/>
    <w:rsid w:val="009F5A22"/>
    <w:rsid w:val="009F6494"/>
    <w:rsid w:val="009F681A"/>
    <w:rsid w:val="009F6B5A"/>
    <w:rsid w:val="009F72FF"/>
    <w:rsid w:val="009F731B"/>
    <w:rsid w:val="009F7566"/>
    <w:rsid w:val="009F7635"/>
    <w:rsid w:val="00A0031F"/>
    <w:rsid w:val="00A00575"/>
    <w:rsid w:val="00A01D33"/>
    <w:rsid w:val="00A01F3F"/>
    <w:rsid w:val="00A0228D"/>
    <w:rsid w:val="00A03A32"/>
    <w:rsid w:val="00A042EA"/>
    <w:rsid w:val="00A056D2"/>
    <w:rsid w:val="00A05A18"/>
    <w:rsid w:val="00A05B7F"/>
    <w:rsid w:val="00A060B8"/>
    <w:rsid w:val="00A069D0"/>
    <w:rsid w:val="00A06E63"/>
    <w:rsid w:val="00A103D2"/>
    <w:rsid w:val="00A10406"/>
    <w:rsid w:val="00A117D9"/>
    <w:rsid w:val="00A11A2C"/>
    <w:rsid w:val="00A120D4"/>
    <w:rsid w:val="00A13279"/>
    <w:rsid w:val="00A1339A"/>
    <w:rsid w:val="00A14DA0"/>
    <w:rsid w:val="00A16D2A"/>
    <w:rsid w:val="00A17D91"/>
    <w:rsid w:val="00A17DE2"/>
    <w:rsid w:val="00A20030"/>
    <w:rsid w:val="00A20586"/>
    <w:rsid w:val="00A20695"/>
    <w:rsid w:val="00A20DE3"/>
    <w:rsid w:val="00A21BD5"/>
    <w:rsid w:val="00A22D79"/>
    <w:rsid w:val="00A23ED3"/>
    <w:rsid w:val="00A24417"/>
    <w:rsid w:val="00A2480A"/>
    <w:rsid w:val="00A2724C"/>
    <w:rsid w:val="00A27740"/>
    <w:rsid w:val="00A279B7"/>
    <w:rsid w:val="00A30C61"/>
    <w:rsid w:val="00A31314"/>
    <w:rsid w:val="00A3191C"/>
    <w:rsid w:val="00A31948"/>
    <w:rsid w:val="00A33512"/>
    <w:rsid w:val="00A346A6"/>
    <w:rsid w:val="00A34781"/>
    <w:rsid w:val="00A3479B"/>
    <w:rsid w:val="00A34E1A"/>
    <w:rsid w:val="00A35336"/>
    <w:rsid w:val="00A35978"/>
    <w:rsid w:val="00A3630F"/>
    <w:rsid w:val="00A36E4F"/>
    <w:rsid w:val="00A3727D"/>
    <w:rsid w:val="00A37AF2"/>
    <w:rsid w:val="00A37BCD"/>
    <w:rsid w:val="00A40512"/>
    <w:rsid w:val="00A41DA1"/>
    <w:rsid w:val="00A4241C"/>
    <w:rsid w:val="00A436ED"/>
    <w:rsid w:val="00A45ACB"/>
    <w:rsid w:val="00A45D38"/>
    <w:rsid w:val="00A470DF"/>
    <w:rsid w:val="00A50229"/>
    <w:rsid w:val="00A505CD"/>
    <w:rsid w:val="00A50908"/>
    <w:rsid w:val="00A52319"/>
    <w:rsid w:val="00A52A50"/>
    <w:rsid w:val="00A52C02"/>
    <w:rsid w:val="00A530DE"/>
    <w:rsid w:val="00A539DC"/>
    <w:rsid w:val="00A55AB9"/>
    <w:rsid w:val="00A55BB1"/>
    <w:rsid w:val="00A55D75"/>
    <w:rsid w:val="00A56014"/>
    <w:rsid w:val="00A56A81"/>
    <w:rsid w:val="00A571B1"/>
    <w:rsid w:val="00A571DA"/>
    <w:rsid w:val="00A576BB"/>
    <w:rsid w:val="00A57885"/>
    <w:rsid w:val="00A607E8"/>
    <w:rsid w:val="00A60B74"/>
    <w:rsid w:val="00A615A1"/>
    <w:rsid w:val="00A617C1"/>
    <w:rsid w:val="00A618DC"/>
    <w:rsid w:val="00A61BE1"/>
    <w:rsid w:val="00A62101"/>
    <w:rsid w:val="00A62309"/>
    <w:rsid w:val="00A627BA"/>
    <w:rsid w:val="00A6304F"/>
    <w:rsid w:val="00A6432D"/>
    <w:rsid w:val="00A6538B"/>
    <w:rsid w:val="00A66776"/>
    <w:rsid w:val="00A669EE"/>
    <w:rsid w:val="00A67E94"/>
    <w:rsid w:val="00A70351"/>
    <w:rsid w:val="00A71628"/>
    <w:rsid w:val="00A71E14"/>
    <w:rsid w:val="00A7215B"/>
    <w:rsid w:val="00A7264E"/>
    <w:rsid w:val="00A72971"/>
    <w:rsid w:val="00A72D92"/>
    <w:rsid w:val="00A73B8B"/>
    <w:rsid w:val="00A7403D"/>
    <w:rsid w:val="00A74821"/>
    <w:rsid w:val="00A748B3"/>
    <w:rsid w:val="00A76EBF"/>
    <w:rsid w:val="00A76FB3"/>
    <w:rsid w:val="00A8229F"/>
    <w:rsid w:val="00A84E6F"/>
    <w:rsid w:val="00A853EB"/>
    <w:rsid w:val="00A85FC3"/>
    <w:rsid w:val="00A87EDB"/>
    <w:rsid w:val="00A91695"/>
    <w:rsid w:val="00A927BD"/>
    <w:rsid w:val="00A928CA"/>
    <w:rsid w:val="00A93466"/>
    <w:rsid w:val="00A93EA8"/>
    <w:rsid w:val="00A94373"/>
    <w:rsid w:val="00A94770"/>
    <w:rsid w:val="00A94FFE"/>
    <w:rsid w:val="00A95553"/>
    <w:rsid w:val="00A966E2"/>
    <w:rsid w:val="00A968B6"/>
    <w:rsid w:val="00AA1A3D"/>
    <w:rsid w:val="00AA1BFA"/>
    <w:rsid w:val="00AA2E1C"/>
    <w:rsid w:val="00AA35A8"/>
    <w:rsid w:val="00AA3E93"/>
    <w:rsid w:val="00AB09C5"/>
    <w:rsid w:val="00AB240E"/>
    <w:rsid w:val="00AB258C"/>
    <w:rsid w:val="00AB3540"/>
    <w:rsid w:val="00AB44C2"/>
    <w:rsid w:val="00AB4C21"/>
    <w:rsid w:val="00AB4CD8"/>
    <w:rsid w:val="00AB4FB8"/>
    <w:rsid w:val="00AB57CC"/>
    <w:rsid w:val="00AB5B8D"/>
    <w:rsid w:val="00AB5CF5"/>
    <w:rsid w:val="00AB6588"/>
    <w:rsid w:val="00AB6605"/>
    <w:rsid w:val="00AB66E1"/>
    <w:rsid w:val="00AB6727"/>
    <w:rsid w:val="00AB6E22"/>
    <w:rsid w:val="00AB7211"/>
    <w:rsid w:val="00AC0FDB"/>
    <w:rsid w:val="00AC1331"/>
    <w:rsid w:val="00AC22EA"/>
    <w:rsid w:val="00AC23C7"/>
    <w:rsid w:val="00AC29DB"/>
    <w:rsid w:val="00AC29FD"/>
    <w:rsid w:val="00AC2F51"/>
    <w:rsid w:val="00AC3566"/>
    <w:rsid w:val="00AC3846"/>
    <w:rsid w:val="00AC3B96"/>
    <w:rsid w:val="00AC46A4"/>
    <w:rsid w:val="00AC48BA"/>
    <w:rsid w:val="00AC4FA8"/>
    <w:rsid w:val="00AC5414"/>
    <w:rsid w:val="00AC5641"/>
    <w:rsid w:val="00AC654A"/>
    <w:rsid w:val="00AC7055"/>
    <w:rsid w:val="00AC7B4D"/>
    <w:rsid w:val="00AC7B7D"/>
    <w:rsid w:val="00AC7D0F"/>
    <w:rsid w:val="00AD0A32"/>
    <w:rsid w:val="00AD1B29"/>
    <w:rsid w:val="00AD1D61"/>
    <w:rsid w:val="00AD3025"/>
    <w:rsid w:val="00AD3735"/>
    <w:rsid w:val="00AD4212"/>
    <w:rsid w:val="00AD6E95"/>
    <w:rsid w:val="00AE0423"/>
    <w:rsid w:val="00AE0EB1"/>
    <w:rsid w:val="00AE16E7"/>
    <w:rsid w:val="00AE18EF"/>
    <w:rsid w:val="00AE2D33"/>
    <w:rsid w:val="00AE2DC2"/>
    <w:rsid w:val="00AE2FFB"/>
    <w:rsid w:val="00AE323B"/>
    <w:rsid w:val="00AE3D49"/>
    <w:rsid w:val="00AE464D"/>
    <w:rsid w:val="00AE4794"/>
    <w:rsid w:val="00AE6BEA"/>
    <w:rsid w:val="00AE7310"/>
    <w:rsid w:val="00AE73E3"/>
    <w:rsid w:val="00AE79CB"/>
    <w:rsid w:val="00AE7E4B"/>
    <w:rsid w:val="00AE7EE0"/>
    <w:rsid w:val="00AE7F8F"/>
    <w:rsid w:val="00AF00AB"/>
    <w:rsid w:val="00AF01A9"/>
    <w:rsid w:val="00AF0D3E"/>
    <w:rsid w:val="00AF0D76"/>
    <w:rsid w:val="00AF1275"/>
    <w:rsid w:val="00AF15C9"/>
    <w:rsid w:val="00AF3B67"/>
    <w:rsid w:val="00AF485B"/>
    <w:rsid w:val="00AF4C11"/>
    <w:rsid w:val="00AF4C38"/>
    <w:rsid w:val="00AF5418"/>
    <w:rsid w:val="00AF573C"/>
    <w:rsid w:val="00AF6057"/>
    <w:rsid w:val="00AF63CD"/>
    <w:rsid w:val="00AF67CC"/>
    <w:rsid w:val="00AF6F18"/>
    <w:rsid w:val="00B000E1"/>
    <w:rsid w:val="00B00E63"/>
    <w:rsid w:val="00B01206"/>
    <w:rsid w:val="00B0138C"/>
    <w:rsid w:val="00B01966"/>
    <w:rsid w:val="00B0261C"/>
    <w:rsid w:val="00B033F7"/>
    <w:rsid w:val="00B0564A"/>
    <w:rsid w:val="00B06601"/>
    <w:rsid w:val="00B0777F"/>
    <w:rsid w:val="00B07A4D"/>
    <w:rsid w:val="00B07CB7"/>
    <w:rsid w:val="00B10197"/>
    <w:rsid w:val="00B10C31"/>
    <w:rsid w:val="00B11720"/>
    <w:rsid w:val="00B11FBD"/>
    <w:rsid w:val="00B13D1E"/>
    <w:rsid w:val="00B14067"/>
    <w:rsid w:val="00B14AAA"/>
    <w:rsid w:val="00B1530A"/>
    <w:rsid w:val="00B16689"/>
    <w:rsid w:val="00B171F3"/>
    <w:rsid w:val="00B17538"/>
    <w:rsid w:val="00B2024D"/>
    <w:rsid w:val="00B203E4"/>
    <w:rsid w:val="00B222E7"/>
    <w:rsid w:val="00B22702"/>
    <w:rsid w:val="00B2297D"/>
    <w:rsid w:val="00B229E9"/>
    <w:rsid w:val="00B22BDB"/>
    <w:rsid w:val="00B24F9E"/>
    <w:rsid w:val="00B25777"/>
    <w:rsid w:val="00B25883"/>
    <w:rsid w:val="00B26002"/>
    <w:rsid w:val="00B263D3"/>
    <w:rsid w:val="00B2658A"/>
    <w:rsid w:val="00B26613"/>
    <w:rsid w:val="00B26B32"/>
    <w:rsid w:val="00B309D6"/>
    <w:rsid w:val="00B30BC8"/>
    <w:rsid w:val="00B30F71"/>
    <w:rsid w:val="00B32086"/>
    <w:rsid w:val="00B32262"/>
    <w:rsid w:val="00B3361B"/>
    <w:rsid w:val="00B34764"/>
    <w:rsid w:val="00B34B54"/>
    <w:rsid w:val="00B34D43"/>
    <w:rsid w:val="00B351E2"/>
    <w:rsid w:val="00B354D1"/>
    <w:rsid w:val="00B359F8"/>
    <w:rsid w:val="00B35B9E"/>
    <w:rsid w:val="00B35FC2"/>
    <w:rsid w:val="00B36087"/>
    <w:rsid w:val="00B361EA"/>
    <w:rsid w:val="00B361F0"/>
    <w:rsid w:val="00B365DF"/>
    <w:rsid w:val="00B36B09"/>
    <w:rsid w:val="00B36EBB"/>
    <w:rsid w:val="00B37290"/>
    <w:rsid w:val="00B4056E"/>
    <w:rsid w:val="00B40AD8"/>
    <w:rsid w:val="00B443CA"/>
    <w:rsid w:val="00B44D1D"/>
    <w:rsid w:val="00B456BC"/>
    <w:rsid w:val="00B4623B"/>
    <w:rsid w:val="00B46353"/>
    <w:rsid w:val="00B46BED"/>
    <w:rsid w:val="00B47A25"/>
    <w:rsid w:val="00B50AA5"/>
    <w:rsid w:val="00B50B81"/>
    <w:rsid w:val="00B50DE3"/>
    <w:rsid w:val="00B50E23"/>
    <w:rsid w:val="00B5117D"/>
    <w:rsid w:val="00B51EA6"/>
    <w:rsid w:val="00B554DD"/>
    <w:rsid w:val="00B55857"/>
    <w:rsid w:val="00B56C8F"/>
    <w:rsid w:val="00B56D1A"/>
    <w:rsid w:val="00B56D3A"/>
    <w:rsid w:val="00B57B38"/>
    <w:rsid w:val="00B6108F"/>
    <w:rsid w:val="00B624B2"/>
    <w:rsid w:val="00B62585"/>
    <w:rsid w:val="00B6276F"/>
    <w:rsid w:val="00B628D5"/>
    <w:rsid w:val="00B6429A"/>
    <w:rsid w:val="00B64367"/>
    <w:rsid w:val="00B6448C"/>
    <w:rsid w:val="00B6487F"/>
    <w:rsid w:val="00B6519A"/>
    <w:rsid w:val="00B6558B"/>
    <w:rsid w:val="00B65B3A"/>
    <w:rsid w:val="00B65CBD"/>
    <w:rsid w:val="00B65F0B"/>
    <w:rsid w:val="00B6620B"/>
    <w:rsid w:val="00B6651B"/>
    <w:rsid w:val="00B67504"/>
    <w:rsid w:val="00B679BF"/>
    <w:rsid w:val="00B725A4"/>
    <w:rsid w:val="00B72E7C"/>
    <w:rsid w:val="00B72F78"/>
    <w:rsid w:val="00B7304C"/>
    <w:rsid w:val="00B731F2"/>
    <w:rsid w:val="00B732AE"/>
    <w:rsid w:val="00B7443C"/>
    <w:rsid w:val="00B754A6"/>
    <w:rsid w:val="00B755B4"/>
    <w:rsid w:val="00B77386"/>
    <w:rsid w:val="00B776C2"/>
    <w:rsid w:val="00B8010F"/>
    <w:rsid w:val="00B80509"/>
    <w:rsid w:val="00B80596"/>
    <w:rsid w:val="00B814D6"/>
    <w:rsid w:val="00B82528"/>
    <w:rsid w:val="00B825B4"/>
    <w:rsid w:val="00B82D99"/>
    <w:rsid w:val="00B82DE6"/>
    <w:rsid w:val="00B82F22"/>
    <w:rsid w:val="00B846E4"/>
    <w:rsid w:val="00B8495C"/>
    <w:rsid w:val="00B85589"/>
    <w:rsid w:val="00B85898"/>
    <w:rsid w:val="00B86612"/>
    <w:rsid w:val="00B86E61"/>
    <w:rsid w:val="00B87784"/>
    <w:rsid w:val="00B90BD9"/>
    <w:rsid w:val="00B9134C"/>
    <w:rsid w:val="00B91D25"/>
    <w:rsid w:val="00B91FB3"/>
    <w:rsid w:val="00B921C0"/>
    <w:rsid w:val="00B92250"/>
    <w:rsid w:val="00B933F6"/>
    <w:rsid w:val="00B9478C"/>
    <w:rsid w:val="00B96E0B"/>
    <w:rsid w:val="00BA03A7"/>
    <w:rsid w:val="00BA04A1"/>
    <w:rsid w:val="00BA1604"/>
    <w:rsid w:val="00BA19C4"/>
    <w:rsid w:val="00BA1A6B"/>
    <w:rsid w:val="00BA1E56"/>
    <w:rsid w:val="00BA2B83"/>
    <w:rsid w:val="00BA3D7B"/>
    <w:rsid w:val="00BA424D"/>
    <w:rsid w:val="00BA4377"/>
    <w:rsid w:val="00BA49D1"/>
    <w:rsid w:val="00BA5A7B"/>
    <w:rsid w:val="00BA62E3"/>
    <w:rsid w:val="00BA6F03"/>
    <w:rsid w:val="00BA7AE6"/>
    <w:rsid w:val="00BB024E"/>
    <w:rsid w:val="00BB0573"/>
    <w:rsid w:val="00BB1388"/>
    <w:rsid w:val="00BB2444"/>
    <w:rsid w:val="00BB28BE"/>
    <w:rsid w:val="00BB31A6"/>
    <w:rsid w:val="00BB3BBE"/>
    <w:rsid w:val="00BB42E0"/>
    <w:rsid w:val="00BB447A"/>
    <w:rsid w:val="00BB570C"/>
    <w:rsid w:val="00BB578B"/>
    <w:rsid w:val="00BB66EE"/>
    <w:rsid w:val="00BC070C"/>
    <w:rsid w:val="00BC1F6F"/>
    <w:rsid w:val="00BC2716"/>
    <w:rsid w:val="00BC2D43"/>
    <w:rsid w:val="00BC2D75"/>
    <w:rsid w:val="00BC38E6"/>
    <w:rsid w:val="00BC56DD"/>
    <w:rsid w:val="00BC5DCC"/>
    <w:rsid w:val="00BC5F5F"/>
    <w:rsid w:val="00BC6320"/>
    <w:rsid w:val="00BC63D0"/>
    <w:rsid w:val="00BC66DA"/>
    <w:rsid w:val="00BC72B0"/>
    <w:rsid w:val="00BD0AF9"/>
    <w:rsid w:val="00BD19B2"/>
    <w:rsid w:val="00BD23E8"/>
    <w:rsid w:val="00BD3452"/>
    <w:rsid w:val="00BD421C"/>
    <w:rsid w:val="00BD5269"/>
    <w:rsid w:val="00BD5943"/>
    <w:rsid w:val="00BD5C55"/>
    <w:rsid w:val="00BD64DF"/>
    <w:rsid w:val="00BD6570"/>
    <w:rsid w:val="00BD6B1E"/>
    <w:rsid w:val="00BD76F3"/>
    <w:rsid w:val="00BD78ED"/>
    <w:rsid w:val="00BD7BCB"/>
    <w:rsid w:val="00BE046B"/>
    <w:rsid w:val="00BE08DE"/>
    <w:rsid w:val="00BE1167"/>
    <w:rsid w:val="00BE15F0"/>
    <w:rsid w:val="00BE19AF"/>
    <w:rsid w:val="00BE1E7E"/>
    <w:rsid w:val="00BE3122"/>
    <w:rsid w:val="00BE37AD"/>
    <w:rsid w:val="00BE3B4A"/>
    <w:rsid w:val="00BE4511"/>
    <w:rsid w:val="00BE464F"/>
    <w:rsid w:val="00BE4E83"/>
    <w:rsid w:val="00BE4FAB"/>
    <w:rsid w:val="00BE52A8"/>
    <w:rsid w:val="00BE5EF7"/>
    <w:rsid w:val="00BE5F01"/>
    <w:rsid w:val="00BE624B"/>
    <w:rsid w:val="00BE6C25"/>
    <w:rsid w:val="00BE6F92"/>
    <w:rsid w:val="00BE7653"/>
    <w:rsid w:val="00BF0013"/>
    <w:rsid w:val="00BF06D4"/>
    <w:rsid w:val="00BF0C27"/>
    <w:rsid w:val="00BF233E"/>
    <w:rsid w:val="00BF2728"/>
    <w:rsid w:val="00BF28D4"/>
    <w:rsid w:val="00BF34E1"/>
    <w:rsid w:val="00BF3DE4"/>
    <w:rsid w:val="00BF4C93"/>
    <w:rsid w:val="00BF4EE6"/>
    <w:rsid w:val="00BF4F71"/>
    <w:rsid w:val="00BF6DB1"/>
    <w:rsid w:val="00BF7818"/>
    <w:rsid w:val="00C01499"/>
    <w:rsid w:val="00C01990"/>
    <w:rsid w:val="00C035C4"/>
    <w:rsid w:val="00C03763"/>
    <w:rsid w:val="00C03F7F"/>
    <w:rsid w:val="00C045D1"/>
    <w:rsid w:val="00C04D6F"/>
    <w:rsid w:val="00C05CD4"/>
    <w:rsid w:val="00C06567"/>
    <w:rsid w:val="00C06576"/>
    <w:rsid w:val="00C066E2"/>
    <w:rsid w:val="00C07899"/>
    <w:rsid w:val="00C10F72"/>
    <w:rsid w:val="00C1110F"/>
    <w:rsid w:val="00C1171D"/>
    <w:rsid w:val="00C11E71"/>
    <w:rsid w:val="00C11FFB"/>
    <w:rsid w:val="00C129DA"/>
    <w:rsid w:val="00C12C58"/>
    <w:rsid w:val="00C13335"/>
    <w:rsid w:val="00C13D8A"/>
    <w:rsid w:val="00C13E20"/>
    <w:rsid w:val="00C145B9"/>
    <w:rsid w:val="00C1463E"/>
    <w:rsid w:val="00C15334"/>
    <w:rsid w:val="00C16048"/>
    <w:rsid w:val="00C16DCC"/>
    <w:rsid w:val="00C172A8"/>
    <w:rsid w:val="00C1746F"/>
    <w:rsid w:val="00C17925"/>
    <w:rsid w:val="00C17DEB"/>
    <w:rsid w:val="00C20A42"/>
    <w:rsid w:val="00C2108D"/>
    <w:rsid w:val="00C21EB8"/>
    <w:rsid w:val="00C21F7A"/>
    <w:rsid w:val="00C23C69"/>
    <w:rsid w:val="00C23EB9"/>
    <w:rsid w:val="00C248AC"/>
    <w:rsid w:val="00C251F1"/>
    <w:rsid w:val="00C2594B"/>
    <w:rsid w:val="00C259EA"/>
    <w:rsid w:val="00C264B5"/>
    <w:rsid w:val="00C2781E"/>
    <w:rsid w:val="00C279BC"/>
    <w:rsid w:val="00C27BEC"/>
    <w:rsid w:val="00C3088F"/>
    <w:rsid w:val="00C318C7"/>
    <w:rsid w:val="00C31CE5"/>
    <w:rsid w:val="00C32193"/>
    <w:rsid w:val="00C32215"/>
    <w:rsid w:val="00C335C2"/>
    <w:rsid w:val="00C3395C"/>
    <w:rsid w:val="00C33B19"/>
    <w:rsid w:val="00C33C78"/>
    <w:rsid w:val="00C3400A"/>
    <w:rsid w:val="00C3699E"/>
    <w:rsid w:val="00C36C78"/>
    <w:rsid w:val="00C40445"/>
    <w:rsid w:val="00C41976"/>
    <w:rsid w:val="00C419D2"/>
    <w:rsid w:val="00C42017"/>
    <w:rsid w:val="00C436D4"/>
    <w:rsid w:val="00C43C1F"/>
    <w:rsid w:val="00C43D4B"/>
    <w:rsid w:val="00C43DBA"/>
    <w:rsid w:val="00C44205"/>
    <w:rsid w:val="00C44224"/>
    <w:rsid w:val="00C44795"/>
    <w:rsid w:val="00C4622B"/>
    <w:rsid w:val="00C47009"/>
    <w:rsid w:val="00C50047"/>
    <w:rsid w:val="00C51545"/>
    <w:rsid w:val="00C5173C"/>
    <w:rsid w:val="00C5357A"/>
    <w:rsid w:val="00C537CB"/>
    <w:rsid w:val="00C53C1E"/>
    <w:rsid w:val="00C544DA"/>
    <w:rsid w:val="00C553C9"/>
    <w:rsid w:val="00C559BA"/>
    <w:rsid w:val="00C559FB"/>
    <w:rsid w:val="00C5690B"/>
    <w:rsid w:val="00C56D94"/>
    <w:rsid w:val="00C57273"/>
    <w:rsid w:val="00C5732C"/>
    <w:rsid w:val="00C574BC"/>
    <w:rsid w:val="00C57585"/>
    <w:rsid w:val="00C61162"/>
    <w:rsid w:val="00C62150"/>
    <w:rsid w:val="00C628BB"/>
    <w:rsid w:val="00C62B05"/>
    <w:rsid w:val="00C62FA2"/>
    <w:rsid w:val="00C63747"/>
    <w:rsid w:val="00C63AED"/>
    <w:rsid w:val="00C63CC5"/>
    <w:rsid w:val="00C6475A"/>
    <w:rsid w:val="00C64A21"/>
    <w:rsid w:val="00C64FA5"/>
    <w:rsid w:val="00C65387"/>
    <w:rsid w:val="00C65548"/>
    <w:rsid w:val="00C6557D"/>
    <w:rsid w:val="00C65584"/>
    <w:rsid w:val="00C66798"/>
    <w:rsid w:val="00C66C88"/>
    <w:rsid w:val="00C675C5"/>
    <w:rsid w:val="00C67FEA"/>
    <w:rsid w:val="00C7012D"/>
    <w:rsid w:val="00C70806"/>
    <w:rsid w:val="00C70A52"/>
    <w:rsid w:val="00C73477"/>
    <w:rsid w:val="00C739EA"/>
    <w:rsid w:val="00C73AE2"/>
    <w:rsid w:val="00C73E25"/>
    <w:rsid w:val="00C7485C"/>
    <w:rsid w:val="00C765E8"/>
    <w:rsid w:val="00C76631"/>
    <w:rsid w:val="00C76AB6"/>
    <w:rsid w:val="00C772CC"/>
    <w:rsid w:val="00C8045C"/>
    <w:rsid w:val="00C80E9C"/>
    <w:rsid w:val="00C82B78"/>
    <w:rsid w:val="00C82D5A"/>
    <w:rsid w:val="00C82EAF"/>
    <w:rsid w:val="00C83D19"/>
    <w:rsid w:val="00C83DD9"/>
    <w:rsid w:val="00C8452E"/>
    <w:rsid w:val="00C854AC"/>
    <w:rsid w:val="00C862D1"/>
    <w:rsid w:val="00C87EC8"/>
    <w:rsid w:val="00C914EF"/>
    <w:rsid w:val="00C9291E"/>
    <w:rsid w:val="00C94ACB"/>
    <w:rsid w:val="00C958B7"/>
    <w:rsid w:val="00C9595B"/>
    <w:rsid w:val="00C97C52"/>
    <w:rsid w:val="00C97D7B"/>
    <w:rsid w:val="00C97DF9"/>
    <w:rsid w:val="00C97E8C"/>
    <w:rsid w:val="00CA01E3"/>
    <w:rsid w:val="00CA02B0"/>
    <w:rsid w:val="00CA1145"/>
    <w:rsid w:val="00CA357E"/>
    <w:rsid w:val="00CA3840"/>
    <w:rsid w:val="00CA3C0E"/>
    <w:rsid w:val="00CA3F53"/>
    <w:rsid w:val="00CA4544"/>
    <w:rsid w:val="00CA51B5"/>
    <w:rsid w:val="00CA51D5"/>
    <w:rsid w:val="00CA6E03"/>
    <w:rsid w:val="00CA7468"/>
    <w:rsid w:val="00CA7B9F"/>
    <w:rsid w:val="00CA7E21"/>
    <w:rsid w:val="00CB0310"/>
    <w:rsid w:val="00CB0A82"/>
    <w:rsid w:val="00CB130E"/>
    <w:rsid w:val="00CB237E"/>
    <w:rsid w:val="00CB2E61"/>
    <w:rsid w:val="00CB422B"/>
    <w:rsid w:val="00CB4C4E"/>
    <w:rsid w:val="00CB4DFA"/>
    <w:rsid w:val="00CB6066"/>
    <w:rsid w:val="00CB6D9D"/>
    <w:rsid w:val="00CB7F4B"/>
    <w:rsid w:val="00CC017A"/>
    <w:rsid w:val="00CC03D8"/>
    <w:rsid w:val="00CC1B74"/>
    <w:rsid w:val="00CC2B87"/>
    <w:rsid w:val="00CC311A"/>
    <w:rsid w:val="00CC3F4E"/>
    <w:rsid w:val="00CC489E"/>
    <w:rsid w:val="00CC505B"/>
    <w:rsid w:val="00CC5894"/>
    <w:rsid w:val="00CD0D67"/>
    <w:rsid w:val="00CD115A"/>
    <w:rsid w:val="00CD142B"/>
    <w:rsid w:val="00CD17F1"/>
    <w:rsid w:val="00CD193E"/>
    <w:rsid w:val="00CD1AEA"/>
    <w:rsid w:val="00CD20B0"/>
    <w:rsid w:val="00CD2481"/>
    <w:rsid w:val="00CD24C2"/>
    <w:rsid w:val="00CD28AE"/>
    <w:rsid w:val="00CD3509"/>
    <w:rsid w:val="00CD4255"/>
    <w:rsid w:val="00CD4516"/>
    <w:rsid w:val="00CD5399"/>
    <w:rsid w:val="00CD54B3"/>
    <w:rsid w:val="00CD664D"/>
    <w:rsid w:val="00CD6DA4"/>
    <w:rsid w:val="00CD72FD"/>
    <w:rsid w:val="00CD750A"/>
    <w:rsid w:val="00CE0355"/>
    <w:rsid w:val="00CE0521"/>
    <w:rsid w:val="00CE0816"/>
    <w:rsid w:val="00CE13DE"/>
    <w:rsid w:val="00CE1897"/>
    <w:rsid w:val="00CE2660"/>
    <w:rsid w:val="00CE2CF6"/>
    <w:rsid w:val="00CE3978"/>
    <w:rsid w:val="00CE4251"/>
    <w:rsid w:val="00CE4C27"/>
    <w:rsid w:val="00CE71E3"/>
    <w:rsid w:val="00CE7E84"/>
    <w:rsid w:val="00CF02D4"/>
    <w:rsid w:val="00CF0BA9"/>
    <w:rsid w:val="00CF1278"/>
    <w:rsid w:val="00CF12DF"/>
    <w:rsid w:val="00CF1D3D"/>
    <w:rsid w:val="00CF256A"/>
    <w:rsid w:val="00CF345B"/>
    <w:rsid w:val="00CF34E6"/>
    <w:rsid w:val="00CF35B1"/>
    <w:rsid w:val="00CF4859"/>
    <w:rsid w:val="00CF4D5E"/>
    <w:rsid w:val="00CF508A"/>
    <w:rsid w:val="00CF531B"/>
    <w:rsid w:val="00CF5CD6"/>
    <w:rsid w:val="00CF6355"/>
    <w:rsid w:val="00CF6C10"/>
    <w:rsid w:val="00CF733D"/>
    <w:rsid w:val="00CF7AB6"/>
    <w:rsid w:val="00D002D6"/>
    <w:rsid w:val="00D011A8"/>
    <w:rsid w:val="00D01BE9"/>
    <w:rsid w:val="00D01F53"/>
    <w:rsid w:val="00D02B80"/>
    <w:rsid w:val="00D037C4"/>
    <w:rsid w:val="00D039F7"/>
    <w:rsid w:val="00D0443D"/>
    <w:rsid w:val="00D0499D"/>
    <w:rsid w:val="00D0618D"/>
    <w:rsid w:val="00D06C12"/>
    <w:rsid w:val="00D06DCB"/>
    <w:rsid w:val="00D0705B"/>
    <w:rsid w:val="00D07E1C"/>
    <w:rsid w:val="00D11048"/>
    <w:rsid w:val="00D125B6"/>
    <w:rsid w:val="00D135A9"/>
    <w:rsid w:val="00D13E39"/>
    <w:rsid w:val="00D13FE1"/>
    <w:rsid w:val="00D1443D"/>
    <w:rsid w:val="00D144EF"/>
    <w:rsid w:val="00D1451E"/>
    <w:rsid w:val="00D145F5"/>
    <w:rsid w:val="00D154DC"/>
    <w:rsid w:val="00D1570E"/>
    <w:rsid w:val="00D163AC"/>
    <w:rsid w:val="00D16F55"/>
    <w:rsid w:val="00D1739C"/>
    <w:rsid w:val="00D211DB"/>
    <w:rsid w:val="00D220E4"/>
    <w:rsid w:val="00D2231A"/>
    <w:rsid w:val="00D226EB"/>
    <w:rsid w:val="00D2280F"/>
    <w:rsid w:val="00D23A6D"/>
    <w:rsid w:val="00D24D78"/>
    <w:rsid w:val="00D25294"/>
    <w:rsid w:val="00D252C3"/>
    <w:rsid w:val="00D26741"/>
    <w:rsid w:val="00D27094"/>
    <w:rsid w:val="00D274D2"/>
    <w:rsid w:val="00D274E3"/>
    <w:rsid w:val="00D27641"/>
    <w:rsid w:val="00D2784D"/>
    <w:rsid w:val="00D27AD7"/>
    <w:rsid w:val="00D27D00"/>
    <w:rsid w:val="00D3111D"/>
    <w:rsid w:val="00D316BB"/>
    <w:rsid w:val="00D3254C"/>
    <w:rsid w:val="00D331DC"/>
    <w:rsid w:val="00D33782"/>
    <w:rsid w:val="00D34048"/>
    <w:rsid w:val="00D34248"/>
    <w:rsid w:val="00D34DF3"/>
    <w:rsid w:val="00D35080"/>
    <w:rsid w:val="00D36463"/>
    <w:rsid w:val="00D36957"/>
    <w:rsid w:val="00D36F8D"/>
    <w:rsid w:val="00D377F8"/>
    <w:rsid w:val="00D37DC9"/>
    <w:rsid w:val="00D40691"/>
    <w:rsid w:val="00D40997"/>
    <w:rsid w:val="00D40F41"/>
    <w:rsid w:val="00D413EF"/>
    <w:rsid w:val="00D41CFF"/>
    <w:rsid w:val="00D41D18"/>
    <w:rsid w:val="00D42813"/>
    <w:rsid w:val="00D431F3"/>
    <w:rsid w:val="00D43768"/>
    <w:rsid w:val="00D44329"/>
    <w:rsid w:val="00D446BF"/>
    <w:rsid w:val="00D448BD"/>
    <w:rsid w:val="00D44B78"/>
    <w:rsid w:val="00D452B9"/>
    <w:rsid w:val="00D4537F"/>
    <w:rsid w:val="00D46100"/>
    <w:rsid w:val="00D46178"/>
    <w:rsid w:val="00D475E8"/>
    <w:rsid w:val="00D47B22"/>
    <w:rsid w:val="00D50902"/>
    <w:rsid w:val="00D521F9"/>
    <w:rsid w:val="00D52568"/>
    <w:rsid w:val="00D52A0A"/>
    <w:rsid w:val="00D532C2"/>
    <w:rsid w:val="00D54734"/>
    <w:rsid w:val="00D5586B"/>
    <w:rsid w:val="00D56797"/>
    <w:rsid w:val="00D568F1"/>
    <w:rsid w:val="00D56B6E"/>
    <w:rsid w:val="00D57A9C"/>
    <w:rsid w:val="00D57ACF"/>
    <w:rsid w:val="00D57C00"/>
    <w:rsid w:val="00D602FC"/>
    <w:rsid w:val="00D606B3"/>
    <w:rsid w:val="00D60CA1"/>
    <w:rsid w:val="00D620D2"/>
    <w:rsid w:val="00D64E21"/>
    <w:rsid w:val="00D65787"/>
    <w:rsid w:val="00D657A8"/>
    <w:rsid w:val="00D6644F"/>
    <w:rsid w:val="00D664C2"/>
    <w:rsid w:val="00D667AC"/>
    <w:rsid w:val="00D67B7B"/>
    <w:rsid w:val="00D67CA3"/>
    <w:rsid w:val="00D70368"/>
    <w:rsid w:val="00D703C2"/>
    <w:rsid w:val="00D70B43"/>
    <w:rsid w:val="00D70D66"/>
    <w:rsid w:val="00D71721"/>
    <w:rsid w:val="00D7244D"/>
    <w:rsid w:val="00D72636"/>
    <w:rsid w:val="00D72CEE"/>
    <w:rsid w:val="00D72EA2"/>
    <w:rsid w:val="00D74BA9"/>
    <w:rsid w:val="00D759F2"/>
    <w:rsid w:val="00D75C4C"/>
    <w:rsid w:val="00D75D82"/>
    <w:rsid w:val="00D75E62"/>
    <w:rsid w:val="00D762F4"/>
    <w:rsid w:val="00D7636B"/>
    <w:rsid w:val="00D76A0A"/>
    <w:rsid w:val="00D76B4B"/>
    <w:rsid w:val="00D76F12"/>
    <w:rsid w:val="00D7732A"/>
    <w:rsid w:val="00D7735E"/>
    <w:rsid w:val="00D77BDC"/>
    <w:rsid w:val="00D81419"/>
    <w:rsid w:val="00D8307C"/>
    <w:rsid w:val="00D85355"/>
    <w:rsid w:val="00D85A80"/>
    <w:rsid w:val="00D861B6"/>
    <w:rsid w:val="00D866B8"/>
    <w:rsid w:val="00D86B70"/>
    <w:rsid w:val="00D908BD"/>
    <w:rsid w:val="00D91F3D"/>
    <w:rsid w:val="00D920EE"/>
    <w:rsid w:val="00D92932"/>
    <w:rsid w:val="00D936DD"/>
    <w:rsid w:val="00D95A18"/>
    <w:rsid w:val="00D961D1"/>
    <w:rsid w:val="00D96965"/>
    <w:rsid w:val="00D96B2F"/>
    <w:rsid w:val="00D97638"/>
    <w:rsid w:val="00D97D4F"/>
    <w:rsid w:val="00D97E89"/>
    <w:rsid w:val="00DA060C"/>
    <w:rsid w:val="00DA1160"/>
    <w:rsid w:val="00DA2771"/>
    <w:rsid w:val="00DA2A07"/>
    <w:rsid w:val="00DA3851"/>
    <w:rsid w:val="00DA4F47"/>
    <w:rsid w:val="00DA54D6"/>
    <w:rsid w:val="00DA551A"/>
    <w:rsid w:val="00DA5D61"/>
    <w:rsid w:val="00DA6237"/>
    <w:rsid w:val="00DA7325"/>
    <w:rsid w:val="00DB0013"/>
    <w:rsid w:val="00DB092E"/>
    <w:rsid w:val="00DB0B3F"/>
    <w:rsid w:val="00DB1B7C"/>
    <w:rsid w:val="00DB4336"/>
    <w:rsid w:val="00DB4918"/>
    <w:rsid w:val="00DB5878"/>
    <w:rsid w:val="00DB5FAB"/>
    <w:rsid w:val="00DB64A6"/>
    <w:rsid w:val="00DC0701"/>
    <w:rsid w:val="00DC09F2"/>
    <w:rsid w:val="00DC0EDF"/>
    <w:rsid w:val="00DC14D4"/>
    <w:rsid w:val="00DC2837"/>
    <w:rsid w:val="00DC2D57"/>
    <w:rsid w:val="00DC348B"/>
    <w:rsid w:val="00DC3BFF"/>
    <w:rsid w:val="00DC61C5"/>
    <w:rsid w:val="00DD0063"/>
    <w:rsid w:val="00DD047C"/>
    <w:rsid w:val="00DD1145"/>
    <w:rsid w:val="00DD23C3"/>
    <w:rsid w:val="00DD31E2"/>
    <w:rsid w:val="00DD33A6"/>
    <w:rsid w:val="00DD3691"/>
    <w:rsid w:val="00DD3B4F"/>
    <w:rsid w:val="00DD4657"/>
    <w:rsid w:val="00DD4A96"/>
    <w:rsid w:val="00DD54AB"/>
    <w:rsid w:val="00DD570C"/>
    <w:rsid w:val="00DD58E9"/>
    <w:rsid w:val="00DD7248"/>
    <w:rsid w:val="00DD7558"/>
    <w:rsid w:val="00DE006A"/>
    <w:rsid w:val="00DE0455"/>
    <w:rsid w:val="00DE1ACB"/>
    <w:rsid w:val="00DE2702"/>
    <w:rsid w:val="00DE2FBE"/>
    <w:rsid w:val="00DE313E"/>
    <w:rsid w:val="00DE3A6A"/>
    <w:rsid w:val="00DE4636"/>
    <w:rsid w:val="00DE4EB9"/>
    <w:rsid w:val="00DE5899"/>
    <w:rsid w:val="00DF0961"/>
    <w:rsid w:val="00DF0D8A"/>
    <w:rsid w:val="00DF0EB3"/>
    <w:rsid w:val="00DF1349"/>
    <w:rsid w:val="00DF1634"/>
    <w:rsid w:val="00DF2F9E"/>
    <w:rsid w:val="00DF327A"/>
    <w:rsid w:val="00DF4257"/>
    <w:rsid w:val="00DF5627"/>
    <w:rsid w:val="00DF66C9"/>
    <w:rsid w:val="00DF6B9A"/>
    <w:rsid w:val="00DF6D63"/>
    <w:rsid w:val="00DF70B2"/>
    <w:rsid w:val="00DF747F"/>
    <w:rsid w:val="00E01EB5"/>
    <w:rsid w:val="00E020E1"/>
    <w:rsid w:val="00E02406"/>
    <w:rsid w:val="00E029F3"/>
    <w:rsid w:val="00E02A54"/>
    <w:rsid w:val="00E032F4"/>
    <w:rsid w:val="00E03E1B"/>
    <w:rsid w:val="00E045B8"/>
    <w:rsid w:val="00E04E8A"/>
    <w:rsid w:val="00E05BF4"/>
    <w:rsid w:val="00E05ED4"/>
    <w:rsid w:val="00E062C7"/>
    <w:rsid w:val="00E066C3"/>
    <w:rsid w:val="00E06DAF"/>
    <w:rsid w:val="00E1026E"/>
    <w:rsid w:val="00E11481"/>
    <w:rsid w:val="00E119EE"/>
    <w:rsid w:val="00E120AB"/>
    <w:rsid w:val="00E12708"/>
    <w:rsid w:val="00E1336F"/>
    <w:rsid w:val="00E144F6"/>
    <w:rsid w:val="00E14FEC"/>
    <w:rsid w:val="00E15F03"/>
    <w:rsid w:val="00E16419"/>
    <w:rsid w:val="00E16AA1"/>
    <w:rsid w:val="00E16E25"/>
    <w:rsid w:val="00E1724D"/>
    <w:rsid w:val="00E172C2"/>
    <w:rsid w:val="00E17478"/>
    <w:rsid w:val="00E17B67"/>
    <w:rsid w:val="00E2026D"/>
    <w:rsid w:val="00E20EFA"/>
    <w:rsid w:val="00E20F26"/>
    <w:rsid w:val="00E2124C"/>
    <w:rsid w:val="00E219F6"/>
    <w:rsid w:val="00E21C7B"/>
    <w:rsid w:val="00E223CB"/>
    <w:rsid w:val="00E235A9"/>
    <w:rsid w:val="00E23B8E"/>
    <w:rsid w:val="00E2477D"/>
    <w:rsid w:val="00E25943"/>
    <w:rsid w:val="00E2609A"/>
    <w:rsid w:val="00E26247"/>
    <w:rsid w:val="00E2675D"/>
    <w:rsid w:val="00E26A55"/>
    <w:rsid w:val="00E26C3B"/>
    <w:rsid w:val="00E27183"/>
    <w:rsid w:val="00E27FE2"/>
    <w:rsid w:val="00E305A8"/>
    <w:rsid w:val="00E31987"/>
    <w:rsid w:val="00E31CC7"/>
    <w:rsid w:val="00E31D45"/>
    <w:rsid w:val="00E32C01"/>
    <w:rsid w:val="00E342C7"/>
    <w:rsid w:val="00E34733"/>
    <w:rsid w:val="00E35434"/>
    <w:rsid w:val="00E360DE"/>
    <w:rsid w:val="00E37B04"/>
    <w:rsid w:val="00E404C7"/>
    <w:rsid w:val="00E41101"/>
    <w:rsid w:val="00E41C55"/>
    <w:rsid w:val="00E42C6E"/>
    <w:rsid w:val="00E42CA1"/>
    <w:rsid w:val="00E433D2"/>
    <w:rsid w:val="00E434B3"/>
    <w:rsid w:val="00E43835"/>
    <w:rsid w:val="00E440B3"/>
    <w:rsid w:val="00E44151"/>
    <w:rsid w:val="00E45CAE"/>
    <w:rsid w:val="00E464B6"/>
    <w:rsid w:val="00E47971"/>
    <w:rsid w:val="00E47983"/>
    <w:rsid w:val="00E47F7C"/>
    <w:rsid w:val="00E50C5B"/>
    <w:rsid w:val="00E51726"/>
    <w:rsid w:val="00E519B6"/>
    <w:rsid w:val="00E51E8B"/>
    <w:rsid w:val="00E52FDE"/>
    <w:rsid w:val="00E53004"/>
    <w:rsid w:val="00E5319C"/>
    <w:rsid w:val="00E553C1"/>
    <w:rsid w:val="00E562CD"/>
    <w:rsid w:val="00E579BE"/>
    <w:rsid w:val="00E618F5"/>
    <w:rsid w:val="00E6347F"/>
    <w:rsid w:val="00E636E4"/>
    <w:rsid w:val="00E63863"/>
    <w:rsid w:val="00E6430A"/>
    <w:rsid w:val="00E6460E"/>
    <w:rsid w:val="00E647C1"/>
    <w:rsid w:val="00E661EC"/>
    <w:rsid w:val="00E67C68"/>
    <w:rsid w:val="00E7004F"/>
    <w:rsid w:val="00E70496"/>
    <w:rsid w:val="00E71E09"/>
    <w:rsid w:val="00E72243"/>
    <w:rsid w:val="00E7325C"/>
    <w:rsid w:val="00E732DD"/>
    <w:rsid w:val="00E7400C"/>
    <w:rsid w:val="00E749F5"/>
    <w:rsid w:val="00E74F97"/>
    <w:rsid w:val="00E751D1"/>
    <w:rsid w:val="00E75F6E"/>
    <w:rsid w:val="00E774FE"/>
    <w:rsid w:val="00E77760"/>
    <w:rsid w:val="00E77B47"/>
    <w:rsid w:val="00E800F3"/>
    <w:rsid w:val="00E813B5"/>
    <w:rsid w:val="00E81648"/>
    <w:rsid w:val="00E81B71"/>
    <w:rsid w:val="00E81CB9"/>
    <w:rsid w:val="00E842FA"/>
    <w:rsid w:val="00E848C8"/>
    <w:rsid w:val="00E8535A"/>
    <w:rsid w:val="00E85A05"/>
    <w:rsid w:val="00E86120"/>
    <w:rsid w:val="00E862C8"/>
    <w:rsid w:val="00E8739B"/>
    <w:rsid w:val="00E87CA5"/>
    <w:rsid w:val="00E87F78"/>
    <w:rsid w:val="00E9090F"/>
    <w:rsid w:val="00E91BA9"/>
    <w:rsid w:val="00E92233"/>
    <w:rsid w:val="00E9225B"/>
    <w:rsid w:val="00E93103"/>
    <w:rsid w:val="00E93A97"/>
    <w:rsid w:val="00E93BFE"/>
    <w:rsid w:val="00E93DC5"/>
    <w:rsid w:val="00E954A2"/>
    <w:rsid w:val="00E9587D"/>
    <w:rsid w:val="00E962E7"/>
    <w:rsid w:val="00E963C7"/>
    <w:rsid w:val="00E96ED9"/>
    <w:rsid w:val="00E97EF9"/>
    <w:rsid w:val="00EA05E8"/>
    <w:rsid w:val="00EA0B13"/>
    <w:rsid w:val="00EA10BF"/>
    <w:rsid w:val="00EA118C"/>
    <w:rsid w:val="00EA20CC"/>
    <w:rsid w:val="00EA2BFE"/>
    <w:rsid w:val="00EA2E89"/>
    <w:rsid w:val="00EA3D64"/>
    <w:rsid w:val="00EA3F5F"/>
    <w:rsid w:val="00EA4CA6"/>
    <w:rsid w:val="00EA508B"/>
    <w:rsid w:val="00EA5E0A"/>
    <w:rsid w:val="00EA6657"/>
    <w:rsid w:val="00EA72C0"/>
    <w:rsid w:val="00EA7458"/>
    <w:rsid w:val="00EB013D"/>
    <w:rsid w:val="00EB04B3"/>
    <w:rsid w:val="00EB2107"/>
    <w:rsid w:val="00EB2992"/>
    <w:rsid w:val="00EB29AB"/>
    <w:rsid w:val="00EB3197"/>
    <w:rsid w:val="00EB3906"/>
    <w:rsid w:val="00EB3FD2"/>
    <w:rsid w:val="00EB49D3"/>
    <w:rsid w:val="00EB4BB1"/>
    <w:rsid w:val="00EB5A9B"/>
    <w:rsid w:val="00EB5AB9"/>
    <w:rsid w:val="00EB5ABB"/>
    <w:rsid w:val="00EB6182"/>
    <w:rsid w:val="00EB645B"/>
    <w:rsid w:val="00EC0B31"/>
    <w:rsid w:val="00EC1BAC"/>
    <w:rsid w:val="00EC230A"/>
    <w:rsid w:val="00EC27E9"/>
    <w:rsid w:val="00EC2A3B"/>
    <w:rsid w:val="00EC309C"/>
    <w:rsid w:val="00EC3901"/>
    <w:rsid w:val="00EC5C26"/>
    <w:rsid w:val="00EC6130"/>
    <w:rsid w:val="00EC62AF"/>
    <w:rsid w:val="00EC6346"/>
    <w:rsid w:val="00EC6955"/>
    <w:rsid w:val="00EC732C"/>
    <w:rsid w:val="00EC738B"/>
    <w:rsid w:val="00EC7945"/>
    <w:rsid w:val="00EC7D52"/>
    <w:rsid w:val="00EC7E26"/>
    <w:rsid w:val="00ED18E5"/>
    <w:rsid w:val="00ED2992"/>
    <w:rsid w:val="00ED2ADA"/>
    <w:rsid w:val="00ED3F93"/>
    <w:rsid w:val="00ED40E5"/>
    <w:rsid w:val="00ED479D"/>
    <w:rsid w:val="00ED502D"/>
    <w:rsid w:val="00ED5EEE"/>
    <w:rsid w:val="00ED6F26"/>
    <w:rsid w:val="00ED73F5"/>
    <w:rsid w:val="00ED73F7"/>
    <w:rsid w:val="00ED759F"/>
    <w:rsid w:val="00EE054F"/>
    <w:rsid w:val="00EE2218"/>
    <w:rsid w:val="00EE2495"/>
    <w:rsid w:val="00EE257D"/>
    <w:rsid w:val="00EE34F7"/>
    <w:rsid w:val="00EE3E26"/>
    <w:rsid w:val="00EE423C"/>
    <w:rsid w:val="00EE445F"/>
    <w:rsid w:val="00EE49AB"/>
    <w:rsid w:val="00EE4FCE"/>
    <w:rsid w:val="00EE50CB"/>
    <w:rsid w:val="00EE65D3"/>
    <w:rsid w:val="00EE72BF"/>
    <w:rsid w:val="00EE79A3"/>
    <w:rsid w:val="00EE7E83"/>
    <w:rsid w:val="00EF0037"/>
    <w:rsid w:val="00EF07A5"/>
    <w:rsid w:val="00EF15EA"/>
    <w:rsid w:val="00EF2290"/>
    <w:rsid w:val="00EF2BCF"/>
    <w:rsid w:val="00EF325D"/>
    <w:rsid w:val="00EF32C8"/>
    <w:rsid w:val="00EF33CE"/>
    <w:rsid w:val="00EF36A3"/>
    <w:rsid w:val="00EF377A"/>
    <w:rsid w:val="00EF43C4"/>
    <w:rsid w:val="00EF45A9"/>
    <w:rsid w:val="00EF6D5A"/>
    <w:rsid w:val="00EF7154"/>
    <w:rsid w:val="00EF77C5"/>
    <w:rsid w:val="00F004A7"/>
    <w:rsid w:val="00F008A7"/>
    <w:rsid w:val="00F01AD2"/>
    <w:rsid w:val="00F0275C"/>
    <w:rsid w:val="00F0284E"/>
    <w:rsid w:val="00F0362D"/>
    <w:rsid w:val="00F050E7"/>
    <w:rsid w:val="00F051FB"/>
    <w:rsid w:val="00F06E9B"/>
    <w:rsid w:val="00F070DB"/>
    <w:rsid w:val="00F07128"/>
    <w:rsid w:val="00F077B2"/>
    <w:rsid w:val="00F079B3"/>
    <w:rsid w:val="00F07B15"/>
    <w:rsid w:val="00F100B2"/>
    <w:rsid w:val="00F103AA"/>
    <w:rsid w:val="00F106E2"/>
    <w:rsid w:val="00F11CC4"/>
    <w:rsid w:val="00F1256D"/>
    <w:rsid w:val="00F12D11"/>
    <w:rsid w:val="00F138A7"/>
    <w:rsid w:val="00F13AD6"/>
    <w:rsid w:val="00F14718"/>
    <w:rsid w:val="00F14E62"/>
    <w:rsid w:val="00F153D4"/>
    <w:rsid w:val="00F15D9E"/>
    <w:rsid w:val="00F16872"/>
    <w:rsid w:val="00F1707E"/>
    <w:rsid w:val="00F17366"/>
    <w:rsid w:val="00F203CE"/>
    <w:rsid w:val="00F206E4"/>
    <w:rsid w:val="00F21162"/>
    <w:rsid w:val="00F227DD"/>
    <w:rsid w:val="00F22E7F"/>
    <w:rsid w:val="00F23605"/>
    <w:rsid w:val="00F23CE5"/>
    <w:rsid w:val="00F24AE1"/>
    <w:rsid w:val="00F257AD"/>
    <w:rsid w:val="00F26298"/>
    <w:rsid w:val="00F26304"/>
    <w:rsid w:val="00F26AF0"/>
    <w:rsid w:val="00F276FF"/>
    <w:rsid w:val="00F30183"/>
    <w:rsid w:val="00F30476"/>
    <w:rsid w:val="00F308BF"/>
    <w:rsid w:val="00F31648"/>
    <w:rsid w:val="00F3229F"/>
    <w:rsid w:val="00F33143"/>
    <w:rsid w:val="00F33407"/>
    <w:rsid w:val="00F33472"/>
    <w:rsid w:val="00F339AD"/>
    <w:rsid w:val="00F34287"/>
    <w:rsid w:val="00F34E55"/>
    <w:rsid w:val="00F34F46"/>
    <w:rsid w:val="00F359B5"/>
    <w:rsid w:val="00F35A33"/>
    <w:rsid w:val="00F36B11"/>
    <w:rsid w:val="00F36FC9"/>
    <w:rsid w:val="00F370B0"/>
    <w:rsid w:val="00F37935"/>
    <w:rsid w:val="00F40036"/>
    <w:rsid w:val="00F401A8"/>
    <w:rsid w:val="00F403FE"/>
    <w:rsid w:val="00F40A4A"/>
    <w:rsid w:val="00F40FDF"/>
    <w:rsid w:val="00F431C0"/>
    <w:rsid w:val="00F43C48"/>
    <w:rsid w:val="00F43DFB"/>
    <w:rsid w:val="00F4417E"/>
    <w:rsid w:val="00F44B1B"/>
    <w:rsid w:val="00F466B6"/>
    <w:rsid w:val="00F46B8B"/>
    <w:rsid w:val="00F51130"/>
    <w:rsid w:val="00F51886"/>
    <w:rsid w:val="00F51C71"/>
    <w:rsid w:val="00F52081"/>
    <w:rsid w:val="00F521F5"/>
    <w:rsid w:val="00F52218"/>
    <w:rsid w:val="00F524D4"/>
    <w:rsid w:val="00F5252B"/>
    <w:rsid w:val="00F52F6E"/>
    <w:rsid w:val="00F5359E"/>
    <w:rsid w:val="00F5372E"/>
    <w:rsid w:val="00F54604"/>
    <w:rsid w:val="00F54929"/>
    <w:rsid w:val="00F5567E"/>
    <w:rsid w:val="00F565BD"/>
    <w:rsid w:val="00F569C4"/>
    <w:rsid w:val="00F56ECA"/>
    <w:rsid w:val="00F56F51"/>
    <w:rsid w:val="00F5745A"/>
    <w:rsid w:val="00F57E8C"/>
    <w:rsid w:val="00F60845"/>
    <w:rsid w:val="00F6095C"/>
    <w:rsid w:val="00F62BAE"/>
    <w:rsid w:val="00F642AB"/>
    <w:rsid w:val="00F64E77"/>
    <w:rsid w:val="00F65010"/>
    <w:rsid w:val="00F652F2"/>
    <w:rsid w:val="00F662EE"/>
    <w:rsid w:val="00F70A88"/>
    <w:rsid w:val="00F70AE8"/>
    <w:rsid w:val="00F71906"/>
    <w:rsid w:val="00F71BA5"/>
    <w:rsid w:val="00F72499"/>
    <w:rsid w:val="00F737D4"/>
    <w:rsid w:val="00F74ED9"/>
    <w:rsid w:val="00F74FD2"/>
    <w:rsid w:val="00F756D0"/>
    <w:rsid w:val="00F758BD"/>
    <w:rsid w:val="00F75AF6"/>
    <w:rsid w:val="00F808D2"/>
    <w:rsid w:val="00F80CE2"/>
    <w:rsid w:val="00F811E2"/>
    <w:rsid w:val="00F81AC0"/>
    <w:rsid w:val="00F81C99"/>
    <w:rsid w:val="00F81F18"/>
    <w:rsid w:val="00F821C7"/>
    <w:rsid w:val="00F8290D"/>
    <w:rsid w:val="00F82B33"/>
    <w:rsid w:val="00F82B65"/>
    <w:rsid w:val="00F82EEE"/>
    <w:rsid w:val="00F8325F"/>
    <w:rsid w:val="00F84A2E"/>
    <w:rsid w:val="00F860E8"/>
    <w:rsid w:val="00F86127"/>
    <w:rsid w:val="00F8682E"/>
    <w:rsid w:val="00F86F80"/>
    <w:rsid w:val="00F87FCC"/>
    <w:rsid w:val="00F90A03"/>
    <w:rsid w:val="00F90A8F"/>
    <w:rsid w:val="00F90D66"/>
    <w:rsid w:val="00F931BC"/>
    <w:rsid w:val="00F93453"/>
    <w:rsid w:val="00F93C85"/>
    <w:rsid w:val="00F93D44"/>
    <w:rsid w:val="00F93E53"/>
    <w:rsid w:val="00F9422B"/>
    <w:rsid w:val="00F94AF1"/>
    <w:rsid w:val="00F959E2"/>
    <w:rsid w:val="00F968CA"/>
    <w:rsid w:val="00F96AF0"/>
    <w:rsid w:val="00F96D86"/>
    <w:rsid w:val="00F979B6"/>
    <w:rsid w:val="00FA0E64"/>
    <w:rsid w:val="00FA1970"/>
    <w:rsid w:val="00FA201C"/>
    <w:rsid w:val="00FA2E0E"/>
    <w:rsid w:val="00FA37DF"/>
    <w:rsid w:val="00FA4B3F"/>
    <w:rsid w:val="00FA572E"/>
    <w:rsid w:val="00FA5C60"/>
    <w:rsid w:val="00FA5DD4"/>
    <w:rsid w:val="00FA6D87"/>
    <w:rsid w:val="00FA6F25"/>
    <w:rsid w:val="00FA7244"/>
    <w:rsid w:val="00FA74DF"/>
    <w:rsid w:val="00FB1437"/>
    <w:rsid w:val="00FB166C"/>
    <w:rsid w:val="00FB20E3"/>
    <w:rsid w:val="00FB330C"/>
    <w:rsid w:val="00FB3599"/>
    <w:rsid w:val="00FB36CA"/>
    <w:rsid w:val="00FB4620"/>
    <w:rsid w:val="00FB4F43"/>
    <w:rsid w:val="00FB50B2"/>
    <w:rsid w:val="00FB5829"/>
    <w:rsid w:val="00FB5969"/>
    <w:rsid w:val="00FB6FA7"/>
    <w:rsid w:val="00FC004B"/>
    <w:rsid w:val="00FC0D0E"/>
    <w:rsid w:val="00FC0D49"/>
    <w:rsid w:val="00FC1FCB"/>
    <w:rsid w:val="00FC27DD"/>
    <w:rsid w:val="00FC2ABF"/>
    <w:rsid w:val="00FC3D71"/>
    <w:rsid w:val="00FC4193"/>
    <w:rsid w:val="00FC4AEB"/>
    <w:rsid w:val="00FC53DC"/>
    <w:rsid w:val="00FC5D06"/>
    <w:rsid w:val="00FC5FD6"/>
    <w:rsid w:val="00FC6AF1"/>
    <w:rsid w:val="00FC6DDF"/>
    <w:rsid w:val="00FC6F85"/>
    <w:rsid w:val="00FC6FA4"/>
    <w:rsid w:val="00FC75D6"/>
    <w:rsid w:val="00FC7A1D"/>
    <w:rsid w:val="00FC7D91"/>
    <w:rsid w:val="00FD0D6F"/>
    <w:rsid w:val="00FD14EB"/>
    <w:rsid w:val="00FD178B"/>
    <w:rsid w:val="00FD29FF"/>
    <w:rsid w:val="00FD2CE2"/>
    <w:rsid w:val="00FD4338"/>
    <w:rsid w:val="00FD442B"/>
    <w:rsid w:val="00FD55D9"/>
    <w:rsid w:val="00FD72D8"/>
    <w:rsid w:val="00FD7B1A"/>
    <w:rsid w:val="00FD7D7D"/>
    <w:rsid w:val="00FE0AD4"/>
    <w:rsid w:val="00FE1ED4"/>
    <w:rsid w:val="00FE21D6"/>
    <w:rsid w:val="00FE37EE"/>
    <w:rsid w:val="00FE5E91"/>
    <w:rsid w:val="00FE5F49"/>
    <w:rsid w:val="00FE604F"/>
    <w:rsid w:val="00FE6A96"/>
    <w:rsid w:val="00FF0201"/>
    <w:rsid w:val="00FF171D"/>
    <w:rsid w:val="00FF1FD2"/>
    <w:rsid w:val="00FF256F"/>
    <w:rsid w:val="00FF36F7"/>
    <w:rsid w:val="00FF5999"/>
    <w:rsid w:val="00FF5B28"/>
    <w:rsid w:val="00FF64DB"/>
    <w:rsid w:val="00FF69FA"/>
    <w:rsid w:val="00FF7133"/>
    <w:rsid w:val="00FF7D8A"/>
    <w:rsid w:val="01657C13"/>
    <w:rsid w:val="017D70B8"/>
    <w:rsid w:val="01D31020"/>
    <w:rsid w:val="01E50178"/>
    <w:rsid w:val="01FA65AD"/>
    <w:rsid w:val="020C62E0"/>
    <w:rsid w:val="02240030"/>
    <w:rsid w:val="028A3FA8"/>
    <w:rsid w:val="0295277A"/>
    <w:rsid w:val="02D11406"/>
    <w:rsid w:val="02D50DC8"/>
    <w:rsid w:val="02FA082F"/>
    <w:rsid w:val="03014083"/>
    <w:rsid w:val="0313544C"/>
    <w:rsid w:val="0377194D"/>
    <w:rsid w:val="03865A00"/>
    <w:rsid w:val="0438157A"/>
    <w:rsid w:val="043D2825"/>
    <w:rsid w:val="04553127"/>
    <w:rsid w:val="045A3E7F"/>
    <w:rsid w:val="046C5C2A"/>
    <w:rsid w:val="04836EC1"/>
    <w:rsid w:val="04A171B4"/>
    <w:rsid w:val="04F76DD4"/>
    <w:rsid w:val="050B7F52"/>
    <w:rsid w:val="06914CC0"/>
    <w:rsid w:val="069C57E2"/>
    <w:rsid w:val="071F3E2F"/>
    <w:rsid w:val="075757F4"/>
    <w:rsid w:val="077B49B5"/>
    <w:rsid w:val="07A10E2A"/>
    <w:rsid w:val="07C6616F"/>
    <w:rsid w:val="084C5688"/>
    <w:rsid w:val="0868664C"/>
    <w:rsid w:val="0879124A"/>
    <w:rsid w:val="088F1FB0"/>
    <w:rsid w:val="08B5322E"/>
    <w:rsid w:val="08FC40EF"/>
    <w:rsid w:val="092A75B4"/>
    <w:rsid w:val="09732E0F"/>
    <w:rsid w:val="09840035"/>
    <w:rsid w:val="098A1A28"/>
    <w:rsid w:val="09974755"/>
    <w:rsid w:val="09BC354A"/>
    <w:rsid w:val="09D27E0F"/>
    <w:rsid w:val="09F536BA"/>
    <w:rsid w:val="0A071DA1"/>
    <w:rsid w:val="0A0F696E"/>
    <w:rsid w:val="0A1261BB"/>
    <w:rsid w:val="0A384706"/>
    <w:rsid w:val="0ADE1BB1"/>
    <w:rsid w:val="0B36731E"/>
    <w:rsid w:val="0B4358ED"/>
    <w:rsid w:val="0B56311E"/>
    <w:rsid w:val="0B5769ED"/>
    <w:rsid w:val="0BA5362E"/>
    <w:rsid w:val="0BBA74FB"/>
    <w:rsid w:val="0BDA1393"/>
    <w:rsid w:val="0C1464BD"/>
    <w:rsid w:val="0C2E279E"/>
    <w:rsid w:val="0C346B5F"/>
    <w:rsid w:val="0C3B5596"/>
    <w:rsid w:val="0C6709D0"/>
    <w:rsid w:val="0CC91539"/>
    <w:rsid w:val="0CCF6097"/>
    <w:rsid w:val="0CDA7428"/>
    <w:rsid w:val="0CEC5F58"/>
    <w:rsid w:val="0CFA6255"/>
    <w:rsid w:val="0D2F5712"/>
    <w:rsid w:val="0D6C40D7"/>
    <w:rsid w:val="0D7414A9"/>
    <w:rsid w:val="0D951880"/>
    <w:rsid w:val="0DA74D8F"/>
    <w:rsid w:val="0DDA3736"/>
    <w:rsid w:val="0E4D5CB6"/>
    <w:rsid w:val="0E4F5ED2"/>
    <w:rsid w:val="0E7C59F6"/>
    <w:rsid w:val="0E8042DE"/>
    <w:rsid w:val="0E8830C4"/>
    <w:rsid w:val="0EAF4BC3"/>
    <w:rsid w:val="0EB60235"/>
    <w:rsid w:val="0EBD05E4"/>
    <w:rsid w:val="0EC0292C"/>
    <w:rsid w:val="0F1863F2"/>
    <w:rsid w:val="0F3D3F7D"/>
    <w:rsid w:val="0F8268C1"/>
    <w:rsid w:val="0F9F7CCF"/>
    <w:rsid w:val="0FC22CC4"/>
    <w:rsid w:val="0FCC6715"/>
    <w:rsid w:val="104A73B7"/>
    <w:rsid w:val="105A0F44"/>
    <w:rsid w:val="109F4096"/>
    <w:rsid w:val="10C45336"/>
    <w:rsid w:val="10C83D1A"/>
    <w:rsid w:val="11020FDA"/>
    <w:rsid w:val="11136035"/>
    <w:rsid w:val="111E5162"/>
    <w:rsid w:val="11401891"/>
    <w:rsid w:val="1191274E"/>
    <w:rsid w:val="11D5211E"/>
    <w:rsid w:val="122B1DDC"/>
    <w:rsid w:val="122E6C24"/>
    <w:rsid w:val="123B6DB2"/>
    <w:rsid w:val="12443874"/>
    <w:rsid w:val="126357B9"/>
    <w:rsid w:val="12B61DF9"/>
    <w:rsid w:val="136323A8"/>
    <w:rsid w:val="138D6924"/>
    <w:rsid w:val="13B77019"/>
    <w:rsid w:val="13FA0089"/>
    <w:rsid w:val="14B53334"/>
    <w:rsid w:val="14B940A6"/>
    <w:rsid w:val="14D2386B"/>
    <w:rsid w:val="14EB7851"/>
    <w:rsid w:val="15436243"/>
    <w:rsid w:val="158377C7"/>
    <w:rsid w:val="15D8055B"/>
    <w:rsid w:val="15E769F0"/>
    <w:rsid w:val="16657F7E"/>
    <w:rsid w:val="167D063C"/>
    <w:rsid w:val="168626AD"/>
    <w:rsid w:val="168C67CD"/>
    <w:rsid w:val="1696082F"/>
    <w:rsid w:val="169A7054"/>
    <w:rsid w:val="178D210D"/>
    <w:rsid w:val="18184393"/>
    <w:rsid w:val="186838F9"/>
    <w:rsid w:val="18E35B95"/>
    <w:rsid w:val="18EC5375"/>
    <w:rsid w:val="18FA5B40"/>
    <w:rsid w:val="191B20A0"/>
    <w:rsid w:val="1922295D"/>
    <w:rsid w:val="192E3934"/>
    <w:rsid w:val="19445F08"/>
    <w:rsid w:val="19B50578"/>
    <w:rsid w:val="19D159ED"/>
    <w:rsid w:val="19D92AF4"/>
    <w:rsid w:val="1A50760F"/>
    <w:rsid w:val="1B132123"/>
    <w:rsid w:val="1C1555B5"/>
    <w:rsid w:val="1C1A3895"/>
    <w:rsid w:val="1C657B31"/>
    <w:rsid w:val="1C731575"/>
    <w:rsid w:val="1CAE64C7"/>
    <w:rsid w:val="1CD41BA1"/>
    <w:rsid w:val="1D402D95"/>
    <w:rsid w:val="1DCD1F1A"/>
    <w:rsid w:val="1DD75F89"/>
    <w:rsid w:val="1DDC5C5B"/>
    <w:rsid w:val="1E1D5EBA"/>
    <w:rsid w:val="1E7A63A1"/>
    <w:rsid w:val="1E7D6144"/>
    <w:rsid w:val="1E9811D0"/>
    <w:rsid w:val="1EBF675C"/>
    <w:rsid w:val="1F183C41"/>
    <w:rsid w:val="1F1A222B"/>
    <w:rsid w:val="1F5F363C"/>
    <w:rsid w:val="1F6A2A5E"/>
    <w:rsid w:val="1F831D07"/>
    <w:rsid w:val="1F880130"/>
    <w:rsid w:val="1F8D0609"/>
    <w:rsid w:val="1FD55EF7"/>
    <w:rsid w:val="1FE10954"/>
    <w:rsid w:val="1FEA5A8F"/>
    <w:rsid w:val="203A7297"/>
    <w:rsid w:val="212B6817"/>
    <w:rsid w:val="216E446A"/>
    <w:rsid w:val="219D1C64"/>
    <w:rsid w:val="21B338D5"/>
    <w:rsid w:val="22235F69"/>
    <w:rsid w:val="23384D2F"/>
    <w:rsid w:val="234B4A63"/>
    <w:rsid w:val="235C0A1E"/>
    <w:rsid w:val="23816F28"/>
    <w:rsid w:val="23AC3027"/>
    <w:rsid w:val="23BF2D5B"/>
    <w:rsid w:val="23F62DD7"/>
    <w:rsid w:val="23F90041"/>
    <w:rsid w:val="241D341E"/>
    <w:rsid w:val="2426677A"/>
    <w:rsid w:val="24662791"/>
    <w:rsid w:val="25113A8A"/>
    <w:rsid w:val="25315EDA"/>
    <w:rsid w:val="258129BE"/>
    <w:rsid w:val="259124D5"/>
    <w:rsid w:val="25BF0C5F"/>
    <w:rsid w:val="262670C1"/>
    <w:rsid w:val="26415CA9"/>
    <w:rsid w:val="26A30712"/>
    <w:rsid w:val="26EC030B"/>
    <w:rsid w:val="271B41A0"/>
    <w:rsid w:val="27376BC7"/>
    <w:rsid w:val="27E77C8D"/>
    <w:rsid w:val="280D55B4"/>
    <w:rsid w:val="283C7103"/>
    <w:rsid w:val="28BA1D43"/>
    <w:rsid w:val="28D10901"/>
    <w:rsid w:val="28DC615D"/>
    <w:rsid w:val="292E441B"/>
    <w:rsid w:val="29626662"/>
    <w:rsid w:val="29671ECA"/>
    <w:rsid w:val="297E0FC2"/>
    <w:rsid w:val="299F7F06"/>
    <w:rsid w:val="2A0E1005"/>
    <w:rsid w:val="2A3E62F0"/>
    <w:rsid w:val="2A727D5B"/>
    <w:rsid w:val="2A9156A2"/>
    <w:rsid w:val="2B1A6A47"/>
    <w:rsid w:val="2B2560D2"/>
    <w:rsid w:val="2B5269F0"/>
    <w:rsid w:val="2B5D00A1"/>
    <w:rsid w:val="2B777D40"/>
    <w:rsid w:val="2B870E00"/>
    <w:rsid w:val="2BB611A2"/>
    <w:rsid w:val="2BC31D4F"/>
    <w:rsid w:val="2BEE242F"/>
    <w:rsid w:val="2C6426F1"/>
    <w:rsid w:val="2C656994"/>
    <w:rsid w:val="2D0143E4"/>
    <w:rsid w:val="2D053ED4"/>
    <w:rsid w:val="2D104627"/>
    <w:rsid w:val="2D3A613A"/>
    <w:rsid w:val="2D3B3513"/>
    <w:rsid w:val="2D43303C"/>
    <w:rsid w:val="2DE9373F"/>
    <w:rsid w:val="2DF17BDC"/>
    <w:rsid w:val="2E3D58F0"/>
    <w:rsid w:val="2E7C1A67"/>
    <w:rsid w:val="2E89643F"/>
    <w:rsid w:val="2EAB3AB0"/>
    <w:rsid w:val="2F572D0F"/>
    <w:rsid w:val="2F6A49EF"/>
    <w:rsid w:val="2F6C023B"/>
    <w:rsid w:val="2F920BCA"/>
    <w:rsid w:val="2F951CE7"/>
    <w:rsid w:val="2FEF290A"/>
    <w:rsid w:val="309E210F"/>
    <w:rsid w:val="30AE6EF6"/>
    <w:rsid w:val="30F56C78"/>
    <w:rsid w:val="30F86A51"/>
    <w:rsid w:val="3123629A"/>
    <w:rsid w:val="31480833"/>
    <w:rsid w:val="315A40C3"/>
    <w:rsid w:val="31864EB8"/>
    <w:rsid w:val="318C3F43"/>
    <w:rsid w:val="31B2076B"/>
    <w:rsid w:val="31B90211"/>
    <w:rsid w:val="31C3435E"/>
    <w:rsid w:val="31CD0D39"/>
    <w:rsid w:val="321276D4"/>
    <w:rsid w:val="32504533"/>
    <w:rsid w:val="326F54AA"/>
    <w:rsid w:val="329B65B2"/>
    <w:rsid w:val="32BB5035"/>
    <w:rsid w:val="32E96057"/>
    <w:rsid w:val="32EA276A"/>
    <w:rsid w:val="32ED54F1"/>
    <w:rsid w:val="32FA385A"/>
    <w:rsid w:val="33274289"/>
    <w:rsid w:val="338F3293"/>
    <w:rsid w:val="33EC09EF"/>
    <w:rsid w:val="344C07DC"/>
    <w:rsid w:val="345E65CB"/>
    <w:rsid w:val="34C7361A"/>
    <w:rsid w:val="34E00D83"/>
    <w:rsid w:val="351049D5"/>
    <w:rsid w:val="355E5E3D"/>
    <w:rsid w:val="358F4C83"/>
    <w:rsid w:val="35E267F8"/>
    <w:rsid w:val="36275D6C"/>
    <w:rsid w:val="36590DED"/>
    <w:rsid w:val="36765999"/>
    <w:rsid w:val="368A369C"/>
    <w:rsid w:val="36C00E6C"/>
    <w:rsid w:val="36F96C11"/>
    <w:rsid w:val="36FB36B2"/>
    <w:rsid w:val="37117203"/>
    <w:rsid w:val="371A59DC"/>
    <w:rsid w:val="375F1141"/>
    <w:rsid w:val="376B7644"/>
    <w:rsid w:val="377F4883"/>
    <w:rsid w:val="37EB3CC7"/>
    <w:rsid w:val="38117669"/>
    <w:rsid w:val="38651D39"/>
    <w:rsid w:val="38686FBB"/>
    <w:rsid w:val="38EA6674"/>
    <w:rsid w:val="38F201A8"/>
    <w:rsid w:val="391D07F7"/>
    <w:rsid w:val="392C4597"/>
    <w:rsid w:val="39697957"/>
    <w:rsid w:val="3979249D"/>
    <w:rsid w:val="39A73D36"/>
    <w:rsid w:val="3A3634B4"/>
    <w:rsid w:val="3A5D3426"/>
    <w:rsid w:val="3ABC5943"/>
    <w:rsid w:val="3AEF3F90"/>
    <w:rsid w:val="3AF479E5"/>
    <w:rsid w:val="3B51492D"/>
    <w:rsid w:val="3BE82F44"/>
    <w:rsid w:val="3C120615"/>
    <w:rsid w:val="3C1D78CD"/>
    <w:rsid w:val="3C20424C"/>
    <w:rsid w:val="3CB34CBA"/>
    <w:rsid w:val="3D003770"/>
    <w:rsid w:val="3D670293"/>
    <w:rsid w:val="3D701FE3"/>
    <w:rsid w:val="3D8E09BB"/>
    <w:rsid w:val="3D913562"/>
    <w:rsid w:val="3DA05553"/>
    <w:rsid w:val="3DE73182"/>
    <w:rsid w:val="3E0603FA"/>
    <w:rsid w:val="3E57691B"/>
    <w:rsid w:val="3EA662FF"/>
    <w:rsid w:val="3F255841"/>
    <w:rsid w:val="3FCD4E3E"/>
    <w:rsid w:val="3FDB6D16"/>
    <w:rsid w:val="3FEE6A48"/>
    <w:rsid w:val="40037E78"/>
    <w:rsid w:val="406638D4"/>
    <w:rsid w:val="407F3C63"/>
    <w:rsid w:val="4081341A"/>
    <w:rsid w:val="40C357E1"/>
    <w:rsid w:val="40DF6392"/>
    <w:rsid w:val="40F167F2"/>
    <w:rsid w:val="4101092F"/>
    <w:rsid w:val="41013EE4"/>
    <w:rsid w:val="410B1343"/>
    <w:rsid w:val="410C1D1E"/>
    <w:rsid w:val="41232723"/>
    <w:rsid w:val="41361B82"/>
    <w:rsid w:val="417411D1"/>
    <w:rsid w:val="41C53707"/>
    <w:rsid w:val="41FA0E6E"/>
    <w:rsid w:val="42172839"/>
    <w:rsid w:val="4253528A"/>
    <w:rsid w:val="42674891"/>
    <w:rsid w:val="427A2817"/>
    <w:rsid w:val="427C033D"/>
    <w:rsid w:val="42C43A92"/>
    <w:rsid w:val="42D54B23"/>
    <w:rsid w:val="42F04887"/>
    <w:rsid w:val="43541E92"/>
    <w:rsid w:val="43657023"/>
    <w:rsid w:val="43963680"/>
    <w:rsid w:val="43BF6DCD"/>
    <w:rsid w:val="43CC2BFE"/>
    <w:rsid w:val="43CF26EE"/>
    <w:rsid w:val="43DA5DC3"/>
    <w:rsid w:val="43F263DD"/>
    <w:rsid w:val="440E3451"/>
    <w:rsid w:val="445B21D4"/>
    <w:rsid w:val="4487200B"/>
    <w:rsid w:val="44913AE8"/>
    <w:rsid w:val="45071CE2"/>
    <w:rsid w:val="4525645E"/>
    <w:rsid w:val="459B1E33"/>
    <w:rsid w:val="45DD62B9"/>
    <w:rsid w:val="45EF24D9"/>
    <w:rsid w:val="46102928"/>
    <w:rsid w:val="4698770F"/>
    <w:rsid w:val="46B072D5"/>
    <w:rsid w:val="46C7164C"/>
    <w:rsid w:val="46CA388B"/>
    <w:rsid w:val="46F72688"/>
    <w:rsid w:val="47222F00"/>
    <w:rsid w:val="472B40E0"/>
    <w:rsid w:val="479E40C8"/>
    <w:rsid w:val="47B51A55"/>
    <w:rsid w:val="47F170D7"/>
    <w:rsid w:val="48CE11C6"/>
    <w:rsid w:val="494258A1"/>
    <w:rsid w:val="494E5765"/>
    <w:rsid w:val="4965702A"/>
    <w:rsid w:val="49900B72"/>
    <w:rsid w:val="49A10689"/>
    <w:rsid w:val="49BA2D22"/>
    <w:rsid w:val="4A137672"/>
    <w:rsid w:val="4A1C501D"/>
    <w:rsid w:val="4A5D4EF8"/>
    <w:rsid w:val="4A954692"/>
    <w:rsid w:val="4AA5064D"/>
    <w:rsid w:val="4B977F95"/>
    <w:rsid w:val="4BF80339"/>
    <w:rsid w:val="4BFE6A3F"/>
    <w:rsid w:val="4C507F59"/>
    <w:rsid w:val="4CB13223"/>
    <w:rsid w:val="4CF354F7"/>
    <w:rsid w:val="4D094EC3"/>
    <w:rsid w:val="4D3553E9"/>
    <w:rsid w:val="4D3C34C0"/>
    <w:rsid w:val="4D445EFB"/>
    <w:rsid w:val="4DA06598"/>
    <w:rsid w:val="4DB4465B"/>
    <w:rsid w:val="4E347D1E"/>
    <w:rsid w:val="4E451725"/>
    <w:rsid w:val="4E673D59"/>
    <w:rsid w:val="4ED159F0"/>
    <w:rsid w:val="4EF01ED8"/>
    <w:rsid w:val="4EFA46E2"/>
    <w:rsid w:val="4F1474E5"/>
    <w:rsid w:val="4F1D39A7"/>
    <w:rsid w:val="4F66690A"/>
    <w:rsid w:val="50167216"/>
    <w:rsid w:val="502B5150"/>
    <w:rsid w:val="502D2C76"/>
    <w:rsid w:val="503F7B77"/>
    <w:rsid w:val="50416722"/>
    <w:rsid w:val="50CD7C73"/>
    <w:rsid w:val="50DB5E3B"/>
    <w:rsid w:val="514F5454"/>
    <w:rsid w:val="518A1036"/>
    <w:rsid w:val="51BC5931"/>
    <w:rsid w:val="51DD0CF9"/>
    <w:rsid w:val="51E11245"/>
    <w:rsid w:val="51EB4BAE"/>
    <w:rsid w:val="521340EE"/>
    <w:rsid w:val="529A036B"/>
    <w:rsid w:val="52A015F3"/>
    <w:rsid w:val="52DE09A7"/>
    <w:rsid w:val="52ED493F"/>
    <w:rsid w:val="53097D04"/>
    <w:rsid w:val="53650979"/>
    <w:rsid w:val="536524C3"/>
    <w:rsid w:val="53DE6B30"/>
    <w:rsid w:val="540A6B2A"/>
    <w:rsid w:val="5452714F"/>
    <w:rsid w:val="547371EB"/>
    <w:rsid w:val="547F54AC"/>
    <w:rsid w:val="54B7406A"/>
    <w:rsid w:val="5528599C"/>
    <w:rsid w:val="554538AF"/>
    <w:rsid w:val="55515F2B"/>
    <w:rsid w:val="556A2277"/>
    <w:rsid w:val="55807CEC"/>
    <w:rsid w:val="55C30CB2"/>
    <w:rsid w:val="55DF4A13"/>
    <w:rsid w:val="56026953"/>
    <w:rsid w:val="56187FF3"/>
    <w:rsid w:val="562674FE"/>
    <w:rsid w:val="566D5AC2"/>
    <w:rsid w:val="57126A22"/>
    <w:rsid w:val="57284198"/>
    <w:rsid w:val="58227637"/>
    <w:rsid w:val="58267A62"/>
    <w:rsid w:val="583D4682"/>
    <w:rsid w:val="584C30E4"/>
    <w:rsid w:val="58A777C6"/>
    <w:rsid w:val="58A957AC"/>
    <w:rsid w:val="58CA5D22"/>
    <w:rsid w:val="58EA204C"/>
    <w:rsid w:val="58F96361"/>
    <w:rsid w:val="593B4656"/>
    <w:rsid w:val="595415AF"/>
    <w:rsid w:val="5955601A"/>
    <w:rsid w:val="597F4925"/>
    <w:rsid w:val="59A474E4"/>
    <w:rsid w:val="59A92CDF"/>
    <w:rsid w:val="5AEB0EA0"/>
    <w:rsid w:val="5B3033DF"/>
    <w:rsid w:val="5B54422D"/>
    <w:rsid w:val="5B9161C4"/>
    <w:rsid w:val="5B9E711E"/>
    <w:rsid w:val="5BC14BBB"/>
    <w:rsid w:val="5C8D5FFD"/>
    <w:rsid w:val="5C9522CF"/>
    <w:rsid w:val="5CB44E01"/>
    <w:rsid w:val="5CC3189C"/>
    <w:rsid w:val="5D333896"/>
    <w:rsid w:val="5D755C9E"/>
    <w:rsid w:val="5D9D741F"/>
    <w:rsid w:val="5DCC70E1"/>
    <w:rsid w:val="5DF169DC"/>
    <w:rsid w:val="5E0E1C5A"/>
    <w:rsid w:val="5E5251AC"/>
    <w:rsid w:val="5E8365F4"/>
    <w:rsid w:val="5E8E1AB7"/>
    <w:rsid w:val="5EB93C51"/>
    <w:rsid w:val="5F2A3577"/>
    <w:rsid w:val="5F7462BF"/>
    <w:rsid w:val="5FB64962"/>
    <w:rsid w:val="5FEA09FE"/>
    <w:rsid w:val="5FF92B75"/>
    <w:rsid w:val="607C7302"/>
    <w:rsid w:val="609D13C2"/>
    <w:rsid w:val="60E61309"/>
    <w:rsid w:val="60E922D1"/>
    <w:rsid w:val="60EA53FD"/>
    <w:rsid w:val="610F0176"/>
    <w:rsid w:val="61840B64"/>
    <w:rsid w:val="6186668A"/>
    <w:rsid w:val="61905255"/>
    <w:rsid w:val="61BE0EC5"/>
    <w:rsid w:val="61D97EE8"/>
    <w:rsid w:val="626926CD"/>
    <w:rsid w:val="62EA2C49"/>
    <w:rsid w:val="635D341B"/>
    <w:rsid w:val="637623B5"/>
    <w:rsid w:val="63892462"/>
    <w:rsid w:val="63B55005"/>
    <w:rsid w:val="63B82D47"/>
    <w:rsid w:val="63D01E3F"/>
    <w:rsid w:val="63F716A5"/>
    <w:rsid w:val="63FD075A"/>
    <w:rsid w:val="64AE68F8"/>
    <w:rsid w:val="64F47DAF"/>
    <w:rsid w:val="65A41FC8"/>
    <w:rsid w:val="65CA03D6"/>
    <w:rsid w:val="65F20792"/>
    <w:rsid w:val="65F242EE"/>
    <w:rsid w:val="65FE2EF1"/>
    <w:rsid w:val="66432BA0"/>
    <w:rsid w:val="66882EA5"/>
    <w:rsid w:val="66DF0B4F"/>
    <w:rsid w:val="675863D3"/>
    <w:rsid w:val="676314F1"/>
    <w:rsid w:val="67667090"/>
    <w:rsid w:val="677156E7"/>
    <w:rsid w:val="68025C9D"/>
    <w:rsid w:val="6881195A"/>
    <w:rsid w:val="689F6284"/>
    <w:rsid w:val="68DF57D8"/>
    <w:rsid w:val="691211C2"/>
    <w:rsid w:val="69280027"/>
    <w:rsid w:val="69470EDD"/>
    <w:rsid w:val="6972273D"/>
    <w:rsid w:val="69D02B99"/>
    <w:rsid w:val="69D106BF"/>
    <w:rsid w:val="6A443C92"/>
    <w:rsid w:val="6A44581F"/>
    <w:rsid w:val="6A445A03"/>
    <w:rsid w:val="6A6E5F0E"/>
    <w:rsid w:val="6B955F29"/>
    <w:rsid w:val="6B9E7307"/>
    <w:rsid w:val="6BA22313"/>
    <w:rsid w:val="6BB34520"/>
    <w:rsid w:val="6BB75A30"/>
    <w:rsid w:val="6C6E48EB"/>
    <w:rsid w:val="6C7C2B64"/>
    <w:rsid w:val="6CD24E7A"/>
    <w:rsid w:val="6D066AF7"/>
    <w:rsid w:val="6D2D4B2D"/>
    <w:rsid w:val="6D4721B4"/>
    <w:rsid w:val="6D5C2995"/>
    <w:rsid w:val="6D637CC8"/>
    <w:rsid w:val="6D765805"/>
    <w:rsid w:val="6D7B44F7"/>
    <w:rsid w:val="6DA265FA"/>
    <w:rsid w:val="6DAC31A4"/>
    <w:rsid w:val="6DBE59DF"/>
    <w:rsid w:val="6E080427"/>
    <w:rsid w:val="6F313EAB"/>
    <w:rsid w:val="6F4B6B56"/>
    <w:rsid w:val="6FB269C3"/>
    <w:rsid w:val="6FE3114C"/>
    <w:rsid w:val="6FEF3FB6"/>
    <w:rsid w:val="6FF33875"/>
    <w:rsid w:val="70ED61E4"/>
    <w:rsid w:val="717B5AE0"/>
    <w:rsid w:val="71D56E4C"/>
    <w:rsid w:val="724F4877"/>
    <w:rsid w:val="7265409A"/>
    <w:rsid w:val="73AF1A71"/>
    <w:rsid w:val="73DB2866"/>
    <w:rsid w:val="74077E17"/>
    <w:rsid w:val="7419338E"/>
    <w:rsid w:val="744B2C59"/>
    <w:rsid w:val="74807D8A"/>
    <w:rsid w:val="74AE7F7A"/>
    <w:rsid w:val="74B3492E"/>
    <w:rsid w:val="74F040EF"/>
    <w:rsid w:val="75BC3DFE"/>
    <w:rsid w:val="75E30D1A"/>
    <w:rsid w:val="75F07D1E"/>
    <w:rsid w:val="760935D9"/>
    <w:rsid w:val="761426A7"/>
    <w:rsid w:val="76281392"/>
    <w:rsid w:val="766B345A"/>
    <w:rsid w:val="76837E14"/>
    <w:rsid w:val="76991CEA"/>
    <w:rsid w:val="77274014"/>
    <w:rsid w:val="7731279D"/>
    <w:rsid w:val="77A93EB1"/>
    <w:rsid w:val="77B37BB4"/>
    <w:rsid w:val="77F677E9"/>
    <w:rsid w:val="782D7408"/>
    <w:rsid w:val="786A62B6"/>
    <w:rsid w:val="78CC53DF"/>
    <w:rsid w:val="78DE6954"/>
    <w:rsid w:val="7913504E"/>
    <w:rsid w:val="797B41A3"/>
    <w:rsid w:val="79CD1468"/>
    <w:rsid w:val="7A505630"/>
    <w:rsid w:val="7B015454"/>
    <w:rsid w:val="7B2A5E81"/>
    <w:rsid w:val="7B372260"/>
    <w:rsid w:val="7B8067F6"/>
    <w:rsid w:val="7BA8490A"/>
    <w:rsid w:val="7C0861C2"/>
    <w:rsid w:val="7C1903CF"/>
    <w:rsid w:val="7C863393"/>
    <w:rsid w:val="7C914409"/>
    <w:rsid w:val="7CBC372A"/>
    <w:rsid w:val="7D082B07"/>
    <w:rsid w:val="7D2F169C"/>
    <w:rsid w:val="7D3F274A"/>
    <w:rsid w:val="7D7D04EA"/>
    <w:rsid w:val="7DBD241D"/>
    <w:rsid w:val="7E2F505D"/>
    <w:rsid w:val="7EBD1411"/>
    <w:rsid w:val="7EC97D78"/>
    <w:rsid w:val="7EE06853"/>
    <w:rsid w:val="7EE66563"/>
    <w:rsid w:val="7F5F07EF"/>
    <w:rsid w:val="7F6E1FF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 w:semiHidden="0" w:name="Title"/>
    <w:lsdException w:uiPriority="0" w:name="Closing"/>
    <w:lsdException w:uiPriority="0" w:name="Signature"/>
    <w:lsdException w:uiPriority="1" w:name="Default Paragraph Font"/>
    <w:lsdException w:qFormat="1" w:unhideWhenUsed="0" w:uiPriority="0"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nhideWhenUsed="0" w:uiPriority="0" w:semiHidden="0" w:name="Body Text 3"/>
    <w:lsdException w:uiPriority="0" w:name="Body Text Indent 2"/>
    <w:lsdException w:uiPriority="0" w:name="Body Text Indent 3"/>
    <w:lsdException w:uiPriority="0"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0"/>
    <w:qFormat/>
    <w:uiPriority w:val="99"/>
    <w:pPr>
      <w:keepNext/>
      <w:keepLines/>
      <w:spacing w:before="340" w:after="330" w:line="578" w:lineRule="auto"/>
      <w:outlineLvl w:val="0"/>
    </w:pPr>
    <w:rPr>
      <w:b/>
      <w:bCs/>
      <w:kern w:val="44"/>
      <w:sz w:val="44"/>
      <w:szCs w:val="44"/>
    </w:rPr>
  </w:style>
  <w:style w:type="paragraph" w:styleId="3">
    <w:name w:val="heading 2"/>
    <w:basedOn w:val="1"/>
    <w:next w:val="1"/>
    <w:qFormat/>
    <w:uiPriority w:val="9"/>
    <w:pPr>
      <w:ind w:left="193"/>
      <w:outlineLvl w:val="1"/>
    </w:pPr>
    <w:rPr>
      <w:b/>
      <w:bCs/>
      <w:sz w:val="18"/>
      <w:szCs w:val="18"/>
    </w:rPr>
  </w:style>
  <w:style w:type="paragraph" w:styleId="4">
    <w:name w:val="heading 3"/>
    <w:basedOn w:val="1"/>
    <w:next w:val="1"/>
    <w:link w:val="31"/>
    <w:qFormat/>
    <w:uiPriority w:val="9"/>
    <w:pPr>
      <w:keepNext/>
      <w:keepLines/>
      <w:spacing w:line="416" w:lineRule="auto"/>
      <w:outlineLvl w:val="2"/>
    </w:pPr>
    <w:rPr>
      <w:b/>
      <w:bCs/>
      <w:sz w:val="32"/>
      <w:szCs w:val="32"/>
    </w:rPr>
  </w:style>
  <w:style w:type="paragraph" w:styleId="5">
    <w:name w:val="heading 4"/>
    <w:basedOn w:val="1"/>
    <w:next w:val="1"/>
    <w:qFormat/>
    <w:uiPriority w:val="0"/>
    <w:pPr>
      <w:keepNext/>
      <w:keepLines/>
      <w:spacing w:line="360" w:lineRule="auto"/>
      <w:outlineLvl w:val="3"/>
    </w:pPr>
    <w:rPr>
      <w:rFonts w:ascii="Arial" w:hAnsi="Arial"/>
      <w:bCs/>
      <w:szCs w:val="28"/>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6">
    <w:name w:val="caption"/>
    <w:basedOn w:val="1"/>
    <w:next w:val="1"/>
    <w:qFormat/>
    <w:uiPriority w:val="35"/>
    <w:pPr>
      <w:adjustRightInd w:val="0"/>
      <w:jc w:val="center"/>
      <w:textAlignment w:val="baseline"/>
    </w:pPr>
    <w:rPr>
      <w:rFonts w:ascii="仿宋体" w:hAnsi="Arial" w:eastAsia="仿宋体"/>
      <w:kern w:val="0"/>
      <w:sz w:val="28"/>
    </w:rPr>
  </w:style>
  <w:style w:type="paragraph" w:styleId="7">
    <w:name w:val="annotation text"/>
    <w:basedOn w:val="1"/>
    <w:link w:val="32"/>
    <w:qFormat/>
    <w:uiPriority w:val="99"/>
    <w:pPr>
      <w:jc w:val="left"/>
    </w:pPr>
  </w:style>
  <w:style w:type="paragraph" w:styleId="8">
    <w:name w:val="Body Text 3"/>
    <w:basedOn w:val="1"/>
    <w:link w:val="33"/>
    <w:uiPriority w:val="0"/>
    <w:pPr>
      <w:spacing w:after="120"/>
    </w:pPr>
    <w:rPr>
      <w:sz w:val="16"/>
      <w:szCs w:val="16"/>
    </w:rPr>
  </w:style>
  <w:style w:type="paragraph" w:styleId="9">
    <w:name w:val="Body Text"/>
    <w:basedOn w:val="1"/>
    <w:link w:val="34"/>
    <w:qFormat/>
    <w:uiPriority w:val="0"/>
    <w:rPr>
      <w:rFonts w:ascii="仿宋_GB2312" w:eastAsia="仿宋_GB2312"/>
      <w:sz w:val="32"/>
    </w:rPr>
  </w:style>
  <w:style w:type="paragraph" w:styleId="10">
    <w:name w:val="Body Text Indent"/>
    <w:basedOn w:val="1"/>
    <w:link w:val="35"/>
    <w:unhideWhenUsed/>
    <w:qFormat/>
    <w:uiPriority w:val="99"/>
    <w:pPr>
      <w:spacing w:after="120"/>
      <w:ind w:left="420" w:leftChars="200"/>
    </w:pPr>
    <w:rPr>
      <w:rFonts w:ascii="Calibri" w:hAnsi="Calibri"/>
      <w:szCs w:val="22"/>
    </w:rPr>
  </w:style>
  <w:style w:type="paragraph" w:styleId="11">
    <w:name w:val="Plain Text"/>
    <w:basedOn w:val="1"/>
    <w:link w:val="36"/>
    <w:qFormat/>
    <w:uiPriority w:val="0"/>
    <w:rPr>
      <w:rFonts w:ascii="宋体" w:hAnsi="Courier New"/>
    </w:rPr>
  </w:style>
  <w:style w:type="paragraph" w:styleId="12">
    <w:name w:val="Balloon Text"/>
    <w:basedOn w:val="1"/>
    <w:link w:val="37"/>
    <w:qFormat/>
    <w:uiPriority w:val="99"/>
    <w:rPr>
      <w:sz w:val="18"/>
      <w:szCs w:val="18"/>
    </w:rPr>
  </w:style>
  <w:style w:type="paragraph" w:styleId="13">
    <w:name w:val="footer"/>
    <w:basedOn w:val="1"/>
    <w:link w:val="38"/>
    <w:qFormat/>
    <w:uiPriority w:val="0"/>
    <w:pPr>
      <w:tabs>
        <w:tab w:val="center" w:pos="4153"/>
        <w:tab w:val="right" w:pos="8306"/>
      </w:tabs>
      <w:snapToGrid w:val="0"/>
      <w:jc w:val="left"/>
    </w:pPr>
    <w:rPr>
      <w:sz w:val="18"/>
      <w:szCs w:val="18"/>
    </w:rPr>
  </w:style>
  <w:style w:type="paragraph" w:styleId="14">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iPriority w:val="39"/>
    <w:pPr>
      <w:tabs>
        <w:tab w:val="right" w:leader="dot" w:pos="8729"/>
      </w:tabs>
      <w:spacing w:line="480" w:lineRule="auto"/>
      <w:jc w:val="left"/>
    </w:pPr>
    <w:rPr>
      <w:rFonts w:ascii="宋体" w:hAnsi="宋体"/>
      <w:b/>
      <w:caps/>
      <w:sz w:val="28"/>
      <w:szCs w:val="28"/>
    </w:rPr>
  </w:style>
  <w:style w:type="paragraph" w:styleId="16">
    <w:name w:val="List"/>
    <w:basedOn w:val="1"/>
    <w:qFormat/>
    <w:uiPriority w:val="0"/>
    <w:pPr>
      <w:ind w:left="200" w:hanging="200" w:hangingChars="200"/>
    </w:pPr>
  </w:style>
  <w:style w:type="paragraph" w:styleId="17">
    <w:name w:val="toc 2"/>
    <w:basedOn w:val="1"/>
    <w:next w:val="1"/>
    <w:unhideWhenUsed/>
    <w:uiPriority w:val="39"/>
    <w:pPr>
      <w:ind w:left="420" w:leftChars="200"/>
    </w:pPr>
  </w:style>
  <w:style w:type="paragraph" w:styleId="18">
    <w:name w:val="Normal (Web)"/>
    <w:basedOn w:val="1"/>
    <w:unhideWhenUsed/>
    <w:qFormat/>
    <w:uiPriority w:val="0"/>
    <w:rPr>
      <w:sz w:val="24"/>
    </w:rPr>
  </w:style>
  <w:style w:type="paragraph" w:styleId="19">
    <w:name w:val="Title"/>
    <w:basedOn w:val="1"/>
    <w:next w:val="1"/>
    <w:link w:val="40"/>
    <w:qFormat/>
    <w:uiPriority w:val="9"/>
    <w:pPr>
      <w:adjustRightInd w:val="0"/>
      <w:spacing w:line="360" w:lineRule="auto"/>
      <w:textAlignment w:val="baseline"/>
      <w:outlineLvl w:val="0"/>
    </w:pPr>
    <w:rPr>
      <w:rFonts w:ascii="宋体" w:hAnsi="宋体"/>
      <w:b/>
      <w:bCs/>
      <w:kern w:val="0"/>
      <w:sz w:val="24"/>
      <w:szCs w:val="32"/>
    </w:rPr>
  </w:style>
  <w:style w:type="paragraph" w:styleId="20">
    <w:name w:val="annotation subject"/>
    <w:basedOn w:val="7"/>
    <w:next w:val="7"/>
    <w:link w:val="41"/>
    <w:uiPriority w:val="0"/>
    <w:rPr>
      <w:b/>
      <w:bCs/>
    </w:rPr>
  </w:style>
  <w:style w:type="table" w:styleId="22">
    <w:name w:val="Table Grid"/>
    <w:basedOn w:val="2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uiPriority w:val="0"/>
    <w:rPr>
      <w:b/>
    </w:rPr>
  </w:style>
  <w:style w:type="character" w:styleId="25">
    <w:name w:val="page number"/>
    <w:qFormat/>
    <w:uiPriority w:val="0"/>
  </w:style>
  <w:style w:type="character" w:styleId="26">
    <w:name w:val="FollowedHyperlink"/>
    <w:uiPriority w:val="99"/>
    <w:rPr>
      <w:color w:val="800080"/>
      <w:u w:val="single"/>
    </w:rPr>
  </w:style>
  <w:style w:type="character" w:styleId="27">
    <w:name w:val="Emphasis"/>
    <w:qFormat/>
    <w:uiPriority w:val="20"/>
    <w:rPr>
      <w:i/>
      <w:iCs/>
    </w:rPr>
  </w:style>
  <w:style w:type="character" w:styleId="28">
    <w:name w:val="Hyperlink"/>
    <w:qFormat/>
    <w:uiPriority w:val="99"/>
    <w:rPr>
      <w:rFonts w:cs="Times New Roman"/>
      <w:color w:val="1F4F88"/>
      <w:u w:val="none"/>
    </w:rPr>
  </w:style>
  <w:style w:type="character" w:styleId="29">
    <w:name w:val="annotation reference"/>
    <w:uiPriority w:val="99"/>
    <w:rPr>
      <w:sz w:val="21"/>
      <w:szCs w:val="21"/>
    </w:rPr>
  </w:style>
  <w:style w:type="character" w:customStyle="1" w:styleId="30">
    <w:name w:val="标题 1 字符"/>
    <w:link w:val="2"/>
    <w:qFormat/>
    <w:uiPriority w:val="0"/>
    <w:rPr>
      <w:b/>
      <w:bCs/>
      <w:kern w:val="44"/>
      <w:sz w:val="44"/>
      <w:szCs w:val="44"/>
    </w:rPr>
  </w:style>
  <w:style w:type="character" w:customStyle="1" w:styleId="31">
    <w:name w:val="标题 3 字符"/>
    <w:link w:val="4"/>
    <w:uiPriority w:val="9"/>
    <w:rPr>
      <w:rFonts w:eastAsia="宋体" w:cs="Times New Roman"/>
      <w:b/>
      <w:bCs/>
      <w:kern w:val="2"/>
      <w:sz w:val="32"/>
      <w:szCs w:val="32"/>
    </w:rPr>
  </w:style>
  <w:style w:type="character" w:customStyle="1" w:styleId="32">
    <w:name w:val="批注文字 字符1"/>
    <w:link w:val="7"/>
    <w:qFormat/>
    <w:uiPriority w:val="99"/>
    <w:rPr>
      <w:kern w:val="2"/>
      <w:sz w:val="21"/>
    </w:rPr>
  </w:style>
  <w:style w:type="character" w:customStyle="1" w:styleId="33">
    <w:name w:val="正文文本 3 字符"/>
    <w:link w:val="8"/>
    <w:uiPriority w:val="0"/>
    <w:rPr>
      <w:kern w:val="2"/>
      <w:sz w:val="16"/>
      <w:szCs w:val="16"/>
    </w:rPr>
  </w:style>
  <w:style w:type="character" w:customStyle="1" w:styleId="34">
    <w:name w:val="正文文本 字符"/>
    <w:link w:val="9"/>
    <w:qFormat/>
    <w:uiPriority w:val="0"/>
    <w:rPr>
      <w:rFonts w:ascii="仿宋_GB2312" w:eastAsia="仿宋_GB2312"/>
      <w:kern w:val="2"/>
      <w:sz w:val="32"/>
    </w:rPr>
  </w:style>
  <w:style w:type="character" w:customStyle="1" w:styleId="35">
    <w:name w:val="正文文本缩进 字符"/>
    <w:link w:val="10"/>
    <w:qFormat/>
    <w:uiPriority w:val="99"/>
    <w:rPr>
      <w:rFonts w:ascii="Calibri" w:hAnsi="Calibri" w:eastAsia="宋体" w:cs="Times New Roman"/>
      <w:kern w:val="2"/>
      <w:sz w:val="21"/>
      <w:szCs w:val="22"/>
    </w:rPr>
  </w:style>
  <w:style w:type="character" w:customStyle="1" w:styleId="36">
    <w:name w:val="纯文本 字符"/>
    <w:link w:val="11"/>
    <w:qFormat/>
    <w:uiPriority w:val="0"/>
    <w:rPr>
      <w:rFonts w:ascii="宋体" w:hAnsi="Courier New" w:eastAsia="宋体"/>
      <w:kern w:val="2"/>
      <w:sz w:val="21"/>
      <w:lang w:val="en-US" w:eastAsia="zh-CN" w:bidi="ar-SA"/>
    </w:rPr>
  </w:style>
  <w:style w:type="character" w:customStyle="1" w:styleId="37">
    <w:name w:val="批注框文本 字符"/>
    <w:link w:val="12"/>
    <w:qFormat/>
    <w:uiPriority w:val="99"/>
    <w:rPr>
      <w:kern w:val="2"/>
      <w:sz w:val="18"/>
      <w:szCs w:val="18"/>
    </w:rPr>
  </w:style>
  <w:style w:type="character" w:customStyle="1" w:styleId="38">
    <w:name w:val="页脚 字符"/>
    <w:link w:val="13"/>
    <w:qFormat/>
    <w:uiPriority w:val="0"/>
    <w:rPr>
      <w:kern w:val="2"/>
      <w:sz w:val="18"/>
      <w:szCs w:val="18"/>
    </w:rPr>
  </w:style>
  <w:style w:type="character" w:customStyle="1" w:styleId="39">
    <w:name w:val="页眉 字符"/>
    <w:link w:val="14"/>
    <w:qFormat/>
    <w:uiPriority w:val="99"/>
    <w:rPr>
      <w:rFonts w:eastAsia="宋体"/>
      <w:kern w:val="2"/>
      <w:sz w:val="18"/>
      <w:szCs w:val="18"/>
      <w:lang w:val="en-US" w:eastAsia="zh-CN" w:bidi="ar-SA"/>
    </w:rPr>
  </w:style>
  <w:style w:type="character" w:customStyle="1" w:styleId="40">
    <w:name w:val="标题 字符"/>
    <w:link w:val="19"/>
    <w:qFormat/>
    <w:uiPriority w:val="99"/>
    <w:rPr>
      <w:rFonts w:ascii="宋体" w:hAnsi="宋体"/>
      <w:b/>
      <w:bCs/>
      <w:sz w:val="24"/>
      <w:szCs w:val="32"/>
    </w:rPr>
  </w:style>
  <w:style w:type="character" w:customStyle="1" w:styleId="41">
    <w:name w:val="批注主题 字符"/>
    <w:link w:val="20"/>
    <w:qFormat/>
    <w:uiPriority w:val="0"/>
    <w:rPr>
      <w:b/>
      <w:bCs/>
      <w:kern w:val="2"/>
      <w:sz w:val="21"/>
    </w:rPr>
  </w:style>
  <w:style w:type="character" w:customStyle="1" w:styleId="42">
    <w:name w:val="Char Char5"/>
    <w:uiPriority w:val="0"/>
    <w:rPr>
      <w:rFonts w:ascii="宋体" w:hAnsi="Courier New" w:eastAsia="宋体"/>
      <w:kern w:val="2"/>
      <w:sz w:val="21"/>
      <w:lang w:val="en-US" w:eastAsia="zh-CN" w:bidi="ar-SA"/>
    </w:rPr>
  </w:style>
  <w:style w:type="character" w:customStyle="1" w:styleId="43">
    <w:name w:val="正文文本 Char"/>
    <w:qFormat/>
    <w:uiPriority w:val="0"/>
    <w:rPr>
      <w:rFonts w:ascii="仿宋_GB2312" w:eastAsia="仿宋_GB2312"/>
      <w:kern w:val="2"/>
      <w:sz w:val="32"/>
    </w:rPr>
  </w:style>
  <w:style w:type="character" w:customStyle="1" w:styleId="44">
    <w:name w:val="Char Char3"/>
    <w:qFormat/>
    <w:uiPriority w:val="0"/>
    <w:rPr>
      <w:rFonts w:ascii="宋体" w:hAnsi="Courier New" w:eastAsia="宋体"/>
      <w:kern w:val="2"/>
      <w:sz w:val="21"/>
      <w:lang w:val="en-US" w:eastAsia="zh-CN" w:bidi="ar-SA"/>
    </w:rPr>
  </w:style>
  <w:style w:type="character" w:customStyle="1" w:styleId="45">
    <w:name w:val="标题 Char1"/>
    <w:qFormat/>
    <w:uiPriority w:val="0"/>
    <w:rPr>
      <w:rFonts w:ascii="Cambria" w:hAnsi="Cambria" w:cs="Times New Roman"/>
      <w:b/>
      <w:bCs/>
      <w:kern w:val="2"/>
      <w:sz w:val="32"/>
      <w:szCs w:val="32"/>
    </w:rPr>
  </w:style>
  <w:style w:type="character" w:customStyle="1" w:styleId="46">
    <w:name w:val="批注文字 字符"/>
    <w:semiHidden/>
    <w:qFormat/>
    <w:uiPriority w:val="99"/>
    <w:rPr>
      <w:rFonts w:ascii="Times New Roman" w:hAnsi="Times New Roman" w:eastAsia="宋体" w:cs="Times New Roman"/>
      <w:kern w:val="0"/>
      <w:sz w:val="24"/>
      <w:szCs w:val="20"/>
    </w:rPr>
  </w:style>
  <w:style w:type="character" w:customStyle="1" w:styleId="47">
    <w:name w:val="正文文本缩进 Char"/>
    <w:link w:val="48"/>
    <w:qFormat/>
    <w:uiPriority w:val="0"/>
    <w:rPr>
      <w:kern w:val="2"/>
      <w:sz w:val="21"/>
    </w:rPr>
  </w:style>
  <w:style w:type="paragraph" w:customStyle="1" w:styleId="48">
    <w:name w:val="正文文本缩进1"/>
    <w:basedOn w:val="1"/>
    <w:link w:val="47"/>
    <w:qFormat/>
    <w:uiPriority w:val="0"/>
    <w:pPr>
      <w:spacing w:after="120"/>
      <w:ind w:left="420" w:leftChars="200"/>
    </w:pPr>
  </w:style>
  <w:style w:type="character" w:customStyle="1" w:styleId="49">
    <w:name w:val="HTML Markup"/>
    <w:qFormat/>
    <w:uiPriority w:val="0"/>
    <w:rPr>
      <w:vanish/>
      <w:color w:val="FF0000"/>
    </w:rPr>
  </w:style>
  <w:style w:type="character" w:customStyle="1" w:styleId="50">
    <w:name w:val="纯文本 Char"/>
    <w:qFormat/>
    <w:uiPriority w:val="0"/>
    <w:rPr>
      <w:rFonts w:ascii="宋体" w:hAnsi="Courier New" w:eastAsia="宋体"/>
      <w:kern w:val="2"/>
      <w:sz w:val="21"/>
      <w:lang w:val="en-US" w:eastAsia="zh-CN" w:bidi="ar-SA"/>
    </w:rPr>
  </w:style>
  <w:style w:type="character" w:customStyle="1" w:styleId="51">
    <w:name w:val="apple-converted-space"/>
    <w:qFormat/>
    <w:uiPriority w:val="0"/>
  </w:style>
  <w:style w:type="character" w:customStyle="1" w:styleId="52">
    <w:name w:val="Char Char2"/>
    <w:qFormat/>
    <w:uiPriority w:val="0"/>
    <w:rPr>
      <w:rFonts w:ascii="宋体" w:hAnsi="Courier New" w:cs="宋体"/>
      <w:kern w:val="2"/>
      <w:sz w:val="21"/>
      <w:szCs w:val="21"/>
    </w:rPr>
  </w:style>
  <w:style w:type="paragraph" w:customStyle="1" w:styleId="53">
    <w:name w:val="1"/>
    <w:basedOn w:val="1"/>
    <w:uiPriority w:val="0"/>
    <w:pPr>
      <w:widowControl/>
      <w:spacing w:before="100" w:beforeAutospacing="1" w:after="100" w:afterAutospacing="1"/>
      <w:jc w:val="left"/>
    </w:pPr>
    <w:rPr>
      <w:rFonts w:hint="eastAsia" w:ascii="宋体" w:hAnsi="宋体"/>
      <w:kern w:val="0"/>
      <w:sz w:val="24"/>
      <w:szCs w:val="24"/>
    </w:rPr>
  </w:style>
  <w:style w:type="paragraph" w:customStyle="1" w:styleId="54">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55">
    <w:name w:val="列出段落1"/>
    <w:basedOn w:val="1"/>
    <w:qFormat/>
    <w:uiPriority w:val="34"/>
    <w:pPr>
      <w:ind w:firstLine="420" w:firstLineChars="200"/>
    </w:pPr>
    <w:rPr>
      <w:rFonts w:ascii="Calibri" w:hAnsi="Calibri"/>
      <w:szCs w:val="22"/>
    </w:rPr>
  </w:style>
  <w:style w:type="paragraph" w:customStyle="1" w:styleId="56">
    <w:name w:val="二级列表 Char"/>
    <w:basedOn w:val="1"/>
    <w:uiPriority w:val="0"/>
    <w:rPr>
      <w:rFonts w:ascii="Calibri" w:hAnsi="Calibri"/>
    </w:rPr>
  </w:style>
  <w:style w:type="paragraph" w:customStyle="1" w:styleId="57">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8">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59">
    <w:name w:val="List Paragraph"/>
    <w:basedOn w:val="1"/>
    <w:qFormat/>
    <w:uiPriority w:val="34"/>
    <w:pPr>
      <w:ind w:firstLine="420" w:firstLineChars="200"/>
    </w:pPr>
    <w:rPr>
      <w:rFonts w:ascii="Calibri" w:hAnsi="Calibri"/>
      <w:szCs w:val="22"/>
    </w:rPr>
  </w:style>
  <w:style w:type="character" w:customStyle="1" w:styleId="60">
    <w:name w:val="标题 1 Char"/>
    <w:qFormat/>
    <w:uiPriority w:val="0"/>
    <w:rPr>
      <w:b/>
      <w:bCs/>
      <w:kern w:val="44"/>
      <w:sz w:val="44"/>
      <w:szCs w:val="44"/>
    </w:rPr>
  </w:style>
  <w:style w:type="character" w:customStyle="1" w:styleId="61">
    <w:name w:val="纯文本 字符1"/>
    <w:uiPriority w:val="0"/>
    <w:rPr>
      <w:rFonts w:ascii="宋体" w:hAnsi="Courier New" w:eastAsia="宋体"/>
      <w:kern w:val="2"/>
      <w:sz w:val="21"/>
      <w:lang w:val="en-US" w:eastAsia="zh-CN" w:bidi="ar-SA"/>
    </w:rPr>
  </w:style>
  <w:style w:type="character" w:customStyle="1" w:styleId="62">
    <w:name w:val="font11"/>
    <w:qFormat/>
    <w:uiPriority w:val="0"/>
    <w:rPr>
      <w:rFonts w:hint="default" w:ascii="仿宋_GB2312" w:eastAsia="仿宋_GB2312" w:cs="仿宋_GB2312"/>
      <w:b/>
      <w:bCs/>
      <w:color w:val="000000"/>
      <w:sz w:val="18"/>
      <w:szCs w:val="18"/>
      <w:u w:val="none"/>
    </w:rPr>
  </w:style>
  <w:style w:type="character" w:customStyle="1" w:styleId="63">
    <w:name w:val="font31"/>
    <w:uiPriority w:val="0"/>
    <w:rPr>
      <w:rFonts w:hint="default" w:ascii="仿宋_GB2312" w:eastAsia="仿宋_GB2312" w:cs="仿宋_GB2312"/>
      <w:color w:val="000000"/>
      <w:sz w:val="18"/>
      <w:szCs w:val="18"/>
      <w:u w:val="none"/>
    </w:rPr>
  </w:style>
  <w:style w:type="character" w:customStyle="1" w:styleId="64">
    <w:name w:val="font21"/>
    <w:qFormat/>
    <w:uiPriority w:val="0"/>
    <w:rPr>
      <w:rFonts w:hint="default" w:ascii="Times New Roman" w:hAnsi="Times New Roman" w:cs="Times New Roman"/>
      <w:color w:val="000000"/>
      <w:sz w:val="18"/>
      <w:szCs w:val="18"/>
      <w:u w:val="none"/>
    </w:rPr>
  </w:style>
  <w:style w:type="paragraph" w:customStyle="1" w:styleId="65">
    <w:name w:val="潍柴文档正文一级标题"/>
    <w:basedOn w:val="66"/>
    <w:qFormat/>
    <w:uiPriority w:val="0"/>
    <w:pPr>
      <w:numPr>
        <w:ilvl w:val="0"/>
        <w:numId w:val="1"/>
      </w:numPr>
    </w:pPr>
  </w:style>
  <w:style w:type="paragraph" w:customStyle="1" w:styleId="66">
    <w:name w:val="潍柴文档正文"/>
    <w:basedOn w:val="1"/>
    <w:qFormat/>
    <w:uiPriority w:val="0"/>
    <w:pPr>
      <w:spacing w:line="360" w:lineRule="auto"/>
      <w:ind w:firstLine="200" w:firstLineChars="200"/>
    </w:pPr>
    <w:rPr>
      <w:sz w:val="24"/>
    </w:rPr>
  </w:style>
  <w:style w:type="paragraph" w:customStyle="1" w:styleId="67">
    <w:name w:val="章标题"/>
    <w:next w:val="68"/>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6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9">
    <w:name w:val="二级条标题"/>
    <w:basedOn w:val="1"/>
    <w:next w:val="68"/>
    <w:qFormat/>
    <w:uiPriority w:val="0"/>
    <w:pPr>
      <w:widowControl/>
      <w:outlineLvl w:val="3"/>
    </w:pPr>
    <w:rPr>
      <w:rFonts w:ascii="黑体" w:eastAsia="黑体"/>
      <w:kern w:val="0"/>
    </w:rPr>
  </w:style>
  <w:style w:type="character" w:customStyle="1" w:styleId="70">
    <w:name w:val="Unresolved Mentio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3F8058-B276-48CD-977D-8A5B41AFC2C5}">
  <ds:schemaRefs/>
</ds:datastoreItem>
</file>

<file path=docProps/app.xml><?xml version="1.0" encoding="utf-8"?>
<Properties xmlns="http://schemas.openxmlformats.org/officeDocument/2006/extended-properties" xmlns:vt="http://schemas.openxmlformats.org/officeDocument/2006/docPropsVTypes">
  <Company>Far123</Company>
  <Pages>56</Pages>
  <Words>5275</Words>
  <Characters>30071</Characters>
  <Lines>250</Lines>
  <Paragraphs>70</Paragraphs>
  <TotalTime>217</TotalTime>
  <ScaleCrop>false</ScaleCrop>
  <LinksUpToDate>false</LinksUpToDate>
  <CharactersWithSpaces>35276</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2025-08-09T14:40:00Z</dcterms:created>
  <dc:creator>微软用户</dc:creator>
  <cp:lastModifiedBy>JonMMx 2000</cp:lastModifiedBy>
  <cp:lastPrinted>2020-07-28T15:25:00Z</cp:lastPrinted>
  <dcterms:modified xsi:type="dcterms:W3CDTF">2025-08-29T13:33:51Z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D2EB19884561496DB788AEBE772BB839_12</vt:lpwstr>
  </property>
  <property fmtid="{D5CDD505-2E9C-101B-9397-08002B2CF9AE}" pid="4" name="KSOTemplateDocerSaveRecord">
    <vt:lpwstr>eyJoZGlkIjoiMjJlOWUwZjE1ZTc0YTcwNTU4Mjc3NzIzYmUyMTA4ZDYiLCJ1c2VySWQiOiI1MDQ5MDczMzIifQ==</vt:lpwstr>
  </property>
</Properties>
</file>