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63DE7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</w:t>
      </w:r>
      <w:r>
        <w:rPr>
          <w:rFonts w:asciiTheme="minorEastAsia" w:hAnsiTheme="minorEastAsia"/>
          <w:b/>
          <w:sz w:val="28"/>
          <w:szCs w:val="28"/>
        </w:rPr>
        <w:t>6</w:t>
      </w:r>
      <w:r>
        <w:rPr>
          <w:rFonts w:hint="eastAsia" w:asciiTheme="minorEastAsia" w:hAnsiTheme="minorEastAsia"/>
          <w:b/>
          <w:sz w:val="28"/>
          <w:szCs w:val="28"/>
        </w:rPr>
        <w:t>.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b/>
          <w:sz w:val="28"/>
          <w:szCs w:val="28"/>
        </w:rPr>
        <w:t>人机工程学技术要求</w:t>
      </w:r>
    </w:p>
    <w:p w14:paraId="3E50018A">
      <w:pPr>
        <w:numPr>
          <w:ilvl w:val="0"/>
          <w:numId w:val="1"/>
        </w:num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空间设计要求</w:t>
      </w:r>
    </w:p>
    <w:p w14:paraId="19ABFFC7">
      <w:pPr>
        <w:numPr>
          <w:ilvl w:val="1"/>
          <w:numId w:val="1"/>
        </w:num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焊接生产线设计应满足以下空间要求：操作高度A在</w:t>
      </w:r>
      <w:r>
        <w:rPr>
          <w:rFonts w:hint="eastAsia" w:ascii="宋体" w:hAnsi="宋体" w:eastAsia="宋体"/>
          <w:color w:val="FF0000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00mm至800mm之间；脚部空间B不小于100mm；腿部空间C不小于200mm；手的操作范围D不大于500mm。如图一所示。</w:t>
      </w:r>
    </w:p>
    <w:p w14:paraId="7320E22B">
      <w:pPr>
        <w:pStyle w:val="10"/>
        <w:spacing w:line="360" w:lineRule="auto"/>
        <w:ind w:firstLine="0" w:firstLineChars="0"/>
        <w:jc w:val="center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drawing>
          <wp:inline distT="0" distB="0" distL="0" distR="0">
            <wp:extent cx="2986405" cy="2110105"/>
            <wp:effectExtent l="19050" t="0" r="4307" b="0"/>
            <wp:docPr id="6" name="图片 5" descr="夹具空间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夹具空间E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404" cy="2112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3A12AAC">
      <w:pPr>
        <w:pStyle w:val="10"/>
        <w:ind w:firstLine="0" w:firstLineChars="0"/>
        <w:jc w:val="center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图一 操作空间示意图</w:t>
      </w:r>
    </w:p>
    <w:p w14:paraId="76C524C6">
      <w:pPr>
        <w:numPr>
          <w:ilvl w:val="1"/>
          <w:numId w:val="1"/>
        </w:num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操作高度小于</w:t>
      </w:r>
      <w:r>
        <w:rPr>
          <w:rFonts w:hint="eastAsia" w:ascii="宋体" w:hAnsi="宋体" w:eastAsia="宋体"/>
          <w:color w:val="FF0000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00mm应增加夹具支撑腿高度，以满足人机工程要求；操作高度大于800mm应设置踏台。操作踏台设计标准如下：</w:t>
      </w:r>
    </w:p>
    <w:p w14:paraId="4A4400E2">
      <w:pPr>
        <w:pStyle w:val="10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踏台高度400mm以内如图二T1区域，踏台设计防滑过度斜坡；</w:t>
      </w:r>
    </w:p>
    <w:p w14:paraId="044F4124">
      <w:pPr>
        <w:pStyle w:val="10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踏台高度在400mm到800mm之间如图二T2所示，需设计台阶方便操作员上下；</w:t>
      </w:r>
    </w:p>
    <w:p w14:paraId="30779176">
      <w:pPr>
        <w:pStyle w:val="10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踏台高度800mm至1500mm之间如图二T3所示需设置台阶及安全护栏；</w:t>
      </w:r>
    </w:p>
    <w:p w14:paraId="79D47311">
      <w:pPr>
        <w:pStyle w:val="10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移动、翻转踏台须设计安全护栏；</w:t>
      </w:r>
    </w:p>
    <w:p w14:paraId="51A7D822">
      <w:pPr>
        <w:pStyle w:val="10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踏台、台阶表面做防滑处理。</w:t>
      </w:r>
    </w:p>
    <w:p w14:paraId="6102F36B">
      <w:pPr>
        <w:spacing w:line="360" w:lineRule="auto"/>
        <w:jc w:val="center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drawing>
          <wp:inline distT="0" distB="0" distL="0" distR="0">
            <wp:extent cx="2247900" cy="2143125"/>
            <wp:effectExtent l="19050" t="0" r="0" b="0"/>
            <wp:docPr id="11" name="对象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4762500" cy="5029200"/>
                      <a:chOff x="0" y="0"/>
                      <a:chExt cx="4762500" cy="5029200"/>
                    </a:xfrm>
                  </a:grpSpPr>
                  <a:grpSp>
                    <a:nvGrpSpPr>
                      <a:cNvPr id="39" name="组合 38"/>
                      <a:cNvGrpSpPr/>
                    </a:nvGrpSpPr>
                    <a:grpSpPr>
                      <a:xfrm>
                        <a:off x="0" y="0"/>
                        <a:ext cx="4762500" cy="5029200"/>
                        <a:chOff x="0" y="0"/>
                        <a:chExt cx="4762500" cy="5029200"/>
                      </a:xfrm>
                    </a:grpSpPr>
                    <a:pic>
                      <a:nvPicPr>
                        <a:cNvPr id="29698" name="Picture 2"/>
                        <a:cNvPicPr>
                          <a:picLocks noChangeAspect="1" noChangeArrowheads="1"/>
                        </a:cNvPicPr>
                      </a:nvPicPr>
                      <a:blipFill>
                        <a:blip r:embed="rId7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4762500" cy="4972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66"/>
                          </a:solidFill>
                        </a:ln>
                      </a:spPr>
                    </a:pic>
                    <a:cxnSp>
                      <a:nvCxnSpPr>
                        <a:cNvPr id="27" name="直接箭头连接符 26"/>
                        <a:cNvCxnSpPr/>
                      </a:nvCxnSpPr>
                      <a:spPr>
                        <a:xfrm>
                          <a:off x="1238250" y="4162425"/>
                          <a:ext cx="0" cy="723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1038224" y="4371975"/>
                          <a:ext cx="4667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000"/>
                              <a:t>T1</a:t>
                            </a:r>
                            <a:endParaRPr lang="zh-CN" altLang="en-US" sz="20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29" name="直接箭头连接符 28"/>
                        <a:cNvCxnSpPr/>
                      </a:nvCxnSpPr>
                      <a:spPr>
                        <a:xfrm>
                          <a:off x="847726" y="2686050"/>
                          <a:ext cx="28574" cy="885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695325" y="2905125"/>
                          <a:ext cx="476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000"/>
                              <a:t>T2</a:t>
                            </a:r>
                            <a:endParaRPr lang="zh-CN" altLang="en-US" sz="20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34" name="直接箭头连接符 33"/>
                        <a:cNvCxnSpPr/>
                      </a:nvCxnSpPr>
                      <a:spPr>
                        <a:xfrm>
                          <a:off x="3876675" y="2771775"/>
                          <a:ext cx="9527" cy="2257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7" name="TextBox 36"/>
                        <a:cNvSpPr txBox="1"/>
                      </a:nvSpPr>
                      <a:spPr>
                        <a:xfrm>
                          <a:off x="3686175" y="3657600"/>
                          <a:ext cx="476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2000"/>
                              <a:t>T3</a:t>
                            </a:r>
                            <a:endParaRPr lang="zh-CN" altLang="en-US" sz="20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  <w:r>
        <w:rPr>
          <w:rFonts w:ascii="宋体" w:hAnsi="Times New Roman"/>
          <w:sz w:val="24"/>
          <w:szCs w:val="24"/>
        </w:rPr>
        <w:br w:type="textWrapping" w:clear="all"/>
      </w:r>
      <w:r>
        <w:rPr>
          <w:rFonts w:hint="eastAsia" w:ascii="宋体" w:hAnsi="宋体" w:eastAsia="宋体" w:cs="Times New Roman"/>
          <w:b/>
          <w:szCs w:val="21"/>
        </w:rPr>
        <w:t>图二 踏台标准示意图</w:t>
      </w:r>
    </w:p>
    <w:p w14:paraId="3741F520">
      <w:pPr>
        <w:numPr>
          <w:ilvl w:val="1"/>
          <w:numId w:val="1"/>
        </w:num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夹具操作盒与操作者水平距离A1应小于500mm；操作盒垂直高度A2应在900—1100mm范围内。如图三所示。</w:t>
      </w:r>
    </w:p>
    <w:p w14:paraId="72C80DFC">
      <w:pPr>
        <w:spacing w:line="360" w:lineRule="auto"/>
        <w:jc w:val="center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drawing>
          <wp:inline distT="0" distB="0" distL="0" distR="0">
            <wp:extent cx="2967990" cy="1908175"/>
            <wp:effectExtent l="19050" t="0" r="3551" b="0"/>
            <wp:docPr id="3" name="图片 2" descr="夹具盒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夹具盒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442" cy="191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6E259">
      <w:pPr>
        <w:pStyle w:val="10"/>
        <w:ind w:firstLine="0" w:firstLineChars="0"/>
        <w:jc w:val="center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图三 操作按钮示意图</w:t>
      </w:r>
    </w:p>
    <w:p w14:paraId="2B7D0950">
      <w:pPr>
        <w:numPr>
          <w:ilvl w:val="1"/>
          <w:numId w:val="1"/>
        </w:num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轨道桁架设计、工艺设备吊挂应满足以下要求：</w:t>
      </w:r>
    </w:p>
    <w:p w14:paraId="047D9498"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1.4.1无需手动操作的悬挂设备最低点与地面（踏台）距离A1不小于2100mm，不高于2300mm,如图四所示。</w:t>
      </w:r>
    </w:p>
    <w:p w14:paraId="56F275AB"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1.4.2需要手动操作的控制开关、水、电、气接口等与地面（踏台）距离A1不小于1900mm，不高于2100mm,如图四所示。</w:t>
      </w:r>
    </w:p>
    <w:p w14:paraId="045B936C">
      <w:pPr>
        <w:spacing w:line="360" w:lineRule="auto"/>
        <w:jc w:val="center"/>
        <w:rPr>
          <w:rFonts w:ascii="宋体" w:hAnsi="Times New Roman"/>
          <w:sz w:val="24"/>
          <w:szCs w:val="24"/>
        </w:rPr>
      </w:pPr>
      <w:r>
        <w:rPr>
          <w:rFonts w:ascii="宋体" w:hAnsi="Times New Roman"/>
          <w:sz w:val="24"/>
          <w:szCs w:val="24"/>
        </w:rPr>
        <w:drawing>
          <wp:inline distT="0" distB="0" distL="0" distR="0">
            <wp:extent cx="2861945" cy="2924175"/>
            <wp:effectExtent l="19050" t="0" r="0" b="0"/>
            <wp:docPr id="18" name="对象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5295900" cy="4829175"/>
                      <a:chOff x="0" y="0"/>
                      <a:chExt cx="5295900" cy="4829175"/>
                    </a:xfrm>
                  </a:grpSpPr>
                  <a:grpSp>
                    <a:nvGrpSpPr>
                      <a:cNvPr id="69" name="组合 68"/>
                      <a:cNvGrpSpPr/>
                    </a:nvGrpSpPr>
                    <a:grpSpPr>
                      <a:xfrm>
                        <a:off x="0" y="0"/>
                        <a:ext cx="5295900" cy="4829175"/>
                        <a:chOff x="0" y="0"/>
                        <a:chExt cx="5295900" cy="4829175"/>
                      </a:xfrm>
                    </a:grpSpPr>
                    <a:pic>
                      <a:nvPicPr>
                        <a:cNvPr id="50" name="图片 49"/>
                        <a:cNvPicPr/>
                      </a:nvPicPr>
                      <a:blipFill>
                        <a:blip r:embed="rId9"/>
                        <a:srcRect l="806" t="5001" r="2485" b="18441"/>
                        <a:stretch>
                          <a:fillRect/>
                        </a:stretch>
                      </a:blipFill>
                      <a:spPr bwMode="auto">
                        <a:xfrm>
                          <a:off x="0" y="0"/>
                          <a:ext cx="5295900" cy="4829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a:spPr>
                    </a:pic>
                    <a:cxnSp>
                      <a:nvCxnSpPr>
                        <a:cNvPr id="63" name="直接连接符 62"/>
                        <a:cNvCxnSpPr/>
                      </a:nvCxnSpPr>
                      <a:spPr>
                        <a:xfrm flipH="1">
                          <a:off x="247650" y="1752601"/>
                          <a:ext cx="1438275" cy="0"/>
                        </a:xfrm>
                        <a:prstGeom prst="line">
                          <a:avLst/>
                        </a:prstGeom>
                        <a:ln w="19050"/>
                      </a:spPr>
                      <a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5" name="直接箭头连接符 64"/>
                        <a:cNvCxnSpPr/>
                      </a:nvCxnSpPr>
                      <a:spPr>
                        <a:xfrm flipH="1">
                          <a:off x="390525" y="1762126"/>
                          <a:ext cx="19050" cy="28479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1E30DC"/>
                          </a:solidFill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8" name="TextBox 67"/>
                        <a:cNvSpPr txBox="1"/>
                      </a:nvSpPr>
                      <a:spPr>
                        <a:xfrm>
                          <a:off x="190500" y="2724150"/>
                          <a:ext cx="447472" cy="3619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a:spPr>
                      <a:txSp>
                        <a:txBody>
                          <a:bodyPr vertOverflow="clip" wrap="square" rtlCol="0" anchor="t"/>
                          <a:lstStyle>
                            <a:lvl1pPr marL="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800"/>
                              <a:t>A1</a:t>
                            </a:r>
                            <a:endParaRPr lang="zh-CN" altLang="en-US" sz="18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14:paraId="0E296FA5">
      <w:pPr>
        <w:pStyle w:val="10"/>
        <w:ind w:firstLine="0" w:firstLineChars="0"/>
        <w:jc w:val="center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图四 桁架高度示意图</w:t>
      </w:r>
    </w:p>
    <w:p w14:paraId="70923C58">
      <w:pPr>
        <w:numPr>
          <w:ilvl w:val="1"/>
          <w:numId w:val="1"/>
        </w:num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工位器具设计时应计算出最佳的放件高度、抓取区域、视角、头、手和脚最大的自由度和安全技术。工位器具的取件高度范围控制在650～1300 mm之间取件跨度在300～800mm之间，避免出现踮脚或弯腰的取放件姿势；工位器具中排列好的总成件之间必须留有足够的间隔，防止零件挤压变形，同时保证在工作时双手不会卡在两个零件之间，也不会卡在零件与容器边框之间。</w:t>
      </w:r>
    </w:p>
    <w:p w14:paraId="4BE8C091">
      <w:pPr>
        <w:numPr>
          <w:ilvl w:val="0"/>
          <w:numId w:val="1"/>
        </w:num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操作设计要求</w:t>
      </w:r>
    </w:p>
    <w:p w14:paraId="3231E395">
      <w:pPr>
        <w:pStyle w:val="10"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在一个工位中，每个操作工的操作种类原则上不得超过两种（操作种类分为：点焊、弧焊、螺柱焊、凸焊、拉铆、涂胶、装配、调整、打磨等），并且切换不同型号的工具、焊枪、扭矩扳手不得超过四次。</w:t>
      </w:r>
    </w:p>
    <w:p w14:paraId="562EA5FC">
      <w:pPr>
        <w:pStyle w:val="10"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在一个工位中，一个操作者上件数量大件(1.0m×0.5m)少于3个、小件(0.3m×0.3m)少于5个，零件总数少于5个。零件摆放以夹具为中心，在不影响操作的情况下尽量靠近夹具，和夹具的最大距离不超过2m。</w:t>
      </w:r>
    </w:p>
    <w:p w14:paraId="3AB51764">
      <w:pPr>
        <w:pStyle w:val="10"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在一个节拍内，一个操作者往返移动距离应小于5m或不超过整个节拍的10%；对于自动化工位上件、检查等操作员移动距离小于10m。</w:t>
      </w:r>
    </w:p>
    <w:p w14:paraId="54EF40BD">
      <w:pPr>
        <w:pStyle w:val="10"/>
        <w:numPr>
          <w:ilvl w:val="1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零件装配应确保定位准确、安装过程简便，定位销一般设计为带导向的锥形销，大型零件(1.0m×0.5m)上件应设计辅助导向机构。</w:t>
      </w:r>
    </w:p>
    <w:p w14:paraId="6D4D0F2F">
      <w:pPr>
        <w:pStyle w:val="10"/>
        <w:numPr>
          <w:ilvl w:val="1"/>
          <w:numId w:val="3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操作者拿取、搬运零件重量不超过15kg，对于大型零件须设计辅助助力装置，单次推拉零件重量不超过200㎏。</w:t>
      </w:r>
    </w:p>
    <w:p w14:paraId="094D116C">
      <w:pPr>
        <w:pStyle w:val="10"/>
        <w:spacing w:line="360" w:lineRule="auto"/>
        <w:ind w:firstLine="0" w:firstLineChars="0"/>
        <w:rPr>
          <w:rFonts w:ascii="宋体" w:hAnsi="宋体" w:eastAsia="宋体"/>
          <w:sz w:val="24"/>
          <w:szCs w:val="24"/>
        </w:rPr>
      </w:pPr>
    </w:p>
    <w:p w14:paraId="4E80B723">
      <w:pPr>
        <w:numPr>
          <w:ilvl w:val="0"/>
          <w:numId w:val="1"/>
        </w:num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设备选择要求</w:t>
      </w:r>
    </w:p>
    <w:p w14:paraId="49EF0E6B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人工焊钳重量应小于100kg，超过部分优先选择机器人焊接；超过80kg的焊钳只设置一种焊接姿态，避免翻枪操作。</w:t>
      </w:r>
    </w:p>
    <w:p w14:paraId="0E4F7B95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人工操作焊钳尺寸喉深不大于1000mm，喉宽不大于800mm，超过此尺寸的焊钳应选择机器人焊接。</w:t>
      </w:r>
    </w:p>
    <w:p w14:paraId="62132739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在满足工艺需求的前提下，焊枪窗口尺寸（喉深和喉宽）余量应控制在20mm以内。</w:t>
      </w:r>
    </w:p>
    <w:p w14:paraId="17350992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一个操作者在一个节拍内使用焊枪数量不多于2把，每把焊枪姿态不超过3种；在人工不可见的焊接平面、狭窄空间内操作、焊点有外观要求或焊钳不易定位时须设计焊钳导向，导向如图五所示。</w:t>
      </w:r>
    </w:p>
    <w:p w14:paraId="6725D896">
      <w:pPr>
        <w:pStyle w:val="10"/>
        <w:spacing w:line="360" w:lineRule="auto"/>
        <w:ind w:firstLine="0" w:firstLineChars="0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2453005" cy="1987550"/>
            <wp:effectExtent l="19050" t="0" r="3962" b="0"/>
            <wp:docPr id="1" name="图片 0" descr="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无标题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75814" b="68674"/>
                    <a:stretch>
                      <a:fillRect/>
                    </a:stretch>
                  </pic:blipFill>
                  <pic:spPr>
                    <a:xfrm>
                      <a:off x="0" y="0"/>
                      <a:ext cx="2460790" cy="1993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283DA">
      <w:pPr>
        <w:pStyle w:val="10"/>
        <w:ind w:firstLine="0" w:firstLineChars="0"/>
        <w:jc w:val="center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图五 焊钳导向示意图</w:t>
      </w:r>
    </w:p>
    <w:p w14:paraId="06B90BAC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焊钳尽量与操作者垂直或水平，焊钳姿态存在角度时须设计转盘，如图六所示。</w:t>
      </w:r>
    </w:p>
    <w:p w14:paraId="6BCB3B1A"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/>
        </w:rPr>
        <w:drawing>
          <wp:inline distT="0" distB="0" distL="0" distR="0">
            <wp:extent cx="2047875" cy="2311400"/>
            <wp:effectExtent l="19050" t="19050" r="0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1920" cy="2316326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01A84"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b/>
          <w:szCs w:val="21"/>
        </w:rPr>
        <w:t>图六 焊钳转盘示意图</w:t>
      </w:r>
    </w:p>
    <w:p w14:paraId="59ACDDEB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控制柜等可视化显示屏的上边缘高度为距离站立面1350mm</w:t>
      </w:r>
      <w:r>
        <w:rPr>
          <w:rFonts w:hint="eastAsia" w:ascii="宋体" w:hAnsi="Times New Roman"/>
          <w:sz w:val="24"/>
          <w:szCs w:val="24"/>
        </w:rPr>
        <w:t>～1600mm之间。</w:t>
      </w:r>
    </w:p>
    <w:p w14:paraId="0009FD39">
      <w:pPr>
        <w:pStyle w:val="10"/>
        <w:numPr>
          <w:ilvl w:val="1"/>
          <w:numId w:val="4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控制柜等操作按钮离站立面高度范围：890-1070mm。</w:t>
      </w:r>
    </w:p>
    <w:p w14:paraId="5C167CE0">
      <w:pPr>
        <w:numPr>
          <w:ilvl w:val="0"/>
          <w:numId w:val="1"/>
        </w:num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运行环境要求</w:t>
      </w:r>
    </w:p>
    <w:p w14:paraId="0B2475F7">
      <w:pPr>
        <w:pStyle w:val="10"/>
        <w:numPr>
          <w:ilvl w:val="1"/>
          <w:numId w:val="5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焊接车间工装、设备等常规运行噪音须控制在</w:t>
      </w:r>
      <w:r>
        <w:rPr>
          <w:rFonts w:hint="eastAsia" w:ascii="宋体" w:hAnsi="宋体" w:eastAsia="宋体" w:cs="Times New Roman"/>
          <w:sz w:val="24"/>
          <w:szCs w:val="24"/>
        </w:rPr>
        <w:t>85</w:t>
      </w:r>
      <w:r>
        <w:rPr>
          <w:rFonts w:hint="eastAsia" w:ascii="宋体" w:hAnsi="宋体" w:eastAsia="宋体"/>
          <w:sz w:val="24"/>
          <w:szCs w:val="24"/>
        </w:rPr>
        <w:t>分贝内，对超过标准的工位设计隔音帘以降低噪音。</w:t>
      </w:r>
    </w:p>
    <w:p w14:paraId="14C1BBEE">
      <w:pPr>
        <w:pStyle w:val="10"/>
        <w:numPr>
          <w:ilvl w:val="1"/>
          <w:numId w:val="5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照明需满足一下要求：普通焊接工位不小于300</w:t>
      </w:r>
      <w:r>
        <w:rPr>
          <w:rFonts w:ascii="宋体" w:hAnsi="宋体" w:eastAsia="宋体"/>
          <w:sz w:val="24"/>
          <w:szCs w:val="24"/>
        </w:rPr>
        <w:t>L</w:t>
      </w:r>
      <w:r>
        <w:rPr>
          <w:rFonts w:hint="eastAsia" w:ascii="宋体" w:hAnsi="宋体" w:eastAsia="宋体"/>
          <w:sz w:val="24"/>
          <w:szCs w:val="24"/>
        </w:rPr>
        <w:t>X，外观上件、检查工位不小于500LX，调整线外观检查、精整工位不小于1000LX。</w:t>
      </w:r>
    </w:p>
    <w:p w14:paraId="7FE814FD">
      <w:pPr>
        <w:pStyle w:val="10"/>
        <w:numPr>
          <w:ilvl w:val="1"/>
          <w:numId w:val="5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在气体保护焊焊接工位应配备焊烟除尘器。</w:t>
      </w:r>
    </w:p>
    <w:p w14:paraId="1517B6E6">
      <w:pPr>
        <w:pStyle w:val="10"/>
        <w:numPr>
          <w:ilvl w:val="1"/>
          <w:numId w:val="5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在气体保护焊焊接工位应设置强光遮挡物。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96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1241268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 w14:paraId="3628B7BC"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7FD976">
    <w:pPr>
      <w:pStyle w:val="3"/>
      <w:jc w:val="center"/>
      <w:rPr>
        <w:b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AADBA">
    <w:pPr>
      <w:pStyle w:val="4"/>
      <w:pBdr>
        <w:bottom w:val="single" w:color="auto" w:sz="6" w:space="0"/>
      </w:pBdr>
    </w:pPr>
    <w:r>
      <w:drawing>
        <wp:inline distT="0" distB="0" distL="114300" distR="114300">
          <wp:extent cx="1325880" cy="226060"/>
          <wp:effectExtent l="0" t="0" r="7620" b="254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2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5F09F4"/>
    <w:multiLevelType w:val="multilevel"/>
    <w:tmpl w:val="0E5F09F4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36673CEB"/>
    <w:multiLevelType w:val="multilevel"/>
    <w:tmpl w:val="36673CE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BEA3290"/>
    <w:multiLevelType w:val="multilevel"/>
    <w:tmpl w:val="3BEA3290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4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5DD61A4D"/>
    <w:multiLevelType w:val="multilevel"/>
    <w:tmpl w:val="5DD61A4D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3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4">
    <w:nsid w:val="6DBE69D4"/>
    <w:multiLevelType w:val="multilevel"/>
    <w:tmpl w:val="6DBE69D4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2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2.4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2.5.4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37D3"/>
    <w:rsid w:val="000006E2"/>
    <w:rsid w:val="00015F17"/>
    <w:rsid w:val="00022224"/>
    <w:rsid w:val="00041ECE"/>
    <w:rsid w:val="00055937"/>
    <w:rsid w:val="00056E0D"/>
    <w:rsid w:val="000628A5"/>
    <w:rsid w:val="00103F6C"/>
    <w:rsid w:val="001121E6"/>
    <w:rsid w:val="00116B9C"/>
    <w:rsid w:val="00125210"/>
    <w:rsid w:val="001437B6"/>
    <w:rsid w:val="001678CC"/>
    <w:rsid w:val="00181195"/>
    <w:rsid w:val="001A3C7C"/>
    <w:rsid w:val="001A6518"/>
    <w:rsid w:val="001B2382"/>
    <w:rsid w:val="00201261"/>
    <w:rsid w:val="00214B27"/>
    <w:rsid w:val="00250369"/>
    <w:rsid w:val="00266624"/>
    <w:rsid w:val="00270289"/>
    <w:rsid w:val="002C2BAB"/>
    <w:rsid w:val="002C4FBD"/>
    <w:rsid w:val="002F20D4"/>
    <w:rsid w:val="003011D5"/>
    <w:rsid w:val="0037370D"/>
    <w:rsid w:val="003969BB"/>
    <w:rsid w:val="003B5A35"/>
    <w:rsid w:val="003C3A01"/>
    <w:rsid w:val="003D4E96"/>
    <w:rsid w:val="003F45A6"/>
    <w:rsid w:val="00405B1A"/>
    <w:rsid w:val="00417257"/>
    <w:rsid w:val="00422B7F"/>
    <w:rsid w:val="0043402A"/>
    <w:rsid w:val="0047778A"/>
    <w:rsid w:val="004B6BE2"/>
    <w:rsid w:val="004D426C"/>
    <w:rsid w:val="00517EE6"/>
    <w:rsid w:val="00527FE4"/>
    <w:rsid w:val="00550760"/>
    <w:rsid w:val="00550D5B"/>
    <w:rsid w:val="00580AC6"/>
    <w:rsid w:val="00583C74"/>
    <w:rsid w:val="00587D5C"/>
    <w:rsid w:val="005C10DA"/>
    <w:rsid w:val="005D05E2"/>
    <w:rsid w:val="0061282F"/>
    <w:rsid w:val="00624DC3"/>
    <w:rsid w:val="006365B5"/>
    <w:rsid w:val="00646357"/>
    <w:rsid w:val="00653E88"/>
    <w:rsid w:val="006574B9"/>
    <w:rsid w:val="00665CCB"/>
    <w:rsid w:val="00667834"/>
    <w:rsid w:val="0068101B"/>
    <w:rsid w:val="00691DA6"/>
    <w:rsid w:val="006B7988"/>
    <w:rsid w:val="00700905"/>
    <w:rsid w:val="00727FEB"/>
    <w:rsid w:val="007307FC"/>
    <w:rsid w:val="00730B72"/>
    <w:rsid w:val="00747FE9"/>
    <w:rsid w:val="007635FE"/>
    <w:rsid w:val="0077229C"/>
    <w:rsid w:val="007756DA"/>
    <w:rsid w:val="00785EA1"/>
    <w:rsid w:val="00791BDD"/>
    <w:rsid w:val="00796375"/>
    <w:rsid w:val="007B5DBC"/>
    <w:rsid w:val="007C2172"/>
    <w:rsid w:val="007E05A2"/>
    <w:rsid w:val="007E52BE"/>
    <w:rsid w:val="00822269"/>
    <w:rsid w:val="00851790"/>
    <w:rsid w:val="00873775"/>
    <w:rsid w:val="00873DF4"/>
    <w:rsid w:val="008B6B2E"/>
    <w:rsid w:val="008B783C"/>
    <w:rsid w:val="008C2514"/>
    <w:rsid w:val="008D18CC"/>
    <w:rsid w:val="008D4C48"/>
    <w:rsid w:val="008F2929"/>
    <w:rsid w:val="00917A49"/>
    <w:rsid w:val="0094470B"/>
    <w:rsid w:val="009574CB"/>
    <w:rsid w:val="009A3B66"/>
    <w:rsid w:val="009A3D06"/>
    <w:rsid w:val="009A77E8"/>
    <w:rsid w:val="009B2DF9"/>
    <w:rsid w:val="009B34DB"/>
    <w:rsid w:val="009C0221"/>
    <w:rsid w:val="009D2362"/>
    <w:rsid w:val="009E308A"/>
    <w:rsid w:val="00A06155"/>
    <w:rsid w:val="00A116D2"/>
    <w:rsid w:val="00A12037"/>
    <w:rsid w:val="00A13886"/>
    <w:rsid w:val="00A163F9"/>
    <w:rsid w:val="00A17884"/>
    <w:rsid w:val="00A32C85"/>
    <w:rsid w:val="00A61F28"/>
    <w:rsid w:val="00A73EB6"/>
    <w:rsid w:val="00A80674"/>
    <w:rsid w:val="00A81981"/>
    <w:rsid w:val="00A825DE"/>
    <w:rsid w:val="00A931A4"/>
    <w:rsid w:val="00AA152C"/>
    <w:rsid w:val="00AC2350"/>
    <w:rsid w:val="00AC2380"/>
    <w:rsid w:val="00AC6CCB"/>
    <w:rsid w:val="00AD1BE2"/>
    <w:rsid w:val="00AD3298"/>
    <w:rsid w:val="00AE0F35"/>
    <w:rsid w:val="00AE5428"/>
    <w:rsid w:val="00B0544B"/>
    <w:rsid w:val="00B14AFE"/>
    <w:rsid w:val="00B31601"/>
    <w:rsid w:val="00B5180B"/>
    <w:rsid w:val="00B650D1"/>
    <w:rsid w:val="00B66CA2"/>
    <w:rsid w:val="00B74ADE"/>
    <w:rsid w:val="00B82D37"/>
    <w:rsid w:val="00B87D27"/>
    <w:rsid w:val="00B906E5"/>
    <w:rsid w:val="00BB48CA"/>
    <w:rsid w:val="00BF34E5"/>
    <w:rsid w:val="00C1133F"/>
    <w:rsid w:val="00C428B6"/>
    <w:rsid w:val="00C4559E"/>
    <w:rsid w:val="00C55484"/>
    <w:rsid w:val="00C9383C"/>
    <w:rsid w:val="00CB0E8A"/>
    <w:rsid w:val="00CD69BD"/>
    <w:rsid w:val="00CF79AC"/>
    <w:rsid w:val="00D003F2"/>
    <w:rsid w:val="00D01B44"/>
    <w:rsid w:val="00D25E56"/>
    <w:rsid w:val="00D3510C"/>
    <w:rsid w:val="00D7576B"/>
    <w:rsid w:val="00D8333F"/>
    <w:rsid w:val="00D9054D"/>
    <w:rsid w:val="00D948DD"/>
    <w:rsid w:val="00DC2B61"/>
    <w:rsid w:val="00DD24D4"/>
    <w:rsid w:val="00DF2742"/>
    <w:rsid w:val="00E17BD0"/>
    <w:rsid w:val="00E44564"/>
    <w:rsid w:val="00E659F2"/>
    <w:rsid w:val="00E91447"/>
    <w:rsid w:val="00EA5AFC"/>
    <w:rsid w:val="00EC2610"/>
    <w:rsid w:val="00EC4955"/>
    <w:rsid w:val="00EC5342"/>
    <w:rsid w:val="00EE7EDC"/>
    <w:rsid w:val="00EF323C"/>
    <w:rsid w:val="00F1471E"/>
    <w:rsid w:val="00F168C4"/>
    <w:rsid w:val="00F37E62"/>
    <w:rsid w:val="00F422E2"/>
    <w:rsid w:val="00F46802"/>
    <w:rsid w:val="00F8376B"/>
    <w:rsid w:val="00F837D3"/>
    <w:rsid w:val="00F905C4"/>
    <w:rsid w:val="00FD3BCB"/>
    <w:rsid w:val="00FE1A37"/>
    <w:rsid w:val="00FF0FD4"/>
    <w:rsid w:val="00FF20F5"/>
    <w:rsid w:val="00FF394D"/>
    <w:rsid w:val="00FF4478"/>
    <w:rsid w:val="182747C2"/>
    <w:rsid w:val="5B5E16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jpeg"/><Relationship Id="rId7" Type="http://schemas.openxmlformats.org/officeDocument/2006/relationships/image" Target="media/image3.emf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7.e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95D91-514B-40BF-B8DA-923E0BD790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1385</Words>
  <Characters>1584</Characters>
  <Lines>11</Lines>
  <Paragraphs>3</Paragraphs>
  <TotalTime>3</TotalTime>
  <ScaleCrop>false</ScaleCrop>
  <LinksUpToDate>false</LinksUpToDate>
  <CharactersWithSpaces>1591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2017-12-05T09:41:00Z</dcterms:created>
  <dc:creator>46607</dc:creator>
  <cp:lastModifiedBy>范声武</cp:lastModifiedBy>
  <cp:lastPrinted>2017-12-05T09:38:00Z</cp:lastPrinted>
  <dcterms:modified xsi:type="dcterms:W3CDTF">2025-07-07T00:58:35Z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2C72264C900D4257908200026CF0CB78_12</vt:lpwstr>
  </property>
</Properties>
</file>