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陶粒砂热法再生采购</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陶粒砂热法再生采购</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采购形式编号：CGZX2025040198</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陶粒砂热法再生采购</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陶粒砂热法再生采购。</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w:t>
            </w:r>
            <w:r>
              <w:rPr>
                <w:rFonts w:hint="eastAsia" w:ascii="宋体" w:hAnsi="宋体" w:eastAsia="宋体" w:cs="宋体"/>
                <w:b w:val="0"/>
                <w:lang w:val="en-US" w:eastAsia="zh-CN"/>
              </w:rPr>
              <w:t>陶粒砂热法再生采购</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w:t>
            </w:r>
            <w:r>
              <w:rPr>
                <w:rFonts w:hint="eastAsia" w:ascii="宋体" w:hAnsi="宋体" w:eastAsia="宋体" w:cs="宋体"/>
                <w:b w:val="0"/>
                <w:lang w:val="en-US" w:eastAsia="zh-CN"/>
              </w:rPr>
              <w:t>实际处理量据实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w:t>
      </w:r>
      <w:r>
        <w:rPr>
          <w:rFonts w:hint="default" w:ascii="宋体" w:hAnsi="宋体" w:eastAsia="宋体" w:cs="宋体"/>
          <w:b w:val="0"/>
          <w:color w:val="auto"/>
          <w:highlight w:val="none"/>
          <w:lang w:eastAsia="zh-CN"/>
          <w:woUserID w:val="1"/>
        </w:rPr>
        <w:t>3</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eastAsia" w:eastAsia="宋体" w:cs="宋体"/>
          <w:bCs/>
          <w:lang w:val="en-US" w:eastAsia="zh-CN"/>
        </w:rPr>
        <w:t>5</w:t>
      </w:r>
      <w:r>
        <w:rPr>
          <w:rFonts w:hint="eastAsia" w:ascii="宋体" w:hAnsi="宋体" w:eastAsia="宋体" w:cs="宋体"/>
          <w:bCs/>
        </w:rPr>
        <w:t>月</w:t>
      </w:r>
      <w:r>
        <w:rPr>
          <w:rFonts w:hint="default" w:eastAsia="宋体" w:cs="宋体"/>
          <w:bCs/>
          <w:woUserID w:val="1"/>
        </w:rPr>
        <w:t>22</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eastAsia" w:eastAsia="宋体" w:cs="宋体"/>
          <w:bCs/>
          <w:lang w:val="en-US" w:eastAsia="zh-CN"/>
          <w:woUserID w:val="1"/>
        </w:rPr>
        <w:t>5</w:t>
      </w:r>
      <w:r>
        <w:rPr>
          <w:rFonts w:hint="eastAsia" w:ascii="宋体" w:hAnsi="宋体" w:eastAsia="宋体" w:cs="宋体"/>
          <w:bCs/>
          <w:woUserID w:val="1"/>
        </w:rPr>
        <w:t>月</w:t>
      </w:r>
      <w:r>
        <w:rPr>
          <w:rFonts w:hint="default" w:eastAsia="宋体" w:cs="宋体"/>
          <w:bCs/>
          <w:woUserID w:val="1"/>
        </w:rPr>
        <w:t>22</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叶彬</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15194169895</w:t>
      </w:r>
    </w:p>
    <w:p>
      <w:pPr>
        <w:pStyle w:val="78"/>
        <w:ind w:firstLine="480"/>
        <w:rPr>
          <w:rFonts w:hint="default" w:ascii="宋体" w:hAnsi="宋体" w:eastAsia="宋体" w:cs="宋体"/>
          <w:lang w:val="en-US" w:eastAsia="zh-CN"/>
        </w:rPr>
      </w:pPr>
      <w:r>
        <w:rPr>
          <w:rFonts w:hint="eastAsia" w:ascii="宋体" w:hAnsi="宋体" w:eastAsia="宋体" w:cs="宋体"/>
        </w:rPr>
        <w:t>邮    箱：</w:t>
      </w:r>
      <w:r>
        <w:rPr>
          <w:rFonts w:hint="eastAsia" w:eastAsia="宋体" w:cs="宋体"/>
          <w:lang w:val="en-US" w:eastAsia="zh-CN"/>
        </w:rPr>
        <w:t>904533561@qq.com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bookmarkStart w:id="23" w:name="_GoBack"/>
      <w:bookmarkEnd w:id="23"/>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lang w:val="en-US" w:eastAsia="zh-CN"/>
              </w:rPr>
            </w:pPr>
            <w:r>
              <w:rPr>
                <w:rFonts w:hint="eastAsia" w:ascii="宋体" w:hAnsi="宋体" w:eastAsia="宋体" w:cs="宋体"/>
                <w:lang w:val="en-US" w:eastAsia="zh-CN"/>
              </w:rPr>
              <w:t>粒度（100-140）</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lang w:val="en-US" w:eastAsia="zh-CN"/>
              </w:rPr>
            </w:pPr>
            <w:r>
              <w:rPr>
                <w:rFonts w:hint="eastAsia" w:ascii="宋体" w:hAnsi="宋体" w:eastAsia="宋体" w:cs="宋体"/>
                <w:lang w:val="en-US" w:eastAsia="zh-CN"/>
              </w:rPr>
              <w:t>再生比例：再生陶粒砂重量≥废陶粒砂重量的60%（每吨）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lang w:val="en-US" w:eastAsia="zh-CN"/>
        </w:rPr>
      </w:pPr>
      <w:r>
        <w:rPr>
          <w:rFonts w:hint="eastAsia" w:ascii="宋体" w:hAnsi="宋体" w:cs="宋体"/>
          <w:b/>
          <w:bCs/>
          <w:szCs w:val="21"/>
          <w:lang w:val="en-US" w:eastAsia="zh-CN"/>
        </w:rPr>
        <w:t>4、本项目报价上限为6万元（含税）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874" w:type="dxa"/>
        <w:tblInd w:w="0" w:type="dxa"/>
        <w:tblLayout w:type="fixed"/>
        <w:tblCellMar>
          <w:top w:w="0" w:type="dxa"/>
          <w:left w:w="108" w:type="dxa"/>
          <w:bottom w:w="0" w:type="dxa"/>
          <w:right w:w="108" w:type="dxa"/>
        </w:tblCellMar>
      </w:tblPr>
      <w:tblGrid>
        <w:gridCol w:w="636"/>
        <w:gridCol w:w="1457"/>
        <w:gridCol w:w="1393"/>
        <w:gridCol w:w="1888"/>
        <w:gridCol w:w="829"/>
        <w:gridCol w:w="896"/>
        <w:gridCol w:w="862"/>
        <w:gridCol w:w="913"/>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数量</w:t>
            </w:r>
            <w:r>
              <w:rPr>
                <w:rFonts w:hint="eastAsia" w:ascii="宋体" w:hAnsi="宋体" w:cs="宋体"/>
                <w:kern w:val="0"/>
                <w:sz w:val="18"/>
                <w:szCs w:val="18"/>
                <w:lang w:eastAsia="zh-CN"/>
              </w:rPr>
              <w:t>（</w:t>
            </w:r>
            <w:r>
              <w:rPr>
                <w:rFonts w:hint="eastAsia" w:ascii="宋体" w:hAnsi="宋体" w:cs="宋体"/>
                <w:kern w:val="0"/>
                <w:sz w:val="18"/>
                <w:szCs w:val="18"/>
                <w:lang w:val="en-US" w:eastAsia="zh-CN"/>
              </w:rPr>
              <w:t>吨</w:t>
            </w:r>
            <w:r>
              <w:rPr>
                <w:rFonts w:hint="eastAsia" w:ascii="宋体" w:hAnsi="宋体" w:cs="宋体"/>
                <w:kern w:val="0"/>
                <w:sz w:val="18"/>
                <w:szCs w:val="18"/>
                <w:lang w:eastAsia="zh-CN"/>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再生陶粒砂</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100-140</w:t>
            </w: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产品试验检测中心工艺实验室</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w:t>
            </w: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bCs/>
              </w:rPr>
            </w:pPr>
            <w:r>
              <w:rPr>
                <w:rFonts w:hint="eastAsia" w:ascii="宋体" w:hAnsi="宋体" w:eastAsia="宋体" w:cs="宋体"/>
                <w:b w:val="0"/>
                <w:bCs/>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半年期商业汇票（包含银行承兑汇票和商业承兑汇票）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val="0"/>
                <w:bCs/>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b w:val="0"/>
                <w:bCs/>
                <w:szCs w:val="21"/>
                <w:lang w:val="en-US" w:eastAsia="zh-CN"/>
              </w:rPr>
              <w:t>按照技术协议书要求，供应商应负责免费处理我方所产生的废陶粒砂，其中包含但不限于废陶粒砂运输费用、热法再生费用，且15天内能够送达客户现场</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rPr>
          <w:rFonts w:hint="eastAsia" w:ascii="宋体" w:hAnsi="宋体" w:eastAsia="宋体" w:cs="宋体"/>
        </w:rPr>
      </w:pPr>
      <w:bookmarkStart w:id="22" w:name="_Toc425801541"/>
      <w:r>
        <w:rPr>
          <w:rFonts w:hint="eastAsia" w:ascii="宋体" w:hAnsi="宋体" w:eastAsia="宋体" w:cs="宋体"/>
        </w:rPr>
        <w:t>第二章技术协议书</w:t>
      </w:r>
      <w:bookmarkEnd w:id="22"/>
    </w:p>
    <w:p>
      <w:pPr>
        <w:pStyle w:val="11"/>
        <w:spacing w:before="160" w:line="364" w:lineRule="auto"/>
        <w:ind w:right="117" w:firstLine="882" w:firstLineChars="300"/>
        <w:rPr>
          <w:rFonts w:ascii="Times New Roman" w:hAnsi="Times New Roman" w:cs="Times New Roman"/>
          <w:spacing w:val="-13"/>
          <w:lang w:eastAsia="zh-CN"/>
        </w:rPr>
      </w:pPr>
      <w:r>
        <w:rPr>
          <w:rFonts w:ascii="Times New Roman" w:hAnsi="Times New Roman" w:cs="Times New Roman"/>
          <w:spacing w:val="-13"/>
          <w:lang w:eastAsia="zh-CN"/>
        </w:rPr>
        <w:t>一、用途</w:t>
      </w:r>
    </w:p>
    <w:p>
      <w:pPr>
        <w:pStyle w:val="11"/>
        <w:spacing w:before="160" w:line="364" w:lineRule="auto"/>
        <w:ind w:left="218" w:right="117" w:firstLine="480"/>
        <w:rPr>
          <w:rFonts w:ascii="Times New Roman" w:hAnsi="Times New Roman" w:cs="Times New Roman"/>
          <w:spacing w:val="-13"/>
          <w:highlight w:val="none"/>
          <w:lang w:eastAsia="zh-CN"/>
        </w:rPr>
      </w:pPr>
      <w:r>
        <w:rPr>
          <w:rFonts w:ascii="Times New Roman" w:hAnsi="Times New Roman" w:cs="Times New Roman"/>
          <w:spacing w:val="-13"/>
          <w:highlight w:val="none"/>
          <w:lang w:eastAsia="zh-CN"/>
        </w:rPr>
        <w:t>本次招标采购的</w:t>
      </w:r>
      <w:r>
        <w:rPr>
          <w:rFonts w:hint="eastAsia" w:ascii="Times New Roman" w:hAnsi="Times New Roman" w:cs="Times New Roman"/>
          <w:spacing w:val="-13"/>
          <w:highlight w:val="none"/>
          <w:lang w:val="en-US" w:eastAsia="zh-CN"/>
        </w:rPr>
        <w:t>耗材</w:t>
      </w:r>
      <w:r>
        <w:rPr>
          <w:rFonts w:ascii="Times New Roman" w:hAnsi="Times New Roman" w:cs="Times New Roman"/>
          <w:spacing w:val="-13"/>
          <w:highlight w:val="none"/>
          <w:lang w:eastAsia="zh-CN"/>
        </w:rPr>
        <w:t>为</w:t>
      </w:r>
      <w:r>
        <w:rPr>
          <w:rFonts w:hint="eastAsia" w:ascii="Times New Roman" w:hAnsi="Times New Roman" w:cs="Times New Roman"/>
          <w:spacing w:val="-13"/>
          <w:highlight w:val="none"/>
          <w:lang w:val="en-US" w:eastAsia="zh-CN"/>
        </w:rPr>
        <w:t>工艺实验室</w:t>
      </w:r>
      <w:r>
        <w:rPr>
          <w:rFonts w:ascii="Times New Roman" w:hAnsi="Times New Roman" w:cs="Times New Roman"/>
          <w:spacing w:val="-13"/>
          <w:highlight w:val="none"/>
          <w:lang w:eastAsia="zh-CN"/>
        </w:rPr>
        <w:t>砂型3D打印</w:t>
      </w:r>
      <w:r>
        <w:rPr>
          <w:rFonts w:hint="eastAsia" w:ascii="Times New Roman" w:hAnsi="Times New Roman" w:cs="Times New Roman"/>
          <w:spacing w:val="-13"/>
          <w:highlight w:val="none"/>
          <w:lang w:val="en-US" w:eastAsia="zh-CN"/>
        </w:rPr>
        <w:t>设备</w:t>
      </w:r>
      <w:r>
        <w:rPr>
          <w:rFonts w:ascii="Times New Roman" w:hAnsi="Times New Roman" w:cs="Times New Roman"/>
          <w:spacing w:val="-13"/>
          <w:highlight w:val="none"/>
          <w:lang w:eastAsia="zh-CN"/>
        </w:rPr>
        <w:t>所使用的</w:t>
      </w:r>
      <w:r>
        <w:rPr>
          <w:rFonts w:hint="eastAsia" w:ascii="Times New Roman" w:cs="Times New Roman"/>
          <w:spacing w:val="-13"/>
          <w:highlight w:val="none"/>
          <w:lang w:val="en-US" w:eastAsia="zh-CN"/>
        </w:rPr>
        <w:t>热法再生陶粒砂</w:t>
      </w:r>
      <w:r>
        <w:rPr>
          <w:rFonts w:hint="eastAsia" w:ascii="Times New Roman" w:hAnsi="Times New Roman" w:cs="Times New Roman"/>
          <w:spacing w:val="-13"/>
          <w:highlight w:val="none"/>
          <w:lang w:eastAsia="zh-CN"/>
        </w:rPr>
        <w:t>。</w:t>
      </w:r>
    </w:p>
    <w:p>
      <w:pPr>
        <w:pStyle w:val="11"/>
        <w:tabs>
          <w:tab w:val="left" w:pos="312"/>
        </w:tabs>
        <w:spacing w:before="160" w:line="364" w:lineRule="auto"/>
        <w:ind w:right="117" w:firstLine="882" w:firstLineChars="300"/>
        <w:rPr>
          <w:rFonts w:ascii="Times New Roman" w:hAnsi="Times New Roman" w:cs="Times New Roman"/>
          <w:highlight w:val="none"/>
          <w:lang w:eastAsia="zh-CN"/>
        </w:rPr>
      </w:pPr>
      <w:r>
        <w:rPr>
          <w:rFonts w:ascii="Times New Roman" w:hAnsi="Times New Roman" w:cs="Times New Roman"/>
          <w:spacing w:val="-13"/>
          <w:highlight w:val="none"/>
          <w:lang w:eastAsia="zh-CN"/>
        </w:rPr>
        <w:t>二、需求产品技术规格</w:t>
      </w:r>
    </w:p>
    <w:p>
      <w:pPr>
        <w:pStyle w:val="11"/>
        <w:spacing w:before="160" w:line="364" w:lineRule="auto"/>
        <w:ind w:left="218" w:right="117" w:firstLine="480"/>
        <w:rPr>
          <w:rFonts w:ascii="Times New Roman" w:hAnsi="Times New Roman" w:cs="Times New Roman"/>
          <w:spacing w:val="-13"/>
          <w:highlight w:val="none"/>
          <w:lang w:eastAsia="zh-CN"/>
        </w:rPr>
      </w:pPr>
      <w:r>
        <w:rPr>
          <w:rFonts w:ascii="Times New Roman" w:hAnsi="Times New Roman" w:cs="Times New Roman"/>
          <w:spacing w:val="-13"/>
          <w:highlight w:val="none"/>
          <w:lang w:eastAsia="zh-CN"/>
        </w:rPr>
        <w:t>以下</w:t>
      </w:r>
      <w:r>
        <w:rPr>
          <w:rFonts w:hint="eastAsia" w:ascii="Times New Roman" w:cs="Times New Roman"/>
          <w:spacing w:val="-13"/>
          <w:highlight w:val="none"/>
          <w:lang w:val="en-US" w:eastAsia="zh-CN"/>
        </w:rPr>
        <w:t>再生</w:t>
      </w:r>
      <w:r>
        <w:rPr>
          <w:rFonts w:hint="eastAsia" w:ascii="Times New Roman" w:hAnsi="Times New Roman" w:cs="Times New Roman"/>
          <w:spacing w:val="-13"/>
          <w:highlight w:val="none"/>
          <w:lang w:eastAsia="zh-CN"/>
        </w:rPr>
        <w:t>陶粒砂</w:t>
      </w:r>
      <w:r>
        <w:rPr>
          <w:rFonts w:ascii="Times New Roman" w:hAnsi="Times New Roman" w:cs="Times New Roman"/>
          <w:spacing w:val="-13"/>
          <w:highlight w:val="none"/>
          <w:lang w:eastAsia="zh-CN"/>
        </w:rPr>
        <w:t>需求量是预计一年累计用量</w:t>
      </w:r>
      <w:r>
        <w:rPr>
          <w:rFonts w:hint="eastAsia" w:ascii="Times New Roman" w:hAnsi="Times New Roman" w:cs="Times New Roman"/>
          <w:spacing w:val="-13"/>
          <w:highlight w:val="none"/>
          <w:lang w:eastAsia="zh-CN"/>
        </w:rPr>
        <w:t>范围</w:t>
      </w:r>
      <w:r>
        <w:rPr>
          <w:rFonts w:ascii="Times New Roman" w:hAnsi="Times New Roman" w:cs="Times New Roman"/>
          <w:spacing w:val="-13"/>
          <w:highlight w:val="none"/>
          <w:lang w:eastAsia="zh-CN"/>
        </w:rPr>
        <w:t>，不是单次采购量，仅供测算使用，不代表实际用量，具体以实际采购量为准。</w:t>
      </w:r>
    </w:p>
    <w:p>
      <w:pPr>
        <w:pStyle w:val="11"/>
        <w:spacing w:before="160" w:line="364" w:lineRule="auto"/>
        <w:ind w:left="218" w:right="117" w:firstLine="588" w:firstLineChars="200"/>
        <w:rPr>
          <w:rFonts w:ascii="Times New Roman" w:hAnsi="Times New Roman" w:cs="Times New Roman"/>
          <w:spacing w:val="-13"/>
          <w:highlight w:val="none"/>
          <w:lang w:eastAsia="zh-CN"/>
        </w:rPr>
      </w:pPr>
      <w:r>
        <w:rPr>
          <w:rFonts w:ascii="Times New Roman" w:hAnsi="Times New Roman" w:cs="Times New Roman"/>
          <w:spacing w:val="-13"/>
          <w:highlight w:val="none"/>
          <w:lang w:eastAsia="zh-CN"/>
        </w:rPr>
        <w:t>1）需求数量及规格</w:t>
      </w:r>
    </w:p>
    <w:p>
      <w:pPr>
        <w:pStyle w:val="11"/>
        <w:spacing w:before="160" w:line="364" w:lineRule="auto"/>
        <w:ind w:left="218" w:right="117" w:firstLine="480"/>
        <w:rPr>
          <w:rFonts w:ascii="Times New Roman" w:hAnsi="Times New Roman" w:cs="Times New Roman"/>
          <w:spacing w:val="-13"/>
          <w:highlight w:val="none"/>
          <w:lang w:eastAsia="zh-CN"/>
        </w:rPr>
      </w:pPr>
      <w:r>
        <w:rPr>
          <w:rFonts w:hint="eastAsia" w:ascii="Times New Roman" w:hAnsi="Times New Roman" w:cs="Times New Roman"/>
          <w:spacing w:val="-13"/>
          <w:highlight w:val="none"/>
          <w:lang w:eastAsia="zh-CN"/>
        </w:rPr>
        <w:t>年预计需求</w:t>
      </w:r>
      <w:r>
        <w:rPr>
          <w:rFonts w:ascii="Times New Roman" w:hAnsi="Times New Roman" w:cs="Times New Roman"/>
          <w:spacing w:val="-13"/>
          <w:highlight w:val="none"/>
          <w:lang w:eastAsia="zh-CN"/>
        </w:rPr>
        <w:t>数量：</w:t>
      </w:r>
      <w:r>
        <w:rPr>
          <w:rFonts w:hint="eastAsia" w:ascii="Times New Roman" w:cs="Times New Roman"/>
          <w:spacing w:val="-13"/>
          <w:highlight w:val="none"/>
          <w:lang w:val="en-US" w:eastAsia="zh-CN"/>
        </w:rPr>
        <w:t>40</w:t>
      </w:r>
      <w:r>
        <w:rPr>
          <w:rFonts w:ascii="Times New Roman" w:hAnsi="Times New Roman" w:cs="Times New Roman"/>
          <w:spacing w:val="-13"/>
          <w:highlight w:val="none"/>
          <w:lang w:eastAsia="zh-CN"/>
        </w:rPr>
        <w:t>吨</w:t>
      </w:r>
    </w:p>
    <w:p>
      <w:pPr>
        <w:pStyle w:val="11"/>
        <w:spacing w:before="160" w:line="364" w:lineRule="auto"/>
        <w:ind w:left="218" w:right="117" w:firstLine="480"/>
        <w:rPr>
          <w:rFonts w:ascii="Times New Roman" w:hAnsi="Times New Roman" w:cs="Times New Roman"/>
          <w:spacing w:val="-13"/>
          <w:highlight w:val="none"/>
          <w:lang w:eastAsia="zh-CN"/>
        </w:rPr>
      </w:pPr>
      <w:r>
        <w:rPr>
          <w:rFonts w:ascii="Times New Roman" w:hAnsi="Times New Roman" w:cs="Times New Roman"/>
          <w:spacing w:val="-13"/>
          <w:highlight w:val="none"/>
          <w:lang w:eastAsia="zh-CN"/>
        </w:rPr>
        <w:t>规格：100~140目</w:t>
      </w:r>
    </w:p>
    <w:p>
      <w:pPr>
        <w:pStyle w:val="11"/>
        <w:spacing w:before="160" w:line="364" w:lineRule="auto"/>
        <w:ind w:left="218" w:right="117" w:firstLine="480"/>
        <w:rPr>
          <w:rFonts w:ascii="Times New Roman" w:hAnsi="Times New Roman" w:cs="Times New Roman"/>
          <w:spacing w:val="-13"/>
          <w:lang w:eastAsia="zh-CN"/>
        </w:rPr>
      </w:pPr>
      <w:r>
        <w:rPr>
          <w:rFonts w:ascii="Times New Roman" w:hAnsi="Times New Roman" w:cs="Times New Roman"/>
          <w:spacing w:val="-13"/>
          <w:lang w:eastAsia="zh-CN"/>
        </w:rPr>
        <w:t>2）性能要求</w:t>
      </w:r>
    </w:p>
    <w:p>
      <w:pPr>
        <w:pStyle w:val="11"/>
        <w:spacing w:before="160" w:line="364" w:lineRule="auto"/>
        <w:ind w:left="218" w:right="117" w:firstLine="480"/>
        <w:rPr>
          <w:rFonts w:ascii="Times New Roman" w:hAnsi="Times New Roman" w:cs="Times New Roman"/>
          <w:spacing w:val="-13"/>
          <w:lang w:eastAsia="zh-CN"/>
        </w:rPr>
      </w:pPr>
      <w:r>
        <w:rPr>
          <w:rFonts w:ascii="Times New Roman" w:hAnsi="Times New Roman" w:cs="Times New Roman"/>
          <w:spacing w:val="-13"/>
          <w:lang w:eastAsia="zh-CN"/>
        </w:rPr>
        <w:t>外观质量：颜色均匀，无煤屑、小石块、碎木片、石灰石等夹杂物；</w:t>
      </w:r>
    </w:p>
    <w:p>
      <w:pPr>
        <w:pStyle w:val="11"/>
        <w:spacing w:before="160" w:line="364" w:lineRule="auto"/>
        <w:ind w:left="218" w:right="117" w:firstLine="480"/>
        <w:rPr>
          <w:rFonts w:ascii="Times New Roman" w:hAnsi="Times New Roman" w:cs="Times New Roman"/>
          <w:spacing w:val="-13"/>
          <w:lang w:eastAsia="zh-CN"/>
        </w:rPr>
      </w:pPr>
      <w:r>
        <w:rPr>
          <w:rFonts w:ascii="Times New Roman" w:hAnsi="Times New Roman" w:cs="Times New Roman"/>
          <w:spacing w:val="-13"/>
          <w:lang w:eastAsia="zh-CN"/>
        </w:rPr>
        <w:t>含泥量：陶粒砂的含泥量≤0.1%；</w:t>
      </w:r>
    </w:p>
    <w:p>
      <w:pPr>
        <w:pStyle w:val="11"/>
        <w:spacing w:before="160" w:line="364" w:lineRule="auto"/>
        <w:ind w:left="218" w:right="117" w:firstLine="480"/>
        <w:rPr>
          <w:rFonts w:ascii="Times New Roman" w:hAnsi="Times New Roman" w:cs="Times New Roman"/>
          <w:spacing w:val="-13"/>
          <w:lang w:eastAsia="zh-CN"/>
        </w:rPr>
      </w:pPr>
      <w:r>
        <w:rPr>
          <w:rFonts w:ascii="Times New Roman" w:hAnsi="Times New Roman" w:cs="Times New Roman"/>
          <w:spacing w:val="-13"/>
          <w:lang w:eastAsia="zh-CN"/>
        </w:rPr>
        <w:t>酸耗值：陶粒砂</w:t>
      </w:r>
      <w:r>
        <w:rPr>
          <w:rFonts w:ascii="Times New Roman" w:hAnsi="Times New Roman" w:cs="Times New Roman"/>
          <w:lang w:eastAsia="zh-CN"/>
        </w:rPr>
        <w:t>的酸耗值</w:t>
      </w:r>
      <w:r>
        <w:rPr>
          <w:rFonts w:ascii="Times New Roman" w:hAnsi="Times New Roman" w:cs="Times New Roman"/>
          <w:spacing w:val="-13"/>
          <w:lang w:eastAsia="zh-CN"/>
        </w:rPr>
        <w:t>为-1~5</w:t>
      </w:r>
      <w:r>
        <w:rPr>
          <w:rFonts w:ascii="Times New Roman" w:hAnsi="Times New Roman" w:cs="Times New Roman"/>
          <w:lang w:eastAsia="zh-CN"/>
        </w:rPr>
        <w:t>mL；</w:t>
      </w:r>
    </w:p>
    <w:p>
      <w:pPr>
        <w:pStyle w:val="11"/>
        <w:spacing w:before="160" w:line="364" w:lineRule="auto"/>
        <w:ind w:left="218" w:right="117" w:firstLine="480"/>
        <w:rPr>
          <w:rFonts w:ascii="Times New Roman" w:hAnsi="Times New Roman" w:cs="Times New Roman"/>
        </w:rPr>
      </w:pPr>
      <w:r>
        <w:rPr>
          <w:rFonts w:ascii="Times New Roman" w:hAnsi="Times New Roman" w:cs="Times New Roman"/>
          <w:spacing w:val="-13"/>
          <w:lang w:eastAsia="zh-CN"/>
        </w:rPr>
        <w:t>含水量：陶粒砂</w:t>
      </w:r>
      <w:r>
        <w:rPr>
          <w:rFonts w:ascii="Times New Roman" w:hAnsi="Times New Roman" w:cs="Times New Roman"/>
        </w:rPr>
        <w:t>的含水量</w:t>
      </w:r>
      <w:r>
        <w:rPr>
          <w:rFonts w:ascii="Times New Roman" w:hAnsi="Times New Roman" w:cs="Times New Roman"/>
          <w:spacing w:val="-13"/>
          <w:lang w:eastAsia="zh-CN"/>
        </w:rPr>
        <w:t>≤</w:t>
      </w:r>
      <w:r>
        <w:rPr>
          <w:rFonts w:ascii="Times New Roman" w:hAnsi="Times New Roman" w:cs="Times New Roman"/>
        </w:rPr>
        <w:t>0.1%</w:t>
      </w:r>
      <w:r>
        <w:rPr>
          <w:rFonts w:ascii="Times New Roman" w:hAnsi="Times New Roman" w:cs="Times New Roman"/>
          <w:lang w:eastAsia="zh-CN"/>
        </w:rPr>
        <w:t>；</w:t>
      </w:r>
    </w:p>
    <w:p>
      <w:pPr>
        <w:pStyle w:val="11"/>
        <w:spacing w:before="160" w:line="364" w:lineRule="auto"/>
        <w:ind w:left="218" w:right="117" w:firstLine="480"/>
        <w:rPr>
          <w:rFonts w:ascii="Times New Roman" w:hAnsi="Times New Roman" w:cs="Times New Roman"/>
          <w:spacing w:val="-13"/>
          <w:lang w:eastAsia="zh-CN"/>
        </w:rPr>
      </w:pPr>
      <w:r>
        <w:rPr>
          <w:rFonts w:ascii="Times New Roman" w:hAnsi="Times New Roman" w:cs="Times New Roman"/>
          <w:spacing w:val="-13"/>
          <w:lang w:eastAsia="zh-CN"/>
        </w:rPr>
        <w:t>灼减量：陶粒砂的灼减量≤</w:t>
      </w:r>
      <w:r>
        <w:rPr>
          <w:rFonts w:ascii="Times New Roman" w:hAnsi="Times New Roman" w:cs="Times New Roman"/>
          <w:lang w:eastAsia="zh-CN"/>
        </w:rPr>
        <w:t>0.1%</w:t>
      </w:r>
      <w:r>
        <w:rPr>
          <w:rFonts w:ascii="Times New Roman" w:hAnsi="Times New Roman" w:cs="Times New Roman"/>
          <w:spacing w:val="-13"/>
          <w:lang w:eastAsia="zh-CN"/>
        </w:rPr>
        <w:t>；</w:t>
      </w:r>
    </w:p>
    <w:p>
      <w:pPr>
        <w:pStyle w:val="11"/>
        <w:spacing w:before="160" w:line="364" w:lineRule="auto"/>
        <w:ind w:left="218" w:right="117" w:firstLine="480"/>
        <w:rPr>
          <w:rFonts w:ascii="Times New Roman" w:hAnsi="Times New Roman" w:cs="Times New Roman"/>
          <w:spacing w:val="-13"/>
          <w:lang w:eastAsia="zh-CN"/>
        </w:rPr>
      </w:pPr>
      <w:r>
        <w:rPr>
          <w:rFonts w:hint="eastAsia" w:ascii="Times New Roman" w:cs="Times New Roman"/>
          <w:spacing w:val="-13"/>
          <w:lang w:val="en-US" w:eastAsia="zh-CN"/>
        </w:rPr>
        <w:t>3</w:t>
      </w:r>
      <w:r>
        <w:rPr>
          <w:rFonts w:ascii="Times New Roman" w:hAnsi="Times New Roman" w:cs="Times New Roman"/>
          <w:spacing w:val="-13"/>
          <w:lang w:eastAsia="zh-CN"/>
        </w:rPr>
        <w:t>）各目数所占质量百分比</w:t>
      </w:r>
    </w:p>
    <w:p>
      <w:pPr>
        <w:pStyle w:val="11"/>
        <w:spacing w:before="160" w:line="364" w:lineRule="auto"/>
        <w:ind w:left="218" w:right="117" w:firstLine="480"/>
        <w:rPr>
          <w:rFonts w:ascii="Times New Roman" w:hAnsi="Times New Roman" w:cs="Times New Roman"/>
          <w:spacing w:val="-13"/>
          <w:lang w:eastAsia="zh-CN"/>
        </w:rPr>
      </w:pP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690"/>
        <w:gridCol w:w="551"/>
        <w:gridCol w:w="692"/>
        <w:gridCol w:w="829"/>
        <w:gridCol w:w="829"/>
        <w:gridCol w:w="827"/>
        <w:gridCol w:w="692"/>
        <w:gridCol w:w="698"/>
        <w:gridCol w:w="69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粒度规格（目）</w:t>
            </w:r>
          </w:p>
        </w:tc>
        <w:tc>
          <w:tcPr>
            <w:tcW w:w="3499" w:type="pct"/>
            <w:gridSpan w:val="9"/>
            <w:vAlign w:val="center"/>
          </w:tcPr>
          <w:p>
            <w:pPr>
              <w:spacing w:line="360" w:lineRule="auto"/>
              <w:jc w:val="center"/>
              <w:rPr>
                <w:rFonts w:ascii="Times New Roman" w:hAnsi="Times New Roman" w:cs="Times New Roman"/>
                <w:sz w:val="21"/>
                <w:szCs w:val="21"/>
                <w:lang w:eastAsia="zh-CN"/>
              </w:rPr>
            </w:pPr>
            <w:r>
              <w:rPr>
                <w:rFonts w:ascii="Times New Roman" w:hAnsi="Times New Roman" w:cs="Times New Roman"/>
                <w:sz w:val="21"/>
                <w:szCs w:val="21"/>
                <w:lang w:eastAsia="zh-CN"/>
              </w:rPr>
              <w:t>各目数所占质量百分比%</w:t>
            </w:r>
          </w:p>
        </w:tc>
        <w:tc>
          <w:tcPr>
            <w:tcW w:w="610" w:type="pct"/>
            <w:vMerge w:val="restar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AFS</w:t>
            </w:r>
          </w:p>
          <w:p>
            <w:pPr>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eastAsia="zh-CN"/>
              </w:rPr>
              <w:t>（细度）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Merge w:val="continue"/>
            <w:vAlign w:val="center"/>
          </w:tcPr>
          <w:p>
            <w:pPr>
              <w:spacing w:line="360" w:lineRule="auto"/>
              <w:jc w:val="center"/>
              <w:rPr>
                <w:rFonts w:ascii="Times New Roman" w:hAnsi="Times New Roman" w:cs="Times New Roman"/>
                <w:sz w:val="21"/>
                <w:szCs w:val="21"/>
              </w:rPr>
            </w:pPr>
          </w:p>
        </w:tc>
        <w:tc>
          <w:tcPr>
            <w:tcW w:w="372"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lang w:eastAsia="zh-CN"/>
              </w:rPr>
              <w:t>≤</w:t>
            </w:r>
            <w:r>
              <w:rPr>
                <w:rFonts w:ascii="Times New Roman" w:hAnsi="Times New Roman" w:cs="Times New Roman"/>
                <w:sz w:val="21"/>
                <w:szCs w:val="21"/>
              </w:rPr>
              <w:t>30</w:t>
            </w:r>
          </w:p>
        </w:tc>
        <w:tc>
          <w:tcPr>
            <w:tcW w:w="29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373"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50</w:t>
            </w:r>
          </w:p>
        </w:tc>
        <w:tc>
          <w:tcPr>
            <w:tcW w:w="44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70</w:t>
            </w:r>
          </w:p>
        </w:tc>
        <w:tc>
          <w:tcPr>
            <w:tcW w:w="44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100</w:t>
            </w:r>
          </w:p>
        </w:tc>
        <w:tc>
          <w:tcPr>
            <w:tcW w:w="446"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140</w:t>
            </w:r>
          </w:p>
        </w:tc>
        <w:tc>
          <w:tcPr>
            <w:tcW w:w="373"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200</w:t>
            </w:r>
          </w:p>
        </w:tc>
        <w:tc>
          <w:tcPr>
            <w:tcW w:w="371"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270</w:t>
            </w:r>
          </w:p>
        </w:tc>
        <w:tc>
          <w:tcPr>
            <w:tcW w:w="372"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lang w:eastAsia="zh-CN"/>
              </w:rPr>
              <w:t>底盘</w:t>
            </w:r>
          </w:p>
        </w:tc>
        <w:tc>
          <w:tcPr>
            <w:tcW w:w="610" w:type="pct"/>
            <w:vMerge w:val="continue"/>
            <w:vAlign w:val="center"/>
          </w:tcPr>
          <w:p>
            <w:pPr>
              <w:spacing w:line="360" w:lineRule="auto"/>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pc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100~140</w:t>
            </w:r>
          </w:p>
        </w:tc>
        <w:tc>
          <w:tcPr>
            <w:tcW w:w="372"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29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373"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44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0~4</w:t>
            </w:r>
          </w:p>
        </w:tc>
        <w:tc>
          <w:tcPr>
            <w:tcW w:w="447"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35~60</w:t>
            </w:r>
          </w:p>
        </w:tc>
        <w:tc>
          <w:tcPr>
            <w:tcW w:w="446"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35~65</w:t>
            </w:r>
          </w:p>
        </w:tc>
        <w:tc>
          <w:tcPr>
            <w:tcW w:w="373"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0~6</w:t>
            </w:r>
          </w:p>
        </w:tc>
        <w:tc>
          <w:tcPr>
            <w:tcW w:w="371"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0~0.2</w:t>
            </w:r>
          </w:p>
        </w:tc>
        <w:tc>
          <w:tcPr>
            <w:tcW w:w="372" w:type="pct"/>
            <w:vAlign w:val="bottom"/>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610" w:type="pct"/>
            <w:vAlign w:val="center"/>
          </w:tcPr>
          <w:p>
            <w:pPr>
              <w:spacing w:line="360" w:lineRule="auto"/>
              <w:jc w:val="center"/>
              <w:rPr>
                <w:rFonts w:ascii="Times New Roman" w:hAnsi="Times New Roman" w:cs="Times New Roman"/>
                <w:sz w:val="21"/>
                <w:szCs w:val="21"/>
              </w:rPr>
            </w:pPr>
            <w:r>
              <w:rPr>
                <w:rFonts w:ascii="Times New Roman" w:hAnsi="Times New Roman" w:cs="Times New Roman"/>
                <w:sz w:val="21"/>
                <w:szCs w:val="21"/>
              </w:rPr>
              <w:t>81~91</w:t>
            </w:r>
          </w:p>
        </w:tc>
      </w:tr>
    </w:tbl>
    <w:p>
      <w:pPr>
        <w:pStyle w:val="11"/>
        <w:numPr>
          <w:ilvl w:val="0"/>
          <w:numId w:val="7"/>
        </w:numPr>
        <w:spacing w:before="160" w:line="364" w:lineRule="auto"/>
        <w:ind w:left="218" w:right="117" w:firstLine="480"/>
        <w:rPr>
          <w:rFonts w:hint="eastAsia"/>
          <w:spacing w:val="-13"/>
          <w:lang w:val="en-US" w:eastAsia="zh-CN"/>
        </w:rPr>
      </w:pPr>
      <w:r>
        <w:rPr>
          <w:rFonts w:hint="eastAsia"/>
          <w:spacing w:val="-13"/>
          <w:lang w:val="en-US" w:eastAsia="zh-CN"/>
        </w:rPr>
        <w:t>再生比例</w:t>
      </w:r>
    </w:p>
    <w:p>
      <w:pPr>
        <w:pStyle w:val="11"/>
        <w:numPr>
          <w:ilvl w:val="0"/>
          <w:numId w:val="0"/>
        </w:numPr>
        <w:spacing w:before="160" w:line="364" w:lineRule="auto"/>
        <w:ind w:left="698" w:leftChars="0" w:right="117" w:rightChars="0"/>
        <w:rPr>
          <w:rFonts w:hint="eastAsia"/>
          <w:spacing w:val="-13"/>
          <w:lang w:val="en-US" w:eastAsia="zh-CN"/>
        </w:rPr>
      </w:pPr>
      <w:r>
        <w:rPr>
          <w:rFonts w:hint="eastAsia"/>
          <w:spacing w:val="-13"/>
          <w:lang w:val="en-US" w:eastAsia="zh-CN"/>
        </w:rPr>
        <w:t>再生陶粒砂重量≥废陶粒砂重量的60%（每吨）</w:t>
      </w:r>
    </w:p>
    <w:p>
      <w:pPr>
        <w:pStyle w:val="11"/>
        <w:numPr>
          <w:ilvl w:val="0"/>
          <w:numId w:val="7"/>
        </w:numPr>
        <w:spacing w:before="160" w:line="364" w:lineRule="auto"/>
        <w:ind w:left="218" w:leftChars="0" w:right="117" w:rightChars="0" w:firstLine="480" w:firstLineChars="0"/>
        <w:rPr>
          <w:rFonts w:hint="eastAsia"/>
          <w:spacing w:val="-13"/>
          <w:lang w:val="en-US" w:eastAsia="zh-CN"/>
        </w:rPr>
      </w:pPr>
      <w:r>
        <w:rPr>
          <w:rFonts w:hint="eastAsia"/>
          <w:spacing w:val="-13"/>
          <w:lang w:val="en-US" w:eastAsia="zh-CN"/>
        </w:rPr>
        <w:t>废陶粒砂处理</w:t>
      </w:r>
    </w:p>
    <w:p>
      <w:pPr>
        <w:pStyle w:val="11"/>
        <w:numPr>
          <w:ilvl w:val="0"/>
          <w:numId w:val="0"/>
        </w:numPr>
        <w:spacing w:before="160" w:line="364" w:lineRule="auto"/>
        <w:ind w:left="698" w:leftChars="0" w:right="117" w:rightChars="0"/>
        <w:rPr>
          <w:rFonts w:hint="eastAsia"/>
          <w:spacing w:val="-13"/>
          <w:lang w:val="en-US" w:eastAsia="zh-CN"/>
        </w:rPr>
      </w:pPr>
      <w:r>
        <w:rPr>
          <w:rFonts w:hint="eastAsia"/>
          <w:spacing w:val="-13"/>
          <w:lang w:val="en-US" w:eastAsia="zh-CN"/>
        </w:rPr>
        <w:t>供应商应负责免费处理我方所产生的废陶粒砂，其中包含但不限于废陶粒砂运输费用、热法再生费用</w:t>
      </w:r>
    </w:p>
    <w:p>
      <w:pPr>
        <w:pStyle w:val="11"/>
        <w:numPr>
          <w:ilvl w:val="0"/>
          <w:numId w:val="7"/>
        </w:numPr>
        <w:spacing w:before="160" w:line="364" w:lineRule="auto"/>
        <w:ind w:left="218" w:leftChars="0" w:right="117" w:rightChars="0" w:firstLine="480" w:firstLineChars="0"/>
        <w:rPr>
          <w:rFonts w:hint="eastAsia"/>
          <w:spacing w:val="-13"/>
          <w:lang w:val="en-US" w:eastAsia="zh-CN"/>
        </w:rPr>
      </w:pPr>
      <w:r>
        <w:rPr>
          <w:rFonts w:hint="eastAsia"/>
          <w:spacing w:val="-13"/>
          <w:lang w:val="en-US" w:eastAsia="zh-CN"/>
        </w:rPr>
        <w:t>再生陶粒砂回采</w:t>
      </w:r>
    </w:p>
    <w:p>
      <w:pPr>
        <w:pStyle w:val="11"/>
        <w:numPr>
          <w:ilvl w:val="0"/>
          <w:numId w:val="0"/>
        </w:numPr>
        <w:spacing w:before="160" w:line="364" w:lineRule="auto"/>
        <w:ind w:left="698" w:leftChars="0" w:right="117" w:rightChars="0"/>
        <w:rPr>
          <w:rFonts w:hint="default"/>
          <w:spacing w:val="-13"/>
          <w:lang w:val="en-US" w:eastAsia="zh-CN"/>
        </w:rPr>
      </w:pPr>
      <w:r>
        <w:rPr>
          <w:rFonts w:hint="eastAsia"/>
          <w:spacing w:val="-13"/>
          <w:lang w:val="en-US" w:eastAsia="zh-CN"/>
        </w:rPr>
        <w:t>废陶粒砂经供应商采用热法再生工艺处理后，由我方进行回采，回采量按技术文件中第二部分第四条（再生比例）执行</w:t>
      </w:r>
    </w:p>
    <w:p>
      <w:pPr>
        <w:pStyle w:val="11"/>
        <w:spacing w:before="160" w:line="364" w:lineRule="auto"/>
        <w:ind w:left="218" w:right="117" w:firstLine="480"/>
        <w:rPr>
          <w:spacing w:val="-13"/>
          <w:lang w:eastAsia="zh-CN"/>
        </w:rPr>
      </w:pPr>
      <w:r>
        <w:rPr>
          <w:spacing w:val="-13"/>
          <w:lang w:eastAsia="zh-CN"/>
        </w:rPr>
        <w:t>3.资格能力要求：</w:t>
      </w:r>
    </w:p>
    <w:p>
      <w:pPr>
        <w:pStyle w:val="11"/>
        <w:spacing w:before="160" w:line="364" w:lineRule="auto"/>
        <w:ind w:left="218" w:right="117" w:firstLine="480"/>
        <w:rPr>
          <w:spacing w:val="-13"/>
          <w:lang w:eastAsia="zh-CN"/>
        </w:rPr>
      </w:pPr>
      <w:r>
        <w:rPr>
          <w:spacing w:val="-13"/>
          <w:lang w:eastAsia="zh-CN"/>
        </w:rPr>
        <w:t>3.1供应商应提供符合国际通行的质量体系ISO9001认证以及RoHS安全性证明。</w:t>
      </w:r>
    </w:p>
    <w:p>
      <w:pPr>
        <w:pStyle w:val="11"/>
        <w:spacing w:before="160" w:line="364" w:lineRule="auto"/>
        <w:ind w:left="218" w:right="117" w:firstLine="480"/>
        <w:rPr>
          <w:spacing w:val="-13"/>
          <w:lang w:eastAsia="zh-CN"/>
        </w:rPr>
      </w:pPr>
      <w:r>
        <w:rPr>
          <w:spacing w:val="-13"/>
          <w:lang w:eastAsia="zh-CN"/>
        </w:rPr>
        <w:t>3.2供应商有至少为</w:t>
      </w:r>
      <w:r>
        <w:rPr>
          <w:rFonts w:hint="eastAsia"/>
          <w:spacing w:val="-13"/>
          <w:lang w:val="en-US" w:eastAsia="zh-CN"/>
        </w:rPr>
        <w:t>2</w:t>
      </w:r>
      <w:r>
        <w:rPr>
          <w:spacing w:val="-13"/>
          <w:lang w:eastAsia="zh-CN"/>
        </w:rPr>
        <w:t>家以上的中国国内</w:t>
      </w:r>
      <w:r>
        <w:rPr>
          <w:rFonts w:hint="eastAsia"/>
          <w:spacing w:val="-13"/>
          <w:lang w:eastAsia="zh-CN"/>
        </w:rPr>
        <w:t>铸造</w:t>
      </w:r>
      <w:r>
        <w:rPr>
          <w:spacing w:val="-13"/>
          <w:lang w:eastAsia="zh-CN"/>
        </w:rPr>
        <w:t>行业用户供应过相关产品的经验。</w:t>
      </w:r>
    </w:p>
    <w:p>
      <w:pPr>
        <w:pStyle w:val="11"/>
        <w:spacing w:before="160" w:line="364" w:lineRule="auto"/>
        <w:ind w:left="218" w:right="117" w:firstLine="480"/>
        <w:rPr>
          <w:spacing w:val="-13"/>
          <w:lang w:eastAsia="zh-CN"/>
        </w:rPr>
      </w:pPr>
      <w:r>
        <w:rPr>
          <w:spacing w:val="-13"/>
          <w:lang w:eastAsia="zh-CN"/>
        </w:rPr>
        <w:t>3.3供应商能提供由制造商出具的针对本项目的授权文件，以保证产品的渠道是合规的、可追溯的，并能够得到制造商售后保障的；</w:t>
      </w:r>
    </w:p>
    <w:p>
      <w:pPr>
        <w:pStyle w:val="11"/>
        <w:spacing w:before="160" w:line="364" w:lineRule="auto"/>
        <w:ind w:left="218" w:right="117" w:firstLine="480"/>
        <w:rPr>
          <w:spacing w:val="-13"/>
          <w:lang w:eastAsia="zh-CN"/>
        </w:rPr>
      </w:pPr>
      <w:r>
        <w:rPr>
          <w:spacing w:val="-13"/>
          <w:lang w:eastAsia="zh-CN"/>
        </w:rPr>
        <w:t>3.4对于未经使用的有质量问题的货物，要求供货方能够及时提供无偿更换，同时供货方不得收取任何额外费用；</w:t>
      </w:r>
    </w:p>
    <w:p>
      <w:pPr>
        <w:pStyle w:val="11"/>
        <w:spacing w:before="160" w:line="364" w:lineRule="auto"/>
        <w:ind w:left="218" w:right="117" w:firstLine="480"/>
        <w:rPr>
          <w:rFonts w:hint="eastAsia"/>
          <w:spacing w:val="-13"/>
          <w:lang w:val="en-US" w:eastAsia="zh-CN"/>
        </w:rPr>
      </w:pPr>
      <w:r>
        <w:rPr>
          <w:rFonts w:hint="eastAsia"/>
          <w:spacing w:val="-13"/>
          <w:lang w:eastAsia="zh-CN"/>
        </w:rPr>
        <w:t>3</w:t>
      </w:r>
      <w:r>
        <w:rPr>
          <w:spacing w:val="-13"/>
          <w:lang w:eastAsia="zh-CN"/>
        </w:rPr>
        <w:t>.5</w:t>
      </w:r>
      <w:r>
        <w:rPr>
          <w:rFonts w:hint="eastAsia"/>
          <w:spacing w:val="-13"/>
          <w:lang w:eastAsia="zh-CN"/>
        </w:rPr>
        <w:t>每批原材料发货时需提供原材料成分检验报告，中国重汽集团济南动力有限公司需对成分数据或报告及时开展验收，如对测试数据或报告有异议的，应在收到测试报告之日起</w:t>
      </w:r>
      <w:r>
        <w:rPr>
          <w:spacing w:val="-13"/>
          <w:lang w:eastAsia="zh-CN"/>
        </w:rPr>
        <w:t>15个工作日内向投标方提出异议，投标方在收到测试结果异议通知后，需3天内给予有效的解决方案。</w:t>
      </w:r>
    </w:p>
    <w:p>
      <w:pPr>
        <w:pStyle w:val="11"/>
        <w:spacing w:before="160" w:line="364" w:lineRule="auto"/>
        <w:ind w:left="218" w:right="117" w:firstLine="480"/>
        <w:rPr>
          <w:spacing w:val="-13"/>
          <w:lang w:eastAsia="zh-CN"/>
        </w:rPr>
      </w:pPr>
      <w:r>
        <w:rPr>
          <w:rFonts w:hint="eastAsia"/>
          <w:spacing w:val="-13"/>
          <w:lang w:val="en-US" w:eastAsia="zh-CN"/>
        </w:rPr>
        <w:t>3.6供应商能够及时响应客户需求，</w:t>
      </w:r>
      <w:r>
        <w:rPr>
          <w:spacing w:val="-13"/>
          <w:lang w:eastAsia="zh-CN"/>
        </w:rPr>
        <w:t>一般要求在</w:t>
      </w:r>
      <w:r>
        <w:rPr>
          <w:rFonts w:hint="eastAsia"/>
          <w:spacing w:val="-13"/>
          <w:lang w:val="en-US" w:eastAsia="zh-CN"/>
        </w:rPr>
        <w:t>1</w:t>
      </w:r>
      <w:r>
        <w:rPr>
          <w:spacing w:val="-13"/>
          <w:lang w:eastAsia="zh-CN"/>
        </w:rPr>
        <w:t>5天内能够送达客户现场。</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EFB8FC2C"/>
    <w:multiLevelType w:val="singleLevel"/>
    <w:tmpl w:val="EFB8FC2C"/>
    <w:lvl w:ilvl="0" w:tentative="0">
      <w:start w:val="4"/>
      <w:numFmt w:val="decimal"/>
      <w:suff w:val="nothing"/>
      <w:lvlText w:val="%1）"/>
      <w:lvlJc w:val="left"/>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03435D2"/>
    <w:rsid w:val="14A15C19"/>
    <w:rsid w:val="17EB3444"/>
    <w:rsid w:val="17EC378B"/>
    <w:rsid w:val="18076BC0"/>
    <w:rsid w:val="20863DC6"/>
    <w:rsid w:val="25132C86"/>
    <w:rsid w:val="29F179E6"/>
    <w:rsid w:val="2EB771D0"/>
    <w:rsid w:val="310224D9"/>
    <w:rsid w:val="34F7633C"/>
    <w:rsid w:val="39086FC9"/>
    <w:rsid w:val="390C2146"/>
    <w:rsid w:val="3F570D47"/>
    <w:rsid w:val="4B922BD6"/>
    <w:rsid w:val="4C3A530E"/>
    <w:rsid w:val="51D2577C"/>
    <w:rsid w:val="60AE53F2"/>
    <w:rsid w:val="636F4F70"/>
    <w:rsid w:val="65AD6236"/>
    <w:rsid w:val="69006FA7"/>
    <w:rsid w:val="69787200"/>
    <w:rsid w:val="6B536ECB"/>
    <w:rsid w:val="6D77332B"/>
    <w:rsid w:val="6F103A37"/>
    <w:rsid w:val="720E4873"/>
    <w:rsid w:val="7252339E"/>
    <w:rsid w:val="750940E9"/>
    <w:rsid w:val="770A4AF1"/>
    <w:rsid w:val="773504DF"/>
    <w:rsid w:val="77EF6C01"/>
    <w:rsid w:val="7C5B571D"/>
    <w:rsid w:val="7D4635F6"/>
    <w:rsid w:val="ABD712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7685</Words>
  <Characters>7924</Characters>
  <Lines>247</Lines>
  <Paragraphs>69</Paragraphs>
  <TotalTime>0</TotalTime>
  <ScaleCrop>false</ScaleCrop>
  <LinksUpToDate>false</LinksUpToDate>
  <CharactersWithSpaces>10808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2025-05-14T08:23:27Z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