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670E7">
      <w:pPr>
        <w:spacing w:line="360" w:lineRule="auto"/>
        <w:ind w:right="360" w:firstLine="420"/>
        <w:jc w:val="left"/>
        <w:rPr>
          <w:rFonts w:ascii="宋体" w:hAnsi="宋体" w:cs="宋体"/>
          <w:sz w:val="24"/>
          <w:szCs w:val="24"/>
        </w:rPr>
      </w:pPr>
      <w:r>
        <w:drawing>
          <wp:anchor distT="0" distB="0" distL="114300" distR="114300" simplePos="0" relativeHeight="251659264" behindDoc="0" locked="0" layoutInCell="1" allowOverlap="1">
            <wp:simplePos x="0" y="0"/>
            <wp:positionH relativeFrom="column">
              <wp:posOffset>-264795</wp:posOffset>
            </wp:positionH>
            <wp:positionV relativeFrom="paragraph">
              <wp:posOffset>231140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pic:spPr>
                </pic:pic>
              </a:graphicData>
            </a:graphic>
          </wp:anchor>
        </w:drawing>
      </w:r>
    </w:p>
    <w:p w14:paraId="65AB57E0">
      <w:pPr>
        <w:spacing w:line="360" w:lineRule="auto"/>
        <w:ind w:right="360" w:firstLine="480"/>
        <w:jc w:val="left"/>
        <w:rPr>
          <w:rFonts w:ascii="宋体" w:hAnsi="宋体" w:cs="宋体"/>
          <w:sz w:val="24"/>
          <w:szCs w:val="24"/>
        </w:rPr>
      </w:pPr>
    </w:p>
    <w:p w14:paraId="21054A3F">
      <w:pPr>
        <w:spacing w:line="360" w:lineRule="auto"/>
        <w:ind w:right="360" w:firstLine="480"/>
        <w:jc w:val="left"/>
        <w:rPr>
          <w:rFonts w:ascii="宋体" w:hAnsi="宋体" w:cs="宋体"/>
          <w:sz w:val="24"/>
          <w:szCs w:val="24"/>
        </w:rPr>
      </w:pPr>
    </w:p>
    <w:p w14:paraId="066F264C">
      <w:pPr>
        <w:spacing w:line="360" w:lineRule="auto"/>
        <w:ind w:right="360" w:firstLine="480"/>
        <w:jc w:val="left"/>
        <w:rPr>
          <w:rFonts w:ascii="宋体" w:hAnsi="宋体" w:cs="宋体"/>
          <w:sz w:val="24"/>
          <w:szCs w:val="24"/>
        </w:rPr>
      </w:pPr>
    </w:p>
    <w:p w14:paraId="04800B9C">
      <w:pPr>
        <w:spacing w:line="480" w:lineRule="auto"/>
        <w:ind w:firstLine="420"/>
        <w:rPr>
          <w:rFonts w:ascii="宋体" w:hAnsi="宋体"/>
        </w:rPr>
      </w:pPr>
    </w:p>
    <w:p w14:paraId="2FDC4AE3">
      <w:pPr>
        <w:spacing w:line="360" w:lineRule="auto"/>
        <w:ind w:firstLine="880"/>
        <w:rPr>
          <w:rFonts w:ascii="宋体" w:hAnsi="宋体"/>
          <w:sz w:val="44"/>
          <w:szCs w:val="44"/>
        </w:rPr>
      </w:pPr>
    </w:p>
    <w:p w14:paraId="6F4EAC15">
      <w:pPr>
        <w:spacing w:line="360" w:lineRule="auto"/>
        <w:ind w:firstLine="883"/>
        <w:jc w:val="center"/>
        <w:rPr>
          <w:rFonts w:ascii="宋体" w:hAnsi="宋体"/>
          <w:b/>
          <w:bCs/>
          <w:sz w:val="44"/>
          <w:szCs w:val="44"/>
          <w:u w:val="single"/>
        </w:rPr>
      </w:pPr>
      <w:r>
        <w:rPr>
          <w:rFonts w:hint="eastAsia" w:ascii="宋体" w:hAnsi="宋体"/>
          <w:b/>
          <w:bCs/>
          <w:sz w:val="44"/>
          <w:szCs w:val="44"/>
          <w:u w:val="single"/>
        </w:rPr>
        <w:t>中国重汽集团济宁商用车有限公司</w:t>
      </w:r>
    </w:p>
    <w:p w14:paraId="178FAE66">
      <w:pPr>
        <w:ind w:firstLine="883"/>
        <w:jc w:val="center"/>
        <w:rPr>
          <w:rFonts w:ascii="宋体" w:hAnsi="宋体"/>
          <w:b/>
          <w:bCs/>
          <w:sz w:val="44"/>
          <w:szCs w:val="44"/>
          <w:u w:val="single"/>
        </w:rPr>
      </w:pPr>
      <w:r>
        <w:rPr>
          <w:rFonts w:hint="eastAsia" w:ascii="宋体" w:hAnsi="宋体"/>
          <w:b/>
          <w:bCs/>
          <w:sz w:val="44"/>
          <w:szCs w:val="44"/>
          <w:u w:val="single"/>
        </w:rPr>
        <w:br w:type="textWrapping"/>
      </w:r>
      <w:r>
        <w:rPr>
          <w:rFonts w:hint="eastAsia" w:ascii="宋体" w:hAnsi="宋体"/>
          <w:b/>
          <w:bCs/>
          <w:sz w:val="44"/>
          <w:szCs w:val="44"/>
          <w:u w:val="single"/>
        </w:rPr>
        <w:t>环保用电监管运维项目</w:t>
      </w:r>
    </w:p>
    <w:p w14:paraId="05F8F769">
      <w:pPr>
        <w:spacing w:line="360" w:lineRule="auto"/>
        <w:ind w:firstLine="1440"/>
        <w:jc w:val="center"/>
        <w:rPr>
          <w:rFonts w:ascii="宋体" w:hAnsi="宋体" w:cs="宋体"/>
          <w:sz w:val="72"/>
          <w:szCs w:val="72"/>
        </w:rPr>
      </w:pPr>
      <w:r>
        <w:rPr>
          <w:rFonts w:hint="eastAsia" w:ascii="宋体" w:hAnsi="宋体" w:cs="宋体"/>
          <w:sz w:val="72"/>
          <w:szCs w:val="72"/>
        </w:rPr>
        <w:t>招标文件</w:t>
      </w:r>
    </w:p>
    <w:p w14:paraId="5995F3B3">
      <w:pPr>
        <w:pStyle w:val="5"/>
        <w:ind w:firstLine="643"/>
        <w:rPr>
          <w:rFonts w:ascii="宋体" w:hAnsi="宋体" w:cs="宋体"/>
          <w:b/>
          <w:bCs/>
          <w:sz w:val="32"/>
          <w:szCs w:val="32"/>
        </w:rPr>
      </w:pPr>
    </w:p>
    <w:p w14:paraId="72598873">
      <w:pPr>
        <w:pStyle w:val="5"/>
        <w:ind w:firstLine="643"/>
        <w:rPr>
          <w:rFonts w:ascii="宋体" w:hAnsi="宋体" w:cs="宋体"/>
          <w:b/>
          <w:bCs/>
          <w:sz w:val="32"/>
          <w:szCs w:val="32"/>
        </w:rPr>
      </w:pPr>
    </w:p>
    <w:p w14:paraId="018386A5">
      <w:pPr>
        <w:spacing w:line="360" w:lineRule="auto"/>
        <w:ind w:firstLine="643"/>
        <w:jc w:val="left"/>
        <w:rPr>
          <w:rFonts w:ascii="宋体" w:hAnsi="宋体" w:cs="宋体"/>
          <w:b/>
          <w:bCs/>
          <w:kern w:val="0"/>
          <w:sz w:val="32"/>
          <w:szCs w:val="32"/>
        </w:rPr>
      </w:pPr>
    </w:p>
    <w:p w14:paraId="030B0D3C">
      <w:pPr>
        <w:spacing w:line="360" w:lineRule="auto"/>
        <w:ind w:firstLine="643"/>
        <w:jc w:val="left"/>
        <w:rPr>
          <w:rFonts w:ascii="宋体" w:hAnsi="宋体" w:cs="宋体"/>
          <w:b/>
          <w:bCs/>
          <w:kern w:val="0"/>
          <w:sz w:val="32"/>
          <w:szCs w:val="32"/>
        </w:rPr>
      </w:pPr>
    </w:p>
    <w:p w14:paraId="76223A56">
      <w:pPr>
        <w:spacing w:line="360" w:lineRule="auto"/>
        <w:ind w:firstLine="643"/>
        <w:jc w:val="left"/>
        <w:rPr>
          <w:rFonts w:ascii="宋体" w:hAnsi="宋体" w:cs="宋体"/>
          <w:b/>
          <w:bCs/>
          <w:kern w:val="0"/>
          <w:sz w:val="32"/>
          <w:szCs w:val="32"/>
        </w:rPr>
      </w:pPr>
    </w:p>
    <w:p w14:paraId="0226A86F">
      <w:pPr>
        <w:spacing w:line="360" w:lineRule="auto"/>
        <w:ind w:firstLine="643"/>
        <w:jc w:val="left"/>
        <w:rPr>
          <w:rFonts w:ascii="宋体" w:hAnsi="宋体" w:cs="宋体"/>
          <w:b/>
          <w:bCs/>
          <w:kern w:val="0"/>
          <w:sz w:val="32"/>
          <w:szCs w:val="32"/>
        </w:rPr>
      </w:pPr>
    </w:p>
    <w:p w14:paraId="6842CA24">
      <w:pPr>
        <w:spacing w:line="360" w:lineRule="auto"/>
        <w:ind w:firstLine="643"/>
        <w:rPr>
          <w:rFonts w:ascii="宋体" w:hAnsi="宋体" w:cs="宋体"/>
          <w:b/>
          <w:bCs/>
          <w:kern w:val="0"/>
          <w:sz w:val="32"/>
          <w:szCs w:val="32"/>
        </w:rPr>
      </w:pPr>
    </w:p>
    <w:p w14:paraId="7ADE1D7B">
      <w:pPr>
        <w:spacing w:line="360" w:lineRule="auto"/>
        <w:ind w:firstLine="482"/>
        <w:jc w:val="left"/>
        <w:rPr>
          <w:rFonts w:ascii="宋体" w:hAnsi="宋体" w:cs="宋体"/>
          <w:b/>
          <w:bCs/>
          <w:sz w:val="24"/>
        </w:rPr>
      </w:pPr>
    </w:p>
    <w:p w14:paraId="32E2255D">
      <w:pPr>
        <w:spacing w:line="360" w:lineRule="auto"/>
        <w:ind w:firstLine="1494" w:firstLineChars="496"/>
        <w:rPr>
          <w:rFonts w:ascii="宋体" w:hAnsi="宋体" w:cs="宋体"/>
          <w:b/>
          <w:bCs/>
          <w:sz w:val="30"/>
          <w:szCs w:val="30"/>
        </w:rPr>
      </w:pPr>
      <w:r>
        <w:rPr>
          <w:rFonts w:hint="eastAsia" w:ascii="宋体" w:hAnsi="宋体" w:cs="宋体"/>
          <w:b/>
          <w:bCs/>
          <w:sz w:val="30"/>
          <w:szCs w:val="30"/>
        </w:rPr>
        <w:t>招 标 人：</w:t>
      </w:r>
      <w:r>
        <w:rPr>
          <w:rFonts w:hint="eastAsia" w:ascii="宋体" w:hAnsi="宋体" w:cs="宋体"/>
          <w:b/>
          <w:bCs/>
          <w:sz w:val="30"/>
          <w:szCs w:val="30"/>
          <w:u w:val="single"/>
        </w:rPr>
        <w:t xml:space="preserve"> 中国重汽集团济宁商用车有限公司 </w:t>
      </w:r>
    </w:p>
    <w:p w14:paraId="36948B12">
      <w:pPr>
        <w:spacing w:line="360" w:lineRule="auto"/>
        <w:ind w:firstLine="602"/>
        <w:jc w:val="center"/>
        <w:rPr>
          <w:rFonts w:ascii="宋体" w:hAnsi="宋体" w:cs="宋体"/>
          <w:b/>
          <w:bCs/>
          <w:sz w:val="30"/>
          <w:szCs w:val="30"/>
        </w:rPr>
      </w:pPr>
    </w:p>
    <w:p w14:paraId="27384727">
      <w:pPr>
        <w:spacing w:line="360" w:lineRule="auto"/>
        <w:ind w:firstLine="602"/>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u w:val="single"/>
          <w14:textFill>
            <w14:solidFill>
              <w14:schemeClr w14:val="tx1"/>
            </w14:solidFill>
          </w14:textFill>
        </w:rPr>
        <w:t>202</w:t>
      </w:r>
      <w:r>
        <w:rPr>
          <w:rFonts w:hint="eastAsia" w:ascii="宋体" w:hAnsi="宋体" w:cs="宋体"/>
          <w:b/>
          <w:bCs/>
          <w:color w:val="000000" w:themeColor="text1"/>
          <w:sz w:val="30"/>
          <w:szCs w:val="30"/>
          <w:u w:val="single"/>
          <w:lang w:val="en-US" w:eastAsia="zh-CN"/>
          <w14:textFill>
            <w14:solidFill>
              <w14:schemeClr w14:val="tx1"/>
            </w14:solidFill>
          </w14:textFill>
        </w:rPr>
        <w:t>5</w:t>
      </w:r>
      <w:r>
        <w:rPr>
          <w:rFonts w:hint="eastAsia" w:ascii="宋体" w:hAnsi="宋体" w:cs="宋体"/>
          <w:b/>
          <w:bCs/>
          <w:color w:val="000000" w:themeColor="text1"/>
          <w:sz w:val="30"/>
          <w:szCs w:val="30"/>
          <w14:textFill>
            <w14:solidFill>
              <w14:schemeClr w14:val="tx1"/>
            </w14:solidFill>
          </w14:textFill>
        </w:rPr>
        <w:t xml:space="preserve">年 </w:t>
      </w:r>
      <w:r>
        <w:rPr>
          <w:rFonts w:hint="eastAsia" w:ascii="宋体" w:hAnsi="宋体" w:cs="宋体"/>
          <w:b/>
          <w:bCs/>
          <w:color w:val="000000" w:themeColor="text1"/>
          <w:sz w:val="30"/>
          <w:szCs w:val="30"/>
          <w:u w:val="single"/>
          <w:lang w:val="en-US" w:eastAsia="zh-CN"/>
          <w14:textFill>
            <w14:solidFill>
              <w14:schemeClr w14:val="tx1"/>
            </w14:solidFill>
          </w14:textFill>
        </w:rPr>
        <w:t>5</w:t>
      </w:r>
      <w:r>
        <w:rPr>
          <w:rFonts w:hint="eastAsia" w:ascii="宋体" w:hAnsi="宋体" w:cs="宋体"/>
          <w:b/>
          <w:bCs/>
          <w:color w:val="000000" w:themeColor="text1"/>
          <w:sz w:val="30"/>
          <w:szCs w:val="30"/>
          <w14:textFill>
            <w14:solidFill>
              <w14:schemeClr w14:val="tx1"/>
            </w14:solidFill>
          </w14:textFill>
        </w:rPr>
        <w:t>月</w:t>
      </w:r>
    </w:p>
    <w:p w14:paraId="5D4FE9EE">
      <w:pPr>
        <w:pStyle w:val="5"/>
        <w:ind w:firstLine="420"/>
      </w:pPr>
    </w:p>
    <w:p w14:paraId="25E7B38B">
      <w:pPr>
        <w:ind w:firstLine="560"/>
        <w:rPr>
          <w:rFonts w:ascii="仿宋_GB2312" w:hAnsi="仿宋_GB2312" w:eastAsia="仿宋_GB2312" w:cs="仿宋_GB2312"/>
          <w:color w:val="000000" w:themeColor="text1"/>
          <w:sz w:val="28"/>
          <w:szCs w:val="28"/>
          <w14:textFill>
            <w14:solidFill>
              <w14:schemeClr w14:val="tx1"/>
            </w14:solidFill>
          </w14:textFill>
        </w:rPr>
      </w:pPr>
      <w:bookmarkStart w:id="0" w:name="_Toc19716"/>
      <w:bookmarkStart w:id="1" w:name="_Toc2648"/>
      <w:bookmarkStart w:id="2" w:name="_Toc15145"/>
      <w:bookmarkStart w:id="3" w:name="_Toc8634"/>
      <w:bookmarkStart w:id="4" w:name="_Toc62544723"/>
      <w:bookmarkStart w:id="5" w:name="_Toc18948"/>
      <w:bookmarkStart w:id="6" w:name="_Toc3907"/>
      <w:bookmarkStart w:id="7" w:name="_Toc8478"/>
      <w:bookmarkStart w:id="8" w:name="_Toc25283"/>
      <w:bookmarkStart w:id="9" w:name="_Toc3210"/>
      <w:bookmarkStart w:id="10" w:name="_Toc3883"/>
      <w:bookmarkStart w:id="11" w:name="_Toc9008"/>
    </w:p>
    <w:p w14:paraId="5F7F4740">
      <w:pPr>
        <w:pStyle w:val="6"/>
        <w:spacing w:line="360" w:lineRule="auto"/>
        <w:ind w:firstLine="723"/>
        <w:jc w:val="center"/>
        <w:outlineLvl w:val="0"/>
        <w:rPr>
          <w:rFonts w:ascii="黑体" w:eastAsia="黑体"/>
          <w:b/>
          <w:bCs/>
          <w:sz w:val="36"/>
          <w:szCs w:val="36"/>
        </w:rPr>
      </w:pPr>
      <w:r>
        <w:rPr>
          <w:rFonts w:hint="eastAsia" w:ascii="黑体" w:eastAsia="黑体"/>
          <w:b/>
          <w:bCs/>
          <w:sz w:val="36"/>
          <w:szCs w:val="36"/>
        </w:rPr>
        <w:t>第一章 招标公告</w:t>
      </w:r>
    </w:p>
    <w:p w14:paraId="52AEFFBD">
      <w:pPr>
        <w:ind w:firstLine="560"/>
        <w:rPr>
          <w:rFonts w:ascii="微软雅黑" w:hAnsi="微软雅黑" w:eastAsia="微软雅黑" w:cs="宋体"/>
          <w:color w:val="000000"/>
          <w:kern w:val="0"/>
          <w:sz w:val="24"/>
          <w:szCs w:val="24"/>
        </w:rPr>
      </w:pPr>
      <w:r>
        <w:rPr>
          <w:rFonts w:hint="eastAsia" w:ascii="仿宋_GB2312" w:hAnsi="仿宋_GB2312" w:eastAsia="仿宋_GB2312" w:cs="仿宋_GB2312"/>
          <w:color w:val="000000" w:themeColor="text1"/>
          <w:sz w:val="28"/>
          <w:szCs w:val="28"/>
          <w14:textFill>
            <w14:solidFill>
              <w14:schemeClr w14:val="tx1"/>
            </w14:solidFill>
          </w14:textFill>
        </w:rPr>
        <w:t>中国重汽集团济宁商用车有限公司环保用电监管运维项目将以公开招标的方式组织招标，请投标方按照我方要求准备投标文件并在重汽e采通上进行投标。</w:t>
      </w:r>
    </w:p>
    <w:p w14:paraId="65B0BD0D">
      <w:pPr>
        <w:adjustRightInd w:val="0"/>
        <w:snapToGrid w:val="0"/>
        <w:spacing w:line="360" w:lineRule="auto"/>
        <w:ind w:firstLine="562"/>
        <w:outlineLvl w:val="1"/>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一、项目名称</w:t>
      </w:r>
      <w:bookmarkEnd w:id="0"/>
      <w:bookmarkEnd w:id="1"/>
      <w:bookmarkEnd w:id="2"/>
      <w:bookmarkEnd w:id="3"/>
      <w:bookmarkEnd w:id="4"/>
      <w:bookmarkEnd w:id="5"/>
      <w:bookmarkEnd w:id="6"/>
      <w:bookmarkEnd w:id="7"/>
      <w:bookmarkEnd w:id="8"/>
      <w:bookmarkEnd w:id="9"/>
      <w:bookmarkEnd w:id="10"/>
      <w:bookmarkEnd w:id="11"/>
    </w:p>
    <w:p w14:paraId="04922114">
      <w:pPr>
        <w:adjustRightInd w:val="0"/>
        <w:snapToGrid w:val="0"/>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项目名称：</w:t>
      </w:r>
      <w:r>
        <w:rPr>
          <w:rFonts w:hint="eastAsia" w:ascii="仿宋_GB2312" w:hAnsi="仿宋_GB2312" w:eastAsia="仿宋_GB2312" w:cs="仿宋_GB2312"/>
          <w:bCs/>
          <w:color w:val="000000" w:themeColor="text1"/>
          <w:sz w:val="28"/>
          <w:szCs w:val="28"/>
          <w14:textFill>
            <w14:solidFill>
              <w14:schemeClr w14:val="tx1"/>
            </w14:solidFill>
          </w14:textFill>
        </w:rPr>
        <w:t>环保用电监管运维项目</w:t>
      </w:r>
    </w:p>
    <w:p w14:paraId="14ED25F1">
      <w:pPr>
        <w:adjustRightInd w:val="0"/>
        <w:snapToGrid w:val="0"/>
        <w:spacing w:line="360" w:lineRule="auto"/>
        <w:ind w:firstLine="562"/>
        <w:outlineLvl w:val="1"/>
        <w:rPr>
          <w:rFonts w:ascii="仿宋_GB2312" w:hAnsi="仿宋_GB2312" w:eastAsia="仿宋_GB2312" w:cs="仿宋_GB2312"/>
          <w:b/>
          <w:color w:val="000000" w:themeColor="text1"/>
          <w:sz w:val="28"/>
          <w:szCs w:val="28"/>
          <w14:textFill>
            <w14:solidFill>
              <w14:schemeClr w14:val="tx1"/>
            </w14:solidFill>
          </w14:textFill>
        </w:rPr>
      </w:pPr>
      <w:bookmarkStart w:id="12" w:name="_Toc333"/>
      <w:bookmarkStart w:id="13" w:name="_Toc30161"/>
      <w:bookmarkStart w:id="14" w:name="_Toc3571"/>
      <w:bookmarkStart w:id="15" w:name="_Toc21521"/>
      <w:bookmarkStart w:id="16" w:name="_Toc23693"/>
      <w:bookmarkStart w:id="17" w:name="_Toc23108"/>
      <w:bookmarkStart w:id="18" w:name="_Toc62544724"/>
      <w:bookmarkStart w:id="19" w:name="_Toc6040"/>
      <w:bookmarkStart w:id="20" w:name="_Toc2959"/>
      <w:bookmarkStart w:id="21" w:name="_Toc30725"/>
      <w:bookmarkStart w:id="22" w:name="_Toc25173"/>
      <w:bookmarkStart w:id="23" w:name="_Toc25650"/>
      <w:r>
        <w:rPr>
          <w:rFonts w:hint="eastAsia" w:ascii="仿宋_GB2312" w:hAnsi="仿宋_GB2312" w:eastAsia="仿宋_GB2312" w:cs="仿宋_GB2312"/>
          <w:b/>
          <w:color w:val="000000" w:themeColor="text1"/>
          <w:sz w:val="28"/>
          <w:szCs w:val="28"/>
          <w14:textFill>
            <w14:solidFill>
              <w14:schemeClr w14:val="tx1"/>
            </w14:solidFill>
          </w14:textFill>
        </w:rPr>
        <w:t>二、招标内容</w:t>
      </w:r>
      <w:bookmarkEnd w:id="12"/>
      <w:bookmarkEnd w:id="13"/>
      <w:bookmarkEnd w:id="14"/>
      <w:bookmarkEnd w:id="15"/>
      <w:bookmarkEnd w:id="16"/>
      <w:bookmarkEnd w:id="17"/>
      <w:bookmarkEnd w:id="18"/>
      <w:bookmarkEnd w:id="19"/>
      <w:bookmarkEnd w:id="20"/>
      <w:bookmarkEnd w:id="21"/>
      <w:bookmarkEnd w:id="22"/>
      <w:bookmarkEnd w:id="23"/>
    </w:p>
    <w:tbl>
      <w:tblPr>
        <w:tblStyle w:val="10"/>
        <w:tblW w:w="9498" w:type="dxa"/>
        <w:tblInd w:w="0" w:type="dxa"/>
        <w:tblLayout w:type="autofit"/>
        <w:tblCellMar>
          <w:top w:w="0" w:type="dxa"/>
          <w:left w:w="108" w:type="dxa"/>
          <w:bottom w:w="0" w:type="dxa"/>
          <w:right w:w="108" w:type="dxa"/>
        </w:tblCellMar>
      </w:tblPr>
      <w:tblGrid>
        <w:gridCol w:w="805"/>
        <w:gridCol w:w="2673"/>
        <w:gridCol w:w="1982"/>
        <w:gridCol w:w="2835"/>
        <w:gridCol w:w="1529"/>
        <w:gridCol w:w="31"/>
      </w:tblGrid>
      <w:tr w14:paraId="5D76B56A">
        <w:tblPrEx>
          <w:tblCellMar>
            <w:top w:w="0" w:type="dxa"/>
            <w:left w:w="108" w:type="dxa"/>
            <w:bottom w:w="0" w:type="dxa"/>
            <w:right w:w="108" w:type="dxa"/>
          </w:tblCellMar>
        </w:tblPrEx>
        <w:trPr>
          <w:gridAfter w:val="1"/>
          <w:wAfter w:w="436" w:type="dxa"/>
          <w:trHeight w:val="277" w:hRule="atLeast"/>
        </w:trPr>
        <w:tc>
          <w:tcPr>
            <w:tcW w:w="9498" w:type="dxa"/>
            <w:gridSpan w:val="5"/>
            <w:tcBorders>
              <w:top w:val="nil"/>
              <w:left w:val="nil"/>
              <w:bottom w:val="single" w:color="auto" w:sz="4" w:space="0"/>
              <w:right w:val="nil"/>
            </w:tcBorders>
            <w:shd w:val="clear" w:color="auto" w:fill="auto"/>
            <w:noWrap/>
            <w:vAlign w:val="center"/>
          </w:tcPr>
          <w:p w14:paraId="3947610F">
            <w:pPr>
              <w:ind w:firstLine="643"/>
              <w:jc w:val="center"/>
              <w:rPr>
                <w:rFonts w:ascii="宋体" w:hAnsi="宋体" w:cs="宋体"/>
                <w:b/>
                <w:bCs/>
                <w:kern w:val="0"/>
                <w:sz w:val="32"/>
                <w:szCs w:val="32"/>
              </w:rPr>
            </w:pPr>
            <w:r>
              <w:rPr>
                <w:rFonts w:hint="eastAsia" w:ascii="宋体" w:hAnsi="宋体" w:cs="宋体"/>
                <w:b/>
                <w:bCs/>
                <w:kern w:val="0"/>
                <w:sz w:val="32"/>
                <w:szCs w:val="32"/>
              </w:rPr>
              <w:t>环保设施用电监管系统安装点位表</w:t>
            </w:r>
          </w:p>
        </w:tc>
      </w:tr>
      <w:tr w14:paraId="6519D81E">
        <w:tblPrEx>
          <w:tblCellMar>
            <w:top w:w="0" w:type="dxa"/>
            <w:left w:w="108" w:type="dxa"/>
            <w:bottom w:w="0" w:type="dxa"/>
            <w:right w:w="108" w:type="dxa"/>
          </w:tblCellMar>
        </w:tblPrEx>
        <w:trPr>
          <w:trHeight w:val="287" w:hRule="atLeast"/>
        </w:trPr>
        <w:tc>
          <w:tcPr>
            <w:tcW w:w="448" w:type="dxa"/>
            <w:vMerge w:val="restart"/>
            <w:tcBorders>
              <w:top w:val="nil"/>
              <w:left w:val="single" w:color="auto" w:sz="4" w:space="0"/>
              <w:bottom w:val="nil"/>
              <w:right w:val="single" w:color="auto" w:sz="4" w:space="0"/>
            </w:tcBorders>
            <w:shd w:val="clear" w:color="auto" w:fill="auto"/>
            <w:vAlign w:val="center"/>
          </w:tcPr>
          <w:p w14:paraId="50DC818D">
            <w:pPr>
              <w:ind w:left="0" w:leftChars="0" w:firstLine="0" w:firstLineChars="0"/>
              <w:jc w:val="both"/>
              <w:rPr>
                <w:rFonts w:ascii="宋体" w:hAnsi="宋体" w:cs="宋体"/>
                <w:b/>
                <w:bCs/>
                <w:kern w:val="0"/>
                <w:sz w:val="22"/>
                <w:szCs w:val="22"/>
              </w:rPr>
            </w:pPr>
            <w:r>
              <w:rPr>
                <w:rFonts w:hint="eastAsia" w:ascii="宋体" w:hAnsi="宋体" w:cs="宋体"/>
                <w:b/>
                <w:bCs/>
                <w:kern w:val="0"/>
                <w:sz w:val="22"/>
                <w:szCs w:val="22"/>
              </w:rPr>
              <w:t>序号</w:t>
            </w:r>
          </w:p>
        </w:tc>
        <w:tc>
          <w:tcPr>
            <w:tcW w:w="4655" w:type="dxa"/>
            <w:gridSpan w:val="2"/>
            <w:tcBorders>
              <w:top w:val="single" w:color="auto" w:sz="4" w:space="0"/>
              <w:left w:val="nil"/>
              <w:bottom w:val="single" w:color="auto" w:sz="4" w:space="0"/>
              <w:right w:val="single" w:color="000000" w:sz="4" w:space="0"/>
            </w:tcBorders>
            <w:shd w:val="clear" w:color="auto" w:fill="auto"/>
            <w:vAlign w:val="bottom"/>
          </w:tcPr>
          <w:p w14:paraId="1CD70E30">
            <w:pPr>
              <w:ind w:firstLine="442"/>
              <w:jc w:val="center"/>
              <w:rPr>
                <w:rFonts w:ascii="宋体" w:hAnsi="宋体" w:cs="宋体"/>
                <w:b/>
                <w:bCs/>
                <w:kern w:val="0"/>
                <w:sz w:val="22"/>
                <w:szCs w:val="22"/>
              </w:rPr>
            </w:pPr>
            <w:r>
              <w:rPr>
                <w:rFonts w:hint="eastAsia" w:ascii="宋体" w:hAnsi="宋体" w:cs="宋体"/>
                <w:b/>
                <w:bCs/>
                <w:kern w:val="0"/>
                <w:sz w:val="22"/>
                <w:szCs w:val="22"/>
              </w:rPr>
              <w:t>产污单元</w:t>
            </w:r>
          </w:p>
        </w:tc>
        <w:tc>
          <w:tcPr>
            <w:tcW w:w="4395" w:type="dxa"/>
            <w:gridSpan w:val="3"/>
            <w:tcBorders>
              <w:top w:val="single" w:color="auto" w:sz="4" w:space="0"/>
              <w:left w:val="nil"/>
              <w:bottom w:val="single" w:color="auto" w:sz="4" w:space="0"/>
              <w:right w:val="single" w:color="auto" w:sz="4" w:space="0"/>
            </w:tcBorders>
            <w:shd w:val="clear" w:color="auto" w:fill="auto"/>
            <w:vAlign w:val="bottom"/>
          </w:tcPr>
          <w:p w14:paraId="25B972CD">
            <w:pPr>
              <w:ind w:firstLine="442"/>
              <w:jc w:val="center"/>
              <w:rPr>
                <w:rFonts w:ascii="宋体" w:hAnsi="宋体" w:cs="宋体"/>
                <w:b/>
                <w:bCs/>
                <w:kern w:val="0"/>
                <w:sz w:val="22"/>
                <w:szCs w:val="22"/>
              </w:rPr>
            </w:pPr>
            <w:r>
              <w:rPr>
                <w:rFonts w:hint="eastAsia" w:ascii="宋体" w:hAnsi="宋体" w:cs="宋体"/>
                <w:b/>
                <w:bCs/>
                <w:kern w:val="0"/>
                <w:sz w:val="22"/>
                <w:szCs w:val="22"/>
              </w:rPr>
              <w:t>治污单元</w:t>
            </w:r>
          </w:p>
        </w:tc>
      </w:tr>
      <w:tr w14:paraId="7C3813D9">
        <w:tblPrEx>
          <w:tblCellMar>
            <w:top w:w="0" w:type="dxa"/>
            <w:left w:w="108" w:type="dxa"/>
            <w:bottom w:w="0" w:type="dxa"/>
            <w:right w:w="108" w:type="dxa"/>
          </w:tblCellMar>
        </w:tblPrEx>
        <w:trPr>
          <w:trHeight w:val="225" w:hRule="atLeast"/>
        </w:trPr>
        <w:tc>
          <w:tcPr>
            <w:tcW w:w="448" w:type="dxa"/>
            <w:vMerge w:val="continue"/>
            <w:tcBorders>
              <w:top w:val="nil"/>
              <w:left w:val="single" w:color="auto" w:sz="4" w:space="0"/>
              <w:bottom w:val="nil"/>
              <w:right w:val="single" w:color="auto" w:sz="4" w:space="0"/>
            </w:tcBorders>
            <w:vAlign w:val="center"/>
          </w:tcPr>
          <w:p w14:paraId="1818F0CA">
            <w:pPr>
              <w:ind w:firstLine="442"/>
              <w:jc w:val="left"/>
              <w:rPr>
                <w:rFonts w:ascii="宋体" w:hAnsi="宋体" w:cs="宋体"/>
                <w:b/>
                <w:bCs/>
                <w:kern w:val="0"/>
                <w:sz w:val="22"/>
                <w:szCs w:val="22"/>
              </w:rPr>
            </w:pPr>
          </w:p>
        </w:tc>
        <w:tc>
          <w:tcPr>
            <w:tcW w:w="2673" w:type="dxa"/>
            <w:tcBorders>
              <w:top w:val="nil"/>
              <w:left w:val="nil"/>
              <w:bottom w:val="single" w:color="auto" w:sz="4" w:space="0"/>
              <w:right w:val="single" w:color="auto" w:sz="4" w:space="0"/>
            </w:tcBorders>
            <w:shd w:val="clear" w:color="auto" w:fill="auto"/>
            <w:vAlign w:val="center"/>
          </w:tcPr>
          <w:p w14:paraId="4CD19479">
            <w:pPr>
              <w:ind w:firstLine="442"/>
              <w:jc w:val="left"/>
              <w:rPr>
                <w:rFonts w:ascii="宋体" w:hAnsi="宋体" w:cs="宋体"/>
                <w:b/>
                <w:bCs/>
                <w:kern w:val="0"/>
                <w:sz w:val="22"/>
                <w:szCs w:val="22"/>
              </w:rPr>
            </w:pPr>
            <w:r>
              <w:rPr>
                <w:rFonts w:hint="eastAsia" w:ascii="宋体" w:hAnsi="宋体" w:cs="宋体"/>
                <w:b/>
                <w:bCs/>
                <w:kern w:val="0"/>
                <w:sz w:val="22"/>
                <w:szCs w:val="22"/>
              </w:rPr>
              <w:t>生产设施名称</w:t>
            </w:r>
          </w:p>
        </w:tc>
        <w:tc>
          <w:tcPr>
            <w:tcW w:w="1982" w:type="dxa"/>
            <w:tcBorders>
              <w:top w:val="nil"/>
              <w:left w:val="nil"/>
              <w:bottom w:val="single" w:color="auto" w:sz="4" w:space="0"/>
              <w:right w:val="single" w:color="auto" w:sz="4" w:space="0"/>
            </w:tcBorders>
            <w:shd w:val="clear" w:color="auto" w:fill="auto"/>
            <w:vAlign w:val="center"/>
          </w:tcPr>
          <w:p w14:paraId="314C3FD6">
            <w:pPr>
              <w:ind w:firstLine="442"/>
              <w:jc w:val="center"/>
              <w:rPr>
                <w:rFonts w:ascii="宋体" w:hAnsi="宋体" w:cs="宋体"/>
                <w:b/>
                <w:bCs/>
                <w:kern w:val="0"/>
                <w:sz w:val="22"/>
                <w:szCs w:val="22"/>
              </w:rPr>
            </w:pPr>
            <w:r>
              <w:rPr>
                <w:rFonts w:hint="eastAsia" w:ascii="宋体" w:hAnsi="宋体" w:cs="宋体"/>
                <w:b/>
                <w:bCs/>
                <w:kern w:val="0"/>
                <w:sz w:val="22"/>
                <w:szCs w:val="22"/>
              </w:rPr>
              <w:t>数量</w:t>
            </w:r>
          </w:p>
        </w:tc>
        <w:tc>
          <w:tcPr>
            <w:tcW w:w="2835" w:type="dxa"/>
            <w:tcBorders>
              <w:top w:val="nil"/>
              <w:left w:val="nil"/>
              <w:bottom w:val="single" w:color="auto" w:sz="4" w:space="0"/>
              <w:right w:val="single" w:color="auto" w:sz="4" w:space="0"/>
            </w:tcBorders>
            <w:shd w:val="clear" w:color="auto" w:fill="auto"/>
            <w:vAlign w:val="center"/>
          </w:tcPr>
          <w:p w14:paraId="0740FEE9">
            <w:pPr>
              <w:ind w:firstLine="442"/>
              <w:jc w:val="left"/>
              <w:rPr>
                <w:rFonts w:ascii="宋体" w:hAnsi="宋体" w:cs="宋体"/>
                <w:b/>
                <w:bCs/>
                <w:kern w:val="0"/>
                <w:sz w:val="22"/>
                <w:szCs w:val="22"/>
              </w:rPr>
            </w:pPr>
            <w:r>
              <w:rPr>
                <w:rFonts w:hint="eastAsia" w:ascii="宋体" w:hAnsi="宋体" w:cs="宋体"/>
                <w:b/>
                <w:bCs/>
                <w:kern w:val="0"/>
                <w:sz w:val="22"/>
                <w:szCs w:val="22"/>
              </w:rPr>
              <w:t>治污设施名称</w:t>
            </w:r>
          </w:p>
        </w:tc>
        <w:tc>
          <w:tcPr>
            <w:tcW w:w="1560" w:type="dxa"/>
            <w:gridSpan w:val="2"/>
            <w:tcBorders>
              <w:top w:val="nil"/>
              <w:left w:val="nil"/>
              <w:bottom w:val="single" w:color="auto" w:sz="4" w:space="0"/>
              <w:right w:val="single" w:color="auto" w:sz="4" w:space="0"/>
            </w:tcBorders>
            <w:shd w:val="clear" w:color="auto" w:fill="auto"/>
            <w:noWrap/>
            <w:vAlign w:val="center"/>
          </w:tcPr>
          <w:p w14:paraId="21DCA1EB">
            <w:pPr>
              <w:ind w:firstLine="44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14:paraId="4CCBE549">
        <w:tblPrEx>
          <w:tblCellMar>
            <w:top w:w="0" w:type="dxa"/>
            <w:left w:w="108" w:type="dxa"/>
            <w:bottom w:w="0" w:type="dxa"/>
            <w:right w:w="108" w:type="dxa"/>
          </w:tblCellMar>
        </w:tblPrEx>
        <w:trPr>
          <w:trHeight w:val="195" w:hRule="atLeast"/>
        </w:trPr>
        <w:tc>
          <w:tcPr>
            <w:tcW w:w="4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F96663">
            <w:pPr>
              <w:ind w:firstLine="320"/>
              <w:jc w:val="center"/>
              <w:rPr>
                <w:rFonts w:ascii="等线" w:hAnsi="等线" w:eastAsia="等线" w:cs="宋体"/>
                <w:kern w:val="0"/>
                <w:sz w:val="16"/>
                <w:szCs w:val="16"/>
              </w:rPr>
            </w:pPr>
            <w:r>
              <w:rPr>
                <w:rFonts w:hint="eastAsia" w:ascii="等线" w:hAnsi="等线" w:eastAsia="等线" w:cs="宋体"/>
                <w:kern w:val="0"/>
                <w:sz w:val="16"/>
                <w:szCs w:val="16"/>
              </w:rPr>
              <w:t>1</w:t>
            </w:r>
          </w:p>
        </w:tc>
        <w:tc>
          <w:tcPr>
            <w:tcW w:w="2673" w:type="dxa"/>
            <w:tcBorders>
              <w:top w:val="nil"/>
              <w:left w:val="nil"/>
              <w:bottom w:val="single" w:color="auto" w:sz="4" w:space="0"/>
              <w:right w:val="single" w:color="auto" w:sz="4" w:space="0"/>
            </w:tcBorders>
            <w:shd w:val="clear" w:color="000000" w:fill="FFFFFF"/>
            <w:noWrap/>
            <w:vAlign w:val="center"/>
          </w:tcPr>
          <w:p w14:paraId="12A2FD1F">
            <w:pPr>
              <w:ind w:firstLine="320"/>
              <w:jc w:val="left"/>
              <w:rPr>
                <w:rFonts w:ascii="等线" w:hAnsi="等线" w:eastAsia="等线" w:cs="宋体"/>
                <w:kern w:val="0"/>
                <w:sz w:val="16"/>
                <w:szCs w:val="16"/>
              </w:rPr>
            </w:pPr>
            <w:r>
              <w:rPr>
                <w:rFonts w:hint="eastAsia" w:ascii="等线" w:hAnsi="等线" w:eastAsia="等线" w:cs="宋体"/>
                <w:kern w:val="0"/>
                <w:sz w:val="16"/>
                <w:szCs w:val="16"/>
              </w:rPr>
              <w:t>面涂</w:t>
            </w:r>
          </w:p>
        </w:tc>
        <w:tc>
          <w:tcPr>
            <w:tcW w:w="1982" w:type="dxa"/>
            <w:vMerge w:val="restart"/>
            <w:tcBorders>
              <w:top w:val="nil"/>
              <w:left w:val="single" w:color="auto" w:sz="4" w:space="0"/>
              <w:bottom w:val="single" w:color="000000" w:sz="4" w:space="0"/>
              <w:right w:val="single" w:color="auto" w:sz="4" w:space="0"/>
            </w:tcBorders>
            <w:shd w:val="clear" w:color="auto" w:fill="auto"/>
            <w:vAlign w:val="center"/>
          </w:tcPr>
          <w:p w14:paraId="0C3EFC3B">
            <w:pPr>
              <w:ind w:firstLine="320"/>
              <w:jc w:val="center"/>
              <w:rPr>
                <w:rFonts w:ascii="宋体" w:hAnsi="宋体" w:cs="宋体"/>
                <w:kern w:val="0"/>
                <w:sz w:val="16"/>
                <w:szCs w:val="16"/>
              </w:rPr>
            </w:pPr>
            <w:r>
              <w:rPr>
                <w:rFonts w:hint="eastAsia" w:ascii="宋体" w:hAnsi="宋体" w:cs="宋体"/>
                <w:kern w:val="0"/>
                <w:sz w:val="16"/>
                <w:szCs w:val="16"/>
              </w:rPr>
              <w:t>3个喷涂点</w:t>
            </w:r>
          </w:p>
        </w:tc>
        <w:tc>
          <w:tcPr>
            <w:tcW w:w="2835" w:type="dxa"/>
            <w:tcBorders>
              <w:top w:val="nil"/>
              <w:left w:val="nil"/>
              <w:bottom w:val="single" w:color="auto" w:sz="4" w:space="0"/>
              <w:right w:val="single" w:color="auto" w:sz="4" w:space="0"/>
            </w:tcBorders>
            <w:shd w:val="clear" w:color="000000" w:fill="FFFFFF"/>
            <w:noWrap/>
            <w:vAlign w:val="center"/>
          </w:tcPr>
          <w:p w14:paraId="1560297B">
            <w:pPr>
              <w:ind w:firstLine="320"/>
              <w:jc w:val="left"/>
              <w:rPr>
                <w:rFonts w:ascii="等线" w:hAnsi="等线" w:eastAsia="等线" w:cs="宋体"/>
                <w:kern w:val="0"/>
                <w:sz w:val="16"/>
                <w:szCs w:val="16"/>
              </w:rPr>
            </w:pPr>
            <w:r>
              <w:rPr>
                <w:rFonts w:hint="eastAsia" w:ascii="等线" w:hAnsi="等线" w:eastAsia="等线" w:cs="宋体"/>
                <w:kern w:val="0"/>
                <w:sz w:val="16"/>
                <w:szCs w:val="16"/>
              </w:rPr>
              <w:t>voc</w:t>
            </w:r>
          </w:p>
        </w:tc>
        <w:tc>
          <w:tcPr>
            <w:tcW w:w="1560" w:type="dxa"/>
            <w:gridSpan w:val="2"/>
            <w:tcBorders>
              <w:top w:val="nil"/>
              <w:left w:val="nil"/>
              <w:bottom w:val="single" w:color="auto" w:sz="4" w:space="0"/>
              <w:right w:val="single" w:color="auto" w:sz="4" w:space="0"/>
            </w:tcBorders>
            <w:shd w:val="clear" w:color="auto" w:fill="auto"/>
            <w:noWrap/>
            <w:vAlign w:val="center"/>
          </w:tcPr>
          <w:p w14:paraId="5015CB93">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1个治理设施</w:t>
            </w:r>
          </w:p>
        </w:tc>
      </w:tr>
      <w:tr w14:paraId="1442EABB">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386714D">
            <w:pPr>
              <w:ind w:firstLine="320"/>
              <w:jc w:val="center"/>
              <w:rPr>
                <w:rFonts w:ascii="等线" w:hAnsi="等线" w:eastAsia="等线" w:cs="宋体"/>
                <w:kern w:val="0"/>
                <w:sz w:val="16"/>
                <w:szCs w:val="16"/>
              </w:rPr>
            </w:pPr>
            <w:r>
              <w:rPr>
                <w:rFonts w:hint="eastAsia" w:ascii="等线" w:hAnsi="等线" w:eastAsia="等线" w:cs="宋体"/>
                <w:kern w:val="0"/>
                <w:sz w:val="16"/>
                <w:szCs w:val="16"/>
              </w:rPr>
              <w:t>2</w:t>
            </w:r>
          </w:p>
        </w:tc>
        <w:tc>
          <w:tcPr>
            <w:tcW w:w="2673" w:type="dxa"/>
            <w:tcBorders>
              <w:top w:val="nil"/>
              <w:left w:val="nil"/>
              <w:bottom w:val="single" w:color="auto" w:sz="4" w:space="0"/>
              <w:right w:val="single" w:color="auto" w:sz="4" w:space="0"/>
            </w:tcBorders>
            <w:shd w:val="clear" w:color="000000" w:fill="FFFFFF"/>
            <w:noWrap/>
            <w:vAlign w:val="center"/>
          </w:tcPr>
          <w:p w14:paraId="3923B7A4">
            <w:pPr>
              <w:ind w:firstLine="320"/>
              <w:jc w:val="left"/>
              <w:rPr>
                <w:rFonts w:ascii="等线" w:hAnsi="等线" w:eastAsia="等线" w:cs="宋体"/>
                <w:kern w:val="0"/>
                <w:sz w:val="16"/>
                <w:szCs w:val="16"/>
              </w:rPr>
            </w:pPr>
            <w:r>
              <w:rPr>
                <w:rFonts w:hint="eastAsia" w:ascii="等线" w:hAnsi="等线" w:eastAsia="等线" w:cs="宋体"/>
                <w:kern w:val="0"/>
                <w:sz w:val="16"/>
                <w:szCs w:val="16"/>
              </w:rPr>
              <w:t>中涂</w:t>
            </w:r>
          </w:p>
        </w:tc>
        <w:tc>
          <w:tcPr>
            <w:tcW w:w="1982" w:type="dxa"/>
            <w:vMerge w:val="continue"/>
            <w:tcBorders>
              <w:top w:val="nil"/>
              <w:left w:val="single" w:color="auto" w:sz="4" w:space="0"/>
              <w:bottom w:val="single" w:color="000000" w:sz="4" w:space="0"/>
              <w:right w:val="single" w:color="auto" w:sz="4" w:space="0"/>
            </w:tcBorders>
            <w:vAlign w:val="center"/>
          </w:tcPr>
          <w:p w14:paraId="71A3C3F2">
            <w:pPr>
              <w:ind w:firstLine="320"/>
              <w:jc w:val="left"/>
              <w:rPr>
                <w:rFonts w:ascii="宋体" w:hAnsi="宋体"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795E036D">
            <w:pPr>
              <w:ind w:firstLine="320"/>
              <w:jc w:val="left"/>
              <w:rPr>
                <w:rFonts w:ascii="等线" w:hAnsi="等线" w:eastAsia="等线" w:cs="宋体"/>
                <w:kern w:val="0"/>
                <w:sz w:val="16"/>
                <w:szCs w:val="16"/>
              </w:rPr>
            </w:pPr>
            <w:r>
              <w:rPr>
                <w:rFonts w:hint="eastAsia" w:ascii="等线" w:hAnsi="等线" w:eastAsia="等线" w:cs="宋体"/>
                <w:kern w:val="0"/>
                <w:sz w:val="16"/>
                <w:szCs w:val="16"/>
              </w:rPr>
              <w:t>voc总表</w:t>
            </w:r>
          </w:p>
        </w:tc>
        <w:tc>
          <w:tcPr>
            <w:tcW w:w="1560" w:type="dxa"/>
            <w:gridSpan w:val="2"/>
            <w:tcBorders>
              <w:top w:val="nil"/>
              <w:left w:val="nil"/>
              <w:bottom w:val="single" w:color="auto" w:sz="4" w:space="0"/>
              <w:right w:val="single" w:color="auto" w:sz="4" w:space="0"/>
            </w:tcBorders>
            <w:shd w:val="clear" w:color="auto" w:fill="auto"/>
            <w:noWrap/>
            <w:vAlign w:val="center"/>
          </w:tcPr>
          <w:p w14:paraId="7A7A6F27">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1个总表</w:t>
            </w:r>
          </w:p>
        </w:tc>
      </w:tr>
      <w:tr w14:paraId="57F0FEEF">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23DD6A52">
            <w:pPr>
              <w:ind w:firstLine="320"/>
              <w:jc w:val="center"/>
              <w:rPr>
                <w:rFonts w:ascii="等线" w:hAnsi="等线" w:eastAsia="等线" w:cs="宋体"/>
                <w:kern w:val="0"/>
                <w:sz w:val="16"/>
                <w:szCs w:val="16"/>
              </w:rPr>
            </w:pPr>
            <w:r>
              <w:rPr>
                <w:rFonts w:hint="eastAsia" w:ascii="等线" w:hAnsi="等线" w:eastAsia="等线" w:cs="宋体"/>
                <w:kern w:val="0"/>
                <w:sz w:val="16"/>
                <w:szCs w:val="16"/>
              </w:rPr>
              <w:t>3</w:t>
            </w:r>
          </w:p>
        </w:tc>
        <w:tc>
          <w:tcPr>
            <w:tcW w:w="2673" w:type="dxa"/>
            <w:tcBorders>
              <w:top w:val="nil"/>
              <w:left w:val="nil"/>
              <w:bottom w:val="single" w:color="auto" w:sz="4" w:space="0"/>
              <w:right w:val="single" w:color="auto" w:sz="4" w:space="0"/>
            </w:tcBorders>
            <w:shd w:val="clear" w:color="auto" w:fill="auto"/>
            <w:noWrap/>
            <w:vAlign w:val="center"/>
          </w:tcPr>
          <w:p w14:paraId="469C263E">
            <w:pPr>
              <w:ind w:firstLine="320"/>
              <w:jc w:val="left"/>
              <w:rPr>
                <w:rFonts w:ascii="等线" w:hAnsi="等线" w:eastAsia="等线" w:cs="宋体"/>
                <w:kern w:val="0"/>
                <w:sz w:val="16"/>
                <w:szCs w:val="16"/>
              </w:rPr>
            </w:pPr>
            <w:r>
              <w:rPr>
                <w:rFonts w:hint="eastAsia" w:ascii="等线" w:hAnsi="等线" w:eastAsia="等线" w:cs="宋体"/>
                <w:kern w:val="0"/>
                <w:sz w:val="16"/>
                <w:szCs w:val="16"/>
              </w:rPr>
              <w:t>底盘喷涂</w:t>
            </w:r>
          </w:p>
        </w:tc>
        <w:tc>
          <w:tcPr>
            <w:tcW w:w="1982" w:type="dxa"/>
            <w:vMerge w:val="continue"/>
            <w:tcBorders>
              <w:top w:val="nil"/>
              <w:left w:val="single" w:color="auto" w:sz="4" w:space="0"/>
              <w:bottom w:val="single" w:color="000000" w:sz="4" w:space="0"/>
              <w:right w:val="single" w:color="auto" w:sz="4" w:space="0"/>
            </w:tcBorders>
            <w:vAlign w:val="center"/>
          </w:tcPr>
          <w:p w14:paraId="48020463">
            <w:pPr>
              <w:ind w:firstLine="320"/>
              <w:jc w:val="left"/>
              <w:rPr>
                <w:rFonts w:ascii="宋体" w:hAnsi="宋体"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1E8F1A8F">
            <w:pPr>
              <w:ind w:firstLine="320"/>
              <w:jc w:val="left"/>
              <w:rPr>
                <w:rFonts w:ascii="等线" w:hAnsi="等线" w:eastAsia="等线" w:cs="宋体"/>
                <w:kern w:val="0"/>
                <w:sz w:val="16"/>
                <w:szCs w:val="16"/>
              </w:rPr>
            </w:pPr>
            <w:r>
              <w:rPr>
                <w:rFonts w:hint="eastAsia" w:ascii="等线" w:hAnsi="等线" w:eastAsia="等线" w:cs="宋体"/>
                <w:kern w:val="0"/>
                <w:sz w:val="16"/>
                <w:szCs w:val="16"/>
              </w:rPr>
              <w:t>voc网关</w:t>
            </w:r>
          </w:p>
        </w:tc>
        <w:tc>
          <w:tcPr>
            <w:tcW w:w="1560" w:type="dxa"/>
            <w:gridSpan w:val="2"/>
            <w:tcBorders>
              <w:top w:val="nil"/>
              <w:left w:val="nil"/>
              <w:bottom w:val="single" w:color="auto" w:sz="4" w:space="0"/>
              <w:right w:val="single" w:color="auto" w:sz="4" w:space="0"/>
            </w:tcBorders>
            <w:shd w:val="clear" w:color="auto" w:fill="auto"/>
            <w:noWrap/>
            <w:vAlign w:val="center"/>
          </w:tcPr>
          <w:p w14:paraId="66D590EF">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1个网关</w:t>
            </w:r>
          </w:p>
        </w:tc>
      </w:tr>
      <w:tr w14:paraId="672B4C19">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0BEF942F">
            <w:pPr>
              <w:ind w:firstLine="320"/>
              <w:jc w:val="center"/>
              <w:rPr>
                <w:rFonts w:ascii="等线" w:hAnsi="等线" w:eastAsia="等线" w:cs="宋体"/>
                <w:kern w:val="0"/>
                <w:sz w:val="16"/>
                <w:szCs w:val="16"/>
              </w:rPr>
            </w:pPr>
            <w:r>
              <w:rPr>
                <w:rFonts w:hint="eastAsia" w:ascii="等线" w:hAnsi="等线" w:eastAsia="等线" w:cs="宋体"/>
                <w:kern w:val="0"/>
                <w:sz w:val="16"/>
                <w:szCs w:val="16"/>
              </w:rPr>
              <w:t>4</w:t>
            </w:r>
          </w:p>
        </w:tc>
        <w:tc>
          <w:tcPr>
            <w:tcW w:w="2673" w:type="dxa"/>
            <w:tcBorders>
              <w:top w:val="nil"/>
              <w:left w:val="nil"/>
              <w:bottom w:val="single" w:color="auto" w:sz="4" w:space="0"/>
              <w:right w:val="single" w:color="auto" w:sz="4" w:space="0"/>
            </w:tcBorders>
            <w:shd w:val="clear" w:color="000000" w:fill="FFFFFF"/>
            <w:noWrap/>
            <w:vAlign w:val="center"/>
          </w:tcPr>
          <w:p w14:paraId="6E424BEE">
            <w:pPr>
              <w:ind w:firstLine="320"/>
              <w:jc w:val="left"/>
              <w:rPr>
                <w:rFonts w:ascii="等线" w:hAnsi="等线" w:eastAsia="等线" w:cs="宋体"/>
                <w:kern w:val="0"/>
                <w:sz w:val="16"/>
                <w:szCs w:val="16"/>
              </w:rPr>
            </w:pPr>
            <w:r>
              <w:rPr>
                <w:rFonts w:hint="eastAsia" w:ascii="等线" w:hAnsi="等线" w:eastAsia="等线" w:cs="宋体"/>
                <w:kern w:val="0"/>
                <w:sz w:val="16"/>
                <w:szCs w:val="16"/>
              </w:rPr>
              <w:t>面涂总表</w:t>
            </w:r>
          </w:p>
        </w:tc>
        <w:tc>
          <w:tcPr>
            <w:tcW w:w="1982" w:type="dxa"/>
            <w:vMerge w:val="restart"/>
            <w:tcBorders>
              <w:top w:val="nil"/>
              <w:left w:val="single" w:color="auto" w:sz="4" w:space="0"/>
              <w:bottom w:val="single" w:color="000000" w:sz="4" w:space="0"/>
              <w:right w:val="single" w:color="auto" w:sz="4" w:space="0"/>
            </w:tcBorders>
            <w:shd w:val="clear" w:color="000000" w:fill="FFFFFF"/>
            <w:noWrap/>
            <w:vAlign w:val="center"/>
          </w:tcPr>
          <w:p w14:paraId="5DCF6B36">
            <w:pPr>
              <w:ind w:firstLine="320"/>
              <w:jc w:val="center"/>
              <w:rPr>
                <w:rFonts w:ascii="等线" w:hAnsi="等线" w:eastAsia="等线" w:cs="宋体"/>
                <w:kern w:val="0"/>
                <w:sz w:val="16"/>
                <w:szCs w:val="16"/>
              </w:rPr>
            </w:pPr>
            <w:r>
              <w:rPr>
                <w:rFonts w:hint="eastAsia" w:ascii="等线" w:hAnsi="等线" w:eastAsia="等线" w:cs="宋体"/>
                <w:kern w:val="0"/>
                <w:sz w:val="16"/>
                <w:szCs w:val="16"/>
              </w:rPr>
              <w:t>2个总表</w:t>
            </w:r>
          </w:p>
          <w:p w14:paraId="3101F2FB">
            <w:pPr>
              <w:ind w:firstLine="320"/>
              <w:jc w:val="center"/>
              <w:rPr>
                <w:rFonts w:ascii="等线" w:hAnsi="等线" w:eastAsia="等线" w:cs="宋体"/>
                <w:kern w:val="0"/>
                <w:sz w:val="16"/>
                <w:szCs w:val="16"/>
              </w:rPr>
            </w:pPr>
            <w:r>
              <w:rPr>
                <w:rFonts w:hint="eastAsia" w:ascii="等线" w:hAnsi="等线" w:eastAsia="等线" w:cs="宋体"/>
                <w:kern w:val="0"/>
                <w:sz w:val="16"/>
                <w:szCs w:val="16"/>
              </w:rPr>
              <w:t>2个网关</w:t>
            </w:r>
          </w:p>
        </w:tc>
        <w:tc>
          <w:tcPr>
            <w:tcW w:w="2835" w:type="dxa"/>
            <w:tcBorders>
              <w:top w:val="nil"/>
              <w:left w:val="nil"/>
              <w:bottom w:val="single" w:color="auto" w:sz="4" w:space="0"/>
              <w:right w:val="single" w:color="auto" w:sz="4" w:space="0"/>
            </w:tcBorders>
            <w:shd w:val="clear" w:color="000000" w:fill="FFFFFF"/>
            <w:noWrap/>
            <w:vAlign w:val="center"/>
          </w:tcPr>
          <w:p w14:paraId="57E86164">
            <w:pPr>
              <w:ind w:firstLine="320"/>
              <w:jc w:val="left"/>
              <w:rPr>
                <w:rFonts w:ascii="等线" w:hAnsi="等线" w:eastAsia="等线" w:cs="宋体"/>
                <w:kern w:val="0"/>
                <w:sz w:val="16"/>
                <w:szCs w:val="16"/>
              </w:rPr>
            </w:pPr>
            <w:r>
              <w:rPr>
                <w:rFonts w:hint="eastAsia" w:ascii="等线" w:hAnsi="等线" w:eastAsia="等线" w:cs="宋体"/>
                <w:kern w:val="0"/>
                <w:sz w:val="16"/>
                <w:szCs w:val="16"/>
              </w:rPr>
              <w:t>注：voc总表包含底涂用电量</w:t>
            </w:r>
          </w:p>
        </w:tc>
        <w:tc>
          <w:tcPr>
            <w:tcW w:w="1560" w:type="dxa"/>
            <w:gridSpan w:val="2"/>
            <w:tcBorders>
              <w:top w:val="nil"/>
              <w:left w:val="nil"/>
              <w:bottom w:val="single" w:color="auto" w:sz="4" w:space="0"/>
              <w:right w:val="single" w:color="auto" w:sz="4" w:space="0"/>
            </w:tcBorders>
            <w:shd w:val="clear" w:color="auto" w:fill="auto"/>
            <w:noWrap/>
            <w:vAlign w:val="center"/>
          </w:tcPr>
          <w:p w14:paraId="78CDA1E1">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0BB1261E">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50DBDD5C">
            <w:pPr>
              <w:ind w:firstLine="320"/>
              <w:jc w:val="center"/>
              <w:rPr>
                <w:rFonts w:ascii="等线" w:hAnsi="等线" w:eastAsia="等线" w:cs="宋体"/>
                <w:kern w:val="0"/>
                <w:sz w:val="16"/>
                <w:szCs w:val="16"/>
              </w:rPr>
            </w:pPr>
            <w:r>
              <w:rPr>
                <w:rFonts w:hint="eastAsia" w:ascii="等线" w:hAnsi="等线" w:eastAsia="等线" w:cs="宋体"/>
                <w:kern w:val="0"/>
                <w:sz w:val="16"/>
                <w:szCs w:val="16"/>
              </w:rPr>
              <w:t>5</w:t>
            </w:r>
          </w:p>
        </w:tc>
        <w:tc>
          <w:tcPr>
            <w:tcW w:w="2673" w:type="dxa"/>
            <w:tcBorders>
              <w:top w:val="nil"/>
              <w:left w:val="nil"/>
              <w:bottom w:val="single" w:color="auto" w:sz="4" w:space="0"/>
              <w:right w:val="single" w:color="auto" w:sz="4" w:space="0"/>
            </w:tcBorders>
            <w:shd w:val="clear" w:color="000000" w:fill="FFFFFF"/>
            <w:noWrap/>
            <w:vAlign w:val="center"/>
          </w:tcPr>
          <w:p w14:paraId="29241B85">
            <w:pPr>
              <w:ind w:firstLine="320"/>
              <w:jc w:val="left"/>
              <w:rPr>
                <w:rFonts w:ascii="等线" w:hAnsi="等线" w:eastAsia="等线" w:cs="宋体"/>
                <w:kern w:val="0"/>
                <w:sz w:val="16"/>
                <w:szCs w:val="16"/>
              </w:rPr>
            </w:pPr>
            <w:r>
              <w:rPr>
                <w:rFonts w:hint="eastAsia" w:ascii="等线" w:hAnsi="等线" w:eastAsia="等线" w:cs="宋体"/>
                <w:kern w:val="0"/>
                <w:sz w:val="16"/>
                <w:szCs w:val="16"/>
              </w:rPr>
              <w:t>面涂网关</w:t>
            </w:r>
          </w:p>
        </w:tc>
        <w:tc>
          <w:tcPr>
            <w:tcW w:w="1982" w:type="dxa"/>
            <w:vMerge w:val="continue"/>
            <w:tcBorders>
              <w:top w:val="nil"/>
              <w:left w:val="single" w:color="auto" w:sz="4" w:space="0"/>
              <w:bottom w:val="single" w:color="000000" w:sz="4" w:space="0"/>
              <w:right w:val="single" w:color="auto" w:sz="4" w:space="0"/>
            </w:tcBorders>
            <w:vAlign w:val="center"/>
          </w:tcPr>
          <w:p w14:paraId="56110F44">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24025D94">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184454BA">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14A8456C">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B7E9927">
            <w:pPr>
              <w:ind w:firstLine="320"/>
              <w:jc w:val="center"/>
              <w:rPr>
                <w:rFonts w:ascii="等线" w:hAnsi="等线" w:eastAsia="等线" w:cs="宋体"/>
                <w:kern w:val="0"/>
                <w:sz w:val="16"/>
                <w:szCs w:val="16"/>
              </w:rPr>
            </w:pPr>
            <w:r>
              <w:rPr>
                <w:rFonts w:hint="eastAsia" w:ascii="等线" w:hAnsi="等线" w:eastAsia="等线" w:cs="宋体"/>
                <w:kern w:val="0"/>
                <w:sz w:val="16"/>
                <w:szCs w:val="16"/>
              </w:rPr>
              <w:t>6</w:t>
            </w:r>
          </w:p>
        </w:tc>
        <w:tc>
          <w:tcPr>
            <w:tcW w:w="2673" w:type="dxa"/>
            <w:tcBorders>
              <w:top w:val="nil"/>
              <w:left w:val="nil"/>
              <w:bottom w:val="single" w:color="auto" w:sz="4" w:space="0"/>
              <w:right w:val="single" w:color="auto" w:sz="4" w:space="0"/>
            </w:tcBorders>
            <w:shd w:val="clear" w:color="000000" w:fill="FFFFFF"/>
            <w:noWrap/>
            <w:vAlign w:val="center"/>
          </w:tcPr>
          <w:p w14:paraId="27C4859E">
            <w:pPr>
              <w:ind w:firstLine="320"/>
              <w:jc w:val="left"/>
              <w:rPr>
                <w:rFonts w:ascii="等线" w:hAnsi="等线" w:eastAsia="等线" w:cs="宋体"/>
                <w:kern w:val="0"/>
                <w:sz w:val="16"/>
                <w:szCs w:val="16"/>
              </w:rPr>
            </w:pPr>
            <w:r>
              <w:rPr>
                <w:rFonts w:hint="eastAsia" w:ascii="等线" w:hAnsi="等线" w:eastAsia="等线" w:cs="宋体"/>
                <w:kern w:val="0"/>
                <w:sz w:val="16"/>
                <w:szCs w:val="16"/>
              </w:rPr>
              <w:t>中涂总表</w:t>
            </w:r>
          </w:p>
        </w:tc>
        <w:tc>
          <w:tcPr>
            <w:tcW w:w="1982" w:type="dxa"/>
            <w:vMerge w:val="continue"/>
            <w:tcBorders>
              <w:top w:val="nil"/>
              <w:left w:val="single" w:color="auto" w:sz="4" w:space="0"/>
              <w:bottom w:val="single" w:color="000000" w:sz="4" w:space="0"/>
              <w:right w:val="single" w:color="auto" w:sz="4" w:space="0"/>
            </w:tcBorders>
            <w:vAlign w:val="center"/>
          </w:tcPr>
          <w:p w14:paraId="3C6926D4">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3274C4A5">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3D6B186D">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7F10ACC2">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744CA9C">
            <w:pPr>
              <w:ind w:firstLine="320"/>
              <w:jc w:val="center"/>
              <w:rPr>
                <w:rFonts w:ascii="等线" w:hAnsi="等线" w:eastAsia="等线" w:cs="宋体"/>
                <w:kern w:val="0"/>
                <w:sz w:val="16"/>
                <w:szCs w:val="16"/>
              </w:rPr>
            </w:pPr>
            <w:r>
              <w:rPr>
                <w:rFonts w:hint="eastAsia" w:ascii="等线" w:hAnsi="等线" w:eastAsia="等线" w:cs="宋体"/>
                <w:kern w:val="0"/>
                <w:sz w:val="16"/>
                <w:szCs w:val="16"/>
              </w:rPr>
              <w:t>7</w:t>
            </w:r>
          </w:p>
        </w:tc>
        <w:tc>
          <w:tcPr>
            <w:tcW w:w="2673" w:type="dxa"/>
            <w:tcBorders>
              <w:top w:val="nil"/>
              <w:left w:val="nil"/>
              <w:bottom w:val="single" w:color="auto" w:sz="4" w:space="0"/>
              <w:right w:val="single" w:color="auto" w:sz="4" w:space="0"/>
            </w:tcBorders>
            <w:shd w:val="clear" w:color="000000" w:fill="FFFFFF"/>
            <w:noWrap/>
            <w:vAlign w:val="center"/>
          </w:tcPr>
          <w:p w14:paraId="78B90DD2">
            <w:pPr>
              <w:ind w:firstLine="320"/>
              <w:jc w:val="left"/>
              <w:rPr>
                <w:rFonts w:ascii="等线" w:hAnsi="等线" w:eastAsia="等线" w:cs="宋体"/>
                <w:kern w:val="0"/>
                <w:sz w:val="16"/>
                <w:szCs w:val="16"/>
              </w:rPr>
            </w:pPr>
            <w:r>
              <w:rPr>
                <w:rFonts w:hint="eastAsia" w:ascii="等线" w:hAnsi="等线" w:eastAsia="等线" w:cs="宋体"/>
                <w:kern w:val="0"/>
                <w:sz w:val="16"/>
                <w:szCs w:val="16"/>
              </w:rPr>
              <w:t>中涂网关</w:t>
            </w:r>
          </w:p>
        </w:tc>
        <w:tc>
          <w:tcPr>
            <w:tcW w:w="1982" w:type="dxa"/>
            <w:vMerge w:val="continue"/>
            <w:tcBorders>
              <w:top w:val="nil"/>
              <w:left w:val="single" w:color="auto" w:sz="4" w:space="0"/>
              <w:bottom w:val="single" w:color="000000" w:sz="4" w:space="0"/>
              <w:right w:val="single" w:color="auto" w:sz="4" w:space="0"/>
            </w:tcBorders>
            <w:vAlign w:val="center"/>
          </w:tcPr>
          <w:p w14:paraId="2975366D">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07B23C6F">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192CADFD">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5F2865E0">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7EA3F09E">
            <w:pPr>
              <w:ind w:firstLine="320"/>
              <w:jc w:val="center"/>
              <w:rPr>
                <w:rFonts w:ascii="等线" w:hAnsi="等线" w:eastAsia="等线" w:cs="宋体"/>
                <w:kern w:val="0"/>
                <w:sz w:val="16"/>
                <w:szCs w:val="16"/>
              </w:rPr>
            </w:pPr>
            <w:r>
              <w:rPr>
                <w:rFonts w:hint="eastAsia" w:ascii="等线" w:hAnsi="等线" w:eastAsia="等线" w:cs="宋体"/>
                <w:kern w:val="0"/>
                <w:sz w:val="16"/>
                <w:szCs w:val="16"/>
              </w:rPr>
              <w:t>8</w:t>
            </w:r>
          </w:p>
        </w:tc>
        <w:tc>
          <w:tcPr>
            <w:tcW w:w="2673" w:type="dxa"/>
            <w:tcBorders>
              <w:top w:val="nil"/>
              <w:left w:val="nil"/>
              <w:bottom w:val="single" w:color="auto" w:sz="4" w:space="0"/>
              <w:right w:val="single" w:color="auto" w:sz="4" w:space="0"/>
            </w:tcBorders>
            <w:shd w:val="clear" w:color="000000" w:fill="FFFFFF"/>
            <w:noWrap/>
            <w:vAlign w:val="center"/>
          </w:tcPr>
          <w:p w14:paraId="6D66A917">
            <w:pPr>
              <w:ind w:firstLine="320"/>
              <w:jc w:val="left"/>
              <w:rPr>
                <w:rFonts w:ascii="等线" w:hAnsi="等线" w:eastAsia="等线" w:cs="宋体"/>
                <w:kern w:val="0"/>
                <w:sz w:val="16"/>
                <w:szCs w:val="16"/>
              </w:rPr>
            </w:pPr>
            <w:r>
              <w:rPr>
                <w:rFonts w:hint="eastAsia" w:ascii="等线" w:hAnsi="等线" w:eastAsia="等线" w:cs="宋体"/>
                <w:kern w:val="0"/>
                <w:sz w:val="16"/>
                <w:szCs w:val="16"/>
              </w:rPr>
              <w:t>抛丸机</w:t>
            </w:r>
          </w:p>
        </w:tc>
        <w:tc>
          <w:tcPr>
            <w:tcW w:w="1982" w:type="dxa"/>
            <w:tcBorders>
              <w:top w:val="nil"/>
              <w:left w:val="nil"/>
              <w:bottom w:val="single" w:color="auto" w:sz="4" w:space="0"/>
              <w:right w:val="single" w:color="auto" w:sz="4" w:space="0"/>
            </w:tcBorders>
            <w:shd w:val="clear" w:color="000000" w:fill="FFFFFF"/>
            <w:noWrap/>
            <w:vAlign w:val="center"/>
          </w:tcPr>
          <w:p w14:paraId="5839672A">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1个抛丸点</w:t>
            </w:r>
          </w:p>
        </w:tc>
        <w:tc>
          <w:tcPr>
            <w:tcW w:w="2835" w:type="dxa"/>
            <w:tcBorders>
              <w:top w:val="nil"/>
              <w:left w:val="nil"/>
              <w:bottom w:val="single" w:color="auto" w:sz="4" w:space="0"/>
              <w:right w:val="single" w:color="auto" w:sz="4" w:space="0"/>
            </w:tcBorders>
            <w:shd w:val="clear" w:color="000000" w:fill="FFFFFF"/>
            <w:noWrap/>
            <w:vAlign w:val="center"/>
          </w:tcPr>
          <w:p w14:paraId="7A6495AC">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w:t>
            </w:r>
          </w:p>
        </w:tc>
        <w:tc>
          <w:tcPr>
            <w:tcW w:w="1560" w:type="dxa"/>
            <w:gridSpan w:val="2"/>
            <w:tcBorders>
              <w:top w:val="nil"/>
              <w:left w:val="nil"/>
              <w:bottom w:val="single" w:color="auto" w:sz="4" w:space="0"/>
              <w:right w:val="single" w:color="auto" w:sz="4" w:space="0"/>
            </w:tcBorders>
            <w:shd w:val="clear" w:color="000000" w:fill="FFFFFF"/>
            <w:noWrap/>
            <w:vAlign w:val="center"/>
          </w:tcPr>
          <w:p w14:paraId="57D18228">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1个治理设施</w:t>
            </w:r>
          </w:p>
        </w:tc>
      </w:tr>
      <w:tr w14:paraId="46D0BBFA">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0303D73C">
            <w:pPr>
              <w:ind w:firstLine="320"/>
              <w:jc w:val="center"/>
              <w:rPr>
                <w:rFonts w:ascii="等线" w:hAnsi="等线" w:eastAsia="等线" w:cs="宋体"/>
                <w:kern w:val="0"/>
                <w:sz w:val="16"/>
                <w:szCs w:val="16"/>
              </w:rPr>
            </w:pPr>
            <w:r>
              <w:rPr>
                <w:rFonts w:hint="eastAsia" w:ascii="等线" w:hAnsi="等线" w:eastAsia="等线" w:cs="宋体"/>
                <w:kern w:val="0"/>
                <w:sz w:val="16"/>
                <w:szCs w:val="16"/>
              </w:rPr>
              <w:t>9</w:t>
            </w:r>
          </w:p>
        </w:tc>
        <w:tc>
          <w:tcPr>
            <w:tcW w:w="2673" w:type="dxa"/>
            <w:tcBorders>
              <w:top w:val="nil"/>
              <w:left w:val="nil"/>
              <w:bottom w:val="single" w:color="auto" w:sz="4" w:space="0"/>
              <w:right w:val="single" w:color="auto" w:sz="4" w:space="0"/>
            </w:tcBorders>
            <w:shd w:val="clear" w:color="000000" w:fill="FFFFFF"/>
            <w:noWrap/>
            <w:vAlign w:val="center"/>
          </w:tcPr>
          <w:p w14:paraId="642D13CF">
            <w:pPr>
              <w:ind w:firstLine="320"/>
              <w:jc w:val="left"/>
              <w:rPr>
                <w:rFonts w:ascii="等线" w:hAnsi="等线" w:eastAsia="等线" w:cs="宋体"/>
                <w:kern w:val="0"/>
                <w:sz w:val="16"/>
                <w:szCs w:val="16"/>
              </w:rPr>
            </w:pPr>
            <w:r>
              <w:rPr>
                <w:rFonts w:hint="eastAsia" w:ascii="等线" w:hAnsi="等线" w:eastAsia="等线" w:cs="宋体"/>
                <w:kern w:val="0"/>
                <w:sz w:val="16"/>
                <w:szCs w:val="16"/>
              </w:rPr>
              <w:t>抛丸总表</w:t>
            </w:r>
          </w:p>
        </w:tc>
        <w:tc>
          <w:tcPr>
            <w:tcW w:w="1982" w:type="dxa"/>
            <w:vMerge w:val="restart"/>
            <w:tcBorders>
              <w:top w:val="nil"/>
              <w:left w:val="single" w:color="auto" w:sz="4" w:space="0"/>
              <w:bottom w:val="single" w:color="000000" w:sz="4" w:space="0"/>
              <w:right w:val="single" w:color="auto" w:sz="4" w:space="0"/>
            </w:tcBorders>
            <w:shd w:val="clear" w:color="000000" w:fill="FFFFFF"/>
            <w:noWrap/>
            <w:vAlign w:val="center"/>
          </w:tcPr>
          <w:p w14:paraId="0AC6475C">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1个总表，</w:t>
            </w:r>
          </w:p>
          <w:p w14:paraId="4A30E636">
            <w:pPr>
              <w:ind w:firstLine="640" w:firstLineChars="400"/>
              <w:rPr>
                <w:rFonts w:ascii="等线" w:hAnsi="等线" w:eastAsia="等线" w:cs="宋体"/>
                <w:kern w:val="0"/>
                <w:sz w:val="16"/>
                <w:szCs w:val="16"/>
              </w:rPr>
            </w:pPr>
            <w:r>
              <w:rPr>
                <w:rFonts w:hint="eastAsia" w:ascii="等线" w:hAnsi="等线" w:eastAsia="等线" w:cs="宋体"/>
                <w:kern w:val="0"/>
                <w:sz w:val="16"/>
                <w:szCs w:val="16"/>
              </w:rPr>
              <w:t>1个网关</w:t>
            </w:r>
          </w:p>
        </w:tc>
        <w:tc>
          <w:tcPr>
            <w:tcW w:w="2835" w:type="dxa"/>
            <w:tcBorders>
              <w:top w:val="nil"/>
              <w:left w:val="nil"/>
              <w:bottom w:val="single" w:color="auto" w:sz="4" w:space="0"/>
              <w:right w:val="single" w:color="auto" w:sz="4" w:space="0"/>
            </w:tcBorders>
            <w:shd w:val="clear" w:color="000000" w:fill="FFFFFF"/>
            <w:noWrap/>
            <w:vAlign w:val="center"/>
          </w:tcPr>
          <w:p w14:paraId="6BB705E8">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0606BC4D">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48ED0BE0">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F75D4BC">
            <w:pPr>
              <w:ind w:firstLine="320"/>
              <w:jc w:val="center"/>
              <w:rPr>
                <w:rFonts w:ascii="等线" w:hAnsi="等线" w:eastAsia="等线" w:cs="宋体"/>
                <w:kern w:val="0"/>
                <w:sz w:val="16"/>
                <w:szCs w:val="16"/>
              </w:rPr>
            </w:pPr>
            <w:r>
              <w:rPr>
                <w:rFonts w:hint="eastAsia" w:ascii="等线" w:hAnsi="等线" w:eastAsia="等线" w:cs="宋体"/>
                <w:kern w:val="0"/>
                <w:sz w:val="16"/>
                <w:szCs w:val="16"/>
              </w:rPr>
              <w:t>10</w:t>
            </w:r>
          </w:p>
        </w:tc>
        <w:tc>
          <w:tcPr>
            <w:tcW w:w="2673" w:type="dxa"/>
            <w:tcBorders>
              <w:top w:val="nil"/>
              <w:left w:val="nil"/>
              <w:bottom w:val="single" w:color="auto" w:sz="4" w:space="0"/>
              <w:right w:val="single" w:color="auto" w:sz="4" w:space="0"/>
            </w:tcBorders>
            <w:shd w:val="clear" w:color="000000" w:fill="FFFFFF"/>
            <w:noWrap/>
            <w:vAlign w:val="center"/>
          </w:tcPr>
          <w:p w14:paraId="6171A91A">
            <w:pPr>
              <w:ind w:firstLine="320"/>
              <w:jc w:val="left"/>
              <w:rPr>
                <w:rFonts w:ascii="等线" w:hAnsi="等线" w:eastAsia="等线" w:cs="宋体"/>
                <w:kern w:val="0"/>
                <w:sz w:val="16"/>
                <w:szCs w:val="16"/>
              </w:rPr>
            </w:pPr>
            <w:r>
              <w:rPr>
                <w:rFonts w:hint="eastAsia" w:ascii="等线" w:hAnsi="等线" w:eastAsia="等线" w:cs="宋体"/>
                <w:kern w:val="0"/>
                <w:sz w:val="16"/>
                <w:szCs w:val="16"/>
              </w:rPr>
              <w:t>抛丸网关</w:t>
            </w:r>
          </w:p>
        </w:tc>
        <w:tc>
          <w:tcPr>
            <w:tcW w:w="1982" w:type="dxa"/>
            <w:vMerge w:val="continue"/>
            <w:tcBorders>
              <w:top w:val="nil"/>
              <w:left w:val="single" w:color="auto" w:sz="4" w:space="0"/>
              <w:bottom w:val="single" w:color="000000" w:sz="4" w:space="0"/>
              <w:right w:val="single" w:color="auto" w:sz="4" w:space="0"/>
            </w:tcBorders>
            <w:vAlign w:val="center"/>
          </w:tcPr>
          <w:p w14:paraId="5F94C7C5">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0618CF42">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5DD368B6">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32150BF7">
        <w:tblPrEx>
          <w:tblCellMar>
            <w:top w:w="0" w:type="dxa"/>
            <w:left w:w="108" w:type="dxa"/>
            <w:bottom w:w="0" w:type="dxa"/>
            <w:right w:w="108" w:type="dxa"/>
          </w:tblCellMar>
        </w:tblPrEx>
        <w:trPr>
          <w:trHeight w:val="195" w:hRule="atLeast"/>
        </w:trPr>
        <w:tc>
          <w:tcPr>
            <w:tcW w:w="5103" w:type="dxa"/>
            <w:gridSpan w:val="3"/>
            <w:tcBorders>
              <w:top w:val="nil"/>
              <w:left w:val="single" w:color="auto" w:sz="4" w:space="0"/>
              <w:bottom w:val="single" w:color="auto" w:sz="4" w:space="0"/>
              <w:right w:val="single" w:color="auto" w:sz="4" w:space="0"/>
            </w:tcBorders>
            <w:shd w:val="clear" w:color="auto" w:fill="auto"/>
            <w:noWrap/>
            <w:vAlign w:val="center"/>
          </w:tcPr>
          <w:p w14:paraId="60760BE6">
            <w:pPr>
              <w:ind w:firstLine="320"/>
              <w:jc w:val="center"/>
              <w:rPr>
                <w:rFonts w:ascii="等线" w:hAnsi="等线" w:eastAsia="等线" w:cs="宋体"/>
                <w:kern w:val="0"/>
                <w:sz w:val="16"/>
                <w:szCs w:val="16"/>
              </w:rPr>
            </w:pPr>
            <w:r>
              <w:rPr>
                <w:rFonts w:hint="eastAsia" w:ascii="等线" w:hAnsi="等线" w:eastAsia="等线" w:cs="宋体"/>
                <w:kern w:val="0"/>
                <w:sz w:val="16"/>
                <w:szCs w:val="16"/>
              </w:rPr>
              <w:t>注：抛丸总表包含抛丸机及其治理风机总电量</w:t>
            </w:r>
          </w:p>
        </w:tc>
        <w:tc>
          <w:tcPr>
            <w:tcW w:w="2835" w:type="dxa"/>
            <w:tcBorders>
              <w:top w:val="nil"/>
              <w:left w:val="nil"/>
              <w:bottom w:val="single" w:color="auto" w:sz="4" w:space="0"/>
              <w:right w:val="single" w:color="auto" w:sz="4" w:space="0"/>
            </w:tcBorders>
            <w:shd w:val="clear" w:color="000000" w:fill="FFFFFF"/>
            <w:noWrap/>
            <w:vAlign w:val="center"/>
          </w:tcPr>
          <w:p w14:paraId="1F079E8E">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0F13FA96">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480DF1E1">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219F1E1F">
            <w:pPr>
              <w:ind w:firstLine="320"/>
              <w:jc w:val="center"/>
              <w:rPr>
                <w:rFonts w:ascii="等线" w:hAnsi="等线" w:eastAsia="等线" w:cs="宋体"/>
                <w:kern w:val="0"/>
                <w:sz w:val="16"/>
                <w:szCs w:val="16"/>
              </w:rPr>
            </w:pPr>
            <w:r>
              <w:rPr>
                <w:rFonts w:hint="eastAsia" w:ascii="等线" w:hAnsi="等线" w:eastAsia="等线" w:cs="宋体"/>
                <w:kern w:val="0"/>
                <w:sz w:val="16"/>
                <w:szCs w:val="16"/>
              </w:rPr>
              <w:t>11</w:t>
            </w:r>
          </w:p>
        </w:tc>
        <w:tc>
          <w:tcPr>
            <w:tcW w:w="2673" w:type="dxa"/>
            <w:tcBorders>
              <w:top w:val="nil"/>
              <w:left w:val="nil"/>
              <w:bottom w:val="single" w:color="auto" w:sz="4" w:space="0"/>
              <w:right w:val="single" w:color="auto" w:sz="4" w:space="0"/>
            </w:tcBorders>
            <w:shd w:val="clear" w:color="000000" w:fill="FFFFFF"/>
            <w:noWrap/>
            <w:vAlign w:val="center"/>
          </w:tcPr>
          <w:p w14:paraId="00F366A8">
            <w:pPr>
              <w:ind w:firstLine="320"/>
              <w:jc w:val="left"/>
              <w:rPr>
                <w:rFonts w:ascii="等线" w:hAnsi="等线" w:eastAsia="等线" w:cs="宋体"/>
                <w:kern w:val="0"/>
                <w:sz w:val="16"/>
                <w:szCs w:val="16"/>
              </w:rPr>
            </w:pPr>
            <w:r>
              <w:rPr>
                <w:rFonts w:hint="eastAsia" w:ascii="等线" w:hAnsi="等线" w:eastAsia="等线" w:cs="宋体"/>
                <w:kern w:val="0"/>
                <w:sz w:val="16"/>
                <w:szCs w:val="16"/>
              </w:rPr>
              <w:t>焊机12台（焊装调整班）</w:t>
            </w:r>
          </w:p>
        </w:tc>
        <w:tc>
          <w:tcPr>
            <w:tcW w:w="1982" w:type="dxa"/>
            <w:tcBorders>
              <w:top w:val="nil"/>
              <w:left w:val="nil"/>
              <w:bottom w:val="single" w:color="auto" w:sz="4" w:space="0"/>
              <w:right w:val="single" w:color="auto" w:sz="4" w:space="0"/>
            </w:tcBorders>
            <w:shd w:val="clear" w:color="000000" w:fill="FFFFFF"/>
            <w:noWrap/>
            <w:vAlign w:val="center"/>
          </w:tcPr>
          <w:p w14:paraId="63A6E3A4">
            <w:pPr>
              <w:ind w:firstLine="320"/>
              <w:jc w:val="center"/>
              <w:rPr>
                <w:rFonts w:ascii="等线" w:hAnsi="等线" w:eastAsia="等线" w:cs="宋体"/>
                <w:kern w:val="0"/>
                <w:sz w:val="16"/>
                <w:szCs w:val="16"/>
              </w:rPr>
            </w:pPr>
            <w:r>
              <w:rPr>
                <w:rFonts w:hint="eastAsia" w:ascii="等线" w:hAnsi="等线" w:eastAsia="等线" w:cs="宋体"/>
                <w:kern w:val="0"/>
                <w:sz w:val="16"/>
                <w:szCs w:val="16"/>
              </w:rPr>
              <w:t>12台焊机</w:t>
            </w:r>
          </w:p>
        </w:tc>
        <w:tc>
          <w:tcPr>
            <w:tcW w:w="2835" w:type="dxa"/>
            <w:tcBorders>
              <w:top w:val="nil"/>
              <w:left w:val="nil"/>
              <w:bottom w:val="single" w:color="auto" w:sz="4" w:space="0"/>
              <w:right w:val="single" w:color="auto" w:sz="4" w:space="0"/>
            </w:tcBorders>
            <w:shd w:val="clear" w:color="000000" w:fill="FFFFFF"/>
            <w:noWrap/>
            <w:vAlign w:val="center"/>
          </w:tcPr>
          <w:p w14:paraId="0B1187C1">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治理风机1</w:t>
            </w:r>
          </w:p>
        </w:tc>
        <w:tc>
          <w:tcPr>
            <w:tcW w:w="1560"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1C5F8009">
            <w:pPr>
              <w:ind w:firstLine="320"/>
              <w:jc w:val="center"/>
              <w:rPr>
                <w:rFonts w:ascii="等线" w:hAnsi="等线" w:eastAsia="等线" w:cs="宋体"/>
                <w:kern w:val="0"/>
                <w:sz w:val="16"/>
                <w:szCs w:val="16"/>
              </w:rPr>
            </w:pPr>
            <w:r>
              <w:rPr>
                <w:rFonts w:hint="eastAsia" w:ascii="等线" w:hAnsi="等线" w:eastAsia="等线" w:cs="宋体"/>
                <w:kern w:val="0"/>
                <w:sz w:val="16"/>
                <w:szCs w:val="16"/>
              </w:rPr>
              <w:t>3台治理设施</w:t>
            </w:r>
          </w:p>
        </w:tc>
      </w:tr>
      <w:tr w14:paraId="666008C9">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9A1B317">
            <w:pPr>
              <w:ind w:firstLine="320"/>
              <w:jc w:val="center"/>
              <w:rPr>
                <w:rFonts w:ascii="等线" w:hAnsi="等线" w:eastAsia="等线" w:cs="宋体"/>
                <w:kern w:val="0"/>
                <w:sz w:val="16"/>
                <w:szCs w:val="16"/>
              </w:rPr>
            </w:pPr>
            <w:r>
              <w:rPr>
                <w:rFonts w:hint="eastAsia" w:ascii="等线" w:hAnsi="等线" w:eastAsia="等线" w:cs="宋体"/>
                <w:kern w:val="0"/>
                <w:sz w:val="16"/>
                <w:szCs w:val="16"/>
              </w:rPr>
              <w:t>12</w:t>
            </w:r>
          </w:p>
        </w:tc>
        <w:tc>
          <w:tcPr>
            <w:tcW w:w="2673" w:type="dxa"/>
            <w:tcBorders>
              <w:top w:val="nil"/>
              <w:left w:val="nil"/>
              <w:bottom w:val="single" w:color="auto" w:sz="4" w:space="0"/>
              <w:right w:val="single" w:color="auto" w:sz="4" w:space="0"/>
            </w:tcBorders>
            <w:shd w:val="clear" w:color="000000" w:fill="FFFFFF"/>
            <w:noWrap/>
            <w:vAlign w:val="center"/>
          </w:tcPr>
          <w:p w14:paraId="013A3B2B">
            <w:pPr>
              <w:ind w:firstLine="320"/>
              <w:jc w:val="left"/>
              <w:rPr>
                <w:rFonts w:ascii="等线" w:hAnsi="等线" w:eastAsia="等线" w:cs="宋体"/>
                <w:kern w:val="0"/>
                <w:sz w:val="16"/>
                <w:szCs w:val="16"/>
              </w:rPr>
            </w:pPr>
            <w:r>
              <w:rPr>
                <w:rFonts w:hint="eastAsia" w:ascii="等线" w:hAnsi="等线" w:eastAsia="等线" w:cs="宋体"/>
                <w:kern w:val="0"/>
                <w:sz w:val="16"/>
                <w:szCs w:val="16"/>
              </w:rPr>
              <w:t>焊机7台（焊装分装）</w:t>
            </w:r>
          </w:p>
        </w:tc>
        <w:tc>
          <w:tcPr>
            <w:tcW w:w="1982" w:type="dxa"/>
            <w:tcBorders>
              <w:top w:val="nil"/>
              <w:left w:val="nil"/>
              <w:bottom w:val="nil"/>
              <w:right w:val="single" w:color="auto" w:sz="4" w:space="0"/>
            </w:tcBorders>
            <w:shd w:val="clear" w:color="000000" w:fill="FFFFFF"/>
            <w:noWrap/>
            <w:vAlign w:val="center"/>
          </w:tcPr>
          <w:p w14:paraId="3F5A6054">
            <w:pPr>
              <w:ind w:firstLine="0" w:firstLineChars="0"/>
              <w:jc w:val="left"/>
              <w:rPr>
                <w:rFonts w:ascii="等线" w:hAnsi="等线" w:eastAsia="等线" w:cs="宋体"/>
                <w:kern w:val="0"/>
                <w:sz w:val="16"/>
                <w:szCs w:val="16"/>
              </w:rPr>
            </w:pPr>
            <w:r>
              <w:rPr>
                <w:rFonts w:hint="eastAsia" w:ascii="等线" w:hAnsi="等线" w:eastAsia="等线" w:cs="宋体"/>
                <w:kern w:val="0"/>
                <w:sz w:val="16"/>
                <w:szCs w:val="16"/>
              </w:rPr>
              <w:t>合并到1个配电箱总进线</w:t>
            </w:r>
          </w:p>
        </w:tc>
        <w:tc>
          <w:tcPr>
            <w:tcW w:w="2835" w:type="dxa"/>
            <w:tcBorders>
              <w:top w:val="nil"/>
              <w:left w:val="nil"/>
              <w:bottom w:val="single" w:color="auto" w:sz="4" w:space="0"/>
              <w:right w:val="single" w:color="auto" w:sz="4" w:space="0"/>
            </w:tcBorders>
            <w:shd w:val="clear" w:color="000000" w:fill="FFFFFF"/>
            <w:noWrap/>
            <w:vAlign w:val="center"/>
          </w:tcPr>
          <w:p w14:paraId="4443693B">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治理风机2</w:t>
            </w:r>
          </w:p>
        </w:tc>
        <w:tc>
          <w:tcPr>
            <w:tcW w:w="1560" w:type="dxa"/>
            <w:gridSpan w:val="2"/>
            <w:vMerge w:val="continue"/>
            <w:tcBorders>
              <w:top w:val="nil"/>
              <w:left w:val="single" w:color="auto" w:sz="4" w:space="0"/>
              <w:bottom w:val="single" w:color="auto" w:sz="4" w:space="0"/>
              <w:right w:val="single" w:color="auto" w:sz="4" w:space="0"/>
            </w:tcBorders>
            <w:vAlign w:val="center"/>
          </w:tcPr>
          <w:p w14:paraId="6F179040">
            <w:pPr>
              <w:ind w:firstLine="320"/>
              <w:jc w:val="left"/>
              <w:rPr>
                <w:rFonts w:ascii="等线" w:hAnsi="等线" w:eastAsia="等线" w:cs="宋体"/>
                <w:kern w:val="0"/>
                <w:sz w:val="16"/>
                <w:szCs w:val="16"/>
              </w:rPr>
            </w:pPr>
          </w:p>
        </w:tc>
      </w:tr>
      <w:tr w14:paraId="03A9305B">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01B30C5E">
            <w:pPr>
              <w:ind w:firstLine="320"/>
              <w:jc w:val="center"/>
              <w:rPr>
                <w:rFonts w:ascii="等线" w:hAnsi="等线" w:eastAsia="等线" w:cs="宋体"/>
                <w:kern w:val="0"/>
                <w:sz w:val="16"/>
                <w:szCs w:val="16"/>
              </w:rPr>
            </w:pPr>
            <w:r>
              <w:rPr>
                <w:rFonts w:hint="eastAsia" w:ascii="等线" w:hAnsi="等线" w:eastAsia="等线" w:cs="宋体"/>
                <w:kern w:val="0"/>
                <w:sz w:val="16"/>
                <w:szCs w:val="16"/>
              </w:rPr>
              <w:t>13</w:t>
            </w:r>
          </w:p>
        </w:tc>
        <w:tc>
          <w:tcPr>
            <w:tcW w:w="2673" w:type="dxa"/>
            <w:tcBorders>
              <w:top w:val="nil"/>
              <w:left w:val="nil"/>
              <w:bottom w:val="single" w:color="auto" w:sz="4" w:space="0"/>
              <w:right w:val="single" w:color="auto" w:sz="4" w:space="0"/>
            </w:tcBorders>
            <w:shd w:val="clear" w:color="000000" w:fill="FFFFFF"/>
            <w:noWrap/>
            <w:vAlign w:val="center"/>
          </w:tcPr>
          <w:p w14:paraId="6FBBB747">
            <w:pPr>
              <w:ind w:firstLine="320"/>
              <w:jc w:val="left"/>
              <w:rPr>
                <w:rFonts w:ascii="等线" w:hAnsi="等线" w:eastAsia="等线" w:cs="宋体"/>
                <w:kern w:val="0"/>
                <w:sz w:val="16"/>
                <w:szCs w:val="16"/>
              </w:rPr>
            </w:pPr>
            <w:r>
              <w:rPr>
                <w:rFonts w:hint="eastAsia" w:ascii="等线" w:hAnsi="等线" w:eastAsia="等线" w:cs="宋体"/>
                <w:kern w:val="0"/>
                <w:sz w:val="16"/>
                <w:szCs w:val="16"/>
              </w:rPr>
              <w:t>焊机组网关</w:t>
            </w:r>
          </w:p>
        </w:tc>
        <w:tc>
          <w:tcPr>
            <w:tcW w:w="1982" w:type="dxa"/>
            <w:vMerge w:val="restart"/>
            <w:tcBorders>
              <w:top w:val="single" w:color="auto" w:sz="4" w:space="0"/>
              <w:left w:val="single" w:color="auto" w:sz="4" w:space="0"/>
              <w:bottom w:val="nil"/>
              <w:right w:val="single" w:color="auto" w:sz="4" w:space="0"/>
            </w:tcBorders>
            <w:shd w:val="clear" w:color="000000" w:fill="FFFFFF"/>
            <w:noWrap/>
            <w:vAlign w:val="center"/>
          </w:tcPr>
          <w:p w14:paraId="51324DD3">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1个总表，</w:t>
            </w:r>
          </w:p>
          <w:p w14:paraId="4FE4E7DD">
            <w:pPr>
              <w:ind w:firstLine="640" w:firstLineChars="400"/>
              <w:rPr>
                <w:rFonts w:ascii="等线" w:hAnsi="等线" w:eastAsia="等线" w:cs="宋体"/>
                <w:kern w:val="0"/>
                <w:sz w:val="16"/>
                <w:szCs w:val="16"/>
              </w:rPr>
            </w:pPr>
            <w:r>
              <w:rPr>
                <w:rFonts w:hint="eastAsia" w:ascii="等线" w:hAnsi="等线" w:eastAsia="等线" w:cs="宋体"/>
                <w:kern w:val="0"/>
                <w:sz w:val="16"/>
                <w:szCs w:val="16"/>
              </w:rPr>
              <w:t>1个网关</w:t>
            </w:r>
          </w:p>
        </w:tc>
        <w:tc>
          <w:tcPr>
            <w:tcW w:w="2835" w:type="dxa"/>
            <w:tcBorders>
              <w:top w:val="nil"/>
              <w:left w:val="nil"/>
              <w:bottom w:val="single" w:color="auto" w:sz="4" w:space="0"/>
              <w:right w:val="single" w:color="auto" w:sz="4" w:space="0"/>
            </w:tcBorders>
            <w:shd w:val="clear" w:color="auto" w:fill="auto"/>
            <w:noWrap/>
            <w:vAlign w:val="center"/>
          </w:tcPr>
          <w:p w14:paraId="5754413C">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治理风机总表1</w:t>
            </w:r>
          </w:p>
        </w:tc>
        <w:tc>
          <w:tcPr>
            <w:tcW w:w="1560" w:type="dxa"/>
            <w:gridSpan w:val="2"/>
            <w:vMerge w:val="restart"/>
            <w:tcBorders>
              <w:top w:val="nil"/>
              <w:left w:val="single" w:color="auto" w:sz="4" w:space="0"/>
              <w:bottom w:val="single" w:color="000000" w:sz="4" w:space="0"/>
              <w:right w:val="single" w:color="auto" w:sz="4" w:space="0"/>
            </w:tcBorders>
            <w:shd w:val="clear" w:color="auto" w:fill="auto"/>
            <w:noWrap/>
            <w:vAlign w:val="center"/>
          </w:tcPr>
          <w:p w14:paraId="2F563536">
            <w:pPr>
              <w:ind w:firstLine="320"/>
              <w:jc w:val="center"/>
              <w:rPr>
                <w:rFonts w:ascii="等线" w:hAnsi="等线" w:eastAsia="等线" w:cs="宋体"/>
                <w:kern w:val="0"/>
                <w:sz w:val="16"/>
                <w:szCs w:val="16"/>
              </w:rPr>
            </w:pPr>
            <w:r>
              <w:rPr>
                <w:rFonts w:hint="eastAsia" w:ascii="等线" w:hAnsi="等线" w:eastAsia="等线" w:cs="宋体"/>
                <w:kern w:val="0"/>
                <w:sz w:val="16"/>
                <w:szCs w:val="16"/>
              </w:rPr>
              <w:t>2个总表</w:t>
            </w:r>
          </w:p>
        </w:tc>
      </w:tr>
      <w:tr w14:paraId="67D84874">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B7C9AA4">
            <w:pPr>
              <w:ind w:firstLine="320"/>
              <w:jc w:val="center"/>
              <w:rPr>
                <w:rFonts w:ascii="等线" w:hAnsi="等线" w:eastAsia="等线" w:cs="宋体"/>
                <w:kern w:val="0"/>
                <w:sz w:val="16"/>
                <w:szCs w:val="16"/>
              </w:rPr>
            </w:pPr>
            <w:r>
              <w:rPr>
                <w:rFonts w:hint="eastAsia" w:ascii="等线" w:hAnsi="等线" w:eastAsia="等线" w:cs="宋体"/>
                <w:kern w:val="0"/>
                <w:sz w:val="16"/>
                <w:szCs w:val="16"/>
              </w:rPr>
              <w:t>14</w:t>
            </w:r>
          </w:p>
        </w:tc>
        <w:tc>
          <w:tcPr>
            <w:tcW w:w="2673" w:type="dxa"/>
            <w:tcBorders>
              <w:top w:val="nil"/>
              <w:left w:val="nil"/>
              <w:bottom w:val="single" w:color="auto" w:sz="4" w:space="0"/>
              <w:right w:val="single" w:color="auto" w:sz="4" w:space="0"/>
            </w:tcBorders>
            <w:shd w:val="clear" w:color="000000" w:fill="FFFFFF"/>
            <w:noWrap/>
            <w:vAlign w:val="center"/>
          </w:tcPr>
          <w:p w14:paraId="7D4FF53F">
            <w:pPr>
              <w:ind w:firstLine="320"/>
              <w:jc w:val="left"/>
              <w:rPr>
                <w:rFonts w:ascii="等线" w:hAnsi="等线" w:eastAsia="等线" w:cs="宋体"/>
                <w:kern w:val="0"/>
                <w:sz w:val="16"/>
                <w:szCs w:val="16"/>
              </w:rPr>
            </w:pPr>
            <w:r>
              <w:rPr>
                <w:rFonts w:hint="eastAsia" w:ascii="等线" w:hAnsi="等线" w:eastAsia="等线" w:cs="宋体"/>
                <w:kern w:val="0"/>
                <w:sz w:val="16"/>
                <w:szCs w:val="16"/>
              </w:rPr>
              <w:t>焊机组总表1</w:t>
            </w:r>
          </w:p>
        </w:tc>
        <w:tc>
          <w:tcPr>
            <w:tcW w:w="1982" w:type="dxa"/>
            <w:vMerge w:val="continue"/>
            <w:tcBorders>
              <w:top w:val="single" w:color="auto" w:sz="4" w:space="0"/>
              <w:left w:val="single" w:color="auto" w:sz="4" w:space="0"/>
              <w:bottom w:val="nil"/>
              <w:right w:val="single" w:color="auto" w:sz="4" w:space="0"/>
            </w:tcBorders>
            <w:vAlign w:val="center"/>
          </w:tcPr>
          <w:p w14:paraId="4D6D7260">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auto" w:fill="auto"/>
            <w:noWrap/>
            <w:vAlign w:val="center"/>
          </w:tcPr>
          <w:p w14:paraId="77652415">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治理风机总表2</w:t>
            </w:r>
          </w:p>
        </w:tc>
        <w:tc>
          <w:tcPr>
            <w:tcW w:w="1560" w:type="dxa"/>
            <w:gridSpan w:val="2"/>
            <w:vMerge w:val="continue"/>
            <w:tcBorders>
              <w:top w:val="nil"/>
              <w:left w:val="single" w:color="auto" w:sz="4" w:space="0"/>
              <w:bottom w:val="single" w:color="000000" w:sz="4" w:space="0"/>
              <w:right w:val="single" w:color="auto" w:sz="4" w:space="0"/>
            </w:tcBorders>
            <w:vAlign w:val="center"/>
          </w:tcPr>
          <w:p w14:paraId="7BCE71D8">
            <w:pPr>
              <w:ind w:firstLine="320"/>
              <w:jc w:val="left"/>
              <w:rPr>
                <w:rFonts w:ascii="等线" w:hAnsi="等线" w:eastAsia="等线" w:cs="宋体"/>
                <w:kern w:val="0"/>
                <w:sz w:val="16"/>
                <w:szCs w:val="16"/>
              </w:rPr>
            </w:pPr>
          </w:p>
        </w:tc>
      </w:tr>
      <w:tr w14:paraId="518DB745">
        <w:tblPrEx>
          <w:tblCellMar>
            <w:top w:w="0" w:type="dxa"/>
            <w:left w:w="108" w:type="dxa"/>
            <w:bottom w:w="0" w:type="dxa"/>
            <w:right w:w="108" w:type="dxa"/>
          </w:tblCellMar>
        </w:tblPrEx>
        <w:trPr>
          <w:trHeight w:val="524" w:hRule="atLeast"/>
        </w:trPr>
        <w:tc>
          <w:tcPr>
            <w:tcW w:w="3121" w:type="dxa"/>
            <w:gridSpan w:val="2"/>
            <w:tcBorders>
              <w:top w:val="nil"/>
              <w:left w:val="single" w:color="auto" w:sz="4" w:space="0"/>
              <w:bottom w:val="single" w:color="auto" w:sz="4" w:space="0"/>
              <w:right w:val="single" w:color="auto" w:sz="4" w:space="0"/>
            </w:tcBorders>
            <w:shd w:val="clear" w:color="auto" w:fill="auto"/>
            <w:noWrap/>
            <w:vAlign w:val="center"/>
          </w:tcPr>
          <w:p w14:paraId="7D8EC49B">
            <w:pPr>
              <w:ind w:firstLine="320"/>
              <w:jc w:val="left"/>
              <w:rPr>
                <w:rFonts w:ascii="等线" w:hAnsi="等线" w:eastAsia="等线" w:cs="宋体"/>
                <w:kern w:val="0"/>
                <w:sz w:val="16"/>
                <w:szCs w:val="16"/>
              </w:rPr>
            </w:pPr>
            <w:r>
              <w:rPr>
                <w:rFonts w:hint="eastAsia" w:ascii="等线" w:hAnsi="等线" w:eastAsia="等线" w:cs="宋体"/>
                <w:kern w:val="0"/>
                <w:sz w:val="16"/>
                <w:szCs w:val="16"/>
              </w:rPr>
              <w:t>注：焊机组总表对应相应焊机，安装时对应相关治理风机</w:t>
            </w:r>
          </w:p>
        </w:tc>
        <w:tc>
          <w:tcPr>
            <w:tcW w:w="1982" w:type="dxa"/>
            <w:tcBorders>
              <w:top w:val="nil"/>
              <w:left w:val="nil"/>
              <w:bottom w:val="nil"/>
              <w:right w:val="single" w:color="auto" w:sz="4" w:space="0"/>
            </w:tcBorders>
            <w:shd w:val="clear" w:color="000000" w:fill="FFFFFF"/>
            <w:noWrap/>
            <w:vAlign w:val="center"/>
          </w:tcPr>
          <w:p w14:paraId="0B2DBCAC">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2835" w:type="dxa"/>
            <w:tcBorders>
              <w:top w:val="nil"/>
              <w:left w:val="nil"/>
              <w:bottom w:val="single" w:color="auto" w:sz="4" w:space="0"/>
              <w:right w:val="single" w:color="auto" w:sz="4" w:space="0"/>
            </w:tcBorders>
            <w:shd w:val="clear" w:color="auto" w:fill="auto"/>
            <w:noWrap/>
            <w:vAlign w:val="center"/>
          </w:tcPr>
          <w:p w14:paraId="69D82387">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治理组网关</w:t>
            </w:r>
          </w:p>
        </w:tc>
        <w:tc>
          <w:tcPr>
            <w:tcW w:w="1560" w:type="dxa"/>
            <w:gridSpan w:val="2"/>
            <w:tcBorders>
              <w:top w:val="nil"/>
              <w:left w:val="nil"/>
              <w:bottom w:val="single" w:color="auto" w:sz="4" w:space="0"/>
              <w:right w:val="single" w:color="auto" w:sz="4" w:space="0"/>
            </w:tcBorders>
            <w:shd w:val="clear" w:color="auto" w:fill="auto"/>
            <w:noWrap/>
            <w:vAlign w:val="center"/>
          </w:tcPr>
          <w:p w14:paraId="53D5CEBE">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1个网关</w:t>
            </w:r>
          </w:p>
        </w:tc>
      </w:tr>
      <w:tr w14:paraId="4E7A99EE">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5324D9DD">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2673" w:type="dxa"/>
            <w:tcBorders>
              <w:top w:val="single" w:color="auto" w:sz="4" w:space="0"/>
              <w:left w:val="nil"/>
              <w:bottom w:val="single" w:color="auto" w:sz="4" w:space="0"/>
              <w:right w:val="single" w:color="auto" w:sz="4" w:space="0"/>
            </w:tcBorders>
            <w:shd w:val="clear" w:color="auto" w:fill="auto"/>
            <w:noWrap/>
            <w:vAlign w:val="center"/>
          </w:tcPr>
          <w:p w14:paraId="2BEC0D9B">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982" w:type="dxa"/>
            <w:tcBorders>
              <w:top w:val="single" w:color="auto" w:sz="4" w:space="0"/>
              <w:left w:val="nil"/>
              <w:bottom w:val="single" w:color="auto" w:sz="4" w:space="0"/>
              <w:right w:val="single" w:color="auto" w:sz="4" w:space="0"/>
            </w:tcBorders>
            <w:shd w:val="clear" w:color="auto" w:fill="auto"/>
            <w:noWrap/>
            <w:vAlign w:val="center"/>
          </w:tcPr>
          <w:p w14:paraId="3591D7D0">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4395" w:type="dxa"/>
            <w:gridSpan w:val="3"/>
            <w:tcBorders>
              <w:top w:val="nil"/>
              <w:left w:val="nil"/>
              <w:bottom w:val="single" w:color="auto" w:sz="4" w:space="0"/>
              <w:right w:val="single" w:color="auto" w:sz="4" w:space="0"/>
            </w:tcBorders>
            <w:shd w:val="clear" w:color="auto" w:fill="auto"/>
            <w:noWrap/>
            <w:vAlign w:val="center"/>
          </w:tcPr>
          <w:p w14:paraId="57429B57">
            <w:pPr>
              <w:ind w:firstLine="320"/>
              <w:jc w:val="left"/>
              <w:rPr>
                <w:rFonts w:ascii="等线" w:hAnsi="等线" w:eastAsia="等线" w:cs="宋体"/>
                <w:kern w:val="0"/>
                <w:sz w:val="16"/>
                <w:szCs w:val="16"/>
              </w:rPr>
            </w:pPr>
            <w:r>
              <w:rPr>
                <w:rFonts w:hint="eastAsia" w:ascii="等线" w:hAnsi="等线" w:eastAsia="等线" w:cs="宋体"/>
                <w:kern w:val="0"/>
                <w:sz w:val="16"/>
                <w:szCs w:val="16"/>
              </w:rPr>
              <w:t>注：治理风机总表1包含治理风机1和2用电量</w:t>
            </w:r>
          </w:p>
        </w:tc>
      </w:tr>
      <w:tr w14:paraId="7F8D7532">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48D5387">
            <w:pPr>
              <w:ind w:firstLine="440"/>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2673" w:type="dxa"/>
            <w:tcBorders>
              <w:top w:val="nil"/>
              <w:left w:val="nil"/>
              <w:bottom w:val="single" w:color="auto" w:sz="4" w:space="0"/>
              <w:right w:val="single" w:color="auto" w:sz="4" w:space="0"/>
            </w:tcBorders>
            <w:shd w:val="clear" w:color="auto" w:fill="auto"/>
            <w:noWrap/>
            <w:vAlign w:val="center"/>
          </w:tcPr>
          <w:p w14:paraId="55576933">
            <w:pPr>
              <w:ind w:firstLine="440"/>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数量合计</w:t>
            </w:r>
          </w:p>
        </w:tc>
        <w:tc>
          <w:tcPr>
            <w:tcW w:w="1982" w:type="dxa"/>
            <w:tcBorders>
              <w:top w:val="nil"/>
              <w:left w:val="nil"/>
              <w:bottom w:val="single" w:color="auto" w:sz="4" w:space="0"/>
              <w:right w:val="single" w:color="auto" w:sz="4" w:space="0"/>
            </w:tcBorders>
            <w:shd w:val="clear" w:color="auto" w:fill="auto"/>
            <w:noWrap/>
            <w:vAlign w:val="center"/>
          </w:tcPr>
          <w:p w14:paraId="6BB47623">
            <w:pPr>
              <w:ind w:firstLine="440"/>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25</w:t>
            </w:r>
          </w:p>
        </w:tc>
        <w:tc>
          <w:tcPr>
            <w:tcW w:w="2835" w:type="dxa"/>
            <w:tcBorders>
              <w:top w:val="nil"/>
              <w:left w:val="nil"/>
              <w:bottom w:val="single" w:color="auto" w:sz="4" w:space="0"/>
              <w:right w:val="single" w:color="auto" w:sz="4" w:space="0"/>
            </w:tcBorders>
            <w:shd w:val="clear" w:color="auto" w:fill="auto"/>
            <w:noWrap/>
            <w:vAlign w:val="center"/>
          </w:tcPr>
          <w:p w14:paraId="5ABBDFFC">
            <w:pPr>
              <w:ind w:firstLine="440"/>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386B13E9">
            <w:pPr>
              <w:ind w:firstLine="440"/>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10</w:t>
            </w:r>
          </w:p>
        </w:tc>
      </w:tr>
    </w:tbl>
    <w:p w14:paraId="74780F7D">
      <w:pPr>
        <w:pStyle w:val="5"/>
        <w:spacing w:line="400" w:lineRule="exact"/>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中标方合作期间对以上3</w:t>
      </w:r>
      <w:r>
        <w:rPr>
          <w:rFonts w:ascii="仿宋_GB2312" w:hAnsi="仿宋_GB2312" w:eastAsia="仿宋_GB2312" w:cs="仿宋_GB2312"/>
          <w:bCs/>
          <w:color w:val="000000" w:themeColor="text1"/>
          <w:sz w:val="28"/>
          <w:szCs w:val="28"/>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个点位按照</w:t>
      </w:r>
      <w:bookmarkStart w:id="24" w:name="_Toc212369519"/>
      <w:r>
        <w:rPr>
          <w:rFonts w:hint="eastAsia" w:ascii="仿宋_GB2312" w:hAnsi="仿宋_GB2312" w:eastAsia="仿宋_GB2312" w:cs="仿宋_GB2312"/>
          <w:bCs/>
          <w:color w:val="000000" w:themeColor="text1"/>
          <w:sz w:val="28"/>
          <w:szCs w:val="28"/>
          <w14:textFill>
            <w14:solidFill>
              <w14:schemeClr w14:val="tx1"/>
            </w14:solidFill>
          </w14:textFill>
        </w:rPr>
        <w:t>《用电量监控安装点位技术要求》要求加装用电监管设备并做好设备安装测试、验收及日常运维服务，保证设备的稳定运行，用电监管设备损坏或老化时需免费维修更换，设备信号异常时能够在1小时内达到现场排查、处理，必要时向环保局回复说明。</w:t>
      </w:r>
    </w:p>
    <w:p w14:paraId="2CDFB4BB">
      <w:pPr>
        <w:pStyle w:val="5"/>
        <w:ind w:firstLine="562"/>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三、招标形式</w:t>
      </w:r>
    </w:p>
    <w:p w14:paraId="4121F13A">
      <w:pPr>
        <w:pStyle w:val="5"/>
        <w:spacing w:line="400" w:lineRule="exact"/>
        <w:ind w:firstLine="840" w:firstLineChars="3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公开招标</w:t>
      </w:r>
    </w:p>
    <w:p w14:paraId="7E9AC78C">
      <w:pPr>
        <w:pStyle w:val="6"/>
        <w:spacing w:line="360" w:lineRule="auto"/>
        <w:ind w:firstLine="562"/>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四、议程安排</w:t>
      </w:r>
    </w:p>
    <w:p w14:paraId="0C0863A3">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1）答疑时间：截止时间：202</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年</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月</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19</w:t>
      </w:r>
      <w:r>
        <w:rPr>
          <w:rFonts w:hint="eastAsia" w:ascii="仿宋_GB2312" w:hAnsi="仿宋_GB2312" w:eastAsia="仿宋_GB2312" w:cs="仿宋_GB2312"/>
          <w:bCs/>
          <w:color w:val="000000" w:themeColor="text1"/>
          <w:sz w:val="28"/>
          <w:szCs w:val="28"/>
          <w14:textFill>
            <w14:solidFill>
              <w14:schemeClr w14:val="tx1"/>
            </w14:solidFill>
          </w14:textFill>
        </w:rPr>
        <w:t>日1</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7</w:t>
      </w:r>
      <w:r>
        <w:rPr>
          <w:rFonts w:hint="eastAsia" w:ascii="仿宋_GB2312" w:hAnsi="仿宋_GB2312" w:eastAsia="仿宋_GB2312" w:cs="仿宋_GB2312"/>
          <w:bCs/>
          <w:color w:val="000000" w:themeColor="text1"/>
          <w:sz w:val="28"/>
          <w:szCs w:val="28"/>
          <w14:textFill>
            <w14:solidFill>
              <w14:schemeClr w14:val="tx1"/>
            </w14:solidFill>
          </w14:textFill>
        </w:rPr>
        <w:t>：00。</w:t>
      </w:r>
    </w:p>
    <w:p w14:paraId="0EDD30B2">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答疑方式：电话或现场答疑。</w:t>
      </w:r>
    </w:p>
    <w:p w14:paraId="65E9D90C">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答疑联系人：王正义</w:t>
      </w:r>
    </w:p>
    <w:p w14:paraId="6943F163">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联系电话：0537-3317756/18364713065</w:t>
      </w:r>
    </w:p>
    <w:p w14:paraId="41F72A6D">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2）开标时间：202</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年</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月</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20</w:t>
      </w:r>
      <w:r>
        <w:rPr>
          <w:rFonts w:hint="eastAsia" w:ascii="仿宋_GB2312" w:hAnsi="仿宋_GB2312" w:eastAsia="仿宋_GB2312" w:cs="仿宋_GB2312"/>
          <w:bCs/>
          <w:color w:val="000000" w:themeColor="text1"/>
          <w:sz w:val="28"/>
          <w:szCs w:val="28"/>
          <w14:textFill>
            <w14:solidFill>
              <w14:schemeClr w14:val="tx1"/>
            </w14:solidFill>
          </w14:textFill>
        </w:rPr>
        <w:t>日</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10</w:t>
      </w:r>
      <w:r>
        <w:rPr>
          <w:rFonts w:hint="eastAsia" w:ascii="仿宋_GB2312" w:hAnsi="仿宋_GB2312" w:eastAsia="仿宋_GB2312" w:cs="仿宋_GB2312"/>
          <w:bCs/>
          <w:color w:val="000000" w:themeColor="text1"/>
          <w:sz w:val="28"/>
          <w:szCs w:val="28"/>
          <w14:textFill>
            <w14:solidFill>
              <w14:schemeClr w14:val="tx1"/>
            </w14:solidFill>
          </w14:textFill>
        </w:rPr>
        <w:t>时（若有变动另行通知）。</w:t>
      </w:r>
    </w:p>
    <w:p w14:paraId="1F309366">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3）线上招投标：投标方登录“中国重汽e采通”平台“http</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s</w:t>
      </w:r>
      <w:r>
        <w:rPr>
          <w:rFonts w:hint="eastAsia" w:ascii="仿宋_GB2312" w:hAnsi="仿宋_GB2312" w:eastAsia="仿宋_GB2312" w:cs="仿宋_GB2312"/>
          <w:bCs/>
          <w:color w:val="000000" w:themeColor="text1"/>
          <w:sz w:val="28"/>
          <w:szCs w:val="28"/>
          <w14:textFill>
            <w14:solidFill>
              <w14:schemeClr w14:val="tx1"/>
            </w14:solidFill>
          </w14:textFill>
        </w:rPr>
        <w:t>://ecaitong.sinotruk.com:8012/#/login”完成注册及投标相关工作，具体步骤详见后附操作手册。</w:t>
      </w:r>
    </w:p>
    <w:p w14:paraId="4DEA6215">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本项目的采购形式编号：CGZX2025040046。</w:t>
      </w:r>
    </w:p>
    <w:p w14:paraId="47BEA50C">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如有疑问请联系答疑人。</w:t>
      </w:r>
    </w:p>
    <w:p w14:paraId="62473A16">
      <w:pPr>
        <w:pStyle w:val="6"/>
        <w:spacing w:line="360" w:lineRule="auto"/>
        <w:ind w:firstLine="562"/>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五、投标人资格要求</w:t>
      </w:r>
    </w:p>
    <w:p w14:paraId="39926ECF">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（1）投标人必须是依法注册并有效存续的独立企业法人，具有独立承担民事责任能力；投标人须遵守《中华人民共和国招标投标法》、《中华人民共和国民法典》及其它有关的法律和法规；</w:t>
      </w:r>
    </w:p>
    <w:p w14:paraId="51B36544">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（2）公司注册资金不少于150万元人民币、成立三年及以上；经营范围满足招标项目需求，并在人员、设备、资金等方面具有承担本项目的能力；提供统一社会信用代码的新版营业执照副本扫描件（加盖公章）；</w:t>
      </w:r>
    </w:p>
    <w:p w14:paraId="422B17C0">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（3）具有良好的商业信誉，在国家企业信用信息公示系统中无行政处罚、经营异常或失信信息或上述信息已被移除；</w:t>
      </w:r>
    </w:p>
    <w:p w14:paraId="39C41E70">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（4）具有健全的财务会计制度，有依法缴纳税收和社会保障资金的良好记录，</w:t>
      </w:r>
    </w:p>
    <w:p w14:paraId="3CC7C0F8">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提供最近半年完税证明、信用证明材料（中国人民银行信用代码证+征信报告）；</w:t>
      </w:r>
    </w:p>
    <w:p w14:paraId="3FC4178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提供年度纳税信用评价信息（可从电子税务局查询截图， 需加盖公章）；</w:t>
      </w:r>
    </w:p>
    <w:p w14:paraId="13357F9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提供企业对外担保说明（写明贵单位对外有无对外担保和质押业务，需加盖公章）；</w:t>
      </w:r>
    </w:p>
    <w:p w14:paraId="58A5B0C1">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B09C34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（5）近三年内未发生过安全生产事故；且在近三年内的经营活动中经营业绩良好并且没有违法违纪行为；</w:t>
      </w:r>
    </w:p>
    <w:p w14:paraId="19B5B26A">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（6）投标人没有被列入招标人处《黑名单》（《黑名单》指投标人与招标人在以往或正在进行的合作中，存在招标人认为的违反合同约定或违反法律法规等的失信行为）的；</w:t>
      </w:r>
    </w:p>
    <w:p w14:paraId="323FE1BB">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（7）投标人的直接或间接股东、法定代表人、董事、监事和高管均非中国重汽员工及其亲属； </w:t>
      </w:r>
    </w:p>
    <w:p w14:paraId="510B7F1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（8）投标人必须是最终投标、中标并签订合同的单位，不得以任何理由将已中标项目以任何形式转包给其他单位；</w:t>
      </w:r>
    </w:p>
    <w:p w14:paraId="1A8EEF58">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（9）本次招标项目不接受联合体投标；</w:t>
      </w:r>
    </w:p>
    <w:p w14:paraId="278C1D27">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（10）投标人须认可招标人的工作指令，包括节假日、夜间能正常开展工作的要求；</w:t>
      </w:r>
    </w:p>
    <w:p w14:paraId="078D3DAA">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（11）中国重汽集团济宁商用车有限公司负责对招标文件进行说明，并解答投标人提出的问题。</w:t>
      </w:r>
    </w:p>
    <w:p w14:paraId="0DC5994E">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（12）招标文件的修改通知书构成招标文件的一部分，对投标人具有约束力。</w:t>
      </w:r>
    </w:p>
    <w:p w14:paraId="51BD891B">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(13)投标人应认真审阅招标方编制的招标文件,与招标人指派的答疑人员充分沟通，理解认可并接受相关技术规范及服务要求。自投标人在e采通参与了该项目的投标，则视同投标方认可招标文本和由于招标人上级集团公司政策变化引起的合同签订前终止项目的相关要求。</w:t>
      </w:r>
    </w:p>
    <w:p w14:paraId="07F69BC4">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(14)投标方对其自行提供的材料真实性负责，如因材料不实、未履行相应承诺等对招标方造成不利的，投标方将承担一切责任，招标方有权向投标方追偿甚至追究法律责任。</w:t>
      </w:r>
    </w:p>
    <w:p w14:paraId="1704C3D0">
      <w:pPr>
        <w:pStyle w:val="6"/>
        <w:spacing w:line="360" w:lineRule="auto"/>
        <w:ind w:firstLine="562"/>
        <w:outlineLvl w:val="1"/>
        <w:rPr>
          <w:rFonts w:ascii="黑体" w:eastAsia="黑体"/>
          <w:b/>
          <w:bCs/>
          <w:sz w:val="28"/>
        </w:rPr>
      </w:pPr>
      <w:r>
        <w:rPr>
          <w:rFonts w:hint="eastAsia" w:ascii="黑体" w:eastAsia="黑体"/>
          <w:b/>
          <w:bCs/>
          <w:sz w:val="28"/>
        </w:rPr>
        <w:t>六、投标保证金</w:t>
      </w:r>
    </w:p>
    <w:p w14:paraId="63D73C9A">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⑴投标人向招标人财务部门缴纳5000元（人民币），作为投标人本次投标的保证金；</w:t>
      </w:r>
    </w:p>
    <w:p w14:paraId="3AF0536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⑵缴纳方式：电汇，投标保证金应从基本账户转入需备注“用电监管设备安装及运维项目投标保证金”；</w:t>
      </w:r>
    </w:p>
    <w:p w14:paraId="6D831632">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⑶接收单位：中国重汽集团济宁商用车有限公司；</w:t>
      </w:r>
    </w:p>
    <w:p w14:paraId="5E546F37">
      <w:pPr>
        <w:pStyle w:val="6"/>
        <w:spacing w:line="360" w:lineRule="auto"/>
        <w:ind w:firstLine="560"/>
      </w:pPr>
      <w:r>
        <w:rPr>
          <w:rFonts w:hint="eastAsia" w:ascii="仿宋_GB2312" w:hAnsi="仿宋_GB2312" w:eastAsia="仿宋_GB2312" w:cs="仿宋_GB2312"/>
          <w:bCs/>
          <w:color w:val="000000" w:themeColor="text1"/>
          <w:sz w:val="28"/>
          <w:szCs w:val="28"/>
          <w14:textFill>
            <w14:solidFill>
              <w14:schemeClr w14:val="tx1"/>
            </w14:solidFill>
          </w14:textFill>
        </w:rPr>
        <w:t>⑷转账信息：</w:t>
      </w:r>
    </w:p>
    <w:tbl>
      <w:tblPr>
        <w:tblStyle w:val="10"/>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03D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2299BC0E">
            <w:pPr>
              <w:ind w:firstLine="420"/>
              <w:rPr>
                <w:rFonts w:ascii="宋体" w:hAnsi="Courier New"/>
              </w:rPr>
            </w:pPr>
            <w:r>
              <w:rPr>
                <w:rFonts w:hint="eastAsia" w:ascii="宋体" w:hAnsi="Courier New"/>
              </w:rPr>
              <w:t>开户银行：</w:t>
            </w:r>
            <w:r>
              <w:rPr>
                <w:rFonts w:ascii="宋体" w:hAnsi="Courier New"/>
              </w:rPr>
              <w:t>中行</w:t>
            </w:r>
            <w:r>
              <w:rPr>
                <w:rFonts w:hint="eastAsia" w:ascii="宋体" w:hAnsi="Courier New"/>
              </w:rPr>
              <w:t>济宁分行</w:t>
            </w:r>
          </w:p>
        </w:tc>
      </w:tr>
      <w:tr w14:paraId="4953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trPr>
        <w:tc>
          <w:tcPr>
            <w:tcW w:w="8287" w:type="dxa"/>
            <w:vAlign w:val="center"/>
          </w:tcPr>
          <w:p w14:paraId="4A30D9CC">
            <w:pPr>
              <w:ind w:firstLine="420"/>
              <w:rPr>
                <w:rFonts w:ascii="宋体" w:hAnsi="Courier New"/>
              </w:rPr>
            </w:pPr>
            <w:r>
              <w:rPr>
                <w:rFonts w:hint="eastAsia" w:ascii="宋体" w:hAnsi="Courier New"/>
              </w:rPr>
              <w:t>户名：中国重汽集团</w:t>
            </w:r>
            <w:r>
              <w:rPr>
                <w:rFonts w:ascii="宋体" w:hAnsi="Courier New"/>
              </w:rPr>
              <w:t>济宁商用车有限公司</w:t>
            </w:r>
          </w:p>
        </w:tc>
      </w:tr>
      <w:tr w14:paraId="15CC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80C4CB0">
            <w:pPr>
              <w:ind w:firstLine="420"/>
              <w:rPr>
                <w:rFonts w:ascii="宋体" w:hAnsi="Courier New"/>
              </w:rPr>
            </w:pPr>
            <w:r>
              <w:rPr>
                <w:rFonts w:hint="eastAsia" w:ascii="宋体" w:hAnsi="Courier New"/>
              </w:rPr>
              <w:t>账号：</w:t>
            </w:r>
            <w:r>
              <w:rPr>
                <w:rFonts w:ascii="宋体" w:hAnsi="Courier New"/>
              </w:rPr>
              <w:t>231202725157</w:t>
            </w:r>
          </w:p>
        </w:tc>
      </w:tr>
      <w:tr w14:paraId="4658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2006B08">
            <w:pPr>
              <w:ind w:firstLine="420"/>
              <w:rPr>
                <w:rFonts w:ascii="宋体" w:hAnsi="Courier New"/>
              </w:rPr>
            </w:pPr>
            <w:r>
              <w:rPr>
                <w:rFonts w:hint="eastAsia" w:ascii="宋体" w:hAnsi="Courier New"/>
              </w:rPr>
              <w:t>纳税人识别号：</w:t>
            </w:r>
            <w:r>
              <w:rPr>
                <w:rFonts w:ascii="宋体" w:hAnsi="Courier New"/>
              </w:rPr>
              <w:t>91370800771000850L</w:t>
            </w:r>
          </w:p>
        </w:tc>
      </w:tr>
    </w:tbl>
    <w:p w14:paraId="6BC90F94">
      <w:pPr>
        <w:pStyle w:val="6"/>
        <w:spacing w:line="360" w:lineRule="auto"/>
        <w:ind w:firstLine="560"/>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⑸保证金截止时间：202</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年</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月</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19</w:t>
      </w:r>
      <w:bookmarkStart w:id="25" w:name="_GoBack"/>
      <w:bookmarkEnd w:id="25"/>
      <w:r>
        <w:rPr>
          <w:rFonts w:hint="eastAsia" w:ascii="仿宋_GB2312" w:hAnsi="仿宋_GB2312" w:eastAsia="仿宋_GB2312" w:cs="仿宋_GB2312"/>
          <w:bCs/>
          <w:color w:val="000000" w:themeColor="text1"/>
          <w:sz w:val="28"/>
          <w:szCs w:val="28"/>
          <w14:textFill>
            <w14:solidFill>
              <w14:schemeClr w14:val="tx1"/>
            </w14:solidFill>
          </w14:textFill>
        </w:rPr>
        <w:t>日12时00分前</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本次投标保证金已缴纳的无需重复缴纳，向招标单位出具已缴纳的电子凭证即可</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p>
    <w:p w14:paraId="793EF138">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⑹说明：</w:t>
      </w:r>
    </w:p>
    <w:p w14:paraId="2819035D">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a)无正当理由随意放弃投标、撤销投标文件、中标后无正当理由拒签合同、在签订合同时向招标方提出无理附加条件的，投标保证金不予返还，该投标人2年不得参与招标人组织的招投标项目。不存在以上违规情况的投标人，招标人按照退款程序退还投标保证金（本金，不计息）。</w:t>
      </w:r>
    </w:p>
    <w:p w14:paraId="1210ECE7">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(b)投标人在向招标人出示《投标保证金缴纳凭证》后方可进行投标；</w:t>
      </w:r>
    </w:p>
    <w:p w14:paraId="1DB0BE4B">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(c)发生以下情况时，项目实施单位有权没收保证金：</w:t>
      </w:r>
    </w:p>
    <w:p w14:paraId="4AC796A3">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1）截至开标前，投标人无正当理由且未以书面形式递交说明而在投标截止日不来投标的；</w:t>
      </w:r>
    </w:p>
    <w:p w14:paraId="1F2AE74C">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2）投标人递送投标文件后，无正当理由放弃投标的；</w:t>
      </w:r>
    </w:p>
    <w:p w14:paraId="6A26F611">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3）自中标通知书发出之日起30日内，中标人无正当理由不签订合同的；</w:t>
      </w:r>
    </w:p>
    <w:p w14:paraId="3703608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4）投标人在投标过程中被查实有串标、围标、陪标等违规违纪行为的；</w:t>
      </w:r>
    </w:p>
    <w:p w14:paraId="39ABF4B6">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5）投标人有违约违规行为或被投诉、举报的，在调查处理期间，保证金暂不退还，待调查处理结束后按有关规定处理。</w:t>
      </w:r>
    </w:p>
    <w:p w14:paraId="3E2B4730">
      <w:pPr>
        <w:pStyle w:val="5"/>
        <w:ind w:firstLine="562"/>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七、投标报价</w:t>
      </w:r>
      <w:bookmarkEnd w:id="24"/>
    </w:p>
    <w:p w14:paraId="363B65EA">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⑴投标方在与招标方充分沟通确认的基础上，由投标方在满足招标方所提出的、与本项目所有相关环节有关的所有费用，包含合作期间用电监管设备安装测试验收、日常运维人工及运维车辆使用、损坏或老化设备的维修更换和合作结束后设备的拆除等费用。</w:t>
      </w:r>
    </w:p>
    <w:p w14:paraId="3D1F834E">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⑵所投标的标的物必须全部报价，否则投标视为无效；所有报价货币单位为：</w:t>
      </w:r>
      <w:r>
        <w:rPr>
          <w:rFonts w:hint="eastAsia" w:ascii="仿宋_GB2312" w:hAnsi="仿宋_GB2312" w:eastAsia="仿宋_GB2312" w:cs="仿宋_GB2312"/>
          <w:bCs/>
          <w:color w:val="000000" w:themeColor="text1"/>
          <w:sz w:val="28"/>
          <w:szCs w:val="28"/>
          <w:u w:val="single"/>
          <w14:textFill>
            <w14:solidFill>
              <w14:schemeClr w14:val="tx1"/>
            </w14:solidFill>
          </w14:textFill>
        </w:rPr>
        <w:t xml:space="preserve">     </w:t>
      </w:r>
      <w:r>
        <w:rPr>
          <w:rFonts w:hint="eastAsia" w:ascii="仿宋_GB2312" w:hAnsi="仿宋_GB2312" w:eastAsia="仿宋_GB2312" w:cs="仿宋_GB2312"/>
          <w:bCs/>
          <w:color w:val="000000" w:themeColor="text1"/>
          <w:sz w:val="28"/>
          <w:szCs w:val="28"/>
          <w14:textFill>
            <w14:solidFill>
              <w14:schemeClr w14:val="tx1"/>
            </w14:solidFill>
          </w14:textFill>
        </w:rPr>
        <w:t>元（人民币），明确不含税金额、税率及价税合计金额；</w:t>
      </w:r>
    </w:p>
    <w:p w14:paraId="7FE84CEB">
      <w:pPr>
        <w:adjustRightInd w:val="0"/>
        <w:snapToGrid w:val="0"/>
        <w:spacing w:line="360" w:lineRule="auto"/>
        <w:ind w:firstLine="562"/>
        <w:outlineLvl w:val="1"/>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八、服务期限</w:t>
      </w:r>
    </w:p>
    <w:p w14:paraId="2FC44FB3">
      <w:pPr>
        <w:adjustRightInd w:val="0"/>
        <w:snapToGrid w:val="0"/>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壹年，自合同</w:t>
      </w:r>
      <w:r>
        <w:rPr>
          <w:rFonts w:ascii="仿宋_GB2312" w:hAnsi="仿宋_GB2312" w:eastAsia="仿宋_GB2312" w:cs="仿宋_GB2312"/>
          <w:color w:val="000000" w:themeColor="text1"/>
          <w:sz w:val="28"/>
          <w:szCs w:val="28"/>
          <w14:textFill>
            <w14:solidFill>
              <w14:schemeClr w14:val="tx1"/>
            </w14:solidFill>
          </w14:textFill>
        </w:rPr>
        <w:t>签订后一年</w:t>
      </w:r>
      <w:r>
        <w:rPr>
          <w:rFonts w:hint="eastAsia" w:ascii="仿宋_GB2312" w:hAnsi="仿宋_GB2312" w:eastAsia="仿宋_GB2312" w:cs="仿宋_GB2312"/>
          <w:color w:val="000000" w:themeColor="text1"/>
          <w:sz w:val="28"/>
          <w:szCs w:val="28"/>
          <w14:textFill>
            <w14:solidFill>
              <w14:schemeClr w14:val="tx1"/>
            </w14:solidFill>
          </w14:textFill>
        </w:rPr>
        <w:t>。</w:t>
      </w:r>
    </w:p>
    <w:p w14:paraId="0FCD2426">
      <w:pPr>
        <w:adjustRightInd w:val="0"/>
        <w:snapToGrid w:val="0"/>
        <w:spacing w:line="360" w:lineRule="auto"/>
        <w:ind w:firstLine="562"/>
        <w:outlineLvl w:val="1"/>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九、合同价款的支付：</w:t>
      </w:r>
    </w:p>
    <w:p w14:paraId="575340E5">
      <w:pPr>
        <w:adjustRightInd w:val="0"/>
        <w:snapToGrid w:val="0"/>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（1）该合同执行总价合同。</w:t>
      </w:r>
    </w:p>
    <w:p w14:paraId="03A5DB83">
      <w:pPr>
        <w:adjustRightInd w:val="0"/>
        <w:snapToGrid w:val="0"/>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（2）支付方式：电汇。</w:t>
      </w:r>
    </w:p>
    <w:p w14:paraId="403ACF6C">
      <w:pPr>
        <w:adjustRightInd w:val="0"/>
        <w:snapToGrid w:val="0"/>
        <w:spacing w:line="360" w:lineRule="auto"/>
        <w:ind w:firstLine="560"/>
      </w:pPr>
      <w:r>
        <w:rPr>
          <w:rFonts w:hint="eastAsia" w:ascii="仿宋_GB2312" w:hAnsi="仿宋_GB2312" w:eastAsia="仿宋_GB2312" w:cs="仿宋_GB2312"/>
          <w:color w:val="000000" w:themeColor="text1"/>
          <w:sz w:val="28"/>
          <w:szCs w:val="28"/>
          <w14:textFill>
            <w14:solidFill>
              <w14:schemeClr w14:val="tx1"/>
            </w14:solidFill>
          </w14:textFill>
        </w:rPr>
        <w:t>（3）支付条款：每服务半年结算5</w:t>
      </w:r>
      <w:r>
        <w:rPr>
          <w:rFonts w:ascii="仿宋_GB2312" w:hAnsi="仿宋_GB2312" w:eastAsia="仿宋_GB2312" w:cs="仿宋_GB2312"/>
          <w:color w:val="000000" w:themeColor="text1"/>
          <w:sz w:val="28"/>
          <w:szCs w:val="28"/>
          <w14:textFill>
            <w14:solidFill>
              <w14:schemeClr w14:val="tx1"/>
            </w14:solidFill>
          </w14:textFill>
        </w:rPr>
        <w:t>0</w:t>
      </w:r>
      <w:r>
        <w:rPr>
          <w:rFonts w:hint="eastAsia" w:ascii="仿宋_GB2312" w:hAnsi="仿宋_GB2312" w:eastAsia="仿宋_GB2312" w:cs="仿宋_GB2312"/>
          <w:color w:val="000000" w:themeColor="text1"/>
          <w:sz w:val="28"/>
          <w:szCs w:val="28"/>
          <w14:textFill>
            <w14:solidFill>
              <w14:schemeClr w14:val="tx1"/>
            </w14:solidFill>
          </w14:textFill>
        </w:rPr>
        <w:t>%的年度运维费，分两次结清年度运维费，投标方出具</w:t>
      </w:r>
      <w:r>
        <w:rPr>
          <w:rFonts w:ascii="仿宋_GB2312" w:hAnsi="仿宋_GB2312" w:eastAsia="仿宋_GB2312" w:cs="仿宋_GB2312"/>
          <w:color w:val="000000" w:themeColor="text1"/>
          <w:sz w:val="28"/>
          <w:szCs w:val="28"/>
          <w14:textFill>
            <w14:solidFill>
              <w14:schemeClr w14:val="tx1"/>
            </w14:solidFill>
          </w14:textFill>
        </w:rPr>
        <w:t>合规增值税专用发票且经招标方财务部门核验</w:t>
      </w:r>
      <w:r>
        <w:rPr>
          <w:rFonts w:hint="eastAsia" w:ascii="仿宋_GB2312" w:hAnsi="仿宋_GB2312" w:eastAsia="仿宋_GB2312" w:cs="仿宋_GB2312"/>
          <w:color w:val="000000" w:themeColor="text1"/>
          <w:sz w:val="28"/>
          <w:szCs w:val="28"/>
          <w14:textFill>
            <w14:solidFill>
              <w14:schemeClr w14:val="tx1"/>
            </w14:solidFill>
          </w14:textFill>
        </w:rPr>
        <w:t>符合招标方财务要求后于月底前完成支付。</w:t>
      </w:r>
    </w:p>
    <w:p w14:paraId="4333EDFA">
      <w:pPr>
        <w:pStyle w:val="6"/>
        <w:spacing w:line="360" w:lineRule="auto"/>
        <w:ind w:firstLine="562"/>
        <w:outlineLvl w:val="1"/>
        <w:rPr>
          <w:rFonts w:ascii="黑体" w:eastAsia="黑体"/>
          <w:b/>
          <w:bCs/>
          <w:sz w:val="28"/>
        </w:rPr>
      </w:pPr>
      <w:r>
        <w:rPr>
          <w:rFonts w:hint="eastAsia" w:ascii="黑体" w:eastAsia="黑体"/>
          <w:b/>
          <w:bCs/>
          <w:sz w:val="28"/>
        </w:rPr>
        <w:t>十、评标</w:t>
      </w:r>
    </w:p>
    <w:p w14:paraId="5A053689">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w:t>
      </w:r>
    </w:p>
    <w:p w14:paraId="634DDD67">
      <w:pPr>
        <w:pStyle w:val="6"/>
        <w:spacing w:line="360" w:lineRule="auto"/>
        <w:ind w:firstLine="562"/>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投标前请各投标方按照标书技术要求对项目方案进行充分准备，有意投标的单位应默认认同上述开标、评标过程，无异议。对未入围投标方及未中标人不做任何解释。</w:t>
      </w:r>
    </w:p>
    <w:p w14:paraId="15E97171">
      <w:pPr>
        <w:pStyle w:val="6"/>
        <w:spacing w:line="360" w:lineRule="auto"/>
        <w:ind w:firstLine="562"/>
        <w:outlineLvl w:val="1"/>
        <w:rPr>
          <w:rFonts w:ascii="黑体" w:eastAsia="黑体"/>
          <w:b/>
          <w:bCs/>
          <w:sz w:val="28"/>
        </w:rPr>
      </w:pPr>
      <w:r>
        <w:rPr>
          <w:rFonts w:hint="eastAsia" w:ascii="黑体" w:eastAsia="黑体"/>
          <w:b/>
          <w:bCs/>
          <w:sz w:val="28"/>
        </w:rPr>
        <w:t>十一、合同签订</w:t>
      </w:r>
    </w:p>
    <w:p w14:paraId="250DFBB5">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1）根据评标工作小组的评标结果并按相关法律法规的规定及公司相关制度要求，确定中标人。中标人承诺无条件服从招标人针对该项目的后续所有安排。招标人不对未中标人做任何解释。</w:t>
      </w:r>
    </w:p>
    <w:p w14:paraId="7BEA7946">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38FF7BDD">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3）中标人应在保证质量的前提下完成中标项目，不得将中标项目转包或分包给他人，否则视为违约，招标人有权解除合同。</w:t>
      </w:r>
    </w:p>
    <w:p w14:paraId="33B1BD98">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4）中标人由于履行义务的能力或信用有严重缺陷，其余投标人中依序重新确定中标人，或重新组织招标。招标人有权取消其中标资格，招标人将从剩余投标人中依序重新确定中标人，或重新组织招标。</w:t>
      </w:r>
    </w:p>
    <w:p w14:paraId="64A571D8">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5）招标人与中标人签署相关合同，具体权利义务以双方最终签署的合同为准。</w:t>
      </w:r>
    </w:p>
    <w:p w14:paraId="503B0887">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6）中标人须认可由于招标人上级集团公司政策变化引起的合同签订前终止项目的要求。</w:t>
      </w:r>
    </w:p>
    <w:p w14:paraId="128F72A4">
      <w:pPr>
        <w:pStyle w:val="6"/>
        <w:spacing w:line="360" w:lineRule="auto"/>
        <w:ind w:firstLine="562"/>
        <w:outlineLvl w:val="1"/>
        <w:rPr>
          <w:rFonts w:ascii="黑体" w:eastAsia="黑体"/>
          <w:b/>
          <w:bCs/>
          <w:sz w:val="28"/>
        </w:rPr>
      </w:pPr>
      <w:r>
        <w:rPr>
          <w:rFonts w:hint="eastAsia" w:ascii="黑体" w:eastAsia="黑体"/>
          <w:b/>
          <w:bCs/>
          <w:sz w:val="28"/>
        </w:rPr>
        <w:t>十二、废标及终止招标</w:t>
      </w:r>
    </w:p>
    <w:p w14:paraId="40BB3980">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EA0577">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⑴投标人提供的有关资格、资质证明文件不合格、不真实或提供虚假投标材料；</w:t>
      </w:r>
    </w:p>
    <w:p w14:paraId="3AE37AA1">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⑵投标人在报价有效期内撤回投标；</w:t>
      </w:r>
    </w:p>
    <w:p w14:paraId="1A180DE8">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⑶在整个评标过程中，投标人有企图影响评标结果公正性的任何活动；</w:t>
      </w:r>
    </w:p>
    <w:p w14:paraId="4C48E3CD">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⑷投标人以任何方式诋毁其他投标人；</w:t>
      </w:r>
    </w:p>
    <w:p w14:paraId="254890AD">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⑸投标人串通投标；</w:t>
      </w:r>
    </w:p>
    <w:p w14:paraId="534F8239">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⑹以他人名义投标或者以其他方式弄虚作假，骗取中标的；</w:t>
      </w:r>
    </w:p>
    <w:p w14:paraId="0E848273">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⑺中标人不按规定签订合同；</w:t>
      </w:r>
    </w:p>
    <w:p w14:paraId="490AA0EC">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⑻法律、法规规定的其他情况。</w:t>
      </w:r>
    </w:p>
    <w:p w14:paraId="42627F8C">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2.出现下列情形之一，招标人有权否决所有投标人的投标，并终止招标。</w:t>
      </w:r>
    </w:p>
    <w:p w14:paraId="6013E71A">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⑴出现影响采购公正的违法、违规行为的。</w:t>
      </w:r>
    </w:p>
    <w:p w14:paraId="143CA5C4">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⑵评标委员会经评审，认为所有投标都不符合招标文件要求的</w:t>
      </w:r>
    </w:p>
    <w:p w14:paraId="1263BC65">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⑶因重大变故，采购任务取消的。</w:t>
      </w:r>
    </w:p>
    <w:p w14:paraId="11A61B5F">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⑷有效参与投标的单位不足三家以上的。</w:t>
      </w:r>
    </w:p>
    <w:p w14:paraId="144FE71C">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⑸招标人认为其他应终止招标的情形。</w:t>
      </w:r>
    </w:p>
    <w:p w14:paraId="6E9FADEC">
      <w:pPr>
        <w:pStyle w:val="6"/>
        <w:spacing w:line="360" w:lineRule="auto"/>
        <w:ind w:firstLine="562"/>
        <w:outlineLvl w:val="1"/>
        <w:rPr>
          <w:rFonts w:ascii="黑体" w:eastAsia="黑体"/>
          <w:b/>
          <w:bCs/>
          <w:sz w:val="28"/>
        </w:rPr>
      </w:pPr>
      <w:r>
        <w:rPr>
          <w:rFonts w:hint="eastAsia" w:ascii="黑体" w:eastAsia="黑体"/>
          <w:b/>
          <w:bCs/>
          <w:sz w:val="28"/>
        </w:rPr>
        <w:t>十三、中标人瑕疵滞后发现的处理原则</w:t>
      </w:r>
    </w:p>
    <w:p w14:paraId="0EF805A9">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DC5FA8E">
      <w:pPr>
        <w:pStyle w:val="6"/>
        <w:spacing w:line="360" w:lineRule="auto"/>
        <w:ind w:firstLine="562"/>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十四、其他</w:t>
      </w:r>
    </w:p>
    <w:p w14:paraId="6E8F747C">
      <w:pPr>
        <w:spacing w:line="360" w:lineRule="auto"/>
        <w:ind w:right="2"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1.其余未尽事宜均以协议（或合同）约定为准。</w:t>
      </w:r>
    </w:p>
    <w:p w14:paraId="6057CA23">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2.要求招标人或相关合同签订单位提供的配合，在标书文件中说明。</w:t>
      </w:r>
    </w:p>
    <w:p w14:paraId="090920A8">
      <w:pPr>
        <w:spacing w:line="360" w:lineRule="auto"/>
        <w:ind w:right="2"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3.凡对本次招标提出的问询，均以招标人的书面答复为准。招标人的任何工作人员对投标人所作的任何口头解释、介绍、答复，对招标人和投标人均无任何约束力。</w:t>
      </w:r>
    </w:p>
    <w:p w14:paraId="5DFC9A2B">
      <w:pPr>
        <w:spacing w:line="360" w:lineRule="auto"/>
        <w:ind w:right="2"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4.投标人应承担所有与准备和参加投标有关的全部费用，包含但不限于取样化验或投标过程中的产生的其他各项费用，招标人在任何情况下均无义务和责任承担此费用。</w:t>
      </w:r>
    </w:p>
    <w:p w14:paraId="68C48F04">
      <w:pPr>
        <w:adjustRightInd w:val="0"/>
        <w:snapToGrid w:val="0"/>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p>
    <w:p w14:paraId="7C4185C5">
      <w:pPr>
        <w:pStyle w:val="5"/>
        <w:adjustRightInd w:val="0"/>
        <w:snapToGrid w:val="0"/>
        <w:spacing w:line="360" w:lineRule="auto"/>
        <w:ind w:firstLine="56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中国重汽集团济宁商用车有限公司</w:t>
      </w:r>
    </w:p>
    <w:p w14:paraId="0BEE9003">
      <w:pPr>
        <w:ind w:firstLine="56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 xml:space="preserve">   </w:t>
      </w:r>
    </w:p>
    <w:p w14:paraId="2A2F5FF2">
      <w:pPr>
        <w:pStyle w:val="5"/>
        <w:ind w:firstLine="420"/>
      </w:pPr>
    </w:p>
    <w:p w14:paraId="7DB5DFFC">
      <w:pPr>
        <w:pStyle w:val="5"/>
        <w:ind w:firstLine="420"/>
      </w:pPr>
    </w:p>
    <w:p w14:paraId="43687CCB">
      <w:pPr>
        <w:pStyle w:val="5"/>
        <w:ind w:firstLine="420"/>
      </w:pPr>
    </w:p>
    <w:p w14:paraId="7BEB158E">
      <w:pPr>
        <w:pStyle w:val="5"/>
        <w:ind w:firstLine="420"/>
      </w:pPr>
    </w:p>
    <w:p w14:paraId="076ED88F">
      <w:pPr>
        <w:pStyle w:val="5"/>
        <w:ind w:firstLine="420"/>
      </w:pPr>
    </w:p>
    <w:p w14:paraId="6D090497">
      <w:pPr>
        <w:pStyle w:val="5"/>
        <w:ind w:firstLine="420"/>
      </w:pPr>
    </w:p>
    <w:p w14:paraId="77FD9A95">
      <w:pPr>
        <w:pStyle w:val="5"/>
        <w:ind w:firstLine="420"/>
      </w:pPr>
    </w:p>
    <w:p w14:paraId="7795A0C3">
      <w:pPr>
        <w:pStyle w:val="5"/>
        <w:ind w:firstLine="420"/>
      </w:pPr>
    </w:p>
    <w:p w14:paraId="0EE06692">
      <w:pPr>
        <w:pStyle w:val="5"/>
        <w:ind w:firstLine="420"/>
      </w:pPr>
    </w:p>
    <w:p w14:paraId="756992B8">
      <w:pPr>
        <w:pStyle w:val="5"/>
        <w:ind w:firstLine="420"/>
      </w:pPr>
    </w:p>
    <w:p w14:paraId="38E88E25">
      <w:pPr>
        <w:pStyle w:val="5"/>
        <w:ind w:firstLine="420"/>
      </w:pPr>
    </w:p>
    <w:p w14:paraId="2711958D">
      <w:pPr>
        <w:pStyle w:val="5"/>
        <w:ind w:firstLine="420"/>
      </w:pPr>
    </w:p>
    <w:p w14:paraId="576A2CBF">
      <w:pPr>
        <w:pStyle w:val="5"/>
        <w:ind w:firstLine="420"/>
      </w:pPr>
    </w:p>
    <w:p w14:paraId="14AA25BB">
      <w:pPr>
        <w:pStyle w:val="5"/>
        <w:ind w:firstLine="420"/>
      </w:pPr>
    </w:p>
    <w:p w14:paraId="0435DF10">
      <w:pPr>
        <w:pStyle w:val="5"/>
        <w:ind w:firstLine="420"/>
      </w:pPr>
    </w:p>
    <w:p w14:paraId="17968D09">
      <w:pPr>
        <w:pStyle w:val="5"/>
        <w:ind w:firstLine="0" w:firstLineChars="0"/>
      </w:pPr>
    </w:p>
    <w:p w14:paraId="3579ECA0">
      <w:pPr>
        <w:ind w:firstLine="643"/>
        <w:rPr>
          <w:rFonts w:ascii="宋体" w:hAnsi="宋体"/>
          <w:b/>
          <w:sz w:val="32"/>
          <w:szCs w:val="32"/>
        </w:rPr>
      </w:pPr>
      <w:r>
        <w:rPr>
          <w:rFonts w:hint="eastAsia" w:ascii="宋体" w:hAnsi="宋体"/>
          <w:b/>
          <w:sz w:val="32"/>
          <w:szCs w:val="32"/>
        </w:rPr>
        <w:t>附件1：</w:t>
      </w:r>
    </w:p>
    <w:p w14:paraId="5F1D3C66">
      <w:pPr>
        <w:ind w:firstLine="420"/>
        <w:rPr>
          <w:rFonts w:ascii="宋体" w:hAnsi="宋体"/>
          <w:u w:val="single"/>
        </w:rPr>
      </w:pPr>
      <w:r>
        <w:rPr>
          <w:rFonts w:hint="eastAsia" w:ascii="宋体" w:hAnsi="宋体"/>
        </w:rPr>
        <w:t>项目名称：</w:t>
      </w:r>
      <w:r>
        <w:rPr>
          <w:rFonts w:hint="eastAsia" w:ascii="宋体" w:hAnsi="宋体"/>
          <w:u w:val="single"/>
        </w:rPr>
        <w:t>环保用电监管运维项目</w:t>
      </w:r>
    </w:p>
    <w:p w14:paraId="21B91470">
      <w:pPr>
        <w:pStyle w:val="6"/>
        <w:spacing w:line="360" w:lineRule="auto"/>
        <w:ind w:firstLine="420"/>
        <w:rPr>
          <w:rFonts w:hAnsi="宋体"/>
          <w:szCs w:val="21"/>
        </w:rPr>
      </w:pPr>
      <w:r>
        <w:rPr>
          <w:rFonts w:hint="eastAsia" w:hAnsi="宋体"/>
          <w:szCs w:val="21"/>
        </w:rPr>
        <w:t>日期：  年   月   日</w:t>
      </w:r>
    </w:p>
    <w:p w14:paraId="3DE4158E">
      <w:pPr>
        <w:ind w:firstLine="562"/>
        <w:jc w:val="center"/>
        <w:rPr>
          <w:rFonts w:eastAsia="黑体"/>
          <w:b/>
          <w:bCs/>
          <w:sz w:val="28"/>
        </w:rPr>
      </w:pPr>
      <w:r>
        <w:rPr>
          <w:rFonts w:hint="eastAsia" w:eastAsia="黑体"/>
          <w:b/>
          <w:bCs/>
          <w:sz w:val="28"/>
        </w:rPr>
        <w:t>法人授权委托书</w:t>
      </w:r>
    </w:p>
    <w:p w14:paraId="15FEE678">
      <w:pPr>
        <w:ind w:firstLine="420"/>
        <w:rPr>
          <w:rFonts w:ascii="宋体" w:hAnsi="宋体"/>
          <w:u w:val="single"/>
        </w:rPr>
      </w:pPr>
      <w:r>
        <w:rPr>
          <w:rFonts w:hint="eastAsia" w:ascii="宋体" w:hAnsi="宋体"/>
        </w:rPr>
        <w:t>致</w:t>
      </w:r>
      <w:r>
        <w:rPr>
          <w:rFonts w:hint="eastAsia" w:ascii="宋体" w:hAnsi="宋体"/>
          <w:u w:val="single"/>
        </w:rPr>
        <w:t>中国重汽集团济宁商用车有限公司：</w:t>
      </w:r>
    </w:p>
    <w:p w14:paraId="0FF7CAA2">
      <w:pPr>
        <w:spacing w:line="360" w:lineRule="auto"/>
        <w:ind w:firstLine="420"/>
        <w:rPr>
          <w:rFonts w:ascii="宋体" w:hAnsi="宋体"/>
          <w:kern w:val="0"/>
        </w:rPr>
      </w:pPr>
      <w:r>
        <w:rPr>
          <w:rFonts w:hint="eastAsia" w:ascii="宋体" w:hAnsi="宋体"/>
          <w:kern w:val="0"/>
        </w:rPr>
        <w:t>本授权委托书声明：我</w:t>
      </w:r>
      <w:r>
        <w:rPr>
          <w:rFonts w:hint="eastAsia" w:ascii="宋体" w:hAnsi="宋体"/>
          <w:kern w:val="0"/>
          <w:u w:val="single"/>
        </w:rPr>
        <w:t xml:space="preserve">（法人姓名）       </w:t>
      </w:r>
      <w:r>
        <w:rPr>
          <w:rFonts w:hint="eastAsia" w:ascii="宋体" w:hAnsi="宋体"/>
          <w:kern w:val="0"/>
        </w:rPr>
        <w:t>系</w:t>
      </w:r>
      <w:r>
        <w:rPr>
          <w:rFonts w:hint="eastAsia" w:ascii="宋体" w:hAnsi="宋体"/>
          <w:kern w:val="0"/>
          <w:u w:val="single"/>
        </w:rPr>
        <w:t xml:space="preserve">（投标人名称）                  </w:t>
      </w:r>
      <w:r>
        <w:rPr>
          <w:rFonts w:hint="eastAsia" w:ascii="宋体" w:hAnsi="宋体"/>
          <w:kern w:val="0"/>
        </w:rPr>
        <w:t xml:space="preserve"> 的法定代表人，现授权委托</w:t>
      </w:r>
      <w:r>
        <w:rPr>
          <w:rFonts w:hint="eastAsia" w:ascii="宋体" w:hAnsi="宋体"/>
          <w:kern w:val="0"/>
          <w:u w:val="single"/>
        </w:rPr>
        <w:t xml:space="preserve">（投标人名称）                   </w:t>
      </w:r>
      <w:r>
        <w:rPr>
          <w:rFonts w:hint="eastAsia" w:ascii="宋体" w:hAnsi="宋体"/>
          <w:kern w:val="0"/>
        </w:rPr>
        <w:t xml:space="preserve"> 的</w:t>
      </w:r>
      <w:r>
        <w:rPr>
          <w:rFonts w:hint="eastAsia" w:ascii="宋体" w:hAnsi="宋体"/>
          <w:kern w:val="0"/>
          <w:u w:val="single"/>
        </w:rPr>
        <w:t xml:space="preserve"> （授权代表姓名）</w:t>
      </w:r>
      <w:r>
        <w:rPr>
          <w:rFonts w:hint="eastAsia" w:ascii="宋体" w:hAnsi="宋体"/>
          <w:kern w:val="0"/>
        </w:rPr>
        <w:t xml:space="preserve">        为我公司参加贵方组织的</w:t>
      </w:r>
      <w:r>
        <w:rPr>
          <w:rFonts w:hint="eastAsia" w:ascii="宋体" w:hAnsi="宋体"/>
          <w:u w:val="single"/>
        </w:rPr>
        <w:t>用电监管设备安装及运维项目</w:t>
      </w:r>
      <w:r>
        <w:rPr>
          <w:rFonts w:hint="eastAsia" w:ascii="宋体" w:hAnsi="宋体"/>
          <w:kern w:val="0"/>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CF17F99">
      <w:pPr>
        <w:spacing w:line="360" w:lineRule="auto"/>
        <w:ind w:firstLine="420"/>
        <w:rPr>
          <w:rFonts w:ascii="宋体"/>
          <w:kern w:val="0"/>
        </w:rPr>
      </w:pPr>
      <w:r>
        <w:rPr>
          <w:rFonts w:hint="eastAsia" w:ascii="宋体" w:hAnsi="宋体"/>
          <w:kern w:val="0"/>
        </w:rPr>
        <w:t>委托期限：</w:t>
      </w:r>
      <w:r>
        <w:rPr>
          <w:rFonts w:ascii="宋体" w:hAnsi="宋体"/>
          <w:kern w:val="0"/>
          <w:u w:val="single"/>
        </w:rPr>
        <w:t>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日至</w:t>
      </w:r>
      <w:r>
        <w:rPr>
          <w:rFonts w:ascii="宋体" w:hAnsi="宋体"/>
          <w:kern w:val="0"/>
          <w:u w:val="single"/>
        </w:rPr>
        <w:t xml:space="preserve"> 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w:t>
      </w:r>
    </w:p>
    <w:p w14:paraId="57703416">
      <w:pPr>
        <w:spacing w:line="360" w:lineRule="auto"/>
        <w:ind w:firstLine="420"/>
        <w:rPr>
          <w:rFonts w:ascii="宋体"/>
          <w:kern w:val="0"/>
        </w:rPr>
      </w:pPr>
      <w:r>
        <w:rPr>
          <w:rFonts w:hint="eastAsia" w:ascii="宋体" w:hAnsi="宋体"/>
          <w:kern w:val="0"/>
        </w:rPr>
        <w:t>授权代表无转委托权，特此委托。</w:t>
      </w:r>
    </w:p>
    <w:p w14:paraId="6E866CA6">
      <w:pPr>
        <w:spacing w:line="360" w:lineRule="auto"/>
        <w:ind w:firstLine="420"/>
        <w:rPr>
          <w:rFonts w:ascii="宋体"/>
          <w:kern w:val="0"/>
        </w:rPr>
      </w:pPr>
      <w:r>
        <w:rPr>
          <w:rFonts w:hint="eastAsia" w:ascii="宋体" w:hAnsi="宋体"/>
          <w:kern w:val="0"/>
          <w:u w:val="single"/>
        </w:rPr>
        <w:t>授权代表</w:t>
      </w:r>
      <w:r>
        <w:rPr>
          <w:rFonts w:hint="eastAsia" w:ascii="宋体" w:hAnsi="宋体"/>
          <w:kern w:val="0"/>
        </w:rPr>
        <w:t>姓名：</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性别：</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年龄：</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p>
    <w:p w14:paraId="6553DBA9">
      <w:pPr>
        <w:spacing w:line="360" w:lineRule="auto"/>
        <w:ind w:firstLine="420"/>
        <w:rPr>
          <w:rFonts w:ascii="宋体"/>
          <w:kern w:val="0"/>
        </w:rPr>
      </w:pPr>
      <w:r>
        <w:rPr>
          <w:rFonts w:hint="eastAsia" w:ascii="宋体" w:hAnsi="宋体"/>
          <w:kern w:val="0"/>
        </w:rPr>
        <w:t>身份证号码：</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职务：</w:t>
      </w:r>
      <w:r>
        <w:rPr>
          <w:rFonts w:ascii="宋体" w:hAnsi="宋体"/>
          <w:kern w:val="0"/>
        </w:rPr>
        <w:t xml:space="preserve"> </w:t>
      </w:r>
      <w:r>
        <w:rPr>
          <w:rFonts w:hint="eastAsia" w:ascii="宋体" w:hAnsi="宋体"/>
          <w:kern w:val="0"/>
          <w:u w:val="single"/>
        </w:rPr>
        <w:t xml:space="preserve">       </w:t>
      </w:r>
      <w:r>
        <w:rPr>
          <w:rFonts w:ascii="宋体" w:hAnsi="宋体"/>
          <w:kern w:val="0"/>
        </w:rPr>
        <w:t xml:space="preserve">    </w:t>
      </w:r>
    </w:p>
    <w:p w14:paraId="7FE99956">
      <w:pPr>
        <w:spacing w:line="360" w:lineRule="auto"/>
        <w:ind w:firstLine="420"/>
        <w:rPr>
          <w:rFonts w:ascii="宋体"/>
          <w:kern w:val="0"/>
        </w:rPr>
      </w:pPr>
      <w:r>
        <w:rPr>
          <w:rFonts w:hint="eastAsia" w:ascii="宋体" w:hAnsi="宋体"/>
          <w:kern w:val="0"/>
        </w:rPr>
        <w:t>投标人名称：（盖单位公章）</w:t>
      </w:r>
    </w:p>
    <w:p w14:paraId="51D7D429">
      <w:pPr>
        <w:spacing w:line="360" w:lineRule="auto"/>
        <w:ind w:firstLine="420"/>
        <w:rPr>
          <w:rFonts w:ascii="宋体"/>
          <w:kern w:val="0"/>
        </w:rPr>
      </w:pPr>
      <w:r>
        <w:rPr>
          <w:rFonts w:hint="eastAsia" w:ascii="宋体" w:hAnsi="宋体"/>
          <w:kern w:val="0"/>
        </w:rPr>
        <w:t>法定代表人：（签字）</w:t>
      </w:r>
    </w:p>
    <w:p w14:paraId="2622F93E">
      <w:pPr>
        <w:adjustRightInd w:val="0"/>
        <w:spacing w:line="480" w:lineRule="exact"/>
        <w:ind w:firstLine="562"/>
        <w:jc w:val="left"/>
        <w:textAlignment w:val="baseline"/>
        <w:rPr>
          <w:rFonts w:ascii="宋体"/>
          <w:b/>
          <w:kern w:val="0"/>
        </w:rPr>
      </w:pPr>
      <w:r>
        <w:rPr>
          <w:rFonts w:hint="eastAsia" w:ascii="宋体" w:hAnsi="宋体"/>
          <w:b/>
          <w:kern w:val="0"/>
          <w:sz w:val="28"/>
          <w:szCs w:val="28"/>
        </w:rPr>
        <w:t>附法人代表及被授权人（授权代表）有效的身份证正反两面复印件</w:t>
      </w:r>
    </w:p>
    <w:p w14:paraId="4326CBB9">
      <w:pPr>
        <w:pStyle w:val="5"/>
        <w:ind w:firstLine="420"/>
      </w:pPr>
    </w:p>
    <w:p w14:paraId="6F6AF276">
      <w:pPr>
        <w:spacing w:line="660" w:lineRule="exact"/>
        <w:ind w:firstLine="562"/>
        <w:rPr>
          <w:rFonts w:eastAsia="黑体"/>
          <w:b/>
          <w:bCs/>
          <w:sz w:val="28"/>
        </w:rPr>
      </w:pPr>
    </w:p>
    <w:p w14:paraId="5F725222">
      <w:pPr>
        <w:spacing w:line="660" w:lineRule="exact"/>
        <w:ind w:firstLine="562"/>
        <w:rPr>
          <w:rFonts w:ascii="宋体" w:hAnsi="宋体" w:eastAsia="黑体"/>
          <w:sz w:val="24"/>
        </w:rPr>
      </w:pPr>
      <w:r>
        <w:rPr>
          <w:rFonts w:hint="eastAsia" w:eastAsia="黑体"/>
          <w:b/>
          <w:bCs/>
          <w:sz w:val="28"/>
        </w:rPr>
        <w:t>附件</w:t>
      </w:r>
      <w:r>
        <w:rPr>
          <w:rFonts w:eastAsia="黑体"/>
          <w:b/>
          <w:bCs/>
          <w:sz w:val="28"/>
        </w:rPr>
        <w:t>2</w:t>
      </w:r>
    </w:p>
    <w:p w14:paraId="7AD3DA84">
      <w:pPr>
        <w:ind w:firstLine="420"/>
        <w:rPr>
          <w:rFonts w:ascii="宋体" w:hAnsi="宋体"/>
        </w:rPr>
      </w:pPr>
      <w:r>
        <w:rPr>
          <w:rFonts w:hint="eastAsia" w:ascii="宋体" w:hAnsi="宋体"/>
        </w:rPr>
        <w:t>项目名称：</w:t>
      </w:r>
      <w:r>
        <w:rPr>
          <w:rFonts w:hint="eastAsia" w:ascii="宋体" w:hAnsi="宋体"/>
          <w:u w:val="single"/>
        </w:rPr>
        <w:t>环保用电监管运维项目</w:t>
      </w:r>
    </w:p>
    <w:p w14:paraId="7A25DBAE">
      <w:pPr>
        <w:ind w:firstLine="420"/>
        <w:rPr>
          <w:rFonts w:ascii="宋体" w:hAnsi="宋体"/>
        </w:rPr>
      </w:pPr>
    </w:p>
    <w:p w14:paraId="7EAA0F25">
      <w:pPr>
        <w:ind w:firstLine="420"/>
        <w:rPr>
          <w:rFonts w:ascii="宋体" w:hAnsi="宋体"/>
        </w:rPr>
      </w:pPr>
      <w:r>
        <w:rPr>
          <w:rFonts w:hint="eastAsia" w:ascii="宋体" w:hAnsi="宋体"/>
        </w:rPr>
        <w:t>日期：  年   月   日</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60F7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86" w:type="dxa"/>
          </w:tcPr>
          <w:p w14:paraId="06FBC9B8">
            <w:pPr>
              <w:ind w:firstLine="480"/>
              <w:rPr>
                <w:rFonts w:ascii="仿宋_GB2312" w:hAnsi="宋体" w:eastAsia="仿宋_GB2312"/>
                <w:sz w:val="24"/>
              </w:rPr>
            </w:pPr>
            <w:r>
              <w:rPr>
                <w:rFonts w:hint="eastAsia" w:ascii="仿宋_GB2312" w:hAnsi="宋体" w:eastAsia="仿宋_GB2312"/>
                <w:sz w:val="24"/>
              </w:rPr>
              <w:t>投标人承诺：</w:t>
            </w:r>
          </w:p>
          <w:p w14:paraId="538903D1">
            <w:pPr>
              <w:pStyle w:val="6"/>
              <w:spacing w:line="360" w:lineRule="auto"/>
              <w:ind w:firstLine="48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478CD28C">
            <w:pPr>
              <w:ind w:firstLine="480"/>
              <w:rPr>
                <w:rFonts w:ascii="仿宋_GB2312" w:hAnsi="宋体" w:eastAsia="仿宋_GB2312"/>
                <w:sz w:val="24"/>
              </w:rPr>
            </w:pPr>
          </w:p>
        </w:tc>
      </w:tr>
    </w:tbl>
    <w:p w14:paraId="0C7206F2">
      <w:pPr>
        <w:ind w:firstLine="480"/>
        <w:rPr>
          <w:rFonts w:ascii="仿宋_GB2312" w:hAnsi="宋体" w:eastAsia="仿宋_GB2312"/>
          <w:sz w:val="24"/>
        </w:rPr>
      </w:pPr>
    </w:p>
    <w:p w14:paraId="0CED5AE9">
      <w:pPr>
        <w:ind w:firstLine="480"/>
        <w:rPr>
          <w:rFonts w:ascii="仿宋_GB2312" w:hAnsi="宋体" w:eastAsia="仿宋_GB2312"/>
          <w:sz w:val="24"/>
        </w:rPr>
      </w:pPr>
    </w:p>
    <w:p w14:paraId="6EC815EE">
      <w:pPr>
        <w:ind w:firstLine="480"/>
        <w:rPr>
          <w:rFonts w:ascii="仿宋_GB2312" w:hAnsi="宋体" w:eastAsia="仿宋_GB2312"/>
          <w:sz w:val="24"/>
        </w:rPr>
      </w:pPr>
    </w:p>
    <w:p w14:paraId="537D6A16">
      <w:pPr>
        <w:ind w:firstLine="480"/>
        <w:rPr>
          <w:rFonts w:ascii="仿宋_GB2312" w:hAnsi="宋体" w:eastAsia="仿宋_GB2312"/>
          <w:sz w:val="24"/>
        </w:rPr>
      </w:pPr>
      <w:r>
        <w:rPr>
          <w:rFonts w:hint="eastAsia" w:ascii="仿宋_GB2312" w:hAnsi="宋体" w:eastAsia="仿宋_GB2312"/>
          <w:sz w:val="24"/>
        </w:rPr>
        <w:t>投标人名称（盖章）：              法定代表人或授权代表签字：</w:t>
      </w:r>
    </w:p>
    <w:p w14:paraId="63546DFF">
      <w:pPr>
        <w:ind w:firstLine="562"/>
        <w:rPr>
          <w:rFonts w:eastAsia="黑体"/>
          <w:b/>
          <w:bCs/>
          <w:sz w:val="28"/>
        </w:rPr>
      </w:pPr>
      <w:r>
        <w:rPr>
          <w:rFonts w:hint="eastAsia" w:eastAsia="黑体"/>
          <w:b/>
          <w:bCs/>
          <w:sz w:val="28"/>
        </w:rPr>
        <w:t>附件3：</w:t>
      </w:r>
    </w:p>
    <w:p w14:paraId="28A2B756">
      <w:pPr>
        <w:ind w:firstLine="420"/>
        <w:rPr>
          <w:rFonts w:ascii="宋体" w:hAnsi="宋体"/>
        </w:rPr>
      </w:pPr>
      <w:r>
        <w:rPr>
          <w:rFonts w:hint="eastAsia" w:ascii="宋体" w:hAnsi="宋体"/>
        </w:rPr>
        <w:t>项目名称：</w:t>
      </w:r>
      <w:r>
        <w:rPr>
          <w:rFonts w:hint="eastAsia" w:ascii="宋体" w:hAnsi="宋体"/>
          <w:u w:val="single"/>
        </w:rPr>
        <w:t xml:space="preserve">             </w:t>
      </w:r>
    </w:p>
    <w:p w14:paraId="5439A3EE">
      <w:pPr>
        <w:ind w:firstLine="420"/>
        <w:rPr>
          <w:rFonts w:ascii="宋体" w:hAnsi="宋体"/>
        </w:rPr>
      </w:pPr>
      <w:r>
        <w:rPr>
          <w:rFonts w:hint="eastAsia" w:ascii="宋体" w:hAnsi="宋体"/>
        </w:rPr>
        <w:t>日期：      年     月      日</w:t>
      </w:r>
    </w:p>
    <w:p w14:paraId="4275E152">
      <w:pPr>
        <w:pStyle w:val="5"/>
        <w:spacing w:line="460" w:lineRule="exact"/>
        <w:ind w:firstLine="422"/>
        <w:jc w:val="center"/>
        <w:rPr>
          <w:rFonts w:ascii="宋体" w:hAnsi="宋体" w:cs="宋体"/>
          <w:b/>
          <w:bCs/>
          <w:szCs w:val="32"/>
        </w:rPr>
      </w:pPr>
      <w:r>
        <w:rPr>
          <w:rFonts w:ascii="宋体" w:hAnsi="宋体" w:cs="宋体"/>
          <w:b/>
          <w:bCs/>
          <w:szCs w:val="32"/>
        </w:rPr>
        <w:t>投标总报价</w:t>
      </w:r>
    </w:p>
    <w:tbl>
      <w:tblPr>
        <w:tblStyle w:val="10"/>
        <w:tblW w:w="9156" w:type="dxa"/>
        <w:jc w:val="center"/>
        <w:tblLayout w:type="fixed"/>
        <w:tblCellMar>
          <w:top w:w="0" w:type="dxa"/>
          <w:left w:w="108" w:type="dxa"/>
          <w:bottom w:w="0" w:type="dxa"/>
          <w:right w:w="108" w:type="dxa"/>
        </w:tblCellMar>
      </w:tblPr>
      <w:tblGrid>
        <w:gridCol w:w="846"/>
        <w:gridCol w:w="1134"/>
        <w:gridCol w:w="1559"/>
        <w:gridCol w:w="1134"/>
        <w:gridCol w:w="1559"/>
        <w:gridCol w:w="1276"/>
        <w:gridCol w:w="1648"/>
      </w:tblGrid>
      <w:tr w14:paraId="084984CA">
        <w:tblPrEx>
          <w:tblCellMar>
            <w:top w:w="0" w:type="dxa"/>
            <w:left w:w="108" w:type="dxa"/>
            <w:bottom w:w="0" w:type="dxa"/>
            <w:right w:w="108" w:type="dxa"/>
          </w:tblCellMar>
        </w:tblPrEx>
        <w:trPr>
          <w:trHeight w:val="699"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2CE7DFBB">
            <w:pPr>
              <w:ind w:firstLine="0" w:firstLineChars="0"/>
              <w:rPr>
                <w:rFonts w:ascii="宋体" w:hAnsi="宋体" w:cs="宋体"/>
                <w:color w:val="000000"/>
                <w:kern w:val="0"/>
              </w:rPr>
            </w:pPr>
            <w:r>
              <w:rPr>
                <w:rFonts w:hint="eastAsia" w:ascii="宋体" w:hAnsi="宋体" w:cs="宋体"/>
                <w:color w:val="000000"/>
                <w:kern w:val="0"/>
              </w:rPr>
              <w:t>标的</w:t>
            </w:r>
          </w:p>
        </w:tc>
        <w:tc>
          <w:tcPr>
            <w:tcW w:w="1134" w:type="dxa"/>
            <w:tcBorders>
              <w:top w:val="single" w:color="auto" w:sz="4" w:space="0"/>
              <w:left w:val="nil"/>
              <w:bottom w:val="single" w:color="auto" w:sz="4" w:space="0"/>
              <w:right w:val="single" w:color="auto" w:sz="4" w:space="0"/>
            </w:tcBorders>
            <w:noWrap/>
            <w:vAlign w:val="center"/>
          </w:tcPr>
          <w:p w14:paraId="02549BF5">
            <w:pPr>
              <w:ind w:firstLine="420"/>
              <w:jc w:val="center"/>
              <w:rPr>
                <w:rFonts w:ascii="宋体" w:hAnsi="宋体" w:cs="宋体"/>
                <w:color w:val="000000"/>
                <w:kern w:val="0"/>
              </w:rPr>
            </w:pPr>
            <w:r>
              <w:rPr>
                <w:rFonts w:hint="eastAsia" w:ascii="宋体" w:hAnsi="宋体" w:cs="宋体"/>
                <w:color w:val="000000"/>
                <w:kern w:val="0"/>
              </w:rPr>
              <w:t>单位</w:t>
            </w:r>
          </w:p>
        </w:tc>
        <w:tc>
          <w:tcPr>
            <w:tcW w:w="1559" w:type="dxa"/>
            <w:tcBorders>
              <w:top w:val="single" w:color="auto" w:sz="4" w:space="0"/>
              <w:left w:val="nil"/>
              <w:bottom w:val="single" w:color="auto" w:sz="4" w:space="0"/>
              <w:right w:val="single" w:color="auto" w:sz="4" w:space="0"/>
            </w:tcBorders>
            <w:noWrap/>
            <w:vAlign w:val="center"/>
          </w:tcPr>
          <w:p w14:paraId="7C41720D">
            <w:pPr>
              <w:ind w:firstLine="420"/>
              <w:jc w:val="center"/>
              <w:rPr>
                <w:rFonts w:ascii="宋体" w:hAnsi="宋体" w:cs="宋体"/>
                <w:color w:val="000000"/>
                <w:kern w:val="0"/>
              </w:rPr>
            </w:pPr>
            <w:r>
              <w:rPr>
                <w:rFonts w:hint="eastAsia" w:ascii="宋体" w:hAnsi="宋体" w:cs="宋体"/>
                <w:color w:val="000000"/>
                <w:kern w:val="0"/>
              </w:rPr>
              <w:t>名称</w:t>
            </w:r>
          </w:p>
        </w:tc>
        <w:tc>
          <w:tcPr>
            <w:tcW w:w="1134" w:type="dxa"/>
            <w:tcBorders>
              <w:top w:val="single" w:color="auto" w:sz="4" w:space="0"/>
              <w:left w:val="nil"/>
              <w:bottom w:val="single" w:color="auto" w:sz="4" w:space="0"/>
              <w:right w:val="single" w:color="auto" w:sz="4" w:space="0"/>
            </w:tcBorders>
            <w:noWrap/>
            <w:vAlign w:val="center"/>
          </w:tcPr>
          <w:p w14:paraId="6327232B">
            <w:pPr>
              <w:ind w:firstLine="0" w:firstLineChars="0"/>
              <w:rPr>
                <w:rFonts w:ascii="宋体" w:hAnsi="宋体" w:cs="宋体"/>
                <w:color w:val="000000"/>
                <w:kern w:val="0"/>
              </w:rPr>
            </w:pPr>
            <w:r>
              <w:rPr>
                <w:rFonts w:hint="eastAsia" w:ascii="宋体" w:hAnsi="宋体" w:cs="宋体"/>
                <w:color w:val="000000"/>
                <w:kern w:val="0"/>
              </w:rPr>
              <w:t>运维周期</w:t>
            </w:r>
          </w:p>
        </w:tc>
        <w:tc>
          <w:tcPr>
            <w:tcW w:w="1559" w:type="dxa"/>
            <w:tcBorders>
              <w:top w:val="single" w:color="auto" w:sz="4" w:space="0"/>
              <w:left w:val="nil"/>
              <w:bottom w:val="single" w:color="auto" w:sz="4" w:space="0"/>
              <w:right w:val="single" w:color="auto" w:sz="4" w:space="0"/>
            </w:tcBorders>
            <w:vAlign w:val="center"/>
          </w:tcPr>
          <w:p w14:paraId="7D2ACE54">
            <w:pPr>
              <w:ind w:firstLine="199" w:firstLineChars="95"/>
              <w:rPr>
                <w:rFonts w:ascii="宋体" w:hAnsi="宋体" w:cs="宋体"/>
                <w:color w:val="000000"/>
                <w:kern w:val="0"/>
              </w:rPr>
            </w:pPr>
            <w:r>
              <w:rPr>
                <w:rFonts w:hint="eastAsia" w:ascii="宋体" w:hAnsi="宋体" w:cs="宋体"/>
                <w:color w:val="000000"/>
                <w:kern w:val="0"/>
              </w:rPr>
              <w:t>开标价</w:t>
            </w:r>
          </w:p>
          <w:p w14:paraId="40BC38A6">
            <w:pPr>
              <w:ind w:firstLine="0" w:firstLineChars="0"/>
              <w:rPr>
                <w:rFonts w:ascii="宋体" w:hAnsi="宋体" w:cs="宋体"/>
                <w:color w:val="000000"/>
                <w:kern w:val="0"/>
              </w:rPr>
            </w:pPr>
            <w:r>
              <w:rPr>
                <w:rFonts w:hint="eastAsia" w:ascii="宋体" w:hAnsi="宋体" w:cs="宋体"/>
                <w:color w:val="000000"/>
                <w:kern w:val="0"/>
              </w:rPr>
              <w:t>（元，不含税）</w:t>
            </w:r>
          </w:p>
        </w:tc>
        <w:tc>
          <w:tcPr>
            <w:tcW w:w="1276" w:type="dxa"/>
            <w:tcBorders>
              <w:top w:val="single" w:color="auto" w:sz="4" w:space="0"/>
              <w:left w:val="nil"/>
              <w:bottom w:val="single" w:color="auto" w:sz="4" w:space="0"/>
              <w:right w:val="single" w:color="auto" w:sz="4" w:space="0"/>
            </w:tcBorders>
            <w:vAlign w:val="center"/>
          </w:tcPr>
          <w:p w14:paraId="6E56D7B2">
            <w:pPr>
              <w:ind w:firstLine="420"/>
              <w:jc w:val="center"/>
              <w:rPr>
                <w:rFonts w:ascii="宋体" w:hAnsi="宋体" w:cs="宋体"/>
                <w:color w:val="000000"/>
                <w:kern w:val="0"/>
              </w:rPr>
            </w:pPr>
            <w:r>
              <w:rPr>
                <w:rFonts w:hint="eastAsia" w:ascii="宋体" w:hAnsi="宋体" w:cs="宋体"/>
                <w:color w:val="000000"/>
                <w:kern w:val="0"/>
              </w:rPr>
              <w:t>税率</w:t>
            </w:r>
          </w:p>
          <w:p w14:paraId="38796F4F">
            <w:pPr>
              <w:ind w:firstLine="420"/>
              <w:jc w:val="center"/>
              <w:rPr>
                <w:rFonts w:ascii="宋体" w:hAnsi="宋体" w:cs="宋体"/>
                <w:color w:val="000000"/>
                <w:kern w:val="0"/>
              </w:rPr>
            </w:pPr>
            <w:r>
              <w:rPr>
                <w:rFonts w:hint="eastAsia" w:ascii="宋体" w:hAnsi="宋体" w:cs="宋体"/>
                <w:color w:val="000000"/>
                <w:kern w:val="0"/>
              </w:rPr>
              <w:t>（%）</w:t>
            </w:r>
          </w:p>
        </w:tc>
        <w:tc>
          <w:tcPr>
            <w:tcW w:w="1648" w:type="dxa"/>
            <w:tcBorders>
              <w:top w:val="single" w:color="auto" w:sz="4" w:space="0"/>
              <w:left w:val="nil"/>
              <w:bottom w:val="single" w:color="auto" w:sz="4" w:space="0"/>
              <w:right w:val="single" w:color="auto" w:sz="4" w:space="0"/>
            </w:tcBorders>
          </w:tcPr>
          <w:p w14:paraId="4396D8B9">
            <w:pPr>
              <w:ind w:firstLine="0" w:firstLineChars="0"/>
              <w:rPr>
                <w:rFonts w:ascii="宋体" w:hAnsi="宋体" w:cs="宋体"/>
                <w:color w:val="000000"/>
                <w:kern w:val="0"/>
              </w:rPr>
            </w:pPr>
            <w:r>
              <w:rPr>
                <w:rFonts w:hint="eastAsia" w:ascii="宋体" w:hAnsi="宋体" w:cs="宋体"/>
                <w:color w:val="000000"/>
                <w:kern w:val="0"/>
              </w:rPr>
              <w:t>价税合计金额</w:t>
            </w:r>
          </w:p>
          <w:p w14:paraId="75A8A6BD">
            <w:pPr>
              <w:ind w:firstLine="199" w:firstLineChars="95"/>
              <w:rPr>
                <w:rFonts w:ascii="宋体" w:hAnsi="宋体" w:cs="宋体"/>
                <w:color w:val="000000"/>
                <w:kern w:val="0"/>
              </w:rPr>
            </w:pPr>
            <w:r>
              <w:rPr>
                <w:rFonts w:hint="eastAsia" w:ascii="宋体" w:hAnsi="宋体" w:cs="宋体"/>
                <w:color w:val="000000"/>
                <w:kern w:val="0"/>
              </w:rPr>
              <w:t>（元）</w:t>
            </w:r>
          </w:p>
        </w:tc>
      </w:tr>
      <w:tr w14:paraId="323A2CE9">
        <w:tblPrEx>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1490FBBB">
            <w:pPr>
              <w:ind w:firstLine="360"/>
              <w:jc w:val="center"/>
              <w:rPr>
                <w:rFonts w:ascii="宋体" w:hAnsi="宋体" w:cs="宋体"/>
                <w:color w:val="000000"/>
                <w:kern w:val="0"/>
                <w:sz w:val="18"/>
                <w:szCs w:val="18"/>
              </w:rPr>
            </w:pPr>
            <w:r>
              <w:rPr>
                <w:rFonts w:hint="eastAsia" w:hAnsi="宋体"/>
                <w:sz w:val="18"/>
                <w:szCs w:val="18"/>
              </w:rPr>
              <w:t>1</w:t>
            </w:r>
          </w:p>
        </w:tc>
        <w:tc>
          <w:tcPr>
            <w:tcW w:w="1134" w:type="dxa"/>
            <w:tcBorders>
              <w:top w:val="nil"/>
              <w:left w:val="nil"/>
              <w:bottom w:val="single" w:color="auto" w:sz="4" w:space="0"/>
              <w:right w:val="single" w:color="auto" w:sz="4" w:space="0"/>
            </w:tcBorders>
            <w:noWrap/>
            <w:vAlign w:val="center"/>
          </w:tcPr>
          <w:p w14:paraId="589113E6">
            <w:pPr>
              <w:ind w:firstLine="0" w:firstLineChars="0"/>
              <w:rPr>
                <w:rFonts w:hAnsi="宋体"/>
                <w:sz w:val="18"/>
                <w:szCs w:val="18"/>
              </w:rPr>
            </w:pPr>
            <w:r>
              <w:rPr>
                <w:rFonts w:hint="eastAsia" w:hAnsi="宋体"/>
                <w:sz w:val="18"/>
                <w:szCs w:val="18"/>
              </w:rPr>
              <w:t>济宁商用车</w:t>
            </w:r>
            <w:r>
              <w:rPr>
                <w:rFonts w:hAnsi="宋体"/>
                <w:sz w:val="18"/>
                <w:szCs w:val="18"/>
              </w:rPr>
              <w:t>有限公司</w:t>
            </w:r>
          </w:p>
        </w:tc>
        <w:tc>
          <w:tcPr>
            <w:tcW w:w="1559" w:type="dxa"/>
            <w:tcBorders>
              <w:top w:val="nil"/>
              <w:left w:val="nil"/>
              <w:bottom w:val="single" w:color="auto" w:sz="4" w:space="0"/>
              <w:right w:val="single" w:color="auto" w:sz="4" w:space="0"/>
            </w:tcBorders>
            <w:vAlign w:val="center"/>
          </w:tcPr>
          <w:p w14:paraId="7D015695">
            <w:pPr>
              <w:ind w:firstLine="0" w:firstLineChars="0"/>
              <w:rPr>
                <w:rFonts w:eastAsia="等线"/>
                <w:color w:val="000000"/>
                <w:kern w:val="0"/>
                <w:sz w:val="24"/>
                <w:szCs w:val="24"/>
              </w:rPr>
            </w:pPr>
            <w:r>
              <w:rPr>
                <w:rFonts w:hint="eastAsia" w:hAnsi="宋体"/>
                <w:sz w:val="18"/>
                <w:szCs w:val="18"/>
              </w:rPr>
              <w:t>环保用电监管运维项目</w:t>
            </w:r>
          </w:p>
        </w:tc>
        <w:tc>
          <w:tcPr>
            <w:tcW w:w="1134" w:type="dxa"/>
            <w:tcBorders>
              <w:top w:val="nil"/>
              <w:left w:val="nil"/>
              <w:bottom w:val="single" w:color="auto" w:sz="4" w:space="0"/>
              <w:right w:val="single" w:color="auto" w:sz="4" w:space="0"/>
            </w:tcBorders>
            <w:noWrap/>
            <w:vAlign w:val="center"/>
          </w:tcPr>
          <w:p w14:paraId="66F0B28C">
            <w:pPr>
              <w:ind w:firstLine="360"/>
              <w:jc w:val="center"/>
              <w:rPr>
                <w:rFonts w:ascii="宋体" w:hAnsi="宋体" w:cs="宋体"/>
                <w:color w:val="000000"/>
                <w:kern w:val="0"/>
                <w:sz w:val="18"/>
                <w:szCs w:val="18"/>
              </w:rPr>
            </w:pPr>
            <w:r>
              <w:rPr>
                <w:rFonts w:hint="eastAsia" w:ascii="宋体" w:hAnsi="宋体" w:cs="宋体"/>
                <w:color w:val="000000"/>
                <w:kern w:val="0"/>
                <w:sz w:val="18"/>
                <w:szCs w:val="18"/>
              </w:rPr>
              <w:t>壹年</w:t>
            </w:r>
          </w:p>
        </w:tc>
        <w:tc>
          <w:tcPr>
            <w:tcW w:w="1559" w:type="dxa"/>
            <w:tcBorders>
              <w:top w:val="nil"/>
              <w:left w:val="nil"/>
              <w:bottom w:val="single" w:color="auto" w:sz="4" w:space="0"/>
              <w:right w:val="single" w:color="auto" w:sz="4" w:space="0"/>
            </w:tcBorders>
            <w:vAlign w:val="center"/>
          </w:tcPr>
          <w:p w14:paraId="6E5CF2BA">
            <w:pPr>
              <w:ind w:firstLine="480"/>
              <w:jc w:val="center"/>
              <w:rPr>
                <w:rFonts w:eastAsia="等线"/>
                <w:color w:val="000000"/>
                <w:kern w:val="0"/>
                <w:sz w:val="24"/>
                <w:szCs w:val="24"/>
              </w:rPr>
            </w:pPr>
          </w:p>
        </w:tc>
        <w:tc>
          <w:tcPr>
            <w:tcW w:w="1276" w:type="dxa"/>
            <w:tcBorders>
              <w:top w:val="nil"/>
              <w:left w:val="nil"/>
              <w:bottom w:val="single" w:color="auto" w:sz="4" w:space="0"/>
              <w:right w:val="single" w:color="auto" w:sz="4" w:space="0"/>
            </w:tcBorders>
            <w:noWrap/>
            <w:vAlign w:val="bottom"/>
          </w:tcPr>
          <w:p w14:paraId="5BCD1352">
            <w:pPr>
              <w:ind w:firstLine="480"/>
              <w:jc w:val="left"/>
              <w:rPr>
                <w:rFonts w:ascii="等线" w:hAnsi="等线" w:eastAsia="等线" w:cs="宋体"/>
                <w:color w:val="000000"/>
                <w:kern w:val="0"/>
                <w:sz w:val="24"/>
                <w:szCs w:val="24"/>
              </w:rPr>
            </w:pPr>
          </w:p>
        </w:tc>
        <w:tc>
          <w:tcPr>
            <w:tcW w:w="1648" w:type="dxa"/>
            <w:tcBorders>
              <w:top w:val="nil"/>
              <w:left w:val="nil"/>
              <w:bottom w:val="single" w:color="auto" w:sz="4" w:space="0"/>
              <w:right w:val="single" w:color="auto" w:sz="4" w:space="0"/>
            </w:tcBorders>
          </w:tcPr>
          <w:p w14:paraId="134715D0">
            <w:pPr>
              <w:ind w:firstLine="480"/>
              <w:jc w:val="left"/>
              <w:rPr>
                <w:rFonts w:ascii="等线" w:hAnsi="等线" w:eastAsia="等线" w:cs="宋体"/>
                <w:color w:val="000000"/>
                <w:kern w:val="0"/>
                <w:sz w:val="24"/>
                <w:szCs w:val="24"/>
              </w:rPr>
            </w:pPr>
          </w:p>
        </w:tc>
      </w:tr>
    </w:tbl>
    <w:p w14:paraId="0EA6F315">
      <w:pPr>
        <w:spacing w:line="400" w:lineRule="exact"/>
        <w:ind w:firstLine="422"/>
        <w:rPr>
          <w:rFonts w:ascii="宋体" w:hAnsi="宋体"/>
          <w:b/>
          <w:bCs/>
        </w:rPr>
      </w:pPr>
      <w:r>
        <w:rPr>
          <w:rFonts w:hint="eastAsia" w:ascii="宋体" w:hAnsi="宋体"/>
          <w:b/>
          <w:bCs/>
        </w:rPr>
        <w:t>注：1、此表中的报价必须与相应的报价明细表中的报价一致。</w:t>
      </w:r>
      <w:r>
        <w:rPr>
          <w:rFonts w:ascii="宋体" w:hAnsi="宋体"/>
          <w:b/>
          <w:bCs/>
        </w:rPr>
        <w:t xml:space="preserve"> </w:t>
      </w:r>
    </w:p>
    <w:p w14:paraId="2B68D407">
      <w:pPr>
        <w:spacing w:line="300" w:lineRule="auto"/>
        <w:ind w:firstLine="420"/>
        <w:rPr>
          <w:rFonts w:ascii="宋体" w:hAnsi="宋体"/>
        </w:rPr>
      </w:pPr>
      <w:r>
        <w:rPr>
          <w:rFonts w:hint="eastAsia" w:ascii="宋体" w:hAnsi="宋体"/>
        </w:rPr>
        <w:t>投标人：（盖章）</w:t>
      </w:r>
    </w:p>
    <w:p w14:paraId="2078235D">
      <w:pPr>
        <w:spacing w:line="660" w:lineRule="exact"/>
        <w:ind w:firstLine="420"/>
        <w:rPr>
          <w:rFonts w:ascii="宋体" w:hAnsi="宋体"/>
        </w:rPr>
      </w:pPr>
      <w:r>
        <w:rPr>
          <w:rFonts w:hint="eastAsia" w:ascii="宋体" w:hAnsi="宋体"/>
        </w:rPr>
        <w:t>法定代表人（授权代表）：（签字）</w:t>
      </w:r>
    </w:p>
    <w:p w14:paraId="43F4D8A0">
      <w:pPr>
        <w:spacing w:line="660" w:lineRule="exact"/>
        <w:ind w:firstLine="420"/>
        <w:rPr>
          <w:rFonts w:ascii="宋体" w:hAnsi="宋体"/>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8" w:bottom="1134" w:left="1418" w:header="851" w:footer="992" w:gutter="0"/>
          <w:cols w:space="720" w:num="1"/>
          <w:titlePg/>
          <w:docGrid w:type="lines" w:linePitch="312" w:charSpace="0"/>
        </w:sectPr>
      </w:pPr>
      <w:r>
        <w:rPr>
          <w:rFonts w:hint="eastAsia" w:ascii="宋体" w:hAnsi="宋体"/>
        </w:rPr>
        <w:t>日  期：</w:t>
      </w:r>
      <w:r>
        <w:rPr>
          <w:rFonts w:hint="eastAsia" w:ascii="宋体" w:hAnsi="宋体"/>
          <w:u w:val="single"/>
        </w:rPr>
        <w:t xml:space="preserve">       </w:t>
      </w:r>
      <w:r>
        <w:rPr>
          <w:rFonts w:hint="eastAsia" w:ascii="宋体" w:hAnsi="宋体"/>
        </w:rPr>
        <w:t xml:space="preserve">年  </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4F2C4A36">
      <w:pPr>
        <w:spacing w:line="660" w:lineRule="exact"/>
        <w:ind w:firstLineChars="71"/>
        <w:rPr>
          <w:rFonts w:eastAsia="黑体"/>
          <w:b/>
          <w:bCs/>
          <w:sz w:val="28"/>
        </w:rPr>
      </w:pPr>
      <w:r>
        <w:rPr>
          <w:rFonts w:hint="eastAsia" w:eastAsia="黑体"/>
          <w:b/>
          <w:bCs/>
          <w:sz w:val="28"/>
        </w:rPr>
        <w:t>报价清单</w:t>
      </w:r>
    </w:p>
    <w:tbl>
      <w:tblPr>
        <w:tblStyle w:val="10"/>
        <w:tblW w:w="0" w:type="auto"/>
        <w:jc w:val="center"/>
        <w:tblLayout w:type="fixed"/>
        <w:tblCellMar>
          <w:top w:w="0" w:type="dxa"/>
          <w:left w:w="108" w:type="dxa"/>
          <w:bottom w:w="0" w:type="dxa"/>
          <w:right w:w="108" w:type="dxa"/>
        </w:tblCellMar>
      </w:tblPr>
      <w:tblGrid>
        <w:gridCol w:w="1380"/>
        <w:gridCol w:w="2640"/>
        <w:gridCol w:w="1880"/>
      </w:tblGrid>
      <w:tr w14:paraId="7C91E4F0">
        <w:tblPrEx>
          <w:tblCellMar>
            <w:top w:w="0" w:type="dxa"/>
            <w:left w:w="108" w:type="dxa"/>
            <w:bottom w:w="0" w:type="dxa"/>
            <w:right w:w="108" w:type="dxa"/>
          </w:tblCellMar>
        </w:tblPrEx>
        <w:trPr>
          <w:trHeight w:val="270" w:hRule="atLeast"/>
          <w:jc w:val="center"/>
        </w:trPr>
        <w:tc>
          <w:tcPr>
            <w:tcW w:w="5900" w:type="dxa"/>
            <w:gridSpan w:val="3"/>
            <w:tcBorders>
              <w:top w:val="nil"/>
              <w:left w:val="nil"/>
              <w:bottom w:val="nil"/>
              <w:right w:val="nil"/>
            </w:tcBorders>
            <w:noWrap/>
            <w:vAlign w:val="center"/>
          </w:tcPr>
          <w:p w14:paraId="1EDBAAC2">
            <w:pPr>
              <w:ind w:firstLine="0" w:firstLineChars="0"/>
              <w:jc w:val="left"/>
              <w:rPr>
                <w:rFonts w:ascii="宋体" w:hAnsi="宋体" w:cs="宋体"/>
                <w:color w:val="000000"/>
                <w:kern w:val="0"/>
                <w:sz w:val="22"/>
                <w:szCs w:val="22"/>
              </w:rPr>
            </w:pPr>
          </w:p>
        </w:tc>
      </w:tr>
      <w:tr w14:paraId="3011BB81">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45DB017C">
            <w:pPr>
              <w:spacing w:line="660" w:lineRule="exact"/>
              <w:ind w:firstLine="562"/>
              <w:rPr>
                <w:rFonts w:ascii="宋体" w:hAnsi="宋体" w:cs="宋体"/>
                <w:color w:val="000000"/>
                <w:kern w:val="0"/>
                <w:sz w:val="22"/>
                <w:szCs w:val="22"/>
              </w:rPr>
            </w:pPr>
            <w:r>
              <w:rPr>
                <w:rFonts w:hint="eastAsia" w:eastAsia="黑体"/>
                <w:b/>
                <w:bCs/>
                <w:sz w:val="28"/>
              </w:rPr>
              <w:t>报价清单</w:t>
            </w:r>
          </w:p>
        </w:tc>
      </w:tr>
      <w:tr w14:paraId="07FA2717">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12AE2929">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051B8274">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noWrap/>
            <w:vAlign w:val="center"/>
          </w:tcPr>
          <w:p w14:paraId="6DC330F5">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48796DD6">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1AC402BB">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成本构成</w:t>
            </w:r>
          </w:p>
        </w:tc>
        <w:tc>
          <w:tcPr>
            <w:tcW w:w="2640" w:type="dxa"/>
            <w:tcBorders>
              <w:top w:val="nil"/>
              <w:left w:val="nil"/>
              <w:bottom w:val="single" w:color="auto" w:sz="4" w:space="0"/>
              <w:right w:val="single" w:color="auto" w:sz="4" w:space="0"/>
            </w:tcBorders>
            <w:noWrap/>
            <w:vAlign w:val="center"/>
          </w:tcPr>
          <w:p w14:paraId="13642CEA">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69D8AEB6">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2EFB9A22">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3C5DDEFF">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EFA7915">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52D72BB8">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7BB2A5B8">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46AD8BF9">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20FB1065">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7BAC31C6">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670C8187">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2733363C">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015DD277">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5C8E0673">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2061CD7F">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52EE2D84">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2F9779D5">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2299AE34">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57BC59D">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15A95502">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12799B7F">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7220AED4">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47B4A15D">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01A6BB80">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3F57F6C">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07841239">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7C6DB61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5AB168ED">
            <w:pPr>
              <w:ind w:firstLine="440"/>
              <w:jc w:val="center"/>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9EC4033">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1880" w:type="dxa"/>
            <w:tcBorders>
              <w:top w:val="nil"/>
              <w:left w:val="nil"/>
              <w:bottom w:val="single" w:color="auto" w:sz="4" w:space="0"/>
              <w:right w:val="single" w:color="auto" w:sz="4" w:space="0"/>
            </w:tcBorders>
            <w:noWrap/>
            <w:vAlign w:val="center"/>
          </w:tcPr>
          <w:p w14:paraId="508D3D52">
            <w:pPr>
              <w:ind w:firstLine="440"/>
              <w:jc w:val="left"/>
              <w:rPr>
                <w:rFonts w:ascii="宋体" w:hAnsi="宋体" w:cs="宋体"/>
                <w:color w:val="000000"/>
                <w:kern w:val="0"/>
                <w:sz w:val="22"/>
                <w:szCs w:val="22"/>
              </w:rPr>
            </w:pPr>
          </w:p>
        </w:tc>
      </w:tr>
      <w:tr w14:paraId="2D95A506">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0992F280">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注：该表可根据实际情况做适当调整或增加附件说明，该表总计价必须与投标总报价中的报价一致。</w:t>
            </w:r>
          </w:p>
        </w:tc>
      </w:tr>
    </w:tbl>
    <w:p w14:paraId="1B3528A0">
      <w:pPr>
        <w:spacing w:line="660" w:lineRule="exact"/>
        <w:ind w:firstLine="480"/>
        <w:rPr>
          <w:rFonts w:ascii="宋体" w:hAnsi="宋体"/>
          <w:sz w:val="24"/>
        </w:rPr>
      </w:pPr>
    </w:p>
    <w:p w14:paraId="14F15B6E">
      <w:pPr>
        <w:pStyle w:val="5"/>
        <w:ind w:firstLine="420"/>
      </w:pPr>
    </w:p>
    <w:p w14:paraId="142E1C64">
      <w:pPr>
        <w:pStyle w:val="5"/>
        <w:ind w:firstLine="420"/>
      </w:pPr>
    </w:p>
    <w:p w14:paraId="34003239">
      <w:pPr>
        <w:pStyle w:val="5"/>
        <w:ind w:firstLine="420"/>
      </w:pPr>
    </w:p>
    <w:p w14:paraId="4E905319">
      <w:pPr>
        <w:pStyle w:val="5"/>
        <w:ind w:firstLine="420"/>
      </w:pPr>
    </w:p>
    <w:p w14:paraId="33136F07">
      <w:pPr>
        <w:pStyle w:val="5"/>
        <w:ind w:firstLine="420"/>
      </w:pPr>
    </w:p>
    <w:p w14:paraId="2584BF79">
      <w:pPr>
        <w:pStyle w:val="5"/>
        <w:ind w:firstLine="420"/>
      </w:pPr>
    </w:p>
    <w:p w14:paraId="1138B14A">
      <w:pPr>
        <w:pStyle w:val="5"/>
        <w:ind w:firstLine="420"/>
      </w:pPr>
    </w:p>
    <w:p w14:paraId="0EEEE7E6">
      <w:pPr>
        <w:pStyle w:val="5"/>
        <w:ind w:firstLine="420"/>
      </w:pPr>
    </w:p>
    <w:p w14:paraId="38FBDB0D">
      <w:pPr>
        <w:pStyle w:val="5"/>
        <w:ind w:firstLine="420"/>
      </w:pPr>
    </w:p>
    <w:p w14:paraId="691225B9">
      <w:pPr>
        <w:pStyle w:val="5"/>
        <w:ind w:firstLine="420"/>
      </w:pPr>
    </w:p>
    <w:p w14:paraId="60104C8C">
      <w:pPr>
        <w:pStyle w:val="5"/>
        <w:ind w:firstLine="420"/>
      </w:pPr>
    </w:p>
    <w:p w14:paraId="0D314EEF">
      <w:pPr>
        <w:pStyle w:val="5"/>
        <w:ind w:firstLine="420"/>
      </w:pPr>
    </w:p>
    <w:p w14:paraId="70C1DC98">
      <w:pPr>
        <w:pStyle w:val="5"/>
        <w:ind w:firstLine="420"/>
      </w:pPr>
    </w:p>
    <w:p w14:paraId="13EDC632">
      <w:pPr>
        <w:pStyle w:val="5"/>
        <w:ind w:firstLine="420"/>
      </w:pPr>
    </w:p>
    <w:p w14:paraId="42F656BB">
      <w:pPr>
        <w:pStyle w:val="5"/>
        <w:ind w:firstLine="420"/>
      </w:pPr>
    </w:p>
    <w:p w14:paraId="03BDA907">
      <w:pPr>
        <w:pStyle w:val="5"/>
        <w:ind w:firstLine="420"/>
      </w:pPr>
    </w:p>
    <w:p w14:paraId="033A02E7">
      <w:pPr>
        <w:pStyle w:val="5"/>
        <w:ind w:firstLine="420"/>
      </w:pPr>
    </w:p>
    <w:p w14:paraId="0B847B09">
      <w:pPr>
        <w:pStyle w:val="6"/>
        <w:spacing w:line="360" w:lineRule="auto"/>
        <w:ind w:firstLine="723"/>
        <w:jc w:val="center"/>
        <w:rPr>
          <w:rFonts w:ascii="黑体" w:eastAsia="黑体"/>
          <w:b/>
          <w:bCs/>
          <w:sz w:val="36"/>
          <w:szCs w:val="36"/>
        </w:rPr>
      </w:pPr>
      <w:r>
        <w:rPr>
          <w:rFonts w:hint="eastAsia" w:ascii="黑体" w:eastAsia="黑体"/>
          <w:b/>
          <w:bCs/>
          <w:sz w:val="36"/>
          <w:szCs w:val="36"/>
        </w:rPr>
        <w:t>第</w:t>
      </w:r>
      <w:r>
        <w:rPr>
          <w:rFonts w:ascii="黑体" w:eastAsia="黑体"/>
          <w:b/>
          <w:bCs/>
          <w:sz w:val="36"/>
          <w:szCs w:val="36"/>
        </w:rPr>
        <w:t>二</w:t>
      </w:r>
      <w:r>
        <w:rPr>
          <w:rFonts w:hint="eastAsia" w:ascii="黑体" w:eastAsia="黑体"/>
          <w:b/>
          <w:bCs/>
          <w:sz w:val="36"/>
          <w:szCs w:val="36"/>
        </w:rPr>
        <w:t xml:space="preserve">章  </w:t>
      </w:r>
      <w:r>
        <w:rPr>
          <w:rFonts w:ascii="黑体" w:eastAsia="黑体"/>
          <w:b/>
          <w:bCs/>
          <w:sz w:val="36"/>
          <w:szCs w:val="36"/>
        </w:rPr>
        <w:t>技术</w:t>
      </w:r>
      <w:r>
        <w:rPr>
          <w:rFonts w:hint="eastAsia" w:ascii="黑体" w:eastAsia="黑体"/>
          <w:b/>
          <w:bCs/>
          <w:sz w:val="36"/>
          <w:szCs w:val="36"/>
        </w:rPr>
        <w:t>要求</w:t>
      </w:r>
    </w:p>
    <w:p w14:paraId="1C1B8B1F">
      <w:pPr>
        <w:pStyle w:val="6"/>
        <w:spacing w:line="360" w:lineRule="auto"/>
        <w:ind w:firstLine="600"/>
        <w:rPr>
          <w:rFonts w:hAnsi="宋体" w:cs="宋体"/>
          <w:bCs/>
          <w:sz w:val="30"/>
          <w:szCs w:val="30"/>
        </w:rPr>
      </w:pPr>
      <w:r>
        <w:rPr>
          <w:rFonts w:hint="eastAsia" w:hAnsi="宋体" w:cs="宋体"/>
          <w:bCs/>
          <w:sz w:val="30"/>
          <w:szCs w:val="30"/>
        </w:rPr>
        <w:t>一、项目名称</w:t>
      </w:r>
    </w:p>
    <w:p w14:paraId="7DB05868">
      <w:pPr>
        <w:spacing w:line="420" w:lineRule="exact"/>
        <w:ind w:firstLine="420"/>
        <w:jc w:val="left"/>
        <w:rPr>
          <w:rFonts w:ascii="宋体" w:hAnsi="宋体" w:cs="宋体"/>
          <w:spacing w:val="2"/>
        </w:rPr>
      </w:pPr>
      <w:r>
        <w:rPr>
          <w:rFonts w:hint="eastAsia" w:ascii="宋体" w:hAnsi="宋体" w:cs="宋体"/>
          <w:color w:val="000000"/>
          <w:shd w:val="clear" w:color="auto" w:fill="FCFCFC"/>
        </w:rPr>
        <w:t>中国重汽集团济宁商用车有限公司环保用电监管运维项目</w:t>
      </w:r>
    </w:p>
    <w:p w14:paraId="79F17BA8">
      <w:pPr>
        <w:pStyle w:val="6"/>
        <w:spacing w:line="360" w:lineRule="auto"/>
        <w:ind w:firstLine="600"/>
        <w:rPr>
          <w:rFonts w:hAnsi="宋体" w:cs="宋体"/>
          <w:bCs/>
          <w:sz w:val="30"/>
          <w:szCs w:val="30"/>
        </w:rPr>
      </w:pPr>
      <w:r>
        <w:rPr>
          <w:rFonts w:hint="eastAsia" w:hAnsi="宋体" w:cs="宋体"/>
          <w:bCs/>
          <w:sz w:val="30"/>
          <w:szCs w:val="30"/>
        </w:rPr>
        <w:t>二、项目技术要求</w:t>
      </w:r>
    </w:p>
    <w:p w14:paraId="50D35289">
      <w:pPr>
        <w:spacing w:line="420" w:lineRule="exact"/>
        <w:ind w:firstLine="420"/>
        <w:jc w:val="left"/>
        <w:rPr>
          <w:rFonts w:hAnsi="宋体" w:cs="宋体"/>
          <w:color w:val="000000"/>
          <w:shd w:val="clear" w:color="auto" w:fill="FCFCFC"/>
        </w:rPr>
      </w:pPr>
      <w:r>
        <w:rPr>
          <w:rFonts w:hint="eastAsia" w:ascii="宋体" w:hAnsi="宋体" w:cs="宋体"/>
          <w:color w:val="000000"/>
          <w:shd w:val="clear" w:color="auto" w:fill="FCFCFC"/>
        </w:rPr>
        <w:t>1根据《排污单位生产设施及污染治理设施用电（能）监控系统技术指南（征求意见稿及编制说明）》</w:t>
      </w:r>
      <w:r>
        <w:rPr>
          <w:rFonts w:hint="eastAsia" w:hAnsi="宋体" w:cs="宋体"/>
          <w:color w:val="000000"/>
          <w:shd w:val="clear" w:color="auto" w:fill="FCFCFC"/>
        </w:rPr>
        <w:t>要求完成用电监管设备设施的安装、调试及验收，完成向当地环保部门备案并将相应的安装调试验收相关记录电子版和纸质版交招标方一份留档。做好设备的日常巡检维护，保证数据信号传输满足要求。</w:t>
      </w:r>
    </w:p>
    <w:p w14:paraId="7A5CCDB6">
      <w:pPr>
        <w:spacing w:line="420" w:lineRule="exact"/>
        <w:ind w:firstLine="420"/>
        <w:jc w:val="left"/>
        <w:rPr>
          <w:rFonts w:ascii="宋体" w:hAnsi="宋体" w:cs="宋体"/>
          <w:color w:val="000000"/>
          <w:shd w:val="clear" w:color="auto" w:fill="FCFCFC"/>
        </w:rPr>
      </w:pPr>
      <w:r>
        <w:rPr>
          <w:rFonts w:hint="eastAsia" w:hAnsi="宋体" w:cs="宋体"/>
          <w:color w:val="000000"/>
          <w:shd w:val="clear" w:color="auto" w:fill="FCFCFC"/>
        </w:rPr>
        <w:t>2用电监管设备设施安装调试人员、电工、安全工程师、安全监督员应有相关资质，满足电力施工相关要求，在安装施工过程中，应按照用电（能）监控信息自行备案表进行安装调试，安装调试应避免对安全生产和环境造成影响，不应对原有用电线路和设施造成影响。</w:t>
      </w:r>
      <w:r>
        <w:rPr>
          <w:rFonts w:hAnsi="宋体" w:cs="宋体"/>
          <w:color w:val="000000"/>
          <w:shd w:val="clear" w:color="auto" w:fill="FCFCFC"/>
        </w:rPr>
        <w:t xml:space="preserve"> </w:t>
      </w:r>
    </w:p>
    <w:p w14:paraId="242E15B4">
      <w:pPr>
        <w:widowControl w:val="0"/>
        <w:autoSpaceDE w:val="0"/>
        <w:autoSpaceDN w:val="0"/>
        <w:adjustRightInd w:val="0"/>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3现场端用电（能）监控系统安装施工应符合</w:t>
      </w:r>
      <w:r>
        <w:rPr>
          <w:rFonts w:ascii="宋体" w:hAnsi="宋体" w:cs="宋体"/>
          <w:color w:val="000000"/>
          <w:shd w:val="clear" w:color="auto" w:fill="FCFCFC"/>
        </w:rPr>
        <w:t>GB 50093</w:t>
      </w:r>
      <w:r>
        <w:rPr>
          <w:rFonts w:hint="eastAsia" w:ascii="宋体" w:hAnsi="宋体" w:cs="宋体"/>
          <w:color w:val="000000"/>
          <w:shd w:val="clear" w:color="auto" w:fill="FCFCFC"/>
        </w:rPr>
        <w:t>、</w:t>
      </w:r>
      <w:r>
        <w:rPr>
          <w:rFonts w:ascii="宋体" w:hAnsi="宋体" w:cs="宋体"/>
          <w:color w:val="000000"/>
          <w:shd w:val="clear" w:color="auto" w:fill="FCFCFC"/>
        </w:rPr>
        <w:t xml:space="preserve">GB 50171 </w:t>
      </w:r>
      <w:r>
        <w:rPr>
          <w:rFonts w:hint="eastAsia" w:ascii="宋体" w:hAnsi="宋体" w:cs="宋体"/>
          <w:color w:val="000000"/>
          <w:shd w:val="clear" w:color="auto" w:fill="FCFCFC"/>
        </w:rPr>
        <w:t>等标准的规定；用电（能）监控应满足</w:t>
      </w:r>
      <w:r>
        <w:rPr>
          <w:rFonts w:ascii="宋体" w:hAnsi="宋体" w:cs="宋体"/>
          <w:color w:val="000000"/>
          <w:shd w:val="clear" w:color="auto" w:fill="FCFCFC"/>
        </w:rPr>
        <w:t xml:space="preserve">GB/T 17215.321 </w:t>
      </w:r>
      <w:r>
        <w:rPr>
          <w:rFonts w:hint="eastAsia" w:ascii="宋体" w:hAnsi="宋体" w:cs="宋体"/>
          <w:color w:val="000000"/>
          <w:shd w:val="clear" w:color="auto" w:fill="FCFCFC"/>
        </w:rPr>
        <w:t>的要求；布线应符合</w:t>
      </w:r>
      <w:r>
        <w:rPr>
          <w:rFonts w:ascii="宋体" w:hAnsi="宋体" w:cs="宋体"/>
          <w:color w:val="000000"/>
          <w:shd w:val="clear" w:color="auto" w:fill="FCFCFC"/>
        </w:rPr>
        <w:t xml:space="preserve">GB 50312 </w:t>
      </w:r>
      <w:r>
        <w:rPr>
          <w:rFonts w:hint="eastAsia" w:ascii="宋体" w:hAnsi="宋体" w:cs="宋体"/>
          <w:color w:val="000000"/>
          <w:shd w:val="clear" w:color="auto" w:fill="FCFCFC"/>
        </w:rPr>
        <w:t>要求，电缆敷设应符合</w:t>
      </w:r>
      <w:r>
        <w:rPr>
          <w:rFonts w:ascii="宋体" w:hAnsi="宋体" w:cs="宋体"/>
          <w:color w:val="000000"/>
          <w:shd w:val="clear" w:color="auto" w:fill="FCFCFC"/>
        </w:rPr>
        <w:t xml:space="preserve">GB 50168 </w:t>
      </w:r>
      <w:r>
        <w:rPr>
          <w:rFonts w:hint="eastAsia" w:ascii="宋体" w:hAnsi="宋体" w:cs="宋体"/>
          <w:color w:val="000000"/>
          <w:shd w:val="clear" w:color="auto" w:fill="FCFCFC"/>
        </w:rPr>
        <w:t>的要求；电源线和信号线均应设置防雷装置，用电（能）监控系统现场安装的数据采集设备及配件适应环境的能力应符合</w:t>
      </w:r>
      <w:r>
        <w:rPr>
          <w:rFonts w:ascii="宋体" w:hAnsi="宋体" w:cs="宋体"/>
          <w:color w:val="000000"/>
          <w:shd w:val="clear" w:color="auto" w:fill="FCFCFC"/>
        </w:rPr>
        <w:t>GB/T 17214.1</w:t>
      </w:r>
      <w:r>
        <w:rPr>
          <w:rFonts w:hint="eastAsia" w:ascii="宋体" w:hAnsi="宋体" w:cs="宋体"/>
          <w:color w:val="000000"/>
          <w:shd w:val="clear" w:color="auto" w:fill="FCFCFC"/>
        </w:rPr>
        <w:t>的要求，抗电磁干扰能力应符合</w:t>
      </w:r>
      <w:r>
        <w:rPr>
          <w:rFonts w:ascii="宋体" w:hAnsi="宋体" w:cs="宋体"/>
          <w:color w:val="000000"/>
          <w:shd w:val="clear" w:color="auto" w:fill="FCFCFC"/>
        </w:rPr>
        <w:t xml:space="preserve">GB/T 17626 </w:t>
      </w:r>
      <w:r>
        <w:rPr>
          <w:rFonts w:hint="eastAsia" w:ascii="宋体" w:hAnsi="宋体" w:cs="宋体"/>
          <w:color w:val="000000"/>
          <w:shd w:val="clear" w:color="auto" w:fill="FCFCFC"/>
        </w:rPr>
        <w:t>的相关要求，数据传输终端宜安装在室内；数据采集传输设备应保证稳定运行，避免断电。</w:t>
      </w:r>
    </w:p>
    <w:p w14:paraId="0159CE80">
      <w:pPr>
        <w:widowControl w:val="0"/>
        <w:autoSpaceDE w:val="0"/>
        <w:autoSpaceDN w:val="0"/>
        <w:adjustRightInd w:val="0"/>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4数据采集应满足</w:t>
      </w:r>
      <w:r>
        <w:rPr>
          <w:rFonts w:ascii="宋体" w:hAnsi="宋体" w:cs="宋体"/>
          <w:color w:val="000000"/>
          <w:shd w:val="clear" w:color="auto" w:fill="FCFCFC"/>
        </w:rPr>
        <w:t xml:space="preserve">HJ 212 </w:t>
      </w:r>
      <w:r>
        <w:rPr>
          <w:rFonts w:hint="eastAsia" w:ascii="宋体" w:hAnsi="宋体" w:cs="宋体"/>
          <w:color w:val="000000"/>
          <w:shd w:val="clear" w:color="auto" w:fill="FCFCFC"/>
        </w:rPr>
        <w:t>中的要求。一般情况下，采集时间间隔为</w:t>
      </w:r>
      <w:r>
        <w:rPr>
          <w:rFonts w:ascii="宋体" w:hAnsi="宋体" w:cs="宋体"/>
          <w:color w:val="000000"/>
          <w:shd w:val="clear" w:color="auto" w:fill="FCFCFC"/>
        </w:rPr>
        <w:t xml:space="preserve">15 </w:t>
      </w:r>
      <w:r>
        <w:rPr>
          <w:rFonts w:hint="eastAsia" w:ascii="宋体" w:hAnsi="宋体" w:cs="宋体"/>
          <w:color w:val="000000"/>
          <w:shd w:val="clear" w:color="auto" w:fill="FCFCFC"/>
        </w:rPr>
        <w:t>分钟一次，即每</w:t>
      </w:r>
      <w:r>
        <w:rPr>
          <w:rFonts w:ascii="宋体" w:hAnsi="宋体" w:cs="宋体"/>
          <w:color w:val="000000"/>
          <w:shd w:val="clear" w:color="auto" w:fill="FCFCFC"/>
        </w:rPr>
        <w:t xml:space="preserve">15 </w:t>
      </w:r>
      <w:r>
        <w:rPr>
          <w:rFonts w:hint="eastAsia" w:ascii="宋体" w:hAnsi="宋体" w:cs="宋体"/>
          <w:color w:val="000000"/>
          <w:shd w:val="clear" w:color="auto" w:fill="FCFCFC"/>
        </w:rPr>
        <w:t>分钟上传的数据为实时数据。当污染源主要用电（能）设备产生异常、故障、越限报警等事件信息时，安装的用电（能）监控设备应在</w:t>
      </w:r>
      <w:r>
        <w:rPr>
          <w:rFonts w:ascii="宋体" w:hAnsi="宋体" w:cs="宋体"/>
          <w:color w:val="000000"/>
          <w:shd w:val="clear" w:color="auto" w:fill="FCFCFC"/>
        </w:rPr>
        <w:t xml:space="preserve">15 </w:t>
      </w:r>
      <w:r>
        <w:rPr>
          <w:rFonts w:hint="eastAsia" w:ascii="宋体" w:hAnsi="宋体" w:cs="宋体"/>
          <w:color w:val="000000"/>
          <w:shd w:val="clear" w:color="auto" w:fill="FCFCFC"/>
        </w:rPr>
        <w:t>分钟之内主动向数据采集仪终端报送数据。数据传输终端至监控中心端系统的实时监测数据应在</w:t>
      </w:r>
      <w:r>
        <w:rPr>
          <w:rFonts w:ascii="宋体" w:hAnsi="宋体" w:cs="宋体"/>
          <w:color w:val="000000"/>
          <w:shd w:val="clear" w:color="auto" w:fill="FCFCFC"/>
        </w:rPr>
        <w:t xml:space="preserve">5 </w:t>
      </w:r>
      <w:r>
        <w:rPr>
          <w:rFonts w:hint="eastAsia" w:ascii="宋体" w:hAnsi="宋体" w:cs="宋体"/>
          <w:color w:val="000000"/>
          <w:shd w:val="clear" w:color="auto" w:fill="FCFCFC"/>
        </w:rPr>
        <w:t>分钟内完成报送。</w:t>
      </w:r>
      <w:r>
        <w:rPr>
          <w:rFonts w:ascii="宋体" w:hAnsi="宋体" w:cs="宋体"/>
          <w:color w:val="000000"/>
          <w:shd w:val="clear" w:color="auto" w:fill="FCFCFC"/>
        </w:rPr>
        <w:t xml:space="preserve"> </w:t>
      </w:r>
    </w:p>
    <w:p w14:paraId="69B75413">
      <w:pPr>
        <w:widowControl w:val="0"/>
        <w:autoSpaceDE w:val="0"/>
        <w:autoSpaceDN w:val="0"/>
        <w:adjustRightInd w:val="0"/>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上传至生态环境部门的实时数据需在自动监测设备存储</w:t>
      </w:r>
      <w:r>
        <w:rPr>
          <w:rFonts w:ascii="宋体" w:hAnsi="宋体" w:cs="宋体"/>
          <w:color w:val="000000"/>
          <w:shd w:val="clear" w:color="auto" w:fill="FCFCFC"/>
        </w:rPr>
        <w:t>1</w:t>
      </w:r>
      <w:r>
        <w:rPr>
          <w:rFonts w:hint="eastAsia" w:ascii="宋体" w:hAnsi="宋体" w:cs="宋体"/>
          <w:color w:val="000000"/>
          <w:shd w:val="clear" w:color="auto" w:fill="FCFCFC"/>
        </w:rPr>
        <w:t>年以上，小时数据</w:t>
      </w:r>
      <w:r>
        <w:rPr>
          <w:rFonts w:ascii="宋体" w:hAnsi="宋体" w:cs="宋体"/>
          <w:color w:val="000000"/>
          <w:shd w:val="clear" w:color="auto" w:fill="FCFCFC"/>
        </w:rPr>
        <w:t>3</w:t>
      </w:r>
      <w:r>
        <w:rPr>
          <w:rFonts w:hint="eastAsia" w:ascii="宋体" w:hAnsi="宋体" w:cs="宋体"/>
          <w:color w:val="000000"/>
          <w:shd w:val="clear" w:color="auto" w:fill="FCFCFC"/>
        </w:rPr>
        <w:t>年以上，日数据</w:t>
      </w:r>
      <w:r>
        <w:rPr>
          <w:rFonts w:ascii="宋体" w:hAnsi="宋体" w:cs="宋体"/>
          <w:color w:val="000000"/>
          <w:shd w:val="clear" w:color="auto" w:fill="FCFCFC"/>
        </w:rPr>
        <w:t xml:space="preserve">10 </w:t>
      </w:r>
      <w:r>
        <w:rPr>
          <w:rFonts w:hint="eastAsia" w:ascii="宋体" w:hAnsi="宋体" w:cs="宋体"/>
          <w:color w:val="000000"/>
          <w:shd w:val="clear" w:color="auto" w:fill="FCFCFC"/>
        </w:rPr>
        <w:t>年以上，且支持导出。</w:t>
      </w:r>
    </w:p>
    <w:p w14:paraId="46CC5F9F">
      <w:pPr>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5负责配备相应的人力、物力资源，安排专人负责监控设备的日常巡检与维护，巡检与维护包括各种设备的运行状况，检查设备是否正常运行，并做好巡检及维护记录，保证日常维护项目、频次及数据传输有效率符合当地环保要求。</w:t>
      </w:r>
    </w:p>
    <w:p w14:paraId="0DC5749B">
      <w:pPr>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6</w:t>
      </w:r>
      <w:r>
        <w:rPr>
          <w:rFonts w:hint="eastAsia" w:ascii="宋体" w:cs="宋体" w:hAnsiTheme="minorHAnsi"/>
          <w:kern w:val="0"/>
        </w:rPr>
        <w:t>当污染源主要用电（能）设备产生异常、故障、越限报警等事件信息时，投标方应保证及时到厂处理，并与招标方共同现场排查落实情况后向环保部门报备解决非正常事件，当监管设备出现老化或损坏等故障时投标方应及时免费更换新的设备以保证用电监管系统的正常运行</w:t>
      </w:r>
      <w:r>
        <w:rPr>
          <w:rFonts w:hint="eastAsia" w:ascii="宋体" w:hAnsi="宋体" w:cs="宋体"/>
          <w:color w:val="000000"/>
          <w:shd w:val="clear" w:color="auto" w:fill="FCFCFC"/>
        </w:rPr>
        <w:t>。</w:t>
      </w:r>
    </w:p>
    <w:p w14:paraId="20818A5D">
      <w:pPr>
        <w:spacing w:line="420" w:lineRule="exact"/>
        <w:ind w:firstLine="420"/>
        <w:jc w:val="left"/>
        <w:rPr>
          <w:rFonts w:ascii="宋体" w:hAnsi="宋体" w:cs="宋体"/>
          <w:color w:val="000000"/>
          <w:shd w:val="clear" w:color="auto" w:fill="FCFCFC"/>
        </w:rPr>
      </w:pPr>
      <w:r>
        <w:rPr>
          <w:rFonts w:ascii="宋体" w:hAnsi="宋体" w:cs="宋体"/>
          <w:color w:val="000000"/>
          <w:shd w:val="clear" w:color="auto" w:fill="FCFCFC"/>
        </w:rPr>
        <w:t>7</w:t>
      </w:r>
      <w:r>
        <w:rPr>
          <w:rFonts w:hint="eastAsia" w:ascii="宋体" w:hAnsi="宋体" w:cs="宋体"/>
          <w:color w:val="000000"/>
          <w:shd w:val="clear" w:color="auto" w:fill="FCFCFC"/>
        </w:rPr>
        <w:t>投标人应对运营过程中出现的异常情况有预警和报警措施，</w:t>
      </w:r>
      <w:r>
        <w:rPr>
          <w:rFonts w:hint="eastAsia" w:ascii="宋体" w:hAnsi="宋体" w:cs="宋体"/>
          <w:b/>
          <w:bCs/>
          <w:color w:val="000000"/>
          <w:shd w:val="clear" w:color="auto" w:fill="FCFCFC"/>
        </w:rPr>
        <w:t>及时通知招标人</w:t>
      </w:r>
      <w:r>
        <w:rPr>
          <w:rFonts w:hint="eastAsia" w:ascii="宋体" w:hAnsi="宋体" w:cs="宋体"/>
          <w:color w:val="000000"/>
          <w:shd w:val="clear" w:color="auto" w:fill="FCFCFC"/>
        </w:rPr>
        <w:t>。建立环保应急方案，具备紧急替换的监管设备，有应急人员及流程规划。</w:t>
      </w:r>
    </w:p>
    <w:p w14:paraId="60B3C96C">
      <w:pPr>
        <w:spacing w:line="420" w:lineRule="exact"/>
        <w:ind w:firstLine="420"/>
        <w:jc w:val="left"/>
        <w:rPr>
          <w:rFonts w:ascii="宋体" w:hAnsi="宋体" w:cs="宋体"/>
          <w:color w:val="000000"/>
          <w:shd w:val="clear" w:color="auto" w:fill="FCFCFC"/>
        </w:rPr>
      </w:pPr>
      <w:r>
        <w:rPr>
          <w:rFonts w:ascii="宋体" w:hAnsi="宋体" w:cs="宋体"/>
          <w:color w:val="000000"/>
          <w:shd w:val="clear" w:color="auto" w:fill="FCFCFC"/>
        </w:rPr>
        <w:t>8</w:t>
      </w:r>
      <w:r>
        <w:rPr>
          <w:rFonts w:hint="eastAsia" w:ascii="宋体" w:hAnsi="宋体" w:cs="宋体"/>
          <w:color w:val="000000"/>
          <w:shd w:val="clear" w:color="auto" w:fill="FCFCFC"/>
        </w:rPr>
        <w:t>在运营期间，运维单位如发现用电监管设施不符合现行规范，应立即通知本公司安全环保部并快速按照新的规范重新安装调试验收及做好日常运维。</w:t>
      </w:r>
    </w:p>
    <w:p w14:paraId="4697009A">
      <w:pPr>
        <w:spacing w:line="420" w:lineRule="exact"/>
        <w:ind w:firstLine="420"/>
        <w:jc w:val="left"/>
        <w:rPr>
          <w:rFonts w:ascii="宋体" w:hAnsi="宋体" w:cs="宋体"/>
          <w:color w:val="000000"/>
          <w:shd w:val="clear" w:color="auto" w:fill="FCFCFC"/>
        </w:rPr>
      </w:pPr>
      <w:r>
        <w:rPr>
          <w:rFonts w:ascii="宋体" w:hAnsi="宋体" w:cs="宋体"/>
          <w:color w:val="000000"/>
          <w:shd w:val="clear" w:color="auto" w:fill="FCFCFC"/>
        </w:rPr>
        <w:t>9</w:t>
      </w:r>
      <w:r>
        <w:rPr>
          <w:rFonts w:hint="eastAsia" w:ascii="宋体" w:hAnsi="宋体" w:cs="宋体"/>
          <w:color w:val="000000"/>
          <w:shd w:val="clear" w:color="auto" w:fill="FCFCFC"/>
        </w:rPr>
        <w:t>负责建立齐全的设备档案，制订运行维护制度规程，建立设备维护、维修记录等技术资料。</w:t>
      </w:r>
    </w:p>
    <w:p w14:paraId="0ADFB286">
      <w:pPr>
        <w:spacing w:line="420" w:lineRule="exact"/>
        <w:ind w:firstLine="420"/>
        <w:jc w:val="left"/>
        <w:rPr>
          <w:rFonts w:ascii="宋体" w:hAnsi="宋体" w:cs="宋体"/>
          <w:color w:val="000000"/>
          <w:shd w:val="clear" w:color="auto" w:fill="FCFCFC"/>
        </w:rPr>
      </w:pPr>
      <w:r>
        <w:rPr>
          <w:rFonts w:ascii="宋体" w:hAnsi="宋体" w:cs="宋体"/>
          <w:color w:val="000000"/>
          <w:shd w:val="clear" w:color="auto" w:fill="FCFCFC"/>
        </w:rPr>
        <w:t xml:space="preserve">10 </w:t>
      </w:r>
      <w:r>
        <w:rPr>
          <w:rFonts w:hint="eastAsia" w:ascii="宋体" w:hAnsi="宋体" w:cs="宋体"/>
          <w:color w:val="000000"/>
          <w:shd w:val="clear" w:color="auto" w:fill="FCFCFC"/>
        </w:rPr>
        <w:t>日常运维注意安全生产，投标方如需进行电工作业、登高作业等需安排持特种作业人员持证上岗，提供并要求作业人员佩戴符合规定的劳保用品并按照国家安全法律法规及招标方厂区安全管理相关要求办理相应作业审批手续后方可进行。</w:t>
      </w:r>
    </w:p>
    <w:p w14:paraId="77667848">
      <w:pPr>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1</w:t>
      </w:r>
      <w:r>
        <w:rPr>
          <w:rFonts w:ascii="宋体" w:hAnsi="宋体" w:cs="宋体"/>
          <w:color w:val="000000"/>
          <w:shd w:val="clear" w:color="auto" w:fill="FCFCFC"/>
        </w:rPr>
        <w:t>1</w:t>
      </w:r>
      <w:r>
        <w:rPr>
          <w:rFonts w:hint="eastAsia" w:ascii="宋体" w:hAnsi="宋体" w:cs="宋体"/>
          <w:color w:val="000000"/>
          <w:shd w:val="clear" w:color="auto" w:fill="FCFCFC"/>
        </w:rPr>
        <w:t>在运维期间因投标方失责导致的排放超标和环保局处罚均由投标方承担相关责任。</w:t>
      </w:r>
    </w:p>
    <w:p w14:paraId="75380EF9">
      <w:pPr>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1</w:t>
      </w:r>
      <w:r>
        <w:rPr>
          <w:rFonts w:ascii="宋体" w:hAnsi="宋体" w:cs="宋体"/>
          <w:color w:val="000000"/>
          <w:shd w:val="clear" w:color="auto" w:fill="FCFCFC"/>
        </w:rPr>
        <w:t>2</w:t>
      </w:r>
      <w:r>
        <w:rPr>
          <w:rFonts w:hint="eastAsia" w:ascii="宋体" w:hAnsi="宋体" w:cs="宋体"/>
          <w:color w:val="000000"/>
          <w:shd w:val="clear" w:color="auto" w:fill="FCFCFC"/>
        </w:rPr>
        <w:t>因投标方原因造成系统不能正常运行的，或因乙方未能及时到场维修造成损失的，应赔偿由此给我司造成的损失。</w:t>
      </w:r>
    </w:p>
    <w:p w14:paraId="159FB657">
      <w:pPr>
        <w:spacing w:line="360" w:lineRule="auto"/>
        <w:ind w:firstLine="420"/>
        <w:rPr>
          <w:rFonts w:ascii="宋体" w:hAnsi="宋体" w:cs="宋体"/>
          <w:kern w:val="0"/>
        </w:rPr>
      </w:pPr>
      <w:r>
        <w:rPr>
          <w:rFonts w:ascii="宋体" w:hAnsi="宋体" w:cs="宋体"/>
          <w:color w:val="000000"/>
          <w:shd w:val="clear" w:color="auto" w:fill="FCFCFC"/>
        </w:rPr>
        <w:t>13运维车辆要求</w:t>
      </w:r>
      <w:r>
        <w:rPr>
          <w:rFonts w:hint="eastAsia" w:ascii="宋体" w:hAnsi="宋体" w:cs="宋体"/>
          <w:color w:val="000000"/>
          <w:shd w:val="clear" w:color="auto" w:fill="FCFCFC"/>
        </w:rPr>
        <w:t>：</w:t>
      </w:r>
      <w:r>
        <w:rPr>
          <w:rFonts w:hint="eastAsia" w:ascii="宋体" w:hAnsi="宋体" w:cs="宋体"/>
        </w:rPr>
        <w:t>所有的进厂运输车辆须满足中国重汽《关于对进入厂区物流车辆实施统一品牌管理的通知》相关要求；所有货车要求为重汽品牌，中重型运输货车排放标准为国Ⅴ及以上；</w:t>
      </w:r>
      <w:r>
        <w:rPr>
          <w:rFonts w:hint="eastAsia" w:ascii="宋体" w:hAnsi="宋体" w:cs="宋体"/>
          <w:kern w:val="0"/>
        </w:rPr>
        <w:t>非道路移动机械（叉车及装载机等）：排放标准为国Ⅲ或者新能源；巡检车辆需配备保障设施。</w:t>
      </w:r>
    </w:p>
    <w:p w14:paraId="0340D52B">
      <w:pPr>
        <w:ind w:firstLine="723"/>
        <w:rPr>
          <w:rFonts w:ascii="宋体" w:hAnsi="宋体"/>
          <w:b/>
          <w:iCs/>
          <w:sz w:val="36"/>
        </w:rPr>
      </w:pPr>
    </w:p>
    <w:p w14:paraId="2674D9CB">
      <w:pPr>
        <w:ind w:firstLine="723"/>
        <w:rPr>
          <w:rFonts w:ascii="宋体" w:hAnsi="宋体"/>
          <w:b/>
          <w:iCs/>
          <w:sz w:val="36"/>
        </w:rPr>
      </w:pPr>
    </w:p>
    <w:p w14:paraId="477F6B5F">
      <w:pPr>
        <w:ind w:firstLine="723"/>
        <w:rPr>
          <w:rFonts w:ascii="宋体" w:hAnsi="宋体"/>
          <w:b/>
          <w:iCs/>
          <w:sz w:val="36"/>
        </w:rPr>
      </w:pPr>
    </w:p>
    <w:p w14:paraId="1B5D42CB">
      <w:pPr>
        <w:ind w:firstLine="723"/>
        <w:rPr>
          <w:rFonts w:ascii="宋体" w:hAnsi="宋体"/>
          <w:b/>
          <w:iCs/>
          <w:sz w:val="36"/>
        </w:rPr>
      </w:pPr>
    </w:p>
    <w:p w14:paraId="3CBEA9CB">
      <w:pPr>
        <w:ind w:firstLine="723"/>
        <w:rPr>
          <w:rFonts w:ascii="宋体" w:hAnsi="宋体"/>
          <w:b/>
          <w:iCs/>
          <w:sz w:val="36"/>
        </w:rPr>
      </w:pPr>
    </w:p>
    <w:p w14:paraId="5C276651">
      <w:pPr>
        <w:ind w:firstLine="723"/>
        <w:rPr>
          <w:rFonts w:ascii="宋体" w:hAnsi="宋体"/>
          <w:b/>
          <w:iCs/>
          <w:sz w:val="36"/>
        </w:rPr>
      </w:pPr>
    </w:p>
    <w:p w14:paraId="6BD6C974">
      <w:pPr>
        <w:ind w:firstLine="723"/>
        <w:rPr>
          <w:rFonts w:ascii="宋体" w:hAnsi="宋体"/>
          <w:b/>
          <w:iCs/>
          <w:sz w:val="36"/>
        </w:rPr>
      </w:pPr>
    </w:p>
    <w:p w14:paraId="5B7316C9">
      <w:pPr>
        <w:ind w:firstLine="723"/>
        <w:rPr>
          <w:rFonts w:ascii="宋体" w:hAnsi="宋体"/>
          <w:b/>
          <w:iCs/>
          <w:sz w:val="36"/>
        </w:rPr>
      </w:pPr>
    </w:p>
    <w:p w14:paraId="1D1487C5">
      <w:pPr>
        <w:ind w:firstLine="723"/>
        <w:rPr>
          <w:rFonts w:ascii="宋体" w:hAnsi="宋体"/>
          <w:b/>
          <w:iCs/>
          <w:sz w:val="36"/>
        </w:rPr>
      </w:pPr>
    </w:p>
    <w:p w14:paraId="41097A86">
      <w:pPr>
        <w:ind w:firstLine="723"/>
        <w:rPr>
          <w:rFonts w:ascii="宋体" w:hAnsi="宋体"/>
          <w:b/>
          <w:iCs/>
          <w:sz w:val="36"/>
        </w:rPr>
      </w:pPr>
    </w:p>
    <w:p w14:paraId="299727EB">
      <w:pPr>
        <w:ind w:firstLine="723"/>
        <w:rPr>
          <w:rFonts w:ascii="宋体" w:hAnsi="宋体"/>
          <w:b/>
          <w:iCs/>
          <w:sz w:val="36"/>
        </w:rPr>
      </w:pPr>
    </w:p>
    <w:p w14:paraId="02CFE8A4">
      <w:pPr>
        <w:ind w:firstLine="723"/>
        <w:rPr>
          <w:rFonts w:ascii="宋体" w:hAnsi="宋体"/>
          <w:b/>
          <w:iCs/>
          <w:sz w:val="36"/>
        </w:rPr>
      </w:pPr>
    </w:p>
    <w:p w14:paraId="27C84CA3">
      <w:pPr>
        <w:ind w:firstLine="723"/>
        <w:rPr>
          <w:rFonts w:ascii="宋体" w:hAnsi="宋体"/>
          <w:b/>
          <w:iCs/>
          <w:sz w:val="36"/>
        </w:rPr>
      </w:pPr>
    </w:p>
    <w:p w14:paraId="031F00D1">
      <w:pPr>
        <w:ind w:firstLine="723"/>
        <w:rPr>
          <w:rFonts w:ascii="宋体" w:hAnsi="宋体"/>
          <w:b/>
          <w:iCs/>
          <w:sz w:val="36"/>
        </w:rPr>
      </w:pPr>
    </w:p>
    <w:p w14:paraId="522D9C06">
      <w:pPr>
        <w:ind w:firstLine="723"/>
        <w:jc w:val="center"/>
        <w:rPr>
          <w:rFonts w:ascii="黑体" w:hAnsi="Courier New" w:eastAsia="黑体"/>
          <w:b/>
          <w:bCs/>
          <w:sz w:val="36"/>
          <w:szCs w:val="36"/>
        </w:rPr>
      </w:pPr>
      <w:r>
        <w:rPr>
          <w:rFonts w:hint="eastAsia" w:ascii="黑体" w:hAnsi="Courier New" w:eastAsia="黑体"/>
          <w:b/>
          <w:bCs/>
          <w:sz w:val="36"/>
          <w:szCs w:val="36"/>
        </w:rPr>
        <w:t>第三章 重汽e彩通供应商使用说明</w:t>
      </w:r>
    </w:p>
    <w:p w14:paraId="4B984ADD">
      <w:pPr>
        <w:pStyle w:val="6"/>
        <w:ind w:firstLine="482"/>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64CEBF00">
      <w:pPr>
        <w:adjustRightInd w:val="0"/>
        <w:snapToGrid w:val="0"/>
        <w:ind w:firstLine="480"/>
        <w:jc w:val="left"/>
        <w:rPr>
          <w:rFonts w:ascii="宋体" w:hAnsi="宋体" w:cs="宋体"/>
          <w:sz w:val="24"/>
          <w:szCs w:val="24"/>
        </w:rPr>
      </w:pPr>
    </w:p>
    <w:p w14:paraId="0507C8DC">
      <w:pPr>
        <w:adjustRightInd w:val="0"/>
        <w:snapToGrid w:val="0"/>
        <w:spacing w:line="360" w:lineRule="auto"/>
        <w:ind w:firstLine="480"/>
        <w:jc w:val="left"/>
        <w:rPr>
          <w:rFonts w:ascii="宋体" w:hAnsi="宋体" w:cs="宋体"/>
          <w:sz w:val="24"/>
          <w:szCs w:val="24"/>
        </w:rPr>
      </w:pPr>
      <w:r>
        <w:rPr>
          <w:rFonts w:ascii="宋体" w:hAnsi="宋体" w:cs="宋体"/>
          <w:sz w:val="24"/>
          <w:szCs w:val="24"/>
        </w:rPr>
        <w:t>浏览器中输入地址;</w:t>
      </w:r>
    </w:p>
    <w:p w14:paraId="4356E376">
      <w:pPr>
        <w:adjustRightInd w:val="0"/>
        <w:snapToGrid w:val="0"/>
        <w:spacing w:line="360" w:lineRule="auto"/>
        <w:ind w:firstLine="420"/>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lang w:val="en-US" w:eastAsia="zh-CN"/>
        </w:rPr>
        <w:t>s</w:t>
      </w:r>
      <w:r>
        <w:rPr>
          <w:rFonts w:ascii="宋体" w:hAnsi="宋体" w:cs="宋体"/>
          <w:sz w:val="24"/>
          <w:szCs w:val="24"/>
        </w:rPr>
        <w:t>://ecaitong.sinotruk.com:8012/#/login</w:t>
      </w:r>
      <w:r>
        <w:rPr>
          <w:rFonts w:ascii="宋体" w:hAnsi="宋体" w:cs="宋体"/>
          <w:sz w:val="24"/>
          <w:szCs w:val="24"/>
        </w:rPr>
        <w:fldChar w:fldCharType="end"/>
      </w:r>
    </w:p>
    <w:p w14:paraId="5CB93905">
      <w:pPr>
        <w:adjustRightInd w:val="0"/>
        <w:snapToGrid w:val="0"/>
        <w:spacing w:line="360" w:lineRule="auto"/>
        <w:ind w:firstLine="480"/>
        <w:jc w:val="left"/>
        <w:rPr>
          <w:rFonts w:ascii="宋体" w:hAnsi="宋体" w:cs="宋体"/>
          <w:sz w:val="24"/>
          <w:szCs w:val="24"/>
        </w:rPr>
      </w:pPr>
      <w:r>
        <w:rPr>
          <w:rFonts w:ascii="宋体" w:hAnsi="宋体" w:cs="宋体"/>
          <w:sz w:val="24"/>
          <w:szCs w:val="24"/>
        </w:rPr>
        <w:t>1.点击立即注册</w:t>
      </w:r>
    </w:p>
    <w:p w14:paraId="220B3757">
      <w:pPr>
        <w:snapToGrid w:val="0"/>
        <w:spacing w:line="312" w:lineRule="auto"/>
        <w:ind w:firstLine="420"/>
      </w:pPr>
      <w:r>
        <w:drawing>
          <wp:inline distT="0" distB="0" distL="114300" distR="114300">
            <wp:extent cx="5764530" cy="2931795"/>
            <wp:effectExtent l="0" t="0" r="1270" b="1905"/>
            <wp:docPr id="15" name="图片 1" descr="descript"/>
            <wp:cNvGraphicFramePr/>
            <a:graphic xmlns:a="http://schemas.openxmlformats.org/drawingml/2006/main">
              <a:graphicData uri="http://schemas.openxmlformats.org/drawingml/2006/picture">
                <pic:pic xmlns:pic="http://schemas.openxmlformats.org/drawingml/2006/picture">
                  <pic:nvPicPr>
                    <pic:cNvPr id="15" name="图片 1" descr="descript"/>
                    <pic:cNvPicPr/>
                  </pic:nvPicPr>
                  <pic:blipFill>
                    <a:blip r:embed="rId15"/>
                    <a:stretch>
                      <a:fillRect/>
                    </a:stretch>
                  </pic:blipFill>
                  <pic:spPr>
                    <a:xfrm>
                      <a:off x="0" y="0"/>
                      <a:ext cx="5764530" cy="2931795"/>
                    </a:xfrm>
                    <a:prstGeom prst="rect">
                      <a:avLst/>
                    </a:prstGeom>
                    <a:noFill/>
                    <a:ln>
                      <a:noFill/>
                    </a:ln>
                  </pic:spPr>
                </pic:pic>
              </a:graphicData>
            </a:graphic>
          </wp:inline>
        </w:drawing>
      </w:r>
    </w:p>
    <w:p w14:paraId="0B8F96B9">
      <w:pPr>
        <w:spacing w:line="360" w:lineRule="auto"/>
        <w:ind w:firstLine="480"/>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CFBC740">
      <w:pPr>
        <w:snapToGrid w:val="0"/>
        <w:spacing w:line="312" w:lineRule="auto"/>
        <w:ind w:firstLine="420"/>
      </w:pPr>
      <w:r>
        <w:drawing>
          <wp:inline distT="0" distB="0" distL="114300" distR="114300">
            <wp:extent cx="5764530" cy="2762885"/>
            <wp:effectExtent l="0" t="0" r="1270" b="5715"/>
            <wp:docPr id="9" name="图片 2" descr="descript"/>
            <wp:cNvGraphicFramePr/>
            <a:graphic xmlns:a="http://schemas.openxmlformats.org/drawingml/2006/main">
              <a:graphicData uri="http://schemas.openxmlformats.org/drawingml/2006/picture">
                <pic:pic xmlns:pic="http://schemas.openxmlformats.org/drawingml/2006/picture">
                  <pic:nvPicPr>
                    <pic:cNvPr id="9" name="图片 2" descr="descript"/>
                    <pic:cNvPicPr/>
                  </pic:nvPicPr>
                  <pic:blipFill>
                    <a:blip r:embed="rId16"/>
                    <a:stretch>
                      <a:fillRect/>
                    </a:stretch>
                  </pic:blipFill>
                  <pic:spPr>
                    <a:xfrm>
                      <a:off x="0" y="0"/>
                      <a:ext cx="5764530" cy="2762885"/>
                    </a:xfrm>
                    <a:prstGeom prst="rect">
                      <a:avLst/>
                    </a:prstGeom>
                    <a:noFill/>
                    <a:ln>
                      <a:noFill/>
                    </a:ln>
                  </pic:spPr>
                </pic:pic>
              </a:graphicData>
            </a:graphic>
          </wp:inline>
        </w:drawing>
      </w:r>
    </w:p>
    <w:p w14:paraId="3117234A">
      <w:pPr>
        <w:spacing w:line="360" w:lineRule="auto"/>
        <w:ind w:firstLine="480"/>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49B67173">
      <w:pPr>
        <w:snapToGrid w:val="0"/>
        <w:spacing w:line="312" w:lineRule="auto"/>
        <w:ind w:firstLine="420"/>
      </w:pPr>
      <w:r>
        <w:drawing>
          <wp:inline distT="0" distB="0" distL="114300" distR="114300">
            <wp:extent cx="5764530" cy="2872105"/>
            <wp:effectExtent l="0" t="0" r="1270" b="10795"/>
            <wp:docPr id="14" name="图片 3" descr="descript"/>
            <wp:cNvGraphicFramePr/>
            <a:graphic xmlns:a="http://schemas.openxmlformats.org/drawingml/2006/main">
              <a:graphicData uri="http://schemas.openxmlformats.org/drawingml/2006/picture">
                <pic:pic xmlns:pic="http://schemas.openxmlformats.org/drawingml/2006/picture">
                  <pic:nvPicPr>
                    <pic:cNvPr id="14" name="图片 3" descr="descript"/>
                    <pic:cNvPicPr/>
                  </pic:nvPicPr>
                  <pic:blipFill>
                    <a:blip r:embed="rId17"/>
                    <a:stretch>
                      <a:fillRect/>
                    </a:stretch>
                  </pic:blipFill>
                  <pic:spPr>
                    <a:xfrm>
                      <a:off x="0" y="0"/>
                      <a:ext cx="5764530" cy="2872105"/>
                    </a:xfrm>
                    <a:prstGeom prst="rect">
                      <a:avLst/>
                    </a:prstGeom>
                    <a:noFill/>
                    <a:ln>
                      <a:noFill/>
                    </a:ln>
                  </pic:spPr>
                </pic:pic>
              </a:graphicData>
            </a:graphic>
          </wp:inline>
        </w:drawing>
      </w:r>
    </w:p>
    <w:p w14:paraId="41416D5A">
      <w:pPr>
        <w:spacing w:line="360" w:lineRule="auto"/>
        <w:ind w:firstLine="480"/>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E108471">
      <w:pPr>
        <w:snapToGrid w:val="0"/>
        <w:spacing w:line="312" w:lineRule="auto"/>
        <w:ind w:firstLine="420"/>
      </w:pPr>
      <w:r>
        <w:drawing>
          <wp:inline distT="0" distB="0" distL="114300" distR="114300">
            <wp:extent cx="5764530" cy="2852420"/>
            <wp:effectExtent l="0" t="0" r="1270" b="5080"/>
            <wp:docPr id="11" name="图片 4" descr="descript"/>
            <wp:cNvGraphicFramePr/>
            <a:graphic xmlns:a="http://schemas.openxmlformats.org/drawingml/2006/main">
              <a:graphicData uri="http://schemas.openxmlformats.org/drawingml/2006/picture">
                <pic:pic xmlns:pic="http://schemas.openxmlformats.org/drawingml/2006/picture">
                  <pic:nvPicPr>
                    <pic:cNvPr id="11" name="图片 4" descr="descript"/>
                    <pic:cNvPicPr/>
                  </pic:nvPicPr>
                  <pic:blipFill>
                    <a:blip r:embed="rId18"/>
                    <a:stretch>
                      <a:fillRect/>
                    </a:stretch>
                  </pic:blipFill>
                  <pic:spPr>
                    <a:xfrm>
                      <a:off x="0" y="0"/>
                      <a:ext cx="5764530" cy="2852420"/>
                    </a:xfrm>
                    <a:prstGeom prst="rect">
                      <a:avLst/>
                    </a:prstGeom>
                    <a:noFill/>
                    <a:ln>
                      <a:noFill/>
                    </a:ln>
                  </pic:spPr>
                </pic:pic>
              </a:graphicData>
            </a:graphic>
          </wp:inline>
        </w:drawing>
      </w:r>
    </w:p>
    <w:p w14:paraId="5ACCF754">
      <w:pPr>
        <w:spacing w:line="360" w:lineRule="auto"/>
        <w:ind w:firstLine="480"/>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4EED84B4">
      <w:pPr>
        <w:ind w:firstLine="420"/>
        <w:rPr>
          <w:rFonts w:ascii="宋体" w:hAnsi="宋体" w:cs="宋体"/>
          <w:color w:val="000000"/>
        </w:rPr>
      </w:pPr>
    </w:p>
    <w:p w14:paraId="62F4E43F">
      <w:pPr>
        <w:ind w:firstLine="420"/>
      </w:pPr>
      <w:r>
        <w:drawing>
          <wp:inline distT="0" distB="0" distL="114300" distR="114300">
            <wp:extent cx="5764530" cy="2813050"/>
            <wp:effectExtent l="0" t="0" r="1270" b="6350"/>
            <wp:docPr id="13" name="图片 5" descr="descript"/>
            <wp:cNvGraphicFramePr/>
            <a:graphic xmlns:a="http://schemas.openxmlformats.org/drawingml/2006/main">
              <a:graphicData uri="http://schemas.openxmlformats.org/drawingml/2006/picture">
                <pic:pic xmlns:pic="http://schemas.openxmlformats.org/drawingml/2006/picture">
                  <pic:nvPicPr>
                    <pic:cNvPr id="13" name="图片 5" descr="descript"/>
                    <pic:cNvPicPr/>
                  </pic:nvPicPr>
                  <pic:blipFill>
                    <a:blip r:embed="rId19"/>
                    <a:stretch>
                      <a:fillRect/>
                    </a:stretch>
                  </pic:blipFill>
                  <pic:spPr>
                    <a:xfrm>
                      <a:off x="0" y="0"/>
                      <a:ext cx="5764530" cy="2813050"/>
                    </a:xfrm>
                    <a:prstGeom prst="rect">
                      <a:avLst/>
                    </a:prstGeom>
                    <a:noFill/>
                    <a:ln>
                      <a:noFill/>
                    </a:ln>
                  </pic:spPr>
                </pic:pic>
              </a:graphicData>
            </a:graphic>
          </wp:inline>
        </w:drawing>
      </w:r>
    </w:p>
    <w:p w14:paraId="1F61803D">
      <w:pPr>
        <w:pStyle w:val="6"/>
        <w:ind w:firstLine="420"/>
        <w:sectPr>
          <w:footerReference r:id="rId12" w:type="first"/>
          <w:footerReference r:id="rId11" w:type="default"/>
          <w:pgSz w:w="11906" w:h="16838"/>
          <w:pgMar w:top="1588" w:right="1418" w:bottom="1134" w:left="1418" w:header="851" w:footer="992" w:gutter="0"/>
          <w:cols w:space="720" w:num="1"/>
          <w:titlePg/>
          <w:docGrid w:type="lines" w:linePitch="312" w:charSpace="0"/>
        </w:sectPr>
      </w:pPr>
      <w:r>
        <w:drawing>
          <wp:inline distT="0" distB="0" distL="114300" distR="114300">
            <wp:extent cx="6470015" cy="3985260"/>
            <wp:effectExtent l="0" t="0" r="6985" b="2540"/>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0"/>
                    <a:stretch>
                      <a:fillRect/>
                    </a:stretch>
                  </pic:blipFill>
                  <pic:spPr>
                    <a:xfrm>
                      <a:off x="0" y="0"/>
                      <a:ext cx="6470015" cy="3985260"/>
                    </a:xfrm>
                    <a:prstGeom prst="rect">
                      <a:avLst/>
                    </a:prstGeom>
                    <a:noFill/>
                    <a:ln>
                      <a:noFill/>
                    </a:ln>
                  </pic:spPr>
                </pic:pic>
              </a:graphicData>
            </a:graphic>
          </wp:inline>
        </w:drawing>
      </w:r>
    </w:p>
    <w:p w14:paraId="64D4E02D">
      <w:pPr>
        <w:pStyle w:val="6"/>
        <w:ind w:firstLine="482"/>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3B5544DB">
      <w:pPr>
        <w:spacing w:line="360" w:lineRule="auto"/>
        <w:ind w:firstLine="480"/>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12"/>
          <w:rFonts w:hint="eastAsia" w:ascii="宋体" w:hAnsi="宋体" w:cs="宋体"/>
          <w:sz w:val="24"/>
          <w:szCs w:val="24"/>
        </w:rPr>
        <w:t>http</w:t>
      </w:r>
      <w:r>
        <w:rPr>
          <w:rStyle w:val="12"/>
          <w:rFonts w:hint="eastAsia" w:ascii="宋体" w:hAnsi="宋体" w:cs="宋体"/>
          <w:sz w:val="24"/>
          <w:szCs w:val="24"/>
          <w:lang w:val="en-US" w:eastAsia="zh-CN"/>
        </w:rPr>
        <w:t>s</w:t>
      </w:r>
      <w:r>
        <w:rPr>
          <w:rStyle w:val="12"/>
          <w:rFonts w:hint="eastAsia" w:ascii="宋体" w:hAnsi="宋体" w:cs="宋体"/>
          <w:sz w:val="24"/>
          <w:szCs w:val="24"/>
        </w:rPr>
        <w:t>://ecaitong.sinotruk.com:8012/</w:t>
      </w:r>
      <w:r>
        <w:rPr>
          <w:rStyle w:val="12"/>
          <w:rFonts w:hint="eastAsia" w:ascii="宋体" w:hAnsi="宋体" w:cs="宋体"/>
          <w:sz w:val="24"/>
          <w:szCs w:val="24"/>
        </w:rPr>
        <w:fldChar w:fldCharType="end"/>
      </w:r>
    </w:p>
    <w:p w14:paraId="4E08C4A5">
      <w:pPr>
        <w:spacing w:line="360" w:lineRule="auto"/>
        <w:ind w:firstLine="480"/>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60312A85">
      <w:pPr>
        <w:spacing w:line="360" w:lineRule="auto"/>
        <w:ind w:firstLine="480"/>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24079584">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1.供应商应标</w:t>
      </w:r>
    </w:p>
    <w:p w14:paraId="11EFA696">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7A1ADFA">
      <w:pPr>
        <w:spacing w:line="360" w:lineRule="auto"/>
        <w:ind w:firstLine="480"/>
        <w:rPr>
          <w:rFonts w:ascii="宋体" w:hAnsi="宋体" w:cs="宋体"/>
          <w:color w:val="000000"/>
          <w:sz w:val="24"/>
          <w:szCs w:val="24"/>
        </w:rPr>
      </w:pPr>
      <w:r>
        <w:rPr>
          <w:rFonts w:ascii="宋体" w:hAnsi="宋体" w:cs="宋体"/>
          <w:color w:val="000000"/>
          <w:sz w:val="24"/>
          <w:szCs w:val="24"/>
        </w:rPr>
        <w:t>点击应标，上传文件之后点击提交。</w:t>
      </w:r>
    </w:p>
    <w:p w14:paraId="1CCE2AC0">
      <w:pPr>
        <w:ind w:firstLine="420"/>
      </w:pPr>
      <w:r>
        <w:drawing>
          <wp:inline distT="0" distB="0" distL="114300" distR="114300">
            <wp:extent cx="5764530" cy="2266315"/>
            <wp:effectExtent l="0" t="0" r="1270" b="6985"/>
            <wp:docPr id="16" name="图片 7" descr="descript"/>
            <wp:cNvGraphicFramePr/>
            <a:graphic xmlns:a="http://schemas.openxmlformats.org/drawingml/2006/main">
              <a:graphicData uri="http://schemas.openxmlformats.org/drawingml/2006/picture">
                <pic:pic xmlns:pic="http://schemas.openxmlformats.org/drawingml/2006/picture">
                  <pic:nvPicPr>
                    <pic:cNvPr id="16" name="图片 7" descr="descript"/>
                    <pic:cNvPicPr/>
                  </pic:nvPicPr>
                  <pic:blipFill>
                    <a:blip r:embed="rId21"/>
                    <a:stretch>
                      <a:fillRect/>
                    </a:stretch>
                  </pic:blipFill>
                  <pic:spPr>
                    <a:xfrm>
                      <a:off x="0" y="0"/>
                      <a:ext cx="5764530" cy="2266315"/>
                    </a:xfrm>
                    <a:prstGeom prst="rect">
                      <a:avLst/>
                    </a:prstGeom>
                    <a:noFill/>
                    <a:ln>
                      <a:noFill/>
                    </a:ln>
                  </pic:spPr>
                </pic:pic>
              </a:graphicData>
            </a:graphic>
          </wp:inline>
        </w:drawing>
      </w:r>
    </w:p>
    <w:p w14:paraId="08B5D0F9">
      <w:pPr>
        <w:ind w:firstLine="420"/>
      </w:pPr>
    </w:p>
    <w:p w14:paraId="6424194D">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2.供应商投标</w:t>
      </w:r>
    </w:p>
    <w:p w14:paraId="5CDB7CB6">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52DF40E8">
      <w:pPr>
        <w:ind w:firstLine="420"/>
        <w:rPr>
          <w:rFonts w:ascii="宋体" w:hAnsi="宋体" w:cs="宋体"/>
          <w:color w:val="000000"/>
        </w:rPr>
      </w:pPr>
      <w:r>
        <w:rPr>
          <w:rFonts w:ascii="宋体" w:hAnsi="宋体" w:cs="宋体"/>
          <w:color w:val="000000"/>
        </w:rPr>
        <w:drawing>
          <wp:inline distT="0" distB="0" distL="114300" distR="114300">
            <wp:extent cx="5764530" cy="2127250"/>
            <wp:effectExtent l="0" t="0" r="1270" b="6350"/>
            <wp:docPr id="17" name="图片 8" descr="descript"/>
            <wp:cNvGraphicFramePr/>
            <a:graphic xmlns:a="http://schemas.openxmlformats.org/drawingml/2006/main">
              <a:graphicData uri="http://schemas.openxmlformats.org/drawingml/2006/picture">
                <pic:pic xmlns:pic="http://schemas.openxmlformats.org/drawingml/2006/picture">
                  <pic:nvPicPr>
                    <pic:cNvPr id="17" name="图片 8" descr="descript"/>
                    <pic:cNvPicPr/>
                  </pic:nvPicPr>
                  <pic:blipFill>
                    <a:blip r:embed="rId22"/>
                    <a:stretch>
                      <a:fillRect/>
                    </a:stretch>
                  </pic:blipFill>
                  <pic:spPr>
                    <a:xfrm>
                      <a:off x="0" y="0"/>
                      <a:ext cx="5764530" cy="2127250"/>
                    </a:xfrm>
                    <a:prstGeom prst="rect">
                      <a:avLst/>
                    </a:prstGeom>
                    <a:noFill/>
                    <a:ln>
                      <a:noFill/>
                    </a:ln>
                  </pic:spPr>
                </pic:pic>
              </a:graphicData>
            </a:graphic>
          </wp:inline>
        </w:drawing>
      </w:r>
    </w:p>
    <w:p w14:paraId="3646DB4E">
      <w:pPr>
        <w:spacing w:line="360" w:lineRule="auto"/>
        <w:ind w:firstLine="480"/>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DE9DEC8">
      <w:pPr>
        <w:ind w:firstLine="422"/>
        <w:rPr>
          <w:b/>
          <w:bCs/>
        </w:rPr>
      </w:pPr>
      <w:r>
        <w:rPr>
          <w:rFonts w:hint="eastAsia"/>
          <w:b/>
          <w:bCs/>
          <w:highlight w:val="yellow"/>
        </w:rPr>
        <w:t>请注意，投标报价单位为万元含税</w:t>
      </w:r>
    </w:p>
    <w:p w14:paraId="1CB6EF66">
      <w:pPr>
        <w:pStyle w:val="2"/>
      </w:pPr>
    </w:p>
    <w:p w14:paraId="635C82A1">
      <w:pPr>
        <w:pStyle w:val="4"/>
        <w:spacing w:line="372" w:lineRule="auto"/>
        <w:ind w:left="425" w:firstLine="562"/>
        <w:rPr>
          <w:rFonts w:ascii="Arial" w:hAnsi="Arial" w:eastAsia="Arial" w:cs="Arial"/>
          <w:color w:val="000000"/>
        </w:rPr>
      </w:pPr>
      <w:r>
        <w:rPr>
          <w:rFonts w:ascii="Arial" w:hAnsi="Arial" w:eastAsia="Arial" w:cs="Arial"/>
          <w:color w:val="000000"/>
        </w:rPr>
        <w:drawing>
          <wp:inline distT="0" distB="0" distL="114300" distR="114300">
            <wp:extent cx="5486400" cy="2673350"/>
            <wp:effectExtent l="0" t="0" r="0" b="6350"/>
            <wp:docPr id="12" name="图片 9" descr="descript"/>
            <wp:cNvGraphicFramePr/>
            <a:graphic xmlns:a="http://schemas.openxmlformats.org/drawingml/2006/main">
              <a:graphicData uri="http://schemas.openxmlformats.org/drawingml/2006/picture">
                <pic:pic xmlns:pic="http://schemas.openxmlformats.org/drawingml/2006/picture">
                  <pic:nvPicPr>
                    <pic:cNvPr id="12" name="图片 9" descr="descript"/>
                    <pic:cNvPicPr/>
                  </pic:nvPicPr>
                  <pic:blipFill>
                    <a:blip r:embed="rId23"/>
                    <a:stretch>
                      <a:fillRect/>
                    </a:stretch>
                  </pic:blipFill>
                  <pic:spPr>
                    <a:xfrm>
                      <a:off x="0" y="0"/>
                      <a:ext cx="5486400" cy="2673350"/>
                    </a:xfrm>
                    <a:prstGeom prst="rect">
                      <a:avLst/>
                    </a:prstGeom>
                    <a:noFill/>
                    <a:ln>
                      <a:noFill/>
                    </a:ln>
                  </pic:spPr>
                </pic:pic>
              </a:graphicData>
            </a:graphic>
          </wp:inline>
        </w:drawing>
      </w:r>
    </w:p>
    <w:p w14:paraId="3D07BA1A">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67B5573">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52CD72FA">
      <w:pPr>
        <w:spacing w:line="360" w:lineRule="auto"/>
        <w:ind w:firstLine="480"/>
        <w:rPr>
          <w:rFonts w:ascii="宋体" w:hAnsi="宋体" w:cs="宋体"/>
          <w:sz w:val="24"/>
          <w:szCs w:val="24"/>
        </w:rPr>
      </w:pPr>
      <w:r>
        <w:rPr>
          <w:rFonts w:ascii="宋体" w:hAnsi="宋体" w:cs="宋体"/>
          <w:color w:val="000000"/>
          <w:sz w:val="24"/>
          <w:szCs w:val="24"/>
        </w:rPr>
        <w:t>点击编辑按钮进入系统，上传技术标澄清函。</w:t>
      </w:r>
    </w:p>
    <w:p w14:paraId="52D31A20">
      <w:pPr>
        <w:spacing w:line="360" w:lineRule="auto"/>
        <w:ind w:firstLine="480"/>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114300" distR="114300">
            <wp:extent cx="5486400" cy="1987550"/>
            <wp:effectExtent l="0" t="0" r="0" b="6350"/>
            <wp:docPr id="18" name="图片 10" descr="descript"/>
            <wp:cNvGraphicFramePr/>
            <a:graphic xmlns:a="http://schemas.openxmlformats.org/drawingml/2006/main">
              <a:graphicData uri="http://schemas.openxmlformats.org/drawingml/2006/picture">
                <pic:pic xmlns:pic="http://schemas.openxmlformats.org/drawingml/2006/picture">
                  <pic:nvPicPr>
                    <pic:cNvPr id="18" name="图片 10" descr="descript"/>
                    <pic:cNvPicPr/>
                  </pic:nvPicPr>
                  <pic:blipFill>
                    <a:blip r:embed="rId24"/>
                    <a:stretch>
                      <a:fillRect/>
                    </a:stretch>
                  </pic:blipFill>
                  <pic:spPr>
                    <a:xfrm>
                      <a:off x="0" y="0"/>
                      <a:ext cx="5486400" cy="1987550"/>
                    </a:xfrm>
                    <a:prstGeom prst="rect">
                      <a:avLst/>
                    </a:prstGeom>
                    <a:noFill/>
                    <a:ln>
                      <a:noFill/>
                    </a:ln>
                  </pic:spPr>
                </pic:pic>
              </a:graphicData>
            </a:graphic>
          </wp:inline>
        </w:drawing>
      </w:r>
    </w:p>
    <w:p w14:paraId="1120A5A7">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4.供应商报价</w:t>
      </w:r>
    </w:p>
    <w:p w14:paraId="66AE4766">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217F9712">
      <w:pPr>
        <w:spacing w:line="360" w:lineRule="auto"/>
        <w:ind w:firstLine="480"/>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46D6196D">
      <w:pPr>
        <w:ind w:firstLine="422"/>
        <w:rPr>
          <w:b/>
          <w:bCs/>
        </w:rPr>
      </w:pPr>
      <w:r>
        <w:rPr>
          <w:rFonts w:hint="eastAsia"/>
          <w:b/>
          <w:bCs/>
          <w:highlight w:val="yellow"/>
        </w:rPr>
        <w:t>请注意，报价单位为万元含税</w:t>
      </w:r>
    </w:p>
    <w:p w14:paraId="06AFDF9C">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5.供应商澄清报价</w:t>
      </w:r>
    </w:p>
    <w:p w14:paraId="0EE126C3">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9FCB194">
      <w:pPr>
        <w:spacing w:line="360" w:lineRule="auto"/>
        <w:ind w:firstLine="480"/>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45E8E70">
      <w:pPr>
        <w:pStyle w:val="4"/>
        <w:spacing w:line="372" w:lineRule="auto"/>
        <w:ind w:left="425" w:firstLine="562"/>
        <w:rPr>
          <w:rFonts w:ascii="Arial" w:hAnsi="Arial" w:eastAsia="Arial" w:cs="Arial"/>
          <w:color w:val="000000"/>
        </w:rPr>
      </w:pPr>
      <w:r>
        <w:rPr>
          <w:rFonts w:ascii="Arial" w:hAnsi="Arial" w:eastAsia="Arial" w:cs="Arial"/>
          <w:color w:val="000000"/>
        </w:rPr>
        <w:drawing>
          <wp:inline distT="0" distB="0" distL="114300" distR="114300">
            <wp:extent cx="5486400" cy="2544445"/>
            <wp:effectExtent l="0" t="0" r="0" b="8255"/>
            <wp:docPr id="19" name="图片 11" descr="descript"/>
            <wp:cNvGraphicFramePr/>
            <a:graphic xmlns:a="http://schemas.openxmlformats.org/drawingml/2006/main">
              <a:graphicData uri="http://schemas.openxmlformats.org/drawingml/2006/picture">
                <pic:pic xmlns:pic="http://schemas.openxmlformats.org/drawingml/2006/picture">
                  <pic:nvPicPr>
                    <pic:cNvPr id="19" name="图片 11" descr="descript"/>
                    <pic:cNvPicPr/>
                  </pic:nvPicPr>
                  <pic:blipFill>
                    <a:blip r:embed="rId25"/>
                    <a:stretch>
                      <a:fillRect/>
                    </a:stretch>
                  </pic:blipFill>
                  <pic:spPr>
                    <a:xfrm>
                      <a:off x="0" y="0"/>
                      <a:ext cx="5486400" cy="2544445"/>
                    </a:xfrm>
                    <a:prstGeom prst="rect">
                      <a:avLst/>
                    </a:prstGeom>
                    <a:noFill/>
                    <a:ln>
                      <a:noFill/>
                    </a:ln>
                  </pic:spPr>
                </pic:pic>
              </a:graphicData>
            </a:graphic>
          </wp:inline>
        </w:drawing>
      </w:r>
    </w:p>
    <w:p w14:paraId="28986D40">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149736B">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8CD183E">
      <w:pPr>
        <w:spacing w:line="360" w:lineRule="auto"/>
        <w:ind w:firstLine="480"/>
        <w:rPr>
          <w:rFonts w:ascii="宋体" w:hAnsi="宋体" w:cs="宋体"/>
          <w:sz w:val="24"/>
          <w:szCs w:val="24"/>
        </w:rPr>
      </w:pPr>
      <w:r>
        <w:rPr>
          <w:rFonts w:ascii="宋体" w:hAnsi="宋体" w:cs="宋体"/>
          <w:color w:val="000000"/>
          <w:sz w:val="24"/>
          <w:szCs w:val="24"/>
        </w:rPr>
        <w:t>点击查看进入查看中标项目详情</w:t>
      </w:r>
    </w:p>
    <w:p w14:paraId="11376A36">
      <w:pPr>
        <w:ind w:firstLine="420"/>
      </w:pPr>
      <w:r>
        <w:drawing>
          <wp:inline distT="0" distB="0" distL="114300" distR="114300">
            <wp:extent cx="5764530" cy="1957705"/>
            <wp:effectExtent l="0" t="0" r="1270" b="10795"/>
            <wp:docPr id="8" name="图片 12" descr="descript"/>
            <wp:cNvGraphicFramePr/>
            <a:graphic xmlns:a="http://schemas.openxmlformats.org/drawingml/2006/main">
              <a:graphicData uri="http://schemas.openxmlformats.org/drawingml/2006/picture">
                <pic:pic xmlns:pic="http://schemas.openxmlformats.org/drawingml/2006/picture">
                  <pic:nvPicPr>
                    <pic:cNvPr id="8" name="图片 12" descr="descript"/>
                    <pic:cNvPicPr/>
                  </pic:nvPicPr>
                  <pic:blipFill>
                    <a:blip r:embed="rId26"/>
                    <a:stretch>
                      <a:fillRect/>
                    </a:stretch>
                  </pic:blipFill>
                  <pic:spPr>
                    <a:xfrm>
                      <a:off x="0" y="0"/>
                      <a:ext cx="5764530" cy="1957705"/>
                    </a:xfrm>
                    <a:prstGeom prst="rect">
                      <a:avLst/>
                    </a:prstGeom>
                    <a:noFill/>
                    <a:ln>
                      <a:noFill/>
                    </a:ln>
                  </pic:spPr>
                </pic:pic>
              </a:graphicData>
            </a:graphic>
          </wp:inline>
        </w:drawing>
      </w:r>
    </w:p>
    <w:p w14:paraId="28E29220">
      <w:pPr>
        <w:pStyle w:val="4"/>
        <w:ind w:firstLine="560"/>
      </w:pPr>
      <w:r>
        <w:rPr>
          <w:rFonts w:hint="eastAsia"/>
        </w:rPr>
        <w:t>7、评标纪律</w:t>
      </w:r>
    </w:p>
    <w:p w14:paraId="523EC9B9">
      <w:pPr>
        <w:ind w:firstLine="420"/>
      </w:pPr>
      <w:r>
        <w:t>路径：招投标中心-非生产类招投标-</w:t>
      </w:r>
      <w:r>
        <w:rPr>
          <w:rFonts w:hint="eastAsia"/>
        </w:rPr>
        <w:t>供应商投标</w:t>
      </w:r>
    </w:p>
    <w:p w14:paraId="7042B745">
      <w:pPr>
        <w:ind w:firstLine="420"/>
      </w:pPr>
    </w:p>
    <w:p w14:paraId="5F45C5CC">
      <w:pPr>
        <w:ind w:firstLine="420"/>
      </w:pPr>
      <w:r>
        <w:rPr>
          <w:rFonts w:hint="eastAsia"/>
        </w:rPr>
        <w:t>供应商投标时会弹窗展示评标纪律，要求供应商勾选我已阅知并保证遵守评标记录之后点击确定按钮进入投标界面。</w:t>
      </w:r>
    </w:p>
    <w:p w14:paraId="5E2817D2">
      <w:pPr>
        <w:ind w:firstLine="420"/>
      </w:pPr>
      <w:r>
        <w:drawing>
          <wp:inline distT="0" distB="0" distL="114300" distR="114300">
            <wp:extent cx="5274310" cy="5763895"/>
            <wp:effectExtent l="0" t="0" r="8890" b="1905"/>
            <wp:docPr id="10"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图形用户界面, 文本, 应用程序&#10;&#10;描述已自动生成"/>
                    <pic:cNvPicPr>
                      <a:picLocks noChangeAspect="1"/>
                    </pic:cNvPicPr>
                  </pic:nvPicPr>
                  <pic:blipFill>
                    <a:blip r:embed="rId27"/>
                    <a:stretch>
                      <a:fillRect/>
                    </a:stretch>
                  </pic:blipFill>
                  <pic:spPr>
                    <a:xfrm>
                      <a:off x="0" y="0"/>
                      <a:ext cx="5274310" cy="5763895"/>
                    </a:xfrm>
                    <a:prstGeom prst="rect">
                      <a:avLst/>
                    </a:prstGeom>
                    <a:noFill/>
                    <a:ln>
                      <a:noFill/>
                    </a:ln>
                  </pic:spPr>
                </pic:pic>
              </a:graphicData>
            </a:graphic>
          </wp:inline>
        </w:drawing>
      </w:r>
    </w:p>
    <w:p w14:paraId="2A66FFEC">
      <w:pPr>
        <w:pStyle w:val="2"/>
        <w:ind w:left="0" w:leftChars="0"/>
      </w:pPr>
    </w:p>
    <w:p w14:paraId="70D6AA38">
      <w:pPr>
        <w:ind w:firstLine="420"/>
      </w:pPr>
    </w:p>
    <w:p w14:paraId="15456679">
      <w:pPr>
        <w:pStyle w:val="6"/>
        <w:spacing w:line="360" w:lineRule="auto"/>
        <w:ind w:firstLine="420"/>
        <w:rPr>
          <w:bCs/>
        </w:rPr>
      </w:pPr>
    </w:p>
    <w:p w14:paraId="02562B59">
      <w:pPr>
        <w:pStyle w:val="6"/>
        <w:spacing w:line="360" w:lineRule="auto"/>
        <w:ind w:firstLine="420"/>
        <w:rPr>
          <w:bCs/>
        </w:rPr>
      </w:pPr>
    </w:p>
    <w:p w14:paraId="38FD0725">
      <w:pPr>
        <w:pStyle w:val="6"/>
        <w:spacing w:line="360" w:lineRule="auto"/>
        <w:ind w:firstLine="420"/>
        <w:rPr>
          <w:bCs/>
        </w:rPr>
      </w:pPr>
    </w:p>
    <w:p w14:paraId="0B0D42BE">
      <w:pPr>
        <w:pStyle w:val="6"/>
        <w:spacing w:line="360" w:lineRule="auto"/>
        <w:ind w:firstLine="420"/>
        <w:rPr>
          <w:bCs/>
        </w:rPr>
      </w:pPr>
    </w:p>
    <w:p w14:paraId="3EA44B63">
      <w:pPr>
        <w:pStyle w:val="6"/>
        <w:spacing w:line="360" w:lineRule="auto"/>
        <w:ind w:firstLine="420"/>
        <w:rPr>
          <w:bCs/>
        </w:rPr>
      </w:pPr>
    </w:p>
    <w:p w14:paraId="115B1C30">
      <w:pPr>
        <w:ind w:firstLine="420"/>
      </w:pPr>
    </w:p>
    <w:p w14:paraId="7040417C">
      <w:pPr>
        <w:pStyle w:val="5"/>
        <w:ind w:firstLine="42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A100E">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9B6ED">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F70AF">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B354B">
    <w:pPr>
      <w:pStyle w:val="8"/>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175DB">
                          <w:pPr>
                            <w:pStyle w:val="8"/>
                            <w:ind w:firstLine="360"/>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B6175DB">
                    <w:pPr>
                      <w:pStyle w:val="8"/>
                      <w:ind w:firstLine="360"/>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E2739">
    <w:pPr>
      <w:pStyle w:val="8"/>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39FBF">
                          <w:pPr>
                            <w:pStyle w:val="8"/>
                            <w:ind w:firstLine="360"/>
                            <w:jc w:val="center"/>
                          </w:pPr>
                          <w:r>
                            <w:rPr>
                              <w:rFonts w:hint="eastAsia"/>
                            </w:rPr>
                            <w:t xml:space="preserve">第 </w:t>
                          </w:r>
                          <w:r>
                            <w:fldChar w:fldCharType="begin"/>
                          </w:r>
                          <w:r>
                            <w:instrText xml:space="preserve">PAGE   \* MERGEFORMAT</w:instrText>
                          </w:r>
                          <w:r>
                            <w:fldChar w:fldCharType="separate"/>
                          </w:r>
                          <w:r>
                            <w:rPr>
                              <w:lang w:val="zh-CN"/>
                            </w:rPr>
                            <w:t>13</w:t>
                          </w:r>
                          <w:r>
                            <w:fldChar w:fldCharType="end"/>
                          </w:r>
                          <w:r>
                            <w:t xml:space="preserve"> </w:t>
                          </w:r>
                          <w:r>
                            <w:rPr>
                              <w:rFonts w:hint="eastAsia"/>
                            </w:rPr>
                            <w:t xml:space="preserve">页,共 </w:t>
                          </w:r>
                          <w:r>
                            <w:t xml:space="preserve">43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D39FBF">
                    <w:pPr>
                      <w:pStyle w:val="8"/>
                      <w:ind w:firstLine="360"/>
                      <w:jc w:val="center"/>
                    </w:pPr>
                    <w:r>
                      <w:rPr>
                        <w:rFonts w:hint="eastAsia"/>
                      </w:rPr>
                      <w:t xml:space="preserve">第 </w:t>
                    </w:r>
                    <w:r>
                      <w:fldChar w:fldCharType="begin"/>
                    </w:r>
                    <w:r>
                      <w:instrText xml:space="preserve">PAGE   \* MERGEFORMAT</w:instrText>
                    </w:r>
                    <w:r>
                      <w:fldChar w:fldCharType="separate"/>
                    </w:r>
                    <w:r>
                      <w:rPr>
                        <w:lang w:val="zh-CN"/>
                      </w:rPr>
                      <w:t>13</w:t>
                    </w:r>
                    <w:r>
                      <w:fldChar w:fldCharType="end"/>
                    </w:r>
                    <w:r>
                      <w:t xml:space="preserve"> </w:t>
                    </w:r>
                    <w:r>
                      <w:rPr>
                        <w:rFonts w:hint="eastAsia"/>
                      </w:rPr>
                      <w:t xml:space="preserve">页,共 </w:t>
                    </w:r>
                    <w:r>
                      <w:t xml:space="preserve">43 </w:t>
                    </w:r>
                    <w:r>
                      <w:rPr>
                        <w:rFonts w:hint="eastAsia"/>
                      </w:rPr>
                      <w:t>页</w:t>
                    </w:r>
                  </w:p>
                </w:txbxContent>
              </v:textbox>
            </v:shape>
          </w:pict>
        </mc:Fallback>
      </mc:AlternateContent>
    </w:r>
  </w:p>
  <w:p w14:paraId="24A21248">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17BB0">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112BE">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E40A4">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yZGJjYjBiYTkzNWRmNTgwMDRjZTY2YjMwZWMyYTYifQ=="/>
    <w:docVar w:name="KSO_WPS_MARK_KEY" w:val="ac9e81f1-5625-4d19-b746-0fd65e388004"/>
  </w:docVars>
  <w:rsids>
    <w:rsidRoot w:val="00B428A3"/>
    <w:rsid w:val="00025E5E"/>
    <w:rsid w:val="00033909"/>
    <w:rsid w:val="000611BE"/>
    <w:rsid w:val="00091F68"/>
    <w:rsid w:val="000B3FCD"/>
    <w:rsid w:val="00114001"/>
    <w:rsid w:val="0014614D"/>
    <w:rsid w:val="001A38CA"/>
    <w:rsid w:val="001D409B"/>
    <w:rsid w:val="00211D49"/>
    <w:rsid w:val="002B3276"/>
    <w:rsid w:val="002B6149"/>
    <w:rsid w:val="002C29E9"/>
    <w:rsid w:val="002F18B4"/>
    <w:rsid w:val="00385AB3"/>
    <w:rsid w:val="003A5BF1"/>
    <w:rsid w:val="00460E77"/>
    <w:rsid w:val="005028BC"/>
    <w:rsid w:val="00543F3E"/>
    <w:rsid w:val="00551C72"/>
    <w:rsid w:val="00625A86"/>
    <w:rsid w:val="0066323D"/>
    <w:rsid w:val="00675700"/>
    <w:rsid w:val="00676BF7"/>
    <w:rsid w:val="00686452"/>
    <w:rsid w:val="006B4B70"/>
    <w:rsid w:val="006C2AE7"/>
    <w:rsid w:val="006C3B18"/>
    <w:rsid w:val="006C6DC9"/>
    <w:rsid w:val="006D049B"/>
    <w:rsid w:val="006E6354"/>
    <w:rsid w:val="006F4BF9"/>
    <w:rsid w:val="0074796D"/>
    <w:rsid w:val="007818F3"/>
    <w:rsid w:val="00816C55"/>
    <w:rsid w:val="00832276"/>
    <w:rsid w:val="00842E91"/>
    <w:rsid w:val="00861397"/>
    <w:rsid w:val="008856E6"/>
    <w:rsid w:val="008B39FB"/>
    <w:rsid w:val="008B6B98"/>
    <w:rsid w:val="008F0D13"/>
    <w:rsid w:val="00920D74"/>
    <w:rsid w:val="0096600E"/>
    <w:rsid w:val="009F2030"/>
    <w:rsid w:val="00A14107"/>
    <w:rsid w:val="00A46881"/>
    <w:rsid w:val="00A62994"/>
    <w:rsid w:val="00A90F5C"/>
    <w:rsid w:val="00A91A31"/>
    <w:rsid w:val="00B226B6"/>
    <w:rsid w:val="00B428A3"/>
    <w:rsid w:val="00B64A42"/>
    <w:rsid w:val="00BE09CA"/>
    <w:rsid w:val="00BF64A4"/>
    <w:rsid w:val="00C23A8C"/>
    <w:rsid w:val="00CD1DD5"/>
    <w:rsid w:val="00CF00A1"/>
    <w:rsid w:val="00D05FA6"/>
    <w:rsid w:val="00D17DB4"/>
    <w:rsid w:val="00D20105"/>
    <w:rsid w:val="00DA013F"/>
    <w:rsid w:val="00DB116B"/>
    <w:rsid w:val="00E136CA"/>
    <w:rsid w:val="00E852A2"/>
    <w:rsid w:val="00EC029A"/>
    <w:rsid w:val="00ED22CD"/>
    <w:rsid w:val="00F00CA8"/>
    <w:rsid w:val="00F51265"/>
    <w:rsid w:val="00F65E19"/>
    <w:rsid w:val="00FD16A9"/>
    <w:rsid w:val="02AE0B1F"/>
    <w:rsid w:val="03F359AA"/>
    <w:rsid w:val="054364BD"/>
    <w:rsid w:val="0AFE36E2"/>
    <w:rsid w:val="13CC254D"/>
    <w:rsid w:val="196071E6"/>
    <w:rsid w:val="1B3845F6"/>
    <w:rsid w:val="1C435B53"/>
    <w:rsid w:val="1D2F1C04"/>
    <w:rsid w:val="1D8611E5"/>
    <w:rsid w:val="1F152820"/>
    <w:rsid w:val="24E46F1D"/>
    <w:rsid w:val="29676FB4"/>
    <w:rsid w:val="2E111FB7"/>
    <w:rsid w:val="33F82B82"/>
    <w:rsid w:val="34A42225"/>
    <w:rsid w:val="369938DF"/>
    <w:rsid w:val="40F732A4"/>
    <w:rsid w:val="414D154E"/>
    <w:rsid w:val="46565349"/>
    <w:rsid w:val="46CB1893"/>
    <w:rsid w:val="50642410"/>
    <w:rsid w:val="5321545D"/>
    <w:rsid w:val="54BE2A37"/>
    <w:rsid w:val="57802226"/>
    <w:rsid w:val="5A433718"/>
    <w:rsid w:val="5C2E04A2"/>
    <w:rsid w:val="5E693A13"/>
    <w:rsid w:val="61F74CB9"/>
    <w:rsid w:val="65CE6852"/>
    <w:rsid w:val="683E7FD0"/>
    <w:rsid w:val="6DE1776A"/>
    <w:rsid w:val="6DFA4688"/>
    <w:rsid w:val="6E13258C"/>
    <w:rsid w:val="75640639"/>
    <w:rsid w:val="75D02172"/>
    <w:rsid w:val="75ED4AD2"/>
    <w:rsid w:val="773D1A6B"/>
    <w:rsid w:val="7D9A2159"/>
    <w:rsid w:val="7F7B3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200" w:firstLineChars="200"/>
      <w:jc w:val="both"/>
    </w:pPr>
    <w:rPr>
      <w:rFonts w:ascii="Calibri" w:hAnsi="Calibri" w:eastAsia="宋体" w:cs="Times New Roman"/>
      <w:kern w:val="2"/>
      <w:sz w:val="21"/>
      <w:szCs w:val="21"/>
      <w:lang w:val="en-US" w:eastAsia="zh-CN" w:bidi="ar-SA"/>
    </w:rPr>
  </w:style>
  <w:style w:type="paragraph" w:styleId="4">
    <w:name w:val="heading 4"/>
    <w:basedOn w:val="1"/>
    <w:next w:val="1"/>
    <w:unhideWhenUsed/>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unhideWhenUsed/>
    <w:qFormat/>
    <w:uiPriority w:val="99"/>
    <w:pPr>
      <w:spacing w:after="120"/>
      <w:ind w:left="420" w:leftChars="200"/>
    </w:pPr>
    <w:rPr>
      <w:szCs w:val="22"/>
    </w:rPr>
  </w:style>
  <w:style w:type="paragraph" w:styleId="5">
    <w:name w:val="Body Text"/>
    <w:basedOn w:val="1"/>
    <w:link w:val="13"/>
    <w:unhideWhenUsed/>
    <w:qFormat/>
    <w:uiPriority w:val="99"/>
    <w:pPr>
      <w:spacing w:after="120"/>
    </w:pPr>
  </w:style>
  <w:style w:type="paragraph" w:styleId="6">
    <w:name w:val="Plain Text"/>
    <w:basedOn w:val="1"/>
    <w:link w:val="15"/>
    <w:qFormat/>
    <w:uiPriority w:val="0"/>
    <w:rPr>
      <w:rFonts w:ascii="宋体" w:hAnsi="Courier New"/>
      <w:szCs w:val="20"/>
    </w:rPr>
  </w:style>
  <w:style w:type="paragraph" w:styleId="7">
    <w:name w:val="Date"/>
    <w:basedOn w:val="1"/>
    <w:next w:val="1"/>
    <w:link w:val="16"/>
    <w:semiHidden/>
    <w:unhideWhenUsed/>
    <w:qFormat/>
    <w:uiPriority w:val="99"/>
    <w:pPr>
      <w:ind w:left="100" w:leftChars="2500"/>
    </w:p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Hyperlink"/>
    <w:semiHidden/>
    <w:qFormat/>
    <w:uiPriority w:val="99"/>
    <w:rPr>
      <w:rFonts w:cs="Times New Roman"/>
      <w:color w:val="1F4F88"/>
      <w:u w:val="none"/>
    </w:rPr>
  </w:style>
  <w:style w:type="character" w:customStyle="1" w:styleId="13">
    <w:name w:val="正文文本 字符"/>
    <w:basedOn w:val="11"/>
    <w:link w:val="5"/>
    <w:qFormat/>
    <w:uiPriority w:val="99"/>
    <w:rPr>
      <w:rFonts w:ascii="Calibri" w:hAnsi="Calibri" w:eastAsia="宋体" w:cs="Times New Roman"/>
      <w:szCs w:val="21"/>
    </w:rPr>
  </w:style>
  <w:style w:type="character" w:customStyle="1" w:styleId="14">
    <w:name w:val="纯文本 Char"/>
    <w:basedOn w:val="11"/>
    <w:qFormat/>
    <w:uiPriority w:val="0"/>
    <w:rPr>
      <w:rFonts w:ascii="宋体" w:hAnsi="Courier New" w:eastAsia="宋体" w:cs="Courier New"/>
      <w:szCs w:val="21"/>
    </w:rPr>
  </w:style>
  <w:style w:type="character" w:customStyle="1" w:styleId="15">
    <w:name w:val="纯文本 字符"/>
    <w:link w:val="6"/>
    <w:qFormat/>
    <w:uiPriority w:val="0"/>
    <w:rPr>
      <w:rFonts w:ascii="宋体" w:hAnsi="Courier New" w:eastAsia="宋体" w:cs="Times New Roman"/>
      <w:szCs w:val="20"/>
    </w:rPr>
  </w:style>
  <w:style w:type="character" w:customStyle="1" w:styleId="16">
    <w:name w:val="日期 字符"/>
    <w:basedOn w:val="11"/>
    <w:link w:val="7"/>
    <w:semiHidden/>
    <w:qFormat/>
    <w:uiPriority w:val="99"/>
    <w:rPr>
      <w:rFonts w:ascii="Calibri" w:hAnsi="Calibri" w:eastAsia="宋体" w:cs="Times New Roman"/>
      <w:szCs w:val="21"/>
    </w:rPr>
  </w:style>
  <w:style w:type="paragraph" w:customStyle="1" w:styleId="17">
    <w:name w:val="标书表格"/>
    <w:basedOn w:val="1"/>
    <w:qFormat/>
    <w:uiPriority w:val="0"/>
    <w:pPr>
      <w:jc w:val="center"/>
    </w:pPr>
    <w:rPr>
      <w:rFonts w:ascii="Times New Roman" w:hAnsi="Times New Roman"/>
      <w:b/>
      <w:szCs w:val="20"/>
    </w:rPr>
  </w:style>
  <w:style w:type="character" w:customStyle="1" w:styleId="18">
    <w:name w:val="页眉 字符"/>
    <w:basedOn w:val="11"/>
    <w:link w:val="9"/>
    <w:qFormat/>
    <w:uiPriority w:val="99"/>
    <w:rPr>
      <w:rFonts w:ascii="Calibri" w:hAnsi="Calibri" w:eastAsia="宋体" w:cs="Times New Roman"/>
      <w:sz w:val="18"/>
      <w:szCs w:val="18"/>
    </w:rPr>
  </w:style>
  <w:style w:type="character" w:customStyle="1" w:styleId="19">
    <w:name w:val="页脚 字符"/>
    <w:basedOn w:val="11"/>
    <w:link w:val="8"/>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22</Pages>
  <Words>1215</Words>
  <Characters>6929</Characters>
  <Lines>57</Lines>
  <Paragraphs>16</Paragraphs>
  <TotalTime>82</TotalTime>
  <ScaleCrop>false</ScaleCrop>
  <LinksUpToDate>false</LinksUpToDate>
  <CharactersWithSpaces>8128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2022-11-28T00:44:00Z</dcterms:created>
  <dc:creator>王正义</dc:creator>
  <cp:lastModifiedBy>fengwu</cp:lastModifiedBy>
  <dcterms:modified xsi:type="dcterms:W3CDTF">2025-05-12T05:32:14Z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206A2F55F6144D958A66212AE467A8C1</vt:lpwstr>
  </property>
</Properties>
</file>