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E87D2F">
      <w:pPr>
        <w:spacing w:line="276" w:lineRule="auto"/>
        <w:jc w:val="center"/>
        <w:rPr>
          <w:rFonts w:ascii="Calibri" w:hAnsi="宋体" w:eastAsia="宋体" w:cs="Times New Roman"/>
          <w:b/>
          <w:bCs/>
          <w:color w:val="000000"/>
          <w:spacing w:val="-8"/>
          <w:sz w:val="48"/>
          <w:szCs w:val="44"/>
        </w:rPr>
      </w:pPr>
      <w:bookmarkStart w:id="0" w:name="OLE_LINK30"/>
      <w:bookmarkStart w:id="1" w:name="OLE_LINK31"/>
      <w:r>
        <w:rPr>
          <w:rFonts w:hint="eastAsia" w:ascii="Calibri" w:hAnsi="宋体" w:eastAsia="宋体" w:cs="Times New Roman"/>
          <w:b/>
          <w:bCs/>
          <w:color w:val="000000"/>
          <w:spacing w:val="-8"/>
          <w:sz w:val="48"/>
          <w:szCs w:val="44"/>
        </w:rPr>
        <w:t>中国重汽集团济南动力有限公司</w:t>
      </w:r>
    </w:p>
    <w:p w14:paraId="7759CB56">
      <w:pPr>
        <w:spacing w:line="276" w:lineRule="auto"/>
        <w:jc w:val="center"/>
        <w:rPr>
          <w:rFonts w:hint="eastAsia" w:ascii="Calibri" w:hAnsi="宋体" w:eastAsia="宋体" w:cs="Times New Roman"/>
          <w:b/>
          <w:bCs/>
          <w:spacing w:val="-8"/>
          <w:sz w:val="48"/>
          <w:szCs w:val="44"/>
          <w:lang w:eastAsia="zh-CN"/>
        </w:rPr>
      </w:pPr>
      <w:r>
        <w:rPr>
          <w:rFonts w:hint="eastAsia" w:ascii="Calibri" w:hAnsi="宋体" w:eastAsia="宋体" w:cs="Times New Roman"/>
          <w:b/>
          <w:bCs/>
          <w:color w:val="000000"/>
          <w:spacing w:val="-8"/>
          <w:sz w:val="48"/>
          <w:szCs w:val="44"/>
          <w:lang w:eastAsia="zh-CN"/>
        </w:rPr>
        <w:t>AMT变速箱疲劳寿命试验台项目</w:t>
      </w:r>
    </w:p>
    <w:p w14:paraId="07FD260A">
      <w:pPr>
        <w:spacing w:line="276" w:lineRule="auto"/>
        <w:jc w:val="center"/>
        <w:rPr>
          <w:rFonts w:ascii="Calibri" w:hAnsi="Calibri" w:eastAsia="宋体" w:cs="Times New Roman"/>
          <w:b/>
          <w:bCs/>
          <w:spacing w:val="-8"/>
          <w:sz w:val="48"/>
          <w:szCs w:val="44"/>
        </w:rPr>
      </w:pP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14:paraId="0612C694">
      <w:pPr>
        <w:jc w:val="center"/>
        <w:rPr>
          <w:rFonts w:ascii="Calibri" w:hAnsi="Calibri" w:eastAsia="宋体" w:cs="Times New Roman"/>
          <w:color w:val="000000"/>
          <w:sz w:val="28"/>
          <w:szCs w:val="28"/>
        </w:rPr>
      </w:pPr>
    </w:p>
    <w:p w14:paraId="2C51458E">
      <w:pPr>
        <w:pStyle w:val="17"/>
        <w:jc w:val="center"/>
      </w:pPr>
    </w:p>
    <w:p w14:paraId="48F3FE04">
      <w:pPr>
        <w:jc w:val="center"/>
        <w:rPr>
          <w:rFonts w:ascii="Calibri" w:hAnsi="Calibri" w:eastAsia="宋体" w:cs="Times New Roman"/>
          <w:color w:val="000000"/>
          <w:sz w:val="28"/>
          <w:szCs w:val="28"/>
        </w:rPr>
      </w:pPr>
    </w:p>
    <w:p w14:paraId="40AB830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B607074">
      <w:pPr>
        <w:jc w:val="center"/>
        <w:rPr>
          <w:rFonts w:ascii="黑体" w:hAnsi="宋体" w:eastAsia="黑体" w:cs="Times New Roman"/>
          <w:color w:val="000000"/>
          <w:sz w:val="72"/>
          <w:szCs w:val="72"/>
        </w:rPr>
      </w:pPr>
    </w:p>
    <w:p w14:paraId="3D03887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F13CE2">
      <w:pPr>
        <w:jc w:val="center"/>
        <w:rPr>
          <w:rFonts w:ascii="黑体" w:hAnsi="宋体" w:eastAsia="黑体" w:cs="Times New Roman"/>
          <w:color w:val="000000"/>
          <w:sz w:val="72"/>
          <w:szCs w:val="72"/>
        </w:rPr>
      </w:pPr>
    </w:p>
    <w:p w14:paraId="73409DC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D7221E8">
      <w:pPr>
        <w:pStyle w:val="17"/>
        <w:jc w:val="center"/>
        <w:rPr>
          <w:rFonts w:ascii="黑体" w:hAnsi="宋体" w:eastAsia="黑体" w:cs="Times New Roman"/>
          <w:color w:val="000000"/>
          <w:sz w:val="72"/>
          <w:szCs w:val="72"/>
        </w:rPr>
      </w:pPr>
    </w:p>
    <w:p w14:paraId="61893365">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6CBC6385">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14:paraId="06B13DA3">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32A27838">
      <w:pPr>
        <w:pStyle w:val="17"/>
        <w:jc w:val="center"/>
        <w:rPr>
          <w:b/>
          <w:bCs/>
        </w:rPr>
      </w:pPr>
    </w:p>
    <w:p w14:paraId="09FB80B9">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0B80A4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14:paraId="3AE4372A">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rPr>
        <w:id w:val="147459055"/>
        <w15:color w:val="DBDBDB"/>
        <w:docPartObj>
          <w:docPartGallery w:val="Table of Contents"/>
          <w:docPartUnique/>
        </w:docPartObj>
      </w:sdtPr>
      <w:sdtEndPr>
        <w:rPr>
          <w:rFonts w:hint="eastAsia" w:ascii="Calibri" w:hAnsi="Calibri" w:eastAsia="宋体" w:cs="Times New Roman"/>
          <w:b/>
          <w:bCs/>
          <w:color w:val="auto"/>
          <w:kern w:val="44"/>
          <w:sz w:val="21"/>
          <w:szCs w:val="44"/>
        </w:rPr>
      </w:sdtEndPr>
      <w:sdtContent>
        <w:p w14:paraId="5D46B93A">
          <w:pPr>
            <w:spacing w:line="480" w:lineRule="auto"/>
            <w:jc w:val="center"/>
            <w:rPr>
              <w:rFonts w:cs="宋体"/>
              <w:b/>
              <w:bCs/>
              <w:color w:val="auto"/>
              <w:sz w:val="48"/>
              <w:szCs w:val="48"/>
            </w:rPr>
          </w:pPr>
          <w:r>
            <w:rPr>
              <w:rFonts w:ascii="宋体" w:hAnsi="宋体" w:eastAsia="宋体" w:cs="宋体"/>
              <w:b/>
              <w:bCs/>
              <w:color w:val="auto"/>
              <w:sz w:val="48"/>
              <w:szCs w:val="48"/>
            </w:rPr>
            <w:t>目录</w:t>
          </w:r>
        </w:p>
        <w:p w14:paraId="078BCB4D">
          <w:pPr>
            <w:pStyle w:val="24"/>
            <w:tabs>
              <w:tab w:val="right" w:leader="dot" w:pos="9071"/>
            </w:tabs>
            <w:rPr>
              <w:rFonts w:hint="eastAsia"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_Toc28281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3</w:t>
          </w:r>
          <w:r>
            <w:rPr>
              <w:rFonts w:hint="eastAsia" w:ascii="黑体" w:hAnsi="黑体" w:eastAsia="黑体" w:cs="黑体"/>
              <w:bCs/>
              <w:color w:val="auto"/>
              <w:kern w:val="44"/>
              <w:sz w:val="28"/>
              <w:szCs w:val="56"/>
            </w:rPr>
            <w:fldChar w:fldCharType="end"/>
          </w:r>
        </w:p>
        <w:p w14:paraId="482B4993">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_Toc29337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9</w:t>
          </w:r>
          <w:r>
            <w:rPr>
              <w:rFonts w:hint="eastAsia" w:ascii="黑体" w:hAnsi="黑体" w:eastAsia="黑体" w:cs="黑体"/>
              <w:bCs/>
              <w:color w:val="auto"/>
              <w:kern w:val="44"/>
              <w:sz w:val="28"/>
              <w:szCs w:val="56"/>
            </w:rPr>
            <w:fldChar w:fldCharType="end"/>
          </w:r>
        </w:p>
        <w:p w14:paraId="20BA0BE7">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1</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w:t>
          </w:r>
        </w:p>
        <w:p w14:paraId="2BAAE52D">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_Toc20786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1</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8</w:t>
          </w:r>
        </w:p>
        <w:p w14:paraId="1EE7C7CF">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_Toc24206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1</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9</w:t>
          </w:r>
        </w:p>
        <w:p w14:paraId="775167D4">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_Toc11315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2</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14:paraId="7C8BEFD4">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_Toc20295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52</w:t>
          </w:r>
        </w:p>
        <w:p w14:paraId="5DF10ACC">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_Toc14961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58</w:t>
          </w:r>
        </w:p>
        <w:p w14:paraId="531537F3">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_Toc21107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61</w:t>
          </w:r>
        </w:p>
        <w:p w14:paraId="034FC3F3">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_Toc14818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65</w:t>
          </w:r>
        </w:p>
        <w:p w14:paraId="0F8367B7">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_Toc355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67</w:t>
          </w:r>
        </w:p>
        <w:p w14:paraId="69E51035">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_Toc19679 </w:instrText>
          </w:r>
          <w:r>
            <w:rPr>
              <w:rFonts w:hint="eastAsia" w:ascii="黑体" w:hAnsi="黑体" w:eastAsia="黑体" w:cs="黑体"/>
              <w:bCs/>
              <w:color w:val="auto"/>
              <w:kern w:val="44"/>
              <w:sz w:val="28"/>
              <w:szCs w:val="56"/>
            </w:rP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69</w:t>
          </w:r>
        </w:p>
        <w:p w14:paraId="4B5A3AF7">
          <w:pPr>
            <w:pStyle w:val="24"/>
            <w:tabs>
              <w:tab w:val="right" w:leader="dot" w:pos="9071"/>
            </w:tabs>
            <w:rPr>
              <w:rFonts w:hint="default" w:eastAsia="黑体"/>
              <w:color w:val="auto"/>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_Toc29213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110</w:t>
          </w:r>
        </w:p>
        <w:p w14:paraId="1AA627BC">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sdtContent>
    </w:sdt>
    <w:p w14:paraId="522C9572">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14:paraId="3C716E79">
      <w:pPr>
        <w:pStyle w:val="17"/>
        <w:jc w:val="center"/>
        <w:rPr>
          <w:rFonts w:ascii="Calibri" w:hAnsi="Calibri" w:eastAsia="宋体" w:cs="Times New Roman"/>
          <w:b/>
          <w:bCs/>
          <w:kern w:val="44"/>
          <w:sz w:val="36"/>
          <w:szCs w:val="44"/>
        </w:rPr>
      </w:pPr>
    </w:p>
    <w:p w14:paraId="1AF7956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F4E0E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71082D4">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359DEC0">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13E9F9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11C9FF">
            <w:pPr>
              <w:jc w:val="center"/>
              <w:rPr>
                <w:rFonts w:hAnsi="宋体"/>
                <w:b/>
                <w:bCs/>
                <w:sz w:val="24"/>
                <w:szCs w:val="24"/>
              </w:rPr>
            </w:pPr>
            <w:r>
              <w:rPr>
                <w:rFonts w:hint="eastAsia" w:ascii="宋体" w:hAnsi="宋体" w:eastAsia="宋体" w:cs="宋体"/>
                <w:b/>
                <w:bCs/>
                <w:sz w:val="24"/>
                <w:szCs w:val="24"/>
              </w:rPr>
              <w:t>1.项目说明</w:t>
            </w:r>
          </w:p>
        </w:tc>
      </w:tr>
      <w:tr w14:paraId="28AE5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15ED20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489C23F">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AMT变速箱疲劳寿命试验台项目</w:t>
            </w:r>
          </w:p>
        </w:tc>
      </w:tr>
      <w:tr w14:paraId="73E38F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35AEA4C">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1DA321A">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lang w:eastAsia="zh-CN"/>
              </w:rPr>
              <w:t>CGZX2025040095</w:t>
            </w:r>
          </w:p>
        </w:tc>
      </w:tr>
      <w:tr w14:paraId="0C1F4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94CF2C8">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97AB16F">
            <w:pPr>
              <w:ind w:firstLine="482" w:firstLineChars="200"/>
              <w:rPr>
                <w:rFonts w:hint="eastAsia" w:ascii="宋体" w:hAnsi="宋体" w:eastAsia="宋体" w:cs="宋体"/>
                <w:color w:val="000000"/>
                <w:sz w:val="24"/>
                <w:szCs w:val="24"/>
                <w:u w:val="single"/>
                <w:lang w:eastAsia="zh-CN"/>
              </w:rPr>
            </w:pPr>
            <w:r>
              <w:rPr>
                <w:rFonts w:hint="eastAsia" w:ascii="宋体" w:hAnsi="宋体" w:eastAsia="宋体" w:cs="宋体"/>
                <w:b/>
                <w:bCs/>
                <w:sz w:val="24"/>
                <w:szCs w:val="24"/>
              </w:rPr>
              <w:t>招标内容：</w:t>
            </w:r>
            <w:r>
              <w:rPr>
                <w:rFonts w:hint="eastAsia" w:ascii="宋体" w:hAnsi="宋体" w:eastAsia="宋体" w:cs="宋体"/>
                <w:sz w:val="24"/>
                <w:szCs w:val="24"/>
                <w:highlight w:val="none"/>
                <w:u w:val="single"/>
                <w:shd w:val="pct10" w:color="auto" w:fill="FFFFFF"/>
                <w:lang w:val="en-US" w:eastAsia="zh-CN"/>
              </w:rPr>
              <w:t>动态翻转试验台</w:t>
            </w:r>
          </w:p>
          <w:p w14:paraId="312377D8">
            <w:pPr>
              <w:ind w:firstLine="482" w:firstLineChars="200"/>
              <w:rPr>
                <w:rFonts w:ascii="宋体" w:hAnsi="宋体" w:eastAsia="宋体" w:cs="宋体"/>
                <w:sz w:val="24"/>
                <w:szCs w:val="24"/>
              </w:rPr>
            </w:pPr>
            <w:r>
              <w:rPr>
                <w:rFonts w:hint="eastAsia" w:ascii="宋体" w:hAnsi="宋体" w:eastAsia="宋体" w:cs="宋体"/>
                <w:b/>
                <w:bCs/>
                <w:color w:val="000000"/>
                <w:sz w:val="24"/>
                <w:szCs w:val="24"/>
                <w:u w:val="single"/>
                <w:lang w:val="en-US" w:eastAsia="zh-CN"/>
              </w:rPr>
              <w:t>分投分中：</w:t>
            </w:r>
            <w:r>
              <w:rPr>
                <w:rFonts w:hint="eastAsia" w:ascii="宋体" w:hAnsi="宋体" w:eastAsia="宋体" w:cs="宋体"/>
                <w:color w:val="000000"/>
                <w:sz w:val="24"/>
                <w:szCs w:val="24"/>
                <w:u w:val="single"/>
                <w:lang w:val="en-US" w:eastAsia="zh-CN"/>
              </w:rPr>
              <w:t>不允许</w:t>
            </w:r>
          </w:p>
        </w:tc>
      </w:tr>
      <w:tr w14:paraId="3F76B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BC2B06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A4DC99F">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color w:val="auto"/>
                <w:sz w:val="24"/>
                <w:szCs w:val="24"/>
                <w:highlight w:val="yellow"/>
                <w:lang w:val="en-US" w:eastAsia="zh-CN"/>
              </w:rPr>
              <w:t>公开招标</w:t>
            </w:r>
          </w:p>
        </w:tc>
      </w:tr>
      <w:tr w14:paraId="62594E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77" w:hRule="atLeast"/>
        </w:trPr>
        <w:tc>
          <w:tcPr>
            <w:tcW w:w="595" w:type="dxa"/>
            <w:tcBorders>
              <w:top w:val="single" w:color="auto" w:sz="2" w:space="0"/>
              <w:left w:val="single" w:color="auto" w:sz="2" w:space="0"/>
              <w:bottom w:val="single" w:color="auto" w:sz="2" w:space="0"/>
              <w:right w:val="single" w:color="auto" w:sz="2" w:space="0"/>
            </w:tcBorders>
            <w:vAlign w:val="center"/>
          </w:tcPr>
          <w:p w14:paraId="27C9F5E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FBBDC0E">
            <w:pPr>
              <w:ind w:firstLine="482" w:firstLineChars="200"/>
              <w:rPr>
                <w:rFonts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2346D669">
            <w:pPr>
              <w:ind w:firstLine="482" w:firstLineChars="200"/>
              <w:rPr>
                <w:rFonts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14:paraId="3A920B47">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联系人：</w:t>
            </w:r>
            <w:r>
              <w:rPr>
                <w:rFonts w:hint="eastAsia" w:ascii="宋体" w:hAnsi="宋体" w:eastAsia="宋体" w:cs="宋体"/>
                <w:sz w:val="24"/>
                <w:szCs w:val="24"/>
                <w:lang w:val="en-US" w:eastAsia="zh-CN"/>
              </w:rPr>
              <w:t>孔明伟</w:t>
            </w:r>
          </w:p>
          <w:p w14:paraId="1876B970">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eastAsia="zh-CN"/>
              </w:rPr>
              <w:t>1786060</w:t>
            </w:r>
            <w:r>
              <w:rPr>
                <w:rFonts w:hint="eastAsia" w:ascii="宋体" w:hAnsi="宋体" w:eastAsia="宋体" w:cs="宋体"/>
                <w:sz w:val="24"/>
                <w:szCs w:val="24"/>
                <w:lang w:val="en-US" w:eastAsia="zh-CN"/>
              </w:rPr>
              <w:t>9557</w:t>
            </w:r>
          </w:p>
          <w:p w14:paraId="39EFB22D">
            <w:pPr>
              <w:ind w:firstLine="482" w:firstLineChars="200"/>
            </w:pPr>
            <w:r>
              <w:rPr>
                <w:rFonts w:hint="eastAsia" w:ascii="宋体" w:hAnsi="宋体" w:eastAsia="宋体" w:cs="宋体"/>
                <w:b/>
                <w:bCs/>
                <w:sz w:val="24"/>
                <w:szCs w:val="24"/>
              </w:rPr>
              <w:t>邮箱：</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"mailto:linbl@sinotruk.com"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kongmingwei</w:t>
            </w:r>
            <w:r>
              <w:rPr>
                <w:rFonts w:hint="eastAsia" w:ascii="宋体" w:hAnsi="宋体" w:eastAsia="宋体" w:cs="宋体"/>
                <w:b w:val="0"/>
                <w:bCs w:val="0"/>
                <w:sz w:val="24"/>
                <w:szCs w:val="24"/>
              </w:rPr>
              <w:t>@sinotruk.com</w:t>
            </w:r>
            <w:r>
              <w:rPr>
                <w:rFonts w:hint="eastAsia" w:ascii="宋体" w:hAnsi="宋体" w:eastAsia="宋体" w:cs="宋体"/>
                <w:b w:val="0"/>
                <w:bCs w:val="0"/>
                <w:sz w:val="24"/>
                <w:szCs w:val="24"/>
              </w:rPr>
              <w:fldChar w:fldCharType="end"/>
            </w:r>
          </w:p>
        </w:tc>
      </w:tr>
      <w:tr w14:paraId="00F15B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4EC8255">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6B13AB1">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62FB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E4E0399">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9A456E6">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3F5AF6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w:t>
            </w:r>
          </w:p>
          <w:p w14:paraId="2505CB17">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 xml:space="preserve"> </w:t>
            </w:r>
            <w:r>
              <w:rPr>
                <w:rFonts w:hint="eastAsia" w:hAnsi="宋体" w:eastAsia="宋体" w:cs="Times New Roman"/>
                <w:color w:val="000000"/>
                <w:sz w:val="24"/>
                <w:szCs w:val="24"/>
                <w:highlight w:val="yellow"/>
                <w:lang w:val="en-US" w:eastAsia="zh-CN"/>
              </w:rPr>
              <w:t xml:space="preserve">人民币 </w:t>
            </w:r>
            <w:r>
              <w:rPr>
                <w:rFonts w:hint="eastAsia" w:hAnsi="宋体" w:eastAsia="宋体" w:cs="Times New Roman"/>
                <w:b/>
                <w:bCs/>
                <w:color w:val="000000"/>
                <w:sz w:val="24"/>
                <w:szCs w:val="24"/>
                <w:highlight w:val="yellow"/>
                <w:lang w:val="en-US" w:eastAsia="zh-CN"/>
              </w:rPr>
              <w:t>3173万元，含税</w:t>
            </w:r>
            <w:r>
              <w:rPr>
                <w:rFonts w:hint="eastAsia" w:hAnsi="宋体" w:eastAsia="宋体" w:cs="Times New Roman"/>
                <w:color w:val="000000"/>
                <w:sz w:val="24"/>
                <w:szCs w:val="24"/>
                <w:highlight w:val="yellow"/>
                <w:lang w:val="en-US" w:eastAsia="zh-CN"/>
              </w:rPr>
              <w:t>，超过投标限价无法投标。</w:t>
            </w:r>
          </w:p>
        </w:tc>
      </w:tr>
      <w:tr w14:paraId="2567D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9CBC085">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71C1248">
            <w:pPr>
              <w:pStyle w:val="17"/>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14:paraId="02D986BE">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hAnsi="宋体" w:eastAsia="宋体" w:cs="宋体"/>
                <w:sz w:val="24"/>
                <w:szCs w:val="24"/>
                <w:lang w:val="en-US" w:eastAsia="zh-CN"/>
              </w:rPr>
              <w:t>.</w:t>
            </w:r>
            <w:r>
              <w:rPr>
                <w:rFonts w:hint="eastAsia" w:ascii="宋体" w:hAnsi="宋体" w:eastAsia="宋体" w:cs="宋体"/>
                <w:sz w:val="24"/>
                <w:szCs w:val="24"/>
              </w:rPr>
              <w:t>拟标投人</w:t>
            </w:r>
            <w:r>
              <w:rPr>
                <w:rFonts w:hint="eastAsia" w:hAnsi="宋体" w:eastAsia="宋体" w:cs="宋体"/>
                <w:sz w:val="24"/>
                <w:szCs w:val="24"/>
                <w:lang w:val="en-US" w:eastAsia="zh-CN"/>
              </w:rPr>
              <w:t>须为境外生厂商，成立年限三年及以上，并提供</w:t>
            </w:r>
            <w:r>
              <w:rPr>
                <w:rFonts w:hint="eastAsia" w:ascii="宋体" w:hAnsi="宋体" w:eastAsia="宋体" w:cs="宋体"/>
                <w:sz w:val="24"/>
                <w:szCs w:val="24"/>
              </w:rPr>
              <w:t>设立的证明文件。</w:t>
            </w:r>
          </w:p>
          <w:p w14:paraId="518F0C33">
            <w:pPr>
              <w:pStyle w:val="17"/>
              <w:spacing w:line="320" w:lineRule="exact"/>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2.</w:t>
            </w:r>
            <w:r>
              <w:rPr>
                <w:rFonts w:hint="eastAsia" w:ascii="宋体" w:hAnsi="宋体" w:eastAsia="宋体" w:cs="宋体"/>
                <w:sz w:val="24"/>
                <w:szCs w:val="24"/>
              </w:rPr>
              <w:t>拟投标人对授权代表出具的可参加中国境内投标并签署合同的授权书。</w:t>
            </w:r>
          </w:p>
          <w:p w14:paraId="5FC8C166">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hAnsi="宋体" w:eastAsia="宋体" w:cs="宋体"/>
                <w:sz w:val="24"/>
                <w:szCs w:val="24"/>
                <w:lang w:val="en-US" w:eastAsia="zh-CN"/>
              </w:rPr>
              <w:t>.</w:t>
            </w:r>
            <w:r>
              <w:rPr>
                <w:rFonts w:hint="eastAsia" w:ascii="宋体" w:hAnsi="宋体" w:eastAsia="宋体" w:cs="宋体"/>
                <w:sz w:val="24"/>
                <w:szCs w:val="24"/>
              </w:rPr>
              <w:t>请提供护照原件或者身份证原件以备现场核验，并</w:t>
            </w:r>
            <w:r>
              <w:rPr>
                <w:rFonts w:hint="eastAsia" w:hAnsi="宋体" w:eastAsia="宋体" w:cs="宋体"/>
                <w:sz w:val="24"/>
                <w:szCs w:val="24"/>
                <w:lang w:val="en-US" w:eastAsia="zh-CN"/>
              </w:rPr>
              <w:t>准备复印件以备现场核验</w:t>
            </w:r>
            <w:r>
              <w:rPr>
                <w:rFonts w:hint="eastAsia" w:ascii="宋体" w:hAnsi="宋体" w:eastAsia="宋体" w:cs="宋体"/>
                <w:sz w:val="24"/>
                <w:szCs w:val="24"/>
              </w:rPr>
              <w:t>。</w:t>
            </w:r>
          </w:p>
          <w:p w14:paraId="085AE5D9">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hAnsi="宋体" w:eastAsia="宋体" w:cs="宋体"/>
                <w:sz w:val="24"/>
                <w:szCs w:val="24"/>
                <w:lang w:val="en-US" w:eastAsia="zh-CN"/>
              </w:rPr>
              <w:t>.</w:t>
            </w:r>
            <w:r>
              <w:rPr>
                <w:rFonts w:hint="eastAsia" w:ascii="宋体" w:hAnsi="宋体" w:eastAsia="宋体" w:cs="宋体"/>
                <w:sz w:val="24"/>
                <w:szCs w:val="24"/>
              </w:rPr>
              <w:t>拟投标人202</w:t>
            </w:r>
            <w:r>
              <w:rPr>
                <w:rFonts w:hint="eastAsia" w:hAnsi="宋体" w:eastAsia="宋体" w:cs="宋体"/>
                <w:sz w:val="24"/>
                <w:szCs w:val="24"/>
                <w:lang w:val="en-US" w:eastAsia="zh-CN"/>
              </w:rPr>
              <w:t>1</w:t>
            </w:r>
            <w:r>
              <w:rPr>
                <w:rFonts w:hint="eastAsia" w:ascii="宋体" w:hAnsi="宋体" w:eastAsia="宋体" w:cs="宋体"/>
                <w:sz w:val="24"/>
                <w:szCs w:val="24"/>
              </w:rPr>
              <w:t>年1月1日至今经第三方审计的公司财务报表（资产负债表、损益表、现金流量表）未显示异常。若没有财务审计报告，需提供资产负债表、利润表、现金流量表（加盖公章版）未显示异常。</w:t>
            </w:r>
          </w:p>
          <w:p w14:paraId="56175C63">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hAnsi="宋体" w:eastAsia="宋体" w:cs="宋体"/>
                <w:sz w:val="24"/>
                <w:szCs w:val="24"/>
                <w:lang w:val="en-US" w:eastAsia="zh-CN"/>
              </w:rPr>
              <w:t>.</w:t>
            </w:r>
            <w:r>
              <w:rPr>
                <w:rFonts w:hint="eastAsia" w:ascii="宋体" w:hAnsi="宋体" w:eastAsia="宋体" w:cs="宋体"/>
                <w:sz w:val="24"/>
                <w:szCs w:val="24"/>
              </w:rPr>
              <w:t>拟投标人具有给世界头部商用车企业供应与本次招标同类设备的成功案例</w:t>
            </w:r>
            <w:r>
              <w:rPr>
                <w:rFonts w:hint="eastAsia" w:ascii="宋体" w:hAnsi="宋体" w:eastAsia="宋体" w:cs="宋体"/>
                <w:sz w:val="24"/>
                <w:szCs w:val="24"/>
                <w:lang w:val="en-US" w:eastAsia="zh-CN"/>
              </w:rPr>
              <w:t>,</w:t>
            </w:r>
            <w:r>
              <w:rPr>
                <w:rFonts w:hint="eastAsia" w:ascii="宋体" w:hAnsi="宋体" w:eastAsia="宋体" w:cs="宋体"/>
                <w:sz w:val="24"/>
                <w:szCs w:val="24"/>
              </w:rPr>
              <w:t>同时需提供用户合同复印件、准备合同和技术协议原件及相关证明材料备查。</w:t>
            </w:r>
          </w:p>
          <w:p w14:paraId="64099054">
            <w:pPr>
              <w:pStyle w:val="17"/>
              <w:spacing w:line="320" w:lineRule="exact"/>
              <w:ind w:firstLine="480" w:firstLineChars="200"/>
              <w:rPr>
                <w:rFonts w:hint="eastAsia" w:ascii="宋体" w:hAnsi="宋体" w:eastAsia="宋体" w:cs="宋体"/>
                <w:sz w:val="24"/>
                <w:szCs w:val="24"/>
                <w:lang w:val="en-US" w:eastAsia="zh-CN"/>
              </w:rPr>
            </w:pPr>
            <w:r>
              <w:rPr>
                <w:rFonts w:hint="eastAsia" w:hAnsi="宋体" w:eastAsia="宋体" w:cs="宋体"/>
                <w:sz w:val="24"/>
                <w:szCs w:val="24"/>
                <w:lang w:val="en-US" w:eastAsia="zh-CN"/>
              </w:rPr>
              <w:t>*</w:t>
            </w:r>
            <w:r>
              <w:rPr>
                <w:rFonts w:hint="eastAsia" w:ascii="宋体" w:hAnsi="宋体" w:eastAsia="宋体" w:cs="宋体"/>
                <w:sz w:val="24"/>
                <w:szCs w:val="24"/>
                <w:lang w:val="en-US" w:eastAsia="zh-CN"/>
              </w:rPr>
              <w:t>6</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设备的系统设计、专利技术及生产制造原产地为欧盟、北美或日本</w:t>
            </w:r>
            <w:r>
              <w:rPr>
                <w:rFonts w:hint="eastAsia" w:hAnsi="宋体" w:eastAsia="宋体" w:cs="宋体"/>
                <w:sz w:val="24"/>
                <w:szCs w:val="24"/>
                <w:lang w:val="en-US" w:eastAsia="zh-CN"/>
              </w:rPr>
              <w:t>。</w:t>
            </w:r>
          </w:p>
          <w:p w14:paraId="5762891A">
            <w:pPr>
              <w:pStyle w:val="17"/>
              <w:spacing w:line="320" w:lineRule="exact"/>
              <w:ind w:firstLine="480" w:firstLineChars="200"/>
              <w:rPr>
                <w:rFonts w:hAnsi="宋体" w:eastAsia="宋体" w:cs="宋体"/>
                <w:sz w:val="24"/>
                <w:szCs w:val="24"/>
              </w:rPr>
            </w:pPr>
            <w:r>
              <w:rPr>
                <w:rFonts w:hint="eastAsia" w:hAnsi="宋体" w:eastAsia="宋体" w:cs="宋体"/>
                <w:sz w:val="24"/>
                <w:szCs w:val="24"/>
                <w:lang w:val="en-US" w:eastAsia="zh-CN"/>
              </w:rPr>
              <w:t>7.</w:t>
            </w:r>
            <w:r>
              <w:rPr>
                <w:rFonts w:hint="eastAsia" w:ascii="宋体" w:hAnsi="宋体" w:eastAsia="宋体" w:cs="宋体"/>
                <w:sz w:val="24"/>
                <w:szCs w:val="24"/>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3C70A5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860EFE">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24685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5CE6205">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0B76B2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4</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18</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14:paraId="7E2BD9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DB431FA">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EAC487D">
            <w:pPr>
              <w:spacing w:line="420" w:lineRule="exact"/>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发标方式：</w:t>
            </w:r>
            <w:bookmarkStart w:id="4" w:name="OLE_LINK13"/>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bookmarkEnd w:id="4"/>
          </w:p>
        </w:tc>
      </w:tr>
      <w:tr w14:paraId="019A5B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45" w:hRule="atLeast"/>
        </w:trPr>
        <w:tc>
          <w:tcPr>
            <w:tcW w:w="595" w:type="dxa"/>
            <w:vMerge w:val="continue"/>
            <w:tcBorders>
              <w:left w:val="single" w:color="auto" w:sz="2" w:space="0"/>
              <w:bottom w:val="single" w:color="auto" w:sz="2" w:space="0"/>
              <w:right w:val="single" w:color="auto" w:sz="2" w:space="0"/>
            </w:tcBorders>
            <w:vAlign w:val="center"/>
          </w:tcPr>
          <w:p w14:paraId="4453B7C9">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AF9A346">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14:paraId="002F4C0B">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5</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13</w:t>
            </w:r>
            <w:r>
              <w:rPr>
                <w:rFonts w:hint="eastAsia" w:ascii="宋体" w:hAnsi="宋体" w:eastAsia="宋体" w:cs="宋体"/>
                <w:bCs/>
                <w:color w:val="FF0000"/>
                <w:sz w:val="24"/>
                <w:szCs w:val="24"/>
                <w:highlight w:val="yellow"/>
              </w:rPr>
              <w:t>日1</w:t>
            </w:r>
            <w:r>
              <w:rPr>
                <w:rFonts w:hint="eastAsia" w:ascii="宋体" w:hAnsi="宋体" w:eastAsia="宋体" w:cs="宋体"/>
                <w:bCs/>
                <w:color w:val="FF0000"/>
                <w:sz w:val="24"/>
                <w:szCs w:val="24"/>
                <w:highlight w:val="yellow"/>
                <w:lang w:val="en-US" w:eastAsia="zh-CN"/>
              </w:rPr>
              <w:t>2</w:t>
            </w:r>
            <w:r>
              <w:rPr>
                <w:rFonts w:hint="eastAsia" w:ascii="宋体" w:hAnsi="宋体" w:eastAsia="宋体" w:cs="宋体"/>
                <w:bCs/>
                <w:color w:val="FF0000"/>
                <w:sz w:val="24"/>
                <w:szCs w:val="24"/>
                <w:highlight w:val="yellow"/>
              </w:rPr>
              <w:t>:00前；</w:t>
            </w:r>
          </w:p>
          <w:p w14:paraId="19786AE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24CC07EC">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680F10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0A6AF082">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E380B96">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13</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0669DE1">
            <w:pPr>
              <w:shd w:val="clear" w:color="auto" w:fill="FFFFFF" w:themeFill="background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B56D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7491D21">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2F017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w:t>
            </w:r>
            <w:r>
              <w:rPr>
                <w:rFonts w:hint="eastAsia" w:eastAsia="宋体" w:cs="宋体"/>
                <w:lang w:val="en-US" w:eastAsia="zh-CN"/>
              </w:rPr>
              <w:t>邀请报名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3E170B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E1EFBB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58ABE80">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u w:val="single"/>
                <w:lang w:val="en-US" w:eastAsia="zh-CN"/>
              </w:rPr>
              <w:t>5</w:t>
            </w:r>
            <w:r>
              <w:rPr>
                <w:rFonts w:hint="eastAsia" w:eastAsia="宋体" w:cs="宋体"/>
                <w:highlight w:val="yellow"/>
              </w:rPr>
              <w:t>月</w:t>
            </w:r>
            <w:r>
              <w:rPr>
                <w:rFonts w:hint="eastAsia" w:eastAsia="宋体" w:cs="宋体"/>
                <w:highlight w:val="yellow"/>
                <w:u w:val="single"/>
                <w:lang w:val="en-US" w:eastAsia="zh-CN"/>
              </w:rPr>
              <w:t>13</w:t>
            </w:r>
            <w:r>
              <w:rPr>
                <w:rFonts w:hint="eastAsia" w:eastAsia="宋体" w:cs="宋体"/>
                <w:highlight w:val="yellow"/>
              </w:rPr>
              <w:t>日17时00分00秒</w:t>
            </w:r>
          </w:p>
          <w:p w14:paraId="3BF5343F">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A657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A83AF6">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F5156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76E53C4">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51EE005">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449DAB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8AAC8C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DA46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88"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B399">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5FAEB89">
            <w:pPr>
              <w:pStyle w:val="17"/>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538C793F">
            <w:pPr>
              <w:pStyle w:val="17"/>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w:t>
            </w:r>
            <w:r>
              <w:rPr>
                <w:rFonts w:hint="eastAsia" w:hAnsi="宋体" w:eastAsia="宋体" w:cs="宋体"/>
                <w:b/>
                <w:sz w:val="24"/>
                <w:szCs w:val="24"/>
                <w:highlight w:val="yellow"/>
                <w:lang w:val="en-US" w:eastAsia="zh-CN"/>
              </w:rPr>
              <w:t>一</w:t>
            </w:r>
            <w:r>
              <w:rPr>
                <w:rFonts w:hint="eastAsia" w:ascii="宋体" w:hAnsi="宋体" w:eastAsia="宋体" w:cs="宋体"/>
                <w:b/>
                <w:sz w:val="24"/>
                <w:szCs w:val="24"/>
                <w:highlight w:val="yellow"/>
              </w:rPr>
              <w:t>份</w:t>
            </w:r>
            <w:r>
              <w:rPr>
                <w:rFonts w:hint="eastAsia" w:hAnsi="宋体" w:eastAsia="宋体" w:cs="宋体"/>
                <w:b/>
                <w:sz w:val="24"/>
                <w:szCs w:val="24"/>
                <w:highlight w:val="yellow"/>
                <w:lang w:val="en-US" w:eastAsia="zh-CN"/>
              </w:rPr>
              <w:t>,副本四份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r>
              <w:rPr>
                <w:rFonts w:hint="eastAsia" w:eastAsia="宋体" w:cs="宋体"/>
                <w:b w:val="0"/>
                <w:bCs/>
                <w:color w:val="auto"/>
                <w:kern w:val="2"/>
                <w:sz w:val="24"/>
                <w:szCs w:val="24"/>
                <w:highlight w:val="yellow"/>
                <w:lang w:val="en-US" w:eastAsia="zh-CN" w:bidi="ar-SA"/>
              </w:rPr>
              <w:t>开标一览表需单独</w:t>
            </w:r>
            <w:r>
              <w:rPr>
                <w:rFonts w:hint="eastAsia" w:eastAsia="宋体" w:cs="宋体"/>
                <w:b/>
                <w:bCs w:val="0"/>
                <w:color w:val="auto"/>
                <w:kern w:val="2"/>
                <w:sz w:val="24"/>
                <w:szCs w:val="24"/>
                <w:highlight w:val="yellow"/>
                <w:lang w:val="en-US" w:eastAsia="zh-CN" w:bidi="ar-SA"/>
              </w:rPr>
              <w:t>封装一份</w:t>
            </w:r>
            <w:r>
              <w:rPr>
                <w:rFonts w:hint="eastAsia" w:eastAsia="宋体" w:cs="宋体"/>
                <w:b w:val="0"/>
                <w:bCs/>
                <w:color w:val="auto"/>
                <w:kern w:val="2"/>
                <w:sz w:val="24"/>
                <w:szCs w:val="24"/>
                <w:highlight w:val="yellow"/>
                <w:lang w:val="en-US" w:eastAsia="zh-CN" w:bidi="ar-SA"/>
              </w:rPr>
              <w:t>，以便于唱标。</w:t>
            </w:r>
          </w:p>
          <w:p w14:paraId="7949BD38">
            <w:pPr>
              <w:pStyle w:val="17"/>
              <w:ind w:firstLine="480" w:firstLineChars="200"/>
              <w:rPr>
                <w:rFonts w:hint="default" w:hAnsi="宋体" w:eastAsia="宋体" w:cs="Times New Roman"/>
                <w:color w:val="000000"/>
                <w:sz w:val="24"/>
                <w:szCs w:val="24"/>
                <w:lang w:val="en-US" w:eastAsia="zh-CN"/>
              </w:rPr>
            </w:pPr>
            <w:r>
              <w:rPr>
                <w:rFonts w:hint="eastAsia" w:eastAsia="宋体" w:cs="宋体" w:asciiTheme="minorHAnsi" w:hAnsiTheme="minorHAnsi"/>
                <w:bCs/>
                <w:sz w:val="24"/>
                <w:szCs w:val="24"/>
                <w:lang w:val="en-US" w:eastAsia="zh-CN"/>
              </w:rPr>
              <w:t>本项目</w:t>
            </w:r>
            <w:r>
              <w:rPr>
                <w:rFonts w:hint="eastAsia" w:eastAsia="宋体" w:cs="宋体" w:asciiTheme="minorHAnsi" w:hAnsiTheme="minorHAnsi"/>
                <w:b/>
                <w:bCs w:val="0"/>
                <w:sz w:val="24"/>
                <w:szCs w:val="24"/>
                <w:highlight w:val="yellow"/>
                <w:lang w:val="en-US" w:eastAsia="zh-CN"/>
              </w:rPr>
              <w:t>须</w:t>
            </w:r>
            <w:r>
              <w:rPr>
                <w:rFonts w:hint="eastAsia" w:eastAsia="宋体" w:cs="宋体" w:asciiTheme="minorHAnsi" w:hAnsiTheme="minorHAnsi"/>
                <w:b/>
                <w:bCs w:val="0"/>
                <w:sz w:val="24"/>
                <w:szCs w:val="24"/>
                <w:highlight w:val="yellow"/>
              </w:rPr>
              <w:t>到场参与开标</w:t>
            </w:r>
            <w:r>
              <w:rPr>
                <w:rFonts w:hint="eastAsia" w:eastAsia="宋体" w:cs="宋体" w:asciiTheme="minorHAnsi" w:hAnsiTheme="minorHAnsi"/>
                <w:bCs/>
                <w:sz w:val="24"/>
                <w:szCs w:val="24"/>
              </w:rPr>
              <w:t>，自行携带纸质投标文件于开标前至开标地点即可。</w:t>
            </w:r>
          </w:p>
        </w:tc>
      </w:tr>
      <w:tr w14:paraId="6634A1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5" w:hRule="atLeast"/>
        </w:trPr>
        <w:tc>
          <w:tcPr>
            <w:tcW w:w="595" w:type="dxa"/>
            <w:tcBorders>
              <w:top w:val="single" w:color="auto" w:sz="2" w:space="0"/>
              <w:left w:val="single" w:color="auto" w:sz="2" w:space="0"/>
              <w:bottom w:val="single" w:color="auto" w:sz="2" w:space="0"/>
              <w:right w:val="single" w:color="auto" w:sz="2" w:space="0"/>
            </w:tcBorders>
            <w:vAlign w:val="center"/>
          </w:tcPr>
          <w:p w14:paraId="7501B7EA">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0ED0A0C">
            <w:pPr>
              <w:pStyle w:val="17"/>
              <w:ind w:firstLine="482" w:firstLineChars="200"/>
              <w:rPr>
                <w:rFonts w:eastAsia="宋体" w:cs="宋体" w:asciiTheme="minorHAnsi" w:hAnsiTheme="minorHAnsi"/>
                <w:b/>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7F3712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3A7383D">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B68F2CD">
            <w:pPr>
              <w:pStyle w:val="1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7980280">
            <w:pPr>
              <w:pStyle w:val="17"/>
              <w:ind w:firstLine="482" w:firstLineChars="200"/>
              <w:rPr>
                <w:rFonts w:hAnsi="宋体" w:eastAsia="宋体" w:cs="宋体"/>
                <w:sz w:val="24"/>
                <w:szCs w:val="24"/>
                <w:highlight w:val="yellow"/>
              </w:rPr>
            </w:pPr>
            <w:r>
              <w:rPr>
                <w:rFonts w:hint="eastAsia" w:hAnsi="宋体" w:eastAsia="宋体" w:cs="宋体"/>
                <w:b/>
                <w:bCs/>
                <w:sz w:val="24"/>
                <w:szCs w:val="24"/>
              </w:rPr>
              <w:t>技术标书和商务标书不单独装订的，投标文件做无效标处理。</w:t>
            </w:r>
          </w:p>
        </w:tc>
      </w:tr>
      <w:tr w14:paraId="67E5AF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10ABE99">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2D4CA9E">
            <w:pPr>
              <w:pStyle w:val="17"/>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16</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9A8DDE2">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14:paraId="38A807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C9B6CFC">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B83BE25">
            <w:pPr>
              <w:ind w:firstLine="482" w:firstLineChars="200"/>
              <w:rPr>
                <w:rFonts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14:paraId="7E05DA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F1753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6F532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F78A44D">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92F9F73">
            <w:pPr>
              <w:ind w:firstLine="482" w:firstLineChars="200"/>
              <w:rPr>
                <w:rFonts w:hint="eastAsia" w:ascii="宋体" w:hAnsi="宋体" w:eastAsia="宋体" w:cs="宋体"/>
                <w:b/>
                <w:bCs/>
                <w:sz w:val="24"/>
                <w:szCs w:val="24"/>
                <w:highlight w:val="red"/>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14:paraId="2627A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C11291B">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BC06B9D">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14:paraId="2547AE64">
            <w:pPr>
              <w:pStyle w:val="36"/>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200000.00</w:t>
            </w:r>
            <w:r>
              <w:rPr>
                <w:rFonts w:hint="eastAsia" w:ascii="宋体" w:hAnsi="宋体" w:cs="宋体"/>
                <w:sz w:val="24"/>
                <w:szCs w:val="24"/>
                <w:highlight w:val="yellow"/>
              </w:rPr>
              <w:t>元</w:t>
            </w:r>
          </w:p>
          <w:p w14:paraId="2F48C423">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17DF268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51445FC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1279FD3">
            <w:pPr>
              <w:ind w:left="479" w:leftChars="228" w:firstLine="0" w:firstLineChars="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61289A6">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SWIFT CODE</w:t>
            </w:r>
            <w:r>
              <w:rPr>
                <w:rFonts w:ascii="宋体" w:hAnsi="宋体" w:eastAsia="宋体" w:cs="宋体"/>
                <w:sz w:val="24"/>
                <w:szCs w:val="24"/>
                <w:highlight w:val="yellow"/>
              </w:rPr>
              <w:t>:PCBCCNBJSDX</w:t>
            </w:r>
          </w:p>
          <w:p w14:paraId="750F5320">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银行名称</w:t>
            </w:r>
            <w:r>
              <w:rPr>
                <w:rFonts w:ascii="宋体" w:hAnsi="宋体" w:eastAsia="宋体" w:cs="宋体"/>
                <w:sz w:val="24"/>
                <w:szCs w:val="24"/>
                <w:highlight w:val="yellow"/>
              </w:rPr>
              <w:t>：CHINA CONSTRUCTION BANK JINAN TIANQIAO BRANCH</w:t>
            </w:r>
          </w:p>
          <w:p w14:paraId="3F0A56AC">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银行地址</w:t>
            </w:r>
            <w:r>
              <w:rPr>
                <w:rFonts w:ascii="宋体" w:hAnsi="宋体" w:eastAsia="宋体" w:cs="宋体"/>
                <w:sz w:val="24"/>
                <w:szCs w:val="24"/>
                <w:highlight w:val="yellow"/>
              </w:rPr>
              <w:t xml:space="preserve">：127 JILUO ROAD, TIANQIAO DISTRICT, JINAN, SHANDONG, CHINA </w:t>
            </w:r>
          </w:p>
          <w:p w14:paraId="31EAA325">
            <w:pPr>
              <w:ind w:left="479" w:leftChars="228" w:firstLine="0" w:firstLineChars="0"/>
              <w:rPr>
                <w:rFonts w:hint="eastAsia"/>
                <w:highlight w:val="yellow"/>
              </w:rPr>
            </w:pPr>
            <w:r>
              <w:rPr>
                <w:rFonts w:ascii="宋体" w:hAnsi="宋体" w:eastAsia="宋体" w:cs="宋体"/>
                <w:sz w:val="24"/>
                <w:szCs w:val="24"/>
                <w:highlight w:val="yellow"/>
              </w:rPr>
              <w:t>山东省济南市天桥区济洛路127号</w:t>
            </w:r>
          </w:p>
          <w:p w14:paraId="77739C86">
            <w:pPr>
              <w:pStyle w:val="36"/>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14:paraId="69366E55">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14:paraId="3C2796A2">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14:paraId="6FE04A33">
            <w:pPr>
              <w:ind w:firstLine="480" w:firstLineChars="200"/>
              <w:rPr>
                <w:rFonts w:ascii="宋体" w:hAnsi="宋体" w:eastAsia="宋体" w:cs="宋体"/>
                <w:strike/>
                <w:dstrike w:val="0"/>
                <w:sz w:val="24"/>
                <w:szCs w:val="24"/>
                <w:highlight w:val="red"/>
              </w:rPr>
            </w:pPr>
            <w:r>
              <w:rPr>
                <w:rFonts w:hint="eastAsia" w:ascii="宋体" w:hAnsi="宋体" w:eastAsia="宋体" w:cs="宋体"/>
                <w:sz w:val="24"/>
                <w:szCs w:val="24"/>
                <w:highlight w:val="none"/>
                <w:lang w:val="en-US" w:eastAsia="zh-CN"/>
              </w:rPr>
              <w:t>Ⅳ.</w:t>
            </w: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（方便后期核对退款）</w:t>
            </w:r>
          </w:p>
        </w:tc>
      </w:tr>
      <w:tr w14:paraId="4F980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C6B2AB1">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D128489">
            <w:pPr>
              <w:pStyle w:val="36"/>
              <w:spacing w:after="0" w:line="240" w:lineRule="auto"/>
              <w:ind w:left="0" w:leftChars="0" w:firstLine="482" w:firstLineChars="200"/>
              <w:rPr>
                <w:rFonts w:hint="eastAsia" w:ascii="宋体" w:hAnsi="宋体" w:eastAsia="宋体" w:cs="宋体"/>
                <w:b/>
                <w:bCs/>
                <w:sz w:val="24"/>
                <w:szCs w:val="24"/>
                <w:highlight w:val="red"/>
              </w:rPr>
            </w:pPr>
            <w:r>
              <w:rPr>
                <w:rFonts w:hint="eastAsia" w:ascii="宋体" w:hAnsi="宋体" w:cs="宋体"/>
                <w:b/>
                <w:bCs/>
                <w:sz w:val="24"/>
                <w:szCs w:val="24"/>
                <w:highlight w:val="none"/>
              </w:rPr>
              <w:t>保证金缴纳截止时间：</w:t>
            </w:r>
            <w:r>
              <w:rPr>
                <w:rFonts w:hint="eastAsia" w:hAnsi="宋体" w:eastAsia="宋体" w:cs="宋体" w:asciiTheme="minorHAnsi"/>
                <w:kern w:val="2"/>
                <w:sz w:val="24"/>
                <w:szCs w:val="24"/>
                <w:highlight w:val="yellow"/>
                <w:u w:val="single"/>
                <w:lang w:val="en-US" w:eastAsia="zh-CN" w:bidi="ar-SA"/>
              </w:rPr>
              <w:t>202</w:t>
            </w:r>
            <w:r>
              <w:rPr>
                <w:rFonts w:hint="eastAsia" w:hAnsi="宋体" w:cs="宋体" w:asciiTheme="minorHAnsi"/>
                <w:kern w:val="2"/>
                <w:sz w:val="24"/>
                <w:szCs w:val="24"/>
                <w:highlight w:val="yellow"/>
                <w:u w:val="single"/>
                <w:lang w:val="en-US" w:eastAsia="zh-CN" w:bidi="ar-SA"/>
              </w:rPr>
              <w:t>5</w:t>
            </w:r>
            <w:r>
              <w:rPr>
                <w:rFonts w:hint="eastAsia" w:hAnsi="宋体" w:eastAsia="宋体" w:cs="宋体" w:asciiTheme="minorHAnsi"/>
                <w:kern w:val="2"/>
                <w:sz w:val="24"/>
                <w:szCs w:val="24"/>
                <w:highlight w:val="yellow"/>
                <w:u w:val="single"/>
                <w:lang w:val="en-US" w:eastAsia="zh-CN" w:bidi="ar-SA"/>
              </w:rPr>
              <w:t>年</w:t>
            </w:r>
            <w:r>
              <w:rPr>
                <w:rFonts w:hint="eastAsia" w:hAnsi="宋体" w:cs="宋体" w:asciiTheme="minorHAnsi"/>
                <w:kern w:val="2"/>
                <w:sz w:val="24"/>
                <w:szCs w:val="24"/>
                <w:highlight w:val="yellow"/>
                <w:u w:val="single"/>
                <w:lang w:val="en-US" w:eastAsia="zh-CN" w:bidi="ar-SA"/>
              </w:rPr>
              <w:t>5</w:t>
            </w:r>
            <w:r>
              <w:rPr>
                <w:rFonts w:hint="eastAsia" w:hAnsi="宋体" w:eastAsia="宋体" w:cs="宋体" w:asciiTheme="minorHAnsi"/>
                <w:kern w:val="2"/>
                <w:sz w:val="24"/>
                <w:szCs w:val="24"/>
                <w:highlight w:val="yellow"/>
                <w:u w:val="single"/>
                <w:lang w:val="en-US" w:eastAsia="zh-CN" w:bidi="ar-SA"/>
              </w:rPr>
              <w:t>月</w:t>
            </w:r>
            <w:r>
              <w:rPr>
                <w:rFonts w:hint="eastAsia" w:hAnsi="宋体" w:cs="宋体" w:asciiTheme="minorHAnsi"/>
                <w:kern w:val="2"/>
                <w:sz w:val="24"/>
                <w:szCs w:val="24"/>
                <w:highlight w:val="yellow"/>
                <w:u w:val="single"/>
                <w:lang w:val="en-US" w:eastAsia="zh-CN" w:bidi="ar-SA"/>
              </w:rPr>
              <w:t>13</w:t>
            </w:r>
            <w:r>
              <w:rPr>
                <w:rFonts w:hint="eastAsia" w:hAnsi="宋体" w:eastAsia="宋体" w:cs="宋体" w:asciiTheme="minorHAnsi"/>
                <w:kern w:val="2"/>
                <w:sz w:val="24"/>
                <w:szCs w:val="24"/>
                <w:highlight w:val="yellow"/>
                <w:u w:val="single"/>
                <w:lang w:val="en-US" w:eastAsia="zh-CN" w:bidi="ar-SA"/>
              </w:rPr>
              <w:t>日17时</w:t>
            </w:r>
          </w:p>
        </w:tc>
      </w:tr>
      <w:tr w14:paraId="1263F4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389FD50">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35935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AE91F58">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7CE2CEC">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16</w:t>
            </w:r>
            <w:bookmarkStart w:id="74" w:name="_GoBack"/>
            <w:bookmarkEnd w:id="74"/>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r>
              <w:rPr>
                <w:rFonts w:hint="eastAsia" w:hAnsi="宋体" w:eastAsia="宋体" w:cs="宋体"/>
                <w:sz w:val="24"/>
                <w:szCs w:val="24"/>
                <w:highlight w:val="yellow"/>
                <w:lang w:eastAsia="zh-CN"/>
              </w:rPr>
              <w:t>）</w:t>
            </w:r>
            <w:r>
              <w:rPr>
                <w:rFonts w:hint="eastAsia" w:ascii="宋体" w:hAnsi="宋体" w:eastAsia="宋体" w:cs="宋体"/>
                <w:kern w:val="0"/>
                <w:sz w:val="24"/>
                <w:szCs w:val="24"/>
                <w:highlight w:val="yellow"/>
              </w:rPr>
              <w:t>。</w:t>
            </w:r>
          </w:p>
          <w:p w14:paraId="58D0401E">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17D1F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14:paraId="12E98A93">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7FDA12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w:t>
            </w:r>
            <w:r>
              <w:rPr>
                <w:rFonts w:hint="eastAsia" w:ascii="宋体" w:hAnsi="宋体" w:eastAsia="宋体" w:cs="宋体"/>
                <w:b/>
                <w:bCs/>
                <w:sz w:val="24"/>
                <w:szCs w:val="24"/>
                <w:highlight w:val="none"/>
              </w:rPr>
              <w:t>法：</w:t>
            </w:r>
            <w:r>
              <w:rPr>
                <w:rFonts w:hint="eastAsia" w:ascii="宋体" w:hAnsi="宋体" w:eastAsia="宋体" w:cs="宋体"/>
                <w:b/>
                <w:bCs/>
                <w:sz w:val="24"/>
                <w:szCs w:val="24"/>
                <w:highlight w:val="none"/>
                <w:lang w:val="en-US" w:eastAsia="zh-CN"/>
              </w:rPr>
              <w:t>开标→资质</w:t>
            </w:r>
            <w:bookmarkStart w:id="5" w:name="OLE_LINK2"/>
            <w:r>
              <w:rPr>
                <w:rFonts w:hint="eastAsia" w:ascii="宋体" w:hAnsi="宋体" w:eastAsia="宋体" w:cs="宋体"/>
                <w:b/>
                <w:bCs/>
                <w:sz w:val="24"/>
                <w:szCs w:val="24"/>
                <w:highlight w:val="none"/>
                <w:lang w:val="en-US" w:eastAsia="zh-CN"/>
              </w:rPr>
              <w:t>复审→</w:t>
            </w:r>
            <w:bookmarkEnd w:id="5"/>
            <w:r>
              <w:rPr>
                <w:rFonts w:hint="eastAsia" w:ascii="宋体" w:hAnsi="宋体" w:eastAsia="宋体" w:cs="宋体"/>
                <w:b/>
                <w:bCs/>
                <w:sz w:val="24"/>
                <w:szCs w:val="24"/>
                <w:highlight w:val="none"/>
                <w:lang w:val="en-US" w:eastAsia="zh-CN"/>
              </w:rPr>
              <w:t>唱标→技术标评审→商务标评审。综合评分最高</w:t>
            </w:r>
            <w:r>
              <w:rPr>
                <w:rFonts w:hint="eastAsia" w:ascii="宋体" w:hAnsi="宋体" w:eastAsia="宋体" w:cs="Times New Roman"/>
                <w:b/>
                <w:bCs/>
                <w:color w:val="000000"/>
                <w:sz w:val="24"/>
                <w:szCs w:val="24"/>
                <w:highlight w:val="none"/>
              </w:rPr>
              <w:t>中标</w:t>
            </w:r>
            <w:r>
              <w:rPr>
                <w:rFonts w:hint="eastAsia" w:ascii="宋体" w:hAnsi="宋体" w:eastAsia="宋体" w:cs="宋体"/>
                <w:sz w:val="24"/>
                <w:szCs w:val="24"/>
                <w:highlight w:val="none"/>
              </w:rPr>
              <w:t>。具体详见“第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14:paraId="7A2031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4471F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5419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FE3C35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C76DC6E">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69527B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9364FE">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87F2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51C1FD3">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814FB0A">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1AA6E2E">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420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21ABF0D4">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49335E44">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3A502E68">
            <w:pPr>
              <w:pStyle w:val="17"/>
              <w:ind w:firstLine="480" w:firstLineChars="200"/>
              <w:rPr>
                <w:rFonts w:hAnsi="宋体" w:eastAsia="宋体" w:cs="宋体"/>
                <w:color w:val="000000"/>
                <w:sz w:val="24"/>
                <w:szCs w:val="24"/>
              </w:rPr>
            </w:pPr>
            <w:r>
              <w:rPr>
                <w:rFonts w:hint="eastAsia"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14:paraId="334EA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726A0DB">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73FCAAF">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进口货物</w:t>
            </w:r>
            <w:r>
              <w:rPr>
                <w:rFonts w:hint="eastAsia" w:hAnsi="宋体" w:eastAsia="宋体" w:cs="宋体"/>
                <w:b/>
                <w:bCs/>
                <w:color w:val="000000"/>
                <w:sz w:val="24"/>
                <w:szCs w:val="24"/>
                <w:highlight w:val="none"/>
                <w:lang w:eastAsia="zh-CN"/>
              </w:rPr>
              <w:t>到货方式</w:t>
            </w:r>
            <w:r>
              <w:rPr>
                <w:rFonts w:hint="eastAsia" w:hAnsi="宋体" w:eastAsia="宋体" w:cs="宋体"/>
                <w:b/>
                <w:bCs/>
                <w:color w:val="000000"/>
                <w:sz w:val="24"/>
                <w:szCs w:val="24"/>
                <w:highlight w:val="none"/>
              </w:rPr>
              <w:t xml:space="preserve">：CIF青岛。 </w:t>
            </w:r>
          </w:p>
          <w:p w14:paraId="0B9EA60C">
            <w:pPr>
              <w:pStyle w:val="17"/>
              <w:ind w:firstLine="482" w:firstLineChars="200"/>
              <w:rPr>
                <w:rFonts w:hint="eastAsia" w:hAnsi="宋体" w:eastAsiaTheme="minorEastAsia" w:cstheme="minorBidi"/>
                <w:color w:val="000000" w:themeColor="text1"/>
                <w:sz w:val="24"/>
                <w:szCs w:val="24"/>
                <w:highlight w:val="none"/>
                <w:u w:val="single"/>
                <w14:textFill>
                  <w14:solidFill>
                    <w14:schemeClr w14:val="tx1"/>
                  </w14:solidFill>
                </w14:textFill>
              </w:rPr>
            </w:pPr>
            <w:r>
              <w:rPr>
                <w:rFonts w:hint="eastAsia" w:hAnsi="宋体" w:eastAsia="宋体" w:cs="宋体"/>
                <w:b/>
                <w:bCs/>
                <w:color w:val="000000"/>
                <w:sz w:val="24"/>
                <w:szCs w:val="24"/>
                <w:highlight w:val="none"/>
              </w:rPr>
              <w:t>国内货物交货地点：</w:t>
            </w:r>
            <w:r>
              <w:rPr>
                <w:rFonts w:hint="eastAsia" w:ascii="宋体" w:hAnsi="宋体" w:eastAsia="宋体" w:cs="宋体"/>
                <w:color w:val="000000"/>
                <w:sz w:val="24"/>
                <w:szCs w:val="24"/>
                <w:highlight w:val="none"/>
                <w:u w:val="single"/>
                <w:lang w:val="en-US" w:eastAsia="zh-CN"/>
              </w:rPr>
              <w:t>济南市莱芜区莱城大道与银安街交叉口</w:t>
            </w:r>
            <w:r>
              <w:rPr>
                <w:rFonts w:hint="eastAsia" w:hAnsi="宋体" w:eastAsia="宋体" w:cs="宋体"/>
                <w:color w:val="000000"/>
                <w:sz w:val="24"/>
                <w:szCs w:val="24"/>
                <w:highlight w:val="none"/>
                <w:u w:val="single"/>
              </w:rPr>
              <w:t>重汽新能源产品试验检测中心。</w:t>
            </w:r>
          </w:p>
          <w:p w14:paraId="4113AC64">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整体项目：</w:t>
            </w:r>
            <w:r>
              <w:rPr>
                <w:rFonts w:hint="eastAsia" w:hAnsi="宋体" w:eastAsia="宋体" w:cs="宋体"/>
                <w:color w:val="000000"/>
                <w:sz w:val="24"/>
                <w:szCs w:val="24"/>
                <w:highlight w:val="none"/>
              </w:rPr>
              <w:t>交钥匙方式。</w:t>
            </w:r>
          </w:p>
          <w:p w14:paraId="6A984089">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highlight w:val="none"/>
              </w:rPr>
              <w:t>项目建设地点：</w:t>
            </w:r>
            <w:r>
              <w:rPr>
                <w:rFonts w:hint="eastAsia" w:ascii="宋体" w:hAnsi="宋体" w:eastAsia="宋体" w:cs="宋体"/>
                <w:color w:val="000000"/>
                <w:sz w:val="24"/>
                <w:szCs w:val="24"/>
                <w:highlight w:val="none"/>
                <w:u w:val="single"/>
                <w:lang w:val="en-US" w:eastAsia="zh-CN"/>
              </w:rPr>
              <w:t>济南市莱芜区莱城大道与银安街交叉口</w:t>
            </w:r>
            <w:r>
              <w:rPr>
                <w:rFonts w:hint="eastAsia" w:hAnsi="宋体" w:eastAsia="宋体" w:cs="宋体"/>
                <w:color w:val="000000"/>
                <w:sz w:val="24"/>
                <w:szCs w:val="24"/>
                <w:highlight w:val="none"/>
                <w:u w:val="single"/>
              </w:rPr>
              <w:t>重汽新能源产品试验检测中心。</w:t>
            </w:r>
          </w:p>
        </w:tc>
      </w:tr>
      <w:tr w14:paraId="3A0A03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20DB1AB">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4D53114">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08D840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14:paraId="2BCFF548">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136D27E">
            <w:pPr>
              <w:pStyle w:val="36"/>
              <w:spacing w:after="0" w:line="240" w:lineRule="auto"/>
              <w:ind w:left="0" w:leftChars="0" w:firstLine="482"/>
              <w:rPr>
                <w:rFonts w:ascii="宋体" w:hAnsi="宋体" w:cs="宋体"/>
                <w:sz w:val="24"/>
                <w:szCs w:val="24"/>
                <w:highlight w:val="yellow"/>
              </w:rPr>
            </w:pPr>
            <w:r>
              <w:rPr>
                <w:rFonts w:hint="eastAsia" w:ascii="宋体" w:hAnsi="宋体" w:cs="宋体"/>
                <w:b/>
                <w:bCs/>
                <w:sz w:val="24"/>
                <w:szCs w:val="24"/>
                <w:highlight w:val="yellow"/>
                <w:u w:val="single"/>
              </w:rPr>
              <w:t>Ⅰ.付款方式：电汇</w:t>
            </w:r>
            <w:r>
              <w:rPr>
                <w:rFonts w:hint="eastAsia" w:ascii="宋体" w:hAnsi="宋体" w:cs="宋体"/>
                <w:sz w:val="24"/>
                <w:szCs w:val="24"/>
                <w:highlight w:val="yellow"/>
              </w:rPr>
              <w:t xml:space="preserve">  </w:t>
            </w:r>
          </w:p>
          <w:p w14:paraId="1488E8D9">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1.1 预付款。</w:t>
            </w:r>
          </w:p>
          <w:p w14:paraId="1B8CE7F8">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买方在收到一份卖方出具的适用于国际商会见索即付保函统一规则（URDG758）的，以买方为受益人的无条件不可撤销银行预付款保函（合同总额的30%）后45天内，通过电汇方式将合同总额的30%（下称“预付款”）作为预付款支付给卖方。</w:t>
            </w:r>
          </w:p>
          <w:p w14:paraId="5A278C22">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预付款银行保函草稿应由买方收到后5天内确认完毕，该银行保函须满足：(i)卖方应确保买方于合同签订后30天内收到银行保函，和(ii)有效期截止装船日期之后的30天，若交货延期，卖方应相应延长保函的有效期。</w:t>
            </w:r>
          </w:p>
          <w:p w14:paraId="62CA5726">
            <w:pPr>
              <w:pStyle w:val="36"/>
              <w:spacing w:after="0" w:line="240" w:lineRule="auto"/>
              <w:ind w:left="0" w:leftChars="0"/>
              <w:rPr>
                <w:rFonts w:hint="default" w:ascii="宋体" w:hAnsi="宋体" w:cs="宋体"/>
                <w:sz w:val="24"/>
                <w:szCs w:val="24"/>
                <w:highlight w:val="yellow"/>
                <w:lang w:val="en-US" w:eastAsia="zh-CN"/>
              </w:rPr>
            </w:pPr>
            <w:r>
              <w:rPr>
                <w:rFonts w:hint="eastAsia" w:ascii="宋体" w:hAnsi="宋体" w:cs="宋体"/>
                <w:sz w:val="24"/>
                <w:szCs w:val="24"/>
                <w:highlight w:val="yellow"/>
                <w:lang w:val="en-US" w:eastAsia="zh-CN"/>
              </w:rPr>
              <w:t>1.2 货款</w:t>
            </w:r>
          </w:p>
          <w:p w14:paraId="06F55BF9">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买方应在发货前45个日历日前在中国境内的一家一流银行开立一个以卖方为受益人的不可撤销信用证，开证金额为合同全部金额的70%，信用证有效期为最终验收日期后45天。信用证草稿应在开证前7天发送给卖方。</w:t>
            </w:r>
          </w:p>
          <w:p w14:paraId="30FB72C0">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合同金额的60%由买方收到如下单据后支付给卖方(i)卖方与最终用户授权签字人依法签署的预验收报告；(ii)卖方通过向开证行提交发票金额60%的即期汇票；(iii)装船单据。</w:t>
            </w:r>
          </w:p>
          <w:p w14:paraId="0004406B">
            <w:pPr>
              <w:pStyle w:val="36"/>
              <w:spacing w:after="0" w:line="240" w:lineRule="auto"/>
              <w:ind w:left="0" w:leftChars="0"/>
              <w:rPr>
                <w:rFonts w:hint="default" w:ascii="宋体" w:hAnsi="宋体" w:cs="宋体"/>
                <w:sz w:val="24"/>
                <w:szCs w:val="24"/>
                <w:highlight w:val="yellow"/>
                <w:lang w:val="en-US" w:eastAsia="zh-CN"/>
              </w:rPr>
            </w:pPr>
            <w:r>
              <w:rPr>
                <w:rFonts w:hint="eastAsia" w:ascii="宋体" w:hAnsi="宋体" w:cs="宋体"/>
                <w:sz w:val="24"/>
                <w:szCs w:val="24"/>
                <w:highlight w:val="yellow"/>
                <w:lang w:val="en-US" w:eastAsia="zh-CN"/>
              </w:rPr>
              <w:t>1.3 质保金</w:t>
            </w:r>
          </w:p>
          <w:p w14:paraId="30C0633F">
            <w:pPr>
              <w:pStyle w:val="36"/>
              <w:spacing w:after="0" w:line="240" w:lineRule="auto"/>
              <w:ind w:left="0" w:leftChars="0"/>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yellow"/>
                <w:lang w:val="en-US" w:eastAsia="zh-CN" w:bidi="ar-SA"/>
              </w:rPr>
              <w:t>合同金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14:paraId="7F8BB73C">
            <w:pPr>
              <w:pStyle w:val="36"/>
              <w:spacing w:after="0" w:line="240" w:lineRule="auto"/>
              <w:ind w:left="0" w:leftChars="0"/>
              <w:rPr>
                <w:rFonts w:hint="eastAsia" w:ascii="宋体" w:hAnsi="宋体" w:cs="宋体"/>
                <w:sz w:val="24"/>
                <w:szCs w:val="24"/>
                <w:highlight w:val="yellow"/>
              </w:rPr>
            </w:pPr>
            <w:r>
              <w:rPr>
                <w:rFonts w:hint="eastAsia" w:ascii="宋体" w:hAnsi="宋体" w:cs="宋体"/>
                <w:sz w:val="24"/>
                <w:szCs w:val="24"/>
                <w:highlight w:val="yellow"/>
                <w:lang w:val="en-US" w:eastAsia="zh-CN"/>
              </w:rPr>
              <w:t>2</w:t>
            </w:r>
            <w:r>
              <w:rPr>
                <w:rFonts w:hint="eastAsia" w:ascii="宋体" w:hAnsi="宋体" w:cs="宋体"/>
                <w:sz w:val="24"/>
                <w:szCs w:val="24"/>
                <w:highlight w:val="yellow"/>
                <w:lang w:eastAsia="zh-TW"/>
              </w:rPr>
              <w:t>.</w:t>
            </w:r>
            <w:r>
              <w:rPr>
                <w:rFonts w:hint="eastAsia" w:ascii="宋体" w:hAnsi="宋体" w:cs="宋体"/>
                <w:sz w:val="24"/>
                <w:szCs w:val="24"/>
                <w:highlight w:val="yellow"/>
              </w:rPr>
              <w:t>买方银行及其代理行的银行费用、佣金等相关费用由买方承担。卖方银行及其代理行的费用、佣金等相关费用由卖方承担。</w:t>
            </w:r>
          </w:p>
          <w:p w14:paraId="587FC056">
            <w:pPr>
              <w:pStyle w:val="36"/>
              <w:spacing w:after="0" w:line="240" w:lineRule="auto"/>
              <w:ind w:left="0" w:leftChars="0" w:firstLine="480"/>
              <w:rPr>
                <w:rFonts w:hint="eastAsia" w:hAnsi="宋体" w:cs="宋体" w:eastAsiaTheme="minorEastAsia"/>
                <w:color w:val="000000"/>
                <w:sz w:val="24"/>
                <w:szCs w:val="24"/>
                <w:highlight w:val="yellow"/>
                <w:lang w:eastAsia="zh-CN"/>
              </w:rPr>
            </w:pPr>
            <w:r>
              <w:rPr>
                <w:rFonts w:hint="eastAsia" w:ascii="宋体" w:hAnsi="宋体" w:cs="宋体"/>
                <w:sz w:val="24"/>
                <w:szCs w:val="24"/>
                <w:highlight w:val="yellow"/>
                <w:lang w:val="en-US" w:eastAsia="zh-CN"/>
              </w:rPr>
              <w:t>3.</w:t>
            </w:r>
            <w:r>
              <w:rPr>
                <w:rFonts w:hint="eastAsia" w:ascii="宋体" w:hAnsi="宋体" w:cs="宋体"/>
                <w:sz w:val="24"/>
                <w:szCs w:val="24"/>
                <w:highlight w:val="yellow"/>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tc>
      </w:tr>
      <w:tr w14:paraId="2B0FD7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EB5E160">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C4379C1">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683ADD62">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14:paraId="5655EF93">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14:paraId="5A357A78">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14:paraId="0A9D2D72">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14:paraId="11F861EF">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14:paraId="333476CB">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14:paraId="20253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FC7C01">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1BF76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DEFE529">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D0EAD31">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31EC71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3BA6D9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ADBBE9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A924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48D883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B6E9A1D">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w:t>
            </w:r>
            <w:r>
              <w:rPr>
                <w:rFonts w:ascii="宋体" w:hAnsi="宋体" w:eastAsia="宋体" w:cs="宋体"/>
                <w:sz w:val="24"/>
                <w:szCs w:val="24"/>
                <w:highlight w:val="yellow"/>
              </w:rPr>
              <w:t>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2A12802">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14:paraId="127A0F63">
      <w:pPr>
        <w:pStyle w:val="17"/>
        <w:pageBreakBefore w:val="0"/>
        <w:kinsoku/>
        <w:wordWrap/>
        <w:overflowPunct/>
        <w:topLinePunct w:val="0"/>
        <w:autoSpaceDE/>
        <w:autoSpaceDN/>
        <w:bidi w:val="0"/>
        <w:spacing w:line="360" w:lineRule="auto"/>
        <w:jc w:val="center"/>
        <w:outlineLvl w:val="0"/>
        <w:rPr>
          <w:rFonts w:ascii="Calibri" w:hAnsi="Calibri" w:eastAsia="宋体" w:cs="Times New Roman"/>
          <w:b/>
          <w:bCs/>
          <w:kern w:val="44"/>
          <w:sz w:val="36"/>
          <w:szCs w:val="44"/>
        </w:rPr>
      </w:pPr>
      <w:bookmarkStart w:id="6" w:name="_Toc29337"/>
      <w:r>
        <w:rPr>
          <w:rFonts w:hint="eastAsia" w:ascii="Calibri" w:hAnsi="Calibri" w:eastAsia="宋体" w:cs="Times New Roman"/>
          <w:b/>
          <w:bCs/>
          <w:kern w:val="44"/>
          <w:sz w:val="36"/>
          <w:szCs w:val="44"/>
        </w:rPr>
        <w:t>第二部分 投标须知</w:t>
      </w:r>
      <w:bookmarkEnd w:id="6"/>
    </w:p>
    <w:p w14:paraId="4A41E14B">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179A7284">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7" w:name="OLE_LINK1"/>
      <w:r>
        <w:rPr>
          <w:rFonts w:hint="eastAsia" w:ascii="宋体" w:hAnsi="宋体" w:eastAsia="宋体" w:cs="Times New Roman"/>
          <w:color w:val="000000"/>
          <w:sz w:val="24"/>
          <w:szCs w:val="24"/>
        </w:rPr>
        <w:t>见《投标须知前附表》。</w:t>
      </w:r>
    </w:p>
    <w:bookmarkEnd w:id="7"/>
    <w:p w14:paraId="1FB681BD">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644295CA">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14:paraId="29EE9459">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14:paraId="788378B9">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514D3C91">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0BF9BCB4">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74B33885">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00FF24B6">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3FE4FACD">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814D656">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F550B34">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5C1F8561">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14:paraId="48E05994">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14:paraId="1EB8DD2A">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6979FAF4">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471D98C">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EE30A67">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元【人民币（应同时报含税价和不含税价并写明税率）】。</w:t>
      </w:r>
    </w:p>
    <w:p w14:paraId="78ADBB6F">
      <w:pPr>
        <w:spacing w:line="360" w:lineRule="auto"/>
        <w:ind w:firstLine="480" w:firstLineChars="200"/>
        <w:rPr>
          <w:rFonts w:hint="eastAsia" w:ascii="宋体" w:hAnsi="宋体" w:eastAsia="宋体" w:cs="Times New Roman"/>
          <w:b w:val="0"/>
          <w:bCs w:val="0"/>
          <w:color w:val="000000"/>
          <w:sz w:val="24"/>
          <w:szCs w:val="24"/>
          <w:highlight w:val="yellow"/>
        </w:rPr>
      </w:pPr>
      <w:r>
        <w:rPr>
          <w:rFonts w:hint="eastAsia" w:ascii="宋体" w:hAnsi="宋体" w:eastAsia="宋体" w:cs="Times New Roman"/>
          <w:b w:val="0"/>
          <w:bCs w:val="0"/>
          <w:color w:val="000000"/>
          <w:sz w:val="24"/>
          <w:szCs w:val="24"/>
          <w:highlight w:val="yellow"/>
        </w:rPr>
        <w:t>总报价</w:t>
      </w:r>
      <w:r>
        <w:rPr>
          <w:rFonts w:hint="eastAsia" w:ascii="宋体" w:hAnsi="宋体" w:eastAsia="宋体" w:cs="Times New Roman"/>
          <w:b w:val="0"/>
          <w:bCs w:val="0"/>
          <w:color w:val="000000"/>
          <w:sz w:val="24"/>
          <w:szCs w:val="24"/>
          <w:highlight w:val="yellow"/>
          <w:lang w:eastAsia="zh-CN"/>
        </w:rPr>
        <w:t>包含</w:t>
      </w:r>
      <w:r>
        <w:rPr>
          <w:rFonts w:hint="eastAsia" w:ascii="宋体" w:hAnsi="宋体" w:eastAsia="宋体" w:cs="Times New Roman"/>
          <w:b w:val="0"/>
          <w:bCs w:val="0"/>
          <w:color w:val="000000"/>
          <w:sz w:val="24"/>
          <w:szCs w:val="24"/>
          <w:highlight w:val="yellow"/>
        </w:rPr>
        <w:t>进口货物报价与国内货物报价。</w:t>
      </w:r>
    </w:p>
    <w:p w14:paraId="46E26317">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14:paraId="425A7A48">
      <w:pPr>
        <w:spacing w:line="360" w:lineRule="auto"/>
        <w:ind w:firstLine="480" w:firstLineChars="200"/>
        <w:rPr>
          <w:rFonts w:hint="default" w:ascii="宋体" w:hAnsi="宋体" w:eastAsia="宋体" w:cs="Times New Roman"/>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yellow"/>
        </w:rPr>
        <w:t>进口货物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签署外币合同，CIF青岛</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w:t>
      </w:r>
      <w:r>
        <w:rPr>
          <w:rFonts w:hint="eastAsia" w:ascii="宋体" w:hAnsi="宋体" w:eastAsia="宋体" w:cs="Times New Roman"/>
          <w:color w:val="000000"/>
          <w:sz w:val="24"/>
          <w:szCs w:val="24"/>
          <w:highlight w:val="yellow"/>
        </w:rPr>
        <w:t>报价为外币（实际支付货币为外币），</w:t>
      </w:r>
      <w:r>
        <w:rPr>
          <w:rFonts w:hint="eastAsia" w:ascii="宋体" w:hAnsi="宋体" w:eastAsia="宋体" w:cs="Times New Roman"/>
          <w:b/>
          <w:bCs/>
          <w:color w:val="000000"/>
          <w:sz w:val="24"/>
          <w:szCs w:val="24"/>
          <w:highlight w:val="yellow"/>
          <w:lang w:val="en-US" w:eastAsia="zh-CN"/>
        </w:rPr>
        <w:t>首次投标报价</w:t>
      </w:r>
      <w:r>
        <w:rPr>
          <w:rFonts w:hint="eastAsia" w:ascii="宋体" w:hAnsi="宋体" w:eastAsia="宋体" w:cs="Times New Roman"/>
          <w:color w:val="000000"/>
          <w:sz w:val="24"/>
          <w:szCs w:val="24"/>
          <w:highlight w:val="yellow"/>
        </w:rPr>
        <w:t>需按照</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rPr>
        <w:t>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color w:val="000000"/>
          <w:sz w:val="24"/>
          <w:szCs w:val="24"/>
          <w:highlight w:val="yellow"/>
        </w:rPr>
        <w:t>；</w:t>
      </w:r>
      <w:r>
        <w:rPr>
          <w:rFonts w:hint="eastAsia" w:ascii="宋体" w:hAnsi="宋体" w:eastAsia="宋体" w:cs="Times New Roman"/>
          <w:b/>
          <w:bCs/>
          <w:color w:val="000000"/>
          <w:sz w:val="24"/>
          <w:szCs w:val="24"/>
          <w:highlight w:val="yellow"/>
          <w:lang w:val="en-US" w:eastAsia="zh-CN"/>
        </w:rPr>
        <w:t>商务标澄清报价阶段</w:t>
      </w:r>
      <w:r>
        <w:rPr>
          <w:rFonts w:hint="eastAsia" w:ascii="宋体" w:hAnsi="宋体" w:eastAsia="宋体" w:cs="Times New Roman"/>
          <w:color w:val="000000"/>
          <w:sz w:val="24"/>
          <w:szCs w:val="24"/>
          <w:highlight w:val="yellow"/>
          <w:lang w:val="en-US" w:eastAsia="zh-CN"/>
        </w:rPr>
        <w:t>需按照“</w:t>
      </w:r>
      <w:r>
        <w:rPr>
          <w:rFonts w:hint="eastAsia" w:ascii="宋体" w:hAnsi="宋体" w:eastAsia="宋体" w:cs="Times New Roman"/>
          <w:b/>
          <w:bCs/>
          <w:color w:val="000000"/>
          <w:sz w:val="24"/>
          <w:szCs w:val="24"/>
          <w:highlight w:val="yellow"/>
          <w:lang w:val="en-US" w:eastAsia="zh-CN"/>
        </w:rPr>
        <w:t>商务标开标日前一天”</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b/>
          <w:bCs/>
          <w:color w:val="000000"/>
          <w:sz w:val="24"/>
          <w:szCs w:val="24"/>
          <w:highlight w:val="yellow"/>
          <w:lang w:val="en-US" w:eastAsia="zh-CN"/>
        </w:rPr>
        <w:t>，并在澄清函内明确总报价的构成及汇率</w:t>
      </w:r>
      <w:r>
        <w:rPr>
          <w:rFonts w:hint="eastAsia" w:ascii="宋体" w:hAnsi="宋体" w:eastAsia="宋体" w:cs="Times New Roman"/>
          <w:color w:val="000000"/>
          <w:sz w:val="24"/>
          <w:szCs w:val="24"/>
          <w:highlight w:val="yellow"/>
        </w:rPr>
        <w:t>；</w:t>
      </w:r>
    </w:p>
    <w:p w14:paraId="4A7F43B5">
      <w:pPr>
        <w:pStyle w:val="3"/>
        <w:ind w:firstLine="480" w:firstLineChars="200"/>
        <w:rPr>
          <w:rFonts w:hint="default" w:eastAsia="宋体"/>
          <w:b w:val="0"/>
          <w:bCs w:val="0"/>
          <w:highlight w:val="yellow"/>
          <w:lang w:val="en-US" w:eastAsia="zh-CN"/>
        </w:rPr>
      </w:pPr>
      <w:r>
        <w:rPr>
          <w:rFonts w:hint="eastAsia" w:ascii="宋体" w:hAnsi="宋体" w:eastAsia="宋体" w:cs="Times New Roman"/>
          <w:b w:val="0"/>
          <w:bCs w:val="0"/>
          <w:color w:val="000000"/>
          <w:sz w:val="24"/>
          <w:szCs w:val="24"/>
          <w:highlight w:val="yellow"/>
          <w:lang w:val="en-US" w:eastAsia="zh-CN"/>
        </w:rPr>
        <w:t>B）对于既包含进口货物（签署外币合同，CIF青岛），又包含国内货物（签署人民币合同，含税价格）的，</w:t>
      </w:r>
      <w:r>
        <w:rPr>
          <w:rFonts w:hint="eastAsia" w:ascii="宋体" w:hAnsi="宋体" w:eastAsia="宋体" w:cs="Times New Roman"/>
          <w:b/>
          <w:bCs/>
          <w:color w:val="000000"/>
          <w:sz w:val="24"/>
          <w:szCs w:val="24"/>
          <w:highlight w:val="yellow"/>
          <w:lang w:val="en-US" w:eastAsia="zh-CN"/>
        </w:rPr>
        <w:t>首次投标报价</w:t>
      </w:r>
      <w:r>
        <w:rPr>
          <w:rFonts w:hint="eastAsia" w:ascii="宋体" w:hAnsi="宋体" w:eastAsia="宋体" w:cs="Times New Roman"/>
          <w:b w:val="0"/>
          <w:bCs w:val="0"/>
          <w:color w:val="000000"/>
          <w:sz w:val="24"/>
          <w:szCs w:val="24"/>
          <w:highlight w:val="yellow"/>
          <w:lang w:val="en-US" w:eastAsia="zh-CN"/>
        </w:rPr>
        <w:t>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发标日</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r>
        <w:rPr>
          <w:rFonts w:hint="eastAsia" w:ascii="宋体" w:hAnsi="宋体" w:eastAsia="宋体" w:cs="Times New Roman"/>
          <w:b/>
          <w:bCs/>
          <w:color w:val="000000"/>
          <w:sz w:val="24"/>
          <w:szCs w:val="24"/>
          <w:highlight w:val="yellow"/>
          <w:lang w:val="en-US" w:eastAsia="zh-CN"/>
        </w:rPr>
        <w:t>商务标澄清报价阶段</w:t>
      </w:r>
      <w:r>
        <w:rPr>
          <w:rFonts w:hint="eastAsia" w:ascii="宋体" w:hAnsi="宋体" w:eastAsia="宋体" w:cs="Times New Roman"/>
          <w:b w:val="0"/>
          <w:bCs w:val="0"/>
          <w:color w:val="000000"/>
          <w:sz w:val="24"/>
          <w:szCs w:val="24"/>
          <w:highlight w:val="yellow"/>
          <w:lang w:val="en-US" w:eastAsia="zh-CN"/>
        </w:rPr>
        <w:t>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商务标开标日前一天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r>
        <w:rPr>
          <w:rFonts w:hint="eastAsia" w:ascii="宋体" w:hAnsi="宋体" w:eastAsia="宋体" w:cs="Times New Roman"/>
          <w:color w:val="000000"/>
          <w:sz w:val="24"/>
          <w:szCs w:val="24"/>
          <w:highlight w:val="yellow"/>
          <w:lang w:val="en-US" w:eastAsia="zh-CN"/>
        </w:rPr>
        <w:t>，并在澄清函内明确总报价的构成及汇率</w:t>
      </w:r>
      <w:r>
        <w:rPr>
          <w:rFonts w:hint="eastAsia" w:ascii="宋体" w:hAnsi="宋体" w:eastAsia="宋体" w:cs="Times New Roman"/>
          <w:b w:val="0"/>
          <w:bCs w:val="0"/>
          <w:color w:val="000000"/>
          <w:sz w:val="24"/>
          <w:szCs w:val="24"/>
          <w:highlight w:val="yellow"/>
          <w:lang w:val="en-US" w:eastAsia="zh-CN"/>
        </w:rPr>
        <w:t>；</w:t>
      </w:r>
    </w:p>
    <w:p w14:paraId="514AC7B3">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Times New Roman"/>
          <w:color w:val="000000"/>
          <w:sz w:val="24"/>
          <w:szCs w:val="24"/>
          <w:highlight w:val="yellow"/>
          <w:lang w:val="en-US" w:eastAsia="zh-CN"/>
        </w:rPr>
        <w:t>C）对于全部为</w:t>
      </w:r>
      <w:r>
        <w:rPr>
          <w:rFonts w:hint="eastAsia" w:ascii="宋体" w:hAnsi="宋体" w:eastAsia="宋体" w:cs="Times New Roman"/>
          <w:color w:val="000000"/>
          <w:sz w:val="24"/>
          <w:szCs w:val="24"/>
          <w:highlight w:val="yellow"/>
        </w:rPr>
        <w:t>国内货物</w:t>
      </w:r>
      <w:r>
        <w:rPr>
          <w:rFonts w:hint="eastAsia" w:ascii="宋体" w:hAnsi="宋体" w:eastAsia="宋体" w:cs="Times New Roman"/>
          <w:color w:val="000000"/>
          <w:sz w:val="24"/>
          <w:szCs w:val="24"/>
          <w:highlight w:val="yellow"/>
          <w:lang w:val="en-US" w:eastAsia="zh-CN"/>
        </w:rPr>
        <w:t>的（签署人民币合同），</w:t>
      </w:r>
      <w:r>
        <w:rPr>
          <w:rFonts w:hint="eastAsia" w:ascii="宋体" w:hAnsi="宋体" w:eastAsia="宋体" w:cs="Times New Roman"/>
          <w:color w:val="000000"/>
          <w:sz w:val="24"/>
          <w:szCs w:val="24"/>
          <w:highlight w:val="yellow"/>
        </w:rPr>
        <w:t>报价为人民币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含税价</w:t>
      </w:r>
      <w:r>
        <w:rPr>
          <w:rFonts w:hint="eastAsia" w:ascii="宋体" w:hAnsi="宋体" w:eastAsia="宋体" w:cs="Times New Roman"/>
          <w:color w:val="000000"/>
          <w:sz w:val="24"/>
          <w:szCs w:val="24"/>
          <w:highlight w:val="yellow"/>
          <w:lang w:eastAsia="zh-CN"/>
        </w:rPr>
        <w:t>）</w:t>
      </w:r>
      <w:r>
        <w:rPr>
          <w:rFonts w:hint="eastAsia" w:ascii="宋体" w:hAnsi="宋体" w:eastAsia="宋体" w:cs="宋体"/>
          <w:b/>
          <w:bCs/>
          <w:color w:val="000000"/>
          <w:sz w:val="24"/>
          <w:szCs w:val="24"/>
          <w:highlight w:val="yellow"/>
        </w:rPr>
        <w:t>。</w:t>
      </w:r>
    </w:p>
    <w:p w14:paraId="068E2942">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3.2.2纸质报价说明：</w:t>
      </w:r>
    </w:p>
    <w:p w14:paraId="082F29DD">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yellow"/>
          <w:lang w:eastAsia="zh-CN"/>
        </w:rPr>
      </w:pPr>
      <w:r>
        <w:rPr>
          <w:rFonts w:hint="eastAsia" w:ascii="宋体" w:hAnsi="宋体" w:eastAsia="宋体" w:cs="宋体"/>
          <w:color w:val="000000"/>
          <w:sz w:val="24"/>
          <w:szCs w:val="24"/>
          <w:highlight w:val="yellow"/>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w:t>
      </w:r>
      <w:r>
        <w:rPr>
          <w:rFonts w:hint="eastAsia" w:ascii="宋体" w:hAnsi="宋体" w:eastAsia="宋体" w:cs="Times New Roman"/>
          <w:b/>
          <w:bCs/>
          <w:color w:val="000000"/>
          <w:sz w:val="24"/>
          <w:szCs w:val="24"/>
          <w:highlight w:val="yellow"/>
        </w:rPr>
        <w:t>分别注明应实际支付货币币种和金额</w:t>
      </w:r>
      <w:r>
        <w:rPr>
          <w:rFonts w:hint="eastAsia" w:ascii="宋体" w:hAnsi="宋体" w:eastAsia="宋体" w:cs="Times New Roman"/>
          <w:color w:val="000000"/>
          <w:sz w:val="24"/>
          <w:szCs w:val="24"/>
          <w:highlight w:val="yellow"/>
          <w:lang w:eastAsia="zh-CN"/>
        </w:rPr>
        <w:t>。</w:t>
      </w:r>
    </w:p>
    <w:p w14:paraId="02DAC494">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59A3D03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2F0647BB">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293EA5CE">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3285D73C">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4C291783">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14:paraId="1631F2F7">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3FB73D85">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7A5F681C">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14:paraId="235F6F4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0A64CC4F">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2F6DFCD6">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789CE1EE">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07867858">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6C6916E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1FF72597">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224D716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1421C8D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highlight w:val="yellow"/>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yellow"/>
        </w:rPr>
        <w:t>。</w:t>
      </w:r>
    </w:p>
    <w:p w14:paraId="7313F5F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200685CD">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14:paraId="083C980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347A8004">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14:paraId="064C775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14:paraId="5AC97E3B">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14:paraId="45E24470">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14:paraId="2D35A03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14:paraId="6A443DB2">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14:paraId="14F4DED5">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14:paraId="70ACEE84">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574DD623">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14:paraId="58347208">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14:paraId="3DF30617">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14:paraId="13F5A8E7">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14:paraId="46106458">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5A40633B">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14:paraId="317AFA00">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14:paraId="1F0849CC">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报名提交资料：均为盖章电子扫描版，</w:t>
      </w:r>
      <w:r>
        <w:rPr>
          <w:rFonts w:hint="eastAsia" w:eastAsia="宋体" w:cs="Times New Roman"/>
          <w:highlight w:val="yellow"/>
        </w:rPr>
        <w:t>用公司名称+文件名称命名</w:t>
      </w:r>
      <w:r>
        <w:rPr>
          <w:rFonts w:hint="eastAsia" w:eastAsia="宋体" w:cs="Times New Roman"/>
          <w:highlight w:val="none"/>
        </w:rPr>
        <w:t>。</w:t>
      </w:r>
    </w:p>
    <w:p w14:paraId="3984DC47">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7FC23121">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70A460B3">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14:paraId="78A0CA1E">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384F3E8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7D61C1D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5DA6EE7B">
      <w:pPr>
        <w:spacing w:line="360" w:lineRule="auto"/>
        <w:ind w:firstLine="480" w:firstLineChars="200"/>
        <w:rPr>
          <w:rFonts w:hint="eastAsia" w:ascii="宋体" w:hAnsi="宋体" w:eastAsia="宋体" w:cs="宋体"/>
          <w:color w:val="000000"/>
          <w:sz w:val="24"/>
          <w:szCs w:val="24"/>
          <w:highlight w:val="yellow"/>
        </w:rPr>
      </w:pPr>
      <w:bookmarkStart w:id="8" w:name="_Toc33266627"/>
      <w:bookmarkStart w:id="9" w:name="_Toc33267001"/>
      <w:bookmarkStart w:id="10" w:name="_Toc33285487"/>
      <w:bookmarkStart w:id="11" w:name="_Toc33265653"/>
      <w:bookmarkStart w:id="12" w:name="_Toc33266914"/>
      <w:bookmarkStart w:id="13" w:name="_Toc33265752"/>
      <w:bookmarkStart w:id="14" w:name="_Toc33266950"/>
      <w:r>
        <w:rPr>
          <w:rFonts w:hint="eastAsia" w:ascii="宋体" w:hAnsi="宋体" w:eastAsia="宋体" w:cs="宋体"/>
          <w:color w:val="000000"/>
          <w:sz w:val="24"/>
          <w:szCs w:val="24"/>
          <w:highlight w:val="yellow"/>
          <w:lang w:val="en-US" w:eastAsia="zh-CN"/>
        </w:rPr>
        <w:t>本项目采取现场开标模式</w:t>
      </w:r>
      <w:r>
        <w:rPr>
          <w:rFonts w:hint="eastAsia" w:ascii="宋体" w:hAnsi="宋体" w:eastAsia="宋体" w:cs="宋体"/>
          <w:color w:val="000000"/>
          <w:sz w:val="24"/>
          <w:szCs w:val="24"/>
          <w:highlight w:val="yellow"/>
        </w:rPr>
        <w:t>。</w:t>
      </w:r>
    </w:p>
    <w:p w14:paraId="09A73494">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8"/>
      <w:bookmarkEnd w:id="9"/>
      <w:bookmarkEnd w:id="10"/>
      <w:bookmarkEnd w:id="11"/>
      <w:bookmarkEnd w:id="12"/>
      <w:bookmarkEnd w:id="13"/>
      <w:bookmarkEnd w:id="14"/>
      <w:bookmarkStart w:id="15" w:name="_Toc395116633"/>
    </w:p>
    <w:bookmarkEnd w:id="15"/>
    <w:p w14:paraId="2F42898C">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158A6D56">
      <w:pPr>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
          <w:color w:val="000000"/>
          <w:sz w:val="24"/>
          <w:szCs w:val="24"/>
        </w:rPr>
      </w:pPr>
      <w:bookmarkStart w:id="16" w:name="_Toc33265753"/>
      <w:bookmarkStart w:id="17" w:name="_Toc395116634"/>
      <w:bookmarkStart w:id="18" w:name="_Toc33285489"/>
      <w:bookmarkStart w:id="19" w:name="_Toc33265654"/>
      <w:bookmarkStart w:id="20" w:name="_Toc33266915"/>
      <w:bookmarkStart w:id="21" w:name="_Toc33266951"/>
      <w:bookmarkStart w:id="22" w:name="_Toc33267002"/>
      <w:bookmarkStart w:id="23" w:name="_Toc33266628"/>
      <w:r>
        <w:rPr>
          <w:rFonts w:hint="eastAsia" w:ascii="宋体" w:hAnsi="宋体" w:eastAsia="宋体" w:cs="宋体"/>
          <w:sz w:val="24"/>
          <w:szCs w:val="24"/>
        </w:rPr>
        <w:t>本次招标采用</w:t>
      </w:r>
      <w:r>
        <w:rPr>
          <w:rFonts w:hint="eastAsia" w:ascii="宋体" w:hAnsi="宋体" w:eastAsia="宋体" w:cs="Times New Roman"/>
          <w:b/>
          <w:bCs/>
          <w:sz w:val="24"/>
          <w:szCs w:val="24"/>
        </w:rPr>
        <w:t>综合评价法</w:t>
      </w:r>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w:t>
      </w:r>
      <w:r>
        <w:rPr>
          <w:rFonts w:hint="eastAsia" w:ascii="宋体" w:hAnsi="宋体" w:eastAsia="宋体" w:cs="宋体"/>
          <w:b/>
          <w:color w:val="000000"/>
          <w:sz w:val="24"/>
          <w:szCs w:val="24"/>
          <w:highlight w:val="yellow"/>
        </w:rPr>
        <w:t>对未中标单位不做任何解释。</w:t>
      </w:r>
    </w:p>
    <w:bookmarkEnd w:id="16"/>
    <w:bookmarkEnd w:id="17"/>
    <w:bookmarkEnd w:id="18"/>
    <w:bookmarkEnd w:id="19"/>
    <w:bookmarkEnd w:id="20"/>
    <w:bookmarkEnd w:id="21"/>
    <w:bookmarkEnd w:id="22"/>
    <w:bookmarkEnd w:id="23"/>
    <w:p w14:paraId="7B4E16A1">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80CA169">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40300126">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7DC80CC1">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6D449C8F">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14:paraId="38463A3C">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yellow"/>
          <w:lang w:val="en-US" w:eastAsia="zh-CN"/>
        </w:rPr>
        <w:t>公开</w:t>
      </w:r>
      <w:r>
        <w:rPr>
          <w:rFonts w:hint="eastAsia" w:ascii="宋体" w:hAnsi="宋体" w:eastAsia="宋体" w:cs="宋体"/>
          <w:b/>
          <w:color w:val="000000"/>
          <w:sz w:val="24"/>
          <w:szCs w:val="24"/>
          <w:highlight w:val="none"/>
          <w:lang w:val="en-US" w:eastAsia="zh-CN"/>
        </w:rPr>
        <w:t>唱标：公示资质标入围单位的开标价格及商务条款响应情况；</w:t>
      </w:r>
    </w:p>
    <w:p w14:paraId="66702689">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eastAsia="宋体" w:cs="宋体"/>
          <w:b/>
          <w:bCs/>
          <w:color w:val="000000"/>
          <w:sz w:val="24"/>
          <w:szCs w:val="24"/>
          <w:highlight w:val="yellow"/>
          <w:u w:val="single"/>
          <w:lang w:val="en-US" w:eastAsia="zh-CN"/>
        </w:rPr>
        <w:t>附件14</w:t>
      </w:r>
      <w:r>
        <w:rPr>
          <w:rFonts w:hint="eastAsia" w:ascii="宋体" w:hAnsi="宋体" w:eastAsia="宋体" w:cs="宋体"/>
          <w:b/>
          <w:bCs/>
          <w:color w:val="000000"/>
          <w:sz w:val="24"/>
          <w:szCs w:val="24"/>
          <w:highlight w:val="none"/>
          <w:lang w:val="en-US" w:eastAsia="zh-CN"/>
        </w:rPr>
        <w:t>；</w:t>
      </w:r>
    </w:p>
    <w:p w14:paraId="5A4A8BA3">
      <w:pPr>
        <w:pageBreakBefore w:val="0"/>
        <w:numPr>
          <w:ilvl w:val="0"/>
          <w:numId w:val="8"/>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7A60F059">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C35DC18">
      <w:pPr>
        <w:pageBreakBefore w:val="0"/>
        <w:numPr>
          <w:ilvl w:val="0"/>
          <w:numId w:val="9"/>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Times New Roman"/>
          <w:b/>
          <w:color w:val="000000"/>
          <w:sz w:val="24"/>
          <w:szCs w:val="24"/>
          <w:highlight w:val="yellow"/>
          <w:lang w:val="en-US" w:eastAsia="zh-CN"/>
        </w:rPr>
        <w:t>综合得分中技术标得分占比30%，商务标得分占比70%</w:t>
      </w:r>
      <w:r>
        <w:rPr>
          <w:rFonts w:hint="eastAsia" w:ascii="宋体" w:hAnsi="宋体" w:eastAsia="宋体" w:cs="宋体"/>
          <w:b/>
          <w:color w:val="auto"/>
          <w:sz w:val="24"/>
          <w:szCs w:val="24"/>
        </w:rPr>
        <w:t>。</w:t>
      </w:r>
    </w:p>
    <w:p w14:paraId="61806E91">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82729AE">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14:paraId="12FCE418">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2E8395D7">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37209187">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73129112">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6D8D9BE5">
      <w:pPr>
        <w:pStyle w:val="1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14:paraId="48DA27CF">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48E276B5">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F218391">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7C1D9FE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68B49C8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65B2E99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1E21BB9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04F1FAE6">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69AF170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41E73E10">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416580C5">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rPr>
        <w:t>家；</w:t>
      </w:r>
    </w:p>
    <w:p w14:paraId="41FA249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7E972908">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596950F0">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14:paraId="07971090">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14:paraId="1E72C4DF">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hAnsi="宋体" w:eastAsia="宋体" w:cs="宋体"/>
          <w:color w:val="000000"/>
          <w:sz w:val="24"/>
          <w:szCs w:val="24"/>
          <w:lang w:eastAsia="zh-CN"/>
        </w:rPr>
        <w:t>的；</w:t>
      </w:r>
    </w:p>
    <w:p w14:paraId="41CA7011">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14:paraId="7814B75A">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45617CA8">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w:t>
      </w:r>
      <w:r>
        <w:rPr>
          <w:rFonts w:hint="eastAsia" w:ascii="宋体" w:hAnsi="Courier New" w:eastAsia="宋体" w:cs="Times New Roman"/>
          <w:sz w:val="24"/>
          <w:szCs w:val="24"/>
          <w:highlight w:val="none"/>
        </w:rPr>
        <w:t>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none"/>
        </w:rPr>
        <w:t>家的</w:t>
      </w:r>
      <w:r>
        <w:rPr>
          <w:rFonts w:hint="eastAsia" w:ascii="宋体" w:hAnsi="Courier New" w:eastAsia="宋体" w:cs="Times New Roman"/>
          <w:sz w:val="24"/>
          <w:szCs w:val="24"/>
        </w:rPr>
        <w:t>；</w:t>
      </w:r>
    </w:p>
    <w:p w14:paraId="7CBDECCB">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0E8716CB">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2756F1E9">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15954E96">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50E36F66">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69A506BD">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D65E537">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4F9EA0F3">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14:paraId="6DCBF1CB">
      <w:pPr>
        <w:pStyle w:val="17"/>
        <w:numPr>
          <w:ilvl w:val="255"/>
          <w:numId w:val="0"/>
        </w:numPr>
        <w:jc w:val="center"/>
        <w:outlineLvl w:val="0"/>
        <w:rPr>
          <w:rFonts w:ascii="Calibri" w:hAnsi="Calibri" w:eastAsia="宋体" w:cs="Times New Roman"/>
          <w:b/>
          <w:bCs/>
          <w:kern w:val="44"/>
          <w:sz w:val="36"/>
          <w:szCs w:val="44"/>
        </w:rPr>
      </w:pPr>
      <w:bookmarkStart w:id="24" w:name="_Toc217"/>
      <w:r>
        <w:rPr>
          <w:rFonts w:hint="eastAsia" w:ascii="Calibri" w:hAnsi="Calibri" w:eastAsia="宋体" w:cs="Times New Roman"/>
          <w:b/>
          <w:bCs/>
          <w:kern w:val="44"/>
          <w:sz w:val="36"/>
          <w:szCs w:val="44"/>
        </w:rPr>
        <w:t>第三部分 投标文件编制</w:t>
      </w:r>
      <w:bookmarkEnd w:id="24"/>
    </w:p>
    <w:p w14:paraId="4BE1422E">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1FB39F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85D56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72B077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618914AE">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6D323F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14:paraId="63824D66">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14:paraId="6530D151">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1E4A471E">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3C31907D">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3B005CD5">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594D6AC1">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14:paraId="5BC21E12">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40AB9F9E">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07E669CE">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716C0F34">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3</w:t>
      </w:r>
      <w:r>
        <w:rPr>
          <w:rFonts w:hint="eastAsia" w:ascii="宋体" w:hAnsi="Courier New" w:eastAsia="宋体" w:cs="Times New Roman"/>
          <w:bCs/>
          <w:color w:val="000000"/>
          <w:sz w:val="24"/>
          <w:szCs w:val="24"/>
        </w:rPr>
        <w:t>，其余未尽事宜请按各单位习惯制定即可。</w:t>
      </w:r>
    </w:p>
    <w:p w14:paraId="0E2619C8">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2E1634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14:paraId="35F4AE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080039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b/>
          <w:bCs/>
          <w:sz w:val="24"/>
          <w:szCs w:val="24"/>
        </w:rPr>
        <w:t>被授权人</w:t>
      </w:r>
      <w:r>
        <w:rPr>
          <w:rFonts w:hint="eastAsia" w:ascii="宋体" w:hAnsi="宋体" w:eastAsia="宋体" w:cs="宋体"/>
          <w:b/>
          <w:bCs/>
          <w:kern w:val="0"/>
          <w:sz w:val="24"/>
          <w:szCs w:val="21"/>
          <w:lang w:bidi="en-US"/>
        </w:rPr>
        <w:t>近</w:t>
      </w:r>
      <w:r>
        <w:rPr>
          <w:rFonts w:hint="eastAsia" w:ascii="宋体" w:hAnsi="宋体" w:eastAsia="宋体" w:cs="宋体"/>
          <w:b/>
          <w:bCs/>
          <w:kern w:val="0"/>
          <w:sz w:val="24"/>
          <w:szCs w:val="21"/>
          <w:highlight w:val="yellow"/>
          <w:u w:val="single"/>
          <w:lang w:bidi="en-US"/>
        </w:rPr>
        <w:t>6个月及以上</w:t>
      </w:r>
      <w:r>
        <w:rPr>
          <w:rFonts w:hint="eastAsia" w:ascii="宋体" w:hAnsi="宋体" w:eastAsia="宋体" w:cs="宋体"/>
          <w:b/>
          <w:bCs/>
          <w:kern w:val="0"/>
          <w:sz w:val="24"/>
          <w:szCs w:val="24"/>
          <w:highlight w:val="yellow"/>
          <w:lang w:val="en-US" w:eastAsia="zh-CN" w:bidi="en-US"/>
        </w:rPr>
        <w:t>在授权单位的</w:t>
      </w:r>
      <w:r>
        <w:rPr>
          <w:rFonts w:hint="eastAsia" w:ascii="宋体" w:hAnsi="宋体" w:eastAsia="宋体" w:cs="宋体"/>
          <w:b/>
          <w:bCs/>
          <w:kern w:val="0"/>
          <w:sz w:val="24"/>
          <w:szCs w:val="21"/>
          <w:lang w:bidi="en-US"/>
        </w:rPr>
        <w:t>社保缴纳证明</w:t>
      </w:r>
      <w:r>
        <w:rPr>
          <w:rFonts w:hint="eastAsia" w:ascii="宋体" w:hAnsi="宋体" w:eastAsia="宋体" w:cs="宋体"/>
          <w:b/>
          <w:color w:val="000000"/>
          <w:sz w:val="24"/>
          <w:szCs w:val="24"/>
        </w:rPr>
        <w:t>；</w:t>
      </w:r>
    </w:p>
    <w:p w14:paraId="1A604E2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14:paraId="6003BBC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14:paraId="02BABE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43CCF5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1.7企业信用证明材料（征信报告）；</w:t>
      </w:r>
    </w:p>
    <w:p w14:paraId="49F03F2C">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Times New Roman"/>
          <w:b w:val="0"/>
          <w:bCs/>
          <w:color w:val="000000"/>
          <w:sz w:val="24"/>
          <w:szCs w:val="24"/>
          <w:highlight w:val="none"/>
        </w:rPr>
        <w:t>；</w:t>
      </w:r>
    </w:p>
    <w:p w14:paraId="11E18869">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1.9企业最近半年的完税证明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14:paraId="1B41C201">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14:paraId="4139CB15">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bidi="ar"/>
        </w:rPr>
        <w:t>1.10企业对外担保说明</w:t>
      </w:r>
      <w:r>
        <w:rPr>
          <w:rFonts w:hint="eastAsia" w:ascii="宋体" w:hAnsi="宋体" w:eastAsia="宋体" w:cs="Times New Roman"/>
          <w:color w:val="000000"/>
          <w:kern w:val="2"/>
          <w:sz w:val="24"/>
          <w:szCs w:val="24"/>
          <w:highlight w:val="none"/>
          <w:lang w:val="en-US" w:eastAsia="zh-CN" w:bidi="ar"/>
        </w:rPr>
        <w:t>（写明贵单位对外有无对外担保和 质押业务，需加盖公章）</w:t>
      </w:r>
    </w:p>
    <w:p w14:paraId="71CB3E6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保密承诺函（附件4）；</w:t>
      </w:r>
    </w:p>
    <w:p w14:paraId="5201026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2</w:t>
      </w:r>
      <w:r>
        <w:rPr>
          <w:rFonts w:hint="eastAsia" w:ascii="宋体" w:hAnsi="宋体" w:eastAsia="宋体" w:cs="Times New Roman"/>
          <w:color w:val="000000"/>
          <w:sz w:val="24"/>
          <w:szCs w:val="24"/>
          <w:highlight w:val="none"/>
        </w:rPr>
        <w:t>企业同类项目业绩证明；</w:t>
      </w:r>
    </w:p>
    <w:p w14:paraId="280347B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3</w:t>
      </w:r>
      <w:r>
        <w:rPr>
          <w:rFonts w:hint="eastAsia" w:ascii="宋体" w:hAnsi="宋体" w:eastAsia="宋体" w:cs="Times New Roman"/>
          <w:color w:val="000000"/>
          <w:sz w:val="24"/>
          <w:szCs w:val="24"/>
          <w:highlight w:val="none"/>
        </w:rPr>
        <w:t>投标保证金缴纳凭证</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Times New Roman"/>
          <w:color w:val="000000"/>
          <w:sz w:val="24"/>
          <w:szCs w:val="24"/>
          <w:highlight w:val="none"/>
        </w:rPr>
        <w:t>。</w:t>
      </w:r>
    </w:p>
    <w:p w14:paraId="5C5AC84A">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14:paraId="3B0855AC">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必须先进行两列要求一一对照，不允许直接写无偏离；</w:t>
      </w:r>
    </w:p>
    <w:p w14:paraId="6CA1DECE">
      <w:pPr>
        <w:pStyle w:val="17"/>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FE73CE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1F7319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14:paraId="0E696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14:paraId="56FAFE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14:paraId="2EE60CBE">
      <w:pPr>
        <w:spacing w:line="360" w:lineRule="auto"/>
        <w:ind w:firstLine="480" w:firstLineChars="200"/>
        <w:rPr>
          <w:rFonts w:ascii="宋体" w:hAnsi="宋体" w:eastAsia="宋体" w:cs="Times New Roman"/>
          <w:color w:val="000000"/>
          <w:sz w:val="24"/>
          <w:szCs w:val="24"/>
        </w:rPr>
      </w:pPr>
      <w:bookmarkStart w:id="25"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25"/>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14:paraId="7AA668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14:paraId="30FA22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14:paraId="273629F9">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5D43D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6ADA3A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0F7198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14:paraId="4A2C4BF5">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14:paraId="7464B8B9">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38F909C4">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14:paraId="524BFA98">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4CB3BE0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14:paraId="37B8E224">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br w:type="page"/>
      </w:r>
    </w:p>
    <w:p w14:paraId="7559E996">
      <w:pPr>
        <w:rPr>
          <w:rFonts w:ascii="宋体" w:hAnsi="Calibri" w:eastAsia="宋体" w:cs="Times New Roman"/>
          <w:color w:val="000000"/>
          <w:sz w:val="30"/>
          <w:szCs w:val="30"/>
        </w:rPr>
      </w:pPr>
    </w:p>
    <w:p w14:paraId="10DA7E5A">
      <w:pPr>
        <w:rPr>
          <w:rFonts w:ascii="宋体" w:hAnsi="Calibri" w:eastAsia="宋体" w:cs="Times New Roman"/>
          <w:color w:val="000000"/>
          <w:sz w:val="30"/>
          <w:szCs w:val="30"/>
        </w:rPr>
      </w:pPr>
      <w:bookmarkStart w:id="26" w:name="_Toc9849"/>
    </w:p>
    <w:bookmarkEnd w:id="0"/>
    <w:bookmarkEnd w:id="1"/>
    <w:bookmarkEnd w:id="26"/>
    <w:p w14:paraId="2130695A">
      <w:pPr>
        <w:rPr>
          <w:rFonts w:ascii="宋体" w:hAnsi="Calibri" w:eastAsia="宋体" w:cs="Times New Roman"/>
          <w:color w:val="000000"/>
          <w:sz w:val="30"/>
          <w:szCs w:val="30"/>
        </w:rPr>
      </w:pPr>
      <w:bookmarkStart w:id="27" w:name="_Toc28859"/>
    </w:p>
    <w:p w14:paraId="624D717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66ADEEE">
      <w:pPr>
        <w:pStyle w:val="17"/>
      </w:pPr>
    </w:p>
    <w:p w14:paraId="151E2DCE">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5C4C0FD">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AMT变速箱疲劳寿命试验台项目</w:t>
      </w:r>
    </w:p>
    <w:p w14:paraId="5A2EB7AC">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1695E420">
      <w:pPr>
        <w:jc w:val="right"/>
        <w:rPr>
          <w:rFonts w:ascii="Calibri" w:hAnsi="Calibri" w:eastAsia="宋体" w:cs="Times New Roman"/>
          <w:color w:val="000000"/>
          <w:sz w:val="28"/>
          <w:szCs w:val="28"/>
        </w:rPr>
      </w:pPr>
    </w:p>
    <w:p w14:paraId="1D99DCA6">
      <w:pPr>
        <w:pStyle w:val="17"/>
      </w:pPr>
    </w:p>
    <w:p w14:paraId="3E15C4E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4956E6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6E6D55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64E099C">
      <w:pPr>
        <w:jc w:val="center"/>
        <w:rPr>
          <w:rFonts w:ascii="黑体" w:hAnsi="宋体" w:eastAsia="黑体" w:cs="Times New Roman"/>
          <w:color w:val="000000"/>
          <w:sz w:val="84"/>
          <w:szCs w:val="84"/>
        </w:rPr>
      </w:pPr>
      <w:r>
        <w:rPr>
          <w:rFonts w:hint="eastAsia" w:ascii="黑体" w:hAnsi="宋体" w:eastAsia="黑体" w:cs="Times New Roman"/>
          <w:color w:val="000000"/>
          <w:sz w:val="72"/>
          <w:szCs w:val="72"/>
        </w:rPr>
        <w:t>书</w:t>
      </w:r>
    </w:p>
    <w:p w14:paraId="1F868407">
      <w:pPr>
        <w:pStyle w:val="17"/>
      </w:pPr>
    </w:p>
    <w:p w14:paraId="53BBA820">
      <w:pPr>
        <w:pStyle w:val="17"/>
        <w:rPr>
          <w:rFonts w:ascii="黑体" w:hAnsi="宋体" w:eastAsia="黑体" w:cs="Times New Roman"/>
          <w:color w:val="000000"/>
          <w:sz w:val="72"/>
          <w:szCs w:val="72"/>
        </w:rPr>
      </w:pPr>
    </w:p>
    <w:p w14:paraId="24E41CD4">
      <w:pPr>
        <w:pStyle w:val="17"/>
        <w:rPr>
          <w:rFonts w:ascii="黑体" w:hAnsi="宋体" w:eastAsia="黑体" w:cs="Times New Roman"/>
          <w:color w:val="000000"/>
          <w:sz w:val="72"/>
          <w:szCs w:val="72"/>
        </w:rPr>
      </w:pPr>
    </w:p>
    <w:p w14:paraId="00F87B65">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832263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83A26F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561EAD2A">
      <w:pPr>
        <w:pStyle w:val="17"/>
        <w:rPr>
          <w:b/>
          <w:bCs/>
        </w:rPr>
      </w:pPr>
    </w:p>
    <w:p w14:paraId="74595E89">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F87162C">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4月</w:t>
      </w:r>
    </w:p>
    <w:p w14:paraId="3E51E4DA">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3FC18F57">
      <w:pPr>
        <w:keepNext/>
        <w:keepLines/>
        <w:spacing w:before="120" w:after="120" w:line="480" w:lineRule="exact"/>
        <w:jc w:val="center"/>
        <w:outlineLvl w:val="1"/>
        <w:rPr>
          <w:rFonts w:ascii="宋体" w:hAnsi="Calibri" w:eastAsia="宋体" w:cs="Times New Roman"/>
          <w:b/>
          <w:bCs/>
          <w:kern w:val="44"/>
          <w:sz w:val="28"/>
          <w:szCs w:val="28"/>
        </w:rPr>
      </w:pPr>
      <w:bookmarkStart w:id="28"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28"/>
    </w:p>
    <w:p w14:paraId="203A16DF">
      <w:pPr>
        <w:keepNext/>
        <w:keepLines/>
        <w:spacing w:before="120" w:after="120" w:line="480" w:lineRule="exact"/>
        <w:jc w:val="center"/>
        <w:outlineLvl w:val="2"/>
        <w:rPr>
          <w:rFonts w:ascii="Arial" w:hAnsi="Arial" w:eastAsia="宋体" w:cs="Times New Roman"/>
          <w:b/>
          <w:bCs/>
          <w:sz w:val="24"/>
          <w:szCs w:val="24"/>
        </w:rPr>
      </w:pPr>
      <w:bookmarkStart w:id="29"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9"/>
    </w:p>
    <w:p w14:paraId="7C8320F6">
      <w:pPr>
        <w:spacing w:line="360" w:lineRule="auto"/>
        <w:outlineLvl w:val="3"/>
        <w:rPr>
          <w:rFonts w:ascii="宋体" w:hAnsi="宋体" w:eastAsia="宋体" w:cs="宋体"/>
          <w:color w:val="000000" w:themeColor="text1"/>
          <w:sz w:val="24"/>
          <w:szCs w:val="24"/>
          <w:u w:val="single"/>
          <w:shd w:val="pct10" w:color="auto" w:fill="FFFFFF"/>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一、项目名称：</w:t>
      </w:r>
      <w:r>
        <w:rPr>
          <w:rFonts w:hint="eastAsia" w:ascii="宋体" w:hAnsi="宋体" w:eastAsia="宋体" w:cs="宋体"/>
          <w:sz w:val="24"/>
          <w:szCs w:val="24"/>
          <w:highlight w:val="none"/>
          <w:u w:val="single"/>
          <w:shd w:val="pct10" w:color="auto" w:fill="FFFFFF"/>
          <w:lang w:val="en-US" w:eastAsia="zh-CN"/>
        </w:rPr>
        <w:t>动态翻转试验台</w:t>
      </w:r>
    </w:p>
    <w:p w14:paraId="2F90589D">
      <w:pPr>
        <w:spacing w:line="360" w:lineRule="auto"/>
        <w:outlineLvl w:val="3"/>
        <w:rPr>
          <w:rFonts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二、建设地点：</w:t>
      </w:r>
      <w:r>
        <w:rPr>
          <w:rFonts w:hint="eastAsia" w:ascii="宋体" w:hAnsi="宋体" w:eastAsia="宋体" w:cs="宋体"/>
          <w:sz w:val="24"/>
          <w:szCs w:val="24"/>
          <w:highlight w:val="none"/>
          <w:u w:val="single"/>
          <w:shd w:val="pct10" w:color="auto" w:fill="FFFFFF"/>
        </w:rPr>
        <w:t>中国重汽集团</w:t>
      </w:r>
      <w:r>
        <w:rPr>
          <w:rFonts w:hint="eastAsia" w:ascii="宋体" w:hAnsi="宋体" w:eastAsia="宋体" w:cs="宋体"/>
          <w:sz w:val="24"/>
          <w:szCs w:val="24"/>
          <w:highlight w:val="none"/>
          <w:u w:val="single"/>
          <w:shd w:val="pct10" w:color="auto" w:fill="FFFFFF"/>
          <w:lang w:val="en-US" w:eastAsia="zh-CN"/>
        </w:rPr>
        <w:t>莱芜二期3#动力总成试验室</w:t>
      </w:r>
    </w:p>
    <w:p w14:paraId="0250B4C2">
      <w:pPr>
        <w:spacing w:line="360" w:lineRule="auto"/>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三、使用地点：</w:t>
      </w:r>
      <w:r>
        <w:rPr>
          <w:rFonts w:hint="eastAsia" w:ascii="宋体" w:hAnsi="宋体" w:eastAsia="宋体" w:cs="宋体"/>
          <w:sz w:val="24"/>
          <w:szCs w:val="24"/>
          <w:highlight w:val="none"/>
          <w:u w:val="single"/>
          <w:shd w:val="pct10" w:color="auto" w:fill="FFFFFF"/>
        </w:rPr>
        <w:t>中国重汽集团</w:t>
      </w:r>
      <w:r>
        <w:rPr>
          <w:rFonts w:hint="eastAsia" w:ascii="宋体" w:hAnsi="宋体" w:eastAsia="宋体" w:cs="宋体"/>
          <w:sz w:val="24"/>
          <w:szCs w:val="24"/>
          <w:highlight w:val="none"/>
          <w:u w:val="single"/>
          <w:shd w:val="pct10" w:color="auto" w:fill="FFFFFF"/>
          <w:lang w:val="en-US" w:eastAsia="zh-CN"/>
        </w:rPr>
        <w:t>莱芜二期3#动力总成试验室</w:t>
      </w:r>
    </w:p>
    <w:p w14:paraId="07129E5B">
      <w:pPr>
        <w:spacing w:line="360" w:lineRule="auto"/>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四、工作制度：全年工作</w:t>
      </w:r>
      <w:r>
        <w:rPr>
          <w:rFonts w:ascii="宋体" w:hAnsi="宋体" w:eastAsia="宋体" w:cs="宋体"/>
          <w:color w:val="000000" w:themeColor="text1"/>
          <w:sz w:val="24"/>
          <w:szCs w:val="24"/>
          <w:u w:val="single"/>
          <w:shd w:val="pct10" w:color="auto" w:fill="FFFFFF"/>
          <w14:textFill>
            <w14:solidFill>
              <w14:schemeClr w14:val="tx1"/>
            </w14:solidFill>
          </w14:textFill>
        </w:rPr>
        <w:t>365</w:t>
      </w:r>
      <w:r>
        <w:rPr>
          <w:rFonts w:hint="eastAsia" w:ascii="宋体" w:hAnsi="宋体" w:eastAsia="宋体" w:cs="宋体"/>
          <w:color w:val="000000" w:themeColor="text1"/>
          <w:sz w:val="24"/>
          <w:szCs w:val="24"/>
          <w14:textFill>
            <w14:solidFill>
              <w14:schemeClr w14:val="tx1"/>
            </w14:solidFill>
          </w14:textFill>
        </w:rPr>
        <w:t>天、</w:t>
      </w:r>
      <w:r>
        <w:rPr>
          <w:rFonts w:hint="eastAsia" w:ascii="宋体" w:hAnsi="宋体" w:eastAsia="宋体" w:cs="宋体"/>
          <w:color w:val="000000" w:themeColor="text1"/>
          <w:sz w:val="24"/>
          <w:szCs w:val="24"/>
          <w:u w:val="single"/>
          <w:shd w:val="pct10" w:color="auto" w:fill="FFFFFF"/>
          <w14:textFill>
            <w14:solidFill>
              <w14:schemeClr w14:val="tx1"/>
            </w14:solidFill>
          </w14:textFill>
        </w:rPr>
        <w:t xml:space="preserve"> </w:t>
      </w:r>
      <w:r>
        <w:rPr>
          <w:rFonts w:hint="eastAsia" w:ascii="宋体" w:hAnsi="宋体" w:eastAsia="宋体" w:cs="宋体"/>
          <w:color w:val="000000" w:themeColor="text1"/>
          <w:sz w:val="24"/>
          <w:szCs w:val="24"/>
          <w:u w:val="single"/>
          <w:shd w:val="pct10" w:color="auto" w:fill="FFFFFF"/>
          <w:lang w:val="en-US" w:eastAsia="zh-CN"/>
          <w14:textFill>
            <w14:solidFill>
              <w14:schemeClr w14:val="tx1"/>
            </w14:solidFill>
          </w14:textFill>
        </w:rPr>
        <w:t>两</w:t>
      </w:r>
      <w:r>
        <w:rPr>
          <w:rFonts w:hint="eastAsia" w:ascii="宋体" w:hAnsi="宋体" w:eastAsia="宋体" w:cs="宋体"/>
          <w:color w:val="000000" w:themeColor="text1"/>
          <w:sz w:val="24"/>
          <w:szCs w:val="24"/>
          <w:u w:val="single"/>
          <w:shd w:val="pct10" w:color="auto" w:fill="FFFFFF"/>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班制、设备年时基数</w:t>
      </w:r>
      <w:r>
        <w:rPr>
          <w:rFonts w:hint="eastAsia" w:ascii="宋体" w:hAnsi="宋体" w:eastAsia="宋体" w:cs="宋体"/>
          <w:color w:val="000000" w:themeColor="text1"/>
          <w:sz w:val="24"/>
          <w:szCs w:val="24"/>
          <w:u w:val="single"/>
          <w:shd w:val="pct10" w:color="auto" w:fill="FFFFFF"/>
          <w:lang w:val="en-US" w:eastAsia="zh-CN"/>
          <w14:textFill>
            <w14:solidFill>
              <w14:schemeClr w14:val="tx1"/>
            </w14:solidFill>
          </w14:textFill>
        </w:rPr>
        <w:t>438</w:t>
      </w:r>
      <w:r>
        <w:rPr>
          <w:rFonts w:ascii="宋体" w:hAnsi="宋体" w:eastAsia="宋体" w:cs="宋体"/>
          <w:color w:val="000000" w:themeColor="text1"/>
          <w:sz w:val="24"/>
          <w:szCs w:val="24"/>
          <w:u w:val="single"/>
          <w:shd w:val="pct10" w:color="auto" w:fill="FFFFFF"/>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小时</w:t>
      </w:r>
    </w:p>
    <w:p w14:paraId="592ED4E8">
      <w:pPr>
        <w:spacing w:line="360" w:lineRule="auto"/>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五、使用地点区域自然环境：</w:t>
      </w:r>
    </w:p>
    <w:p w14:paraId="1A5BC9C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海拔高度：20～60m。</w:t>
      </w:r>
    </w:p>
    <w:p w14:paraId="6E04829E">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环境温度：室外极端最低温度-</w:t>
      </w:r>
      <w:r>
        <w:rPr>
          <w:rFonts w:hint="eastAsia" w:ascii="宋体" w:hAnsi="宋体" w:eastAsia="宋体" w:cs="宋体"/>
          <w:bCs/>
          <w:sz w:val="24"/>
          <w:szCs w:val="24"/>
          <w:highlight w:val="none"/>
          <w:lang w:val="en-US" w:eastAsia="zh-CN"/>
        </w:rPr>
        <w:t>18</w:t>
      </w:r>
      <w:r>
        <w:rPr>
          <w:rFonts w:hint="eastAsia" w:ascii="宋体" w:hAnsi="宋体" w:eastAsia="宋体" w:cs="宋体"/>
          <w:bCs/>
          <w:sz w:val="24"/>
          <w:szCs w:val="24"/>
          <w:highlight w:val="none"/>
        </w:rPr>
        <w:t>℃、极端最高温度45℃，昼夜最大温差15℃；室内温度5～</w:t>
      </w:r>
      <w:r>
        <w:rPr>
          <w:rFonts w:hint="eastAsia" w:ascii="宋体" w:hAnsi="宋体" w:eastAsia="宋体" w:cs="宋体"/>
          <w:bCs/>
          <w:sz w:val="24"/>
          <w:szCs w:val="24"/>
          <w:highlight w:val="none"/>
          <w:lang w:val="en-US" w:eastAsia="zh-CN"/>
        </w:rPr>
        <w:t>40</w:t>
      </w:r>
      <w:r>
        <w:rPr>
          <w:rFonts w:hint="eastAsia" w:ascii="宋体" w:hAnsi="宋体" w:eastAsia="宋体" w:cs="宋体"/>
          <w:bCs/>
          <w:sz w:val="24"/>
          <w:szCs w:val="24"/>
          <w:highlight w:val="none"/>
        </w:rPr>
        <w:t>℃。</w:t>
      </w:r>
    </w:p>
    <w:p w14:paraId="7E4F67E7">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相对湿度：</w:t>
      </w:r>
      <w:r>
        <w:rPr>
          <w:rFonts w:hint="eastAsia" w:ascii="宋体" w:hAnsi="宋体" w:eastAsia="宋体" w:cs="宋体"/>
          <w:sz w:val="24"/>
          <w:szCs w:val="24"/>
          <w:highlight w:val="none"/>
        </w:rPr>
        <w:t>年平均67%，</w:t>
      </w:r>
      <w:r>
        <w:rPr>
          <w:rFonts w:hint="eastAsia" w:ascii="宋体" w:hAnsi="宋体" w:eastAsia="宋体" w:cs="宋体"/>
          <w:bCs/>
          <w:sz w:val="24"/>
          <w:szCs w:val="24"/>
          <w:highlight w:val="none"/>
        </w:rPr>
        <w:t>最大98%、最小25%。</w:t>
      </w:r>
    </w:p>
    <w:p w14:paraId="22477A6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4、地震设防</w:t>
      </w:r>
      <w:r>
        <w:rPr>
          <w:rFonts w:hint="eastAsia" w:ascii="宋体" w:hAnsi="宋体" w:eastAsia="宋体" w:cs="宋体"/>
          <w:sz w:val="24"/>
          <w:szCs w:val="24"/>
          <w:highlight w:val="none"/>
          <w:lang w:val="en-US" w:eastAsia="zh-CN"/>
        </w:rPr>
        <w:t>烈</w:t>
      </w:r>
      <w:r>
        <w:rPr>
          <w:rFonts w:hint="eastAsia" w:ascii="宋体" w:hAnsi="宋体" w:eastAsia="宋体" w:cs="宋体"/>
          <w:sz w:val="24"/>
          <w:szCs w:val="24"/>
          <w:highlight w:val="none"/>
        </w:rPr>
        <w:t>度：七度。</w:t>
      </w:r>
    </w:p>
    <w:p w14:paraId="2411AC01">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14:paraId="4B228A28">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1、电力：中国制式，供电电压</w:t>
      </w:r>
      <w:r>
        <w:rPr>
          <w:rFonts w:hint="eastAsia" w:ascii="宋体" w:hAnsi="宋体" w:eastAsia="宋体" w:cs="宋体"/>
          <w:bCs/>
          <w:sz w:val="24"/>
          <w:szCs w:val="24"/>
          <w:highlight w:val="none"/>
          <w:lang w:val="en-US" w:eastAsia="zh-CN"/>
        </w:rPr>
        <w:t>690V和</w:t>
      </w:r>
      <w:r>
        <w:rPr>
          <w:rFonts w:hint="eastAsia" w:ascii="宋体" w:hAnsi="宋体" w:eastAsia="宋体" w:cs="宋体"/>
          <w:bCs/>
          <w:sz w:val="24"/>
          <w:szCs w:val="24"/>
          <w:highlight w:val="none"/>
        </w:rPr>
        <w:t>380V±1</w:t>
      </w:r>
      <w:r>
        <w:rPr>
          <w:rFonts w:hint="eastAsia" w:ascii="宋体" w:hAnsi="宋体" w:eastAsia="宋体" w:cs="宋体"/>
          <w:bCs/>
          <w:sz w:val="24"/>
          <w:szCs w:val="24"/>
          <w:highlight w:val="none"/>
          <w:lang w:val="en-US" w:eastAsia="zh-CN"/>
        </w:rPr>
        <w:t>0</w:t>
      </w:r>
      <w:r>
        <w:rPr>
          <w:rFonts w:hint="eastAsia" w:ascii="宋体" w:hAnsi="宋体" w:eastAsia="宋体" w:cs="宋体"/>
          <w:bCs/>
          <w:sz w:val="24"/>
          <w:szCs w:val="24"/>
          <w:highlight w:val="none"/>
        </w:rPr>
        <w:t>%，供电频率50Hz±2%。</w:t>
      </w:r>
    </w:p>
    <w:p w14:paraId="4A615ECF">
      <w:pPr>
        <w:spacing w:line="360" w:lineRule="auto"/>
        <w:ind w:firstLine="480" w:firstLineChars="200"/>
        <w:rPr>
          <w:rFonts w:hint="default"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eastAsia="zh-CN"/>
        </w:rPr>
        <w:t>2、给水：冷却水：</w:t>
      </w:r>
      <w:r>
        <w:rPr>
          <w:rFonts w:hint="eastAsia" w:ascii="宋体" w:hAnsi="宋体" w:eastAsia="宋体" w:cs="宋体"/>
          <w:bCs/>
          <w:sz w:val="24"/>
          <w:szCs w:val="24"/>
          <w:highlight w:val="none"/>
          <w:lang w:val="en-US" w:eastAsia="zh-CN"/>
        </w:rPr>
        <w:t>25±3</w:t>
      </w:r>
      <w:r>
        <w:rPr>
          <w:rFonts w:hint="default" w:ascii="宋体" w:hAnsi="宋体" w:eastAsia="宋体" w:cs="宋体"/>
          <w:bCs/>
          <w:sz w:val="24"/>
          <w:szCs w:val="24"/>
          <w:highlight w:val="none"/>
          <w:lang w:val="en-US" w:eastAsia="zh-CN"/>
        </w:rPr>
        <w:t>℃，</w:t>
      </w:r>
      <w:r>
        <w:rPr>
          <w:rFonts w:hint="eastAsia" w:hAnsi="宋体" w:eastAsia="宋体" w:cs="宋体"/>
          <w:bCs/>
          <w:color w:val="auto"/>
          <w:sz w:val="24"/>
          <w:szCs w:val="24"/>
          <w:highlight w:val="none"/>
          <w:lang w:val="en-US" w:eastAsia="zh-CN"/>
        </w:rPr>
        <w:t>1</w:t>
      </w:r>
      <w:r>
        <w:rPr>
          <w:rFonts w:hint="default" w:hAnsi="宋体" w:eastAsia="宋体" w:cs="宋体"/>
          <w:bCs/>
          <w:color w:val="auto"/>
          <w:sz w:val="24"/>
          <w:szCs w:val="24"/>
          <w:highlight w:val="none"/>
          <w:lang w:val="en-US" w:eastAsia="zh-CN"/>
        </w:rPr>
        <w:t>m</w:t>
      </w:r>
      <w:r>
        <w:rPr>
          <w:rFonts w:hint="eastAsia" w:hAnsi="宋体" w:eastAsia="宋体" w:cs="宋体"/>
          <w:bCs/>
          <w:color w:val="auto"/>
          <w:sz w:val="24"/>
          <w:szCs w:val="24"/>
          <w:highlight w:val="none"/>
          <w:vertAlign w:val="superscript"/>
          <w:lang w:val="en-US" w:eastAsia="zh-CN"/>
        </w:rPr>
        <w:t>3</w:t>
      </w:r>
      <w:r>
        <w:rPr>
          <w:rFonts w:hint="default" w:hAnsi="宋体" w:eastAsia="宋体" w:cs="宋体"/>
          <w:bCs/>
          <w:color w:val="auto"/>
          <w:sz w:val="24"/>
          <w:szCs w:val="24"/>
          <w:highlight w:val="none"/>
          <w:lang w:val="en-US" w:eastAsia="zh-CN"/>
        </w:rPr>
        <w:t>/min</w:t>
      </w:r>
      <w:r>
        <w:rPr>
          <w:rFonts w:hint="default" w:ascii="宋体" w:hAnsi="宋体" w:eastAsia="宋体" w:cs="宋体"/>
          <w:bCs/>
          <w:sz w:val="24"/>
          <w:szCs w:val="24"/>
          <w:highlight w:val="none"/>
          <w:lang w:val="en-US" w:eastAsia="zh-CN"/>
        </w:rPr>
        <w:t>。</w:t>
      </w:r>
    </w:p>
    <w:p w14:paraId="4CC0066F">
      <w:pPr>
        <w:spacing w:line="360" w:lineRule="auto"/>
        <w:ind w:firstLine="480" w:firstLineChars="200"/>
        <w:rPr>
          <w:rFonts w:hint="eastAsia" w:ascii="宋体" w:hAnsi="宋体" w:eastAsia="宋体" w:cs="宋体"/>
          <w:bCs/>
          <w:sz w:val="24"/>
          <w:szCs w:val="24"/>
          <w:highlight w:val="none"/>
        </w:rPr>
      </w:pPr>
      <w:r>
        <w:rPr>
          <w:rFonts w:hint="default" w:ascii="宋体" w:hAnsi="宋体" w:eastAsia="宋体" w:cs="宋体"/>
          <w:bCs/>
          <w:sz w:val="24"/>
          <w:szCs w:val="24"/>
          <w:highlight w:val="none"/>
          <w:lang w:val="en-US" w:eastAsia="zh-CN"/>
        </w:rPr>
        <w:t>3、压缩空气：空压机产的压缩空气</w:t>
      </w:r>
      <w:r>
        <w:rPr>
          <w:rFonts w:hint="eastAsia" w:ascii="宋体" w:hAnsi="宋体" w:eastAsia="宋体" w:cs="宋体"/>
          <w:bCs/>
          <w:sz w:val="24"/>
          <w:szCs w:val="24"/>
          <w:highlight w:val="none"/>
          <w:lang w:val="en-US" w:eastAsia="zh-CN"/>
        </w:rPr>
        <w:t>1MPa</w:t>
      </w:r>
      <w:r>
        <w:rPr>
          <w:rFonts w:hint="default" w:ascii="宋体" w:hAnsi="宋体" w:eastAsia="宋体" w:cs="宋体"/>
          <w:bCs/>
          <w:sz w:val="24"/>
          <w:szCs w:val="24"/>
          <w:highlight w:val="none"/>
          <w:lang w:val="en-US" w:eastAsia="zh-CN"/>
        </w:rPr>
        <w:t>,经除水、油处理</w:t>
      </w:r>
      <w:r>
        <w:rPr>
          <w:rFonts w:hint="eastAsia" w:ascii="宋体" w:hAnsi="宋体" w:eastAsia="宋体" w:cs="宋体"/>
          <w:bCs/>
          <w:sz w:val="24"/>
          <w:szCs w:val="24"/>
          <w:highlight w:val="none"/>
        </w:rPr>
        <w:t>。</w:t>
      </w:r>
    </w:p>
    <w:p w14:paraId="1E06F600">
      <w:pPr>
        <w:spacing w:line="360" w:lineRule="auto"/>
        <w:ind w:firstLine="480" w:firstLineChars="200"/>
        <w:rPr>
          <w:rFonts w:ascii="宋体" w:hAnsi="宋体" w:eastAsia="宋体" w:cs="宋体"/>
          <w:bCs/>
          <w:color w:val="000000" w:themeColor="text1"/>
          <w:sz w:val="24"/>
          <w:szCs w:val="24"/>
          <w14:textFill>
            <w14:solidFill>
              <w14:schemeClr w14:val="tx1"/>
            </w14:solidFill>
          </w14:textFill>
        </w:rPr>
      </w:pPr>
    </w:p>
    <w:p w14:paraId="41D40429">
      <w:pPr>
        <w:keepNext/>
        <w:keepLines/>
        <w:spacing w:before="120" w:after="120" w:line="360" w:lineRule="auto"/>
        <w:jc w:val="center"/>
        <w:outlineLvl w:val="2"/>
        <w:rPr>
          <w:rFonts w:ascii="宋体" w:hAnsi="Arial"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第二节</w:t>
      </w:r>
      <w:r>
        <w:rPr>
          <w:rFonts w:ascii="宋体" w:hAnsi="宋体" w:eastAsia="宋体" w:cs="Times New Roman"/>
          <w:b/>
          <w:bCs/>
          <w:color w:val="000000" w:themeColor="text1"/>
          <w:sz w:val="24"/>
          <w:szCs w:val="24"/>
          <w14:textFill>
            <w14:solidFill>
              <w14:schemeClr w14:val="tx1"/>
            </w14:solidFill>
          </w14:textFill>
        </w:rPr>
        <w:t xml:space="preserve">  </w:t>
      </w:r>
      <w:r>
        <w:rPr>
          <w:rFonts w:hint="eastAsia" w:ascii="宋体" w:hAnsi="宋体" w:eastAsia="宋体" w:cs="Times New Roman"/>
          <w:b/>
          <w:bCs/>
          <w:color w:val="000000" w:themeColor="text1"/>
          <w:sz w:val="24"/>
          <w:szCs w:val="24"/>
          <w14:textFill>
            <w14:solidFill>
              <w14:schemeClr w14:val="tx1"/>
            </w14:solidFill>
          </w14:textFill>
        </w:rPr>
        <w:t>采购货物概况</w:t>
      </w:r>
    </w:p>
    <w:p w14:paraId="549B6506">
      <w:pPr>
        <w:spacing w:line="420" w:lineRule="exact"/>
        <w:outlineLvl w:val="3"/>
        <w:rPr>
          <w:rFonts w:ascii="宋体" w:hAnsi="宋体" w:eastAsia="宋体" w:cs="宋体"/>
          <w:color w:val="000000" w:themeColor="text1"/>
          <w:sz w:val="24"/>
          <w:szCs w:val="24"/>
          <w:u w:val="single"/>
          <w:shd w:val="pct10" w:color="auto" w:fill="FFFFFF"/>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一、货物名称：</w:t>
      </w:r>
      <w:r>
        <w:rPr>
          <w:rFonts w:hint="eastAsia" w:ascii="宋体" w:hAnsi="宋体" w:eastAsia="宋体" w:cs="宋体"/>
          <w:color w:val="auto"/>
          <w:sz w:val="24"/>
          <w:szCs w:val="24"/>
          <w:highlight w:val="none"/>
          <w:u w:val="single"/>
          <w:shd w:val="pct10" w:color="auto" w:fill="FFFFFF"/>
          <w:lang w:val="en-US" w:eastAsia="zh-CN"/>
        </w:rPr>
        <w:t>动态翻转试验台</w:t>
      </w:r>
      <w:r>
        <w:rPr>
          <w:rFonts w:hint="eastAsia" w:ascii="宋体" w:hAnsi="宋体" w:eastAsia="宋体" w:cs="宋体"/>
          <w:color w:val="000000" w:themeColor="text1"/>
          <w:sz w:val="24"/>
          <w:szCs w:val="24"/>
          <w14:textFill>
            <w14:solidFill>
              <w14:schemeClr w14:val="tx1"/>
            </w14:solidFill>
          </w14:textFill>
        </w:rPr>
        <w:t>（详见下表）</w:t>
      </w:r>
    </w:p>
    <w:p w14:paraId="12BF4BF5">
      <w:pPr>
        <w:spacing w:line="420" w:lineRule="exact"/>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二、货物数量：</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1套</w:t>
      </w:r>
      <w:r>
        <w:rPr>
          <w:rFonts w:hint="eastAsia" w:ascii="宋体" w:hAnsi="宋体" w:eastAsia="宋体" w:cs="宋体"/>
          <w:color w:val="000000" w:themeColor="text1"/>
          <w:sz w:val="24"/>
          <w:szCs w:val="24"/>
          <w14:textFill>
            <w14:solidFill>
              <w14:schemeClr w14:val="tx1"/>
            </w14:solidFill>
          </w14:textFill>
        </w:rPr>
        <w:t>（详见下表）</w:t>
      </w:r>
    </w:p>
    <w:p w14:paraId="7ED2413A">
      <w:pPr>
        <w:spacing w:line="420" w:lineRule="exact"/>
        <w:outlineLvl w:val="3"/>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三、分投分中：不允许</w:t>
      </w:r>
    </w:p>
    <w:p w14:paraId="55E7FC21">
      <w:pPr>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采购货物主要构成一览表：</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848"/>
        <w:gridCol w:w="1031"/>
        <w:gridCol w:w="923"/>
        <w:gridCol w:w="1215"/>
        <w:gridCol w:w="1846"/>
        <w:gridCol w:w="1675"/>
      </w:tblGrid>
      <w:tr w14:paraId="4BB4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99" w:type="pct"/>
            <w:vAlign w:val="center"/>
          </w:tcPr>
          <w:p w14:paraId="184712FC">
            <w:pPr>
              <w:spacing w:line="360" w:lineRule="exact"/>
              <w:jc w:val="center"/>
              <w:rPr>
                <w:rFonts w:ascii="宋体" w:hAnsi="宋体" w:eastAsia="宋体" w:cs="宋体"/>
                <w:sz w:val="24"/>
                <w:szCs w:val="24"/>
                <w:highlight w:val="none"/>
              </w:rPr>
            </w:pPr>
            <w:bookmarkStart w:id="30" w:name="_Hlk182916563"/>
            <w:r>
              <w:rPr>
                <w:rFonts w:hint="eastAsia" w:ascii="宋体" w:hAnsi="宋体" w:eastAsia="宋体" w:cs="宋体"/>
                <w:sz w:val="24"/>
                <w:szCs w:val="24"/>
                <w:highlight w:val="none"/>
              </w:rPr>
              <w:t>序号</w:t>
            </w:r>
          </w:p>
        </w:tc>
        <w:tc>
          <w:tcPr>
            <w:tcW w:w="995" w:type="pct"/>
            <w:vAlign w:val="center"/>
          </w:tcPr>
          <w:p w14:paraId="4075901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555" w:type="pct"/>
            <w:vAlign w:val="center"/>
          </w:tcPr>
          <w:p w14:paraId="58506366">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子项</w:t>
            </w:r>
          </w:p>
        </w:tc>
        <w:tc>
          <w:tcPr>
            <w:tcW w:w="497" w:type="pct"/>
            <w:vAlign w:val="center"/>
          </w:tcPr>
          <w:p w14:paraId="53D430D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654" w:type="pct"/>
            <w:vAlign w:val="center"/>
          </w:tcPr>
          <w:p w14:paraId="03E369D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994" w:type="pct"/>
            <w:vAlign w:val="center"/>
          </w:tcPr>
          <w:p w14:paraId="507DA2CC">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供货方式</w:t>
            </w:r>
          </w:p>
        </w:tc>
        <w:tc>
          <w:tcPr>
            <w:tcW w:w="902" w:type="pct"/>
            <w:vAlign w:val="center"/>
          </w:tcPr>
          <w:p w14:paraId="2AA5A1D8">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30BE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99" w:type="pct"/>
            <w:vAlign w:val="center"/>
          </w:tcPr>
          <w:p w14:paraId="109063C5">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995" w:type="pct"/>
            <w:vAlign w:val="center"/>
          </w:tcPr>
          <w:p w14:paraId="4B2D6E92">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动态翻转试验台</w:t>
            </w:r>
          </w:p>
        </w:tc>
        <w:tc>
          <w:tcPr>
            <w:tcW w:w="555" w:type="pct"/>
            <w:vAlign w:val="center"/>
          </w:tcPr>
          <w:p w14:paraId="66684BC6">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497" w:type="pct"/>
            <w:vAlign w:val="center"/>
          </w:tcPr>
          <w:p w14:paraId="064B12BD">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654" w:type="pct"/>
            <w:vAlign w:val="center"/>
          </w:tcPr>
          <w:p w14:paraId="2A5DE9B9">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994" w:type="pct"/>
            <w:vAlign w:val="center"/>
          </w:tcPr>
          <w:p w14:paraId="321C0800">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交钥匙方式</w:t>
            </w:r>
          </w:p>
        </w:tc>
        <w:tc>
          <w:tcPr>
            <w:tcW w:w="902" w:type="pct"/>
            <w:vAlign w:val="center"/>
          </w:tcPr>
          <w:p w14:paraId="0E0F1883">
            <w:pPr>
              <w:spacing w:line="360" w:lineRule="exact"/>
              <w:jc w:val="center"/>
              <w:rPr>
                <w:rFonts w:hint="default" w:ascii="宋体" w:hAnsi="宋体" w:eastAsia="宋体" w:cs="宋体"/>
                <w:sz w:val="21"/>
                <w:szCs w:val="21"/>
                <w:highlight w:val="none"/>
                <w:lang w:val="en-US" w:eastAsia="zh-CN"/>
              </w:rPr>
            </w:pPr>
          </w:p>
        </w:tc>
      </w:tr>
      <w:bookmarkEnd w:id="30"/>
    </w:tbl>
    <w:p w14:paraId="41566AA4">
      <w:pPr>
        <w:spacing w:line="360"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70AB6B3C">
      <w:pPr>
        <w:numPr>
          <w:ilvl w:val="0"/>
          <w:numId w:val="0"/>
        </w:numPr>
        <w:spacing w:line="360"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2.</w:t>
      </w:r>
      <w:r>
        <w:rPr>
          <w:rFonts w:hint="eastAsia" w:ascii="宋体" w:hAnsi="宋体" w:eastAsia="宋体" w:cs="宋体"/>
          <w:bCs/>
          <w:color w:val="000000" w:themeColor="text1"/>
          <w:sz w:val="24"/>
          <w:szCs w:val="24"/>
          <w14:textFill>
            <w14:solidFill>
              <w14:schemeClr w14:val="tx1"/>
            </w14:solidFill>
          </w14:textFill>
        </w:rPr>
        <w:t>本表“供货方式”指：交钥匙方式——包括制造、运输、定点卸货、安装、调试和协助验收以及约定培训等。</w:t>
      </w:r>
    </w:p>
    <w:p w14:paraId="3CBE9633">
      <w:pPr>
        <w:spacing w:line="360" w:lineRule="auto"/>
        <w:ind w:firstLine="480" w:firstLineChars="200"/>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主要器件品牌表（可选同等或更</w:t>
      </w:r>
      <w:r>
        <w:rPr>
          <w:rFonts w:hint="eastAsia" w:ascii="宋体" w:hAnsi="宋体" w:eastAsia="宋体" w:cs="宋体"/>
          <w:bCs/>
          <w:color w:val="auto"/>
          <w:sz w:val="24"/>
          <w:szCs w:val="24"/>
          <w:highlight w:val="none"/>
          <w:lang w:val="en-US" w:eastAsia="zh-CN"/>
        </w:rPr>
        <w:t>高</w:t>
      </w:r>
      <w:r>
        <w:rPr>
          <w:rFonts w:hint="eastAsia" w:ascii="宋体" w:hAnsi="宋体" w:eastAsia="宋体" w:cs="宋体"/>
          <w:bCs/>
          <w:color w:val="auto"/>
          <w:sz w:val="24"/>
          <w:szCs w:val="24"/>
          <w:highlight w:val="none"/>
        </w:rPr>
        <w:t>质量品牌）</w:t>
      </w:r>
    </w:p>
    <w:tbl>
      <w:tblPr>
        <w:tblStyle w:val="38"/>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2467"/>
        <w:gridCol w:w="4011"/>
        <w:gridCol w:w="2356"/>
      </w:tblGrid>
      <w:tr w14:paraId="11E8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4E54C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序号</w:t>
            </w:r>
          </w:p>
        </w:tc>
        <w:tc>
          <w:tcPr>
            <w:tcW w:w="2467" w:type="dxa"/>
            <w:vAlign w:val="center"/>
          </w:tcPr>
          <w:p w14:paraId="30A57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器件名称</w:t>
            </w:r>
          </w:p>
        </w:tc>
        <w:tc>
          <w:tcPr>
            <w:tcW w:w="4011" w:type="dxa"/>
            <w:vAlign w:val="center"/>
          </w:tcPr>
          <w:p w14:paraId="20DE9E3C">
            <w:pPr>
              <w:spacing w:line="240" w:lineRule="auto"/>
              <w:jc w:val="center"/>
              <w:rPr>
                <w:rFonts w:ascii="宋体" w:hAnsi="宋体" w:eastAsia="宋体" w:cs="宋体"/>
                <w:bCs/>
                <w:sz w:val="24"/>
                <w:szCs w:val="24"/>
                <w:highlight w:val="none"/>
              </w:rPr>
            </w:pPr>
            <w:r>
              <w:rPr>
                <w:rFonts w:hint="eastAsia" w:ascii="宋体" w:hAnsi="宋体" w:eastAsia="宋体" w:cs="宋体"/>
                <w:bCs/>
                <w:sz w:val="24"/>
                <w:szCs w:val="24"/>
                <w:highlight w:val="none"/>
              </w:rPr>
              <w:t>品牌</w:t>
            </w:r>
          </w:p>
        </w:tc>
        <w:tc>
          <w:tcPr>
            <w:tcW w:w="2356" w:type="dxa"/>
            <w:vAlign w:val="center"/>
          </w:tcPr>
          <w:p w14:paraId="5A5A10BE">
            <w:pPr>
              <w:spacing w:line="240" w:lineRule="auto"/>
              <w:jc w:val="center"/>
              <w:rPr>
                <w:rFonts w:ascii="宋体" w:hAnsi="宋体" w:eastAsia="宋体" w:cs="宋体"/>
                <w:bCs/>
                <w:sz w:val="24"/>
                <w:szCs w:val="24"/>
                <w:highlight w:val="none"/>
              </w:rPr>
            </w:pPr>
            <w:r>
              <w:rPr>
                <w:rFonts w:hint="eastAsia" w:ascii="宋体" w:hAnsi="宋体" w:eastAsia="宋体" w:cs="宋体"/>
                <w:bCs/>
                <w:sz w:val="24"/>
                <w:szCs w:val="24"/>
                <w:highlight w:val="none"/>
              </w:rPr>
              <w:t>品牌原产地</w:t>
            </w:r>
          </w:p>
        </w:tc>
      </w:tr>
      <w:tr w14:paraId="7DF9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6E23A6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宋体"/>
                <w:bCs/>
                <w:sz w:val="24"/>
                <w:szCs w:val="24"/>
                <w:highlight w:val="none"/>
              </w:rPr>
            </w:pPr>
            <w:r>
              <w:rPr>
                <w:rFonts w:hint="eastAsia" w:ascii="宋体" w:hAnsi="宋体" w:eastAsia="宋体" w:cs="宋体"/>
                <w:b w:val="0"/>
                <w:bCs w:val="0"/>
                <w:sz w:val="24"/>
                <w:szCs w:val="24"/>
                <w:highlight w:val="none"/>
                <w:vertAlign w:val="baseline"/>
                <w:lang w:val="en-US" w:eastAsia="zh-CN"/>
              </w:rPr>
              <w:t>1</w:t>
            </w:r>
          </w:p>
        </w:tc>
        <w:tc>
          <w:tcPr>
            <w:tcW w:w="2467" w:type="dxa"/>
            <w:vAlign w:val="center"/>
          </w:tcPr>
          <w:p w14:paraId="179055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 w:val="0"/>
                <w:bCs w:val="0"/>
                <w:sz w:val="24"/>
                <w:szCs w:val="24"/>
                <w:highlight w:val="none"/>
                <w:vertAlign w:val="baseline"/>
                <w:lang w:val="en-US" w:eastAsia="zh-CN"/>
              </w:rPr>
              <w:t>测功机</w:t>
            </w:r>
          </w:p>
        </w:tc>
        <w:tc>
          <w:tcPr>
            <w:tcW w:w="4011" w:type="dxa"/>
            <w:vAlign w:val="center"/>
          </w:tcPr>
          <w:p w14:paraId="3ABB6954">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ABB/西门子/Elin/其他国际一流品牌</w:t>
            </w:r>
          </w:p>
        </w:tc>
        <w:tc>
          <w:tcPr>
            <w:tcW w:w="2356" w:type="dxa"/>
            <w:vAlign w:val="center"/>
          </w:tcPr>
          <w:p w14:paraId="6277593B">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3969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74E627F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宋体"/>
                <w:bCs/>
                <w:sz w:val="24"/>
                <w:szCs w:val="24"/>
                <w:highlight w:val="none"/>
              </w:rPr>
            </w:pPr>
            <w:r>
              <w:rPr>
                <w:rFonts w:hint="eastAsia" w:ascii="宋体" w:hAnsi="宋体" w:eastAsia="宋体" w:cs="宋体"/>
                <w:b w:val="0"/>
                <w:bCs w:val="0"/>
                <w:sz w:val="24"/>
                <w:szCs w:val="24"/>
                <w:highlight w:val="none"/>
                <w:vertAlign w:val="baseline"/>
                <w:lang w:val="en-US" w:eastAsia="zh-CN"/>
              </w:rPr>
              <w:t>2</w:t>
            </w:r>
          </w:p>
        </w:tc>
        <w:tc>
          <w:tcPr>
            <w:tcW w:w="2467" w:type="dxa"/>
            <w:vAlign w:val="center"/>
          </w:tcPr>
          <w:p w14:paraId="326072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 w:val="0"/>
                <w:bCs w:val="0"/>
                <w:sz w:val="24"/>
                <w:szCs w:val="24"/>
                <w:highlight w:val="none"/>
                <w:vertAlign w:val="baseline"/>
                <w:lang w:val="en-US" w:eastAsia="zh-CN"/>
              </w:rPr>
              <w:t>变频器</w:t>
            </w:r>
          </w:p>
        </w:tc>
        <w:tc>
          <w:tcPr>
            <w:tcW w:w="4011" w:type="dxa"/>
            <w:vAlign w:val="center"/>
          </w:tcPr>
          <w:p w14:paraId="5EB485C4">
            <w:pPr>
              <w:spacing w:line="240" w:lineRule="auto"/>
              <w:jc w:val="center"/>
              <w:rPr>
                <w:rFonts w:hint="default" w:ascii="宋体" w:hAnsi="宋体" w:eastAsia="宋体" w:cs="宋体"/>
                <w:bCs/>
                <w:sz w:val="24"/>
                <w:szCs w:val="24"/>
                <w:highlight w:val="none"/>
                <w:lang w:val="en-US"/>
              </w:rPr>
            </w:pPr>
            <w:r>
              <w:rPr>
                <w:rFonts w:hint="eastAsia" w:ascii="宋体" w:hAnsi="宋体" w:eastAsia="宋体" w:cs="宋体"/>
                <w:bCs/>
                <w:sz w:val="24"/>
                <w:szCs w:val="24"/>
                <w:highlight w:val="none"/>
                <w:lang w:val="en-US" w:eastAsia="zh-CN"/>
              </w:rPr>
              <w:t>ABB/西门子/GE/其他国际一流品牌</w:t>
            </w:r>
          </w:p>
        </w:tc>
        <w:tc>
          <w:tcPr>
            <w:tcW w:w="2356" w:type="dxa"/>
            <w:vAlign w:val="center"/>
          </w:tcPr>
          <w:p w14:paraId="326E5C3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2A3B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7A61E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3</w:t>
            </w:r>
          </w:p>
        </w:tc>
        <w:tc>
          <w:tcPr>
            <w:tcW w:w="2467" w:type="dxa"/>
            <w:vAlign w:val="center"/>
          </w:tcPr>
          <w:p w14:paraId="50925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 w:val="0"/>
                <w:bCs w:val="0"/>
                <w:sz w:val="24"/>
                <w:szCs w:val="24"/>
                <w:highlight w:val="none"/>
                <w:vertAlign w:val="baseline"/>
                <w:lang w:val="en-US" w:eastAsia="zh-CN"/>
              </w:rPr>
              <w:t>动态翻转平台</w:t>
            </w:r>
          </w:p>
        </w:tc>
        <w:tc>
          <w:tcPr>
            <w:tcW w:w="4011" w:type="dxa"/>
            <w:vAlign w:val="center"/>
          </w:tcPr>
          <w:p w14:paraId="74AD0D44">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c>
          <w:tcPr>
            <w:tcW w:w="2356" w:type="dxa"/>
            <w:vAlign w:val="center"/>
          </w:tcPr>
          <w:p w14:paraId="67E824E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1FC6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5E34F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4</w:t>
            </w:r>
          </w:p>
        </w:tc>
        <w:tc>
          <w:tcPr>
            <w:tcW w:w="2467" w:type="dxa"/>
            <w:vAlign w:val="center"/>
          </w:tcPr>
          <w:p w14:paraId="4A505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sz w:val="24"/>
                <w:szCs w:val="24"/>
                <w:highlight w:val="none"/>
                <w:lang w:val="en-US" w:eastAsia="zh-CN"/>
              </w:rPr>
              <w:t>电池模拟器</w:t>
            </w:r>
          </w:p>
        </w:tc>
        <w:tc>
          <w:tcPr>
            <w:tcW w:w="4011" w:type="dxa"/>
            <w:vAlign w:val="center"/>
          </w:tcPr>
          <w:p w14:paraId="703C3CB0">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130A6DDA">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66A6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16D10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5</w:t>
            </w:r>
          </w:p>
        </w:tc>
        <w:tc>
          <w:tcPr>
            <w:tcW w:w="2467" w:type="dxa"/>
            <w:vAlign w:val="center"/>
          </w:tcPr>
          <w:p w14:paraId="44A7B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功率分析仪</w:t>
            </w:r>
          </w:p>
        </w:tc>
        <w:tc>
          <w:tcPr>
            <w:tcW w:w="4011" w:type="dxa"/>
            <w:vAlign w:val="center"/>
          </w:tcPr>
          <w:p w14:paraId="038F825E">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横河/其他国际一流品牌</w:t>
            </w:r>
          </w:p>
        </w:tc>
        <w:tc>
          <w:tcPr>
            <w:tcW w:w="2356" w:type="dxa"/>
            <w:vAlign w:val="center"/>
          </w:tcPr>
          <w:p w14:paraId="11992B27">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日本/其他</w:t>
            </w:r>
          </w:p>
        </w:tc>
      </w:tr>
      <w:tr w14:paraId="1DA9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53422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6</w:t>
            </w:r>
          </w:p>
        </w:tc>
        <w:tc>
          <w:tcPr>
            <w:tcW w:w="2467" w:type="dxa"/>
            <w:vAlign w:val="center"/>
          </w:tcPr>
          <w:p w14:paraId="45380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w:t>
            </w:r>
          </w:p>
        </w:tc>
        <w:tc>
          <w:tcPr>
            <w:tcW w:w="4011" w:type="dxa"/>
            <w:vAlign w:val="center"/>
          </w:tcPr>
          <w:p w14:paraId="71FF322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国际一流品牌</w:t>
            </w:r>
          </w:p>
        </w:tc>
        <w:tc>
          <w:tcPr>
            <w:tcW w:w="2356" w:type="dxa"/>
            <w:vAlign w:val="center"/>
          </w:tcPr>
          <w:p w14:paraId="206A21DF">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41C5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0F3EA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7</w:t>
            </w:r>
          </w:p>
        </w:tc>
        <w:tc>
          <w:tcPr>
            <w:tcW w:w="2467" w:type="dxa"/>
            <w:vAlign w:val="center"/>
          </w:tcPr>
          <w:p w14:paraId="207973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数据采集及信号发生系统</w:t>
            </w:r>
          </w:p>
        </w:tc>
        <w:tc>
          <w:tcPr>
            <w:tcW w:w="4011" w:type="dxa"/>
            <w:vAlign w:val="center"/>
          </w:tcPr>
          <w:p w14:paraId="67A16FA9">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国际一流品牌</w:t>
            </w:r>
          </w:p>
        </w:tc>
        <w:tc>
          <w:tcPr>
            <w:tcW w:w="2356" w:type="dxa"/>
            <w:vAlign w:val="center"/>
          </w:tcPr>
          <w:p w14:paraId="572CA0EB">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79B7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7DC5B7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8</w:t>
            </w:r>
          </w:p>
        </w:tc>
        <w:tc>
          <w:tcPr>
            <w:tcW w:w="2467" w:type="dxa"/>
            <w:vAlign w:val="center"/>
          </w:tcPr>
          <w:p w14:paraId="3AB04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扭矩/转速传感器</w:t>
            </w:r>
          </w:p>
        </w:tc>
        <w:tc>
          <w:tcPr>
            <w:tcW w:w="4011" w:type="dxa"/>
            <w:vAlign w:val="center"/>
          </w:tcPr>
          <w:p w14:paraId="365AA308">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HBM/其他国际一流品牌</w:t>
            </w:r>
          </w:p>
        </w:tc>
        <w:tc>
          <w:tcPr>
            <w:tcW w:w="2356" w:type="dxa"/>
            <w:vAlign w:val="center"/>
          </w:tcPr>
          <w:p w14:paraId="73FBB86B">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6AC1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00B47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9</w:t>
            </w:r>
          </w:p>
        </w:tc>
        <w:tc>
          <w:tcPr>
            <w:tcW w:w="2467" w:type="dxa"/>
            <w:vAlign w:val="center"/>
          </w:tcPr>
          <w:p w14:paraId="6CE356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温度传感器</w:t>
            </w:r>
          </w:p>
        </w:tc>
        <w:tc>
          <w:tcPr>
            <w:tcW w:w="4011" w:type="dxa"/>
            <w:vAlign w:val="center"/>
          </w:tcPr>
          <w:p w14:paraId="6C22593C">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1724FD22">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6558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309CC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10</w:t>
            </w:r>
          </w:p>
        </w:tc>
        <w:tc>
          <w:tcPr>
            <w:tcW w:w="2467" w:type="dxa"/>
            <w:vAlign w:val="center"/>
          </w:tcPr>
          <w:p w14:paraId="20063A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压力传感器</w:t>
            </w:r>
          </w:p>
        </w:tc>
        <w:tc>
          <w:tcPr>
            <w:tcW w:w="4011" w:type="dxa"/>
            <w:vAlign w:val="center"/>
          </w:tcPr>
          <w:p w14:paraId="3C1B4340">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6CA63147">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7F05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4600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11</w:t>
            </w:r>
          </w:p>
        </w:tc>
        <w:tc>
          <w:tcPr>
            <w:tcW w:w="2467" w:type="dxa"/>
            <w:vAlign w:val="center"/>
          </w:tcPr>
          <w:p w14:paraId="4359B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早期故障诊断分析仪</w:t>
            </w:r>
          </w:p>
        </w:tc>
        <w:tc>
          <w:tcPr>
            <w:tcW w:w="4011" w:type="dxa"/>
            <w:vAlign w:val="center"/>
          </w:tcPr>
          <w:p w14:paraId="3866B5B2">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Reilhofer/红蚂蚁/其他国际一流品牌</w:t>
            </w:r>
          </w:p>
        </w:tc>
        <w:tc>
          <w:tcPr>
            <w:tcW w:w="2356" w:type="dxa"/>
            <w:vAlign w:val="center"/>
          </w:tcPr>
          <w:p w14:paraId="5022FE24">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009A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544D1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12</w:t>
            </w:r>
          </w:p>
        </w:tc>
        <w:tc>
          <w:tcPr>
            <w:tcW w:w="2467" w:type="dxa"/>
            <w:vAlign w:val="center"/>
          </w:tcPr>
          <w:p w14:paraId="1CCA4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被试件油温控制系统</w:t>
            </w:r>
          </w:p>
        </w:tc>
        <w:tc>
          <w:tcPr>
            <w:tcW w:w="4011" w:type="dxa"/>
            <w:vAlign w:val="center"/>
          </w:tcPr>
          <w:p w14:paraId="6FF4CC8D">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174C14B9">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7F9C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B61B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13</w:t>
            </w:r>
          </w:p>
        </w:tc>
        <w:tc>
          <w:tcPr>
            <w:tcW w:w="2467" w:type="dxa"/>
            <w:vAlign w:val="center"/>
          </w:tcPr>
          <w:p w14:paraId="44DA2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被试件电机冷却系统</w:t>
            </w:r>
          </w:p>
        </w:tc>
        <w:tc>
          <w:tcPr>
            <w:tcW w:w="4011" w:type="dxa"/>
            <w:vAlign w:val="center"/>
          </w:tcPr>
          <w:p w14:paraId="0E75917D">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68F4F33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702E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145EE9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14</w:t>
            </w:r>
          </w:p>
        </w:tc>
        <w:tc>
          <w:tcPr>
            <w:tcW w:w="2467" w:type="dxa"/>
            <w:vAlign w:val="center"/>
          </w:tcPr>
          <w:p w14:paraId="11439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color w:val="auto"/>
                <w:sz w:val="24"/>
                <w:szCs w:val="24"/>
                <w:highlight w:val="none"/>
                <w:lang w:val="en-US" w:eastAsia="zh-CN"/>
              </w:rPr>
              <w:t>冷却风扇</w:t>
            </w:r>
          </w:p>
        </w:tc>
        <w:tc>
          <w:tcPr>
            <w:tcW w:w="4011" w:type="dxa"/>
            <w:vAlign w:val="center"/>
          </w:tcPr>
          <w:p w14:paraId="46AC435D">
            <w:pPr>
              <w:spacing w:line="240" w:lineRule="auto"/>
              <w:jc w:val="center"/>
              <w:rPr>
                <w:rFonts w:hint="default" w:ascii="宋体" w:hAnsi="宋体" w:eastAsia="宋体" w:cs="宋体"/>
                <w:bCs/>
                <w:sz w:val="24"/>
                <w:szCs w:val="24"/>
                <w:highlight w:val="none"/>
                <w:lang w:val="en-US"/>
              </w:rPr>
            </w:pPr>
            <w:r>
              <w:rPr>
                <w:rFonts w:hint="eastAsia" w:ascii="宋体" w:hAnsi="宋体" w:eastAsia="宋体" w:cs="宋体"/>
                <w:bCs/>
                <w:sz w:val="24"/>
                <w:szCs w:val="24"/>
                <w:highlight w:val="none"/>
                <w:lang w:val="en-US" w:eastAsia="zh-CN"/>
              </w:rPr>
              <w:t>一流品牌</w:t>
            </w:r>
          </w:p>
        </w:tc>
        <w:tc>
          <w:tcPr>
            <w:tcW w:w="2356" w:type="dxa"/>
            <w:vAlign w:val="center"/>
          </w:tcPr>
          <w:p w14:paraId="61140874">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0E59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1F87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15</w:t>
            </w:r>
          </w:p>
        </w:tc>
        <w:tc>
          <w:tcPr>
            <w:tcW w:w="2467" w:type="dxa"/>
            <w:vAlign w:val="center"/>
          </w:tcPr>
          <w:p w14:paraId="4D737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监控系统</w:t>
            </w:r>
          </w:p>
        </w:tc>
        <w:tc>
          <w:tcPr>
            <w:tcW w:w="4011" w:type="dxa"/>
            <w:vAlign w:val="center"/>
          </w:tcPr>
          <w:p w14:paraId="2035C7BC">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0A78B4C8">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36A9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3F069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16</w:t>
            </w:r>
          </w:p>
        </w:tc>
        <w:tc>
          <w:tcPr>
            <w:tcW w:w="2467" w:type="dxa"/>
            <w:vAlign w:val="center"/>
          </w:tcPr>
          <w:p w14:paraId="7A49F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工装夹具</w:t>
            </w:r>
          </w:p>
        </w:tc>
        <w:tc>
          <w:tcPr>
            <w:tcW w:w="4011" w:type="dxa"/>
            <w:vAlign w:val="center"/>
          </w:tcPr>
          <w:p w14:paraId="0A7A184A">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c>
          <w:tcPr>
            <w:tcW w:w="2356" w:type="dxa"/>
            <w:vAlign w:val="center"/>
          </w:tcPr>
          <w:p w14:paraId="3E1B606B">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bl>
    <w:p w14:paraId="39FD8FF6">
      <w:pPr>
        <w:numPr>
          <w:ilvl w:val="0"/>
          <w:numId w:val="0"/>
        </w:numPr>
        <w:spacing w:line="360"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p>
    <w:p w14:paraId="0A241857">
      <w:pPr>
        <w:spacing w:line="360" w:lineRule="auto"/>
        <w:outlineLvl w:val="3"/>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四、采购货物特别说明</w:t>
      </w:r>
    </w:p>
    <w:p w14:paraId="313E1EA4">
      <w:pPr>
        <w:spacing w:line="360" w:lineRule="auto"/>
        <w:ind w:firstLine="480" w:firstLineChars="200"/>
        <w:rPr>
          <w:rFonts w:ascii="宋体" w:hAnsi="宋体" w:eastAsia="宋体" w:cs="Times New Roman"/>
          <w:color w:val="000000" w:themeColor="text1"/>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000000" w:themeColor="text1"/>
          <w:szCs w:val="20"/>
          <w14:textFill>
            <w14:solidFill>
              <w14:schemeClr w14:val="tx1"/>
            </w14:solidFill>
          </w14:textFill>
        </w:rPr>
        <w:t>。</w:t>
      </w:r>
    </w:p>
    <w:p w14:paraId="27C818AC">
      <w:pPr>
        <w:widowControl/>
        <w:jc w:val="left"/>
        <w:rPr>
          <w:color w:val="000000" w:themeColor="text1"/>
          <w14:textFill>
            <w14:solidFill>
              <w14:schemeClr w14:val="tx1"/>
            </w14:solidFill>
          </w14:textFill>
        </w:rPr>
        <w:sectPr>
          <w:footerReference r:id="rId13" w:type="first"/>
          <w:footerReference r:id="rId12" w:type="default"/>
          <w:pgSz w:w="11906" w:h="16838"/>
          <w:pgMar w:top="1588" w:right="1418" w:bottom="1134" w:left="1418" w:header="851" w:footer="992" w:gutter="0"/>
          <w:cols w:space="720" w:num="1"/>
          <w:titlePg/>
          <w:docGrid w:linePitch="312" w:charSpace="0"/>
        </w:sectPr>
      </w:pPr>
    </w:p>
    <w:p w14:paraId="724B7381">
      <w:pPr>
        <w:keepNext/>
        <w:keepLines/>
        <w:spacing w:before="120" w:after="120" w:line="480" w:lineRule="exact"/>
        <w:jc w:val="center"/>
        <w:outlineLvl w:val="1"/>
        <w:rPr>
          <w:rFonts w:ascii="宋体" w:hAnsi="Calibri" w:eastAsia="宋体" w:cs="Times New Roman"/>
          <w:bCs/>
          <w:color w:val="000000" w:themeColor="text1"/>
          <w:kern w:val="44"/>
          <w:sz w:val="28"/>
          <w:szCs w:val="28"/>
          <w14:textFill>
            <w14:solidFill>
              <w14:schemeClr w14:val="tx1"/>
            </w14:solidFill>
          </w14:textFill>
        </w:rPr>
      </w:pPr>
      <w:bookmarkStart w:id="31" w:name="_Toc169605880"/>
      <w:r>
        <w:rPr>
          <w:rFonts w:hint="eastAsia" w:ascii="宋体" w:hAnsi="宋体" w:eastAsia="宋体" w:cs="Times New Roman"/>
          <w:b/>
          <w:bCs/>
          <w:color w:val="000000" w:themeColor="text1"/>
          <w:kern w:val="44"/>
          <w:sz w:val="28"/>
          <w:szCs w:val="28"/>
          <w14:textFill>
            <w14:solidFill>
              <w14:schemeClr w14:val="tx1"/>
            </w14:solidFill>
          </w14:textFill>
        </w:rPr>
        <w:t>第二章</w:t>
      </w:r>
      <w:r>
        <w:rPr>
          <w:rFonts w:ascii="宋体" w:hAnsi="宋体" w:eastAsia="宋体" w:cs="Times New Roman"/>
          <w:b/>
          <w:bCs/>
          <w:color w:val="000000" w:themeColor="text1"/>
          <w:kern w:val="44"/>
          <w:sz w:val="28"/>
          <w:szCs w:val="28"/>
          <w14:textFill>
            <w14:solidFill>
              <w14:schemeClr w14:val="tx1"/>
            </w14:solidFill>
          </w14:textFill>
        </w:rPr>
        <w:t xml:space="preserve">  </w:t>
      </w:r>
      <w:r>
        <w:rPr>
          <w:rFonts w:hint="eastAsia" w:ascii="宋体" w:hAnsi="宋体" w:eastAsia="宋体" w:cs="Times New Roman"/>
          <w:b/>
          <w:bCs/>
          <w:color w:val="000000" w:themeColor="text1"/>
          <w:kern w:val="44"/>
          <w:sz w:val="28"/>
          <w:szCs w:val="28"/>
          <w14:textFill>
            <w14:solidFill>
              <w14:schemeClr w14:val="tx1"/>
            </w14:solidFill>
          </w14:textFill>
        </w:rPr>
        <w:t>技术要求</w:t>
      </w:r>
      <w:bookmarkEnd w:id="31"/>
    </w:p>
    <w:p w14:paraId="0D0E37AB">
      <w:pPr>
        <w:pStyle w:val="116"/>
        <w:spacing w:line="360" w:lineRule="auto"/>
        <w:ind w:firstLine="482" w:firstLineChars="200"/>
        <w:outlineLvl w:val="2"/>
        <w:rPr>
          <w:rFonts w:eastAsia="宋体" w:cs="宋体"/>
          <w:b/>
          <w:bCs w:val="0"/>
          <w:color w:val="000000" w:themeColor="text1"/>
          <w:sz w:val="24"/>
          <w:szCs w:val="24"/>
          <w14:textFill>
            <w14:solidFill>
              <w14:schemeClr w14:val="tx1"/>
            </w14:solidFill>
          </w14:textFill>
        </w:rPr>
      </w:pPr>
      <w:r>
        <w:rPr>
          <w:rFonts w:hint="eastAsia" w:ascii="宋体" w:hAnsi="宋体" w:eastAsia="宋体" w:cs="Arial"/>
          <w:b/>
          <w:bCs/>
          <w:color w:val="000000" w:themeColor="text1"/>
          <w:sz w:val="24"/>
          <w:szCs w:val="24"/>
          <w:highlight w:val="yellow"/>
          <w14:textFill>
            <w14:solidFill>
              <w14:schemeClr w14:val="tx1"/>
            </w14:solidFill>
          </w14:textFill>
        </w:rPr>
        <w:t>（注：带</w:t>
      </w:r>
      <w:r>
        <w:rPr>
          <w:rFonts w:ascii="宋体" w:hAnsi="宋体" w:eastAsia="宋体" w:cs="Arial"/>
          <w:b/>
          <w:bCs/>
          <w:color w:val="000000" w:themeColor="text1"/>
          <w:sz w:val="24"/>
          <w:szCs w:val="24"/>
          <w:highlight w:val="yellow"/>
          <w14:textFill>
            <w14:solidFill>
              <w14:schemeClr w14:val="tx1"/>
            </w14:solidFill>
          </w14:textFill>
        </w:rPr>
        <w:t>*</w:t>
      </w:r>
      <w:r>
        <w:rPr>
          <w:rFonts w:hint="eastAsia" w:ascii="宋体" w:hAnsi="宋体" w:eastAsia="宋体" w:cs="Arial"/>
          <w:b/>
          <w:bCs/>
          <w:color w:val="000000" w:themeColor="text1"/>
          <w:sz w:val="24"/>
          <w:szCs w:val="24"/>
          <w:highlight w:val="yellow"/>
          <w14:textFill>
            <w14:solidFill>
              <w14:schemeClr w14:val="tx1"/>
            </w14:solidFill>
          </w14:textFill>
        </w:rPr>
        <w:t>的项目为</w:t>
      </w:r>
      <w:r>
        <w:rPr>
          <w:rFonts w:hint="eastAsia" w:ascii="宋体" w:hAnsi="宋体" w:eastAsia="宋体" w:cs="Arial"/>
          <w:b/>
          <w:bCs/>
          <w:color w:val="000000" w:themeColor="text1"/>
          <w:sz w:val="24"/>
          <w:szCs w:val="24"/>
          <w:highlight w:val="yellow"/>
          <w:lang w:val="en-US" w:eastAsia="zh-CN"/>
          <w14:textFill>
            <w14:solidFill>
              <w14:schemeClr w14:val="tx1"/>
            </w14:solidFill>
          </w14:textFill>
        </w:rPr>
        <w:t>淘汰</w:t>
      </w:r>
      <w:r>
        <w:rPr>
          <w:rFonts w:hint="eastAsia" w:ascii="宋体" w:hAnsi="宋体" w:eastAsia="宋体" w:cs="Arial"/>
          <w:b/>
          <w:bCs/>
          <w:color w:val="000000" w:themeColor="text1"/>
          <w:sz w:val="24"/>
          <w:szCs w:val="24"/>
          <w:highlight w:val="yellow"/>
          <w14:textFill>
            <w14:solidFill>
              <w14:schemeClr w14:val="tx1"/>
            </w14:solidFill>
          </w14:textFill>
        </w:rPr>
        <w:t>项目，如有一项不能满足即</w:t>
      </w:r>
      <w:r>
        <w:rPr>
          <w:rFonts w:hint="eastAsia" w:ascii="宋体" w:hAnsi="宋体" w:eastAsia="宋体" w:cs="Arial"/>
          <w:b/>
          <w:bCs/>
          <w:color w:val="000000" w:themeColor="text1"/>
          <w:sz w:val="24"/>
          <w:szCs w:val="24"/>
          <w:highlight w:val="yellow"/>
          <w:lang w:val="en-US" w:eastAsia="zh-CN"/>
          <w14:textFill>
            <w14:solidFill>
              <w14:schemeClr w14:val="tx1"/>
            </w14:solidFill>
          </w14:textFill>
        </w:rPr>
        <w:t>淘汰</w:t>
      </w:r>
      <w:r>
        <w:rPr>
          <w:rFonts w:hint="eastAsia" w:ascii="宋体" w:hAnsi="宋体" w:eastAsia="宋体" w:cs="Arial"/>
          <w:b/>
          <w:bCs/>
          <w:color w:val="000000" w:themeColor="text1"/>
          <w:sz w:val="24"/>
          <w:szCs w:val="24"/>
          <w:highlight w:val="yellow"/>
          <w14:textFill>
            <w14:solidFill>
              <w14:schemeClr w14:val="tx1"/>
            </w14:solidFill>
          </w14:textFill>
        </w:rPr>
        <w:t>；其余项目为一般项目。）</w:t>
      </w:r>
    </w:p>
    <w:p w14:paraId="2A9BD19E">
      <w:pPr>
        <w:pStyle w:val="116"/>
        <w:spacing w:line="360" w:lineRule="auto"/>
        <w:ind w:firstLine="482" w:firstLineChars="200"/>
        <w:outlineLvl w:val="2"/>
        <w:rPr>
          <w:rFonts w:eastAsia="宋体" w:cs="宋体"/>
          <w:b/>
          <w:bCs w:val="0"/>
          <w:color w:val="000000" w:themeColor="text1"/>
          <w:sz w:val="24"/>
          <w:szCs w:val="24"/>
          <w14:textFill>
            <w14:solidFill>
              <w14:schemeClr w14:val="tx1"/>
            </w14:solidFill>
          </w14:textFill>
        </w:rPr>
      </w:pPr>
      <w:r>
        <w:rPr>
          <w:rFonts w:hint="eastAsia" w:eastAsia="宋体" w:cs="宋体"/>
          <w:b/>
          <w:bCs w:val="0"/>
          <w:color w:val="000000" w:themeColor="text1"/>
          <w:sz w:val="24"/>
          <w:szCs w:val="24"/>
          <w14:textFill>
            <w14:solidFill>
              <w14:schemeClr w14:val="tx1"/>
            </w14:solidFill>
          </w14:textFill>
        </w:rPr>
        <w:t>一、特别提示</w:t>
      </w:r>
    </w:p>
    <w:p w14:paraId="57D2228C">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1.本章技术要求，仅对功能、设计、结构、性能、安装和试验检验等方面，提出了最低和一般性的技术要求，并未对一切技术细节作出规定。</w:t>
      </w:r>
    </w:p>
    <w:p w14:paraId="4D6A6D62">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36CE48DE">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408661B8">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560F14F5">
      <w:pPr>
        <w:spacing w:line="360" w:lineRule="auto"/>
        <w:rPr>
          <w:rFonts w:ascii="宋体" w:hAnsi="Calibri"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56630587">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156D1380">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.投标文件中，针对“特别提示”条款所做的回应，将作为投标人能否中标的重要依据之一</w:t>
      </w:r>
      <w:r>
        <w:rPr>
          <w:rFonts w:hint="eastAsia" w:ascii="宋体" w:hAnsi="宋体" w:eastAsia="宋体" w:cs="Times New Roman"/>
          <w:color w:val="000000" w:themeColor="text1"/>
          <w:sz w:val="24"/>
          <w:szCs w:val="24"/>
          <w14:textFill>
            <w14:solidFill>
              <w14:schemeClr w14:val="tx1"/>
            </w14:solidFill>
          </w14:textFill>
        </w:rPr>
        <w:t>。</w:t>
      </w:r>
    </w:p>
    <w:p w14:paraId="42542B65">
      <w:pPr>
        <w:spacing w:line="420" w:lineRule="exact"/>
        <w:ind w:firstLine="482" w:firstLineChars="200"/>
        <w:rPr>
          <w:rFonts w:ascii="宋体" w:hAnsi="宋体" w:eastAsia="宋体" w:cs="Arial"/>
          <w:b/>
          <w:bCs/>
          <w:color w:val="000000" w:themeColor="text1"/>
          <w:sz w:val="24"/>
          <w:szCs w:val="24"/>
          <w:highlight w:val="yellow"/>
          <w14:textFill>
            <w14:solidFill>
              <w14:schemeClr w14:val="tx1"/>
            </w14:solidFill>
          </w14:textFill>
        </w:rPr>
      </w:pPr>
      <w:r>
        <w:rPr>
          <w:rFonts w:hint="eastAsia" w:eastAsia="宋体" w:cs="宋体"/>
          <w:b/>
          <w:bCs w:val="0"/>
          <w:color w:val="000000" w:themeColor="text1"/>
          <w:sz w:val="24"/>
          <w:szCs w:val="24"/>
          <w14:textFill>
            <w14:solidFill>
              <w14:schemeClr w14:val="tx1"/>
            </w14:solidFill>
          </w14:textFill>
        </w:rPr>
        <w:t>二、基本要求</w:t>
      </w:r>
    </w:p>
    <w:p w14:paraId="162B0518">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、投标方所供的货物，必须符合中国最新版的法律、法规和相关标准、规范的要求，符合项目所在地政府有关特殊要求。</w:t>
      </w:r>
    </w:p>
    <w:p w14:paraId="50AA8C19">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2</w:t>
      </w:r>
      <w:r>
        <w:rPr>
          <w:rFonts w:hint="eastAsia" w:ascii="宋体" w:hAnsi="宋体" w:eastAsia="宋体" w:cs="Times New Roman"/>
          <w:color w:val="000000" w:themeColor="text1"/>
          <w:sz w:val="24"/>
          <w:szCs w:val="24"/>
          <w14:textFill>
            <w14:solidFill>
              <w14:schemeClr w14:val="tx1"/>
            </w14:solidFill>
          </w14:textFill>
        </w:rPr>
        <w:t>、投标方所供货物涉及的专利权技术以及知识产权保护的其它技术等，应保证招标方不因此受到任何侵权指控以及实际损失。</w:t>
      </w:r>
    </w:p>
    <w:p w14:paraId="70026E96">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、投标方应保证所供货物的先进性、可靠性、经济性和实用性，并为全新货物（或设备）。</w:t>
      </w:r>
    </w:p>
    <w:p w14:paraId="3A120334">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4</w:t>
      </w:r>
      <w:r>
        <w:rPr>
          <w:rFonts w:hint="eastAsia" w:ascii="宋体" w:hAnsi="宋体" w:eastAsia="宋体" w:cs="Times New Roman"/>
          <w:color w:val="000000" w:themeColor="text1"/>
          <w:sz w:val="24"/>
          <w:szCs w:val="24"/>
          <w14:textFill>
            <w14:solidFill>
              <w14:schemeClr w14:val="tx1"/>
            </w14:solidFill>
          </w14:textFill>
        </w:rPr>
        <w:t>、投标方应满足招标方提出的各项技术要求，必要时应当免费提供技术承诺或担保。</w:t>
      </w:r>
    </w:p>
    <w:p w14:paraId="7B08D130">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5</w:t>
      </w:r>
      <w:r>
        <w:rPr>
          <w:rFonts w:hint="eastAsia" w:ascii="宋体" w:hAnsi="宋体" w:eastAsia="宋体" w:cs="Times New Roman"/>
          <w:color w:val="000000" w:themeColor="text1"/>
          <w:sz w:val="24"/>
          <w:szCs w:val="24"/>
          <w14:textFill>
            <w14:solidFill>
              <w14:schemeClr w14:val="tx1"/>
            </w14:solidFill>
          </w14:textFill>
        </w:rPr>
        <w:t>、投标方应保证所供货物（或设备）为中国政府指定或规定的主管部门公布的非淘汰货物（或设备），并尽力提供中国政府指定或规定的主管部门认可的环保型和节能型货物（或设备）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color w:val="000000" w:themeColor="text1"/>
          <w:sz w:val="24"/>
          <w:szCs w:val="24"/>
          <w:lang w:eastAsia="zh-CN"/>
          <w14:textFill>
            <w14:solidFill>
              <w14:schemeClr w14:val="tx1"/>
            </w14:solidFill>
          </w14:textFill>
        </w:rPr>
        <w:t>，</w:t>
      </w:r>
      <w:r>
        <w:rPr>
          <w:rFonts w:hint="eastAsia" w:ascii="宋体" w:hAnsi="宋体" w:eastAsia="宋体" w:cs="Times New Roman"/>
          <w:b/>
          <w:bCs/>
          <w:sz w:val="24"/>
          <w:szCs w:val="24"/>
          <w:highlight w:val="yellow"/>
          <w:lang w:val="en-US" w:eastAsia="zh-CN"/>
        </w:rPr>
        <w:t>电机功率≥7.5kw,必须选用一级能效</w:t>
      </w:r>
      <w:r>
        <w:rPr>
          <w:rFonts w:hint="eastAsia" w:ascii="宋体" w:hAnsi="宋体" w:eastAsia="宋体" w:cs="宋体"/>
          <w:color w:val="000000"/>
          <w:sz w:val="24"/>
          <w:szCs w:val="24"/>
          <w:highlight w:val="yellow"/>
        </w:rPr>
        <w:t>（按国标计算）</w:t>
      </w:r>
      <w:r>
        <w:rPr>
          <w:rFonts w:hint="eastAsia" w:ascii="宋体" w:hAnsi="宋体" w:eastAsia="宋体" w:cs="Times New Roman"/>
          <w:b/>
          <w:bCs/>
          <w:sz w:val="24"/>
          <w:szCs w:val="24"/>
          <w:highlight w:val="yellow"/>
          <w:lang w:val="en-US" w:eastAsia="zh-CN"/>
        </w:rPr>
        <w:t>，电机功率&lt;7.5kw，优先选用一级能效:其中能源供应设备及年运行时间≥2000h 工艺设备电机必须选用一级能效</w:t>
      </w:r>
      <w:r>
        <w:rPr>
          <w:rFonts w:hint="eastAsia" w:ascii="宋体" w:hAnsi="宋体" w:eastAsia="宋体" w:cs="Times New Roman"/>
          <w:color w:val="000000" w:themeColor="text1"/>
          <w:sz w:val="24"/>
          <w:szCs w:val="24"/>
          <w14:textFill>
            <w14:solidFill>
              <w14:schemeClr w14:val="tx1"/>
            </w14:solidFill>
          </w14:textFill>
        </w:rPr>
        <w:t>。</w:t>
      </w:r>
    </w:p>
    <w:p w14:paraId="38492F84">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6</w:t>
      </w:r>
      <w:r>
        <w:rPr>
          <w:rFonts w:hint="eastAsia" w:ascii="宋体" w:hAnsi="宋体" w:eastAsia="宋体" w:cs="Times New Roman"/>
          <w:color w:val="000000" w:themeColor="text1"/>
          <w:sz w:val="24"/>
          <w:szCs w:val="24"/>
          <w14:textFill>
            <w14:solidFill>
              <w14:schemeClr w14:val="tx1"/>
            </w14:solidFill>
          </w14:textFill>
        </w:rPr>
        <w:t>、投标方应保证所供货物的完整性和成套性，能保证货物的正常运行、使用。</w:t>
      </w:r>
    </w:p>
    <w:p w14:paraId="067D0F55">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7</w:t>
      </w:r>
      <w:r>
        <w:rPr>
          <w:rFonts w:hint="eastAsia" w:ascii="宋体" w:hAnsi="宋体" w:eastAsia="宋体" w:cs="Times New Roman"/>
          <w:color w:val="000000" w:themeColor="text1"/>
          <w:sz w:val="24"/>
          <w:szCs w:val="24"/>
          <w:highlight w:val="none"/>
          <w14:textFill>
            <w14:solidFill>
              <w14:schemeClr w14:val="tx1"/>
            </w14:solidFill>
          </w14:textFill>
        </w:rPr>
        <w:t>、投标方应对招标方采购的货物所涉及的技术、产能等信息负有保密义务，招标方拥有追究投标方泄密责任的权利；招标方如有需要，投标方应无条件签署保密协议。</w:t>
      </w:r>
    </w:p>
    <w:p w14:paraId="2D3A9691">
      <w:pPr>
        <w:spacing w:line="360" w:lineRule="auto"/>
        <w:ind w:firstLine="480" w:firstLineChars="200"/>
        <w:rPr>
          <w:rFonts w:hint="default" w:ascii="宋体" w:hAnsi="宋体" w:eastAsia="宋体" w:cs="Times New Roman"/>
          <w:sz w:val="24"/>
          <w:szCs w:val="24"/>
          <w:highlight w:val="yellow"/>
          <w:vertAlign w:val="baseline"/>
          <w:lang w:val="en-US" w:eastAsia="zh-CN"/>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.投标人应具有给世界头部商用车企业供应与本次招标同类设备的成功案例</w:t>
      </w:r>
      <w:r>
        <w:rPr>
          <w:rFonts w:hint="eastAsia" w:ascii="宋体" w:hAnsi="宋体" w:eastAsia="宋体" w:cs="Times New Roman"/>
          <w:sz w:val="24"/>
          <w:szCs w:val="24"/>
          <w:highlight w:val="yellow"/>
          <w:lang w:eastAsia="zh-CN"/>
        </w:rPr>
        <w:t>。</w:t>
      </w:r>
    </w:p>
    <w:p w14:paraId="32943B77">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.程序图纸要求</w:t>
      </w:r>
    </w:p>
    <w:p w14:paraId="2E93E022">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1</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必须提供所有设备程序的源代码，包括但不限于PLC程序、HMI程序、机器人程序、视觉程序、伺服、上位机(含SCADA、产线MES等)等，并根据</w:t>
      </w:r>
      <w:r>
        <w:rPr>
          <w:rFonts w:hint="eastAsia" w:ascii="宋体" w:hAnsi="宋体" w:eastAsia="宋体" w:cs="Times New Roman"/>
          <w:sz w:val="24"/>
          <w:szCs w:val="24"/>
          <w:highlight w:val="yellow"/>
          <w:lang w:eastAsia="zh-CN"/>
        </w:rPr>
        <w:t>买方</w:t>
      </w:r>
      <w:r>
        <w:rPr>
          <w:rFonts w:hint="eastAsia" w:ascii="宋体" w:hAnsi="宋体" w:eastAsia="宋体" w:cs="Times New Roman"/>
          <w:sz w:val="24"/>
          <w:szCs w:val="24"/>
          <w:highlight w:val="yellow"/>
        </w:rPr>
        <w:t>需求，免费提供相对应的参数点址 。</w:t>
      </w:r>
    </w:p>
    <w:p w14:paraId="4ACEFEB8">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2</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所提供的程序不得设置任何密码、保护等限制手段，PLC不得设置修改下载权限，功能块不得设置密码保护。</w:t>
      </w:r>
    </w:p>
    <w:p w14:paraId="1FF0BF96">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3</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HMI界面等需要密码保护的程序，</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必须提供所有级别的用户名、密码。</w:t>
      </w:r>
    </w:p>
    <w:p w14:paraId="04C86665">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4</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需在设备入场前提供设备程序源码，HMI界面各级用户名和密码，并保证与现场程序一致。</w:t>
      </w:r>
    </w:p>
    <w:p w14:paraId="0E5D2283">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5</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需在终验收前提供最新的设备程序源码和电气图纸，图纸要求为可编辑原格式（EPLAN、CAD格式）且与实际接线一致。</w:t>
      </w:r>
    </w:p>
    <w:p w14:paraId="7A0BA4F0">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.接口协议要求</w:t>
      </w:r>
    </w:p>
    <w:p w14:paraId="18DA7332">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1</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免费开放所有通讯接口，包括但不限于以太网、RS232、RS485、PROFIBUS、PROFINET、MODBUS等常见接口，以及设备特有的专用接口。</w:t>
      </w:r>
    </w:p>
    <w:p w14:paraId="4185E673">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2</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设备及上位控制系统（工控机）应接入工厂工控网络，用于数据采集。</w:t>
      </w:r>
    </w:p>
    <w:p w14:paraId="7E4B561C">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3</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免费提供应用层面系统接口，包括但不限于WebAPI、MQTT、NCLink、OPCUA、OpenProtocol、Socket等，以及第三方接口开发包。</w:t>
      </w:r>
    </w:p>
    <w:p w14:paraId="2FE73B59">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4</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免费提供数据交互功能，交互数据包括但不限于实时数据、历史数据、报警信息等。</w:t>
      </w:r>
    </w:p>
    <w:p w14:paraId="62285AAC">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5</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设备数据采集在设备上电状态下持续进行，不受设备待机、休眠等状态影响(主动上传设备除外)。</w:t>
      </w:r>
    </w:p>
    <w:p w14:paraId="5A4DB5BF">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6</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所有上位机程序、专用软件、数据库等提供所有权限的用户名和密码。</w:t>
      </w:r>
    </w:p>
    <w:p w14:paraId="24DA28BC">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7</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设备使用周期内，</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免费派遣技术人员与</w:t>
      </w:r>
      <w:r>
        <w:rPr>
          <w:rFonts w:hint="eastAsia" w:ascii="宋体" w:hAnsi="宋体" w:eastAsia="宋体" w:cs="Times New Roman"/>
          <w:sz w:val="24"/>
          <w:szCs w:val="24"/>
          <w:highlight w:val="yellow"/>
          <w:lang w:eastAsia="zh-CN"/>
        </w:rPr>
        <w:t>买方</w:t>
      </w:r>
      <w:r>
        <w:rPr>
          <w:rFonts w:hint="eastAsia" w:ascii="宋体" w:hAnsi="宋体" w:eastAsia="宋体" w:cs="Times New Roman"/>
          <w:sz w:val="24"/>
          <w:szCs w:val="24"/>
          <w:highlight w:val="yellow"/>
        </w:rPr>
        <w:t>调试团队共同进行设备通讯接口的调试工作。</w:t>
      </w:r>
    </w:p>
    <w:p w14:paraId="7E8C63E5">
      <w:pPr>
        <w:pStyle w:val="121"/>
        <w:spacing w:line="360" w:lineRule="auto"/>
        <w:ind w:left="0" w:leftChars="0" w:firstLine="482" w:firstLineChars="200"/>
        <w:outlineLvl w:val="2"/>
        <w:rPr>
          <w:rFonts w:hint="eastAsia" w:ascii="宋体" w:hAnsi="宋体" w:eastAsia="宋体" w:cs="宋体"/>
          <w:color w:val="000000"/>
          <w:sz w:val="24"/>
          <w:szCs w:val="24"/>
          <w:highlight w:val="yellow"/>
          <w:lang w:eastAsia="zh-CN"/>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8</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在设备入场前提供接口的技术文档和参数说明，包括但不限于接口协议、通讯速率、数据格式等</w:t>
      </w:r>
      <w:r>
        <w:rPr>
          <w:rFonts w:hint="eastAsia" w:ascii="宋体" w:hAnsi="宋体" w:eastAsia="宋体" w:cs="宋体"/>
          <w:color w:val="000000"/>
          <w:sz w:val="24"/>
          <w:szCs w:val="24"/>
          <w:highlight w:val="yellow"/>
          <w:lang w:eastAsia="zh-CN"/>
        </w:rPr>
        <w:t>。</w:t>
      </w:r>
    </w:p>
    <w:p w14:paraId="314EE57A">
      <w:pPr>
        <w:spacing w:line="360"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sz w:val="24"/>
          <w:szCs w:val="24"/>
          <w:highlight w:val="yellow"/>
          <w:lang w:val="en-US" w:eastAsia="zh-CN"/>
        </w:rPr>
        <w:t>*11本次采购货物的</w:t>
      </w:r>
      <w:r>
        <w:rPr>
          <w:rFonts w:ascii="宋体" w:hAnsi="宋体" w:eastAsia="宋体" w:cs="宋体"/>
          <w:b/>
          <w:bCs/>
          <w:sz w:val="24"/>
          <w:szCs w:val="24"/>
          <w:highlight w:val="yellow"/>
        </w:rPr>
        <w:t>系统设计、专利技术及生产制造原产地</w:t>
      </w:r>
      <w:r>
        <w:rPr>
          <w:rFonts w:hint="eastAsia" w:ascii="宋体" w:hAnsi="宋体" w:eastAsia="宋体" w:cs="宋体"/>
          <w:b/>
          <w:bCs/>
          <w:sz w:val="24"/>
          <w:szCs w:val="24"/>
          <w:highlight w:val="yellow"/>
          <w:lang w:val="en-US" w:eastAsia="zh-CN"/>
        </w:rPr>
        <w:t>应</w:t>
      </w:r>
      <w:r>
        <w:rPr>
          <w:rFonts w:ascii="宋体" w:hAnsi="宋体" w:eastAsia="宋体" w:cs="宋体"/>
          <w:b/>
          <w:bCs/>
          <w:sz w:val="24"/>
          <w:szCs w:val="24"/>
          <w:highlight w:val="yellow"/>
        </w:rPr>
        <w:t>为</w:t>
      </w:r>
      <w:r>
        <w:rPr>
          <w:rFonts w:hint="eastAsia" w:ascii="宋体" w:hAnsi="宋体" w:eastAsia="宋体" w:cs="宋体"/>
          <w:b/>
          <w:bCs/>
          <w:sz w:val="24"/>
          <w:szCs w:val="24"/>
          <w:highlight w:val="yellow"/>
        </w:rPr>
        <w:t>欧盟、北美或日本</w:t>
      </w:r>
      <w:r>
        <w:rPr>
          <w:rFonts w:hint="eastAsia" w:ascii="宋体" w:hAnsi="宋体" w:eastAsia="宋体" w:cs="Times New Roman"/>
          <w:b/>
          <w:bCs/>
          <w:sz w:val="32"/>
          <w:szCs w:val="32"/>
          <w:highlight w:val="yellow"/>
          <w:vertAlign w:val="superscript"/>
          <w:lang w:val="en-US" w:eastAsia="zh-CN"/>
        </w:rPr>
        <w:t>。</w:t>
      </w:r>
    </w:p>
    <w:p w14:paraId="5D4B4310">
      <w:pPr>
        <w:pStyle w:val="121"/>
        <w:spacing w:line="360" w:lineRule="auto"/>
        <w:ind w:left="0" w:leftChars="0" w:firstLine="0" w:firstLineChars="0"/>
        <w:outlineLvl w:val="2"/>
        <w:rPr>
          <w:rFonts w:hint="eastAsia" w:eastAsia="宋体" w:cs="宋体"/>
          <w:b/>
          <w:bCs w:val="0"/>
          <w:color w:val="auto"/>
          <w:sz w:val="24"/>
          <w:szCs w:val="24"/>
          <w:highlight w:val="none"/>
        </w:rPr>
      </w:pPr>
      <w:r>
        <w:rPr>
          <w:rFonts w:hint="eastAsia" w:eastAsia="宋体" w:cs="宋体"/>
          <w:b/>
          <w:bCs w:val="0"/>
          <w:color w:val="auto"/>
          <w:sz w:val="24"/>
          <w:szCs w:val="24"/>
          <w:highlight w:val="none"/>
        </w:rPr>
        <w:t>三、技术要求</w:t>
      </w:r>
    </w:p>
    <w:p w14:paraId="0BC215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在基本要求和执行标准基础上，本技术标书对所采购的货物的技术及使用等方面作出如下要求： </w:t>
      </w:r>
    </w:p>
    <w:p w14:paraId="3F3279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1.功能用途</w:t>
      </w:r>
    </w:p>
    <w:p w14:paraId="4B23D7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试验台主要用于重型商用车用电驱桥总成翻转试验，兼顾变速器总成测试，覆盖重、中和轻型商用车电驱桥总成、变速器总成产品。按照国家、行业和企业有关标准或规范要求进行电驱桥总成翻转条件下的温升、效率、能耗等性能及可靠性测试，策略标定、道路模拟的动态功能测试；以及变速器总成翻转条件下温升、润滑、效率、可靠性测试。</w:t>
      </w:r>
    </w:p>
    <w:p w14:paraId="4D2819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本试验台应满足以下基本要求：</w:t>
      </w:r>
    </w:p>
    <w:p w14:paraId="6323B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trike w:val="0"/>
          <w:dstrike w:val="0"/>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（1）电驱桥测试：轮端转速不低于1000r/min、单侧输出扭矩不低于35000Nm。</w:t>
      </w:r>
    </w:p>
    <w:p w14:paraId="71FC42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z w:val="24"/>
          <w:szCs w:val="24"/>
          <w:highlight w:val="none"/>
          <w:lang w:val="en-US" w:eastAsia="zh-CN"/>
        </w:rPr>
        <w:t>变速器测试</w:t>
      </w:r>
      <w:r>
        <w:rPr>
          <w:rFonts w:hint="eastAsia" w:ascii="宋体" w:hAnsi="宋体" w:eastAsia="宋体" w:cs="宋体"/>
          <w:color w:val="auto"/>
          <w:sz w:val="24"/>
          <w:szCs w:val="24"/>
          <w:highlight w:val="none"/>
          <w:lang w:val="en-US" w:eastAsia="zh-CN"/>
        </w:rPr>
        <w:t>：输入转速不低于4000r/min、输入扭矩不低于4000Nm；输出转速不低于4000r/min、输出扭矩不低于35000Nm。</w:t>
      </w:r>
    </w:p>
    <w:p w14:paraId="4A5B5C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（3）角度调节：俯仰角度±30°、侧倾角度±30°，无级调节，</w:t>
      </w:r>
      <w:r>
        <w:rPr>
          <w:rFonts w:hint="eastAsia" w:ascii="宋体" w:hAnsi="宋体" w:eastAsia="宋体" w:cs="宋体"/>
          <w:strike w:val="0"/>
          <w:dstrike w:val="0"/>
          <w:color w:val="auto"/>
          <w:sz w:val="24"/>
          <w:szCs w:val="24"/>
          <w:highlight w:val="none"/>
          <w:lang w:val="en-US" w:eastAsia="zh-CN"/>
        </w:rPr>
        <w:t>最大速度不低于4°/s，控制精度不低于0.1°，</w:t>
      </w:r>
      <w:r>
        <w:rPr>
          <w:rFonts w:hint="eastAsia" w:ascii="宋体" w:hAnsi="宋体" w:eastAsia="宋体" w:cs="宋体"/>
          <w:color w:val="auto"/>
          <w:sz w:val="24"/>
          <w:szCs w:val="24"/>
          <w:highlight w:val="none"/>
          <w:lang w:val="en-US" w:eastAsia="zh-CN"/>
        </w:rPr>
        <w:t>俯仰角度</w:t>
      </w:r>
      <w:r>
        <w:rPr>
          <w:rFonts w:hint="eastAsia" w:ascii="宋体" w:hAnsi="宋体" w:eastAsia="宋体" w:cs="宋体"/>
          <w:strike w:val="0"/>
          <w:dstrike w:val="0"/>
          <w:color w:val="auto"/>
          <w:sz w:val="24"/>
          <w:szCs w:val="24"/>
          <w:highlight w:val="none"/>
          <w:lang w:val="en-US" w:eastAsia="zh-CN"/>
        </w:rPr>
        <w:t>和侧倾角度应可同时调节，运行满足稳态及动态加载试验要求</w:t>
      </w:r>
      <w:r>
        <w:rPr>
          <w:rFonts w:hint="eastAsia" w:ascii="宋体" w:hAnsi="宋体" w:eastAsia="宋体" w:cs="宋体"/>
          <w:color w:val="auto"/>
          <w:sz w:val="24"/>
          <w:szCs w:val="24"/>
          <w:highlight w:val="none"/>
          <w:lang w:val="en-US" w:eastAsia="zh-CN"/>
        </w:rPr>
        <w:t>。</w:t>
      </w:r>
    </w:p>
    <w:p w14:paraId="70E4C6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sz w:val="24"/>
          <w:szCs w:val="24"/>
          <w:highlight w:val="none"/>
          <w:lang w:val="en-US" w:eastAsia="zh-CN"/>
        </w:rPr>
        <w:t>试验台结构组成及电子测量控制系统的选型、设计以此为准。</w:t>
      </w:r>
    </w:p>
    <w:p w14:paraId="0CC82D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2.主要参数与技术性能指标</w:t>
      </w:r>
    </w:p>
    <w:p w14:paraId="78F5C4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应覆盖的</w:t>
      </w:r>
      <w:r>
        <w:rPr>
          <w:rFonts w:hint="eastAsia" w:ascii="宋体" w:hAnsi="宋体" w:eastAsia="宋体" w:cs="宋体"/>
          <w:color w:val="auto"/>
          <w:sz w:val="24"/>
          <w:szCs w:val="24"/>
          <w:highlight w:val="none"/>
          <w:lang w:val="en-US" w:eastAsia="zh-CN"/>
        </w:rPr>
        <w:t>产品规格</w:t>
      </w:r>
    </w:p>
    <w:p w14:paraId="59A3F1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电驱桥总成：总长度1600mm～2500mm、端面距1500mm～1900mm、宽度约1100mm、重量约为1200kg</w:t>
      </w:r>
      <w:r>
        <w:rPr>
          <w:rFonts w:hint="eastAsia" w:ascii="宋体" w:hAnsi="宋体" w:eastAsia="宋体" w:cs="宋体"/>
          <w:strike w:val="0"/>
          <w:dstrike w:val="0"/>
          <w:color w:val="auto"/>
          <w:sz w:val="24"/>
          <w:szCs w:val="24"/>
          <w:highlight w:val="none"/>
          <w:lang w:val="en-US" w:eastAsia="zh-CN"/>
        </w:rPr>
        <w:t>。</w:t>
      </w:r>
    </w:p>
    <w:p w14:paraId="5E7FE1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 总体设计要求</w:t>
      </w:r>
    </w:p>
    <w:p w14:paraId="34CE1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试验台布局应为两电机模式。电机和工业齿轮箱（如有配置）的冷却方式，应充分考虑试验室现场冷却条件。试验台方案应优先基于现有水、电、气等配套工艺设施条件设计，如有需要提升、改造或扩容，卖方应提供具体方案并列出可选项报价。</w:t>
      </w:r>
    </w:p>
    <w:p w14:paraId="1DF06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为满足俯仰角度、侧倾角度稳态及动态加载试验需要，试验台系统结构设计应科学合理，以保证试验过程中系统的稳定性和可靠性。</w:t>
      </w:r>
    </w:p>
    <w:p w14:paraId="5D0432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试验台所有的冷却水管路、气路、电缆、通讯控制线路等设计布局应美观整齐，且便于现场维护及整理，</w:t>
      </w:r>
      <w:r>
        <w:rPr>
          <w:rFonts w:hint="eastAsia" w:ascii="宋体" w:hAnsi="宋体" w:eastAsia="宋体" w:cs="宋体"/>
          <w:strike w:val="0"/>
          <w:dstrike w:val="0"/>
          <w:color w:val="auto"/>
          <w:sz w:val="24"/>
          <w:szCs w:val="24"/>
          <w:highlight w:val="none"/>
          <w:lang w:val="en-US" w:eastAsia="zh-CN"/>
        </w:rPr>
        <w:t>管、线路应张贴清晰的标识</w:t>
      </w:r>
      <w:r>
        <w:rPr>
          <w:rFonts w:hint="eastAsia" w:ascii="宋体" w:hAnsi="宋体" w:eastAsia="宋体" w:cs="宋体"/>
          <w:color w:val="auto"/>
          <w:sz w:val="24"/>
          <w:szCs w:val="24"/>
          <w:highlight w:val="none"/>
          <w:lang w:val="en-US" w:eastAsia="zh-CN"/>
        </w:rPr>
        <w:t>。</w:t>
      </w:r>
    </w:p>
    <w:p w14:paraId="701A2F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试验台机械传动系统的安全关键点应配备安全监测传感器并采取相应的保护措施。试验台还应配备与所有转动件相适应的可调节保护罩。</w:t>
      </w:r>
    </w:p>
    <w:p w14:paraId="3F5581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 测功机系统</w:t>
      </w:r>
    </w:p>
    <w:p w14:paraId="3029B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2.3.1 测功机系统应可满足电驱桥测试需求</w:t>
      </w:r>
    </w:p>
    <w:p w14:paraId="6BB2FF57">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eastAsia" w:ascii="宋体" w:hAnsi="宋体" w:eastAsia="宋体" w:cs="宋体"/>
          <w:color w:val="auto"/>
          <w:sz w:val="24"/>
          <w:highlight w:val="none"/>
          <w:lang w:eastAsia="zh-CN" w:bidi="ar"/>
        </w:rPr>
      </w:pPr>
      <w:r>
        <w:rPr>
          <w:rFonts w:hint="eastAsia" w:ascii="宋体" w:hAnsi="宋体" w:eastAsia="宋体" w:cs="宋体"/>
          <w:color w:val="auto"/>
          <w:sz w:val="24"/>
          <w:highlight w:val="none"/>
          <w:lang w:val="en-US" w:eastAsia="zh-CN" w:bidi="ar"/>
        </w:rPr>
        <w:t>单侧连续工作扭矩0～35000Nm，连续工作转速0～650r/min，35000Nm时转速应不低于90r/min；</w:t>
      </w:r>
    </w:p>
    <w:p w14:paraId="592FF417">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eastAsia" w:ascii="宋体" w:hAnsi="宋体" w:eastAsia="宋体" w:cs="宋体"/>
          <w:color w:val="auto"/>
          <w:sz w:val="24"/>
          <w:highlight w:val="none"/>
          <w:lang w:eastAsia="zh-CN" w:bidi="ar"/>
        </w:rPr>
      </w:pPr>
      <w:r>
        <w:rPr>
          <w:rFonts w:hint="eastAsia" w:ascii="宋体" w:hAnsi="宋体" w:eastAsia="宋体" w:cs="宋体"/>
          <w:color w:val="auto"/>
          <w:sz w:val="24"/>
          <w:highlight w:val="none"/>
          <w:lang w:val="en-US" w:eastAsia="zh-CN" w:bidi="ar"/>
        </w:rPr>
        <w:t>单侧连续工作扭矩0～15000Nm，连续工作转速0～1000r/min，15000Nm时转速应不低于130r/min。</w:t>
      </w:r>
    </w:p>
    <w:p w14:paraId="500EA4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trike w:val="0"/>
          <w:dstrike w:val="0"/>
          <w:color w:val="auto"/>
          <w:sz w:val="24"/>
          <w:szCs w:val="24"/>
          <w:highlight w:val="none"/>
          <w:lang w:val="en-US" w:eastAsia="zh-CN"/>
        </w:rPr>
      </w:pPr>
      <w:r>
        <w:rPr>
          <w:rFonts w:hint="eastAsia" w:ascii="宋体" w:hAnsi="宋体" w:eastAsia="宋体" w:cs="宋体"/>
          <w:color w:val="auto"/>
          <w:sz w:val="24"/>
          <w:highlight w:val="none"/>
          <w:lang w:val="en-US" w:eastAsia="zh-CN" w:bidi="ar"/>
        </w:rPr>
        <w:t>2.3.2 扭矩</w:t>
      </w:r>
      <w:r>
        <w:rPr>
          <w:rFonts w:hint="eastAsia" w:ascii="宋体" w:hAnsi="宋体" w:eastAsia="宋体" w:cs="宋体"/>
          <w:color w:val="auto"/>
          <w:sz w:val="24"/>
          <w:highlight w:val="none"/>
          <w:lang w:bidi="ar"/>
        </w:rPr>
        <w:t>控制精度</w:t>
      </w:r>
      <w:r>
        <w:rPr>
          <w:rFonts w:hint="eastAsia" w:ascii="宋体" w:hAnsi="宋体" w:eastAsia="宋体" w:cs="宋体"/>
          <w:color w:val="auto"/>
          <w:sz w:val="24"/>
          <w:highlight w:val="none"/>
          <w:lang w:val="en-US" w:eastAsia="zh-CN" w:bidi="ar"/>
        </w:rPr>
        <w:t>应不低于</w:t>
      </w:r>
      <w:r>
        <w:rPr>
          <w:rFonts w:hint="eastAsia" w:ascii="宋体" w:hAnsi="宋体" w:eastAsia="宋体" w:cs="宋体"/>
          <w:color w:val="auto"/>
          <w:sz w:val="24"/>
          <w:highlight w:val="none"/>
          <w:lang w:bidi="ar"/>
        </w:rPr>
        <w:t>±0.5%</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val="en-US" w:eastAsia="zh-CN" w:bidi="ar"/>
        </w:rPr>
        <w:t>转速</w:t>
      </w:r>
      <w:r>
        <w:rPr>
          <w:rFonts w:hint="eastAsia" w:ascii="宋体" w:hAnsi="宋体" w:eastAsia="宋体" w:cs="宋体"/>
          <w:color w:val="auto"/>
          <w:sz w:val="24"/>
          <w:highlight w:val="none"/>
          <w:lang w:bidi="ar"/>
        </w:rPr>
        <w:t>控制精度</w:t>
      </w:r>
      <w:r>
        <w:rPr>
          <w:rFonts w:hint="eastAsia" w:ascii="宋体" w:hAnsi="宋体" w:eastAsia="宋体" w:cs="宋体"/>
          <w:color w:val="auto"/>
          <w:sz w:val="24"/>
          <w:highlight w:val="none"/>
          <w:lang w:val="en-US" w:eastAsia="zh-CN" w:bidi="ar"/>
        </w:rPr>
        <w:t>应不低于</w:t>
      </w:r>
      <w:r>
        <w:rPr>
          <w:rFonts w:hint="eastAsia" w:ascii="宋体" w:hAnsi="宋体" w:eastAsia="宋体" w:cs="宋体"/>
          <w:color w:val="auto"/>
          <w:sz w:val="24"/>
          <w:highlight w:val="none"/>
          <w:lang w:bidi="ar"/>
        </w:rPr>
        <w:t>±1 r/min。</w:t>
      </w:r>
    </w:p>
    <w:p w14:paraId="191BE2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color w:val="auto"/>
          <w:sz w:val="24"/>
          <w:szCs w:val="24"/>
          <w:highlight w:val="none"/>
          <w:lang w:val="en-US" w:eastAsia="zh-CN"/>
        </w:rPr>
        <w:t xml:space="preserve">2.3.3 </w:t>
      </w:r>
      <w:r>
        <w:rPr>
          <w:rFonts w:hint="eastAsia" w:ascii="宋体" w:hAnsi="宋体" w:eastAsia="宋体" w:cs="宋体"/>
          <w:strike w:val="0"/>
          <w:dstrike w:val="0"/>
          <w:sz w:val="24"/>
          <w:szCs w:val="24"/>
          <w:highlight w:val="none"/>
          <w:lang w:val="en-US" w:eastAsia="zh-CN"/>
        </w:rPr>
        <w:t>测功机系统应配备扭矩/转速传感器，精度等级应不低于0.1。</w:t>
      </w:r>
    </w:p>
    <w:p w14:paraId="5E4797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2.3.4 </w:t>
      </w:r>
      <w:r>
        <w:rPr>
          <w:rFonts w:hint="eastAsia" w:ascii="宋体" w:hAnsi="宋体" w:eastAsia="宋体" w:cs="宋体"/>
          <w:color w:val="auto"/>
          <w:sz w:val="24"/>
          <w:szCs w:val="24"/>
          <w:highlight w:val="none"/>
          <w:lang w:val="en-US" w:eastAsia="zh-CN"/>
        </w:rPr>
        <w:t>测功机单元应可根据试验台翻转基座尺寸、产品规格尺寸沿轴向、横向实现最大限度移动</w:t>
      </w:r>
      <w:r>
        <w:rPr>
          <w:rFonts w:hint="eastAsia" w:ascii="宋体" w:hAnsi="宋体" w:eastAsia="宋体" w:cs="宋体"/>
          <w:sz w:val="24"/>
          <w:szCs w:val="24"/>
          <w:highlight w:val="none"/>
          <w:lang w:val="en-US" w:eastAsia="zh-CN"/>
        </w:rPr>
        <w:t>。</w:t>
      </w:r>
    </w:p>
    <w:p w14:paraId="55F391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strike w:val="0"/>
          <w:dstrike w:val="0"/>
          <w:color w:val="auto"/>
          <w:sz w:val="24"/>
          <w:szCs w:val="24"/>
          <w:highlight w:val="none"/>
          <w:lang w:val="en-US" w:eastAsia="zh-CN"/>
        </w:rPr>
        <w:t>2.3.5 变频器</w:t>
      </w:r>
      <w:r>
        <w:rPr>
          <w:rFonts w:hint="eastAsia" w:ascii="宋体" w:hAnsi="宋体" w:eastAsia="宋体" w:cs="宋体"/>
          <w:color w:val="auto"/>
          <w:sz w:val="24"/>
          <w:szCs w:val="24"/>
          <w:highlight w:val="none"/>
          <w:lang w:val="en-US" w:eastAsia="zh-CN"/>
        </w:rPr>
        <w:t>散热方式应</w:t>
      </w:r>
      <w:r>
        <w:rPr>
          <w:rFonts w:hint="eastAsia" w:ascii="宋体" w:hAnsi="宋体" w:eastAsia="宋体" w:cs="宋体"/>
          <w:strike w:val="0"/>
          <w:dstrike w:val="0"/>
          <w:color w:val="auto"/>
          <w:sz w:val="24"/>
          <w:szCs w:val="24"/>
          <w:highlight w:val="none"/>
          <w:lang w:val="en-US" w:eastAsia="zh-CN"/>
        </w:rPr>
        <w:t>充分考虑试验室现场环境，安装位置有试验室集中通风散热，温度不高于40℃。变频器的进出线方式，应需及时与买方进行沟通。</w:t>
      </w:r>
    </w:p>
    <w:p w14:paraId="2CBCE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2.3.6 工业齿轮箱（如有配备）应输出功率曲线平滑过渡，且应具备脱耦功能以减少转动惯量。</w:t>
      </w:r>
    </w:p>
    <w:p w14:paraId="72EB0E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2.3.7 试验台测功机应均具有直连输出功能。</w:t>
      </w:r>
    </w:p>
    <w:p w14:paraId="5976D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 动态翻转平台</w:t>
      </w:r>
    </w:p>
    <w:p w14:paraId="3F46DC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trike w:val="0"/>
          <w:dstrike w:val="0"/>
          <w:color w:val="auto"/>
          <w:sz w:val="24"/>
          <w:szCs w:val="24"/>
          <w:highlight w:val="none"/>
          <w:lang w:val="en-US" w:eastAsia="zh-CN"/>
        </w:rPr>
        <w:t xml:space="preserve">2.4.1 </w:t>
      </w:r>
      <w:r>
        <w:rPr>
          <w:rFonts w:hint="eastAsia" w:ascii="宋体" w:hAnsi="宋体" w:eastAsia="宋体" w:cs="宋体"/>
          <w:color w:val="auto"/>
          <w:sz w:val="24"/>
          <w:szCs w:val="24"/>
          <w:highlight w:val="none"/>
          <w:lang w:val="en-US" w:eastAsia="zh-CN"/>
        </w:rPr>
        <w:t>平台俯仰角度应满足±30°、侧倾角度应满足±30°。</w:t>
      </w:r>
    </w:p>
    <w:p w14:paraId="685769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2.4.2 </w:t>
      </w:r>
      <w:r>
        <w:rPr>
          <w:rFonts w:hint="eastAsia" w:ascii="宋体" w:hAnsi="宋体" w:eastAsia="宋体" w:cs="宋体"/>
          <w:strike w:val="0"/>
          <w:dstrike w:val="0"/>
          <w:color w:val="auto"/>
          <w:sz w:val="24"/>
          <w:szCs w:val="24"/>
          <w:highlight w:val="none"/>
          <w:lang w:val="en-US" w:eastAsia="zh-CN"/>
        </w:rPr>
        <w:t>平台应可实现稳态及动态角度</w:t>
      </w:r>
      <w:r>
        <w:rPr>
          <w:rFonts w:hint="eastAsia" w:ascii="宋体" w:hAnsi="宋体" w:eastAsia="宋体" w:cs="宋体"/>
          <w:color w:val="auto"/>
          <w:sz w:val="24"/>
          <w:szCs w:val="24"/>
          <w:highlight w:val="none"/>
          <w:lang w:val="en-US" w:eastAsia="zh-CN"/>
        </w:rPr>
        <w:t>无级调节，俯仰角度</w:t>
      </w:r>
      <w:r>
        <w:rPr>
          <w:rFonts w:hint="eastAsia" w:ascii="宋体" w:hAnsi="宋体" w:eastAsia="宋体" w:cs="宋体"/>
          <w:strike w:val="0"/>
          <w:dstrike w:val="0"/>
          <w:color w:val="auto"/>
          <w:sz w:val="24"/>
          <w:szCs w:val="24"/>
          <w:highlight w:val="none"/>
          <w:lang w:val="en-US" w:eastAsia="zh-CN"/>
        </w:rPr>
        <w:t>和侧倾角度应可同时调节，最大调节速度应不低于4°/s，控制精度应不低于0.1°</w:t>
      </w:r>
      <w:r>
        <w:rPr>
          <w:rFonts w:hint="eastAsia" w:ascii="宋体" w:hAnsi="宋体" w:eastAsia="宋体" w:cs="宋体"/>
          <w:color w:val="auto"/>
          <w:sz w:val="24"/>
          <w:szCs w:val="24"/>
          <w:highlight w:val="none"/>
          <w:lang w:val="en-US" w:eastAsia="zh-CN"/>
        </w:rPr>
        <w:t>。</w:t>
      </w:r>
    </w:p>
    <w:p w14:paraId="5A33F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2.4.3 平台角度调节应可与道路谱联动，角度需求值应可读取道路谱中的角度。</w:t>
      </w:r>
    </w:p>
    <w:p w14:paraId="2FBF4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2.4.4 平台应采取电伺服作动方式。</w:t>
      </w:r>
    </w:p>
    <w:p w14:paraId="1050CD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2.4.5 平台应具备足够承载能力。设计合理、操作便利，便于设备后期维护，并具有高可靠性。</w:t>
      </w:r>
    </w:p>
    <w:p w14:paraId="1A60DF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2.4.6 平台应具备防跌落、限位保护、联锁功能等安全防护功能。</w:t>
      </w:r>
    </w:p>
    <w:p w14:paraId="461E41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2.4.7 平台工作面应与试验室地面保持同一水平高度。</w:t>
      </w:r>
    </w:p>
    <w:p w14:paraId="338251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2.4.8 </w:t>
      </w:r>
      <w:r>
        <w:rPr>
          <w:rFonts w:ascii="宋体" w:hAnsi="宋体" w:eastAsia="宋体" w:cs="宋体"/>
          <w:sz w:val="24"/>
          <w:szCs w:val="24"/>
        </w:rPr>
        <w:t>平台应满足后期拓展被测件环境仓二次设计的机械结构安装连接需求，包括风管、水管及密封件等相关组件</w:t>
      </w:r>
      <w:r>
        <w:rPr>
          <w:rFonts w:hint="eastAsia" w:ascii="宋体" w:hAnsi="宋体" w:eastAsia="宋体" w:cs="宋体"/>
          <w:sz w:val="24"/>
          <w:szCs w:val="24"/>
          <w:lang w:eastAsia="zh-CN"/>
        </w:rPr>
        <w:t>。</w:t>
      </w:r>
    </w:p>
    <w:p w14:paraId="4FBA40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ascii="宋体" w:hAnsi="宋体" w:eastAsia="宋体" w:cs="宋体"/>
          <w:sz w:val="24"/>
          <w:szCs w:val="24"/>
        </w:rPr>
        <w:t>2.4.</w:t>
      </w:r>
      <w:r>
        <w:rPr>
          <w:rFonts w:hint="eastAsia" w:ascii="宋体" w:hAnsi="宋体" w:eastAsia="宋体" w:cs="宋体"/>
          <w:sz w:val="24"/>
          <w:szCs w:val="24"/>
          <w:lang w:val="en-US" w:eastAsia="zh-CN"/>
        </w:rPr>
        <w:t>9</w:t>
      </w:r>
      <w:r>
        <w:rPr>
          <w:rFonts w:ascii="宋体" w:hAnsi="宋体" w:eastAsia="宋体" w:cs="宋体"/>
          <w:sz w:val="24"/>
          <w:szCs w:val="24"/>
        </w:rPr>
        <w:t xml:space="preserve"> </w:t>
      </w:r>
      <w:r>
        <w:rPr>
          <w:rFonts w:hint="eastAsia" w:ascii="宋体" w:hAnsi="宋体" w:eastAsia="宋体" w:cs="宋体"/>
          <w:color w:val="auto"/>
          <w:sz w:val="24"/>
          <w:szCs w:val="24"/>
          <w:highlight w:val="none"/>
          <w:lang w:val="en-US" w:eastAsia="zh-CN"/>
        </w:rPr>
        <w:t>平台与试验室地面之间的间隙应具有合理的支承与防护装置，且平台翻转过程中不产生障碍干涉。</w:t>
      </w:r>
    </w:p>
    <w:p w14:paraId="380E43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 电池模拟器</w:t>
      </w:r>
    </w:p>
    <w:p w14:paraId="58833C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2.5.1 电池模拟器功率应不低于800kW，输出电压应</w:t>
      </w:r>
      <w:r>
        <w:rPr>
          <w:rFonts w:hint="eastAsia" w:ascii="宋体" w:hAnsi="宋体" w:eastAsia="宋体" w:cs="宋体"/>
          <w:color w:val="auto"/>
          <w:kern w:val="2"/>
          <w:sz w:val="24"/>
          <w:szCs w:val="24"/>
          <w:highlight w:val="none"/>
          <w:lang w:val="en-US" w:eastAsia="zh-CN" w:bidi="ar-SA"/>
        </w:rPr>
        <w:t>范围应满足24～</w:t>
      </w:r>
      <w:r>
        <w:rPr>
          <w:rFonts w:hint="default"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2</w:t>
      </w:r>
      <w:r>
        <w:rPr>
          <w:rFonts w:hint="default" w:ascii="宋体" w:hAnsi="宋体" w:eastAsia="宋体" w:cs="宋体"/>
          <w:color w:val="auto"/>
          <w:kern w:val="2"/>
          <w:sz w:val="24"/>
          <w:szCs w:val="24"/>
          <w:highlight w:val="none"/>
          <w:lang w:val="en-US" w:eastAsia="zh-CN" w:bidi="ar-SA"/>
        </w:rPr>
        <w:t>00V</w:t>
      </w:r>
      <w:r>
        <w:rPr>
          <w:rFonts w:hint="eastAsia" w:ascii="宋体" w:hAnsi="宋体" w:eastAsia="宋体" w:cs="宋体"/>
          <w:color w:val="auto"/>
          <w:sz w:val="24"/>
          <w:szCs w:val="24"/>
          <w:highlight w:val="none"/>
          <w:lang w:val="en-US" w:eastAsia="zh-CN"/>
        </w:rPr>
        <w:t>，输出电流应不低于1500A，输出精度应不低于0.1%FS。</w:t>
      </w:r>
    </w:p>
    <w:p w14:paraId="0F5DCF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2.5.2 应采用双通道输出，每通道可独立控制。</w:t>
      </w:r>
    </w:p>
    <w:p w14:paraId="450597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2.5.3 应具有固定电池类型模拟（锰酸锂、钴酸锂、磷酸铁锂、三元锂、铅酸电池等），可自定义电池类型模拟</w:t>
      </w:r>
      <w:r>
        <w:rPr>
          <w:rFonts w:hint="eastAsia" w:ascii="宋体" w:hAnsi="宋体" w:eastAsia="宋体" w:cs="宋体"/>
          <w:sz w:val="24"/>
          <w:szCs w:val="24"/>
          <w:highlight w:val="none"/>
          <w:lang w:val="en-US" w:eastAsia="zh-CN"/>
        </w:rPr>
        <w:t>。</w:t>
      </w:r>
    </w:p>
    <w:p w14:paraId="49548C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2.5.4 应具有高动态响应特性，输出响应时间应</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highlight w:val="none"/>
          <w:lang w:val="en-US" w:eastAsia="zh-CN" w:bidi="ar"/>
        </w:rPr>
        <w:t>1ms。</w:t>
      </w:r>
    </w:p>
    <w:p w14:paraId="31DE68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2.5.5 应具有恒压模式（CV）、恒流模式（CC）和恒功率模式（CP）运行模式，可以设置输出电压、电流、功率的运行参数。</w:t>
      </w:r>
    </w:p>
    <w:p w14:paraId="4D0EE9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bidi="ar"/>
        </w:rPr>
      </w:pPr>
      <w:r>
        <w:rPr>
          <w:rFonts w:hint="eastAsia" w:ascii="宋体" w:hAnsi="宋体" w:eastAsia="宋体" w:cs="宋体"/>
          <w:bCs/>
          <w:sz w:val="24"/>
          <w:highlight w:val="none"/>
          <w:lang w:val="en-US" w:eastAsia="zh-CN"/>
        </w:rPr>
        <w:t xml:space="preserve">2.5.6 </w:t>
      </w:r>
      <w:r>
        <w:rPr>
          <w:rFonts w:hint="eastAsia" w:ascii="宋体" w:hAnsi="宋体" w:eastAsia="宋体" w:cs="宋体"/>
          <w:color w:val="auto"/>
          <w:sz w:val="24"/>
          <w:highlight w:val="none"/>
          <w:lang w:val="en-US" w:eastAsia="zh-CN" w:bidi="ar"/>
        </w:rPr>
        <w:t>应</w:t>
      </w:r>
      <w:r>
        <w:rPr>
          <w:rFonts w:hint="eastAsia" w:ascii="宋体" w:hAnsi="宋体" w:eastAsia="宋体" w:cs="宋体"/>
          <w:color w:val="auto"/>
          <w:sz w:val="24"/>
          <w:highlight w:val="none"/>
          <w:lang w:bidi="ar"/>
        </w:rPr>
        <w:t>具有缺相</w:t>
      </w:r>
      <w:r>
        <w:rPr>
          <w:rFonts w:hint="eastAsia" w:ascii="宋体" w:hAnsi="宋体" w:eastAsia="宋体" w:cs="宋体"/>
          <w:color w:val="auto"/>
          <w:sz w:val="24"/>
          <w:highlight w:val="none"/>
          <w:lang w:val="en-US" w:eastAsia="zh-CN" w:bidi="ar"/>
        </w:rPr>
        <w:t>/过压/过流/漏电/</w:t>
      </w:r>
      <w:r>
        <w:rPr>
          <w:rFonts w:hint="eastAsia" w:ascii="宋体" w:hAnsi="宋体" w:eastAsia="宋体" w:cs="宋体"/>
          <w:color w:val="auto"/>
          <w:sz w:val="24"/>
          <w:highlight w:val="none"/>
          <w:lang w:bidi="ar"/>
        </w:rPr>
        <w:t>短路保护</w:t>
      </w:r>
      <w:r>
        <w:rPr>
          <w:rFonts w:hint="eastAsia" w:ascii="宋体" w:hAnsi="宋体" w:eastAsia="宋体" w:cs="宋体"/>
          <w:color w:val="auto"/>
          <w:sz w:val="24"/>
          <w:highlight w:val="none"/>
          <w:lang w:val="en-US" w:eastAsia="zh-CN" w:bidi="ar"/>
        </w:rPr>
        <w:t>、温控监测、主动放电</w:t>
      </w:r>
      <w:r>
        <w:rPr>
          <w:rFonts w:hint="eastAsia" w:ascii="宋体" w:hAnsi="宋体" w:eastAsia="宋体" w:cs="宋体"/>
          <w:color w:val="auto"/>
          <w:sz w:val="24"/>
          <w:highlight w:val="none"/>
          <w:lang w:bidi="ar"/>
        </w:rPr>
        <w:t>等自诊断和保护功能</w:t>
      </w:r>
      <w:r>
        <w:rPr>
          <w:rFonts w:hint="eastAsia" w:ascii="宋体" w:hAnsi="宋体" w:eastAsia="宋体" w:cs="宋体"/>
          <w:color w:val="auto"/>
          <w:sz w:val="24"/>
          <w:highlight w:val="none"/>
          <w:lang w:eastAsia="zh-CN" w:bidi="ar"/>
        </w:rPr>
        <w:t>，具备过温、急停等多种异常工况保护功能。</w:t>
      </w:r>
    </w:p>
    <w:p w14:paraId="509321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bidi="ar"/>
        </w:rPr>
      </w:pPr>
      <w:r>
        <w:rPr>
          <w:rFonts w:hint="eastAsia" w:ascii="宋体" w:hAnsi="宋体" w:eastAsia="宋体" w:cs="宋体"/>
          <w:color w:val="auto"/>
          <w:sz w:val="24"/>
          <w:highlight w:val="none"/>
          <w:lang w:val="en-US" w:eastAsia="zh-CN" w:bidi="ar"/>
        </w:rPr>
        <w:t>2.5.7 应</w:t>
      </w:r>
      <w:r>
        <w:rPr>
          <w:rFonts w:hint="eastAsia" w:ascii="宋体" w:hAnsi="宋体" w:eastAsia="宋体" w:cs="宋体"/>
          <w:color w:val="auto"/>
          <w:sz w:val="24"/>
          <w:highlight w:val="none"/>
          <w:lang w:eastAsia="zh-CN" w:bidi="ar"/>
        </w:rPr>
        <w:t>具有电压补偿功能，可自动补偿线损。</w:t>
      </w:r>
    </w:p>
    <w:p w14:paraId="08AF9E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highlight w:val="none"/>
          <w:lang w:val="en-US" w:eastAsia="zh-CN" w:bidi="ar"/>
        </w:rPr>
        <w:t xml:space="preserve">2.5.8 </w:t>
      </w:r>
      <w:r>
        <w:rPr>
          <w:rFonts w:hint="eastAsia" w:ascii="宋体" w:hAnsi="宋体" w:eastAsia="宋体" w:cs="宋体"/>
          <w:bCs/>
          <w:sz w:val="24"/>
          <w:highlight w:val="none"/>
          <w:lang w:val="en-US" w:eastAsia="zh-CN"/>
        </w:rPr>
        <w:t>应</w:t>
      </w:r>
      <w:r>
        <w:rPr>
          <w:rFonts w:hint="eastAsia" w:ascii="宋体" w:hAnsi="宋体" w:eastAsia="宋体" w:cs="宋体"/>
          <w:bCs/>
          <w:sz w:val="24"/>
          <w:highlight w:val="none"/>
        </w:rPr>
        <w:t>具</w:t>
      </w:r>
      <w:r>
        <w:rPr>
          <w:rFonts w:hint="eastAsia" w:ascii="宋体" w:hAnsi="宋体" w:eastAsia="宋体" w:cs="宋体"/>
          <w:bCs/>
          <w:sz w:val="24"/>
          <w:highlight w:val="none"/>
          <w:lang w:val="en-US" w:eastAsia="zh-CN"/>
        </w:rPr>
        <w:t>有</w:t>
      </w:r>
      <w:r>
        <w:rPr>
          <w:rFonts w:hint="eastAsia" w:ascii="宋体" w:hAnsi="宋体" w:eastAsia="宋体" w:cs="宋体"/>
          <w:bCs/>
          <w:sz w:val="24"/>
          <w:highlight w:val="none"/>
        </w:rPr>
        <w:t>能量回馈电网功能</w:t>
      </w:r>
      <w:r>
        <w:rPr>
          <w:rFonts w:hint="eastAsia" w:ascii="宋体" w:hAnsi="宋体" w:eastAsia="宋体" w:cs="宋体"/>
          <w:sz w:val="24"/>
          <w:szCs w:val="24"/>
          <w:highlight w:val="none"/>
          <w:lang w:val="en-US" w:eastAsia="zh-CN"/>
        </w:rPr>
        <w:t>。</w:t>
      </w:r>
    </w:p>
    <w:p w14:paraId="7D46F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2.5.9 电池模拟器功率模板应采用SiC半导体器件。</w:t>
      </w:r>
    </w:p>
    <w:p w14:paraId="4761CB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2.5.10 规格型号由卖方提供，买方确认。</w:t>
      </w:r>
    </w:p>
    <w:p w14:paraId="09BC24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 功率分析仪</w:t>
      </w:r>
    </w:p>
    <w:p w14:paraId="5F65A1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2.6.1 分析仪电压测量应不低于1500V，电压测量精度应不低于±0.05%FS；电流测量应不低于2000A。</w:t>
      </w:r>
    </w:p>
    <w:p w14:paraId="44CDE6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2.6.2 分析仪测量带宽应满足0.1～1MHz，采样速率应不低于2Ms/s。</w:t>
      </w:r>
    </w:p>
    <w:p w14:paraId="693AA3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2.6.3 电流传感器</w:t>
      </w:r>
      <w:r>
        <w:rPr>
          <w:rFonts w:hint="eastAsia" w:ascii="宋体" w:hAnsi="宋体" w:eastAsia="宋体" w:cs="宋体"/>
          <w:sz w:val="24"/>
          <w:szCs w:val="24"/>
          <w:highlight w:val="none"/>
          <w:lang w:val="en-US" w:eastAsia="zh-CN"/>
        </w:rPr>
        <w:tab/>
      </w:r>
    </w:p>
    <w:p w14:paraId="746B2BED">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电流测量范围0～2000A；</w:t>
      </w:r>
    </w:p>
    <w:p w14:paraId="1CE0FCA5">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测量精度</w:t>
      </w:r>
      <w:r>
        <w:rPr>
          <w:rFonts w:hint="eastAsia" w:ascii="宋体" w:hAnsi="宋体" w:eastAsia="宋体" w:cs="宋体"/>
          <w:color w:val="auto"/>
          <w:sz w:val="24"/>
          <w:szCs w:val="24"/>
          <w:highlight w:val="none"/>
          <w:lang w:val="en-US" w:eastAsia="zh-CN"/>
        </w:rPr>
        <w:t>不低于</w:t>
      </w:r>
      <w:r>
        <w:rPr>
          <w:rFonts w:hint="eastAsia" w:ascii="宋体" w:hAnsi="宋体" w:eastAsia="宋体" w:cs="宋体"/>
          <w:sz w:val="24"/>
          <w:szCs w:val="24"/>
          <w:highlight w:val="none"/>
          <w:lang w:val="en-US" w:eastAsia="zh-CN"/>
        </w:rPr>
        <w:t>±0.005%FS；</w:t>
      </w:r>
    </w:p>
    <w:p w14:paraId="48308E2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数量不少于8个；</w:t>
      </w:r>
    </w:p>
    <w:p w14:paraId="2F3DE66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配备相应线束；</w:t>
      </w:r>
    </w:p>
    <w:p w14:paraId="2C5D456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规格型号由卖方提供，买方确认。</w:t>
      </w:r>
    </w:p>
    <w:p w14:paraId="37B13D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2.6.4 电压钳</w:t>
      </w:r>
    </w:p>
    <w:p w14:paraId="6088EA34">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耐压值不低于1500V；</w:t>
      </w:r>
    </w:p>
    <w:p w14:paraId="5831478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电压钳数量不少于10个；</w:t>
      </w:r>
    </w:p>
    <w:p w14:paraId="071E31B9">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配备相应数量电压测试线；</w:t>
      </w:r>
    </w:p>
    <w:p w14:paraId="34D22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2.6.5 具备VGA输出、D/A输出、USB端口、以太网、RS-232等输出通道。</w:t>
      </w:r>
    </w:p>
    <w:p w14:paraId="547C25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2.6.6 分析仪应可完成高动态测量分析。</w:t>
      </w:r>
    </w:p>
    <w:p w14:paraId="46C4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2.6.7 分析仪应可同时满足2台电机的功率、电压、电流等参数的测量和分析，每台电机需测量：3路交流电压和电流、1路直流电压和电流。</w:t>
      </w:r>
    </w:p>
    <w:p w14:paraId="5D0080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2.6.8 分析仪的规格型号由卖方提供，买方确认。</w:t>
      </w:r>
    </w:p>
    <w:p w14:paraId="2E7498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 控制系统</w:t>
      </w:r>
    </w:p>
    <w:p w14:paraId="4860C4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2.7.1 控制系统应可编译或配置电驱桥在实车环境中运行所需的通讯交互环境，包括但不限于试验台模拟整车控制器、ABS/EBS控制器、ECU控制器、缓速器控制器RCU、车身控制器等信号环境，通过脚本编译功能实现动力域或底盘域的控制器交互功能。</w:t>
      </w:r>
    </w:p>
    <w:p w14:paraId="4389AC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2.7.2 控制系统应可实现对数字量信号、模拟量信号、脉冲宽度调制（PWM）信号发生器、可编辑低压供电通道进行编辑定义。</w:t>
      </w:r>
    </w:p>
    <w:p w14:paraId="05B060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2.7.3 控制系统应具备CAN驱动软件及硬件配置，能够与买方电驱桥控制器通讯，进行电驱桥标定与测试，支持对CAN通道进行独立配置。</w:t>
      </w:r>
    </w:p>
    <w:p w14:paraId="521DA4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2.7.4 控制系统应可实现电驱桥道路模拟（道路载荷谱输入、道路数据谱输入），模拟实车COAST DOWN等。系统应可执行基于距离的道路数据谱，如实时坡度、曲率等，能够模拟车辆在可编辑的道路上随开随停，试验台角度执行机构实时联动；</w:t>
      </w:r>
      <w:r>
        <w:rPr>
          <w:rFonts w:hint="eastAsia" w:ascii="宋体" w:hAnsi="宋体" w:eastAsia="宋体" w:cs="宋体"/>
          <w:color w:val="auto"/>
          <w:sz w:val="24"/>
          <w:szCs w:val="24"/>
          <w:highlight w:val="none"/>
          <w:lang w:val="en-US" w:eastAsia="zh-CN"/>
        </w:rPr>
        <w:t>可实现恒扭矩/恒加速度的制动刹车、新能源整车能量回收</w:t>
      </w:r>
      <w:r>
        <w:rPr>
          <w:rFonts w:hint="eastAsia" w:ascii="宋体" w:hAnsi="宋体" w:eastAsia="宋体" w:cs="宋体"/>
          <w:sz w:val="24"/>
          <w:szCs w:val="24"/>
          <w:highlight w:val="none"/>
          <w:lang w:val="en-US" w:eastAsia="zh-CN"/>
        </w:rPr>
        <w:t>。</w:t>
      </w:r>
    </w:p>
    <w:p w14:paraId="4F3EE8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2.7.5 控制系统应支持 Hauβmann换挡执行器机构硬件的集成，可实现手动挡变速器的换挡控制功能。</w:t>
      </w:r>
    </w:p>
    <w:p w14:paraId="03E74D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2.7.6 控制系统的控制模式应包括但不限于N/T、T/N、T/T、N/N、RLS/V、RLS/Alpha、-/T、-/N、T/-、N/-。</w:t>
      </w:r>
    </w:p>
    <w:p w14:paraId="410EE4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2.7.7 控制系统应满足电驱桥温升、效率、差速、差扭、动态响应等性能及可靠性等试验。</w:t>
      </w:r>
    </w:p>
    <w:p w14:paraId="28D687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2.7.8 控制系统应可记录保存试验数据，可自动绘制/回放温升曲线、不同油温、扭矩、转速下传动效率关系曲线。</w:t>
      </w:r>
    </w:p>
    <w:p w14:paraId="04D44E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2.7.9 控制系统应保证测得效率值具有4位有效数，例如：测得效率值98.11%；试验过程中数据可按要求输出、保存、回溯，并方便查询。</w:t>
      </w:r>
    </w:p>
    <w:p w14:paraId="49C542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2.7.10 控制系统软件的操作界面应采用英文界面、布局友好，且为卖方最新版本。</w:t>
      </w:r>
    </w:p>
    <w:p w14:paraId="44C077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 数据采集及信号发生系统</w:t>
      </w:r>
    </w:p>
    <w:p w14:paraId="1F6CA6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2.8.1 系统应配备可拓展数据接口。</w:t>
      </w:r>
    </w:p>
    <w:p w14:paraId="74AE1F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2.8.2 系统应配备PT100/1000温度传感器、热电偶传感器数据采集通道，各类型通道数量不少于8个。</w:t>
      </w:r>
    </w:p>
    <w:p w14:paraId="11DF5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2.8.3 系统应配备模拟量、数字量采集通道，各类型通道数量不少于8个。</w:t>
      </w:r>
    </w:p>
    <w:p w14:paraId="22DE5C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2.8.4 系统应配备以太网通道，通道数量不少于2个。</w:t>
      </w:r>
    </w:p>
    <w:p w14:paraId="64F55B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2.8.5 系统配备</w:t>
      </w:r>
      <w:r>
        <w:rPr>
          <w:rFonts w:hint="default" w:ascii="宋体" w:hAnsi="宋体" w:eastAsia="宋体" w:cs="宋体"/>
          <w:color w:val="auto"/>
          <w:sz w:val="24"/>
          <w:szCs w:val="24"/>
          <w:highlight w:val="none"/>
          <w:lang w:val="en-US" w:eastAsia="zh-CN"/>
        </w:rPr>
        <w:t>CAN接口</w:t>
      </w:r>
      <w:r>
        <w:rPr>
          <w:rFonts w:hint="eastAsia" w:ascii="宋体" w:hAnsi="宋体" w:eastAsia="宋体" w:cs="宋体"/>
          <w:color w:val="auto"/>
          <w:sz w:val="24"/>
          <w:szCs w:val="24"/>
          <w:highlight w:val="none"/>
          <w:lang w:val="en-US" w:eastAsia="zh-CN"/>
        </w:rPr>
        <w:t>通道与硬件工具且具备诊断分析功能</w:t>
      </w: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通道</w:t>
      </w:r>
      <w:r>
        <w:rPr>
          <w:rFonts w:hint="default" w:ascii="宋体" w:hAnsi="宋体" w:eastAsia="宋体" w:cs="宋体"/>
          <w:color w:val="auto"/>
          <w:sz w:val="24"/>
          <w:szCs w:val="24"/>
          <w:highlight w:val="none"/>
          <w:lang w:val="en-US" w:eastAsia="zh-CN"/>
        </w:rPr>
        <w:t>数量不少于6个</w:t>
      </w:r>
      <w:r>
        <w:rPr>
          <w:rFonts w:hint="eastAsia" w:ascii="宋体" w:hAnsi="宋体" w:eastAsia="宋体" w:cs="宋体"/>
          <w:color w:val="auto"/>
          <w:sz w:val="24"/>
          <w:szCs w:val="24"/>
          <w:highlight w:val="none"/>
          <w:lang w:val="en-US" w:eastAsia="zh-CN"/>
        </w:rPr>
        <w:t>，硬件工具品牌及型号规格应由买方确认。</w:t>
      </w:r>
    </w:p>
    <w:p w14:paraId="5B9314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2.8.6 </w:t>
      </w:r>
      <w:r>
        <w:rPr>
          <w:rFonts w:hint="eastAsia" w:ascii="宋体" w:hAnsi="宋体" w:eastAsia="宋体" w:cs="宋体"/>
          <w:sz w:val="24"/>
          <w:szCs w:val="24"/>
          <w:highlight w:val="none"/>
          <w:lang w:val="en-US" w:eastAsia="zh-CN"/>
        </w:rPr>
        <w:t>系统应配备</w:t>
      </w:r>
      <w:r>
        <w:rPr>
          <w:rFonts w:hint="default" w:ascii="宋体" w:hAnsi="宋体" w:eastAsia="宋体" w:cs="宋体"/>
          <w:color w:val="auto"/>
          <w:sz w:val="24"/>
          <w:szCs w:val="24"/>
          <w:highlight w:val="none"/>
          <w:lang w:val="en-US" w:eastAsia="zh-CN"/>
        </w:rPr>
        <w:t>ETHERCAT通道，</w:t>
      </w:r>
      <w:r>
        <w:rPr>
          <w:rFonts w:hint="eastAsia" w:ascii="宋体" w:hAnsi="宋体" w:eastAsia="宋体" w:cs="宋体"/>
          <w:color w:val="auto"/>
          <w:sz w:val="24"/>
          <w:szCs w:val="24"/>
          <w:highlight w:val="none"/>
          <w:lang w:val="en-US" w:eastAsia="zh-CN"/>
        </w:rPr>
        <w:t>通道</w:t>
      </w:r>
      <w:r>
        <w:rPr>
          <w:rFonts w:hint="default" w:ascii="宋体" w:hAnsi="宋体" w:eastAsia="宋体" w:cs="宋体"/>
          <w:color w:val="auto"/>
          <w:sz w:val="24"/>
          <w:szCs w:val="24"/>
          <w:highlight w:val="none"/>
          <w:lang w:val="en-US" w:eastAsia="zh-CN"/>
        </w:rPr>
        <w:t>数量2个。</w:t>
      </w:r>
    </w:p>
    <w:p w14:paraId="0CC3D4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2.8.7 系统应配备数字量信号发生通道、模拟量信号发生通道、脉冲宽度调制（PWM）信号发生通道，每种类型通道数量不少于8个。</w:t>
      </w:r>
    </w:p>
    <w:p w14:paraId="13913C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2.8.8 系统应配备可编辑低压供电通道，通道数量不少于8个，单通道电压范围应满足0～60V、电流范围应满足0～50A。</w:t>
      </w:r>
    </w:p>
    <w:p w14:paraId="44B18E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2.8.9 系统可集成无线遥感测温系统（品牌为：imc CAEMAX D</w:t>
      </w:r>
      <w:r>
        <w:rPr>
          <w:rFonts w:hint="eastAsia" w:ascii="宋体" w:hAnsi="宋体" w:eastAsia="宋体" w:cs="宋体"/>
          <w:color w:val="auto"/>
          <w:sz w:val="24"/>
          <w:szCs w:val="24"/>
          <w:highlight w:val="none"/>
          <w:vertAlign w:val="superscript"/>
          <w:lang w:val="en-US" w:eastAsia="zh-CN"/>
        </w:rPr>
        <w:t>X</w:t>
      </w:r>
      <w:r>
        <w:rPr>
          <w:rFonts w:hint="eastAsia" w:ascii="宋体" w:hAnsi="宋体" w:eastAsia="宋体" w:cs="宋体"/>
          <w:color w:val="auto"/>
          <w:sz w:val="24"/>
          <w:szCs w:val="24"/>
          <w:highlight w:val="none"/>
          <w:lang w:val="en-US" w:eastAsia="zh-CN"/>
        </w:rPr>
        <w:t xml:space="preserve"> 无线遥测）。</w:t>
      </w:r>
    </w:p>
    <w:p w14:paraId="19E19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 传感器</w:t>
      </w:r>
    </w:p>
    <w:p w14:paraId="66EC70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2.9.1 扭矩/转速传感器</w:t>
      </w:r>
    </w:p>
    <w:p w14:paraId="03F1ABD3">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试验台应配备相应数量、相应规格的高精度扭矩/转速传感器，精度等级均应不低于0.1；</w:t>
      </w:r>
    </w:p>
    <w:p w14:paraId="6CD9171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扭矩传感器应保证传动效率测量精度；</w:t>
      </w:r>
    </w:p>
    <w:p w14:paraId="18146CFE">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试验台应配备扭矩传感器标定工具。</w:t>
      </w:r>
    </w:p>
    <w:p w14:paraId="67B1F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2.9.2 温度传感器 </w:t>
      </w:r>
    </w:p>
    <w:p w14:paraId="4D59024D">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PT100/1000温度传感器，量程应满足0～150℃，精度应不低于±0.1℃，数量应不少于8个；</w:t>
      </w:r>
    </w:p>
    <w:p w14:paraId="61ABFA3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热电偶温度传感器，量程应满足0～150℃，精度应不低于±0.1℃，数量应不少于8个；</w:t>
      </w:r>
    </w:p>
    <w:p w14:paraId="2BD483A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红外探头温度传感器，量程应满足0～150℃，精度应不低于±0.1℃，数量应不少于8个；</w:t>
      </w:r>
    </w:p>
    <w:p w14:paraId="53421D46">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贴片式温度传感器，量程应满足0～150℃，精度应不低于±0.1℃，数量应不少于8个；</w:t>
      </w:r>
    </w:p>
    <w:p w14:paraId="3D0C171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温度传感器应可集成至数据采集及信号发生系统。</w:t>
      </w:r>
    </w:p>
    <w:p w14:paraId="23CE82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2.9.3 压力传感器</w:t>
      </w:r>
    </w:p>
    <w:p w14:paraId="61241FD3">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量程应满足0～1.0MPa，数量不少于8个;</w:t>
      </w:r>
    </w:p>
    <w:p w14:paraId="1F8C909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测量精度应不低于0.25级。</w:t>
      </w:r>
    </w:p>
    <w:p w14:paraId="7C93AC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2.10 早期故障诊断分析仪</w:t>
      </w:r>
    </w:p>
    <w:p w14:paraId="41555A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2.10.1 试验台应配备早期故障诊断分析仪1台，采用4通道。</w:t>
      </w:r>
    </w:p>
    <w:p w14:paraId="0A7F62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2.10.2 分析仪应能完成对试件早期故障的监测，如对齿面点蚀、断齿、轴承损坏等做出停机预报并做出故障分析。</w:t>
      </w:r>
    </w:p>
    <w:p w14:paraId="54ACAD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 被试件温控系统</w:t>
      </w:r>
    </w:p>
    <w:p w14:paraId="113456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2.11.1 被试件油温控制系统</w:t>
      </w:r>
    </w:p>
    <w:p w14:paraId="6E6D0BDA">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系统应自带外循环系统，包括相应的循环泵、压力流量控制系统、管接件等；</w:t>
      </w:r>
    </w:p>
    <w:p w14:paraId="348240C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系统温度控制范围应满足30～150℃，控制精度应不低于±1℃；</w:t>
      </w:r>
    </w:p>
    <w:p w14:paraId="5F7BCC7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系统冷却功率应不低于50kW，冷却速率应可调节；</w:t>
      </w:r>
    </w:p>
    <w:p w14:paraId="663703B2">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系统加热功率应不低于10kW；</w:t>
      </w:r>
    </w:p>
    <w:p w14:paraId="5E9305F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系统应配备便于清洗或更换的过滤装置。</w:t>
      </w:r>
    </w:p>
    <w:p w14:paraId="12B21459">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被试件润滑油加油量约21L。</w:t>
      </w:r>
    </w:p>
    <w:p w14:paraId="26F6E9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2.11.2 被试件电机冷却系统</w:t>
      </w:r>
    </w:p>
    <w:p w14:paraId="62F32E7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系统应采用双通道输出，单通道应可独立控制流量、温度；</w:t>
      </w:r>
    </w:p>
    <w:p w14:paraId="726E89AF">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系统应支持流量或压力闭环控制两种工作模式的切换；</w:t>
      </w:r>
    </w:p>
    <w:p w14:paraId="5F982FD5">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系统温度控制范围应满足10～130℃，精度应不低于±1℃；</w:t>
      </w:r>
    </w:p>
    <w:p w14:paraId="00BCE919">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流量控制范围应满足5～50L/min（单通道），</w:t>
      </w:r>
      <w:r>
        <w:rPr>
          <w:rFonts w:hint="eastAsia" w:ascii="宋体" w:hAnsi="宋体" w:eastAsia="宋体" w:cs="宋体"/>
          <w:sz w:val="24"/>
          <w:szCs w:val="24"/>
          <w:highlight w:val="none"/>
          <w:lang w:val="en-US" w:eastAsia="zh-CN"/>
        </w:rPr>
        <w:t>精度应不低于0.1L/min；</w:t>
      </w:r>
    </w:p>
    <w:p w14:paraId="7ABB83F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系统冷却功率应不低于50kW（单通道）；</w:t>
      </w:r>
    </w:p>
    <w:p w14:paraId="1EDCFA3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系统应配备便于清洗或更换的过滤装置；</w:t>
      </w:r>
    </w:p>
    <w:p w14:paraId="08BE52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2.11.3 冷却风扇</w:t>
      </w:r>
    </w:p>
    <w:p w14:paraId="5AAD193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试验台应配备4套冷却风扇，电驱桥主减2套、轮边2套；</w:t>
      </w:r>
    </w:p>
    <w:p w14:paraId="1E10775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试验台被试件加油量：电驱桥主减约12L、单轮边2.5L；</w:t>
      </w:r>
    </w:p>
    <w:p w14:paraId="2AA9EDA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风扇额定功率应不低于2.2kW，空气流量应不低于41m</w:t>
      </w:r>
      <w:r>
        <w:rPr>
          <w:rFonts w:hint="eastAsia" w:ascii="宋体" w:hAnsi="宋体" w:eastAsia="宋体" w:cs="宋体"/>
          <w:sz w:val="24"/>
          <w:szCs w:val="24"/>
          <w:highlight w:val="none"/>
          <w:vertAlign w:val="superscript"/>
          <w:lang w:val="en-US" w:eastAsia="zh-CN"/>
        </w:rPr>
        <w:t>3</w:t>
      </w:r>
      <w:r>
        <w:rPr>
          <w:rFonts w:hint="eastAsia" w:ascii="宋体" w:hAnsi="宋体" w:eastAsia="宋体" w:cs="宋体"/>
          <w:sz w:val="24"/>
          <w:szCs w:val="24"/>
          <w:highlight w:val="none"/>
          <w:vertAlign w:val="baseline"/>
          <w:lang w:val="en-US" w:eastAsia="zh-CN"/>
        </w:rPr>
        <w:t>/min；</w:t>
      </w:r>
    </w:p>
    <w:p w14:paraId="7398362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vertAlign w:val="baseline"/>
          <w:lang w:val="en-US" w:eastAsia="zh-CN"/>
        </w:rPr>
        <w:t>风扇应配备变频功能，且能够对风量进行连续调节；</w:t>
      </w:r>
    </w:p>
    <w:p w14:paraId="16B2271F">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风扇应能够按照实际使用需要，调整安装固定位置及出风口方向。</w:t>
      </w:r>
    </w:p>
    <w:p w14:paraId="38D572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 附加功能（兼顾变速器产品的测试）</w:t>
      </w:r>
    </w:p>
    <w:p w14:paraId="499F07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color w:val="auto"/>
          <w:sz w:val="24"/>
          <w:highlight w:val="none"/>
          <w:lang w:val="en-US" w:eastAsia="zh-CN" w:bidi="ar"/>
        </w:rPr>
        <w:t xml:space="preserve">2.12.1 </w:t>
      </w:r>
      <w:r>
        <w:rPr>
          <w:rFonts w:hint="eastAsia" w:ascii="宋体" w:hAnsi="宋体" w:eastAsia="宋体" w:cs="宋体"/>
          <w:sz w:val="24"/>
          <w:szCs w:val="24"/>
          <w:highlight w:val="none"/>
          <w:lang w:val="en-US" w:eastAsia="zh-CN"/>
        </w:rPr>
        <w:t>应覆盖的产品规格</w:t>
      </w:r>
    </w:p>
    <w:p w14:paraId="176333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变速器总成:长度为600mm～1500mm，宽度约为700mm、重量约为550kg。</w:t>
      </w:r>
    </w:p>
    <w:p w14:paraId="63F100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2.12.2 测功机系统应可用于变速器的输入、输出。系统整体设计应灵活、通用，满足电驱桥和变速器测试功能的便利切换。</w:t>
      </w:r>
    </w:p>
    <w:p w14:paraId="27A01FA8">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2.12.3 测功机系统应可满足变速器</w:t>
      </w:r>
      <w:r>
        <w:rPr>
          <w:rFonts w:hint="eastAsia" w:ascii="宋体" w:hAnsi="宋体" w:eastAsia="宋体" w:cs="宋体"/>
          <w:sz w:val="24"/>
          <w:szCs w:val="24"/>
          <w:highlight w:val="none"/>
          <w:lang w:val="en-US" w:eastAsia="zh-CN"/>
        </w:rPr>
        <w:t>测试需求</w:t>
      </w:r>
    </w:p>
    <w:p w14:paraId="19967761">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连续输入扭矩0～4000Nm，连续输入转速0～4000r/min，输入扭矩在4000Nm时输入转速不低于1500r/min；</w:t>
      </w:r>
    </w:p>
    <w:p w14:paraId="3F39530F">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连续输出扭矩0～35000Nm，连续输出转速0～650r/min，输出扭矩35000Nm时输出转速不低于200r/min；</w:t>
      </w:r>
    </w:p>
    <w:p w14:paraId="593CF044">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输出转速应不低于4000r/min。</w:t>
      </w:r>
    </w:p>
    <w:p w14:paraId="0F2DED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2.12.4 测功机系统应可支持中央驱动类变速器产品（电驱动单元+变速箱）测试。</w:t>
      </w:r>
    </w:p>
    <w:p w14:paraId="5E579D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2.12.5 控制系统</w:t>
      </w:r>
    </w:p>
    <w:p w14:paraId="0FA7290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控制系统应可编译变速器在实车运行环境中的通讯交互环境；</w:t>
      </w:r>
    </w:p>
    <w:p w14:paraId="0DCB3A2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控制系统应满足变速器可靠性试验、效率试验、温升试验；</w:t>
      </w:r>
    </w:p>
    <w:p w14:paraId="1CF72E2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控制系统应可实现与变速器电控单元（TCU）的通讯；</w:t>
      </w:r>
    </w:p>
    <w:p w14:paraId="1F305BE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控制系统应满足中央驱动类变速器产品（电驱动单元+变速箱）的测试功能。</w:t>
      </w:r>
    </w:p>
    <w:p w14:paraId="76458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 监控系统</w:t>
      </w:r>
    </w:p>
    <w:p w14:paraId="38CF96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2.13.1 试验台应配备带有云台控制的监控系统。</w:t>
      </w:r>
    </w:p>
    <w:p w14:paraId="7B2923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2.13.2 摄像头数量应不少于6个。</w:t>
      </w:r>
    </w:p>
    <w:p w14:paraId="7A42F1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2.13.3 录像保存时间不低于一个月。</w:t>
      </w:r>
    </w:p>
    <w:p w14:paraId="734653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 工装夹具</w:t>
      </w:r>
    </w:p>
    <w:p w14:paraId="4435C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2.14.1 试验台工装夹具设计应满足2.1、2.12.1规格产品的安装与固定。</w:t>
      </w:r>
    </w:p>
    <w:p w14:paraId="6B0FCD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2.14.2 试验台工装夹具应可满足中央驱动类变速器产品（电驱动单元+变速箱）安装与固定。</w:t>
      </w:r>
    </w:p>
    <w:p w14:paraId="01398A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2.14.3 试验台工装夹具应安装、拆卸便利且操作方便易行。</w:t>
      </w:r>
    </w:p>
    <w:p w14:paraId="250A4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 油、水、电、气工作界面及现场安装要求</w:t>
      </w:r>
    </w:p>
    <w:p w14:paraId="266BA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2.15.1 试验台应配备试验室供水法兰端面接口至设备端之间所用管路。</w:t>
      </w:r>
    </w:p>
    <w:p w14:paraId="3DA47B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2.15.2 试验台应配备试验室供气点至设备之间所用压缩空气管路。</w:t>
      </w:r>
    </w:p>
    <w:p w14:paraId="30F1A3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2.15.3 试验台应配备试验室配电柜到设备之间所用电缆。</w:t>
      </w:r>
    </w:p>
    <w:p w14:paraId="7E54D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2.15.4 试验台应配备电池模拟器至功率分析仪之间所用电缆。</w:t>
      </w:r>
    </w:p>
    <w:p w14:paraId="1E988B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2.15.5 试验台应配备温控系统与被测样件之间所用管路、接口转接件。</w:t>
      </w:r>
    </w:p>
    <w:p w14:paraId="50E73A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2.15.6 在试验室现场安装条件下，所有与试验台现场安装相关的其他基础建设工作所需的材料、施工，均应由卖方负责，买方确认；</w:t>
      </w:r>
      <w:r>
        <w:rPr>
          <w:rFonts w:hint="eastAsia" w:ascii="宋体" w:hAnsi="宋体" w:eastAsia="宋体" w:cs="宋体"/>
          <w:strike w:val="0"/>
          <w:dstrike w:val="0"/>
          <w:color w:val="auto"/>
          <w:sz w:val="24"/>
          <w:szCs w:val="24"/>
          <w:highlight w:val="none"/>
          <w:lang w:val="en-US" w:eastAsia="zh-CN"/>
        </w:rPr>
        <w:t>其他需买方提供的基础设施要求，应需及时与买方进行沟通。</w:t>
      </w:r>
    </w:p>
    <w:p w14:paraId="62BCBE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2.16 对故障的响应</w:t>
      </w:r>
    </w:p>
    <w:p w14:paraId="69EBEE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过程中，当出现传感器失效或过载，以及机械、电气系统故障等情况，程序可识别并给出提示，同时自动停机。如果通过程序人为退出或由于硬件故障退出试验过程，程序应自动记录当前试验状况及系统状况，故障修复后试验可以继续运行。</w:t>
      </w:r>
    </w:p>
    <w:p w14:paraId="6424FB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2.17 设备运行过程中应不受外部电网环境影响，且不对外部电网产生影响。</w:t>
      </w:r>
    </w:p>
    <w:p w14:paraId="17A87D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3.设计使用寿命</w:t>
      </w:r>
    </w:p>
    <w:p w14:paraId="22C758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按全年工作365天、两班制、设备年时基数4380小时计，设计使用寿命不少于十周年。</w:t>
      </w:r>
    </w:p>
    <w:p w14:paraId="4EA325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4.主要设备、零部件、元器件的选用和配置要求</w:t>
      </w:r>
    </w:p>
    <w:p w14:paraId="0D50D0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 电气系统</w:t>
      </w:r>
    </w:p>
    <w:p w14:paraId="3F3BE8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4.1.1 防护等级：电气柜、按钮箱、分线盒等防护等级IP65，台架上的电器防护等级IP67。</w:t>
      </w:r>
    </w:p>
    <w:p w14:paraId="2349AB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4.1.2 电气柜：独立落地型，散热及时，带照明和维修电源插座。</w:t>
      </w:r>
    </w:p>
    <w:p w14:paraId="475BF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4.1.3 所有元件和管线必须有标识，走管、走线应整洁、规范，维修方便。</w:t>
      </w:r>
    </w:p>
    <w:p w14:paraId="74B06B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4.1.4 卖方推荐、提供详细的选用配置表，买方确认。</w:t>
      </w:r>
    </w:p>
    <w:p w14:paraId="72B902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 电器元件</w:t>
      </w:r>
    </w:p>
    <w:p w14:paraId="21991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4.2.1  控制系统采用国际知名品牌产品。</w:t>
      </w:r>
    </w:p>
    <w:p w14:paraId="7B11F6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4.2.2  低压元件采用国际知名品牌产品。</w:t>
      </w:r>
    </w:p>
    <w:p w14:paraId="308FC3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4.2.3  卖方推荐、提供详细的选用配置表，买方确认。</w:t>
      </w:r>
    </w:p>
    <w:p w14:paraId="7EABEF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 气动、液压元器件</w:t>
      </w:r>
    </w:p>
    <w:p w14:paraId="074729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4.3.1 气动元件采用国际知名品牌产品产品。</w:t>
      </w:r>
    </w:p>
    <w:p w14:paraId="54F254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4.3.2 液压元器件采用国际知名品牌产品。</w:t>
      </w:r>
    </w:p>
    <w:p w14:paraId="735BE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4.3.3 卖方推荐、提供详细的选用配置表，买方确认。</w:t>
      </w:r>
    </w:p>
    <w:p w14:paraId="3977F7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5.自动化、数控化以及仪器仪表要求</w:t>
      </w:r>
    </w:p>
    <w:p w14:paraId="530955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采用国际知名品牌产品，卖方推荐、提供详细的选用配置表，买方确认。</w:t>
      </w:r>
    </w:p>
    <w:p w14:paraId="5EBD70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6.材料选用及其材料处理要求</w:t>
      </w:r>
    </w:p>
    <w:p w14:paraId="3C98B6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满足防锈、防腐的要求（耐汽车用燃油、机油、制动液等），卖方推荐、提供详细的选用配置表，买方确认。</w:t>
      </w:r>
    </w:p>
    <w:p w14:paraId="67C540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7.结构要求</w:t>
      </w:r>
    </w:p>
    <w:p w14:paraId="7C4176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布局简洁，配有易于搬运的吊具。</w:t>
      </w:r>
    </w:p>
    <w:p w14:paraId="6C0273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8.保养、维修、使用方便性要求</w:t>
      </w:r>
    </w:p>
    <w:p w14:paraId="17BD1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卖方提供保养、维修、使用的说明，买方确认。</w:t>
      </w:r>
    </w:p>
    <w:p w14:paraId="49B8BA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9.安全防护、环境保护、节能要求</w:t>
      </w:r>
    </w:p>
    <w:p w14:paraId="76C8A6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必须符合中国有关标准要求。</w:t>
      </w:r>
    </w:p>
    <w:p w14:paraId="3983A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10.其它配套供货要求</w:t>
      </w:r>
    </w:p>
    <w:p w14:paraId="4072D2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配套采购的工装、夹具、量具，必要的吊具、挂具等，卖方提供，买方确认。提供易损易坏备件清单及必要数量的备件。</w:t>
      </w:r>
    </w:p>
    <w:p w14:paraId="2E80E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11.其它要求</w:t>
      </w:r>
    </w:p>
    <w:p w14:paraId="13B696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设备及设备所含测量元件必须经过省级或省级以上计量单位计量认证。</w:t>
      </w:r>
    </w:p>
    <w:p w14:paraId="2F736111">
      <w:pPr>
        <w:pStyle w:val="121"/>
        <w:spacing w:line="360" w:lineRule="auto"/>
        <w:outlineLvl w:val="2"/>
        <w:rPr>
          <w:rFonts w:hint="eastAsia" w:ascii="宋体" w:hAnsi="宋体" w:cs="宋体"/>
          <w:color w:val="auto"/>
          <w:highlight w:val="none"/>
        </w:rPr>
      </w:pPr>
      <w:r>
        <w:rPr>
          <w:rFonts w:hint="eastAsia" w:ascii="宋体" w:hAnsi="宋体" w:cs="宋体"/>
          <w:color w:val="auto"/>
          <w:highlight w:val="none"/>
        </w:rPr>
        <w:t>四、执行标准</w:t>
      </w:r>
    </w:p>
    <w:p w14:paraId="62E4000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此处所列标准仅为涉及的主要标准，而且不保证其为最新版执行标准；</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应当在投标文件中认真予以填写、补充和修改完善。</w:t>
      </w:r>
    </w:p>
    <w:p w14:paraId="2297DA7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需要执行的标准，应当采用所供货物通过买方组织的最终验收之日已经开始执行的最新标准。</w:t>
      </w:r>
    </w:p>
    <w:p w14:paraId="4B11D9A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采购货物的产品质量、技术标准如在招投标文件中无相应说明，则按中华人民共和国有关部门颁发的最新的国标或专业（部）标准执行及相应的国际标准。</w:t>
      </w:r>
    </w:p>
    <w:p w14:paraId="5C99D23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采购货物没有国家或专业（部）标准的，按企业标准执行时，</w:t>
      </w:r>
      <w:r>
        <w:rPr>
          <w:rFonts w:hint="eastAsia" w:ascii="宋体" w:hAnsi="宋体" w:eastAsia="宋体" w:cs="宋体"/>
          <w:sz w:val="24"/>
          <w:szCs w:val="24"/>
          <w:highlight w:val="none"/>
          <w:lang w:eastAsia="zh-CN"/>
        </w:rPr>
        <w:t>卖方</w:t>
      </w:r>
      <w:r>
        <w:rPr>
          <w:rFonts w:hint="eastAsia" w:ascii="宋体" w:hAnsi="宋体" w:eastAsia="宋体" w:cs="宋体"/>
          <w:sz w:val="24"/>
          <w:szCs w:val="24"/>
          <w:highlight w:val="none"/>
        </w:rPr>
        <w:t>应在合同签署之前，将所涉及的企业标准提供给买方确认。</w:t>
      </w:r>
    </w:p>
    <w:p w14:paraId="48A8BA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采购货物如果采用国际标准，其执行标准由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确认。</w:t>
      </w:r>
    </w:p>
    <w:p w14:paraId="5E9F697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采购货物所涉及的标准不统一时，原则上按照最严格标准执行。</w:t>
      </w:r>
    </w:p>
    <w:p w14:paraId="747164D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353"/>
        <w:gridCol w:w="2724"/>
        <w:gridCol w:w="1098"/>
      </w:tblGrid>
      <w:tr w14:paraId="6326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374869B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4353" w:type="dxa"/>
            <w:noWrap w:val="0"/>
            <w:vAlign w:val="center"/>
          </w:tcPr>
          <w:p w14:paraId="6459ED48">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标准名称</w:t>
            </w:r>
          </w:p>
        </w:tc>
        <w:tc>
          <w:tcPr>
            <w:tcW w:w="2724" w:type="dxa"/>
            <w:noWrap w:val="0"/>
            <w:vAlign w:val="center"/>
          </w:tcPr>
          <w:p w14:paraId="63A96CD4">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标准编号</w:t>
            </w:r>
          </w:p>
        </w:tc>
        <w:tc>
          <w:tcPr>
            <w:tcW w:w="1098" w:type="dxa"/>
            <w:noWrap w:val="0"/>
            <w:vAlign w:val="center"/>
          </w:tcPr>
          <w:p w14:paraId="70C5772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71C9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28" w:type="dxa"/>
            <w:noWrap w:val="0"/>
            <w:vAlign w:val="center"/>
          </w:tcPr>
          <w:p w14:paraId="4C5E71F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4353" w:type="dxa"/>
            <w:noWrap w:val="0"/>
            <w:vAlign w:val="center"/>
          </w:tcPr>
          <w:p w14:paraId="1854AC93">
            <w:pPr>
              <w:spacing w:line="240" w:lineRule="auto"/>
              <w:jc w:val="left"/>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两挡电驱桥总成</w:t>
            </w:r>
          </w:p>
        </w:tc>
        <w:tc>
          <w:tcPr>
            <w:tcW w:w="2724" w:type="dxa"/>
            <w:noWrap w:val="0"/>
            <w:vAlign w:val="center"/>
          </w:tcPr>
          <w:p w14:paraId="0D4BDFA2">
            <w:pPr>
              <w:spacing w:line="240" w:lineRule="auto"/>
              <w:jc w:val="center"/>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Q/ZZ 12005-2025</w:t>
            </w:r>
          </w:p>
        </w:tc>
        <w:tc>
          <w:tcPr>
            <w:tcW w:w="1098" w:type="dxa"/>
            <w:noWrap w:val="0"/>
            <w:vAlign w:val="center"/>
          </w:tcPr>
          <w:p w14:paraId="3D3E93B2">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14:paraId="4E90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28" w:type="dxa"/>
            <w:noWrap w:val="0"/>
            <w:vAlign w:val="center"/>
          </w:tcPr>
          <w:p w14:paraId="71BFB465">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4353" w:type="dxa"/>
            <w:noWrap w:val="0"/>
            <w:vAlign w:val="center"/>
          </w:tcPr>
          <w:p w14:paraId="69AA0A71">
            <w:pPr>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汽车机械式变速器总成技术条件及台架试验方法</w:t>
            </w:r>
          </w:p>
        </w:tc>
        <w:tc>
          <w:tcPr>
            <w:tcW w:w="2724" w:type="dxa"/>
            <w:noWrap w:val="0"/>
            <w:vAlign w:val="center"/>
          </w:tcPr>
          <w:p w14:paraId="158F9E4B">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QC/T 568—2019</w:t>
            </w:r>
          </w:p>
        </w:tc>
        <w:tc>
          <w:tcPr>
            <w:tcW w:w="1098" w:type="dxa"/>
            <w:noWrap w:val="0"/>
            <w:vAlign w:val="center"/>
          </w:tcPr>
          <w:p w14:paraId="703151BB">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14:paraId="696C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28" w:type="dxa"/>
            <w:noWrap w:val="0"/>
            <w:vAlign w:val="center"/>
          </w:tcPr>
          <w:p w14:paraId="70058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4353" w:type="dxa"/>
            <w:noWrap w:val="0"/>
            <w:vAlign w:val="center"/>
          </w:tcPr>
          <w:p w14:paraId="51F51B1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t>中重型汽车机械式变速器总成</w:t>
            </w:r>
          </w:p>
        </w:tc>
        <w:tc>
          <w:tcPr>
            <w:tcW w:w="2724" w:type="dxa"/>
            <w:noWrap w:val="0"/>
            <w:vAlign w:val="center"/>
          </w:tcPr>
          <w:p w14:paraId="434DF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t>Q/ZZ 11630-2024</w:t>
            </w:r>
          </w:p>
        </w:tc>
        <w:tc>
          <w:tcPr>
            <w:tcW w:w="1098" w:type="dxa"/>
            <w:noWrap w:val="0"/>
            <w:vAlign w:val="center"/>
          </w:tcPr>
          <w:p w14:paraId="6FD78D1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14:paraId="2737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28" w:type="dxa"/>
            <w:noWrap w:val="0"/>
            <w:vAlign w:val="center"/>
          </w:tcPr>
          <w:p w14:paraId="3B3C7D85">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353" w:type="dxa"/>
            <w:noWrap w:val="0"/>
            <w:vAlign w:val="center"/>
          </w:tcPr>
          <w:p w14:paraId="6C31E940">
            <w:pPr>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工业企业厂界环境噪声排放标准</w:t>
            </w:r>
          </w:p>
        </w:tc>
        <w:tc>
          <w:tcPr>
            <w:tcW w:w="2724" w:type="dxa"/>
            <w:noWrap w:val="0"/>
            <w:vAlign w:val="center"/>
          </w:tcPr>
          <w:p w14:paraId="5BEB2EF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GB 12348-2008</w:t>
            </w:r>
          </w:p>
        </w:tc>
        <w:tc>
          <w:tcPr>
            <w:tcW w:w="1098" w:type="dxa"/>
            <w:noWrap w:val="0"/>
            <w:vAlign w:val="center"/>
          </w:tcPr>
          <w:p w14:paraId="4BB796A3">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bl>
    <w:p w14:paraId="7B277F54">
      <w:pPr>
        <w:rPr>
          <w:rFonts w:hint="eastAsia" w:ascii="Calibri" w:hAnsi="Calibri" w:eastAsia="宋体" w:cs="Times New Roman"/>
          <w:b/>
          <w:bCs/>
          <w:color w:val="000000" w:themeColor="text1"/>
          <w:kern w:val="44"/>
          <w:sz w:val="28"/>
          <w:szCs w:val="28"/>
          <w14:textFill>
            <w14:solidFill>
              <w14:schemeClr w14:val="tx1"/>
            </w14:solidFill>
          </w14:textFill>
        </w:rPr>
      </w:pPr>
      <w:bookmarkStart w:id="32" w:name="_Toc169605881"/>
      <w:r>
        <w:rPr>
          <w:rFonts w:hint="eastAsia" w:ascii="Calibri" w:hAnsi="Calibri" w:eastAsia="宋体" w:cs="Times New Roman"/>
          <w:b/>
          <w:bCs/>
          <w:color w:val="000000" w:themeColor="text1"/>
          <w:kern w:val="44"/>
          <w:sz w:val="28"/>
          <w:szCs w:val="28"/>
          <w14:textFill>
            <w14:solidFill>
              <w14:schemeClr w14:val="tx1"/>
            </w14:solidFill>
          </w14:textFill>
        </w:rPr>
        <w:br w:type="page"/>
      </w:r>
    </w:p>
    <w:p w14:paraId="298C1E41">
      <w:pPr>
        <w:keepNext/>
        <w:keepLines/>
        <w:jc w:val="center"/>
        <w:outlineLvl w:val="1"/>
        <w:rPr>
          <w:rFonts w:ascii="Calibri" w:hAnsi="Calibri" w:eastAsia="宋体" w:cs="Times New Roman"/>
          <w:b/>
          <w:bCs/>
          <w:color w:val="000000" w:themeColor="text1"/>
          <w:kern w:val="44"/>
          <w:sz w:val="28"/>
          <w:szCs w:val="28"/>
          <w14:textFill>
            <w14:solidFill>
              <w14:schemeClr w14:val="tx1"/>
            </w14:solidFill>
          </w14:textFill>
        </w:rPr>
      </w:pPr>
      <w:r>
        <w:rPr>
          <w:rFonts w:hint="eastAsia" w:ascii="Calibri" w:hAnsi="Calibri" w:eastAsia="宋体" w:cs="Times New Roman"/>
          <w:b/>
          <w:bCs/>
          <w:color w:val="000000" w:themeColor="text1"/>
          <w:kern w:val="44"/>
          <w:sz w:val="28"/>
          <w:szCs w:val="28"/>
          <w14:textFill>
            <w14:solidFill>
              <w14:schemeClr w14:val="tx1"/>
            </w14:solidFill>
          </w14:textFill>
        </w:rPr>
        <w:t>第三章</w:t>
      </w:r>
      <w:r>
        <w:rPr>
          <w:rFonts w:ascii="Calibri" w:hAnsi="Calibri" w:eastAsia="宋体" w:cs="Times New Roman"/>
          <w:b/>
          <w:bCs/>
          <w:color w:val="000000" w:themeColor="text1"/>
          <w:kern w:val="44"/>
          <w:sz w:val="28"/>
          <w:szCs w:val="28"/>
          <w14:textFill>
            <w14:solidFill>
              <w14:schemeClr w14:val="tx1"/>
            </w14:solidFill>
          </w14:textFill>
        </w:rPr>
        <w:t xml:space="preserve">  </w:t>
      </w:r>
      <w:r>
        <w:rPr>
          <w:rFonts w:hint="eastAsia" w:ascii="Calibri" w:hAnsi="Calibri" w:eastAsia="宋体" w:cs="Times New Roman"/>
          <w:b/>
          <w:bCs/>
          <w:color w:val="000000" w:themeColor="text1"/>
          <w:kern w:val="44"/>
          <w:sz w:val="28"/>
          <w:szCs w:val="28"/>
          <w14:textFill>
            <w14:solidFill>
              <w14:schemeClr w14:val="tx1"/>
            </w14:solidFill>
          </w14:textFill>
        </w:rPr>
        <w:t>供货范围及供货方式</w:t>
      </w:r>
      <w:bookmarkEnd w:id="32"/>
    </w:p>
    <w:p w14:paraId="7C97F2D6">
      <w:pPr>
        <w:rPr>
          <w:color w:val="000000" w:themeColor="text1"/>
          <w14:textFill>
            <w14:solidFill>
              <w14:schemeClr w14:val="tx1"/>
            </w14:solidFill>
          </w14:textFill>
        </w:rPr>
      </w:pPr>
    </w:p>
    <w:p w14:paraId="336A3D5E">
      <w:pPr>
        <w:keepNext/>
        <w:keepLines/>
        <w:spacing w:line="360" w:lineRule="auto"/>
        <w:jc w:val="center"/>
        <w:outlineLvl w:val="2"/>
        <w:rPr>
          <w:rFonts w:ascii="宋体" w:hAnsi="宋体" w:eastAsia="宋体" w:cs="宋体"/>
          <w:b/>
          <w:bCs/>
          <w:color w:val="000000" w:themeColor="text1"/>
          <w:sz w:val="24"/>
          <w:szCs w:val="32"/>
          <w14:textFill>
            <w14:solidFill>
              <w14:schemeClr w14:val="tx1"/>
            </w14:solidFill>
          </w14:textFill>
        </w:rPr>
      </w:pPr>
      <w:bookmarkStart w:id="33" w:name="_Toc169605882"/>
      <w:r>
        <w:rPr>
          <w:rFonts w:hint="eastAsia" w:ascii="宋体" w:hAnsi="宋体" w:eastAsia="宋体" w:cs="宋体"/>
          <w:b/>
          <w:bCs/>
          <w:color w:val="000000" w:themeColor="text1"/>
          <w:sz w:val="24"/>
          <w:szCs w:val="32"/>
          <w14:textFill>
            <w14:solidFill>
              <w14:schemeClr w14:val="tx1"/>
            </w14:solidFill>
          </w14:textFill>
        </w:rPr>
        <w:t>第一节  供货范围</w:t>
      </w:r>
      <w:bookmarkEnd w:id="33"/>
    </w:p>
    <w:p w14:paraId="5542EF80">
      <w:pPr>
        <w:spacing w:line="420" w:lineRule="exact"/>
        <w:ind w:firstLine="482" w:firstLineChars="200"/>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一、供货范围（按照组成项目主要构成一览表的所有最小单元逐一列示，要涵盖培训等内容）</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3814"/>
        <w:gridCol w:w="1681"/>
        <w:gridCol w:w="1566"/>
      </w:tblGrid>
      <w:tr w14:paraId="15EA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285A57F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序号</w:t>
            </w:r>
          </w:p>
        </w:tc>
        <w:tc>
          <w:tcPr>
            <w:tcW w:w="3814" w:type="dxa"/>
            <w:vAlign w:val="center"/>
          </w:tcPr>
          <w:p w14:paraId="05444A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名称</w:t>
            </w:r>
          </w:p>
        </w:tc>
        <w:tc>
          <w:tcPr>
            <w:tcW w:w="1681" w:type="dxa"/>
            <w:vAlign w:val="center"/>
          </w:tcPr>
          <w:p w14:paraId="540FE2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单位</w:t>
            </w:r>
          </w:p>
        </w:tc>
        <w:tc>
          <w:tcPr>
            <w:tcW w:w="1566" w:type="dxa"/>
            <w:vAlign w:val="center"/>
          </w:tcPr>
          <w:p w14:paraId="163185C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数量</w:t>
            </w:r>
          </w:p>
        </w:tc>
      </w:tr>
      <w:tr w14:paraId="7EC4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5DC9F3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c>
          <w:tcPr>
            <w:tcW w:w="3814" w:type="dxa"/>
            <w:vAlign w:val="center"/>
          </w:tcPr>
          <w:p w14:paraId="7EA7D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测功机</w:t>
            </w:r>
          </w:p>
        </w:tc>
        <w:tc>
          <w:tcPr>
            <w:tcW w:w="1681" w:type="dxa"/>
            <w:vAlign w:val="center"/>
          </w:tcPr>
          <w:p w14:paraId="44F6E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vAlign w:val="center"/>
          </w:tcPr>
          <w:p w14:paraId="0D51B6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r>
      <w:tr w14:paraId="49A1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3BF427F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2</w:t>
            </w:r>
          </w:p>
        </w:tc>
        <w:tc>
          <w:tcPr>
            <w:tcW w:w="3814" w:type="dxa"/>
            <w:vAlign w:val="center"/>
          </w:tcPr>
          <w:p w14:paraId="4A0A1A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变频器</w:t>
            </w:r>
          </w:p>
        </w:tc>
        <w:tc>
          <w:tcPr>
            <w:tcW w:w="1681" w:type="dxa"/>
            <w:vAlign w:val="center"/>
          </w:tcPr>
          <w:p w14:paraId="4485A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vAlign w:val="center"/>
          </w:tcPr>
          <w:p w14:paraId="3E95B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r>
      <w:tr w14:paraId="2138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6B878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3</w:t>
            </w:r>
          </w:p>
        </w:tc>
        <w:tc>
          <w:tcPr>
            <w:tcW w:w="3814" w:type="dxa"/>
            <w:vAlign w:val="center"/>
          </w:tcPr>
          <w:p w14:paraId="13C75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动态翻转平台</w:t>
            </w:r>
          </w:p>
        </w:tc>
        <w:tc>
          <w:tcPr>
            <w:tcW w:w="1681" w:type="dxa"/>
            <w:vAlign w:val="center"/>
          </w:tcPr>
          <w:p w14:paraId="0EAE4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vAlign w:val="center"/>
          </w:tcPr>
          <w:p w14:paraId="22C29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r>
      <w:tr w14:paraId="0351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16CABE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4</w:t>
            </w:r>
          </w:p>
        </w:tc>
        <w:tc>
          <w:tcPr>
            <w:tcW w:w="3814" w:type="dxa"/>
            <w:vAlign w:val="center"/>
          </w:tcPr>
          <w:p w14:paraId="519871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电池模拟器</w:t>
            </w:r>
          </w:p>
        </w:tc>
        <w:tc>
          <w:tcPr>
            <w:tcW w:w="1681" w:type="dxa"/>
            <w:vAlign w:val="center"/>
          </w:tcPr>
          <w:p w14:paraId="699C72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kern w:val="2"/>
                <w:sz w:val="24"/>
                <w:szCs w:val="24"/>
                <w:highlight w:val="none"/>
                <w:vertAlign w:val="baseline"/>
                <w:lang w:val="en-US" w:eastAsia="zh-CN" w:bidi="ar-SA"/>
              </w:rPr>
              <w:t>套</w:t>
            </w:r>
          </w:p>
        </w:tc>
        <w:tc>
          <w:tcPr>
            <w:tcW w:w="1566" w:type="dxa"/>
            <w:vAlign w:val="center"/>
          </w:tcPr>
          <w:p w14:paraId="04B47C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kern w:val="2"/>
                <w:sz w:val="24"/>
                <w:szCs w:val="24"/>
                <w:highlight w:val="none"/>
                <w:vertAlign w:val="baseline"/>
                <w:lang w:val="en-US" w:eastAsia="zh-CN" w:bidi="ar-SA"/>
              </w:rPr>
              <w:t>1</w:t>
            </w:r>
          </w:p>
        </w:tc>
      </w:tr>
      <w:tr w14:paraId="25EC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32275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5</w:t>
            </w:r>
          </w:p>
        </w:tc>
        <w:tc>
          <w:tcPr>
            <w:tcW w:w="3814" w:type="dxa"/>
            <w:shd w:val="clear" w:color="auto" w:fill="auto"/>
            <w:vAlign w:val="center"/>
          </w:tcPr>
          <w:p w14:paraId="2EA20F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sz w:val="24"/>
                <w:szCs w:val="24"/>
                <w:highlight w:val="none"/>
                <w:lang w:val="en-US" w:eastAsia="zh-CN"/>
              </w:rPr>
              <w:t>功率分析仪</w:t>
            </w:r>
          </w:p>
        </w:tc>
        <w:tc>
          <w:tcPr>
            <w:tcW w:w="1681" w:type="dxa"/>
            <w:shd w:val="clear" w:color="auto" w:fill="auto"/>
            <w:vAlign w:val="center"/>
          </w:tcPr>
          <w:p w14:paraId="0FC71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kern w:val="2"/>
                <w:sz w:val="24"/>
                <w:szCs w:val="24"/>
                <w:highlight w:val="none"/>
                <w:vertAlign w:val="baseline"/>
                <w:lang w:val="en-US" w:eastAsia="zh-CN" w:bidi="ar-SA"/>
              </w:rPr>
              <w:t>套</w:t>
            </w:r>
          </w:p>
        </w:tc>
        <w:tc>
          <w:tcPr>
            <w:tcW w:w="1566" w:type="dxa"/>
            <w:shd w:val="clear" w:color="auto" w:fill="auto"/>
            <w:vAlign w:val="center"/>
          </w:tcPr>
          <w:p w14:paraId="465296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kern w:val="2"/>
                <w:sz w:val="24"/>
                <w:szCs w:val="24"/>
                <w:highlight w:val="none"/>
                <w:vertAlign w:val="baseline"/>
                <w:lang w:val="en-US" w:eastAsia="zh-CN" w:bidi="ar-SA"/>
              </w:rPr>
              <w:t>1</w:t>
            </w:r>
          </w:p>
        </w:tc>
      </w:tr>
      <w:tr w14:paraId="7F8A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388032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6</w:t>
            </w:r>
          </w:p>
        </w:tc>
        <w:tc>
          <w:tcPr>
            <w:tcW w:w="3814" w:type="dxa"/>
            <w:shd w:val="clear" w:color="auto" w:fill="auto"/>
            <w:vAlign w:val="center"/>
          </w:tcPr>
          <w:p w14:paraId="41B02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控制系统</w:t>
            </w:r>
          </w:p>
        </w:tc>
        <w:tc>
          <w:tcPr>
            <w:tcW w:w="1681" w:type="dxa"/>
            <w:shd w:val="clear" w:color="auto" w:fill="auto"/>
            <w:vAlign w:val="center"/>
          </w:tcPr>
          <w:p w14:paraId="1F7A4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kern w:val="2"/>
                <w:sz w:val="24"/>
                <w:szCs w:val="24"/>
                <w:highlight w:val="none"/>
                <w:vertAlign w:val="baseline"/>
                <w:lang w:val="en-US" w:eastAsia="zh-CN" w:bidi="ar-SA"/>
              </w:rPr>
              <w:t>套</w:t>
            </w:r>
          </w:p>
        </w:tc>
        <w:tc>
          <w:tcPr>
            <w:tcW w:w="1566" w:type="dxa"/>
            <w:shd w:val="clear" w:color="auto" w:fill="auto"/>
            <w:vAlign w:val="center"/>
          </w:tcPr>
          <w:p w14:paraId="4EF48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2222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14C67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7</w:t>
            </w:r>
          </w:p>
        </w:tc>
        <w:tc>
          <w:tcPr>
            <w:tcW w:w="3814" w:type="dxa"/>
            <w:shd w:val="clear" w:color="auto" w:fill="auto"/>
            <w:vAlign w:val="center"/>
          </w:tcPr>
          <w:p w14:paraId="13C107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color w:val="auto"/>
                <w:sz w:val="24"/>
                <w:szCs w:val="24"/>
                <w:highlight w:val="none"/>
                <w:lang w:val="en-US" w:eastAsia="zh-CN"/>
              </w:rPr>
              <w:t>数据采集及信号发生系统</w:t>
            </w:r>
          </w:p>
        </w:tc>
        <w:tc>
          <w:tcPr>
            <w:tcW w:w="1681" w:type="dxa"/>
            <w:shd w:val="clear" w:color="auto" w:fill="auto"/>
            <w:vAlign w:val="center"/>
          </w:tcPr>
          <w:p w14:paraId="0E927D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00B26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0E5B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6A8F8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8</w:t>
            </w:r>
          </w:p>
        </w:tc>
        <w:tc>
          <w:tcPr>
            <w:tcW w:w="3814" w:type="dxa"/>
            <w:shd w:val="clear" w:color="auto" w:fill="auto"/>
            <w:vAlign w:val="center"/>
          </w:tcPr>
          <w:p w14:paraId="7A4C9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扭矩/转速传感器</w:t>
            </w:r>
          </w:p>
        </w:tc>
        <w:tc>
          <w:tcPr>
            <w:tcW w:w="1681" w:type="dxa"/>
            <w:shd w:val="clear" w:color="auto" w:fill="auto"/>
            <w:vAlign w:val="center"/>
          </w:tcPr>
          <w:p w14:paraId="162EA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22E9F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2625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64101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9</w:t>
            </w:r>
          </w:p>
        </w:tc>
        <w:tc>
          <w:tcPr>
            <w:tcW w:w="3814" w:type="dxa"/>
            <w:shd w:val="clear" w:color="auto" w:fill="auto"/>
            <w:vAlign w:val="center"/>
          </w:tcPr>
          <w:p w14:paraId="0D24E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温度传感器</w:t>
            </w:r>
          </w:p>
        </w:tc>
        <w:tc>
          <w:tcPr>
            <w:tcW w:w="1681" w:type="dxa"/>
            <w:shd w:val="clear" w:color="auto" w:fill="auto"/>
            <w:vAlign w:val="center"/>
          </w:tcPr>
          <w:p w14:paraId="3F452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72DB2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589B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4BAC4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10</w:t>
            </w:r>
          </w:p>
        </w:tc>
        <w:tc>
          <w:tcPr>
            <w:tcW w:w="3814" w:type="dxa"/>
            <w:shd w:val="clear" w:color="auto" w:fill="auto"/>
            <w:vAlign w:val="center"/>
          </w:tcPr>
          <w:p w14:paraId="04914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压力传感器</w:t>
            </w:r>
          </w:p>
        </w:tc>
        <w:tc>
          <w:tcPr>
            <w:tcW w:w="1681" w:type="dxa"/>
            <w:shd w:val="clear" w:color="auto" w:fill="auto"/>
            <w:vAlign w:val="center"/>
          </w:tcPr>
          <w:p w14:paraId="1B030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7CE8C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39DC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040E23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11</w:t>
            </w:r>
          </w:p>
        </w:tc>
        <w:tc>
          <w:tcPr>
            <w:tcW w:w="3814" w:type="dxa"/>
            <w:shd w:val="clear" w:color="auto" w:fill="auto"/>
            <w:vAlign w:val="center"/>
          </w:tcPr>
          <w:p w14:paraId="79DAB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早期故障诊断分析仪</w:t>
            </w:r>
          </w:p>
        </w:tc>
        <w:tc>
          <w:tcPr>
            <w:tcW w:w="1681" w:type="dxa"/>
            <w:shd w:val="clear" w:color="auto" w:fill="auto"/>
            <w:vAlign w:val="center"/>
          </w:tcPr>
          <w:p w14:paraId="54E69B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5F94E8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4B4C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769AC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12</w:t>
            </w:r>
          </w:p>
        </w:tc>
        <w:tc>
          <w:tcPr>
            <w:tcW w:w="3814" w:type="dxa"/>
            <w:shd w:val="clear" w:color="auto" w:fill="auto"/>
            <w:vAlign w:val="center"/>
          </w:tcPr>
          <w:p w14:paraId="0598A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被试件油温控制系统</w:t>
            </w:r>
          </w:p>
        </w:tc>
        <w:tc>
          <w:tcPr>
            <w:tcW w:w="1681" w:type="dxa"/>
            <w:shd w:val="clear" w:color="auto" w:fill="auto"/>
            <w:vAlign w:val="center"/>
          </w:tcPr>
          <w:p w14:paraId="6DE60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66DAA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7B1D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45129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13</w:t>
            </w:r>
          </w:p>
        </w:tc>
        <w:tc>
          <w:tcPr>
            <w:tcW w:w="3814" w:type="dxa"/>
            <w:shd w:val="clear" w:color="auto" w:fill="auto"/>
            <w:vAlign w:val="center"/>
          </w:tcPr>
          <w:p w14:paraId="41CB4E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被试件电机冷却系统</w:t>
            </w:r>
          </w:p>
        </w:tc>
        <w:tc>
          <w:tcPr>
            <w:tcW w:w="1681" w:type="dxa"/>
            <w:shd w:val="clear" w:color="auto" w:fill="auto"/>
            <w:vAlign w:val="center"/>
          </w:tcPr>
          <w:p w14:paraId="25C9A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3848F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6305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22659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14</w:t>
            </w:r>
          </w:p>
        </w:tc>
        <w:tc>
          <w:tcPr>
            <w:tcW w:w="3814" w:type="dxa"/>
            <w:shd w:val="clear" w:color="auto" w:fill="auto"/>
            <w:vAlign w:val="center"/>
          </w:tcPr>
          <w:p w14:paraId="4486A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color w:val="auto"/>
                <w:sz w:val="24"/>
                <w:szCs w:val="24"/>
                <w:highlight w:val="none"/>
                <w:lang w:val="en-US" w:eastAsia="zh-CN"/>
              </w:rPr>
              <w:t>冷却风扇</w:t>
            </w:r>
          </w:p>
        </w:tc>
        <w:tc>
          <w:tcPr>
            <w:tcW w:w="1681" w:type="dxa"/>
            <w:shd w:val="clear" w:color="auto" w:fill="auto"/>
            <w:vAlign w:val="center"/>
          </w:tcPr>
          <w:p w14:paraId="691AB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703AE7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134C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189F9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15</w:t>
            </w:r>
          </w:p>
        </w:tc>
        <w:tc>
          <w:tcPr>
            <w:tcW w:w="3814" w:type="dxa"/>
            <w:shd w:val="clear" w:color="auto" w:fill="auto"/>
            <w:vAlign w:val="center"/>
          </w:tcPr>
          <w:p w14:paraId="698A8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监控系统</w:t>
            </w:r>
          </w:p>
        </w:tc>
        <w:tc>
          <w:tcPr>
            <w:tcW w:w="1681" w:type="dxa"/>
            <w:shd w:val="clear" w:color="auto" w:fill="auto"/>
            <w:vAlign w:val="center"/>
          </w:tcPr>
          <w:p w14:paraId="1711E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3EED1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504D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453D4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16</w:t>
            </w:r>
          </w:p>
        </w:tc>
        <w:tc>
          <w:tcPr>
            <w:tcW w:w="3814" w:type="dxa"/>
            <w:shd w:val="clear" w:color="auto" w:fill="auto"/>
            <w:vAlign w:val="center"/>
          </w:tcPr>
          <w:p w14:paraId="42D7C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工装夹具</w:t>
            </w:r>
          </w:p>
        </w:tc>
        <w:tc>
          <w:tcPr>
            <w:tcW w:w="1681" w:type="dxa"/>
            <w:shd w:val="clear" w:color="auto" w:fill="auto"/>
            <w:vAlign w:val="center"/>
          </w:tcPr>
          <w:p w14:paraId="621AA0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1B254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按需提供</w:t>
            </w:r>
          </w:p>
        </w:tc>
      </w:tr>
    </w:tbl>
    <w:p w14:paraId="15AD21B2">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（一）一般界定</w:t>
      </w:r>
    </w:p>
    <w:p w14:paraId="2E54C1C3">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1.包括本技术标书所列明的主要货物以及货物正常运行所必需的全套连线设备、材料等。如货物端联接法兰外端面之内的、电气系统接口压线板（插座等）之内的设备、材料、联接螺栓、垫片等。</w:t>
      </w:r>
    </w:p>
    <w:p w14:paraId="1F7A7C92">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2.包括为保证货物正常安装、调试和验收完成及以前所必需的整套配件、附件及材料、油料、控制软件及程序或指令等。</w:t>
      </w:r>
    </w:p>
    <w:p w14:paraId="0228FE9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如果终验收完成后，投标人有需要收回的配件、附件、材料、油料等，应当在投标文件的技术偏离条款中，予以详细说明；否则视同包括在供货范围之内。</w:t>
      </w:r>
    </w:p>
    <w:p w14:paraId="3F8911F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3.包括货物维护维修所必需的专用工具。</w:t>
      </w:r>
    </w:p>
    <w:p w14:paraId="4BE0B514">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473240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包括为保证货物自身正常运行所必需的、满足使用地点环境条件的通风、冷却、降温等必需设施。</w:t>
      </w:r>
    </w:p>
    <w:p w14:paraId="167ED78E">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如投标人难以提供或无优势提供以及属于选用配置的，则应当在投标文件的技术偏离条款中，予以详细说明并注明投标报价未包含该部分的货值。</w:t>
      </w:r>
    </w:p>
    <w:p w14:paraId="65C180C2">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（二）供货范围边界界定</w:t>
      </w:r>
    </w:p>
    <w:p w14:paraId="75CC35B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1.买方提供货物所需的建筑物（如厂房等）和构筑物（如混凝土池、砼基础等），包含正常安装施工所需的预埋件（如穿管、预埋螺栓、螺母及垫片）。</w:t>
      </w:r>
    </w:p>
    <w:p w14:paraId="2ACD397B">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买方提供符合本技术标书中“采购货物概况”和“使用环境”章节所列明品质的电力、自来水、压缩空气、蒸汽、天然气（或煤气）管线至系统接口，如：系统电力接口的接线端，水、气、汽等外围管线端联接法兰外端面。</w:t>
      </w:r>
    </w:p>
    <w:p w14:paraId="53A01003">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如果投标人认为能源系统接口地点以及操控地点之间的货物数量不清或难以界定，应当以书面方式询标或以单价方式报价；否则视同满足招标人要求。</w:t>
      </w:r>
    </w:p>
    <w:p w14:paraId="124AFF85">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3.对于招标文件中无明确具体要求而投标人认为必须具备的其它货物，投标人必须将该部分货物单独报价（该报价含运杂费及税费等其它费用，而且不再作为其它报价涉及的其它费用的计算基数）。</w:t>
      </w:r>
    </w:p>
    <w:p w14:paraId="4396FD2B">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4.以“交钥匙”方式采购的货物，在满足技术标书本节上述要求之外，同时包括货物正常运行、使用所需要的过桥、护栏、防护网、盖板等辅助设施。</w:t>
      </w:r>
    </w:p>
    <w:p w14:paraId="09BF17DF">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二、备品备件、易损件和专用耗材供货范围</w:t>
      </w:r>
    </w:p>
    <w:p w14:paraId="49529E4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65AE1C9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2BF9C716">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r>
        <w:rPr>
          <w:rFonts w:hint="eastAsia" w:ascii="宋体" w:hAnsi="宋体" w:eastAsia="宋体" w:cs="宋体"/>
          <w:color w:val="000000" w:themeColor="text1"/>
          <w:sz w:val="24"/>
          <w:szCs w:val="24"/>
          <w14:textFill>
            <w14:solidFill>
              <w14:schemeClr w14:val="tx1"/>
            </w14:solidFill>
          </w14:textFill>
        </w:rPr>
        <w:t>。</w:t>
      </w:r>
    </w:p>
    <w:p w14:paraId="4ABF96ED">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三、技术资料供货范围</w:t>
      </w:r>
    </w:p>
    <w:p w14:paraId="70E28771">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技术资料供货范围包括：</w:t>
      </w:r>
    </w:p>
    <w:p w14:paraId="2E364416">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30</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14:paraId="73FE345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2.在预验收前，</w:t>
      </w:r>
      <w:r>
        <w:rPr>
          <w:rFonts w:hint="eastAsia" w:ascii="宋体" w:hAnsi="宋体" w:eastAsia="宋体" w:cs="宋体"/>
          <w:bCs w:val="0"/>
          <w:sz w:val="24"/>
          <w:szCs w:val="24"/>
          <w:highlight w:val="none"/>
        </w:rPr>
        <w:t>提供货物各部分的功能描述文件、图片、影像等资料（进口、设备应有中外文对照）。</w:t>
      </w:r>
    </w:p>
    <w:p w14:paraId="61A7E76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1F5DDB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.在终验收前，提供确定的维修所需要且买方可以自行采购的外购件、外协件、电气元件及主要原材料的供货厂家明细表。</w:t>
      </w:r>
    </w:p>
    <w:p w14:paraId="0C9665C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.在终验收后的第一笔货款支付日之前，提供包括货物的备品备件、易损件和专用耗材的图纸及技术参数、技术要求等资料。</w:t>
      </w:r>
    </w:p>
    <w:p w14:paraId="6FB0A4D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2613C6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245DB89">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.本条款所列的技术资料、图片、影像等，投标人应各提供5套，其中2套为电子</w:t>
      </w:r>
      <w:r>
        <w:rPr>
          <w:rFonts w:hint="eastAsia" w:ascii="宋体" w:hAnsi="宋体" w:eastAsia="宋体" w:cs="宋体"/>
          <w:sz w:val="24"/>
          <w:szCs w:val="24"/>
          <w:highlight w:val="none"/>
          <w:lang w:val="en-US" w:eastAsia="zh-CN"/>
        </w:rPr>
        <w:t>版光盘；每份技术文件应装有目录清单。</w:t>
      </w:r>
    </w:p>
    <w:p w14:paraId="61A63A14">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9.本条款所列要求，如招标人认为投标人提供的资料不能满足要求时，有权要求投标人免费补充或增加。</w:t>
      </w:r>
    </w:p>
    <w:p w14:paraId="118727FE">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四、供货范围特别提示</w:t>
      </w:r>
    </w:p>
    <w:p w14:paraId="4BE6601A">
      <w:pPr>
        <w:spacing w:line="360" w:lineRule="auto"/>
        <w:ind w:firstLine="480" w:firstLineChars="20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如果投标人认为本节所列的供货范围难以满足，则仍需要按照本要求提供，但该部分货物应当在投标报价中单独列明货物名称及品质、货值。</w:t>
      </w:r>
      <w:bookmarkStart w:id="34" w:name="_Toc169605883"/>
    </w:p>
    <w:p w14:paraId="44EE3650">
      <w:pPr>
        <w:pStyle w:val="17"/>
        <w:spacing w:line="360" w:lineRule="auto"/>
        <w:rPr>
          <w:color w:val="000000" w:themeColor="text1"/>
          <w14:textFill>
            <w14:solidFill>
              <w14:schemeClr w14:val="tx1"/>
            </w14:solidFill>
          </w14:textFill>
        </w:rPr>
      </w:pPr>
    </w:p>
    <w:p w14:paraId="4A30CE13">
      <w:pPr>
        <w:keepNext/>
        <w:keepLines/>
        <w:spacing w:line="360" w:lineRule="auto"/>
        <w:jc w:val="center"/>
        <w:outlineLvl w:val="2"/>
        <w:rPr>
          <w:rFonts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第二节  供货方式</w:t>
      </w:r>
      <w:bookmarkEnd w:id="34"/>
    </w:p>
    <w:p w14:paraId="061AC822">
      <w:pPr>
        <w:spacing w:line="360" w:lineRule="auto"/>
        <w:ind w:firstLine="482" w:firstLineChars="200"/>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一、供货方式</w:t>
      </w:r>
    </w:p>
    <w:p w14:paraId="60D9AF1A">
      <w:pPr>
        <w:spacing w:line="360" w:lineRule="auto"/>
        <w:ind w:firstLine="480" w:firstLineChars="200"/>
        <w:rPr>
          <w:rFonts w:ascii="宋体" w:hAnsi="宋体" w:eastAsia="宋体" w:cs="宋体"/>
          <w:b/>
          <w:i/>
          <w:color w:val="000000" w:themeColor="text1"/>
          <w:sz w:val="24"/>
          <w:szCs w:val="24"/>
          <w14:textFill>
            <w14:solidFill>
              <w14:schemeClr w14:val="tx1"/>
            </w14:solidFill>
          </w14:textFill>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color w:val="000000" w:themeColor="text1"/>
          <w:sz w:val="24"/>
          <w:szCs w:val="24"/>
          <w14:textFill>
            <w14:solidFill>
              <w14:schemeClr w14:val="tx1"/>
            </w14:solidFill>
          </w14:textFill>
        </w:rPr>
        <w:t>。</w:t>
      </w:r>
    </w:p>
    <w:p w14:paraId="6136C5B4">
      <w:pPr>
        <w:spacing w:line="360" w:lineRule="auto"/>
        <w:ind w:firstLine="482" w:firstLineChars="200"/>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二、供货地点：</w:t>
      </w:r>
      <w:r>
        <w:rPr>
          <w:rFonts w:ascii="宋体" w:hAnsi="宋体" w:eastAsia="宋体" w:cs="宋体"/>
          <w:b/>
          <w:bCs/>
          <w:color w:val="000000" w:themeColor="text1"/>
          <w:sz w:val="24"/>
          <w:szCs w:val="24"/>
          <w14:textFill>
            <w14:solidFill>
              <w14:schemeClr w14:val="tx1"/>
            </w14:solidFill>
          </w14:textFill>
        </w:rPr>
        <w:t>本项目建设工地</w:t>
      </w:r>
      <w:r>
        <w:rPr>
          <w:rFonts w:hint="eastAsia" w:ascii="宋体" w:hAnsi="宋体" w:eastAsia="宋体" w:cs="宋体"/>
          <w:b/>
          <w:bCs/>
          <w:color w:val="000000" w:themeColor="text1"/>
          <w:sz w:val="24"/>
          <w:szCs w:val="24"/>
          <w14:textFill>
            <w14:solidFill>
              <w14:schemeClr w14:val="tx1"/>
            </w14:solidFill>
          </w14:textFill>
        </w:rPr>
        <w:t>。</w:t>
      </w:r>
    </w:p>
    <w:p w14:paraId="461DB7F3">
      <w:pPr>
        <w:spacing w:line="360" w:lineRule="auto"/>
        <w:ind w:firstLine="482" w:firstLineChars="200"/>
        <w:jc w:val="left"/>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三、供货时间</w:t>
      </w:r>
    </w:p>
    <w:p w14:paraId="68293BCD">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1.自合同生效后</w:t>
      </w:r>
      <w:r>
        <w:rPr>
          <w:rFonts w:ascii="宋体" w:hAnsi="宋体" w:eastAsia="宋体" w:cs="宋体"/>
          <w:color w:val="000000" w:themeColor="text1"/>
          <w:sz w:val="24"/>
          <w:szCs w:val="24"/>
          <w:u w:val="single"/>
          <w14:textFill>
            <w14:solidFill>
              <w14:schemeClr w14:val="tx1"/>
            </w14:solidFill>
          </w14:textFill>
        </w:rPr>
        <w:t>4</w:t>
      </w:r>
      <w:r>
        <w:rPr>
          <w:rFonts w:hint="eastAsia" w:ascii="宋体" w:hAnsi="宋体" w:eastAsia="宋体" w:cs="宋体"/>
          <w:color w:val="000000" w:themeColor="text1"/>
          <w:sz w:val="24"/>
          <w:szCs w:val="24"/>
          <w:u w:val="single"/>
          <w:lang w:val="en-US" w:eastAsia="zh-CN"/>
          <w14:textFill>
            <w14:solidFill>
              <w14:schemeClr w14:val="tx1"/>
            </w14:solidFill>
          </w14:textFill>
        </w:rPr>
        <w:t>2</w:t>
      </w:r>
      <w:r>
        <w:rPr>
          <w:rFonts w:ascii="宋体" w:hAnsi="宋体" w:eastAsia="宋体" w:cs="宋体"/>
          <w:color w:val="000000" w:themeColor="text1"/>
          <w:sz w:val="24"/>
          <w:szCs w:val="24"/>
          <w:u w:val="single"/>
          <w14:textFill>
            <w14:solidFill>
              <w14:schemeClr w14:val="tx1"/>
            </w14:solidFill>
          </w14:textFill>
        </w:rPr>
        <w:t>0</w:t>
      </w:r>
      <w:r>
        <w:rPr>
          <w:rFonts w:ascii="宋体" w:hAnsi="宋体" w:eastAsia="宋体" w:cs="宋体"/>
          <w:color w:val="000000" w:themeColor="text1"/>
          <w:sz w:val="24"/>
          <w:szCs w:val="24"/>
          <w14:textFill>
            <w14:solidFill>
              <w14:schemeClr w14:val="tx1"/>
            </w14:solidFill>
          </w14:textFill>
        </w:rPr>
        <w:t>个</w:t>
      </w:r>
      <w:r>
        <w:rPr>
          <w:rFonts w:hint="eastAsia" w:ascii="宋体" w:hAnsi="宋体" w:eastAsia="宋体" w:cs="宋体"/>
          <w:color w:val="000000" w:themeColor="text1"/>
          <w:sz w:val="24"/>
          <w:szCs w:val="24"/>
          <w14:textFill>
            <w14:solidFill>
              <w14:schemeClr w14:val="tx1"/>
            </w14:solidFill>
          </w14:textFill>
        </w:rPr>
        <w:t>日历日</w:t>
      </w:r>
      <w:r>
        <w:rPr>
          <w:rFonts w:ascii="宋体" w:hAnsi="宋体" w:eastAsia="宋体" w:cs="宋体"/>
          <w:color w:val="000000" w:themeColor="text1"/>
          <w:sz w:val="24"/>
          <w:szCs w:val="24"/>
          <w14:textFill>
            <w14:solidFill>
              <w14:schemeClr w14:val="tx1"/>
            </w14:solidFill>
          </w14:textFill>
        </w:rPr>
        <w:t>内，中标人须交付设备到招标人指定的安装和使用的现场。</w:t>
      </w:r>
    </w:p>
    <w:p w14:paraId="10E81206">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2.接续</w:t>
      </w:r>
      <w:r>
        <w:rPr>
          <w:rFonts w:hint="eastAsia" w:ascii="宋体" w:hAnsi="宋体" w:eastAsia="宋体" w:cs="宋体"/>
          <w:color w:val="000000" w:themeColor="text1"/>
          <w:sz w:val="24"/>
          <w:szCs w:val="24"/>
          <w:u w:val="single"/>
          <w14:textFill>
            <w14:solidFill>
              <w14:schemeClr w14:val="tx1"/>
            </w14:solidFill>
          </w14:textFill>
        </w:rPr>
        <w:t>90</w:t>
      </w:r>
      <w:r>
        <w:rPr>
          <w:rFonts w:hint="eastAsia" w:ascii="宋体" w:hAnsi="宋体" w:eastAsia="宋体" w:cs="宋体"/>
          <w:color w:val="000000" w:themeColor="text1"/>
          <w:sz w:val="24"/>
          <w:szCs w:val="24"/>
          <w14:textFill>
            <w14:solidFill>
              <w14:schemeClr w14:val="tx1"/>
            </w14:solidFill>
          </w14:textFill>
        </w:rPr>
        <w:t>个日历日之内安装调试完毕。</w:t>
      </w:r>
    </w:p>
    <w:p w14:paraId="32082EE5">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3.接续</w:t>
      </w:r>
      <w:r>
        <w:rPr>
          <w:rFonts w:hint="eastAsia" w:ascii="宋体" w:hAnsi="宋体" w:eastAsia="宋体" w:cs="宋体"/>
          <w:color w:val="000000" w:themeColor="text1"/>
          <w:sz w:val="24"/>
          <w:szCs w:val="24"/>
          <w:u w:val="single"/>
          <w:lang w:val="en-US" w:eastAsia="zh-CN"/>
          <w14:textFill>
            <w14:solidFill>
              <w14:schemeClr w14:val="tx1"/>
            </w14:solidFill>
          </w14:textFill>
        </w:rPr>
        <w:t>6</w:t>
      </w:r>
      <w:r>
        <w:rPr>
          <w:rFonts w:ascii="宋体" w:hAnsi="宋体" w:eastAsia="宋体" w:cs="宋体"/>
          <w:color w:val="000000" w:themeColor="text1"/>
          <w:sz w:val="24"/>
          <w:szCs w:val="24"/>
          <w:u w:val="single"/>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个日历日之内完成终验收。</w:t>
      </w:r>
    </w:p>
    <w:p w14:paraId="49A1B21A">
      <w:pPr>
        <w:spacing w:line="360" w:lineRule="auto"/>
        <w:ind w:firstLine="480" w:firstLineChars="200"/>
        <w:outlineLvl w:val="3"/>
        <w:rPr>
          <w:rFonts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安装调试时间或终验收时间超过规定时间</w:t>
      </w:r>
      <w:r>
        <w:rPr>
          <w:rFonts w:hint="eastAsia" w:hAnsi="宋体" w:eastAsia="宋体" w:cs="宋体"/>
          <w:color w:val="000000" w:themeColor="text1"/>
          <w:sz w:val="24"/>
          <w:szCs w:val="24"/>
          <w14:textFill>
            <w14:solidFill>
              <w14:schemeClr w14:val="tx1"/>
            </w14:solidFill>
          </w14:textFill>
        </w:rPr>
        <w:t>的，投标人应当随标书提供详细的工期计划。</w:t>
      </w:r>
    </w:p>
    <w:p w14:paraId="7D24A1DF">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四、包装</w:t>
      </w:r>
    </w:p>
    <w:p w14:paraId="2BA0A2A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3142FEF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03D0584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6AC545C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3689E86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5B67365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0BBE1FC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5FE7129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1D09D9BB">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9.在不受到外界破坏情况下，包装应保证自交货日起一年内货物（或设备）完好无损</w:t>
      </w:r>
      <w:r>
        <w:rPr>
          <w:rFonts w:hint="eastAsia" w:ascii="宋体" w:hAnsi="宋体" w:eastAsia="宋体" w:cs="宋体"/>
          <w:color w:val="000000" w:themeColor="text1"/>
          <w:sz w:val="24"/>
          <w:szCs w:val="24"/>
          <w14:textFill>
            <w14:solidFill>
              <w14:schemeClr w14:val="tx1"/>
            </w14:solidFill>
          </w14:textFill>
        </w:rPr>
        <w:t>。</w:t>
      </w:r>
    </w:p>
    <w:p w14:paraId="654748B2">
      <w:pPr>
        <w:adjustRightInd w:val="0"/>
        <w:snapToGrid w:val="0"/>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五、运输</w:t>
      </w:r>
    </w:p>
    <w:p w14:paraId="69DBF2A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08AE78D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0EA22F5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1605336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5E131A48">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5.货物（或设备）运抵交货地点后，应负责货物（或设备）的卸货、搬运、保管等事宜，或按照合同约定</w:t>
      </w:r>
      <w:r>
        <w:rPr>
          <w:rFonts w:hint="eastAsia" w:ascii="宋体" w:hAnsi="宋体" w:eastAsia="宋体" w:cs="宋体"/>
          <w:color w:val="000000" w:themeColor="text1"/>
          <w:sz w:val="24"/>
          <w:szCs w:val="24"/>
          <w14:textFill>
            <w14:solidFill>
              <w14:schemeClr w14:val="tx1"/>
            </w14:solidFill>
          </w14:textFill>
        </w:rPr>
        <w:t>。</w:t>
      </w:r>
    </w:p>
    <w:p w14:paraId="48F5E1B5">
      <w:pPr>
        <w:widowControl/>
        <w:jc w:val="left"/>
        <w:rPr>
          <w:rFonts w:ascii="宋体" w:hAnsi="Calibri" w:eastAsia="宋体" w:cs="Times New Roman"/>
          <w:color w:val="000000" w:themeColor="text1"/>
          <w:szCs w:val="20"/>
          <w14:textFill>
            <w14:solidFill>
              <w14:schemeClr w14:val="tx1"/>
            </w14:solidFill>
          </w14:textFill>
        </w:rPr>
      </w:pPr>
      <w:r>
        <w:rPr>
          <w:rFonts w:ascii="宋体" w:hAnsi="Calibri" w:eastAsia="宋体" w:cs="Times New Roman"/>
          <w:color w:val="000000" w:themeColor="text1"/>
          <w:szCs w:val="20"/>
          <w14:textFill>
            <w14:solidFill>
              <w14:schemeClr w14:val="tx1"/>
            </w14:solidFill>
          </w14:textFill>
        </w:rPr>
        <w:br w:type="page"/>
      </w:r>
    </w:p>
    <w:p w14:paraId="0CD03AAA">
      <w:pPr>
        <w:keepNext/>
        <w:keepLines/>
        <w:spacing w:line="360" w:lineRule="auto"/>
        <w:jc w:val="center"/>
        <w:outlineLvl w:val="1"/>
        <w:rPr>
          <w:rFonts w:ascii="Calibri" w:hAnsi="Calibri" w:eastAsia="宋体" w:cs="Times New Roman"/>
          <w:b/>
          <w:bCs/>
          <w:color w:val="000000" w:themeColor="text1"/>
          <w:kern w:val="44"/>
          <w:sz w:val="28"/>
          <w:szCs w:val="28"/>
          <w14:textFill>
            <w14:solidFill>
              <w14:schemeClr w14:val="tx1"/>
            </w14:solidFill>
          </w14:textFill>
        </w:rPr>
      </w:pPr>
      <w:bookmarkStart w:id="35" w:name="_Toc169605884"/>
      <w:r>
        <w:rPr>
          <w:rFonts w:hint="eastAsia" w:ascii="Calibri" w:hAnsi="Calibri" w:eastAsia="宋体" w:cs="Times New Roman"/>
          <w:b/>
          <w:bCs/>
          <w:color w:val="000000" w:themeColor="text1"/>
          <w:kern w:val="44"/>
          <w:sz w:val="28"/>
          <w:szCs w:val="28"/>
          <w14:textFill>
            <w14:solidFill>
              <w14:schemeClr w14:val="tx1"/>
            </w14:solidFill>
          </w14:textFill>
        </w:rPr>
        <w:t>第四章</w:t>
      </w:r>
      <w:r>
        <w:rPr>
          <w:rFonts w:ascii="Calibri" w:hAnsi="Calibri" w:eastAsia="宋体" w:cs="Times New Roman"/>
          <w:b/>
          <w:bCs/>
          <w:color w:val="000000" w:themeColor="text1"/>
          <w:kern w:val="44"/>
          <w:sz w:val="28"/>
          <w:szCs w:val="28"/>
          <w14:textFill>
            <w14:solidFill>
              <w14:schemeClr w14:val="tx1"/>
            </w14:solidFill>
          </w14:textFill>
        </w:rPr>
        <w:t xml:space="preserve">  </w:t>
      </w:r>
      <w:r>
        <w:rPr>
          <w:rFonts w:hint="eastAsia" w:ascii="Calibri" w:hAnsi="Calibri" w:eastAsia="宋体" w:cs="Times New Roman"/>
          <w:b/>
          <w:bCs/>
          <w:color w:val="000000" w:themeColor="text1"/>
          <w:kern w:val="44"/>
          <w:sz w:val="28"/>
          <w:szCs w:val="28"/>
          <w14:textFill>
            <w14:solidFill>
              <w14:schemeClr w14:val="tx1"/>
            </w14:solidFill>
          </w14:textFill>
        </w:rPr>
        <w:t>质保期及售后服务</w:t>
      </w:r>
      <w:bookmarkEnd w:id="35"/>
    </w:p>
    <w:p w14:paraId="687F50E7">
      <w:pPr>
        <w:pStyle w:val="121"/>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一、质保期及质保要求</w:t>
      </w:r>
    </w:p>
    <w:p w14:paraId="3D4FDD8D">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14:paraId="31AA5BB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6436D2B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64C833E4">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2D4C3137">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w:t>
      </w:r>
      <w:r>
        <w:rPr>
          <w:rFonts w:hint="eastAsia" w:ascii="宋体" w:hAnsi="宋体" w:eastAsia="宋体" w:cs="宋体"/>
          <w:sz w:val="24"/>
          <w:szCs w:val="24"/>
          <w:highlight w:val="none"/>
          <w:lang w:eastAsia="zh-CN"/>
        </w:rPr>
        <w:t>卖方</w:t>
      </w:r>
      <w:r>
        <w:rPr>
          <w:rFonts w:hint="eastAsia" w:ascii="宋体" w:hAnsi="宋体" w:eastAsia="宋体" w:cs="宋体"/>
          <w:sz w:val="24"/>
          <w:szCs w:val="24"/>
          <w:highlight w:val="none"/>
        </w:rPr>
        <w:t>应负责免费维修和服务。</w:t>
      </w:r>
    </w:p>
    <w:p w14:paraId="51E11BB8">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r>
        <w:rPr>
          <w:rFonts w:hint="eastAsia" w:ascii="宋体" w:hAnsi="宋体" w:eastAsia="宋体" w:cs="宋体"/>
          <w:color w:val="000000" w:themeColor="text1"/>
          <w:sz w:val="24"/>
          <w:szCs w:val="24"/>
          <w14:textFill>
            <w14:solidFill>
              <w14:schemeClr w14:val="tx1"/>
            </w14:solidFill>
          </w14:textFill>
        </w:rPr>
        <w:t>。</w:t>
      </w:r>
    </w:p>
    <w:p w14:paraId="3793526F">
      <w:pPr>
        <w:pStyle w:val="121"/>
        <w:spacing w:line="360" w:lineRule="auto"/>
        <w:rPr>
          <w:rFonts w:ascii="宋体" w:hAnsi="宋体" w:cs="宋体"/>
          <w:highlight w:val="none"/>
        </w:rPr>
      </w:pPr>
      <w:r>
        <w:rPr>
          <w:rFonts w:hint="eastAsia" w:ascii="宋体" w:hAnsi="宋体" w:cs="宋体"/>
          <w:highlight w:val="none"/>
        </w:rPr>
        <w:t>二、技术及培训服务</w:t>
      </w:r>
    </w:p>
    <w:p w14:paraId="42ABBAE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none"/>
          <w:u w:val="single"/>
          <w:shd w:val="pct10" w:color="auto" w:fill="FFFFFF"/>
          <w:lang w:val="en-US" w:eastAsia="zh-CN"/>
        </w:rPr>
        <w:t>7</w:t>
      </w:r>
      <w:r>
        <w:rPr>
          <w:rFonts w:hint="eastAsia" w:ascii="宋体" w:hAnsi="宋体" w:eastAsia="宋体" w:cs="宋体"/>
          <w:color w:val="000000"/>
          <w:sz w:val="24"/>
          <w:szCs w:val="24"/>
          <w:highlight w:val="none"/>
        </w:rPr>
        <w:t>个日历日。</w:t>
      </w:r>
    </w:p>
    <w:p w14:paraId="2575B0C5">
      <w:pPr>
        <w:adjustRightInd w:val="0"/>
        <w:snapToGrid w:val="0"/>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卖方应当为项目在设备制造现场的设计评审及预验收提供所需支持。其中，卖方在完成方案设计后，组织进行制造现场的方案评审，买方派出4名人员，不少于5个工作日；卖方完成生产制造后，在制造现场组织项目的预验收，买方派出4名人员，不少于5个工作日。</w:t>
      </w:r>
    </w:p>
    <w:p w14:paraId="3F6F5E6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.应免费提供一定数量的培训资料。</w:t>
      </w:r>
    </w:p>
    <w:p w14:paraId="03F03A0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.应按要求免费积极协助和提供买方以及买方所委托的工程设计单位有关人员所需要的、与货物有关的工程设计资料、技术咨询等。</w:t>
      </w:r>
    </w:p>
    <w:p w14:paraId="0C49D18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提供货物涉及到外购外协货物、而且该货物的技术质量等较为关键时，</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应能保证得到配套厂家的技术支持，并免费为买方提供技术服务。</w:t>
      </w:r>
    </w:p>
    <w:p w14:paraId="5666ACA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9878B3B">
      <w:pPr>
        <w:pStyle w:val="121"/>
        <w:spacing w:line="360" w:lineRule="auto"/>
        <w:rPr>
          <w:rFonts w:ascii="宋体" w:hAnsi="宋体" w:cs="宋体"/>
          <w:highlight w:val="none"/>
        </w:rPr>
      </w:pPr>
      <w:r>
        <w:rPr>
          <w:rFonts w:hint="eastAsia" w:ascii="宋体" w:hAnsi="宋体" w:cs="宋体"/>
          <w:highlight w:val="none"/>
        </w:rPr>
        <w:t>三、安装调试及验收服务</w:t>
      </w:r>
    </w:p>
    <w:p w14:paraId="20AE2FB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均应在投标文件中明确其收费额或免费约定，否则视同免费；安装调试及验收服务均应按照合同约定或协议、通知及时组织并完成。因</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原因造成的延期，所发生的费用全部由</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承担。</w:t>
      </w:r>
    </w:p>
    <w:p w14:paraId="620EF11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提供的货物涉及到外购外协货物、而且该货物的技术质量等较为关键时，应保证能得到供应商的技术支持，并免费为买方提供安装使用现场的指导与培训。</w:t>
      </w:r>
    </w:p>
    <w:p w14:paraId="1FDF660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达到货物的各项技术指标和性能要求。</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在买方现场进行的货物的安装、调试和试运行，买方有权参与，</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应无条件向买方提供现场记录和试运行数据及报告。</w:t>
      </w:r>
    </w:p>
    <w:p w14:paraId="09A2C2B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所提供货物需要得到买方建设项目所在地政府或行业主管部门的查验、试验、验收时，</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应当免费完成或协助</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完成所需要的工作、材料和服务等。协助完成的，应当在投标文件报价内容中予以说明，否则视同免费。</w:t>
      </w:r>
    </w:p>
    <w:p w14:paraId="0C49EEF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应当向买方提供货物试验、验收的有关标准、规范和方法，同时提供货物涉及并使用的软件合法性证明。</w:t>
      </w:r>
    </w:p>
    <w:p w14:paraId="28EAEE2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14:paraId="4033A9B3">
      <w:pPr>
        <w:pStyle w:val="121"/>
        <w:spacing w:line="360" w:lineRule="auto"/>
        <w:rPr>
          <w:rFonts w:ascii="宋体" w:hAnsi="宋体" w:cs="宋体"/>
          <w:highlight w:val="none"/>
        </w:rPr>
      </w:pPr>
      <w:r>
        <w:rPr>
          <w:rFonts w:hint="eastAsia" w:ascii="宋体" w:hAnsi="宋体" w:cs="宋体"/>
          <w:highlight w:val="none"/>
        </w:rPr>
        <w:t>四、售后服务</w:t>
      </w:r>
    </w:p>
    <w:p w14:paraId="0B592B6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提供的货物涉及的所有售后服务均由</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负责。如果发生问题并且收到通知，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应当在2</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小时内予以答复。</w:t>
      </w:r>
    </w:p>
    <w:p w14:paraId="39BDA92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解决或配合解决时：在质保期之内，应在接到通知后</w:t>
      </w:r>
      <w:r>
        <w:rPr>
          <w:rFonts w:hint="eastAsia" w:ascii="宋体" w:hAnsi="宋体" w:eastAsia="宋体" w:cs="宋体"/>
          <w:color w:val="000000"/>
          <w:sz w:val="24"/>
          <w:szCs w:val="24"/>
          <w:highlight w:val="none"/>
          <w:u w:val="single"/>
          <w:shd w:val="pct10" w:color="auto" w:fill="FFFFFF"/>
          <w:lang w:val="en-US" w:eastAsia="zh-CN"/>
        </w:rPr>
        <w:t>72</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lang w:val="en-US" w:eastAsia="zh-CN"/>
        </w:rPr>
        <w:t>120</w:t>
      </w:r>
      <w:r>
        <w:rPr>
          <w:rFonts w:hint="eastAsia" w:ascii="宋体" w:hAnsi="宋体" w:eastAsia="宋体" w:cs="宋体"/>
          <w:color w:val="000000"/>
          <w:sz w:val="24"/>
          <w:szCs w:val="24"/>
          <w:highlight w:val="none"/>
        </w:rPr>
        <w:t>小时内派有关人员到达现场。</w:t>
      </w:r>
    </w:p>
    <w:p w14:paraId="3E8B5B57">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派往买方使用现场的人员，应具有较高的业务素质；现场解决问题时，不得无故拖延或推迟，应为买方提供最佳的服务</w:t>
      </w:r>
      <w:r>
        <w:rPr>
          <w:rFonts w:hint="eastAsia" w:ascii="宋体" w:hAnsi="宋体" w:eastAsia="宋体" w:cs="宋体"/>
          <w:color w:val="000000" w:themeColor="text1"/>
          <w:sz w:val="24"/>
          <w:szCs w:val="24"/>
          <w14:textFill>
            <w14:solidFill>
              <w14:schemeClr w14:val="tx1"/>
            </w14:solidFill>
          </w14:textFill>
        </w:rPr>
        <w:t>。</w:t>
      </w:r>
    </w:p>
    <w:p w14:paraId="65E844B1">
      <w:pPr>
        <w:pStyle w:val="121"/>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五、其它服务</w:t>
      </w:r>
    </w:p>
    <w:p w14:paraId="60B4DE5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所提供货物有需要进口的，</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一般应自行、自费办理；必要时，买卖双方共同办理。</w:t>
      </w:r>
    </w:p>
    <w:p w14:paraId="3CF4128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应免费负责必要的或强制性的货物的检验、试验、化验等直接费用。</w:t>
      </w:r>
    </w:p>
    <w:p w14:paraId="316B47AB">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不可另行收取的费用</w:t>
      </w:r>
      <w:r>
        <w:rPr>
          <w:rFonts w:hint="eastAsia" w:ascii="宋体" w:hAnsi="宋体" w:eastAsia="宋体" w:cs="宋体"/>
          <w:color w:val="000000" w:themeColor="text1"/>
          <w:sz w:val="24"/>
          <w:szCs w:val="24"/>
          <w14:textFill>
            <w14:solidFill>
              <w14:schemeClr w14:val="tx1"/>
            </w14:solidFill>
          </w14:textFill>
        </w:rPr>
        <w:t>。</w:t>
      </w:r>
    </w:p>
    <w:p w14:paraId="47082713">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br w:type="page"/>
      </w:r>
    </w:p>
    <w:p w14:paraId="7B2D230E">
      <w:pPr>
        <w:keepNext/>
        <w:keepLines/>
        <w:spacing w:line="360" w:lineRule="auto"/>
        <w:jc w:val="center"/>
        <w:outlineLvl w:val="1"/>
        <w:rPr>
          <w:rFonts w:ascii="Calibri" w:hAnsi="Calibri" w:eastAsia="宋体" w:cs="Times New Roman"/>
          <w:b/>
          <w:bCs/>
          <w:color w:val="000000" w:themeColor="text1"/>
          <w:kern w:val="44"/>
          <w:sz w:val="28"/>
          <w:szCs w:val="28"/>
          <w14:textFill>
            <w14:solidFill>
              <w14:schemeClr w14:val="tx1"/>
            </w14:solidFill>
          </w14:textFill>
        </w:rPr>
      </w:pPr>
      <w:bookmarkStart w:id="36" w:name="_Toc465187646"/>
      <w:bookmarkStart w:id="37" w:name="_Toc465187647"/>
      <w:r>
        <w:rPr>
          <w:rFonts w:hint="eastAsia" w:ascii="Calibri" w:hAnsi="Calibri" w:eastAsia="宋体" w:cs="Times New Roman"/>
          <w:b/>
          <w:bCs/>
          <w:color w:val="000000" w:themeColor="text1"/>
          <w:kern w:val="44"/>
          <w:sz w:val="28"/>
          <w:szCs w:val="28"/>
          <w14:textFill>
            <w14:solidFill>
              <w14:schemeClr w14:val="tx1"/>
            </w14:solidFill>
          </w14:textFill>
        </w:rPr>
        <w:t>第五章  预验收和终验收</w:t>
      </w:r>
      <w:bookmarkEnd w:id="36"/>
    </w:p>
    <w:p w14:paraId="7E4141B6">
      <w:pPr>
        <w:pStyle w:val="121"/>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一、验收依据和验收标准</w:t>
      </w:r>
    </w:p>
    <w:p w14:paraId="0C9802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14:paraId="166187F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2.如果验收过程中，发现招标文件、投标文件、答疑文件、技术交流文件等与技术标书、合同存在差异，原则上以涉及条款中对买方最有利条款为验收依据。</w:t>
      </w:r>
    </w:p>
    <w:p w14:paraId="7EB9B151">
      <w:pPr>
        <w:pStyle w:val="121"/>
        <w:spacing w:line="360" w:lineRule="auto"/>
        <w:rPr>
          <w:rFonts w:ascii="宋体" w:hAnsi="宋体" w:cs="宋体"/>
          <w:highlight w:val="none"/>
        </w:rPr>
      </w:pPr>
      <w:r>
        <w:rPr>
          <w:rFonts w:hint="eastAsia" w:ascii="宋体" w:hAnsi="宋体" w:cs="宋体"/>
          <w:highlight w:val="none"/>
        </w:rPr>
        <w:t>二、检验</w:t>
      </w:r>
    </w:p>
    <w:p w14:paraId="289D2ED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应当在投标文件中明确可能涉及的检验费用，并将该费用包含在投标总报价之内；不作针对性澄清或说明的，视同包含在投标总价之内。基本约定如下：</w:t>
      </w:r>
    </w:p>
    <w:p w14:paraId="1C41C03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14:paraId="755BC95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需要按照下述要求进行：</w:t>
      </w:r>
    </w:p>
    <w:p w14:paraId="40E9480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14:paraId="7A0A883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应依据合同规定的要求，提供买卖双方达成一致的货物的验收标准和装箱单，作为买方检验的依据。</w:t>
      </w:r>
    </w:p>
    <w:p w14:paraId="4E7CFE48">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提出索赔，因索赔所发生的一切费用(包括检验检疫费等)均由</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承担。</w:t>
      </w:r>
    </w:p>
    <w:p w14:paraId="6F641CE8">
      <w:pPr>
        <w:pStyle w:val="121"/>
        <w:spacing w:line="360" w:lineRule="auto"/>
        <w:rPr>
          <w:rFonts w:ascii="宋体" w:hAnsi="宋体" w:cs="宋体"/>
          <w:highlight w:val="none"/>
        </w:rPr>
      </w:pPr>
      <w:r>
        <w:rPr>
          <w:rFonts w:hint="eastAsia" w:ascii="宋体" w:hAnsi="宋体" w:cs="宋体"/>
          <w:highlight w:val="none"/>
        </w:rPr>
        <w:t>三、验收基本条件</w:t>
      </w:r>
    </w:p>
    <w:p w14:paraId="6DAB5D1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验收一般分预验收和终验收两部分。预验收一般在</w:t>
      </w:r>
      <w:r>
        <w:rPr>
          <w:rFonts w:hint="eastAsia" w:ascii="宋体" w:hAnsi="宋体" w:eastAsia="宋体" w:cs="宋体"/>
          <w:color w:val="000000"/>
          <w:sz w:val="24"/>
          <w:szCs w:val="24"/>
          <w:highlight w:val="none"/>
          <w:lang w:val="en-US" w:eastAsia="zh-CN"/>
        </w:rPr>
        <w:t>卖</w:t>
      </w:r>
      <w:r>
        <w:rPr>
          <w:rFonts w:hint="eastAsia" w:ascii="宋体" w:hAnsi="宋体" w:eastAsia="宋体" w:cs="宋体"/>
          <w:color w:val="000000"/>
          <w:sz w:val="24"/>
          <w:szCs w:val="24"/>
          <w:highlight w:val="none"/>
          <w:lang w:eastAsia="zh-CN"/>
        </w:rPr>
        <w:t>方</w:t>
      </w:r>
      <w:r>
        <w:rPr>
          <w:rFonts w:hint="eastAsia" w:ascii="宋体" w:hAnsi="宋体" w:eastAsia="宋体" w:cs="宋体"/>
          <w:color w:val="000000"/>
          <w:sz w:val="24"/>
          <w:szCs w:val="24"/>
          <w:highlight w:val="none"/>
          <w:lang w:val="en-US" w:eastAsia="zh-CN"/>
        </w:rPr>
        <w:t>生产</w:t>
      </w:r>
      <w:r>
        <w:rPr>
          <w:rFonts w:hint="eastAsia" w:ascii="宋体" w:hAnsi="宋体" w:eastAsia="宋体" w:cs="宋体"/>
          <w:color w:val="000000"/>
          <w:sz w:val="24"/>
          <w:szCs w:val="24"/>
          <w:highlight w:val="none"/>
        </w:rPr>
        <w:t>现场进行，终验收在安装调试完成及试运行后的买方现场进行。但是所有的项目，包括不能预验收的项目和预验收通过的项目都在终验收时重新检验，最终只以终验收为准。</w:t>
      </w:r>
    </w:p>
    <w:p w14:paraId="5F4440D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2AE6093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3A93DF9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1.1 </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已经按照“供货范围”要求提供了预验收资料，并且资料齐全、完整和有效。</w:t>
      </w:r>
    </w:p>
    <w:p w14:paraId="2394A9F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14:paraId="25D31949">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货物的油漆质量应饱满、有光泽，无掉漆、无色差、无“桔皮”等不良现象（特殊标志除外）。</w:t>
      </w:r>
    </w:p>
    <w:p w14:paraId="7F68DBD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一般情况下，所有的管路和线缆等，接头应完全正确、可靠地联接；应排列有序（正确、牢固、整齐），有必要的防护，无皱褶、收缩和裂缝等不良现象。</w:t>
      </w:r>
    </w:p>
    <w:p w14:paraId="14C0621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使用的压力容器、电气等应具备合格证（如果有压力容器）。</w:t>
      </w:r>
    </w:p>
    <w:p w14:paraId="5001F249">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货物标牌完整、清晰、明确。</w:t>
      </w:r>
    </w:p>
    <w:p w14:paraId="54734C0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地线联接和地极符合国际（ISO/IEC）标准规范。</w:t>
      </w:r>
    </w:p>
    <w:p w14:paraId="6D5CFDDE">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 xml:space="preserve"> 货物的安全要求符合中国最新的相关法律、法规、标准和规范以及合同要求。</w:t>
      </w:r>
    </w:p>
    <w:p w14:paraId="1047F0F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2.终验收一般条件</w:t>
      </w:r>
    </w:p>
    <w:p w14:paraId="03B3F76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53682AA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050AE75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6878A84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6037346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2B0CB35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2698414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14:paraId="15D8E23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 xml:space="preserve"> </w:t>
      </w:r>
      <w:r>
        <w:rPr>
          <w:rFonts w:hint="eastAsia" w:ascii="宋体" w:hAnsi="宋体" w:eastAsia="宋体" w:cs="宋体"/>
          <w:strike w:val="0"/>
          <w:dstrike w:val="0"/>
          <w:color w:val="auto"/>
          <w:sz w:val="24"/>
          <w:szCs w:val="24"/>
          <w:highlight w:val="none"/>
        </w:rPr>
        <w:t>货物允许情况下，</w:t>
      </w:r>
      <w:r>
        <w:rPr>
          <w:rFonts w:hint="eastAsia" w:ascii="宋体" w:hAnsi="宋体" w:eastAsia="宋体" w:cs="宋体"/>
          <w:sz w:val="24"/>
          <w:szCs w:val="24"/>
          <w:highlight w:val="none"/>
        </w:rPr>
        <w:t>连续</w:t>
      </w:r>
      <w:r>
        <w:rPr>
          <w:rFonts w:hint="eastAsia" w:ascii="宋体" w:hAnsi="宋体" w:eastAsia="宋体" w:cs="宋体"/>
          <w:sz w:val="24"/>
          <w:szCs w:val="24"/>
          <w:highlight w:val="none"/>
          <w:lang w:val="en-US" w:eastAsia="zh-CN"/>
        </w:rPr>
        <w:t>空</w:t>
      </w:r>
      <w:r>
        <w:rPr>
          <w:rFonts w:hint="eastAsia" w:ascii="宋体" w:hAnsi="宋体" w:eastAsia="宋体" w:cs="宋体"/>
          <w:sz w:val="24"/>
          <w:szCs w:val="24"/>
          <w:highlight w:val="none"/>
        </w:rPr>
        <w:t>运转</w:t>
      </w:r>
      <w:r>
        <w:rPr>
          <w:rFonts w:hint="eastAsia" w:ascii="宋体" w:hAnsi="宋体" w:eastAsia="宋体" w:cs="宋体"/>
          <w:sz w:val="24"/>
          <w:szCs w:val="24"/>
          <w:highlight w:val="none"/>
          <w:u w:val="none"/>
          <w:shd w:val="pct10" w:color="auto" w:fill="FFFFFF"/>
        </w:rPr>
        <w:t xml:space="preserve">  8  </w:t>
      </w:r>
      <w:r>
        <w:rPr>
          <w:rFonts w:hint="eastAsia" w:ascii="宋体" w:hAnsi="宋体" w:eastAsia="宋体" w:cs="宋体"/>
          <w:sz w:val="24"/>
          <w:szCs w:val="24"/>
          <w:highlight w:val="none"/>
        </w:rPr>
        <w:t>小时，然后再进行负荷运行。负荷运行时，货物应连续运行</w:t>
      </w:r>
      <w:r>
        <w:rPr>
          <w:rFonts w:hint="eastAsia" w:ascii="宋体" w:hAnsi="宋体" w:eastAsia="宋体" w:cs="宋体"/>
          <w:sz w:val="24"/>
          <w:szCs w:val="24"/>
          <w:highlight w:val="none"/>
          <w:u w:val="none"/>
          <w:shd w:val="pct10" w:color="auto" w:fill="FFFFFF"/>
        </w:rPr>
        <w:t xml:space="preserve"> </w:t>
      </w:r>
      <w:r>
        <w:rPr>
          <w:rFonts w:hint="eastAsia" w:ascii="宋体" w:hAnsi="宋体" w:eastAsia="宋体" w:cs="宋体"/>
          <w:sz w:val="24"/>
          <w:szCs w:val="24"/>
          <w:highlight w:val="none"/>
          <w:u w:val="none"/>
          <w:shd w:val="pct10" w:color="auto" w:fill="FFFFFF"/>
          <w:lang w:val="en-US" w:eastAsia="zh-CN"/>
        </w:rPr>
        <w:t xml:space="preserve">30 </w:t>
      </w:r>
      <w:r>
        <w:rPr>
          <w:rFonts w:hint="eastAsia" w:ascii="宋体" w:hAnsi="宋体" w:eastAsia="宋体" w:cs="宋体"/>
          <w:sz w:val="24"/>
          <w:szCs w:val="24"/>
          <w:highlight w:val="none"/>
        </w:rPr>
        <w:t>天，每天连续</w:t>
      </w:r>
      <w:r>
        <w:rPr>
          <w:rFonts w:hint="eastAsia" w:ascii="宋体" w:hAnsi="宋体" w:eastAsia="宋体" w:cs="宋体"/>
          <w:sz w:val="24"/>
          <w:szCs w:val="24"/>
          <w:highlight w:val="none"/>
          <w:u w:val="none"/>
          <w:shd w:val="pct10" w:color="auto" w:fill="FFFFFF"/>
        </w:rPr>
        <w:t xml:space="preserve">  </w:t>
      </w:r>
      <w:r>
        <w:rPr>
          <w:rFonts w:hint="eastAsia" w:ascii="宋体" w:hAnsi="宋体" w:eastAsia="宋体" w:cs="宋体"/>
          <w:sz w:val="24"/>
          <w:szCs w:val="24"/>
          <w:highlight w:val="none"/>
          <w:u w:val="none"/>
          <w:shd w:val="pct10" w:color="auto" w:fill="FFFFFF"/>
          <w:lang w:val="en-US" w:eastAsia="zh-CN"/>
        </w:rPr>
        <w:t>8</w:t>
      </w:r>
      <w:r>
        <w:rPr>
          <w:rFonts w:hint="eastAsia" w:ascii="宋体" w:hAnsi="宋体" w:eastAsia="宋体" w:cs="宋体"/>
          <w:sz w:val="24"/>
          <w:szCs w:val="24"/>
          <w:highlight w:val="none"/>
          <w:u w:val="none"/>
          <w:shd w:val="pct10" w:color="auto" w:fill="FFFFFF"/>
        </w:rPr>
        <w:t xml:space="preserve">  </w:t>
      </w:r>
      <w:r>
        <w:rPr>
          <w:rFonts w:hint="eastAsia" w:ascii="宋体" w:hAnsi="宋体" w:eastAsia="宋体" w:cs="宋体"/>
          <w:sz w:val="24"/>
          <w:szCs w:val="24"/>
          <w:highlight w:val="none"/>
        </w:rPr>
        <w:t>小时或长时间连续运行</w:t>
      </w:r>
      <w:r>
        <w:rPr>
          <w:rFonts w:hint="eastAsia" w:ascii="宋体" w:hAnsi="宋体" w:eastAsia="宋体" w:cs="宋体"/>
          <w:sz w:val="24"/>
          <w:szCs w:val="24"/>
          <w:highlight w:val="none"/>
          <w:lang w:val="en-US" w:eastAsia="zh-CN"/>
        </w:rPr>
        <w:t>不少于</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240</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小时。</w:t>
      </w:r>
    </w:p>
    <w:p w14:paraId="086C76E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 xml:space="preserve">  出现下列问题之一，视作验收失败：</w:t>
      </w:r>
    </w:p>
    <w:p w14:paraId="0DC640CF">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 xml:space="preserve"> </w:t>
      </w:r>
      <w:r>
        <w:rPr>
          <w:rFonts w:hint="eastAsia" w:ascii="宋体" w:hAnsi="宋体" w:eastAsia="宋体" w:cs="宋体"/>
          <w:color w:val="000000"/>
          <w:sz w:val="24"/>
          <w:szCs w:val="24"/>
          <w:highlight w:val="none"/>
        </w:rPr>
        <w:t>验收时，其参数</w:t>
      </w:r>
      <w:r>
        <w:rPr>
          <w:rFonts w:hint="eastAsia" w:ascii="宋体" w:hAnsi="宋体" w:eastAsia="宋体" w:cs="宋体"/>
          <w:color w:val="000000"/>
          <w:sz w:val="24"/>
          <w:szCs w:val="24"/>
          <w:highlight w:val="none"/>
          <w:lang w:val="en-US" w:eastAsia="zh-CN"/>
        </w:rPr>
        <w:t>和性能指标</w:t>
      </w:r>
      <w:r>
        <w:rPr>
          <w:rFonts w:hint="eastAsia" w:ascii="宋体" w:hAnsi="宋体" w:eastAsia="宋体" w:cs="宋体"/>
          <w:color w:val="000000"/>
          <w:sz w:val="24"/>
          <w:szCs w:val="24"/>
          <w:highlight w:val="none"/>
        </w:rPr>
        <w:t>无法满足招标书中的技术要求</w:t>
      </w:r>
      <w:r>
        <w:rPr>
          <w:rFonts w:hint="eastAsia" w:ascii="宋体" w:hAnsi="宋体" w:eastAsia="宋体" w:cs="宋体"/>
          <w:color w:val="000000"/>
          <w:sz w:val="24"/>
          <w:szCs w:val="24"/>
          <w:highlight w:val="none"/>
          <w:lang w:eastAsia="zh-CN"/>
        </w:rPr>
        <w:t>。</w:t>
      </w:r>
    </w:p>
    <w:p w14:paraId="399E7861">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3.2.2 </w:t>
      </w:r>
      <w:r>
        <w:rPr>
          <w:rFonts w:hint="eastAsia" w:ascii="宋体" w:hAnsi="宋体" w:eastAsia="宋体" w:cs="宋体"/>
          <w:sz w:val="24"/>
          <w:szCs w:val="24"/>
          <w:highlight w:val="none"/>
        </w:rPr>
        <w:t>在整个验收过程中发生关键零部件损坏或重大故障。</w:t>
      </w:r>
    </w:p>
    <w:p w14:paraId="6C48344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3 </w:t>
      </w:r>
      <w:r>
        <w:rPr>
          <w:rFonts w:hint="eastAsia" w:ascii="宋体" w:hAnsi="宋体" w:eastAsia="宋体" w:cs="宋体"/>
          <w:sz w:val="24"/>
          <w:szCs w:val="24"/>
          <w:highlight w:val="none"/>
        </w:rPr>
        <w:t>一般性故障超过</w:t>
      </w:r>
      <w:r>
        <w:rPr>
          <w:rFonts w:hint="eastAsia" w:ascii="宋体" w:hAnsi="宋体" w:eastAsia="宋体" w:cs="宋体"/>
          <w:sz w:val="24"/>
          <w:szCs w:val="24"/>
          <w:highlight w:val="none"/>
          <w:u w:val="none"/>
          <w:shd w:val="pct10" w:color="auto" w:fill="FFFFFF"/>
        </w:rPr>
        <w:t xml:space="preserve">   2   </w:t>
      </w:r>
      <w:r>
        <w:rPr>
          <w:rFonts w:hint="eastAsia" w:ascii="宋体" w:hAnsi="宋体" w:eastAsia="宋体" w:cs="宋体"/>
          <w:sz w:val="24"/>
          <w:szCs w:val="24"/>
          <w:highlight w:val="none"/>
        </w:rPr>
        <w:t>次。</w:t>
      </w:r>
    </w:p>
    <w:p w14:paraId="69E3E95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4 </w:t>
      </w:r>
      <w:r>
        <w:rPr>
          <w:rFonts w:hint="eastAsia" w:ascii="宋体" w:hAnsi="宋体" w:eastAsia="宋体" w:cs="宋体"/>
          <w:sz w:val="24"/>
          <w:szCs w:val="24"/>
          <w:highlight w:val="none"/>
        </w:rPr>
        <w:t>所有出现的维修调整，每次时间均不超过</w:t>
      </w:r>
      <w:r>
        <w:rPr>
          <w:rFonts w:hint="eastAsia" w:ascii="宋体" w:hAnsi="宋体" w:eastAsia="宋体" w:cs="宋体"/>
          <w:sz w:val="24"/>
          <w:szCs w:val="24"/>
          <w:highlight w:val="none"/>
          <w:u w:val="none"/>
          <w:shd w:val="pct10" w:color="auto" w:fill="FFFFFF"/>
        </w:rPr>
        <w:t xml:space="preserve">  90  </w:t>
      </w:r>
      <w:r>
        <w:rPr>
          <w:rFonts w:hint="eastAsia" w:ascii="宋体" w:hAnsi="宋体" w:eastAsia="宋体" w:cs="宋体"/>
          <w:sz w:val="24"/>
          <w:szCs w:val="24"/>
          <w:highlight w:val="none"/>
        </w:rPr>
        <w:t>分钟；所有维修调整时间的总和不超过总运行时间的</w:t>
      </w:r>
      <w:r>
        <w:rPr>
          <w:rFonts w:hint="eastAsia" w:ascii="宋体" w:hAnsi="宋体" w:eastAsia="宋体" w:cs="宋体"/>
          <w:sz w:val="24"/>
          <w:szCs w:val="24"/>
          <w:highlight w:val="none"/>
          <w:u w:val="none"/>
          <w:shd w:val="pct10" w:color="auto" w:fill="FFFFFF"/>
        </w:rPr>
        <w:t xml:space="preserve">   5   </w:t>
      </w:r>
      <w:r>
        <w:rPr>
          <w:rFonts w:hint="eastAsia" w:ascii="宋体" w:hAnsi="宋体" w:eastAsia="宋体" w:cs="宋体"/>
          <w:sz w:val="24"/>
          <w:szCs w:val="24"/>
          <w:highlight w:val="none"/>
        </w:rPr>
        <w:t>%。</w:t>
      </w:r>
    </w:p>
    <w:p w14:paraId="153900D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5 </w:t>
      </w:r>
      <w:r>
        <w:rPr>
          <w:rFonts w:hint="eastAsia" w:ascii="宋体" w:hAnsi="宋体" w:eastAsia="宋体" w:cs="宋体"/>
          <w:sz w:val="24"/>
          <w:szCs w:val="24"/>
          <w:highlight w:val="none"/>
        </w:rPr>
        <w:t>更换的零部件货值不超过总货值的</w:t>
      </w:r>
      <w:r>
        <w:rPr>
          <w:rFonts w:hint="eastAsia" w:ascii="宋体" w:hAnsi="宋体" w:eastAsia="宋体" w:cs="宋体"/>
          <w:sz w:val="24"/>
          <w:szCs w:val="24"/>
          <w:highlight w:val="none"/>
          <w:u w:val="none"/>
          <w:shd w:val="pct10" w:color="auto" w:fill="FFFFFF"/>
        </w:rPr>
        <w:t xml:space="preserve">  3  </w:t>
      </w:r>
      <w:r>
        <w:rPr>
          <w:rFonts w:hint="eastAsia" w:ascii="宋体" w:hAnsi="宋体" w:eastAsia="宋体" w:cs="宋体"/>
          <w:sz w:val="24"/>
          <w:szCs w:val="24"/>
          <w:highlight w:val="none"/>
        </w:rPr>
        <w:t>%。</w:t>
      </w:r>
    </w:p>
    <w:p w14:paraId="7ECBC57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 xml:space="preserve">2.6 </w:t>
      </w:r>
      <w:r>
        <w:rPr>
          <w:rFonts w:hint="eastAsia" w:ascii="宋体" w:hAnsi="宋体" w:eastAsia="宋体" w:cs="宋体"/>
          <w:color w:val="000000"/>
          <w:sz w:val="24"/>
          <w:szCs w:val="24"/>
          <w:highlight w:val="none"/>
        </w:rPr>
        <w:t>累计负载运行实际性能（或生产率）达不到合同规定；</w:t>
      </w:r>
    </w:p>
    <w:p w14:paraId="7F53A5E7">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终验收原则上要求一次完成。若一次验收不成功，最多允许两次；如果出现第三次验收失败，退货并赔偿</w:t>
      </w:r>
      <w:r>
        <w:rPr>
          <w:rFonts w:hint="eastAsia" w:ascii="宋体" w:hAnsi="宋体" w:eastAsia="宋体" w:cs="宋体"/>
          <w:color w:val="000000"/>
          <w:sz w:val="24"/>
          <w:szCs w:val="24"/>
          <w:highlight w:val="none"/>
          <w:lang w:eastAsia="zh-CN"/>
        </w:rPr>
        <w:t>买方</w:t>
      </w:r>
      <w:r>
        <w:rPr>
          <w:rFonts w:hint="eastAsia" w:ascii="宋体" w:hAnsi="宋体" w:eastAsia="宋体" w:cs="宋体"/>
          <w:color w:val="000000"/>
          <w:sz w:val="24"/>
          <w:szCs w:val="24"/>
          <w:highlight w:val="none"/>
        </w:rPr>
        <w:t>全部损失；</w:t>
      </w:r>
    </w:p>
    <w:p w14:paraId="37DCBED2">
      <w:pPr>
        <w:spacing w:line="360" w:lineRule="auto"/>
        <w:ind w:firstLine="453" w:firstLineChars="189"/>
        <w:rPr>
          <w:rFonts w:ascii="宋体" w:hAnsi="宋体" w:eastAsia="宋体" w:cs="宋体"/>
          <w:color w:val="000000"/>
          <w:sz w:val="24"/>
          <w:szCs w:val="24"/>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 xml:space="preserve"> 终验收通过后买卖双方共同签署终验收报告，并移交、核对全部供货范围内物品</w:t>
      </w:r>
      <w:r>
        <w:rPr>
          <w:rFonts w:ascii="宋体" w:hAnsi="宋体" w:eastAsia="宋体" w:cs="宋体"/>
          <w:b/>
          <w:bCs/>
          <w:color w:val="000000" w:themeColor="text1"/>
          <w:sz w:val="24"/>
          <w:szCs w:val="24"/>
          <w:highlight w:val="yellow"/>
          <w14:textFill>
            <w14:solidFill>
              <w14:schemeClr w14:val="tx1"/>
            </w14:solidFill>
          </w14:textFill>
        </w:rPr>
        <w:t>。</w:t>
      </w:r>
    </w:p>
    <w:p w14:paraId="5BC8472C">
      <w:pPr>
        <w:adjustRightInd w:val="0"/>
        <w:snapToGrid w:val="0"/>
        <w:spacing w:line="360" w:lineRule="auto"/>
        <w:ind w:firstLine="480" w:firstLineChars="200"/>
        <w:rPr>
          <w:rFonts w:ascii="宋体" w:hAnsi="宋体" w:eastAsia="宋体" w:cs="宋体"/>
          <w:color w:val="000000"/>
          <w:sz w:val="24"/>
          <w:szCs w:val="24"/>
        </w:rPr>
      </w:pPr>
    </w:p>
    <w:p w14:paraId="58A60EB7">
      <w:pPr>
        <w:sectPr>
          <w:pgSz w:w="11906" w:h="16838"/>
          <w:pgMar w:top="1588" w:right="1418" w:bottom="1134" w:left="1418" w:header="851" w:footer="992" w:gutter="0"/>
          <w:cols w:space="720" w:num="1"/>
          <w:titlePg/>
          <w:docGrid w:linePitch="312" w:charSpace="0"/>
        </w:sectPr>
      </w:pPr>
    </w:p>
    <w:p w14:paraId="52884AC7">
      <w:pPr>
        <w:pStyle w:val="17"/>
        <w:rPr>
          <w:rFonts w:hAnsi="宋体" w:eastAsia="宋体" w:cs="宋体"/>
          <w:color w:val="000000" w:themeColor="text1"/>
          <w:sz w:val="24"/>
          <w:szCs w:val="24"/>
          <w14:textFill>
            <w14:solidFill>
              <w14:schemeClr w14:val="tx1"/>
            </w14:solidFill>
          </w14:textFill>
        </w:rPr>
      </w:pPr>
    </w:p>
    <w:p w14:paraId="4233D3CE">
      <w:pPr>
        <w:pStyle w:val="134"/>
        <w:spacing w:line="360" w:lineRule="auto"/>
        <w:outlineLvl w:val="1"/>
        <w:rPr>
          <w:rFonts w:eastAsia="宋体"/>
          <w:b/>
          <w:bCs w:val="0"/>
          <w:iCs/>
          <w:color w:val="000000" w:themeColor="text1"/>
          <w:sz w:val="28"/>
          <w14:textFill>
            <w14:solidFill>
              <w14:schemeClr w14:val="tx1"/>
            </w14:solidFill>
          </w14:textFill>
        </w:rPr>
      </w:pPr>
      <w:r>
        <w:rPr>
          <w:rFonts w:eastAsia="宋体"/>
          <w:b/>
          <w:bCs w:val="0"/>
          <w:iCs/>
          <w:color w:val="000000" w:themeColor="text1"/>
          <w:sz w:val="28"/>
          <w14:textFill>
            <w14:solidFill>
              <w14:schemeClr w14:val="tx1"/>
            </w14:solidFill>
          </w14:textFill>
        </w:rPr>
        <w:t>第六章  投标技术文件一般要求</w:t>
      </w:r>
      <w:bookmarkEnd w:id="37"/>
    </w:p>
    <w:p w14:paraId="3B61B777">
      <w:pPr>
        <w:pStyle w:val="121"/>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一、技术文件一般内容要求</w:t>
      </w:r>
    </w:p>
    <w:p w14:paraId="7D522DA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应认真阅读招标文件和本技术标书，并按要求编写投标技术文件。</w:t>
      </w:r>
    </w:p>
    <w:p w14:paraId="117FC24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投标技术文件至少应对投标货物的功能用途、技术性能、质量标准、技术参数等作出详细说明。</w:t>
      </w:r>
    </w:p>
    <w:p w14:paraId="3B6972A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投标技术文件至少应根据投标货物的关键设备、总成、零部件或系统作出满足或优于招标文件要求的详细说明。</w:t>
      </w:r>
    </w:p>
    <w:p w14:paraId="68BA826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投标技术文件至少应按照招标文件要求（或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建议）列明备品备件、易损件和专用耗材明细。</w:t>
      </w:r>
    </w:p>
    <w:p w14:paraId="7E4EEE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应当而且必须分别说明所列备品备件、易损件和专用耗材的使用寿命（以有效工作小时数说明）。</w:t>
      </w:r>
    </w:p>
    <w:p w14:paraId="0A411BC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投标的货物，应当根据其配置和备品备件、易损件、专用耗材情况，尽可能详细且分类填入下表：</w:t>
      </w:r>
    </w:p>
    <w:p w14:paraId="1CB6E046">
      <w:pPr>
        <w:adjustRightInd w:val="0"/>
        <w:snapToGrid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6.1备品备件、易损件和专用耗材明细表：</w:t>
      </w:r>
    </w:p>
    <w:p w14:paraId="51F04B7D">
      <w:pPr>
        <w:adjustRightInd w:val="0"/>
        <w:snapToGrid w:val="0"/>
        <w:spacing w:line="360" w:lineRule="auto"/>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必须提供本项目所涉及到所有备品备件、易损件和专用耗材明细表，以便于质保期外，招标人能够根据清单快速找到同规格产品。</w:t>
      </w:r>
    </w:p>
    <w:p w14:paraId="0520340F">
      <w:pPr>
        <w:adjustRightInd w:val="0"/>
        <w:snapToGrid w:val="0"/>
        <w:spacing w:line="420" w:lineRule="exact"/>
        <w:ind w:firstLine="1890" w:firstLineChars="900"/>
        <w:rPr>
          <w:rFonts w:hint="eastAsia"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7"/>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119"/>
        <w:gridCol w:w="1361"/>
        <w:gridCol w:w="793"/>
        <w:gridCol w:w="793"/>
        <w:gridCol w:w="793"/>
        <w:gridCol w:w="2461"/>
      </w:tblGrid>
      <w:tr w14:paraId="6679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76F224D">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序号</w:t>
            </w:r>
          </w:p>
        </w:tc>
        <w:tc>
          <w:tcPr>
            <w:tcW w:w="2119" w:type="dxa"/>
          </w:tcPr>
          <w:p w14:paraId="444BDDC5">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名称</w:t>
            </w:r>
          </w:p>
        </w:tc>
        <w:tc>
          <w:tcPr>
            <w:tcW w:w="1361" w:type="dxa"/>
          </w:tcPr>
          <w:p w14:paraId="10AB4568">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型号规格</w:t>
            </w:r>
          </w:p>
        </w:tc>
        <w:tc>
          <w:tcPr>
            <w:tcW w:w="793" w:type="dxa"/>
          </w:tcPr>
          <w:p w14:paraId="18441086">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单位</w:t>
            </w:r>
          </w:p>
        </w:tc>
        <w:tc>
          <w:tcPr>
            <w:tcW w:w="793" w:type="dxa"/>
          </w:tcPr>
          <w:p w14:paraId="4C9AEC39">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数量</w:t>
            </w:r>
          </w:p>
        </w:tc>
        <w:tc>
          <w:tcPr>
            <w:tcW w:w="793" w:type="dxa"/>
          </w:tcPr>
          <w:p w14:paraId="67FEE773">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lang w:val="en-US" w:eastAsia="zh-CN"/>
              </w:rPr>
              <w:t>单</w:t>
            </w:r>
            <w:r>
              <w:rPr>
                <w:rFonts w:hint="eastAsia" w:ascii="宋体" w:hAnsi="宋体" w:eastAsia="宋体" w:cs="宋体"/>
                <w:highlight w:val="none"/>
              </w:rPr>
              <w:t>价</w:t>
            </w:r>
          </w:p>
        </w:tc>
        <w:tc>
          <w:tcPr>
            <w:tcW w:w="2461" w:type="dxa"/>
          </w:tcPr>
          <w:p w14:paraId="24D28EDD">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制造商</w:t>
            </w:r>
          </w:p>
        </w:tc>
      </w:tr>
      <w:tr w14:paraId="3270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41E58FA">
            <w:pPr>
              <w:adjustRightInd w:val="0"/>
              <w:snapToGrid w:val="0"/>
              <w:spacing w:line="360" w:lineRule="exact"/>
              <w:jc w:val="center"/>
              <w:rPr>
                <w:rFonts w:hint="eastAsia" w:ascii="宋体" w:hAnsi="宋体" w:eastAsia="宋体" w:cs="宋体"/>
                <w:highlight w:val="none"/>
              </w:rPr>
            </w:pPr>
          </w:p>
        </w:tc>
        <w:tc>
          <w:tcPr>
            <w:tcW w:w="2119" w:type="dxa"/>
          </w:tcPr>
          <w:p w14:paraId="63F94955">
            <w:pPr>
              <w:adjustRightInd w:val="0"/>
              <w:snapToGrid w:val="0"/>
              <w:spacing w:line="360" w:lineRule="exact"/>
              <w:rPr>
                <w:rFonts w:hint="eastAsia" w:ascii="宋体" w:hAnsi="宋体" w:eastAsia="宋体" w:cs="宋体"/>
                <w:highlight w:val="none"/>
              </w:rPr>
            </w:pPr>
          </w:p>
        </w:tc>
        <w:tc>
          <w:tcPr>
            <w:tcW w:w="1361" w:type="dxa"/>
          </w:tcPr>
          <w:p w14:paraId="587C42CB">
            <w:pPr>
              <w:adjustRightInd w:val="0"/>
              <w:snapToGrid w:val="0"/>
              <w:spacing w:line="360" w:lineRule="exact"/>
              <w:rPr>
                <w:rFonts w:hint="eastAsia" w:ascii="宋体" w:hAnsi="宋体" w:eastAsia="宋体" w:cs="宋体"/>
                <w:highlight w:val="none"/>
              </w:rPr>
            </w:pPr>
          </w:p>
        </w:tc>
        <w:tc>
          <w:tcPr>
            <w:tcW w:w="793" w:type="dxa"/>
          </w:tcPr>
          <w:p w14:paraId="02027203">
            <w:pPr>
              <w:adjustRightInd w:val="0"/>
              <w:snapToGrid w:val="0"/>
              <w:spacing w:line="360" w:lineRule="exact"/>
              <w:jc w:val="center"/>
              <w:rPr>
                <w:rFonts w:hint="eastAsia" w:ascii="宋体" w:hAnsi="宋体" w:eastAsia="宋体" w:cs="宋体"/>
                <w:highlight w:val="none"/>
              </w:rPr>
            </w:pPr>
          </w:p>
        </w:tc>
        <w:tc>
          <w:tcPr>
            <w:tcW w:w="793" w:type="dxa"/>
          </w:tcPr>
          <w:p w14:paraId="10A8D081">
            <w:pPr>
              <w:adjustRightInd w:val="0"/>
              <w:snapToGrid w:val="0"/>
              <w:spacing w:line="360" w:lineRule="exact"/>
              <w:jc w:val="center"/>
              <w:rPr>
                <w:rFonts w:hint="eastAsia" w:ascii="宋体" w:hAnsi="宋体" w:eastAsia="宋体" w:cs="宋体"/>
                <w:highlight w:val="none"/>
              </w:rPr>
            </w:pPr>
          </w:p>
        </w:tc>
        <w:tc>
          <w:tcPr>
            <w:tcW w:w="793" w:type="dxa"/>
          </w:tcPr>
          <w:p w14:paraId="103BDB6D">
            <w:pPr>
              <w:adjustRightInd w:val="0"/>
              <w:snapToGrid w:val="0"/>
              <w:spacing w:line="360" w:lineRule="exact"/>
              <w:jc w:val="center"/>
              <w:rPr>
                <w:rFonts w:hint="eastAsia" w:ascii="宋体" w:hAnsi="宋体" w:eastAsia="宋体" w:cs="宋体"/>
                <w:highlight w:val="none"/>
              </w:rPr>
            </w:pPr>
          </w:p>
        </w:tc>
        <w:tc>
          <w:tcPr>
            <w:tcW w:w="2461" w:type="dxa"/>
          </w:tcPr>
          <w:p w14:paraId="403CE030">
            <w:pPr>
              <w:adjustRightInd w:val="0"/>
              <w:snapToGrid w:val="0"/>
              <w:spacing w:line="360" w:lineRule="exact"/>
              <w:rPr>
                <w:rFonts w:hint="eastAsia" w:ascii="宋体" w:hAnsi="宋体" w:eastAsia="宋体" w:cs="宋体"/>
                <w:highlight w:val="none"/>
              </w:rPr>
            </w:pPr>
          </w:p>
        </w:tc>
      </w:tr>
      <w:tr w14:paraId="21E5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78FA999">
            <w:pPr>
              <w:adjustRightInd w:val="0"/>
              <w:snapToGrid w:val="0"/>
              <w:spacing w:line="360" w:lineRule="exact"/>
              <w:jc w:val="center"/>
              <w:rPr>
                <w:rFonts w:hint="eastAsia" w:ascii="宋体" w:hAnsi="宋体" w:eastAsia="宋体" w:cs="宋体"/>
                <w:highlight w:val="none"/>
              </w:rPr>
            </w:pPr>
          </w:p>
        </w:tc>
        <w:tc>
          <w:tcPr>
            <w:tcW w:w="2119" w:type="dxa"/>
          </w:tcPr>
          <w:p w14:paraId="70495422">
            <w:pPr>
              <w:adjustRightInd w:val="0"/>
              <w:snapToGrid w:val="0"/>
              <w:spacing w:line="360" w:lineRule="exact"/>
              <w:rPr>
                <w:rFonts w:hint="eastAsia" w:ascii="宋体" w:hAnsi="宋体" w:eastAsia="宋体" w:cs="宋体"/>
                <w:highlight w:val="none"/>
              </w:rPr>
            </w:pPr>
          </w:p>
        </w:tc>
        <w:tc>
          <w:tcPr>
            <w:tcW w:w="1361" w:type="dxa"/>
          </w:tcPr>
          <w:p w14:paraId="0CCCDF50">
            <w:pPr>
              <w:adjustRightInd w:val="0"/>
              <w:snapToGrid w:val="0"/>
              <w:spacing w:line="360" w:lineRule="exact"/>
              <w:rPr>
                <w:rFonts w:hint="eastAsia" w:ascii="宋体" w:hAnsi="宋体" w:eastAsia="宋体" w:cs="宋体"/>
                <w:highlight w:val="none"/>
              </w:rPr>
            </w:pPr>
          </w:p>
        </w:tc>
        <w:tc>
          <w:tcPr>
            <w:tcW w:w="793" w:type="dxa"/>
          </w:tcPr>
          <w:p w14:paraId="0DB3ADA1">
            <w:pPr>
              <w:adjustRightInd w:val="0"/>
              <w:snapToGrid w:val="0"/>
              <w:spacing w:line="360" w:lineRule="exact"/>
              <w:jc w:val="center"/>
              <w:rPr>
                <w:rFonts w:hint="eastAsia" w:ascii="宋体" w:hAnsi="宋体" w:eastAsia="宋体" w:cs="宋体"/>
                <w:highlight w:val="none"/>
              </w:rPr>
            </w:pPr>
          </w:p>
        </w:tc>
        <w:tc>
          <w:tcPr>
            <w:tcW w:w="793" w:type="dxa"/>
          </w:tcPr>
          <w:p w14:paraId="33BCBA93">
            <w:pPr>
              <w:adjustRightInd w:val="0"/>
              <w:snapToGrid w:val="0"/>
              <w:spacing w:line="360" w:lineRule="exact"/>
              <w:jc w:val="center"/>
              <w:rPr>
                <w:rFonts w:hint="eastAsia" w:ascii="宋体" w:hAnsi="宋体" w:eastAsia="宋体" w:cs="宋体"/>
                <w:highlight w:val="none"/>
              </w:rPr>
            </w:pPr>
          </w:p>
        </w:tc>
        <w:tc>
          <w:tcPr>
            <w:tcW w:w="793" w:type="dxa"/>
          </w:tcPr>
          <w:p w14:paraId="60D97529">
            <w:pPr>
              <w:adjustRightInd w:val="0"/>
              <w:snapToGrid w:val="0"/>
              <w:spacing w:line="360" w:lineRule="exact"/>
              <w:jc w:val="center"/>
              <w:rPr>
                <w:rFonts w:hint="eastAsia" w:ascii="宋体" w:hAnsi="宋体" w:eastAsia="宋体" w:cs="宋体"/>
                <w:highlight w:val="none"/>
              </w:rPr>
            </w:pPr>
          </w:p>
        </w:tc>
        <w:tc>
          <w:tcPr>
            <w:tcW w:w="2461" w:type="dxa"/>
          </w:tcPr>
          <w:p w14:paraId="33615CA0">
            <w:pPr>
              <w:adjustRightInd w:val="0"/>
              <w:snapToGrid w:val="0"/>
              <w:spacing w:line="360" w:lineRule="exact"/>
              <w:rPr>
                <w:rFonts w:hint="eastAsia" w:ascii="宋体" w:hAnsi="宋体" w:eastAsia="宋体" w:cs="宋体"/>
                <w:highlight w:val="none"/>
              </w:rPr>
            </w:pPr>
          </w:p>
        </w:tc>
      </w:tr>
      <w:tr w14:paraId="65C5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00A20BD">
            <w:pPr>
              <w:adjustRightInd w:val="0"/>
              <w:snapToGrid w:val="0"/>
              <w:spacing w:line="360" w:lineRule="exact"/>
              <w:jc w:val="center"/>
              <w:rPr>
                <w:rFonts w:hint="eastAsia" w:ascii="宋体" w:hAnsi="宋体" w:eastAsia="宋体" w:cs="宋体"/>
                <w:highlight w:val="none"/>
              </w:rPr>
            </w:pPr>
          </w:p>
        </w:tc>
        <w:tc>
          <w:tcPr>
            <w:tcW w:w="2119" w:type="dxa"/>
          </w:tcPr>
          <w:p w14:paraId="05E8C4BF">
            <w:pPr>
              <w:adjustRightInd w:val="0"/>
              <w:snapToGrid w:val="0"/>
              <w:spacing w:line="360" w:lineRule="exact"/>
              <w:rPr>
                <w:rFonts w:hint="eastAsia" w:ascii="宋体" w:hAnsi="宋体" w:eastAsia="宋体" w:cs="宋体"/>
                <w:highlight w:val="none"/>
              </w:rPr>
            </w:pPr>
          </w:p>
        </w:tc>
        <w:tc>
          <w:tcPr>
            <w:tcW w:w="1361" w:type="dxa"/>
          </w:tcPr>
          <w:p w14:paraId="7791D02B">
            <w:pPr>
              <w:adjustRightInd w:val="0"/>
              <w:snapToGrid w:val="0"/>
              <w:spacing w:line="360" w:lineRule="exact"/>
              <w:rPr>
                <w:rFonts w:hint="eastAsia" w:ascii="宋体" w:hAnsi="宋体" w:eastAsia="宋体" w:cs="宋体"/>
                <w:highlight w:val="none"/>
              </w:rPr>
            </w:pPr>
          </w:p>
        </w:tc>
        <w:tc>
          <w:tcPr>
            <w:tcW w:w="793" w:type="dxa"/>
          </w:tcPr>
          <w:p w14:paraId="6B499C85">
            <w:pPr>
              <w:adjustRightInd w:val="0"/>
              <w:snapToGrid w:val="0"/>
              <w:spacing w:line="360" w:lineRule="exact"/>
              <w:jc w:val="center"/>
              <w:rPr>
                <w:rFonts w:hint="eastAsia" w:ascii="宋体" w:hAnsi="宋体" w:eastAsia="宋体" w:cs="宋体"/>
                <w:highlight w:val="none"/>
              </w:rPr>
            </w:pPr>
          </w:p>
        </w:tc>
        <w:tc>
          <w:tcPr>
            <w:tcW w:w="793" w:type="dxa"/>
          </w:tcPr>
          <w:p w14:paraId="3AE1FB8A">
            <w:pPr>
              <w:adjustRightInd w:val="0"/>
              <w:snapToGrid w:val="0"/>
              <w:spacing w:line="360" w:lineRule="exact"/>
              <w:jc w:val="center"/>
              <w:rPr>
                <w:rFonts w:hint="eastAsia" w:ascii="宋体" w:hAnsi="宋体" w:eastAsia="宋体" w:cs="宋体"/>
                <w:highlight w:val="none"/>
              </w:rPr>
            </w:pPr>
          </w:p>
        </w:tc>
        <w:tc>
          <w:tcPr>
            <w:tcW w:w="793" w:type="dxa"/>
          </w:tcPr>
          <w:p w14:paraId="5B0EB51E">
            <w:pPr>
              <w:adjustRightInd w:val="0"/>
              <w:snapToGrid w:val="0"/>
              <w:spacing w:line="360" w:lineRule="exact"/>
              <w:jc w:val="center"/>
              <w:rPr>
                <w:rFonts w:hint="eastAsia" w:ascii="宋体" w:hAnsi="宋体" w:eastAsia="宋体" w:cs="宋体"/>
                <w:highlight w:val="none"/>
              </w:rPr>
            </w:pPr>
          </w:p>
        </w:tc>
        <w:tc>
          <w:tcPr>
            <w:tcW w:w="2461" w:type="dxa"/>
          </w:tcPr>
          <w:p w14:paraId="25415010">
            <w:pPr>
              <w:adjustRightInd w:val="0"/>
              <w:snapToGrid w:val="0"/>
              <w:spacing w:line="360" w:lineRule="exact"/>
              <w:rPr>
                <w:rFonts w:hint="eastAsia" w:ascii="宋体" w:hAnsi="宋体" w:eastAsia="宋体" w:cs="宋体"/>
                <w:highlight w:val="none"/>
              </w:rPr>
            </w:pPr>
          </w:p>
        </w:tc>
      </w:tr>
      <w:tr w14:paraId="231B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73331F6">
            <w:pPr>
              <w:adjustRightInd w:val="0"/>
              <w:snapToGrid w:val="0"/>
              <w:spacing w:line="360" w:lineRule="exact"/>
              <w:jc w:val="center"/>
              <w:rPr>
                <w:rFonts w:hint="eastAsia" w:ascii="宋体" w:hAnsi="宋体" w:eastAsia="宋体" w:cs="宋体"/>
                <w:highlight w:val="none"/>
              </w:rPr>
            </w:pPr>
          </w:p>
        </w:tc>
        <w:tc>
          <w:tcPr>
            <w:tcW w:w="2119" w:type="dxa"/>
          </w:tcPr>
          <w:p w14:paraId="0215148D">
            <w:pPr>
              <w:adjustRightInd w:val="0"/>
              <w:snapToGrid w:val="0"/>
              <w:spacing w:line="360" w:lineRule="exact"/>
              <w:rPr>
                <w:rFonts w:hint="eastAsia" w:ascii="宋体" w:hAnsi="宋体" w:eastAsia="宋体" w:cs="宋体"/>
                <w:highlight w:val="none"/>
              </w:rPr>
            </w:pPr>
          </w:p>
        </w:tc>
        <w:tc>
          <w:tcPr>
            <w:tcW w:w="1361" w:type="dxa"/>
          </w:tcPr>
          <w:p w14:paraId="04E5F041">
            <w:pPr>
              <w:adjustRightInd w:val="0"/>
              <w:snapToGrid w:val="0"/>
              <w:spacing w:line="360" w:lineRule="exact"/>
              <w:rPr>
                <w:rFonts w:hint="eastAsia" w:ascii="宋体" w:hAnsi="宋体" w:eastAsia="宋体" w:cs="宋体"/>
                <w:highlight w:val="none"/>
              </w:rPr>
            </w:pPr>
          </w:p>
        </w:tc>
        <w:tc>
          <w:tcPr>
            <w:tcW w:w="793" w:type="dxa"/>
          </w:tcPr>
          <w:p w14:paraId="0B32EE05">
            <w:pPr>
              <w:adjustRightInd w:val="0"/>
              <w:snapToGrid w:val="0"/>
              <w:spacing w:line="360" w:lineRule="exact"/>
              <w:jc w:val="center"/>
              <w:rPr>
                <w:rFonts w:hint="eastAsia" w:ascii="宋体" w:hAnsi="宋体" w:eastAsia="宋体" w:cs="宋体"/>
                <w:highlight w:val="none"/>
              </w:rPr>
            </w:pPr>
          </w:p>
        </w:tc>
        <w:tc>
          <w:tcPr>
            <w:tcW w:w="793" w:type="dxa"/>
          </w:tcPr>
          <w:p w14:paraId="42118F49">
            <w:pPr>
              <w:adjustRightInd w:val="0"/>
              <w:snapToGrid w:val="0"/>
              <w:spacing w:line="360" w:lineRule="exact"/>
              <w:jc w:val="center"/>
              <w:rPr>
                <w:rFonts w:hint="eastAsia" w:ascii="宋体" w:hAnsi="宋体" w:eastAsia="宋体" w:cs="宋体"/>
                <w:highlight w:val="none"/>
              </w:rPr>
            </w:pPr>
          </w:p>
        </w:tc>
        <w:tc>
          <w:tcPr>
            <w:tcW w:w="793" w:type="dxa"/>
          </w:tcPr>
          <w:p w14:paraId="36A432DA">
            <w:pPr>
              <w:adjustRightInd w:val="0"/>
              <w:snapToGrid w:val="0"/>
              <w:spacing w:line="360" w:lineRule="exact"/>
              <w:jc w:val="center"/>
              <w:rPr>
                <w:rFonts w:hint="eastAsia" w:ascii="宋体" w:hAnsi="宋体" w:eastAsia="宋体" w:cs="宋体"/>
                <w:highlight w:val="none"/>
              </w:rPr>
            </w:pPr>
          </w:p>
        </w:tc>
        <w:tc>
          <w:tcPr>
            <w:tcW w:w="2461" w:type="dxa"/>
          </w:tcPr>
          <w:p w14:paraId="5080CF2B">
            <w:pPr>
              <w:adjustRightInd w:val="0"/>
              <w:snapToGrid w:val="0"/>
              <w:spacing w:line="360" w:lineRule="exact"/>
              <w:rPr>
                <w:rFonts w:hint="eastAsia" w:ascii="宋体" w:hAnsi="宋体" w:eastAsia="宋体" w:cs="宋体"/>
                <w:highlight w:val="none"/>
              </w:rPr>
            </w:pPr>
          </w:p>
        </w:tc>
      </w:tr>
      <w:tr w14:paraId="0E30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00DDBA9">
            <w:pPr>
              <w:adjustRightInd w:val="0"/>
              <w:snapToGrid w:val="0"/>
              <w:spacing w:line="360" w:lineRule="exact"/>
              <w:jc w:val="center"/>
              <w:rPr>
                <w:rFonts w:hint="eastAsia" w:ascii="宋体" w:hAnsi="宋体" w:eastAsia="宋体" w:cs="宋体"/>
                <w:highlight w:val="none"/>
              </w:rPr>
            </w:pPr>
          </w:p>
        </w:tc>
        <w:tc>
          <w:tcPr>
            <w:tcW w:w="2119" w:type="dxa"/>
          </w:tcPr>
          <w:p w14:paraId="360C61B1">
            <w:pPr>
              <w:adjustRightInd w:val="0"/>
              <w:snapToGrid w:val="0"/>
              <w:spacing w:line="360" w:lineRule="exact"/>
              <w:rPr>
                <w:rFonts w:hint="eastAsia" w:ascii="宋体" w:hAnsi="宋体" w:eastAsia="宋体" w:cs="宋体"/>
                <w:highlight w:val="none"/>
              </w:rPr>
            </w:pPr>
          </w:p>
        </w:tc>
        <w:tc>
          <w:tcPr>
            <w:tcW w:w="1361" w:type="dxa"/>
          </w:tcPr>
          <w:p w14:paraId="4507E57F">
            <w:pPr>
              <w:adjustRightInd w:val="0"/>
              <w:snapToGrid w:val="0"/>
              <w:spacing w:line="360" w:lineRule="exact"/>
              <w:rPr>
                <w:rFonts w:hint="eastAsia" w:ascii="宋体" w:hAnsi="宋体" w:eastAsia="宋体" w:cs="宋体"/>
                <w:highlight w:val="none"/>
              </w:rPr>
            </w:pPr>
          </w:p>
        </w:tc>
        <w:tc>
          <w:tcPr>
            <w:tcW w:w="793" w:type="dxa"/>
          </w:tcPr>
          <w:p w14:paraId="373BB500">
            <w:pPr>
              <w:adjustRightInd w:val="0"/>
              <w:snapToGrid w:val="0"/>
              <w:spacing w:line="360" w:lineRule="exact"/>
              <w:jc w:val="center"/>
              <w:rPr>
                <w:rFonts w:hint="eastAsia" w:ascii="宋体" w:hAnsi="宋体" w:eastAsia="宋体" w:cs="宋体"/>
                <w:highlight w:val="none"/>
              </w:rPr>
            </w:pPr>
          </w:p>
        </w:tc>
        <w:tc>
          <w:tcPr>
            <w:tcW w:w="793" w:type="dxa"/>
          </w:tcPr>
          <w:p w14:paraId="286DA5D6">
            <w:pPr>
              <w:adjustRightInd w:val="0"/>
              <w:snapToGrid w:val="0"/>
              <w:spacing w:line="360" w:lineRule="exact"/>
              <w:jc w:val="center"/>
              <w:rPr>
                <w:rFonts w:hint="eastAsia" w:ascii="宋体" w:hAnsi="宋体" w:eastAsia="宋体" w:cs="宋体"/>
                <w:highlight w:val="none"/>
              </w:rPr>
            </w:pPr>
          </w:p>
        </w:tc>
        <w:tc>
          <w:tcPr>
            <w:tcW w:w="793" w:type="dxa"/>
          </w:tcPr>
          <w:p w14:paraId="1D8A75AB">
            <w:pPr>
              <w:adjustRightInd w:val="0"/>
              <w:snapToGrid w:val="0"/>
              <w:spacing w:line="360" w:lineRule="exact"/>
              <w:jc w:val="center"/>
              <w:rPr>
                <w:rFonts w:hint="eastAsia" w:ascii="宋体" w:hAnsi="宋体" w:eastAsia="宋体" w:cs="宋体"/>
                <w:highlight w:val="none"/>
              </w:rPr>
            </w:pPr>
          </w:p>
        </w:tc>
        <w:tc>
          <w:tcPr>
            <w:tcW w:w="2461" w:type="dxa"/>
          </w:tcPr>
          <w:p w14:paraId="718D55B8">
            <w:pPr>
              <w:adjustRightInd w:val="0"/>
              <w:snapToGrid w:val="0"/>
              <w:spacing w:line="360" w:lineRule="exact"/>
              <w:rPr>
                <w:rFonts w:hint="eastAsia" w:ascii="宋体" w:hAnsi="宋体" w:eastAsia="宋体" w:cs="宋体"/>
                <w:highlight w:val="none"/>
              </w:rPr>
            </w:pPr>
          </w:p>
        </w:tc>
      </w:tr>
      <w:tr w14:paraId="18EA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659F3ECE">
            <w:pPr>
              <w:adjustRightInd w:val="0"/>
              <w:snapToGrid w:val="0"/>
              <w:spacing w:line="360" w:lineRule="exact"/>
              <w:jc w:val="center"/>
              <w:rPr>
                <w:rFonts w:hint="eastAsia" w:ascii="宋体" w:hAnsi="宋体" w:eastAsia="宋体" w:cs="宋体"/>
                <w:highlight w:val="none"/>
              </w:rPr>
            </w:pPr>
          </w:p>
        </w:tc>
        <w:tc>
          <w:tcPr>
            <w:tcW w:w="2119" w:type="dxa"/>
          </w:tcPr>
          <w:p w14:paraId="62C5ACA4">
            <w:pPr>
              <w:adjustRightInd w:val="0"/>
              <w:snapToGrid w:val="0"/>
              <w:spacing w:line="360" w:lineRule="exact"/>
              <w:rPr>
                <w:rFonts w:hint="eastAsia" w:ascii="宋体" w:hAnsi="宋体" w:eastAsia="宋体" w:cs="宋体"/>
                <w:highlight w:val="none"/>
              </w:rPr>
            </w:pPr>
          </w:p>
        </w:tc>
        <w:tc>
          <w:tcPr>
            <w:tcW w:w="1361" w:type="dxa"/>
          </w:tcPr>
          <w:p w14:paraId="1EDC8643">
            <w:pPr>
              <w:adjustRightInd w:val="0"/>
              <w:snapToGrid w:val="0"/>
              <w:spacing w:line="360" w:lineRule="exact"/>
              <w:rPr>
                <w:rFonts w:hint="eastAsia" w:ascii="宋体" w:hAnsi="宋体" w:eastAsia="宋体" w:cs="宋体"/>
                <w:highlight w:val="none"/>
              </w:rPr>
            </w:pPr>
          </w:p>
        </w:tc>
        <w:tc>
          <w:tcPr>
            <w:tcW w:w="793" w:type="dxa"/>
          </w:tcPr>
          <w:p w14:paraId="078B0322">
            <w:pPr>
              <w:adjustRightInd w:val="0"/>
              <w:snapToGrid w:val="0"/>
              <w:spacing w:line="360" w:lineRule="exact"/>
              <w:jc w:val="center"/>
              <w:rPr>
                <w:rFonts w:hint="eastAsia" w:ascii="宋体" w:hAnsi="宋体" w:eastAsia="宋体" w:cs="宋体"/>
                <w:highlight w:val="none"/>
              </w:rPr>
            </w:pPr>
          </w:p>
        </w:tc>
        <w:tc>
          <w:tcPr>
            <w:tcW w:w="793" w:type="dxa"/>
          </w:tcPr>
          <w:p w14:paraId="34D5457B">
            <w:pPr>
              <w:adjustRightInd w:val="0"/>
              <w:snapToGrid w:val="0"/>
              <w:spacing w:line="360" w:lineRule="exact"/>
              <w:jc w:val="center"/>
              <w:rPr>
                <w:rFonts w:hint="eastAsia" w:ascii="宋体" w:hAnsi="宋体" w:eastAsia="宋体" w:cs="宋体"/>
                <w:highlight w:val="none"/>
              </w:rPr>
            </w:pPr>
          </w:p>
        </w:tc>
        <w:tc>
          <w:tcPr>
            <w:tcW w:w="793" w:type="dxa"/>
          </w:tcPr>
          <w:p w14:paraId="6028B34F">
            <w:pPr>
              <w:adjustRightInd w:val="0"/>
              <w:snapToGrid w:val="0"/>
              <w:spacing w:line="360" w:lineRule="exact"/>
              <w:jc w:val="center"/>
              <w:rPr>
                <w:rFonts w:hint="eastAsia" w:ascii="宋体" w:hAnsi="宋体" w:eastAsia="宋体" w:cs="宋体"/>
                <w:highlight w:val="none"/>
              </w:rPr>
            </w:pPr>
          </w:p>
        </w:tc>
        <w:tc>
          <w:tcPr>
            <w:tcW w:w="2461" w:type="dxa"/>
          </w:tcPr>
          <w:p w14:paraId="3DC1BB85">
            <w:pPr>
              <w:adjustRightInd w:val="0"/>
              <w:snapToGrid w:val="0"/>
              <w:spacing w:line="360" w:lineRule="exact"/>
              <w:rPr>
                <w:rFonts w:hint="eastAsia" w:ascii="宋体" w:hAnsi="宋体" w:eastAsia="宋体" w:cs="宋体"/>
                <w:highlight w:val="none"/>
              </w:rPr>
            </w:pPr>
          </w:p>
        </w:tc>
      </w:tr>
    </w:tbl>
    <w:p w14:paraId="0BC913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6.2“开标一览表”和“明细表”仅作为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编制投标技术文件的一般格式。其中序号编写应当便于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了解分类或分项货物之间的所属关系，如1、1.1、1.2</w:t>
      </w:r>
      <w:r>
        <w:rPr>
          <w:rFonts w:hint="eastAsia" w:ascii="宋体" w:hAnsi="宋体" w:eastAsia="宋体" w:cs="宋体"/>
          <w:sz w:val="24"/>
          <w:szCs w:val="24"/>
          <w:highlight w:val="none"/>
          <w:lang w:eastAsia="zh-CN"/>
        </w:rPr>
        <w:t>；</w:t>
      </w:r>
    </w:p>
    <w:p w14:paraId="3502C46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胜出</w:t>
      </w:r>
      <w:r>
        <w:rPr>
          <w:rFonts w:hint="eastAsia" w:ascii="宋体" w:hAnsi="宋体" w:eastAsia="宋体" w:cs="宋体"/>
          <w:sz w:val="24"/>
          <w:szCs w:val="24"/>
          <w:highlight w:val="none"/>
          <w:lang w:eastAsia="zh-CN"/>
        </w:rPr>
        <w:t>；</w:t>
      </w:r>
    </w:p>
    <w:p w14:paraId="3479B1D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r>
        <w:rPr>
          <w:rFonts w:hint="eastAsia" w:ascii="宋体" w:hAnsi="宋体" w:eastAsia="宋体" w:cs="宋体"/>
          <w:sz w:val="24"/>
          <w:szCs w:val="24"/>
          <w:highlight w:val="none"/>
          <w:lang w:eastAsia="zh-CN"/>
        </w:rPr>
        <w:t>；</w:t>
      </w:r>
    </w:p>
    <w:p w14:paraId="7B235E3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14:paraId="0D444778">
      <w:pPr>
        <w:pStyle w:val="121"/>
        <w:spacing w:line="360" w:lineRule="auto"/>
        <w:rPr>
          <w:rFonts w:hint="eastAsia" w:ascii="宋体" w:hAnsi="宋体" w:cs="宋体"/>
          <w:color w:val="auto"/>
          <w:highlight w:val="none"/>
        </w:rPr>
      </w:pPr>
      <w:r>
        <w:rPr>
          <w:rFonts w:hint="eastAsia" w:ascii="宋体" w:hAnsi="宋体" w:cs="宋体"/>
          <w:color w:val="auto"/>
          <w:highlight w:val="none"/>
        </w:rPr>
        <w:t>二、技术文件中货物报价格式要求</w:t>
      </w:r>
    </w:p>
    <w:p w14:paraId="2A0B27C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投标技术文件中，如未按照要求编写、或者存在漏项和缺项，将有可能造成对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不必要的误解；必要时，漏项和缺项涉及的费用，将有可能以其它</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中，相同或相似项目的最高价，计入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的投标总报价之内，作为评标的依据之一。</w:t>
      </w:r>
    </w:p>
    <w:p w14:paraId="3C354D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如果投标总报价与其它价格出现错误或不一致，将有可能导致废标。</w:t>
      </w:r>
    </w:p>
    <w:p w14:paraId="56D7719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投标总报价为自合同签定生效至合同无异议执行完毕涉及的买方需要支付的全部费用。如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认为本招标及投标货物涉及特需或专门的设计，应当单独列明设计费。</w:t>
      </w:r>
    </w:p>
    <w:p w14:paraId="7FE6CC3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备品备件、易损件和专用耗材，</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将可能与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按照投标价格另行签署供货合同。</w:t>
      </w:r>
    </w:p>
    <w:p w14:paraId="2E6A6AA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要求投标总报价、分项报价、明细报价之间应当具有相互间对应关系以及填报分项和明细报价，仅为便于评标而不妨碍投标人以最合适的形式签署合同。</w:t>
      </w:r>
    </w:p>
    <w:p w14:paraId="4C0C0FA7">
      <w:pPr>
        <w:pStyle w:val="121"/>
        <w:spacing w:line="360" w:lineRule="auto"/>
        <w:rPr>
          <w:rFonts w:hint="eastAsia" w:ascii="宋体" w:hAnsi="宋体" w:cs="宋体"/>
          <w:color w:val="auto"/>
          <w:highlight w:val="none"/>
        </w:rPr>
      </w:pPr>
      <w:r>
        <w:rPr>
          <w:rFonts w:hint="eastAsia" w:ascii="宋体" w:hAnsi="宋体" w:cs="宋体"/>
          <w:color w:val="auto"/>
          <w:highlight w:val="none"/>
        </w:rPr>
        <w:t>三、验收标准及内容要求</w:t>
      </w:r>
    </w:p>
    <w:p w14:paraId="3CC8F2E0">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除招标文件明确的验收标准或内容之外，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应当在投标文件中提供预验收（必要时）和终验收的标准以及规程；在合同签定之前，经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和</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双方洽谈确认并签署，以作为验收标准执行</w:t>
      </w:r>
      <w:r>
        <w:rPr>
          <w:rFonts w:hint="eastAsia" w:ascii="宋体" w:hAnsi="宋体" w:eastAsia="宋体" w:cs="宋体"/>
          <w:color w:val="000000" w:themeColor="text1"/>
          <w:sz w:val="24"/>
          <w:szCs w:val="24"/>
          <w14:textFill>
            <w14:solidFill>
              <w14:schemeClr w14:val="tx1"/>
            </w14:solidFill>
          </w14:textFill>
        </w:rPr>
        <w:t>。</w:t>
      </w:r>
    </w:p>
    <w:p w14:paraId="212CEAC9">
      <w:pPr>
        <w:pStyle w:val="2"/>
        <w:spacing w:before="120" w:after="120" w:line="360" w:lineRule="auto"/>
        <w:rPr>
          <w:rFonts w:ascii="宋体" w:hAnsi="宋体" w:eastAsia="宋体" w:cs="宋体"/>
          <w:b w:val="0"/>
          <w:color w:val="000000" w:themeColor="text1"/>
          <w:sz w:val="24"/>
          <w:szCs w:val="24"/>
          <w14:textFill>
            <w14:solidFill>
              <w14:schemeClr w14:val="tx1"/>
            </w14:solidFill>
          </w14:textFill>
        </w:rPr>
        <w:sectPr>
          <w:pgSz w:w="11906" w:h="16838"/>
          <w:pgMar w:top="1588" w:right="1418" w:bottom="1134" w:left="1418" w:header="851" w:footer="992" w:gutter="0"/>
          <w:cols w:space="720" w:num="1"/>
          <w:titlePg/>
          <w:docGrid w:linePitch="312" w:charSpace="0"/>
        </w:sectPr>
      </w:pPr>
      <w:bookmarkStart w:id="38" w:name="_Toc465187648"/>
    </w:p>
    <w:p w14:paraId="584E4783">
      <w:pPr>
        <w:pStyle w:val="134"/>
        <w:outlineLvl w:val="1"/>
        <w:rPr>
          <w:rFonts w:ascii="宋体" w:hAnsi="宋体" w:eastAsia="宋体" w:cs="宋体"/>
          <w:b/>
          <w:bCs w:val="0"/>
          <w:iCs/>
          <w:color w:val="000000" w:themeColor="text1"/>
          <w:sz w:val="28"/>
          <w:szCs w:val="22"/>
          <w14:textFill>
            <w14:solidFill>
              <w14:schemeClr w14:val="tx1"/>
            </w14:solidFill>
          </w14:textFill>
        </w:rPr>
      </w:pPr>
      <w:r>
        <w:rPr>
          <w:rFonts w:hint="eastAsia" w:ascii="宋体" w:hAnsi="宋体" w:eastAsia="宋体" w:cs="宋体"/>
          <w:b/>
          <w:bCs w:val="0"/>
          <w:iCs/>
          <w:color w:val="000000" w:themeColor="text1"/>
          <w:sz w:val="28"/>
          <w:szCs w:val="22"/>
          <w14:textFill>
            <w14:solidFill>
              <w14:schemeClr w14:val="tx1"/>
            </w14:solidFill>
          </w14:textFill>
        </w:rPr>
        <w:t>第七章  其它要求及说明</w:t>
      </w:r>
      <w:bookmarkEnd w:id="38"/>
    </w:p>
    <w:p w14:paraId="554F4127">
      <w:pPr>
        <w:pStyle w:val="121"/>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一、要求</w:t>
      </w:r>
    </w:p>
    <w:p w14:paraId="4E0413BE">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在投标文件中，至少应具备以下资格证明文件或资料：</w:t>
      </w:r>
    </w:p>
    <w:p w14:paraId="2DE28D98">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应是独立法人或得到法人授权的机构。应当在投标文件中提供法人营业执照（复印件）、税务登记证以及组织机构代码证（国际供应商参考该要求提供有效证明文件），并保证其真实性和有效性。</w:t>
      </w:r>
    </w:p>
    <w:p w14:paraId="0CEEB7C6">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应当是通过有关资格认证的法人。应当在投标文件中提供有效期内的资格认证证书，如：ISO9001、VDA6.1、QS9000等。</w:t>
      </w:r>
    </w:p>
    <w:p w14:paraId="457F7948">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国产设备应附有采购货物（或设备）涉及的由“中国质量认证中心”颁发的《中国国家强制性产品认证证书》（CCC证书）。</w:t>
      </w:r>
    </w:p>
    <w:p w14:paraId="42188069">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应附有其它与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、采购货物有关的荣誉证书或资料。</w:t>
      </w:r>
    </w:p>
    <w:p w14:paraId="17964618">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必须附有投标货物涉及产品要求的、国家或行业管理规定要求的、或者</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认为能够体现其投标货物合法性及先进性的最高级别的证明材料（投标货物不涉及的除外）：</w:t>
      </w:r>
    </w:p>
    <w:p w14:paraId="58959CBB">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5.1国家相关机构颁发的有效期之内所必需的《生产许可证》</w:t>
      </w:r>
      <w:r>
        <w:rPr>
          <w:rFonts w:hint="eastAsia" w:ascii="宋体" w:hAnsi="宋体" w:eastAsia="宋体" w:cs="宋体"/>
          <w:sz w:val="24"/>
          <w:szCs w:val="24"/>
          <w:highlight w:val="none"/>
          <w:lang w:eastAsia="zh-CN"/>
        </w:rPr>
        <w:t>；</w:t>
      </w:r>
    </w:p>
    <w:p w14:paraId="2C243E09">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5.2产品（或技术）鉴定报告/证书、专利证书或专利许可证书、新技术成果证书等</w:t>
      </w:r>
      <w:r>
        <w:rPr>
          <w:rFonts w:hint="eastAsia" w:ascii="宋体" w:hAnsi="宋体" w:eastAsia="宋体" w:cs="宋体"/>
          <w:sz w:val="24"/>
          <w:szCs w:val="24"/>
          <w:highlight w:val="none"/>
          <w:lang w:eastAsia="zh-CN"/>
        </w:rPr>
        <w:t>；</w:t>
      </w:r>
    </w:p>
    <w:p w14:paraId="5775B554">
      <w:pPr>
        <w:spacing w:line="360" w:lineRule="auto"/>
        <w:ind w:firstLine="477" w:firstLineChars="19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5.3产品相关检验、试验报告，如：型式试验检验报告、安全试验检验报告、电弧效应试验报告、噪声检测报告等</w:t>
      </w:r>
      <w:r>
        <w:rPr>
          <w:rFonts w:hint="eastAsia" w:ascii="宋体" w:hAnsi="宋体" w:eastAsia="宋体" w:cs="宋体"/>
          <w:sz w:val="24"/>
          <w:szCs w:val="24"/>
          <w:highlight w:val="none"/>
          <w:lang w:eastAsia="zh-CN"/>
        </w:rPr>
        <w:t>；</w:t>
      </w:r>
    </w:p>
    <w:p w14:paraId="09439609">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5.4其它能够证明所供货物的质量水平、技术水平、安全性水平、节能性水平、环保性水平等相关的其它证明文件或资料、报告等</w:t>
      </w:r>
      <w:r>
        <w:rPr>
          <w:rFonts w:hint="eastAsia" w:ascii="宋体" w:hAnsi="宋体" w:eastAsia="宋体" w:cs="宋体"/>
          <w:sz w:val="24"/>
          <w:szCs w:val="24"/>
          <w:highlight w:val="none"/>
          <w:lang w:eastAsia="zh-CN"/>
        </w:rPr>
        <w:t>；</w:t>
      </w:r>
    </w:p>
    <w:p w14:paraId="660D763B">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5.5该类报告或证明材料对于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胜出乃至中标极为重要！</w:t>
      </w:r>
    </w:p>
    <w:p w14:paraId="1DD1C340">
      <w:pPr>
        <w:numPr>
          <w:ilvl w:val="-1"/>
          <w:numId w:val="0"/>
        </w:num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lang w:val="en-US" w:eastAsia="zh-CN"/>
        </w:rPr>
        <w:t>6.</w:t>
      </w:r>
      <w:r>
        <w:rPr>
          <w:rFonts w:hint="eastAsia" w:ascii="宋体" w:hAnsi="宋体" w:eastAsia="宋体" w:cs="宋体"/>
          <w:b/>
          <w:sz w:val="24"/>
          <w:szCs w:val="24"/>
          <w:highlight w:val="none"/>
        </w:rPr>
        <w:t>必须附有：</w:t>
      </w:r>
      <w:r>
        <w:rPr>
          <w:rFonts w:hint="eastAsia" w:ascii="宋体" w:hAnsi="宋体"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应当保证其业绩的真实性，否则将影响投标或中标资格。</w:t>
      </w:r>
    </w:p>
    <w:p w14:paraId="1169C797">
      <w:pPr>
        <w:pStyle w:val="121"/>
        <w:spacing w:line="360" w:lineRule="auto"/>
        <w:rPr>
          <w:rFonts w:hint="eastAsia"/>
          <w:sz w:val="24"/>
          <w:szCs w:val="24"/>
          <w:highlight w:val="none"/>
        </w:rPr>
      </w:pPr>
      <w:r>
        <w:rPr>
          <w:rFonts w:hint="eastAsia" w:ascii="宋体" w:hAnsi="宋体" w:cs="宋体"/>
          <w:color w:val="auto"/>
          <w:sz w:val="24"/>
          <w:szCs w:val="24"/>
          <w:highlight w:val="none"/>
          <w:lang w:val="en-US" w:eastAsia="zh-CN"/>
        </w:rPr>
        <w:t>二</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其他</w:t>
      </w:r>
    </w:p>
    <w:p w14:paraId="253196A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可以根据自身的技术、经验等优势以及对招标文件和本技术标书的理解，写明对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所采购货物的优化方案或建议意见。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的这些努力，</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表示感谢，并将有助于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优先胜出。</w:t>
      </w:r>
    </w:p>
    <w:p w14:paraId="029E4D6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即使有建议意见或建议方案，仍应依据招标文件和本技术标书要求，编写符合要求的投标文件。建议方案或建议意见，应以单独篇章或文件，予以说明和报价。</w:t>
      </w:r>
    </w:p>
    <w:p w14:paraId="449EE4A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请</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仔细阅读“采购货物概况”章节内说明，针对允许分投分中的货物，</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有权利选择其中优秀设备或服务，作为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合同供货范围中的指定选用设备或服务（替代</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分投而未中标部分）。</w:t>
      </w:r>
    </w:p>
    <w:p w14:paraId="06D70C0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招标文件、投标文件、答疑文件、技术交流文件、技术标书等，在采购过程全部为有效文件，如有差异，以对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最有利的条款为准。</w:t>
      </w:r>
    </w:p>
    <w:p w14:paraId="09585202">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为避免</w:t>
      </w:r>
      <w:r>
        <w:rPr>
          <w:rFonts w:hint="eastAsia" w:ascii="宋体" w:hAnsi="宋体" w:eastAsia="宋体" w:cs="宋体"/>
          <w:sz w:val="24"/>
          <w:szCs w:val="24"/>
          <w:highlight w:val="none"/>
          <w:lang w:val="en-US" w:eastAsia="zh-CN"/>
        </w:rPr>
        <w:t>歧义</w:t>
      </w:r>
      <w:r>
        <w:rPr>
          <w:rFonts w:hint="eastAsia" w:ascii="宋体" w:hAnsi="宋体" w:eastAsia="宋体" w:cs="宋体"/>
          <w:sz w:val="24"/>
          <w:szCs w:val="24"/>
          <w:highlight w:val="none"/>
        </w:rPr>
        <w:t>，本技术标书涉及招投标环节的条款，均将潜在的</w:t>
      </w:r>
      <w:r>
        <w:rPr>
          <w:rFonts w:hint="eastAsia" w:ascii="宋体" w:hAnsi="宋体" w:eastAsia="宋体" w:cs="宋体"/>
          <w:sz w:val="24"/>
          <w:szCs w:val="24"/>
          <w:highlight w:val="none"/>
          <w:lang w:eastAsia="zh-CN"/>
        </w:rPr>
        <w:t>卖方</w:t>
      </w:r>
      <w:r>
        <w:rPr>
          <w:rFonts w:hint="eastAsia" w:ascii="宋体" w:hAnsi="宋体" w:eastAsia="宋体" w:cs="宋体"/>
          <w:sz w:val="24"/>
          <w:szCs w:val="24"/>
          <w:highlight w:val="none"/>
        </w:rPr>
        <w:t>称为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、将买方称为</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；定标后合同签署环节以及后续的合同执行环节条款，</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称为买方、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中的中标方称为</w:t>
      </w:r>
      <w:r>
        <w:rPr>
          <w:rFonts w:hint="eastAsia" w:ascii="宋体" w:hAnsi="宋体" w:eastAsia="宋体" w:cs="宋体"/>
          <w:sz w:val="24"/>
          <w:szCs w:val="24"/>
          <w:highlight w:val="none"/>
          <w:lang w:eastAsia="zh-CN"/>
        </w:rPr>
        <w:t>卖方</w:t>
      </w:r>
      <w:r>
        <w:rPr>
          <w:rFonts w:hint="eastAsia" w:ascii="宋体" w:hAnsi="宋体" w:eastAsia="宋体" w:cs="宋体"/>
          <w:color w:val="000000" w:themeColor="text1"/>
          <w:sz w:val="24"/>
          <w:szCs w:val="24"/>
          <w14:textFill>
            <w14:solidFill>
              <w14:schemeClr w14:val="tx1"/>
            </w14:solidFill>
          </w14:textFill>
        </w:rPr>
        <w:t>。</w:t>
      </w:r>
    </w:p>
    <w:p w14:paraId="64D4DA18">
      <w:pPr>
        <w:pStyle w:val="17"/>
        <w:spacing w:line="360" w:lineRule="auto"/>
        <w:rPr>
          <w:rFonts w:hAnsi="宋体" w:eastAsia="宋体" w:cs="宋体"/>
        </w:rPr>
        <w:sectPr>
          <w:pgSz w:w="11907" w:h="16840"/>
          <w:pgMar w:top="1304" w:right="1418" w:bottom="1304" w:left="1418" w:header="724" w:footer="851" w:gutter="0"/>
          <w:cols w:space="720" w:num="1"/>
          <w:docGrid w:linePitch="290" w:charSpace="-3931"/>
        </w:sectPr>
      </w:pPr>
    </w:p>
    <w:p w14:paraId="53F62FDA">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7"/>
    </w:p>
    <w:p w14:paraId="7552B7E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27B160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A87A0C5">
      <w:pPr>
        <w:adjustRightInd w:val="0"/>
        <w:snapToGrid w:val="0"/>
        <w:spacing w:line="360" w:lineRule="auto"/>
        <w:jc w:val="left"/>
        <w:rPr>
          <w:rFonts w:ascii="宋体" w:hAnsi="宋体"/>
          <w:sz w:val="20"/>
          <w:szCs w:val="20"/>
        </w:rPr>
      </w:pPr>
    </w:p>
    <w:p w14:paraId="2773C57C">
      <w:pPr>
        <w:adjustRightInd w:val="0"/>
        <w:snapToGrid w:val="0"/>
        <w:spacing w:line="360" w:lineRule="auto"/>
        <w:jc w:val="center"/>
        <w:rPr>
          <w:rFonts w:ascii="方正小标宋简体" w:hAnsi="宋体" w:eastAsia="方正小标宋简体"/>
          <w:bCs/>
          <w:sz w:val="52"/>
          <w:szCs w:val="36"/>
        </w:rPr>
      </w:pPr>
    </w:p>
    <w:p w14:paraId="3EE1C2F6">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14:paraId="61EA253B">
      <w:pPr>
        <w:jc w:val="center"/>
        <w:outlineLvl w:val="9"/>
        <w:rPr>
          <w:sz w:val="11"/>
          <w:szCs w:val="15"/>
        </w:rPr>
      </w:pPr>
      <w:r>
        <w:rPr>
          <w:rFonts w:hint="eastAsia" w:ascii="方正小标宋简体" w:hAnsi="宋体" w:eastAsia="方正小标宋简体"/>
          <w:sz w:val="22"/>
          <w:szCs w:val="16"/>
        </w:rPr>
        <w:t>(合同以双方最终签署的版本为准)</w:t>
      </w:r>
    </w:p>
    <w:p w14:paraId="4AE07C19">
      <w:pPr>
        <w:adjustRightInd w:val="0"/>
        <w:snapToGrid w:val="0"/>
        <w:spacing w:line="360" w:lineRule="auto"/>
        <w:jc w:val="left"/>
        <w:rPr>
          <w:rFonts w:ascii="宋体" w:hAnsi="宋体"/>
          <w:b/>
          <w:sz w:val="36"/>
          <w:szCs w:val="36"/>
        </w:rPr>
      </w:pPr>
    </w:p>
    <w:p w14:paraId="7DEC8660">
      <w:pPr>
        <w:adjustRightInd w:val="0"/>
        <w:snapToGrid w:val="0"/>
        <w:spacing w:line="360" w:lineRule="auto"/>
        <w:jc w:val="left"/>
        <w:rPr>
          <w:rFonts w:ascii="宋体" w:hAnsi="宋体"/>
          <w:b/>
          <w:sz w:val="36"/>
          <w:szCs w:val="36"/>
        </w:rPr>
      </w:pPr>
    </w:p>
    <w:p w14:paraId="4824F656">
      <w:pPr>
        <w:adjustRightInd w:val="0"/>
        <w:snapToGrid w:val="0"/>
        <w:spacing w:line="360" w:lineRule="auto"/>
        <w:jc w:val="left"/>
        <w:rPr>
          <w:rFonts w:ascii="宋体" w:hAnsi="宋体"/>
          <w:b/>
          <w:sz w:val="36"/>
          <w:szCs w:val="36"/>
        </w:rPr>
      </w:pPr>
    </w:p>
    <w:p w14:paraId="71FE1903">
      <w:pPr>
        <w:adjustRightInd w:val="0"/>
        <w:snapToGrid w:val="0"/>
        <w:spacing w:line="360" w:lineRule="auto"/>
        <w:jc w:val="left"/>
        <w:rPr>
          <w:rFonts w:ascii="宋体" w:hAnsi="宋体"/>
          <w:b/>
          <w:sz w:val="36"/>
          <w:szCs w:val="36"/>
        </w:rPr>
      </w:pPr>
    </w:p>
    <w:p w14:paraId="0FA19857">
      <w:pPr>
        <w:adjustRightInd w:val="0"/>
        <w:snapToGrid w:val="0"/>
        <w:spacing w:line="360" w:lineRule="auto"/>
        <w:jc w:val="left"/>
        <w:rPr>
          <w:rFonts w:ascii="宋体" w:hAnsi="宋体"/>
          <w:b/>
          <w:sz w:val="36"/>
          <w:szCs w:val="36"/>
        </w:rPr>
      </w:pPr>
    </w:p>
    <w:p w14:paraId="557AD584">
      <w:pPr>
        <w:adjustRightInd w:val="0"/>
        <w:snapToGrid w:val="0"/>
        <w:spacing w:line="360" w:lineRule="auto"/>
        <w:jc w:val="left"/>
        <w:rPr>
          <w:rFonts w:ascii="宋体" w:hAnsi="宋体"/>
          <w:b/>
          <w:sz w:val="36"/>
          <w:szCs w:val="36"/>
        </w:rPr>
      </w:pPr>
    </w:p>
    <w:p w14:paraId="2672C7A0">
      <w:pPr>
        <w:adjustRightInd w:val="0"/>
        <w:snapToGrid w:val="0"/>
        <w:spacing w:line="360" w:lineRule="auto"/>
        <w:jc w:val="left"/>
        <w:rPr>
          <w:rFonts w:ascii="宋体" w:hAnsi="宋体"/>
          <w:b/>
          <w:sz w:val="36"/>
          <w:szCs w:val="36"/>
        </w:rPr>
      </w:pPr>
    </w:p>
    <w:p w14:paraId="35FAE8E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B042328">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6659D44">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F753657">
      <w:pPr>
        <w:spacing w:line="360" w:lineRule="auto"/>
        <w:ind w:right="480"/>
        <w:sectPr>
          <w:footerReference r:id="rId14" w:type="default"/>
          <w:pgSz w:w="11907" w:h="16840"/>
          <w:pgMar w:top="1304" w:right="1418" w:bottom="1304" w:left="1418" w:header="724" w:footer="851" w:gutter="0"/>
          <w:cols w:space="720" w:num="1"/>
          <w:docGrid w:linePitch="290" w:charSpace="-3931"/>
        </w:sectPr>
      </w:pPr>
    </w:p>
    <w:p w14:paraId="1BF75296">
      <w:pPr>
        <w:spacing w:line="360" w:lineRule="auto"/>
        <w:ind w:right="480"/>
        <w:rPr>
          <w:rFonts w:ascii="宋体" w:hAnsi="宋体" w:cs="宋体"/>
          <w:bCs/>
          <w:sz w:val="24"/>
          <w:u w:val="single"/>
        </w:rPr>
      </w:pPr>
      <w:r>
        <w:rPr>
          <w:rFonts w:hint="eastAsia" w:ascii="宋体" w:hAnsi="宋体" w:cs="宋体"/>
          <w:bCs/>
          <w:sz w:val="22"/>
        </w:rPr>
        <w:t xml:space="preserve"> </w:t>
      </w:r>
      <w:bookmarkStart w:id="39" w:name="_Toc283814116"/>
      <w:r>
        <w:rPr>
          <w:rFonts w:hint="eastAsia" w:ascii="宋体" w:hAnsi="宋体" w:cs="宋体"/>
          <w:bCs/>
          <w:sz w:val="24"/>
        </w:rPr>
        <w:t xml:space="preserve"> </w:t>
      </w:r>
    </w:p>
    <w:p w14:paraId="20941E6E">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4C7A005">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139C1A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8C0D1A4">
      <w:pPr>
        <w:spacing w:line="360" w:lineRule="auto"/>
        <w:ind w:right="-189" w:rightChars="-90"/>
        <w:jc w:val="left"/>
        <w:rPr>
          <w:rFonts w:ascii="仿宋_GB2312" w:hAnsi="宋体" w:eastAsia="仿宋_GB2312" w:cs="宋体"/>
          <w:b/>
          <w:bCs/>
          <w:sz w:val="24"/>
          <w:szCs w:val="24"/>
          <w:u w:val="single"/>
        </w:rPr>
      </w:pPr>
    </w:p>
    <w:p w14:paraId="6C8AC023">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07C63A">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4FAAAD3">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E2211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5DFA0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343847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19E60D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7292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59B04EA">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1D3423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03034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62923D99">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1AD876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EAA17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2EAFD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3FFE8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F93DE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549865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4253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450D50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141DD08">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0E8061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84AA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A566410">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070B87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F188B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D5809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55174B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D6E08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EAE4F0">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48ED71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8556B7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4E394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3E2E73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1079C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AEE90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CF43B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24A058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4E130F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0EFF0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2D1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D4DB9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CAB4378">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CDBDCF9">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12245B35">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3905E9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9140D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F00EF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B4E014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D36E668">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642971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373757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AAAC6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1A4D999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461DC32">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E0C9A9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75E72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DCE4C42">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360D09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AC89D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3572D0D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2825C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D2506E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EF396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8450B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DF1A1A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0F8A53">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4B729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7115BD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EC1B1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26B84A9">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09CF218F">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2C04D09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0EDD34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1739B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77EFF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ACCEA1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A627EE3">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6DACD204">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772E05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5C2230E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1E923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CEF74E9">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6625E53B">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6F8BE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A673C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49D5A5E">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148E36D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02D32ABE">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690B824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391872E2">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FEA2D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6AEE6D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E56DD9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85E9D9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20D66D7D">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7CF25B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C894D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A9D236D">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36D1C3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443D8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0C7566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EABF5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53D7F0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921FF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32EC88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FEE9E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29324F6C">
      <w:pPr>
        <w:pStyle w:val="3"/>
        <w:tabs>
          <w:tab w:val="right" w:leader="dot" w:pos="9061"/>
        </w:tabs>
        <w:spacing w:before="240" w:beforeLines="100"/>
        <w:ind w:firstLine="560" w:firstLineChars="200"/>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308EB1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55DC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7FA1168">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55965E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16800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DB9C6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6212B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4DBA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1053CD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5B837A2">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040A0C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9782B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0DF143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8C984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1B09C9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943CBF">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236453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A0C9417">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72B1A6B">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669995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F48DCF7">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AA5D6BF">
      <w:pPr>
        <w:spacing w:line="360" w:lineRule="auto"/>
        <w:rPr>
          <w:rFonts w:ascii="宋体" w:hAnsi="宋体"/>
          <w:snapToGrid w:val="0"/>
          <w:kern w:val="0"/>
          <w:sz w:val="20"/>
          <w:szCs w:val="20"/>
          <w:lang w:eastAsia="zh-Hans"/>
        </w:rPr>
      </w:pPr>
    </w:p>
    <w:p w14:paraId="5651AF9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25B0A2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2932EAA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71A526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0514CF0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54B5507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48EF259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8001AB8">
      <w:pPr>
        <w:spacing w:line="360" w:lineRule="auto"/>
        <w:rPr>
          <w:rFonts w:ascii="仿宋_GB2312" w:eastAsia="仿宋_GB2312"/>
          <w:sz w:val="24"/>
          <w:szCs w:val="24"/>
        </w:rPr>
      </w:pPr>
    </w:p>
    <w:p w14:paraId="683DF153">
      <w:pPr>
        <w:pStyle w:val="3"/>
        <w:tabs>
          <w:tab w:val="right" w:leader="dot" w:pos="9061"/>
        </w:tabs>
        <w:ind w:left="0"/>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71584B13"/>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1D6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2308B21">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4183AD4">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845ADC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61FA43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FD57D3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244A67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7BE6B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24C385B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ABEE65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F73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043A81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F5A2C39">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F24BBE">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96F1D8E">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7DA599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C4550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A78A18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F899CDF">
            <w:pPr>
              <w:pStyle w:val="26"/>
              <w:spacing w:line="360" w:lineRule="auto"/>
              <w:ind w:left="480" w:hanging="480"/>
              <w:jc w:val="center"/>
              <w:rPr>
                <w:rFonts w:ascii="仿宋_GB2312" w:eastAsia="仿宋_GB2312" w:hAnsiTheme="minorEastAsia" w:cstheme="minorEastAsia"/>
                <w:sz w:val="24"/>
                <w:szCs w:val="24"/>
              </w:rPr>
            </w:pPr>
          </w:p>
        </w:tc>
      </w:tr>
      <w:tr w14:paraId="38AC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EB7AB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1E0B284">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B3F3553">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25ED88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B0D0B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61DF19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7385D2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07F4A7">
            <w:pPr>
              <w:pStyle w:val="26"/>
              <w:spacing w:line="360" w:lineRule="auto"/>
              <w:ind w:left="480" w:hanging="480"/>
              <w:jc w:val="center"/>
              <w:rPr>
                <w:rFonts w:ascii="仿宋_GB2312" w:eastAsia="仿宋_GB2312" w:hAnsiTheme="minorEastAsia" w:cstheme="minorEastAsia"/>
                <w:sz w:val="24"/>
                <w:szCs w:val="24"/>
              </w:rPr>
            </w:pPr>
          </w:p>
        </w:tc>
      </w:tr>
      <w:tr w14:paraId="7AE3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B3546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FCFB9C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8D12F7C">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CA4ECDA">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A0AAF1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E5C6EA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F63C4E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CA5E80">
            <w:pPr>
              <w:pStyle w:val="26"/>
              <w:spacing w:line="360" w:lineRule="auto"/>
              <w:ind w:left="480" w:hanging="480"/>
              <w:jc w:val="center"/>
              <w:rPr>
                <w:rFonts w:ascii="仿宋_GB2312" w:eastAsia="仿宋_GB2312" w:hAnsiTheme="minorEastAsia" w:cstheme="minorEastAsia"/>
                <w:sz w:val="24"/>
                <w:szCs w:val="24"/>
              </w:rPr>
            </w:pPr>
          </w:p>
        </w:tc>
      </w:tr>
      <w:tr w14:paraId="3EE6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602E0F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801921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84910A2">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A9767AE">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4E6E2F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E97C671">
            <w:pPr>
              <w:spacing w:line="360" w:lineRule="auto"/>
              <w:jc w:val="center"/>
              <w:rPr>
                <w:rFonts w:ascii="仿宋_GB2312" w:eastAsia="仿宋_GB2312" w:hAnsiTheme="minorEastAsia" w:cstheme="minorEastAsia"/>
                <w:sz w:val="24"/>
                <w:szCs w:val="24"/>
              </w:rPr>
            </w:pPr>
          </w:p>
        </w:tc>
        <w:tc>
          <w:tcPr>
            <w:tcW w:w="708" w:type="dxa"/>
            <w:vAlign w:val="center"/>
          </w:tcPr>
          <w:p w14:paraId="4F76F5DE">
            <w:pPr>
              <w:spacing w:line="360" w:lineRule="auto"/>
              <w:jc w:val="center"/>
              <w:rPr>
                <w:rFonts w:ascii="仿宋_GB2312" w:eastAsia="仿宋_GB2312" w:hAnsiTheme="minorEastAsia" w:cstheme="minorEastAsia"/>
                <w:sz w:val="24"/>
                <w:szCs w:val="24"/>
              </w:rPr>
            </w:pPr>
          </w:p>
        </w:tc>
        <w:tc>
          <w:tcPr>
            <w:tcW w:w="708" w:type="dxa"/>
            <w:vAlign w:val="center"/>
          </w:tcPr>
          <w:p w14:paraId="0C0F5CE5">
            <w:pPr>
              <w:spacing w:line="360" w:lineRule="auto"/>
              <w:jc w:val="center"/>
              <w:rPr>
                <w:rFonts w:ascii="仿宋_GB2312" w:eastAsia="仿宋_GB2312" w:hAnsiTheme="minorEastAsia" w:cstheme="minorEastAsia"/>
                <w:sz w:val="24"/>
                <w:szCs w:val="24"/>
              </w:rPr>
            </w:pPr>
          </w:p>
        </w:tc>
      </w:tr>
    </w:tbl>
    <w:p w14:paraId="3C4F452D">
      <w:pPr>
        <w:rPr>
          <w:rFonts w:asciiTheme="minorEastAsia" w:hAnsiTheme="minorEastAsia" w:eastAsiaTheme="minorEastAsia" w:cstheme="minorEastAsia"/>
          <w:sz w:val="20"/>
          <w:szCs w:val="20"/>
        </w:rPr>
      </w:pPr>
      <w:bookmarkStart w:id="40" w:name="_Toc24623"/>
      <w:bookmarkStart w:id="41" w:name="_Toc16330037"/>
      <w:bookmarkStart w:id="42" w:name="_Toc5379"/>
      <w:bookmarkStart w:id="43" w:name="_Toc3778"/>
      <w:bookmarkStart w:id="44" w:name="_Toc25120"/>
      <w:r>
        <w:rPr>
          <w:rFonts w:hint="eastAsia" w:asciiTheme="minorEastAsia" w:hAnsiTheme="minorEastAsia" w:eastAsiaTheme="minorEastAsia" w:cstheme="minorEastAsia"/>
          <w:sz w:val="20"/>
          <w:szCs w:val="20"/>
        </w:rPr>
        <w:br w:type="page"/>
      </w:r>
    </w:p>
    <w:p w14:paraId="4E4FA508">
      <w:pPr>
        <w:pStyle w:val="3"/>
        <w:tabs>
          <w:tab w:val="right" w:leader="dot" w:pos="9061"/>
        </w:tabs>
        <w:ind w:left="0"/>
        <w:jc w:val="both"/>
        <w:outlineLvl w:val="1"/>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40"/>
      <w:bookmarkEnd w:id="41"/>
      <w:bookmarkEnd w:id="42"/>
      <w:bookmarkEnd w:id="43"/>
      <w:bookmarkEnd w:id="44"/>
      <w:r>
        <w:rPr>
          <w:rFonts w:hint="eastAsia" w:ascii="黑体" w:hAnsi="黑体" w:eastAsia="黑体" w:cstheme="minorEastAsia"/>
          <w:b w:val="0"/>
          <w:sz w:val="28"/>
          <w:szCs w:val="28"/>
        </w:rPr>
        <w:t>技术协议书</w:t>
      </w:r>
    </w:p>
    <w:p w14:paraId="4BDEFD73">
      <w:pPr>
        <w:ind w:right="360"/>
        <w:rPr>
          <w:rFonts w:asciiTheme="minorEastAsia" w:hAnsiTheme="minorEastAsia" w:eastAsiaTheme="minorEastAsia" w:cstheme="minorEastAsia"/>
          <w:sz w:val="20"/>
          <w:szCs w:val="20"/>
        </w:rPr>
      </w:pPr>
    </w:p>
    <w:p w14:paraId="40B5E0F2">
      <w:pPr>
        <w:jc w:val="right"/>
        <w:rPr>
          <w:rFonts w:asciiTheme="minorEastAsia" w:hAnsiTheme="minorEastAsia" w:eastAsiaTheme="minorEastAsia" w:cstheme="minorEastAsia"/>
          <w:sz w:val="20"/>
          <w:szCs w:val="20"/>
        </w:rPr>
      </w:pPr>
    </w:p>
    <w:p w14:paraId="5B1CEBA9">
      <w:pPr>
        <w:jc w:val="right"/>
        <w:rPr>
          <w:rFonts w:asciiTheme="minorEastAsia" w:hAnsiTheme="minorEastAsia" w:eastAsiaTheme="minorEastAsia" w:cstheme="minorEastAsia"/>
          <w:sz w:val="20"/>
          <w:szCs w:val="20"/>
        </w:rPr>
      </w:pPr>
    </w:p>
    <w:p w14:paraId="661F608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8C5F286">
      <w:pPr>
        <w:jc w:val="right"/>
        <w:rPr>
          <w:rFonts w:asciiTheme="minorEastAsia" w:hAnsiTheme="minorEastAsia" w:eastAsiaTheme="minorEastAsia" w:cstheme="minorEastAsia"/>
          <w:sz w:val="20"/>
          <w:szCs w:val="20"/>
        </w:rPr>
      </w:pPr>
    </w:p>
    <w:p w14:paraId="395E1761">
      <w:pPr>
        <w:wordWrap w:val="0"/>
        <w:ind w:right="480"/>
        <w:rPr>
          <w:rFonts w:asciiTheme="minorEastAsia" w:hAnsiTheme="minorEastAsia" w:eastAsiaTheme="minorEastAsia" w:cstheme="minorEastAsia"/>
          <w:sz w:val="20"/>
          <w:szCs w:val="20"/>
        </w:rPr>
      </w:pPr>
    </w:p>
    <w:p w14:paraId="20F6DB15">
      <w:pPr>
        <w:jc w:val="right"/>
        <w:rPr>
          <w:rFonts w:ascii="楷体_GB2312" w:hAnsi="宋体" w:eastAsia="楷体_GB2312"/>
          <w:sz w:val="24"/>
        </w:rPr>
      </w:pPr>
    </w:p>
    <w:p w14:paraId="5BBE7A96">
      <w:pPr>
        <w:ind w:right="480"/>
        <w:jc w:val="center"/>
        <w:rPr>
          <w:sz w:val="24"/>
          <w:szCs w:val="24"/>
        </w:rPr>
      </w:pPr>
      <w:r>
        <w:rPr>
          <w:rFonts w:hint="eastAsia" w:ascii="楷体_GB2312" w:hAnsi="宋体" w:eastAsia="楷体_GB2312"/>
          <w:sz w:val="24"/>
        </w:rPr>
        <w:t xml:space="preserve">                                    </w:t>
      </w:r>
    </w:p>
    <w:bookmarkEnd w:id="39"/>
    <w:p w14:paraId="18E849F9">
      <w:pPr>
        <w:adjustRightInd/>
        <w:snapToGrid/>
        <w:spacing w:line="240" w:lineRule="auto"/>
        <w:jc w:val="left"/>
        <w:outlineLvl w:val="9"/>
        <w:rPr>
          <w:rFonts w:hint="eastAsia" w:ascii="方正小标宋简体" w:hAnsi="宋体" w:eastAsia="方正小标宋简体"/>
          <w:bCs/>
          <w:sz w:val="52"/>
          <w:szCs w:val="36"/>
        </w:rPr>
      </w:pPr>
      <w:bookmarkStart w:id="45" w:name="_Toc14341849"/>
      <w:r>
        <w:rPr>
          <w:rFonts w:hint="eastAsia" w:ascii="方正小标宋简体" w:hAnsi="宋体" w:eastAsia="方正小标宋简体"/>
          <w:bCs/>
          <w:sz w:val="52"/>
          <w:szCs w:val="36"/>
        </w:rPr>
        <w:br w:type="page"/>
      </w:r>
    </w:p>
    <w:p w14:paraId="110A3BB0">
      <w:pPr>
        <w:adjustRightInd w:val="0"/>
        <w:snapToGrid w:val="0"/>
        <w:spacing w:line="360" w:lineRule="auto"/>
        <w:jc w:val="center"/>
        <w:outlineLvl w:val="0"/>
        <w:rPr>
          <w:rFonts w:ascii="方正小标宋简体" w:hAnsi="宋体" w:eastAsia="方正小标宋简体"/>
          <w:sz w:val="52"/>
          <w:szCs w:val="36"/>
        </w:rPr>
      </w:pPr>
      <w:r>
        <w:rPr>
          <w:rFonts w:hint="eastAsia" w:ascii="方正小标宋简体" w:hAnsi="宋体" w:eastAsia="方正小标宋简体"/>
          <w:bCs/>
          <w:sz w:val="52"/>
          <w:szCs w:val="36"/>
        </w:rPr>
        <w:t>货物买卖合同（模板</w:t>
      </w:r>
      <w:r>
        <w:rPr>
          <w:rFonts w:hint="eastAsia" w:ascii="方正小标宋简体" w:hAnsi="宋体" w:eastAsia="方正小标宋简体"/>
          <w:bCs/>
          <w:sz w:val="52"/>
          <w:szCs w:val="36"/>
          <w:lang w:val="en-US" w:eastAsia="zh-CN"/>
        </w:rPr>
        <w:t>2</w:t>
      </w:r>
      <w:r>
        <w:rPr>
          <w:rFonts w:hint="eastAsia" w:ascii="方正小标宋简体" w:hAnsi="宋体" w:eastAsia="方正小标宋简体"/>
          <w:bCs/>
          <w:sz w:val="52"/>
          <w:szCs w:val="36"/>
        </w:rPr>
        <w:t>）</w:t>
      </w:r>
    </w:p>
    <w:p w14:paraId="5C7151A4">
      <w:pPr>
        <w:jc w:val="center"/>
        <w:outlineLvl w:val="9"/>
        <w:rPr>
          <w:sz w:val="11"/>
          <w:szCs w:val="15"/>
        </w:rPr>
      </w:pPr>
      <w:r>
        <w:rPr>
          <w:rFonts w:hint="eastAsia" w:ascii="方正小标宋简体" w:hAnsi="宋体" w:eastAsia="方正小标宋简体"/>
          <w:sz w:val="22"/>
          <w:szCs w:val="16"/>
        </w:rPr>
        <w:t>(合同以双方最终签署的版本为准)</w:t>
      </w:r>
    </w:p>
    <w:p w14:paraId="1405DC3A">
      <w:pPr>
        <w:pStyle w:val="34"/>
        <w:spacing w:line="240" w:lineRule="auto"/>
        <w:ind w:right="-290" w:rightChars="-138"/>
        <w:outlineLvl w:val="9"/>
        <w:rPr>
          <w:rFonts w:eastAsia="仿宋" w:cs="Arial"/>
        </w:rPr>
      </w:pPr>
      <w:r>
        <w:rPr>
          <w:rFonts w:eastAsia="仿宋" w:cs="Arial"/>
        </w:rPr>
        <w:t>Contract for Sale and Purchase of Commodities</w:t>
      </w:r>
    </w:p>
    <w:p w14:paraId="2930840C">
      <w:pPr>
        <w:pStyle w:val="34"/>
        <w:spacing w:line="240" w:lineRule="auto"/>
        <w:outlineLvl w:val="9"/>
        <w:rPr>
          <w:rFonts w:eastAsia="仿宋" w:cs="Arial"/>
        </w:rPr>
      </w:pPr>
      <w:r>
        <w:rPr>
          <w:rFonts w:eastAsia="仿宋" w:cs="Arial"/>
        </w:rPr>
        <w:t>货物买卖合同</w:t>
      </w:r>
    </w:p>
    <w:p w14:paraId="692B07E1">
      <w:pPr>
        <w:ind w:left="360" w:hanging="360"/>
        <w:rPr>
          <w:rFonts w:ascii="Arial" w:hAnsi="Arial" w:eastAsia="仿宋" w:cs="Arial"/>
          <w:szCs w:val="21"/>
        </w:rPr>
      </w:pPr>
    </w:p>
    <w:p w14:paraId="4A55C1DA">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14:paraId="6E02F92D">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14:paraId="5DEE5AED">
      <w:pPr>
        <w:ind w:left="360" w:hanging="360"/>
        <w:jc w:val="right"/>
        <w:rPr>
          <w:rFonts w:ascii="Arial" w:hAnsi="Arial" w:eastAsia="仿宋" w:cs="Arial"/>
          <w:sz w:val="24"/>
          <w:szCs w:val="24"/>
        </w:rPr>
      </w:pPr>
    </w:p>
    <w:p w14:paraId="43CFAA67">
      <w:pPr>
        <w:ind w:left="360" w:hanging="360"/>
        <w:jc w:val="right"/>
        <w:rPr>
          <w:rFonts w:ascii="Arial" w:hAnsi="Arial" w:cs="Arial"/>
          <w:sz w:val="24"/>
          <w:szCs w:val="24"/>
        </w:rPr>
      </w:pPr>
    </w:p>
    <w:p w14:paraId="726699A6">
      <w:pPr>
        <w:spacing w:line="240" w:lineRule="auto"/>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14:paraId="7BB69A80">
      <w:pPr>
        <w:spacing w:line="240" w:lineRule="auto"/>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14:paraId="36CEA0BC">
      <w:pPr>
        <w:spacing w:line="240" w:lineRule="auto"/>
        <w:rPr>
          <w:rFonts w:eastAsia="仿宋" w:cs="Times New Roman"/>
          <w:szCs w:val="21"/>
        </w:rPr>
      </w:pPr>
    </w:p>
    <w:p w14:paraId="7C2DE93E">
      <w:pPr>
        <w:spacing w:line="240" w:lineRule="auto"/>
        <w:rPr>
          <w:rFonts w:eastAsia="仿宋" w:cs="Times New Roman"/>
          <w:szCs w:val="21"/>
        </w:rPr>
      </w:pPr>
      <w:r>
        <w:rPr>
          <w:rFonts w:eastAsia="仿宋" w:cs="Times New Roman"/>
          <w:szCs w:val="21"/>
        </w:rPr>
        <w:t>The Buyer:</w:t>
      </w:r>
    </w:p>
    <w:p w14:paraId="0AFFF4C2">
      <w:pPr>
        <w:spacing w:line="240" w:lineRule="auto"/>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14:paraId="0C68E0FD">
      <w:pPr>
        <w:spacing w:line="240" w:lineRule="auto"/>
        <w:rPr>
          <w:rFonts w:eastAsia="仿宋" w:cs="Times New Roman"/>
          <w:szCs w:val="21"/>
        </w:rPr>
      </w:pPr>
      <w:r>
        <w:rPr>
          <w:rFonts w:eastAsia="仿宋" w:cs="Times New Roman"/>
          <w:szCs w:val="21"/>
        </w:rPr>
        <w:t xml:space="preserve">Address: </w:t>
      </w:r>
    </w:p>
    <w:p w14:paraId="2604FA25">
      <w:pPr>
        <w:spacing w:line="240" w:lineRule="auto"/>
        <w:rPr>
          <w:rFonts w:eastAsia="仿宋" w:cs="Times New Roman"/>
          <w:szCs w:val="21"/>
        </w:rPr>
      </w:pPr>
      <w:r>
        <w:rPr>
          <w:rFonts w:eastAsia="仿宋" w:cs="Times New Roman"/>
          <w:szCs w:val="21"/>
        </w:rPr>
        <w:t>地址：</w:t>
      </w:r>
    </w:p>
    <w:p w14:paraId="5960E50E">
      <w:pPr>
        <w:spacing w:line="240" w:lineRule="auto"/>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14:paraId="51B4936F">
      <w:pPr>
        <w:spacing w:line="240" w:lineRule="auto"/>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14:paraId="3044B662">
      <w:pPr>
        <w:spacing w:line="240" w:lineRule="auto"/>
        <w:rPr>
          <w:rFonts w:eastAsia="仿宋" w:cs="Times New Roman"/>
          <w:szCs w:val="21"/>
          <w:lang w:val="fr-FR"/>
        </w:rPr>
      </w:pPr>
      <w:r>
        <w:rPr>
          <w:rFonts w:eastAsia="仿宋" w:cs="Times New Roman"/>
          <w:szCs w:val="21"/>
          <w:lang w:val="fr-FR"/>
        </w:rPr>
        <w:t xml:space="preserve">Email:  </w:t>
      </w:r>
    </w:p>
    <w:p w14:paraId="49F46D39">
      <w:pPr>
        <w:spacing w:line="240" w:lineRule="auto"/>
        <w:rPr>
          <w:rFonts w:eastAsia="仿宋" w:cs="Times New Roman"/>
          <w:szCs w:val="21"/>
        </w:rPr>
      </w:pPr>
    </w:p>
    <w:p w14:paraId="11EC59D6">
      <w:pPr>
        <w:spacing w:line="240" w:lineRule="auto"/>
        <w:rPr>
          <w:rFonts w:eastAsia="仿宋" w:cs="Times New Roman"/>
          <w:szCs w:val="21"/>
          <w:lang w:val="fr-FR"/>
        </w:rPr>
      </w:pPr>
    </w:p>
    <w:p w14:paraId="5A693B8C">
      <w:pPr>
        <w:spacing w:line="240" w:lineRule="auto"/>
        <w:rPr>
          <w:rFonts w:eastAsia="仿宋" w:cs="Times New Roman"/>
          <w:szCs w:val="21"/>
          <w:lang w:val="fr-FR"/>
        </w:rPr>
      </w:pPr>
      <w:r>
        <w:rPr>
          <w:rFonts w:eastAsia="仿宋" w:cs="Times New Roman"/>
          <w:szCs w:val="21"/>
          <w:lang w:val="fr-FR"/>
        </w:rPr>
        <w:t xml:space="preserve">The Seller:  </w:t>
      </w:r>
    </w:p>
    <w:p w14:paraId="1245C384">
      <w:pPr>
        <w:spacing w:line="240" w:lineRule="auto"/>
        <w:rPr>
          <w:rFonts w:eastAsia="仿宋" w:cs="Times New Roman"/>
          <w:szCs w:val="21"/>
        </w:rPr>
      </w:pPr>
      <w:r>
        <w:rPr>
          <w:rFonts w:eastAsia="仿宋" w:cs="Times New Roman"/>
          <w:szCs w:val="21"/>
        </w:rPr>
        <w:t xml:space="preserve">卖方：      </w:t>
      </w:r>
    </w:p>
    <w:p w14:paraId="3C31B42F">
      <w:pPr>
        <w:spacing w:line="240" w:lineRule="auto"/>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14:paraId="58F0D81B">
      <w:pPr>
        <w:spacing w:line="240" w:lineRule="auto"/>
        <w:rPr>
          <w:rFonts w:eastAsia="仿宋" w:cs="Times New Roman"/>
          <w:szCs w:val="21"/>
          <w:lang w:val="fr-FR"/>
        </w:rPr>
      </w:pPr>
      <w:r>
        <w:rPr>
          <w:rFonts w:eastAsia="仿宋" w:cs="Times New Roman"/>
          <w:szCs w:val="21"/>
          <w:lang w:val="fr-FR"/>
        </w:rPr>
        <w:t xml:space="preserve">Tel:      </w:t>
      </w:r>
    </w:p>
    <w:p w14:paraId="37ACAA19">
      <w:pPr>
        <w:spacing w:line="240" w:lineRule="auto"/>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14:paraId="1FAEC4FA">
      <w:pPr>
        <w:spacing w:line="240" w:lineRule="auto"/>
        <w:rPr>
          <w:rFonts w:eastAsia="仿宋" w:cs="Times New Roman"/>
          <w:szCs w:val="21"/>
          <w:lang w:val="fr-FR"/>
        </w:rPr>
      </w:pPr>
      <w:r>
        <w:rPr>
          <w:rFonts w:eastAsia="仿宋" w:cs="Times New Roman"/>
          <w:szCs w:val="21"/>
          <w:lang w:val="fr-FR"/>
        </w:rPr>
        <w:t xml:space="preserve">Email:     </w:t>
      </w:r>
    </w:p>
    <w:p w14:paraId="29A446CA">
      <w:pPr>
        <w:spacing w:line="240" w:lineRule="auto"/>
        <w:rPr>
          <w:rFonts w:eastAsia="仿宋" w:cs="Times New Roman"/>
          <w:szCs w:val="21"/>
          <w:lang w:val="fr-FR"/>
        </w:rPr>
      </w:pPr>
    </w:p>
    <w:p w14:paraId="2536DD60">
      <w:pPr>
        <w:spacing w:line="240" w:lineRule="auto"/>
        <w:rPr>
          <w:rFonts w:eastAsia="仿宋" w:cs="Times New Roman"/>
          <w:szCs w:val="21"/>
        </w:rPr>
      </w:pPr>
    </w:p>
    <w:p w14:paraId="6E332BF2">
      <w:pPr>
        <w:spacing w:line="240" w:lineRule="auto"/>
        <w:rPr>
          <w:rFonts w:eastAsia="仿宋" w:cs="Times New Roman"/>
          <w:szCs w:val="21"/>
        </w:rPr>
      </w:pPr>
      <w:r>
        <w:rPr>
          <w:rFonts w:eastAsia="仿宋" w:cs="Times New Roman"/>
          <w:szCs w:val="21"/>
        </w:rPr>
        <w:t xml:space="preserve">The Enduser: </w:t>
      </w:r>
    </w:p>
    <w:p w14:paraId="7F32B65E">
      <w:pPr>
        <w:spacing w:line="240" w:lineRule="auto"/>
        <w:rPr>
          <w:rFonts w:eastAsia="仿宋" w:cs="Times New Roman"/>
          <w:szCs w:val="21"/>
        </w:rPr>
      </w:pPr>
      <w:r>
        <w:rPr>
          <w:rFonts w:eastAsia="仿宋" w:cs="Times New Roman"/>
          <w:szCs w:val="21"/>
        </w:rPr>
        <w:t xml:space="preserve">最终用户： </w:t>
      </w:r>
    </w:p>
    <w:p w14:paraId="2CC50C6E">
      <w:pPr>
        <w:spacing w:line="240" w:lineRule="auto"/>
        <w:rPr>
          <w:rFonts w:eastAsia="仿宋" w:cs="Times New Roman"/>
          <w:szCs w:val="21"/>
        </w:rPr>
      </w:pPr>
      <w:r>
        <w:rPr>
          <w:rFonts w:eastAsia="仿宋" w:cs="Times New Roman"/>
          <w:szCs w:val="21"/>
        </w:rPr>
        <w:t xml:space="preserve">Address:  </w:t>
      </w:r>
    </w:p>
    <w:p w14:paraId="0D880A2C">
      <w:pPr>
        <w:spacing w:line="240" w:lineRule="auto"/>
        <w:rPr>
          <w:rFonts w:eastAsia="仿宋" w:cs="Times New Roman"/>
          <w:szCs w:val="21"/>
        </w:rPr>
      </w:pPr>
      <w:r>
        <w:rPr>
          <w:rFonts w:eastAsia="仿宋" w:cs="Times New Roman"/>
          <w:szCs w:val="21"/>
        </w:rPr>
        <w:t>Tel:         </w:t>
      </w:r>
    </w:p>
    <w:p w14:paraId="7EFB67D7">
      <w:pPr>
        <w:spacing w:line="240" w:lineRule="auto"/>
        <w:rPr>
          <w:rFonts w:eastAsia="仿宋" w:cs="Times New Roman"/>
          <w:szCs w:val="21"/>
        </w:rPr>
      </w:pPr>
      <w:r>
        <w:rPr>
          <w:rFonts w:eastAsia="仿宋" w:cs="Times New Roman"/>
          <w:szCs w:val="21"/>
        </w:rPr>
        <w:t xml:space="preserve">Fax:       </w:t>
      </w:r>
    </w:p>
    <w:p w14:paraId="6088E27A">
      <w:pPr>
        <w:spacing w:line="240" w:lineRule="auto"/>
        <w:rPr>
          <w:rFonts w:eastAsia="仿宋" w:cs="Times New Roman"/>
          <w:szCs w:val="21"/>
        </w:rPr>
      </w:pPr>
      <w:r>
        <w:rPr>
          <w:rFonts w:eastAsia="仿宋" w:cs="Times New Roman"/>
          <w:szCs w:val="21"/>
        </w:rPr>
        <w:t>Email:    </w:t>
      </w:r>
    </w:p>
    <w:p w14:paraId="39B613B4">
      <w:pPr>
        <w:spacing w:line="240" w:lineRule="auto"/>
        <w:rPr>
          <w:rFonts w:eastAsia="仿宋" w:cs="Times New Roman"/>
          <w:szCs w:val="21"/>
        </w:rPr>
      </w:pPr>
      <w:r>
        <w:rPr>
          <w:rFonts w:eastAsia="仿宋" w:cs="Times New Roman"/>
          <w:b/>
          <w:szCs w:val="21"/>
        </w:rPr>
        <w:t xml:space="preserve"> </w:t>
      </w:r>
    </w:p>
    <w:p w14:paraId="5F429481">
      <w:pPr>
        <w:spacing w:line="240" w:lineRule="auto"/>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14:paraId="6FD3A7EA">
      <w:pPr>
        <w:spacing w:line="240" w:lineRule="auto"/>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14:paraId="0E381CE8">
      <w:pPr>
        <w:spacing w:line="240" w:lineRule="auto"/>
        <w:rPr>
          <w:rFonts w:eastAsia="仿宋" w:cs="Times New Roman"/>
          <w:szCs w:val="21"/>
        </w:rPr>
      </w:pPr>
    </w:p>
    <w:p w14:paraId="2C39161C">
      <w:pPr>
        <w:tabs>
          <w:tab w:val="left" w:pos="567"/>
        </w:tabs>
        <w:spacing w:line="240" w:lineRule="auto"/>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14:paraId="18AC584C">
      <w:pPr>
        <w:spacing w:line="240" w:lineRule="auto"/>
        <w:rPr>
          <w:rFonts w:eastAsia="仿宋" w:cs="Times New Roman"/>
          <w:szCs w:val="21"/>
          <w:lang w:eastAsia="zh-TW"/>
        </w:rPr>
      </w:pPr>
    </w:p>
    <w:tbl>
      <w:tblPr>
        <w:tblStyle w:val="37"/>
        <w:tblW w:w="0" w:type="auto"/>
        <w:tblInd w:w="108" w:type="dxa"/>
        <w:tblLayout w:type="fixed"/>
        <w:tblCellMar>
          <w:top w:w="0" w:type="dxa"/>
          <w:left w:w="108" w:type="dxa"/>
          <w:bottom w:w="0" w:type="dxa"/>
          <w:right w:w="108" w:type="dxa"/>
        </w:tblCellMar>
      </w:tblPr>
      <w:tblGrid>
        <w:gridCol w:w="2835"/>
        <w:gridCol w:w="284"/>
        <w:gridCol w:w="5674"/>
      </w:tblGrid>
      <w:tr w14:paraId="7C0FD789">
        <w:tblPrEx>
          <w:tblCellMar>
            <w:top w:w="0" w:type="dxa"/>
            <w:left w:w="108" w:type="dxa"/>
            <w:bottom w:w="0" w:type="dxa"/>
            <w:right w:w="108" w:type="dxa"/>
          </w:tblCellMar>
        </w:tblPrEx>
        <w:tc>
          <w:tcPr>
            <w:tcW w:w="2835" w:type="dxa"/>
          </w:tcPr>
          <w:p w14:paraId="680FE7BC">
            <w:pPr>
              <w:spacing w:line="240" w:lineRule="auto"/>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14:paraId="6B1E9F6C">
            <w:pPr>
              <w:spacing w:line="240" w:lineRule="auto"/>
              <w:rPr>
                <w:rFonts w:eastAsia="仿宋" w:cs="Times New Roman"/>
                <w:szCs w:val="21"/>
              </w:rPr>
            </w:pPr>
            <w:r>
              <w:rPr>
                <w:rFonts w:hint="eastAsia" w:eastAsia="仿宋" w:cs="Times New Roman"/>
                <w:szCs w:val="21"/>
                <w:lang w:eastAsia="zh-TW"/>
              </w:rPr>
              <w:t>贸易术语</w:t>
            </w:r>
          </w:p>
        </w:tc>
        <w:tc>
          <w:tcPr>
            <w:tcW w:w="284" w:type="dxa"/>
          </w:tcPr>
          <w:p w14:paraId="4D672911">
            <w:pPr>
              <w:spacing w:line="240" w:lineRule="auto"/>
              <w:rPr>
                <w:rFonts w:eastAsia="仿宋" w:cs="Times New Roman"/>
                <w:szCs w:val="21"/>
              </w:rPr>
            </w:pPr>
          </w:p>
        </w:tc>
        <w:tc>
          <w:tcPr>
            <w:tcW w:w="5674" w:type="dxa"/>
          </w:tcPr>
          <w:p w14:paraId="2CC1E800">
            <w:pPr>
              <w:spacing w:line="240" w:lineRule="auto"/>
              <w:rPr>
                <w:rFonts w:eastAsia="仿宋" w:cs="Times New Roman"/>
                <w:szCs w:val="21"/>
              </w:rPr>
            </w:pPr>
            <w:r>
              <w:rPr>
                <w:rFonts w:eastAsia="仿宋" w:cs="Times New Roman"/>
                <w:szCs w:val="21"/>
                <w:lang w:eastAsia="zh-TW"/>
              </w:rPr>
              <w:t>This contract uses trade terms as defined in INCOTERMS® 2020</w:t>
            </w:r>
          </w:p>
          <w:p w14:paraId="32F6F373">
            <w:pPr>
              <w:spacing w:line="240" w:lineRule="auto"/>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14:paraId="4405EFA6">
            <w:pPr>
              <w:spacing w:line="240" w:lineRule="auto"/>
              <w:rPr>
                <w:rFonts w:eastAsia="仿宋" w:cs="Times New Roman"/>
                <w:szCs w:val="21"/>
              </w:rPr>
            </w:pPr>
          </w:p>
        </w:tc>
      </w:tr>
      <w:tr w14:paraId="04174F50">
        <w:tblPrEx>
          <w:tblCellMar>
            <w:top w:w="0" w:type="dxa"/>
            <w:left w:w="108" w:type="dxa"/>
            <w:bottom w:w="0" w:type="dxa"/>
            <w:right w:w="108" w:type="dxa"/>
          </w:tblCellMar>
        </w:tblPrEx>
        <w:tc>
          <w:tcPr>
            <w:tcW w:w="2835" w:type="dxa"/>
          </w:tcPr>
          <w:p w14:paraId="5705BCB0">
            <w:pPr>
              <w:spacing w:line="240" w:lineRule="auto"/>
              <w:rPr>
                <w:rFonts w:eastAsia="仿宋" w:cs="Times New Roman"/>
                <w:szCs w:val="21"/>
              </w:rPr>
            </w:pPr>
            <w:r>
              <w:rPr>
                <w:rFonts w:eastAsia="仿宋" w:cs="Times New Roman"/>
                <w:szCs w:val="21"/>
                <w:lang w:eastAsia="zh-TW"/>
              </w:rPr>
              <w:t>Contract Value</w:t>
            </w:r>
          </w:p>
          <w:p w14:paraId="6AEA020C">
            <w:pPr>
              <w:spacing w:line="240" w:lineRule="auto"/>
              <w:rPr>
                <w:rFonts w:eastAsia="仿宋" w:cs="Times New Roman"/>
                <w:szCs w:val="21"/>
              </w:rPr>
            </w:pPr>
            <w:r>
              <w:rPr>
                <w:rFonts w:eastAsia="仿宋" w:cs="Times New Roman"/>
                <w:szCs w:val="21"/>
              </w:rPr>
              <w:t>合同价格</w:t>
            </w:r>
          </w:p>
        </w:tc>
        <w:tc>
          <w:tcPr>
            <w:tcW w:w="284" w:type="dxa"/>
          </w:tcPr>
          <w:p w14:paraId="6E855C44">
            <w:pPr>
              <w:spacing w:line="240" w:lineRule="auto"/>
              <w:rPr>
                <w:rFonts w:eastAsia="仿宋" w:cs="Times New Roman"/>
                <w:szCs w:val="21"/>
                <w:lang w:eastAsia="zh-TW"/>
              </w:rPr>
            </w:pPr>
          </w:p>
        </w:tc>
        <w:tc>
          <w:tcPr>
            <w:tcW w:w="5674" w:type="dxa"/>
          </w:tcPr>
          <w:p w14:paraId="7295859B">
            <w:pPr>
              <w:spacing w:line="240" w:lineRule="auto"/>
              <w:rPr>
                <w:rFonts w:eastAsia="仿宋" w:cs="Times New Roman"/>
                <w:szCs w:val="21"/>
                <w:lang w:val="en"/>
              </w:rPr>
            </w:pPr>
            <w:r>
              <w:rPr>
                <w:rFonts w:eastAsia="仿宋" w:cs="Times New Roman"/>
                <w:szCs w:val="21"/>
                <w:lang w:val="en"/>
              </w:rPr>
              <w:t>means the total price for the Commodities under this Contract as specified in Article 10</w:t>
            </w:r>
          </w:p>
          <w:p w14:paraId="791C94DE">
            <w:pPr>
              <w:spacing w:line="240" w:lineRule="auto"/>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14:paraId="19CD4A57">
        <w:tblPrEx>
          <w:tblCellMar>
            <w:top w:w="0" w:type="dxa"/>
            <w:left w:w="108" w:type="dxa"/>
            <w:bottom w:w="0" w:type="dxa"/>
            <w:right w:w="108" w:type="dxa"/>
          </w:tblCellMar>
        </w:tblPrEx>
        <w:tc>
          <w:tcPr>
            <w:tcW w:w="2835" w:type="dxa"/>
          </w:tcPr>
          <w:p w14:paraId="45D26392">
            <w:pPr>
              <w:spacing w:line="240" w:lineRule="auto"/>
              <w:rPr>
                <w:rFonts w:eastAsia="仿宋" w:cs="Times New Roman"/>
                <w:szCs w:val="21"/>
              </w:rPr>
            </w:pPr>
            <w:r>
              <w:rPr>
                <w:rFonts w:eastAsia="仿宋" w:cs="Times New Roman"/>
                <w:szCs w:val="21"/>
                <w:lang w:eastAsia="zh-TW"/>
              </w:rPr>
              <w:t>Commodities</w:t>
            </w:r>
          </w:p>
          <w:p w14:paraId="0640ADB5">
            <w:pPr>
              <w:spacing w:line="240" w:lineRule="auto"/>
              <w:rPr>
                <w:rFonts w:eastAsia="仿宋" w:cs="Times New Roman"/>
                <w:szCs w:val="21"/>
              </w:rPr>
            </w:pPr>
            <w:r>
              <w:rPr>
                <w:rFonts w:eastAsia="仿宋" w:cs="Times New Roman"/>
                <w:szCs w:val="21"/>
              </w:rPr>
              <w:t>货物</w:t>
            </w:r>
          </w:p>
        </w:tc>
        <w:tc>
          <w:tcPr>
            <w:tcW w:w="284" w:type="dxa"/>
          </w:tcPr>
          <w:p w14:paraId="7F103EA6">
            <w:pPr>
              <w:spacing w:line="240" w:lineRule="auto"/>
              <w:rPr>
                <w:rFonts w:eastAsia="仿宋" w:cs="Times New Roman"/>
                <w:szCs w:val="21"/>
                <w:lang w:eastAsia="zh-TW"/>
              </w:rPr>
            </w:pPr>
          </w:p>
        </w:tc>
        <w:tc>
          <w:tcPr>
            <w:tcW w:w="5674" w:type="dxa"/>
          </w:tcPr>
          <w:p w14:paraId="36B7AB95">
            <w:pPr>
              <w:spacing w:line="240" w:lineRule="auto"/>
            </w:pPr>
            <w:r>
              <w:rPr>
                <w:rFonts w:hint="eastAsia"/>
              </w:rPr>
              <w:t>means the products including relevant technologies and  software supplied by the Seller to the Buyer as described in Article 2</w:t>
            </w:r>
          </w:p>
          <w:p w14:paraId="05C085AB">
            <w:pPr>
              <w:spacing w:line="240" w:lineRule="auto"/>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14:paraId="022ADC38">
        <w:tblPrEx>
          <w:tblCellMar>
            <w:top w:w="0" w:type="dxa"/>
            <w:left w:w="108" w:type="dxa"/>
            <w:bottom w:w="0" w:type="dxa"/>
            <w:right w:w="108" w:type="dxa"/>
          </w:tblCellMar>
        </w:tblPrEx>
        <w:tc>
          <w:tcPr>
            <w:tcW w:w="2835" w:type="dxa"/>
          </w:tcPr>
          <w:p w14:paraId="542DEBDA">
            <w:pPr>
              <w:spacing w:line="240" w:lineRule="auto"/>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14:paraId="7E6084F3">
            <w:pPr>
              <w:spacing w:line="240" w:lineRule="auto"/>
              <w:rPr>
                <w:rFonts w:eastAsia="仿宋" w:cs="Times New Roman"/>
                <w:szCs w:val="21"/>
              </w:rPr>
            </w:pPr>
            <w:r>
              <w:rPr>
                <w:rFonts w:eastAsia="仿宋" w:cs="Times New Roman"/>
                <w:szCs w:val="21"/>
              </w:rPr>
              <w:t>不可抗力</w:t>
            </w:r>
          </w:p>
        </w:tc>
        <w:tc>
          <w:tcPr>
            <w:tcW w:w="284" w:type="dxa"/>
          </w:tcPr>
          <w:p w14:paraId="590F326A">
            <w:pPr>
              <w:spacing w:line="240" w:lineRule="auto"/>
              <w:rPr>
                <w:rFonts w:eastAsia="仿宋" w:cs="Times New Roman"/>
                <w:szCs w:val="21"/>
                <w:lang w:eastAsia="zh-TW"/>
              </w:rPr>
            </w:pPr>
          </w:p>
        </w:tc>
        <w:tc>
          <w:tcPr>
            <w:tcW w:w="5674" w:type="dxa"/>
          </w:tcPr>
          <w:p w14:paraId="5BEF2642">
            <w:pPr>
              <w:spacing w:line="240" w:lineRule="auto"/>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14:paraId="0760FA22">
            <w:pPr>
              <w:spacing w:line="240" w:lineRule="auto"/>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14:paraId="7A0BF2CE">
        <w:tblPrEx>
          <w:tblCellMar>
            <w:top w:w="0" w:type="dxa"/>
            <w:left w:w="108" w:type="dxa"/>
            <w:bottom w:w="0" w:type="dxa"/>
            <w:right w:w="108" w:type="dxa"/>
          </w:tblCellMar>
        </w:tblPrEx>
        <w:tc>
          <w:tcPr>
            <w:tcW w:w="2835" w:type="dxa"/>
          </w:tcPr>
          <w:p w14:paraId="1789F792">
            <w:pPr>
              <w:spacing w:line="240" w:lineRule="auto"/>
              <w:rPr>
                <w:rFonts w:eastAsia="仿宋" w:cs="Times New Roman"/>
                <w:szCs w:val="21"/>
              </w:rPr>
            </w:pPr>
            <w:r>
              <w:rPr>
                <w:rFonts w:eastAsia="仿宋" w:cs="Times New Roman"/>
                <w:szCs w:val="21"/>
                <w:lang w:eastAsia="zh-TW"/>
              </w:rPr>
              <w:t>Party</w:t>
            </w:r>
          </w:p>
          <w:p w14:paraId="1A1AA366">
            <w:pPr>
              <w:spacing w:line="240" w:lineRule="auto"/>
              <w:rPr>
                <w:rFonts w:eastAsia="仿宋" w:cs="Times New Roman"/>
                <w:szCs w:val="21"/>
              </w:rPr>
            </w:pPr>
            <w:r>
              <w:rPr>
                <w:rFonts w:eastAsia="仿宋" w:cs="Times New Roman"/>
                <w:szCs w:val="21"/>
              </w:rPr>
              <w:t>当事方</w:t>
            </w:r>
          </w:p>
        </w:tc>
        <w:tc>
          <w:tcPr>
            <w:tcW w:w="284" w:type="dxa"/>
          </w:tcPr>
          <w:p w14:paraId="66E12278">
            <w:pPr>
              <w:spacing w:line="240" w:lineRule="auto"/>
              <w:rPr>
                <w:rFonts w:eastAsia="仿宋" w:cs="Times New Roman"/>
                <w:szCs w:val="21"/>
                <w:lang w:eastAsia="zh-TW"/>
              </w:rPr>
            </w:pPr>
          </w:p>
        </w:tc>
        <w:tc>
          <w:tcPr>
            <w:tcW w:w="5674" w:type="dxa"/>
          </w:tcPr>
          <w:p w14:paraId="51DAA698">
            <w:pPr>
              <w:spacing w:line="240" w:lineRule="auto"/>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p>
          <w:p w14:paraId="3F7A4516">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14:paraId="5B851B26">
        <w:tblPrEx>
          <w:tblCellMar>
            <w:top w:w="0" w:type="dxa"/>
            <w:left w:w="108" w:type="dxa"/>
            <w:bottom w:w="0" w:type="dxa"/>
            <w:right w:w="108" w:type="dxa"/>
          </w:tblCellMar>
        </w:tblPrEx>
        <w:tc>
          <w:tcPr>
            <w:tcW w:w="2835" w:type="dxa"/>
          </w:tcPr>
          <w:p w14:paraId="23D447E7">
            <w:pPr>
              <w:spacing w:line="240" w:lineRule="auto"/>
              <w:rPr>
                <w:rFonts w:eastAsia="仿宋" w:cs="Times New Roman"/>
                <w:szCs w:val="21"/>
              </w:rPr>
            </w:pPr>
            <w:r>
              <w:rPr>
                <w:rFonts w:eastAsia="仿宋" w:cs="Times New Roman"/>
                <w:szCs w:val="21"/>
                <w:lang w:eastAsia="zh-TW"/>
              </w:rPr>
              <w:t>Parties</w:t>
            </w:r>
          </w:p>
          <w:p w14:paraId="450216D6">
            <w:pPr>
              <w:spacing w:line="240" w:lineRule="auto"/>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14:paraId="5085E71F">
            <w:pPr>
              <w:spacing w:line="240" w:lineRule="auto"/>
              <w:rPr>
                <w:rFonts w:eastAsia="仿宋" w:cs="Times New Roman"/>
                <w:szCs w:val="21"/>
                <w:lang w:eastAsia="zh-TW"/>
              </w:rPr>
            </w:pPr>
          </w:p>
        </w:tc>
        <w:tc>
          <w:tcPr>
            <w:tcW w:w="5674" w:type="dxa"/>
          </w:tcPr>
          <w:p w14:paraId="7D0B02DA">
            <w:pPr>
              <w:spacing w:line="240" w:lineRule="auto"/>
              <w:rPr>
                <w:rFonts w:eastAsia="仿宋" w:cs="Times New Roman"/>
                <w:szCs w:val="21"/>
                <w:lang w:eastAsia="zh-TW"/>
              </w:rPr>
            </w:pPr>
            <w:r>
              <w:rPr>
                <w:rFonts w:hint="eastAsia" w:eastAsia="仿宋" w:cs="Times New Roman"/>
                <w:szCs w:val="21"/>
                <w:lang w:eastAsia="zh-TW"/>
              </w:rPr>
              <w:t>means the Seller, the Buyer and the Enduser collectively</w:t>
            </w:r>
          </w:p>
          <w:p w14:paraId="23571917">
            <w:pPr>
              <w:spacing w:line="240" w:lineRule="auto"/>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14:paraId="0761F0ED">
        <w:tblPrEx>
          <w:tblCellMar>
            <w:top w:w="0" w:type="dxa"/>
            <w:left w:w="108" w:type="dxa"/>
            <w:bottom w:w="0" w:type="dxa"/>
            <w:right w:w="108" w:type="dxa"/>
          </w:tblCellMar>
        </w:tblPrEx>
        <w:tc>
          <w:tcPr>
            <w:tcW w:w="2835" w:type="dxa"/>
          </w:tcPr>
          <w:p w14:paraId="4456BF93">
            <w:pPr>
              <w:spacing w:line="240" w:lineRule="auto"/>
              <w:rPr>
                <w:rFonts w:eastAsia="仿宋" w:cs="Times New Roman"/>
                <w:szCs w:val="21"/>
              </w:rPr>
            </w:pPr>
            <w:r>
              <w:rPr>
                <w:rFonts w:eastAsia="仿宋" w:cs="Times New Roman"/>
                <w:szCs w:val="21"/>
                <w:lang w:eastAsia="zh-TW"/>
              </w:rPr>
              <w:t>PRC</w:t>
            </w:r>
          </w:p>
          <w:p w14:paraId="22F2E91D">
            <w:pPr>
              <w:spacing w:line="240" w:lineRule="auto"/>
              <w:rPr>
                <w:rFonts w:eastAsia="仿宋" w:cs="Times New Roman"/>
                <w:szCs w:val="21"/>
              </w:rPr>
            </w:pPr>
            <w:r>
              <w:rPr>
                <w:rFonts w:hint="eastAsia" w:eastAsia="仿宋" w:cs="Times New Roman"/>
                <w:szCs w:val="21"/>
              </w:rPr>
              <w:t>中国</w:t>
            </w:r>
          </w:p>
        </w:tc>
        <w:tc>
          <w:tcPr>
            <w:tcW w:w="284" w:type="dxa"/>
          </w:tcPr>
          <w:p w14:paraId="31480BC5">
            <w:pPr>
              <w:spacing w:line="240" w:lineRule="auto"/>
              <w:rPr>
                <w:rFonts w:eastAsia="仿宋" w:cs="Times New Roman"/>
                <w:szCs w:val="21"/>
                <w:lang w:eastAsia="zh-TW"/>
              </w:rPr>
            </w:pPr>
          </w:p>
        </w:tc>
        <w:tc>
          <w:tcPr>
            <w:tcW w:w="5674" w:type="dxa"/>
          </w:tcPr>
          <w:p w14:paraId="0EE11670">
            <w:pPr>
              <w:spacing w:line="240" w:lineRule="auto"/>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14:paraId="43B3E918">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14:paraId="25C5D9B8">
        <w:tblPrEx>
          <w:tblCellMar>
            <w:top w:w="0" w:type="dxa"/>
            <w:left w:w="108" w:type="dxa"/>
            <w:bottom w:w="0" w:type="dxa"/>
            <w:right w:w="108" w:type="dxa"/>
          </w:tblCellMar>
        </w:tblPrEx>
        <w:tc>
          <w:tcPr>
            <w:tcW w:w="2835" w:type="dxa"/>
          </w:tcPr>
          <w:p w14:paraId="2A902D15">
            <w:pPr>
              <w:spacing w:line="240" w:lineRule="auto"/>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14:paraId="4498E386">
            <w:pPr>
              <w:spacing w:line="240" w:lineRule="auto"/>
              <w:rPr>
                <w:rFonts w:eastAsia="仿宋" w:cs="Times New Roman"/>
                <w:szCs w:val="21"/>
              </w:rPr>
            </w:pPr>
            <w:r>
              <w:rPr>
                <w:rFonts w:eastAsia="仿宋" w:cs="Times New Roman"/>
                <w:szCs w:val="21"/>
              </w:rPr>
              <w:t>交货时间表</w:t>
            </w:r>
          </w:p>
        </w:tc>
        <w:tc>
          <w:tcPr>
            <w:tcW w:w="284" w:type="dxa"/>
          </w:tcPr>
          <w:p w14:paraId="3D193F9B">
            <w:pPr>
              <w:spacing w:line="240" w:lineRule="auto"/>
              <w:rPr>
                <w:rFonts w:eastAsia="仿宋" w:cs="Times New Roman"/>
                <w:szCs w:val="21"/>
                <w:lang w:eastAsia="zh-TW"/>
              </w:rPr>
            </w:pPr>
          </w:p>
        </w:tc>
        <w:tc>
          <w:tcPr>
            <w:tcW w:w="5674" w:type="dxa"/>
          </w:tcPr>
          <w:p w14:paraId="18481918">
            <w:pPr>
              <w:spacing w:line="240" w:lineRule="auto"/>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14:paraId="257C847C">
            <w:pPr>
              <w:spacing w:line="240" w:lineRule="auto"/>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14:paraId="11757035">
        <w:tblPrEx>
          <w:tblCellMar>
            <w:top w:w="0" w:type="dxa"/>
            <w:left w:w="108" w:type="dxa"/>
            <w:bottom w:w="0" w:type="dxa"/>
            <w:right w:w="108" w:type="dxa"/>
          </w:tblCellMar>
        </w:tblPrEx>
        <w:tc>
          <w:tcPr>
            <w:tcW w:w="2835" w:type="dxa"/>
          </w:tcPr>
          <w:p w14:paraId="0241DA90">
            <w:pPr>
              <w:spacing w:line="240" w:lineRule="auto"/>
              <w:rPr>
                <w:rFonts w:eastAsia="仿宋" w:cs="Times New Roman"/>
                <w:szCs w:val="21"/>
                <w:lang w:eastAsia="zh-TW"/>
              </w:rPr>
            </w:pPr>
            <w:r>
              <w:rPr>
                <w:rFonts w:eastAsia="仿宋" w:cs="Times New Roman"/>
                <w:szCs w:val="21"/>
                <w:lang w:eastAsia="zh-TW"/>
              </w:rPr>
              <w:t>Technical Agreement</w:t>
            </w:r>
          </w:p>
          <w:p w14:paraId="7033E78B">
            <w:pPr>
              <w:spacing w:line="240" w:lineRule="auto"/>
              <w:rPr>
                <w:rFonts w:eastAsia="仿宋" w:cs="Times New Roman"/>
                <w:szCs w:val="21"/>
              </w:rPr>
            </w:pPr>
            <w:r>
              <w:rPr>
                <w:rFonts w:eastAsia="仿宋" w:cs="Times New Roman"/>
                <w:szCs w:val="21"/>
              </w:rPr>
              <w:t>技术协议</w:t>
            </w:r>
          </w:p>
        </w:tc>
        <w:tc>
          <w:tcPr>
            <w:tcW w:w="284" w:type="dxa"/>
          </w:tcPr>
          <w:p w14:paraId="415A33F2">
            <w:pPr>
              <w:spacing w:line="240" w:lineRule="auto"/>
              <w:rPr>
                <w:rFonts w:eastAsia="仿宋" w:cs="Times New Roman"/>
                <w:szCs w:val="21"/>
                <w:lang w:eastAsia="zh-TW"/>
              </w:rPr>
            </w:pPr>
          </w:p>
        </w:tc>
        <w:tc>
          <w:tcPr>
            <w:tcW w:w="5674" w:type="dxa"/>
          </w:tcPr>
          <w:p w14:paraId="2343D281">
            <w:pPr>
              <w:spacing w:line="240" w:lineRule="auto"/>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1D299762">
            <w:pPr>
              <w:spacing w:line="240" w:lineRule="auto"/>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14:paraId="21AE1B90">
        <w:tblPrEx>
          <w:tblCellMar>
            <w:top w:w="0" w:type="dxa"/>
            <w:left w:w="108" w:type="dxa"/>
            <w:bottom w:w="0" w:type="dxa"/>
            <w:right w:w="108" w:type="dxa"/>
          </w:tblCellMar>
        </w:tblPrEx>
        <w:tc>
          <w:tcPr>
            <w:tcW w:w="2835" w:type="dxa"/>
          </w:tcPr>
          <w:p w14:paraId="36CC82AD">
            <w:pPr>
              <w:spacing w:line="240" w:lineRule="auto"/>
              <w:jc w:val="left"/>
              <w:rPr>
                <w:rFonts w:eastAsia="仿宋" w:cs="Times New Roman"/>
                <w:szCs w:val="21"/>
                <w:lang w:eastAsia="zh-TW"/>
              </w:rPr>
            </w:pPr>
            <w:r>
              <w:rPr>
                <w:rFonts w:eastAsia="仿宋" w:cs="Times New Roman"/>
                <w:szCs w:val="21"/>
                <w:lang w:eastAsia="zh-TW"/>
              </w:rPr>
              <w:t>Quality Guarantee Agreement</w:t>
            </w:r>
          </w:p>
          <w:p w14:paraId="6716A86B">
            <w:pPr>
              <w:spacing w:line="240" w:lineRule="auto"/>
              <w:rPr>
                <w:rFonts w:eastAsia="仿宋" w:cs="Times New Roman"/>
                <w:szCs w:val="21"/>
              </w:rPr>
            </w:pPr>
            <w:r>
              <w:rPr>
                <w:rFonts w:hint="eastAsia" w:eastAsia="仿宋" w:cs="Times New Roman"/>
                <w:szCs w:val="21"/>
              </w:rPr>
              <w:t>质量保证协议</w:t>
            </w:r>
          </w:p>
          <w:p w14:paraId="641CA8B2">
            <w:pPr>
              <w:spacing w:line="240" w:lineRule="auto"/>
              <w:rPr>
                <w:rFonts w:eastAsia="仿宋" w:cs="Times New Roman"/>
                <w:szCs w:val="21"/>
              </w:rPr>
            </w:pPr>
            <w:r>
              <w:rPr>
                <w:rFonts w:hint="eastAsia" w:eastAsia="仿宋" w:cs="Times New Roman"/>
                <w:i/>
                <w:iCs/>
                <w:szCs w:val="21"/>
              </w:rPr>
              <w:t>（如有）</w:t>
            </w:r>
          </w:p>
        </w:tc>
        <w:tc>
          <w:tcPr>
            <w:tcW w:w="284" w:type="dxa"/>
          </w:tcPr>
          <w:p w14:paraId="4B50E05B">
            <w:pPr>
              <w:spacing w:line="240" w:lineRule="auto"/>
              <w:rPr>
                <w:rFonts w:eastAsia="仿宋" w:cs="Times New Roman"/>
                <w:szCs w:val="21"/>
                <w:lang w:eastAsia="zh-TW"/>
              </w:rPr>
            </w:pPr>
          </w:p>
        </w:tc>
        <w:tc>
          <w:tcPr>
            <w:tcW w:w="5674" w:type="dxa"/>
          </w:tcPr>
          <w:p w14:paraId="4EAD5A73">
            <w:pPr>
              <w:spacing w:line="240" w:lineRule="auto"/>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55B9A664">
            <w:pPr>
              <w:spacing w:line="240" w:lineRule="auto"/>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14:paraId="03B28177">
        <w:tblPrEx>
          <w:tblCellMar>
            <w:top w:w="0" w:type="dxa"/>
            <w:left w:w="108" w:type="dxa"/>
            <w:bottom w:w="0" w:type="dxa"/>
            <w:right w:w="108" w:type="dxa"/>
          </w:tblCellMar>
        </w:tblPrEx>
        <w:tc>
          <w:tcPr>
            <w:tcW w:w="2835" w:type="dxa"/>
          </w:tcPr>
          <w:p w14:paraId="57D886E8">
            <w:pPr>
              <w:spacing w:line="240" w:lineRule="auto"/>
              <w:jc w:val="left"/>
              <w:rPr>
                <w:rFonts w:eastAsia="楷体_GB2312" w:cs="Times New Roman"/>
                <w:iCs/>
                <w:szCs w:val="21"/>
              </w:rPr>
            </w:pPr>
            <w:r>
              <w:rPr>
                <w:rFonts w:eastAsia="楷体_GB2312" w:cs="Times New Roman"/>
                <w:iCs/>
                <w:szCs w:val="21"/>
              </w:rPr>
              <w:t>Final Acceptance</w:t>
            </w:r>
          </w:p>
          <w:p w14:paraId="0C40DF4C">
            <w:pPr>
              <w:spacing w:line="240" w:lineRule="auto"/>
              <w:jc w:val="left"/>
              <w:rPr>
                <w:rFonts w:ascii="Arial" w:hAnsi="Arial" w:eastAsia="楷体_GB2312"/>
                <w:iCs/>
                <w:szCs w:val="21"/>
              </w:rPr>
            </w:pPr>
            <w:r>
              <w:rPr>
                <w:rFonts w:hint="eastAsia" w:ascii="Arial" w:hAnsi="Arial" w:eastAsia="楷体_GB2312"/>
                <w:iCs/>
                <w:szCs w:val="21"/>
              </w:rPr>
              <w:t>最终验收</w:t>
            </w:r>
          </w:p>
        </w:tc>
        <w:tc>
          <w:tcPr>
            <w:tcW w:w="284" w:type="dxa"/>
          </w:tcPr>
          <w:p w14:paraId="6EA08E8E">
            <w:pPr>
              <w:spacing w:line="240" w:lineRule="auto"/>
              <w:rPr>
                <w:rFonts w:eastAsia="仿宋" w:cs="Times New Roman"/>
                <w:szCs w:val="21"/>
                <w:lang w:eastAsia="zh-TW"/>
              </w:rPr>
            </w:pPr>
          </w:p>
        </w:tc>
        <w:tc>
          <w:tcPr>
            <w:tcW w:w="5674" w:type="dxa"/>
          </w:tcPr>
          <w:p w14:paraId="4AC1988F">
            <w:pPr>
              <w:spacing w:line="240" w:lineRule="auto"/>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14:paraId="556E79F9">
            <w:pPr>
              <w:spacing w:line="240" w:lineRule="auto"/>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14:paraId="1B049C34">
        <w:tblPrEx>
          <w:tblCellMar>
            <w:top w:w="0" w:type="dxa"/>
            <w:left w:w="108" w:type="dxa"/>
            <w:bottom w:w="0" w:type="dxa"/>
            <w:right w:w="108" w:type="dxa"/>
          </w:tblCellMar>
        </w:tblPrEx>
        <w:tc>
          <w:tcPr>
            <w:tcW w:w="2835" w:type="dxa"/>
          </w:tcPr>
          <w:p w14:paraId="4D6F3400">
            <w:pPr>
              <w:spacing w:line="240" w:lineRule="auto"/>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14:paraId="1AF47DB5">
            <w:pPr>
              <w:spacing w:line="240" w:lineRule="auto"/>
              <w:rPr>
                <w:rFonts w:eastAsia="仿宋" w:cs="Times New Roman"/>
                <w:szCs w:val="21"/>
              </w:rPr>
            </w:pPr>
            <w:r>
              <w:rPr>
                <w:rFonts w:ascii="仿宋" w:hAnsi="仿宋" w:eastAsia="仿宋" w:cs="Arial"/>
                <w:szCs w:val="21"/>
              </w:rPr>
              <w:t>最终用户</w:t>
            </w:r>
          </w:p>
        </w:tc>
        <w:tc>
          <w:tcPr>
            <w:tcW w:w="284" w:type="dxa"/>
          </w:tcPr>
          <w:p w14:paraId="589D7E28">
            <w:pPr>
              <w:spacing w:line="240" w:lineRule="auto"/>
              <w:rPr>
                <w:rFonts w:eastAsia="仿宋" w:cs="Times New Roman"/>
                <w:szCs w:val="21"/>
                <w:lang w:eastAsia="zh-TW"/>
              </w:rPr>
            </w:pPr>
          </w:p>
        </w:tc>
        <w:tc>
          <w:tcPr>
            <w:tcW w:w="5674" w:type="dxa"/>
          </w:tcPr>
          <w:p w14:paraId="1F887796">
            <w:pPr>
              <w:spacing w:line="240" w:lineRule="auto"/>
              <w:rPr>
                <w:rFonts w:eastAsia="仿宋" w:cs="Times New Roman"/>
                <w:szCs w:val="21"/>
              </w:rPr>
            </w:pPr>
            <w:r>
              <w:rPr>
                <w:rFonts w:eastAsia="仿宋" w:cs="Times New Roman"/>
                <w:szCs w:val="21"/>
              </w:rPr>
              <w:t>means the company (</w:t>
            </w:r>
            <w:r>
              <w:rPr>
                <w:rFonts w:hint="eastAsia" w:eastAsia="仿宋" w:cs="Times New Roman"/>
                <w:szCs w:val="21"/>
              </w:rPr>
              <w:t>【公司英文名称】</w:t>
            </w:r>
            <w:r>
              <w:rPr>
                <w:rFonts w:eastAsia="仿宋" w:cs="Times New Roman"/>
                <w:szCs w:val="21"/>
              </w:rPr>
              <w:t>) at whose designated premises the Commodities under this Contract will be installed and used</w:t>
            </w:r>
          </w:p>
          <w:p w14:paraId="5669F291">
            <w:pPr>
              <w:spacing w:line="240" w:lineRule="auto"/>
              <w:rPr>
                <w:rFonts w:eastAsia="仿宋" w:cs="Times New Roman"/>
                <w:szCs w:val="21"/>
              </w:rPr>
            </w:pPr>
            <w:r>
              <w:rPr>
                <w:rFonts w:eastAsia="仿宋" w:cs="Times New Roman"/>
                <w:szCs w:val="21"/>
              </w:rPr>
              <w:t>本合同项下设备的安装和使用方，即</w:t>
            </w:r>
            <w:r>
              <w:rPr>
                <w:rFonts w:hint="eastAsia" w:eastAsia="仿宋" w:cs="Times New Roman"/>
                <w:szCs w:val="21"/>
              </w:rPr>
              <w:t>【公司中文名称】</w:t>
            </w:r>
          </w:p>
        </w:tc>
      </w:tr>
    </w:tbl>
    <w:p w14:paraId="73D8249E">
      <w:pPr>
        <w:spacing w:line="240" w:lineRule="auto"/>
        <w:rPr>
          <w:rFonts w:eastAsia="仿宋" w:cs="Times New Roman"/>
          <w:szCs w:val="21"/>
        </w:rPr>
      </w:pPr>
      <w:r>
        <w:rPr>
          <w:rFonts w:eastAsia="仿宋" w:cs="Times New Roman"/>
          <w:szCs w:val="21"/>
        </w:rPr>
        <w:t xml:space="preserve"> </w:t>
      </w:r>
    </w:p>
    <w:p w14:paraId="4BCFB697">
      <w:pPr>
        <w:tabs>
          <w:tab w:val="left" w:pos="567"/>
        </w:tabs>
        <w:spacing w:line="240" w:lineRule="auto"/>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14:paraId="2679974E">
      <w:pPr>
        <w:spacing w:line="240" w:lineRule="auto"/>
        <w:ind w:left="360" w:hanging="360"/>
        <w:rPr>
          <w:rFonts w:eastAsia="仿宋" w:cs="Times New Roman"/>
          <w:szCs w:val="21"/>
          <w:lang w:eastAsia="zh-TW"/>
        </w:rPr>
      </w:pPr>
    </w:p>
    <w:p w14:paraId="7383D8CE">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a)</w:t>
      </w: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14:paraId="5D72B60C">
      <w:pPr>
        <w:spacing w:line="240" w:lineRule="auto"/>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14:paraId="129624BC">
      <w:pPr>
        <w:spacing w:line="240" w:lineRule="auto"/>
        <w:ind w:left="840"/>
        <w:rPr>
          <w:rFonts w:eastAsia="仿宋" w:cs="Times New Roman"/>
          <w:szCs w:val="21"/>
        </w:rPr>
      </w:pPr>
    </w:p>
    <w:tbl>
      <w:tblPr>
        <w:tblStyle w:val="37"/>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14:paraId="4174F312">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14:paraId="02E18465">
            <w:pPr>
              <w:spacing w:line="240" w:lineRule="auto"/>
              <w:jc w:val="center"/>
              <w:rPr>
                <w:rFonts w:eastAsia="仿宋" w:cs="Times New Roman"/>
                <w:szCs w:val="21"/>
              </w:rPr>
            </w:pPr>
            <w:r>
              <w:rPr>
                <w:rFonts w:eastAsia="仿宋" w:cs="Times New Roman"/>
                <w:szCs w:val="21"/>
              </w:rPr>
              <w:t>Item</w:t>
            </w:r>
          </w:p>
          <w:p w14:paraId="01EC63EF">
            <w:pPr>
              <w:spacing w:line="240" w:lineRule="auto"/>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14:paraId="4C0138AF">
            <w:pPr>
              <w:spacing w:line="240" w:lineRule="auto"/>
              <w:jc w:val="center"/>
              <w:rPr>
                <w:rFonts w:eastAsia="仿宋" w:cs="Times New Roman"/>
                <w:szCs w:val="21"/>
              </w:rPr>
            </w:pPr>
            <w:r>
              <w:rPr>
                <w:rFonts w:eastAsia="仿宋" w:cs="Times New Roman"/>
                <w:szCs w:val="21"/>
              </w:rPr>
              <w:t>Description</w:t>
            </w:r>
          </w:p>
          <w:p w14:paraId="53EEBD55">
            <w:pPr>
              <w:spacing w:line="240" w:lineRule="auto"/>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14:paraId="6823E1A8">
            <w:pPr>
              <w:spacing w:line="240" w:lineRule="auto"/>
              <w:jc w:val="center"/>
              <w:rPr>
                <w:rFonts w:eastAsia="仿宋" w:cs="Times New Roman"/>
                <w:szCs w:val="21"/>
              </w:rPr>
            </w:pPr>
            <w:r>
              <w:rPr>
                <w:rFonts w:eastAsia="仿宋" w:cs="Times New Roman"/>
                <w:szCs w:val="21"/>
              </w:rPr>
              <w:t>Unit</w:t>
            </w:r>
          </w:p>
          <w:p w14:paraId="46CF90A1">
            <w:pPr>
              <w:spacing w:line="240" w:lineRule="auto"/>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14:paraId="205BE38B">
            <w:pPr>
              <w:spacing w:line="240" w:lineRule="auto"/>
              <w:jc w:val="center"/>
              <w:rPr>
                <w:rFonts w:eastAsia="仿宋" w:cs="Times New Roman"/>
                <w:szCs w:val="21"/>
              </w:rPr>
            </w:pPr>
            <w:r>
              <w:rPr>
                <w:rFonts w:eastAsia="仿宋" w:cs="Times New Roman"/>
                <w:szCs w:val="21"/>
              </w:rPr>
              <w:t>Qty</w:t>
            </w:r>
          </w:p>
          <w:p w14:paraId="5B0E89A2">
            <w:pPr>
              <w:spacing w:line="240" w:lineRule="auto"/>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14:paraId="1C8F4E53">
            <w:pPr>
              <w:spacing w:line="240" w:lineRule="auto"/>
              <w:jc w:val="center"/>
              <w:rPr>
                <w:rFonts w:eastAsia="仿宋" w:cs="Times New Roman"/>
                <w:szCs w:val="21"/>
              </w:rPr>
            </w:pPr>
            <w:r>
              <w:rPr>
                <w:rFonts w:eastAsia="仿宋" w:cs="Times New Roman"/>
                <w:szCs w:val="21"/>
              </w:rPr>
              <w:t>Unit Price单价</w:t>
            </w:r>
          </w:p>
          <w:p w14:paraId="24781134">
            <w:pPr>
              <w:spacing w:line="240" w:lineRule="auto"/>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14:paraId="5571C1D3">
            <w:pPr>
              <w:spacing w:line="240" w:lineRule="auto"/>
              <w:jc w:val="center"/>
              <w:rPr>
                <w:rFonts w:eastAsia="仿宋" w:cs="Times New Roman"/>
                <w:szCs w:val="21"/>
              </w:rPr>
            </w:pPr>
            <w:r>
              <w:rPr>
                <w:rFonts w:eastAsia="仿宋" w:cs="Times New Roman"/>
                <w:szCs w:val="21"/>
              </w:rPr>
              <w:t>Total Price总价</w:t>
            </w:r>
          </w:p>
          <w:p w14:paraId="3F43ECA5">
            <w:pPr>
              <w:spacing w:line="240" w:lineRule="auto"/>
              <w:jc w:val="center"/>
              <w:rPr>
                <w:rFonts w:eastAsia="仿宋" w:cs="Times New Roman"/>
                <w:szCs w:val="21"/>
              </w:rPr>
            </w:pPr>
          </w:p>
        </w:tc>
      </w:tr>
      <w:tr w14:paraId="27166E20">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14:paraId="6510BDE7">
            <w:pPr>
              <w:spacing w:line="240" w:lineRule="auto"/>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14:paraId="1D3E3CFD">
            <w:pPr>
              <w:spacing w:line="240" w:lineRule="auto"/>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14:paraId="4C4BDB02">
            <w:pPr>
              <w:pStyle w:val="3"/>
              <w:rPr>
                <w:rFonts w:eastAsia="仿宋" w:cs="Times New Roman"/>
                <w:color w:val="auto"/>
                <w:sz w:val="21"/>
                <w:szCs w:val="21"/>
              </w:rPr>
            </w:pPr>
            <w:r>
              <w:rPr>
                <w:rFonts w:eastAsia="仿宋" w:cs="Times New Roman"/>
                <w:color w:val="auto"/>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14:paraId="739F87C1">
            <w:pPr>
              <w:spacing w:line="240" w:lineRule="auto"/>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14:paraId="44322916">
            <w:pPr>
              <w:spacing w:line="240" w:lineRule="auto"/>
              <w:jc w:val="center"/>
              <w:rPr>
                <w:rFonts w:eastAsia="仿宋" w:cs="Times New Roman"/>
                <w:b/>
                <w:bCs/>
                <w:szCs w:val="21"/>
              </w:rPr>
            </w:pPr>
          </w:p>
          <w:p w14:paraId="4BBB6C50">
            <w:pPr>
              <w:spacing w:line="240" w:lineRule="auto"/>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14:paraId="373AB680">
            <w:pPr>
              <w:spacing w:line="240" w:lineRule="auto"/>
              <w:rPr>
                <w:rFonts w:eastAsia="仿宋" w:cs="Times New Roman"/>
                <w:b/>
                <w:bCs/>
                <w:szCs w:val="21"/>
              </w:rPr>
            </w:pPr>
          </w:p>
        </w:tc>
      </w:tr>
      <w:tr w14:paraId="6FDA695C">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14:paraId="077D29F3">
            <w:pPr>
              <w:spacing w:line="240" w:lineRule="auto"/>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14:paraId="7D70BC12">
            <w:pPr>
              <w:spacing w:line="240" w:lineRule="auto"/>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14:paraId="1B814381">
            <w:pPr>
              <w:spacing w:line="240" w:lineRule="auto"/>
              <w:rPr>
                <w:rFonts w:eastAsia="仿宋" w:cs="Times New Roman"/>
                <w:b/>
                <w:bCs/>
                <w:szCs w:val="21"/>
              </w:rPr>
            </w:pPr>
          </w:p>
          <w:p w14:paraId="22062A72">
            <w:pPr>
              <w:spacing w:line="240" w:lineRule="auto"/>
              <w:rPr>
                <w:rFonts w:eastAsia="仿宋" w:cs="Times New Roman"/>
                <w:b/>
                <w:bCs/>
                <w:szCs w:val="21"/>
              </w:rPr>
            </w:pPr>
          </w:p>
        </w:tc>
      </w:tr>
      <w:tr w14:paraId="48A0D581">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14:paraId="5764D88E">
            <w:pPr>
              <w:spacing w:line="240" w:lineRule="auto"/>
              <w:jc w:val="center"/>
              <w:rPr>
                <w:rFonts w:eastAsia="仿宋" w:cs="Times New Roman"/>
                <w:b/>
                <w:bCs/>
                <w:szCs w:val="21"/>
              </w:rPr>
            </w:pPr>
            <w:r>
              <w:rPr>
                <w:rFonts w:eastAsia="仿宋" w:cs="Times New Roman"/>
                <w:b/>
                <w:bCs/>
                <w:szCs w:val="21"/>
              </w:rPr>
              <w:t>Total value</w:t>
            </w:r>
          </w:p>
          <w:p w14:paraId="4596EE1E">
            <w:pPr>
              <w:spacing w:line="240" w:lineRule="auto"/>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14:paraId="3595B713">
            <w:pPr>
              <w:spacing w:line="240" w:lineRule="auto"/>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14:paraId="72A4B5AF">
            <w:pPr>
              <w:spacing w:line="240" w:lineRule="auto"/>
              <w:rPr>
                <w:rFonts w:eastAsia="仿宋" w:cs="Times New Roman"/>
                <w:szCs w:val="21"/>
              </w:rPr>
            </w:pPr>
          </w:p>
        </w:tc>
      </w:tr>
    </w:tbl>
    <w:p w14:paraId="4370C974">
      <w:pPr>
        <w:spacing w:line="240" w:lineRule="auto"/>
        <w:rPr>
          <w:rFonts w:eastAsia="仿宋" w:cs="Times New Roman"/>
          <w:b/>
          <w:szCs w:val="21"/>
          <w:lang w:eastAsia="zh-TW"/>
        </w:rPr>
      </w:pPr>
    </w:p>
    <w:p w14:paraId="62DB9B33">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b)</w:t>
      </w: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14:paraId="2DC9627B">
      <w:pPr>
        <w:tabs>
          <w:tab w:val="left" w:pos="390"/>
          <w:tab w:val="left" w:pos="840"/>
        </w:tabs>
        <w:spacing w:line="240" w:lineRule="auto"/>
        <w:ind w:left="840"/>
        <w:rPr>
          <w:rFonts w:ascii="仿宋" w:hAnsi="仿宋" w:eastAsia="仿宋" w:cs="仿宋"/>
          <w:szCs w:val="21"/>
          <w:lang w:eastAsia="zh-TW"/>
        </w:rPr>
      </w:pPr>
      <w:r>
        <w:rPr>
          <w:rFonts w:hint="eastAsia" w:ascii="仿宋" w:hAnsi="仿宋" w:eastAsia="仿宋" w:cs="仿宋"/>
          <w:szCs w:val="21"/>
        </w:rPr>
        <w:t>贸易术语：</w:t>
      </w:r>
    </w:p>
    <w:p w14:paraId="055AC261">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c)</w:t>
      </w:r>
      <w:r>
        <w:rPr>
          <w:rFonts w:eastAsia="仿宋" w:cs="Times New Roman"/>
          <w:szCs w:val="21"/>
          <w:lang w:eastAsia="zh-TW"/>
        </w:rPr>
        <w:t>The brand is</w:t>
      </w:r>
      <w:r>
        <w:rPr>
          <w:rFonts w:hint="eastAsia" w:eastAsia="仿宋" w:cs="Times New Roman"/>
          <w:szCs w:val="21"/>
          <w:lang w:eastAsia="zh-TW"/>
        </w:rPr>
        <w:t>：</w:t>
      </w:r>
    </w:p>
    <w:p w14:paraId="717328CB">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品牌：</w:t>
      </w:r>
    </w:p>
    <w:p w14:paraId="3F188F73">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d)</w:t>
      </w:r>
      <w:r>
        <w:rPr>
          <w:szCs w:val="21"/>
        </w:rPr>
        <w:t>The product model type is</w:t>
      </w:r>
      <w:r>
        <w:rPr>
          <w:rFonts w:hint="eastAsia" w:ascii="仿宋" w:hAnsi="仿宋" w:eastAsia="仿宋"/>
          <w:szCs w:val="21"/>
        </w:rPr>
        <w:t>：</w:t>
      </w:r>
    </w:p>
    <w:p w14:paraId="106589BD">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产品型号：</w:t>
      </w:r>
    </w:p>
    <w:p w14:paraId="60F8CB97">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e)</w:t>
      </w:r>
      <w:r>
        <w:rPr>
          <w:rFonts w:hint="eastAsia" w:eastAsia="仿宋" w:cs="Times New Roman"/>
          <w:szCs w:val="21"/>
          <w:lang w:eastAsia="zh-TW"/>
        </w:rPr>
        <w:t>The county of origin is：</w:t>
      </w:r>
    </w:p>
    <w:p w14:paraId="78A2CE92">
      <w:pPr>
        <w:tabs>
          <w:tab w:val="left" w:pos="390"/>
          <w:tab w:val="left" w:pos="840"/>
        </w:tabs>
        <w:spacing w:line="240" w:lineRule="auto"/>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14:paraId="6ECE1B5E">
      <w:pPr>
        <w:tabs>
          <w:tab w:val="left" w:pos="390"/>
          <w:tab w:val="left" w:pos="840"/>
        </w:tabs>
        <w:spacing w:line="240" w:lineRule="auto"/>
        <w:ind w:firstLine="422" w:firstLineChars="200"/>
        <w:rPr>
          <w:rFonts w:ascii="仿宋" w:hAnsi="仿宋" w:eastAsia="仿宋" w:cs="Times New Roman"/>
          <w:szCs w:val="21"/>
        </w:rPr>
      </w:pPr>
      <w:r>
        <w:rPr>
          <w:rFonts w:eastAsia="仿宋" w:cs="Times New Roman"/>
          <w:b/>
          <w:szCs w:val="21"/>
          <w:lang w:eastAsia="zh-TW"/>
        </w:rPr>
        <w:t>f)</w:t>
      </w:r>
      <w:r>
        <w:rPr>
          <w:rFonts w:hint="eastAsia" w:ascii="仿宋" w:hAnsi="仿宋" w:eastAsia="仿宋" w:cs="Times New Roman"/>
          <w:szCs w:val="21"/>
        </w:rPr>
        <w:t>The mode of Transport is: BY SEA/ BY AIR</w:t>
      </w:r>
    </w:p>
    <w:p w14:paraId="0CEEF98F">
      <w:pPr>
        <w:tabs>
          <w:tab w:val="left" w:pos="390"/>
          <w:tab w:val="left" w:pos="840"/>
        </w:tabs>
        <w:spacing w:line="240" w:lineRule="auto"/>
        <w:ind w:left="840"/>
        <w:rPr>
          <w:rFonts w:ascii="仿宋" w:hAnsi="仿宋" w:eastAsia="仿宋" w:cs="Times New Roman"/>
          <w:szCs w:val="21"/>
        </w:rPr>
      </w:pPr>
      <w:r>
        <w:rPr>
          <w:rFonts w:hint="eastAsia" w:ascii="仿宋" w:hAnsi="仿宋" w:eastAsia="仿宋" w:cs="Times New Roman"/>
          <w:szCs w:val="21"/>
        </w:rPr>
        <w:t>运输方式：</w:t>
      </w:r>
    </w:p>
    <w:p w14:paraId="2D2B5820">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g</w:t>
      </w:r>
      <w:r>
        <w:rPr>
          <w:rFonts w:eastAsia="仿宋" w:cs="Times New Roman"/>
          <w:b/>
          <w:szCs w:val="21"/>
          <w:lang w:eastAsia="zh-TW"/>
        </w:rPr>
        <w:t>)</w:t>
      </w:r>
      <w:r>
        <w:rPr>
          <w:rFonts w:eastAsia="仿宋" w:cs="Times New Roman"/>
          <w:szCs w:val="21"/>
          <w:lang w:eastAsia="zh-TW"/>
        </w:rPr>
        <w:t xml:space="preserve">The import port is:   </w:t>
      </w:r>
    </w:p>
    <w:p w14:paraId="4D40F9DE">
      <w:pPr>
        <w:tabs>
          <w:tab w:val="left" w:pos="390"/>
          <w:tab w:val="left" w:pos="840"/>
        </w:tabs>
        <w:spacing w:line="240" w:lineRule="auto"/>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14:paraId="793A2521">
      <w:pPr>
        <w:tabs>
          <w:tab w:val="left" w:pos="390"/>
          <w:tab w:val="left" w:pos="840"/>
        </w:tabs>
        <w:spacing w:line="240" w:lineRule="auto"/>
        <w:ind w:left="840"/>
        <w:rPr>
          <w:rFonts w:eastAsia="仿宋" w:cs="Times New Roman"/>
          <w:b/>
          <w:i/>
          <w:iCs/>
          <w:sz w:val="24"/>
          <w:szCs w:val="24"/>
          <w:lang w:eastAsia="zh-TW"/>
        </w:rPr>
      </w:pPr>
    </w:p>
    <w:p w14:paraId="31EBC990">
      <w:pPr>
        <w:tabs>
          <w:tab w:val="left" w:pos="390"/>
          <w:tab w:val="left" w:pos="840"/>
        </w:tabs>
        <w:spacing w:line="240" w:lineRule="auto"/>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the Parties agree to clear customs at the Zhangjinzongbao Port.</w:t>
      </w:r>
    </w:p>
    <w:p w14:paraId="1C788C3C">
      <w:pPr>
        <w:tabs>
          <w:tab w:val="left" w:pos="390"/>
          <w:tab w:val="left" w:pos="840"/>
        </w:tabs>
        <w:spacing w:line="240" w:lineRule="auto"/>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14:paraId="214D65F7">
      <w:pPr>
        <w:tabs>
          <w:tab w:val="left" w:pos="390"/>
          <w:tab w:val="left" w:pos="840"/>
        </w:tabs>
        <w:spacing w:line="240" w:lineRule="auto"/>
        <w:rPr>
          <w:rFonts w:cs="Times New Roman" w:eastAsiaTheme="minorEastAsia"/>
          <w:szCs w:val="21"/>
        </w:rPr>
      </w:pPr>
      <w:r>
        <w:rPr>
          <w:rFonts w:hint="eastAsia" w:cs="Times New Roman" w:eastAsiaTheme="minorEastAsia"/>
          <w:szCs w:val="21"/>
        </w:rPr>
        <w:t xml:space="preserve"> </w:t>
      </w:r>
      <w:r>
        <w:rPr>
          <w:rFonts w:cs="Times New Roman" w:eastAsiaTheme="minorEastAsia"/>
          <w:szCs w:val="21"/>
        </w:rPr>
        <w:t xml:space="preserve">  </w:t>
      </w:r>
    </w:p>
    <w:p w14:paraId="50BF0A39">
      <w:pPr>
        <w:numPr>
          <w:ilvl w:val="1"/>
          <w:numId w:val="0"/>
        </w:numPr>
        <w:spacing w:line="240" w:lineRule="auto"/>
        <w:ind w:left="840" w:hanging="420"/>
        <w:rPr>
          <w:rFonts w:eastAsia="仿宋" w:cs="Times New Roman"/>
          <w:szCs w:val="21"/>
        </w:rPr>
      </w:pPr>
      <w:r>
        <w:rPr>
          <w:rFonts w:hint="eastAsia" w:eastAsia="仿宋" w:cs="Times New Roman"/>
          <w:b/>
          <w:szCs w:val="21"/>
        </w:rPr>
        <w:t>h</w:t>
      </w:r>
      <w:r>
        <w:rPr>
          <w:rFonts w:eastAsia="仿宋" w:cs="Times New Roman"/>
          <w:b/>
          <w:szCs w:val="21"/>
        </w:rPr>
        <w:t>)</w:t>
      </w:r>
      <w:r>
        <w:rPr>
          <w:rFonts w:eastAsia="仿宋" w:cs="Times New Roman"/>
          <w:szCs w:val="21"/>
        </w:rPr>
        <w:t>The Commodities</w:t>
      </w:r>
      <w:r>
        <w:rPr>
          <w:rFonts w:hint="eastAsia" w:eastAsia="仿宋" w:cs="Times New Roman"/>
          <w:szCs w:val="21"/>
        </w:rPr>
        <w:t xml:space="preserve"> shall </w:t>
      </w:r>
      <w:r>
        <w:rPr>
          <w:rFonts w:eastAsia="仿宋" w:cs="Times New Roman"/>
          <w:szCs w:val="21"/>
        </w:rPr>
        <w:t xml:space="preserve">fully </w:t>
      </w:r>
      <w:r>
        <w:rPr>
          <w:rFonts w:hint="eastAsia" w:eastAsia="仿宋" w:cs="Times New Roman"/>
          <w:szCs w:val="21"/>
        </w:rPr>
        <w:t>conform to the standards descri</w:t>
      </w:r>
      <w:r>
        <w:rPr>
          <w:rFonts w:eastAsia="仿宋" w:cs="Times New Roman"/>
          <w:szCs w:val="21"/>
        </w:rPr>
        <w:t>bed</w:t>
      </w:r>
      <w:r>
        <w:rPr>
          <w:rFonts w:hint="eastAsia" w:eastAsia="仿宋" w:cs="Times New Roman"/>
          <w:szCs w:val="21"/>
        </w:rPr>
        <w:t xml:space="preserve"> in the drawing of MAN and regulations in M3211，M3214，M3416</w:t>
      </w:r>
      <w:r>
        <w:rPr>
          <w:rFonts w:eastAsia="仿宋" w:cs="Times New Roman"/>
          <w:szCs w:val="21"/>
        </w:rPr>
        <w:t xml:space="preserve">, only the raw material C38 mod BY n. </w:t>
      </w:r>
      <w:r>
        <w:rPr>
          <w:rFonts w:hint="eastAsia" w:eastAsia="仿宋" w:cs="Times New Roman"/>
          <w:szCs w:val="21"/>
        </w:rPr>
        <w:t xml:space="preserve">M3214 </w:t>
      </w:r>
      <w:r>
        <w:rPr>
          <w:rFonts w:eastAsia="仿宋" w:cs="Times New Roman"/>
          <w:szCs w:val="21"/>
        </w:rPr>
        <w:t>delivered by GMH Georgsmarienhütte shall be processed by the Seller</w:t>
      </w:r>
      <w:r>
        <w:rPr>
          <w:rFonts w:hint="eastAsia" w:eastAsia="仿宋" w:cs="Times New Roman"/>
          <w:szCs w:val="21"/>
        </w:rPr>
        <w:t>.</w:t>
      </w:r>
    </w:p>
    <w:p w14:paraId="745344F2">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602" w:firstLineChars="250"/>
        <w:rPr>
          <w:rFonts w:eastAsia="PMingLiU" w:cs="Times New Roman"/>
          <w:b/>
          <w:sz w:val="24"/>
          <w:szCs w:val="24"/>
          <w:lang w:eastAsia="zh-TW"/>
        </w:rPr>
      </w:pPr>
      <w:r>
        <w:rPr>
          <w:rFonts w:hint="eastAsia" w:eastAsia="仿宋" w:cs="Times New Roman"/>
          <w:b/>
          <w:i/>
          <w:iCs/>
          <w:sz w:val="24"/>
          <w:szCs w:val="24"/>
          <w:lang w:eastAsia="zh-TW"/>
        </w:rPr>
        <w:t>（曼机零部件适用）</w:t>
      </w:r>
      <w:r>
        <w:rPr>
          <w:rFonts w:hint="eastAsia" w:ascii="Arial" w:hAnsi="Arial" w:eastAsia="楷体_GB2312"/>
          <w:szCs w:val="21"/>
        </w:rPr>
        <w:t>货物应</w:t>
      </w:r>
      <w:r>
        <w:rPr>
          <w:rFonts w:hint="eastAsia" w:ascii="Arial" w:eastAsia="楷体_GB2312"/>
          <w:bCs/>
          <w:szCs w:val="21"/>
        </w:rPr>
        <w:t>完全符合</w:t>
      </w:r>
      <w:r>
        <w:rPr>
          <w:rFonts w:hint="eastAsia" w:ascii="Arial" w:eastAsia="楷体_GB2312"/>
          <w:szCs w:val="21"/>
        </w:rPr>
        <w:t>德国</w:t>
      </w:r>
      <w:r>
        <w:rPr>
          <w:rFonts w:hint="eastAsia" w:ascii="Arial" w:hAnsi="Arial" w:eastAsia="楷体_GB2312"/>
          <w:szCs w:val="21"/>
        </w:rPr>
        <w:t>MAN</w:t>
      </w:r>
      <w:r>
        <w:rPr>
          <w:rFonts w:hint="eastAsia" w:ascii="Arial" w:eastAsia="楷体_GB2312"/>
          <w:szCs w:val="21"/>
        </w:rPr>
        <w:t>公司图纸和M3211、M3214及M3416的规格要求</w:t>
      </w:r>
      <w:r>
        <w:rPr>
          <w:rFonts w:hint="eastAsia" w:ascii="Arial" w:hAnsi="Arial" w:eastAsia="楷体_GB2312"/>
          <w:szCs w:val="21"/>
        </w:rPr>
        <w:t xml:space="preserve">，卖方仅加工由GMH </w:t>
      </w:r>
      <w:r>
        <w:rPr>
          <w:rFonts w:ascii="Arial" w:hAnsi="Arial" w:eastAsia="楷体_GB2312"/>
          <w:szCs w:val="21"/>
        </w:rPr>
        <w:t>Georgsmarienhütte</w:t>
      </w:r>
      <w:r>
        <w:rPr>
          <w:rFonts w:hint="eastAsia" w:ascii="Arial" w:hAnsi="Arial" w:eastAsia="楷体_GB2312"/>
          <w:szCs w:val="21"/>
        </w:rPr>
        <w:t>交付的原材料</w:t>
      </w:r>
      <w:r>
        <w:rPr>
          <w:rFonts w:ascii="Arial" w:hAnsi="Arial" w:eastAsia="楷体_GB2312"/>
          <w:szCs w:val="21"/>
        </w:rPr>
        <w:t xml:space="preserve">C38 mod BY n. </w:t>
      </w:r>
      <w:r>
        <w:rPr>
          <w:rFonts w:hint="eastAsia" w:ascii="Arial" w:hAnsi="Arial" w:eastAsia="楷体_GB2312"/>
          <w:szCs w:val="21"/>
        </w:rPr>
        <w:t>M3214.</w:t>
      </w:r>
      <w:r>
        <w:rPr>
          <w:rFonts w:hint="eastAsia" w:eastAsia="仿宋" w:cs="Times New Roman"/>
          <w:szCs w:val="21"/>
          <w:lang w:eastAsia="zh-TW"/>
        </w:rPr>
        <w:t>。</w:t>
      </w:r>
    </w:p>
    <w:p w14:paraId="3F3C7DE0">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i</w:t>
      </w:r>
      <w:r>
        <w:rPr>
          <w:rFonts w:eastAsia="仿宋" w:cs="Times New Roman"/>
          <w:b/>
          <w:szCs w:val="21"/>
          <w:lang w:eastAsia="zh-TW"/>
        </w:rPr>
        <w:t>)</w:t>
      </w: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14:paraId="18793E0B">
      <w:pPr>
        <w:spacing w:line="240" w:lineRule="auto"/>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14:paraId="4D06EF85">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14:paraId="6E03C0BE">
      <w:pPr>
        <w:spacing w:line="240" w:lineRule="auto"/>
        <w:ind w:left="420"/>
        <w:rPr>
          <w:rFonts w:eastAsia="仿宋" w:cs="Times New Roman"/>
          <w:b/>
          <w:szCs w:val="21"/>
          <w:lang w:eastAsia="zh-TW"/>
        </w:rPr>
      </w:pPr>
    </w:p>
    <w:p w14:paraId="471F4488">
      <w:pPr>
        <w:spacing w:line="240" w:lineRule="auto"/>
        <w:rPr>
          <w:rFonts w:eastAsia="仿宋" w:cs="Times New Roman"/>
          <w:bCs/>
          <w:i/>
          <w:i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i/>
          <w:iCs/>
          <w:sz w:val="24"/>
          <w:szCs w:val="24"/>
          <w:lang w:eastAsia="zh-TW"/>
        </w:rPr>
        <w:t>（</w:t>
      </w:r>
      <w:r>
        <w:rPr>
          <w:rFonts w:eastAsia="仿宋" w:cs="Times New Roman"/>
          <w:b/>
          <w:i/>
          <w:iCs/>
          <w:sz w:val="24"/>
          <w:szCs w:val="24"/>
          <w:lang w:eastAsia="zh-TW"/>
        </w:rPr>
        <w:t>FOB.CFR.CIF. CIP.CPT</w:t>
      </w:r>
      <w:r>
        <w:rPr>
          <w:rFonts w:hint="eastAsia" w:eastAsia="仿宋" w:cs="Times New Roman"/>
          <w:b/>
          <w:i/>
          <w:iCs/>
          <w:sz w:val="24"/>
          <w:szCs w:val="24"/>
          <w:lang w:eastAsia="zh-TW"/>
        </w:rPr>
        <w:t>适用）</w:t>
      </w:r>
    </w:p>
    <w:p w14:paraId="36BB0066">
      <w:pPr>
        <w:spacing w:line="240" w:lineRule="auto"/>
        <w:rPr>
          <w:rFonts w:eastAsia="仿宋" w:cs="Times New Roman"/>
          <w:szCs w:val="21"/>
          <w:lang w:eastAsia="zh-TW"/>
        </w:rPr>
      </w:pPr>
    </w:p>
    <w:p w14:paraId="1541F132">
      <w:pPr>
        <w:spacing w:line="240" w:lineRule="auto"/>
        <w:ind w:firstLine="420" w:firstLineChars="200"/>
        <w:rPr>
          <w:rFonts w:eastAsia="仿宋" w:cs="Times New Roman"/>
          <w:szCs w:val="21"/>
          <w:lang w:eastAsia="zh-TW"/>
        </w:rPr>
      </w:pPr>
      <w:r>
        <w:rPr>
          <w:rFonts w:eastAsia="仿宋" w:cs="Times New Roman"/>
          <w:szCs w:val="21"/>
          <w:lang w:eastAsia="zh-TW"/>
        </w:rPr>
        <w:t>The loading port of the Commodities shall be</w:t>
      </w:r>
      <w:r>
        <w:rPr>
          <w:rFonts w:hint="eastAsia" w:eastAsia="仿宋" w:cs="Times New Roman"/>
          <w:szCs w:val="21"/>
        </w:rPr>
        <w:t>【】</w:t>
      </w:r>
      <w:r>
        <w:rPr>
          <w:rFonts w:eastAsia="仿宋" w:cs="Times New Roman"/>
          <w:szCs w:val="21"/>
          <w:lang w:eastAsia="zh-TW"/>
        </w:rPr>
        <w:t xml:space="preserve"> Seaport /Airport.</w:t>
      </w:r>
    </w:p>
    <w:p w14:paraId="702BD8AE">
      <w:pPr>
        <w:spacing w:line="240" w:lineRule="auto"/>
        <w:ind w:firstLine="420" w:firstLineChars="200"/>
        <w:rPr>
          <w:rFonts w:eastAsia="仿宋" w:cs="Times New Roman"/>
          <w:szCs w:val="21"/>
        </w:rPr>
      </w:pPr>
      <w:r>
        <w:rPr>
          <w:rFonts w:eastAsia="仿宋" w:cs="Times New Roman"/>
          <w:szCs w:val="21"/>
        </w:rPr>
        <w:t>货物的装运港口为</w:t>
      </w:r>
      <w:r>
        <w:rPr>
          <w:rFonts w:hint="eastAsia" w:eastAsia="仿宋" w:cs="Times New Roman"/>
          <w:szCs w:val="21"/>
        </w:rPr>
        <w:t>【】</w:t>
      </w:r>
      <w:r>
        <w:rPr>
          <w:rFonts w:eastAsia="仿宋" w:cs="Times New Roman"/>
          <w:szCs w:val="21"/>
        </w:rPr>
        <w:t>港口</w:t>
      </w:r>
      <w:r>
        <w:rPr>
          <w:rFonts w:hint="eastAsia" w:eastAsia="仿宋" w:cs="Times New Roman"/>
          <w:szCs w:val="21"/>
        </w:rPr>
        <w:t>/机场</w:t>
      </w:r>
      <w:r>
        <w:rPr>
          <w:rFonts w:eastAsia="仿宋" w:cs="Times New Roman"/>
          <w:szCs w:val="21"/>
        </w:rPr>
        <w:t>。</w:t>
      </w:r>
    </w:p>
    <w:p w14:paraId="61AB1193">
      <w:pPr>
        <w:spacing w:line="240" w:lineRule="auto"/>
        <w:rPr>
          <w:rFonts w:eastAsia="仿宋" w:cs="Times New Roman"/>
          <w:b/>
          <w:i/>
          <w:iCs/>
          <w:sz w:val="24"/>
          <w:szCs w:val="24"/>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i/>
          <w:iCs/>
          <w:sz w:val="24"/>
          <w:szCs w:val="24"/>
          <w:lang w:eastAsia="zh-TW"/>
        </w:rPr>
        <w:t>（FOB.CFR.CIF. CIP.CPT适用）</w:t>
      </w:r>
    </w:p>
    <w:p w14:paraId="70CA71EF">
      <w:pPr>
        <w:spacing w:line="240" w:lineRule="auto"/>
        <w:rPr>
          <w:rFonts w:eastAsia="仿宋" w:cs="Times New Roman"/>
          <w:b/>
          <w:szCs w:val="21"/>
          <w:lang w:eastAsia="zh-TW"/>
        </w:rPr>
      </w:pPr>
    </w:p>
    <w:p w14:paraId="51AA0907">
      <w:pPr>
        <w:spacing w:line="240" w:lineRule="auto"/>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hint="eastAsia" w:eastAsia="仿宋" w:cs="Times New Roman"/>
          <w:szCs w:val="21"/>
        </w:rPr>
        <w:t>【】</w:t>
      </w:r>
      <w:r>
        <w:rPr>
          <w:rFonts w:eastAsia="仿宋" w:cs="Times New Roman"/>
          <w:szCs w:val="21"/>
        </w:rPr>
        <w:t>Seaport/A</w:t>
      </w:r>
      <w:r>
        <w:rPr>
          <w:rFonts w:hint="eastAsia" w:eastAsia="仿宋" w:cs="Times New Roman"/>
          <w:szCs w:val="21"/>
        </w:rPr>
        <w:t>irport, the PRC</w:t>
      </w:r>
      <w:r>
        <w:rPr>
          <w:rFonts w:eastAsia="仿宋" w:cs="Times New Roman"/>
          <w:szCs w:val="21"/>
        </w:rPr>
        <w:t>.</w:t>
      </w:r>
    </w:p>
    <w:p w14:paraId="71DAAE5B">
      <w:pPr>
        <w:spacing w:line="240" w:lineRule="auto"/>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w:t>
      </w:r>
      <w:r>
        <w:rPr>
          <w:rFonts w:hint="eastAsia" w:eastAsia="仿宋" w:cs="Times New Roman"/>
          <w:szCs w:val="21"/>
        </w:rPr>
        <w:t>【】</w:t>
      </w:r>
      <w:r>
        <w:rPr>
          <w:rFonts w:eastAsia="仿宋" w:cs="Times New Roman"/>
          <w:szCs w:val="21"/>
        </w:rPr>
        <w:t>港</w:t>
      </w:r>
      <w:r>
        <w:rPr>
          <w:rFonts w:hint="eastAsia" w:eastAsia="仿宋" w:cs="Times New Roman"/>
          <w:szCs w:val="21"/>
        </w:rPr>
        <w:t>/机场</w:t>
      </w:r>
      <w:r>
        <w:rPr>
          <w:rFonts w:eastAsia="仿宋" w:cs="Times New Roman"/>
          <w:szCs w:val="21"/>
        </w:rPr>
        <w:t>。</w:t>
      </w:r>
    </w:p>
    <w:p w14:paraId="7CB9C1AE">
      <w:pPr>
        <w:spacing w:line="240" w:lineRule="auto"/>
        <w:ind w:left="420" w:leftChars="200"/>
        <w:rPr>
          <w:rFonts w:eastAsia="仿宋" w:cs="Times New Roman"/>
          <w:szCs w:val="21"/>
        </w:rPr>
      </w:pPr>
    </w:p>
    <w:p w14:paraId="1DB4A184">
      <w:pPr>
        <w:spacing w:line="240" w:lineRule="auto"/>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i/>
          <w:iCs/>
          <w:sz w:val="24"/>
          <w:szCs w:val="24"/>
          <w:lang w:eastAsia="zh-TW"/>
        </w:rPr>
        <w:t>（FCA.DAP.DDP术语适用）</w:t>
      </w:r>
    </w:p>
    <w:p w14:paraId="1A5DF577">
      <w:pPr>
        <w:spacing w:line="240" w:lineRule="auto"/>
        <w:ind w:firstLine="422" w:firstLineChars="200"/>
        <w:rPr>
          <w:rFonts w:eastAsia="仿宋" w:cs="Times New Roman"/>
          <w:b/>
          <w:szCs w:val="21"/>
        </w:rPr>
      </w:pPr>
    </w:p>
    <w:p w14:paraId="59A0EB0F">
      <w:pPr>
        <w:spacing w:line="240" w:lineRule="auto"/>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w:t>
      </w:r>
      <w:r>
        <w:rPr>
          <w:rFonts w:hint="eastAsia" w:eastAsia="仿宋" w:cs="Times New Roman"/>
          <w:b/>
          <w:szCs w:val="21"/>
        </w:rPr>
        <w:t>【】</w:t>
      </w:r>
    </w:p>
    <w:p w14:paraId="7E9BFC99">
      <w:pPr>
        <w:spacing w:line="240" w:lineRule="auto"/>
        <w:ind w:firstLine="422" w:firstLineChars="200"/>
        <w:rPr>
          <w:rFonts w:eastAsia="仿宋" w:cs="Times New Roman"/>
          <w:b/>
          <w:szCs w:val="21"/>
        </w:rPr>
      </w:pPr>
      <w:r>
        <w:rPr>
          <w:rFonts w:hint="eastAsia" w:eastAsia="仿宋" w:cs="Times New Roman"/>
          <w:b/>
          <w:szCs w:val="21"/>
        </w:rPr>
        <w:t>货物的交货地为：【】</w:t>
      </w:r>
    </w:p>
    <w:p w14:paraId="150C96C6">
      <w:pPr>
        <w:spacing w:line="240" w:lineRule="auto"/>
        <w:ind w:left="420" w:leftChars="200"/>
        <w:rPr>
          <w:rFonts w:eastAsia="仿宋" w:cs="Times New Roman"/>
          <w:szCs w:val="21"/>
        </w:rPr>
      </w:pPr>
    </w:p>
    <w:p w14:paraId="6B044AF3">
      <w:pPr>
        <w:spacing w:line="240" w:lineRule="auto"/>
        <w:rPr>
          <w:rFonts w:eastAsia="仿宋" w:cs="Times New Roman"/>
          <w:b/>
          <w:szCs w:val="21"/>
        </w:rPr>
      </w:pPr>
    </w:p>
    <w:p w14:paraId="6569D960">
      <w:pPr>
        <w:spacing w:line="240" w:lineRule="auto"/>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14:paraId="21872968">
      <w:pPr>
        <w:spacing w:line="240" w:lineRule="auto"/>
        <w:rPr>
          <w:rFonts w:eastAsia="仿宋" w:cs="Times New Roman"/>
          <w:b/>
          <w:szCs w:val="21"/>
          <w:lang w:eastAsia="zh-TW"/>
        </w:rPr>
      </w:pPr>
    </w:p>
    <w:p w14:paraId="3DE6348C">
      <w:pPr>
        <w:spacing w:line="240" w:lineRule="auto"/>
        <w:ind w:left="420" w:leftChars="200"/>
        <w:rPr>
          <w:rFonts w:eastAsia="仿宋" w:cs="Times New Roman"/>
          <w:b/>
          <w:sz w:val="24"/>
          <w:szCs w:val="24"/>
        </w:rPr>
      </w:pPr>
      <w:r>
        <w:rPr>
          <w:rFonts w:hint="eastAsia" w:eastAsia="仿宋" w:cs="Times New Roman"/>
          <w:b/>
          <w:i/>
          <w:iCs/>
          <w:sz w:val="24"/>
          <w:szCs w:val="24"/>
          <w:lang w:eastAsia="zh-TW"/>
        </w:rPr>
        <w:t>（EXW. FCA适用）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w:t>
      </w:r>
      <w:r>
        <w:rPr>
          <w:rFonts w:hint="eastAsia" w:eastAsia="仿宋" w:cs="Times New Roman"/>
          <w:szCs w:val="21"/>
        </w:rPr>
        <w:t>.</w:t>
      </w:r>
      <w:r>
        <w:rPr>
          <w:rFonts w:eastAsia="仿宋" w:cs="Times New Roman"/>
          <w:szCs w:val="21"/>
        </w:rPr>
        <w:t xml:space="preserve"> ** .</w:t>
      </w:r>
    </w:p>
    <w:p w14:paraId="6A60D6F3">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w:t>
      </w:r>
      <w:r>
        <w:rPr>
          <w:rFonts w:hint="eastAsia" w:eastAsia="仿宋" w:cs="Times New Roman"/>
          <w:szCs w:val="21"/>
        </w:rPr>
        <w:t>交货</w:t>
      </w:r>
      <w:r>
        <w:rPr>
          <w:rFonts w:eastAsia="仿宋" w:cs="Times New Roman"/>
          <w:szCs w:val="21"/>
        </w:rPr>
        <w:t>。</w:t>
      </w:r>
    </w:p>
    <w:p w14:paraId="73DD8801">
      <w:pPr>
        <w:spacing w:line="240" w:lineRule="auto"/>
        <w:ind w:left="420" w:leftChars="200"/>
        <w:rPr>
          <w:rFonts w:eastAsia="仿宋" w:cs="Times New Roman"/>
          <w:szCs w:val="21"/>
        </w:rPr>
      </w:pPr>
      <w:r>
        <w:rPr>
          <w:rFonts w:hint="eastAsia" w:eastAsia="仿宋" w:cs="Times New Roman"/>
          <w:b/>
          <w:i/>
          <w:iCs/>
          <w:sz w:val="24"/>
          <w:szCs w:val="24"/>
          <w:lang w:eastAsia="zh-TW"/>
        </w:rPr>
        <w:t>（FOB适用）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14:paraId="02A156AE">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日前装船。</w:t>
      </w:r>
      <w:r>
        <w:rPr>
          <w:rFonts w:hint="eastAsia" w:eastAsia="仿宋" w:cs="Times New Roman"/>
          <w:szCs w:val="21"/>
        </w:rPr>
        <w:t xml:space="preserve"> </w:t>
      </w:r>
      <w:r>
        <w:rPr>
          <w:rFonts w:eastAsia="仿宋" w:cs="Times New Roman"/>
          <w:szCs w:val="21"/>
        </w:rPr>
        <w:t xml:space="preserve">                </w:t>
      </w:r>
    </w:p>
    <w:p w14:paraId="7950D424">
      <w:pPr>
        <w:spacing w:line="240" w:lineRule="auto"/>
        <w:ind w:left="420" w:leftChars="200"/>
        <w:rPr>
          <w:rFonts w:eastAsia="仿宋" w:cs="Times New Roman"/>
          <w:szCs w:val="21"/>
        </w:rPr>
      </w:pPr>
      <w:r>
        <w:rPr>
          <w:rFonts w:hint="eastAsia" w:eastAsia="仿宋" w:cs="Times New Roman"/>
          <w:b/>
          <w:i/>
          <w:iCs/>
          <w:sz w:val="24"/>
          <w:szCs w:val="24"/>
          <w:lang w:eastAsia="zh-TW"/>
        </w:rPr>
        <w:t>（CIF.CFR.CIP.CPT适用）A</w:t>
      </w:r>
      <w:r>
        <w:rPr>
          <w:rFonts w:eastAsia="仿宋" w:cs="Times New Roman"/>
          <w:szCs w:val="21"/>
        </w:rPr>
        <w:t>ll the Commodities shall arrive at Seaport</w:t>
      </w:r>
      <w:r>
        <w:rPr>
          <w:rFonts w:hint="eastAsia" w:eastAsia="仿宋" w:cs="Times New Roman"/>
          <w:szCs w:val="21"/>
        </w:rPr>
        <w:t>/</w:t>
      </w:r>
      <w:r>
        <w:rPr>
          <w:rFonts w:eastAsia="仿宋" w:cs="Times New Roman"/>
          <w:szCs w:val="21"/>
        </w:rPr>
        <w:t>Airport before **. **</w:t>
      </w:r>
      <w:r>
        <w:rPr>
          <w:rFonts w:hint="eastAsia" w:eastAsia="仿宋" w:cs="Times New Roman"/>
          <w:szCs w:val="21"/>
        </w:rPr>
        <w:t>.</w:t>
      </w:r>
      <w:r>
        <w:rPr>
          <w:rFonts w:eastAsia="仿宋" w:cs="Times New Roman"/>
          <w:szCs w:val="21"/>
        </w:rPr>
        <w:t xml:space="preserve"> ** .</w:t>
      </w:r>
    </w:p>
    <w:p w14:paraId="47216E51">
      <w:pPr>
        <w:spacing w:line="240" w:lineRule="auto"/>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14:paraId="7DCD48FE">
      <w:pPr>
        <w:spacing w:line="240" w:lineRule="auto"/>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 【】days after arrival of the Commodities at the factory of the</w:t>
      </w:r>
      <w:r>
        <w:rPr>
          <w:rFonts w:eastAsia="仿宋" w:cs="Times New Roman"/>
          <w:szCs w:val="21"/>
        </w:rPr>
        <w:t xml:space="preserve"> Enduser</w:t>
      </w:r>
      <w:r>
        <w:rPr>
          <w:rFonts w:hint="eastAsia" w:eastAsia="仿宋" w:cs="Times New Roman"/>
          <w:szCs w:val="21"/>
        </w:rPr>
        <w:t>.</w:t>
      </w:r>
    </w:p>
    <w:p w14:paraId="0AFC38AE">
      <w:pPr>
        <w:spacing w:line="240" w:lineRule="auto"/>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14:paraId="23001E26">
      <w:pPr>
        <w:spacing w:line="240" w:lineRule="auto"/>
        <w:ind w:firstLine="435"/>
        <w:rPr>
          <w:rFonts w:eastAsia="仿宋" w:cs="Times New Roman"/>
          <w:szCs w:val="21"/>
        </w:rPr>
      </w:pPr>
      <w:r>
        <w:rPr>
          <w:rFonts w:hint="eastAsia" w:eastAsia="仿宋" w:cs="Times New Roman"/>
          <w:szCs w:val="21"/>
        </w:rPr>
        <w:t xml:space="preserve"> </w:t>
      </w:r>
    </w:p>
    <w:p w14:paraId="6DC8AA2D">
      <w:pPr>
        <w:spacing w:line="240" w:lineRule="auto"/>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14:paraId="379C8422">
      <w:pPr>
        <w:spacing w:line="240" w:lineRule="auto"/>
        <w:ind w:left="2975"/>
        <w:rPr>
          <w:rFonts w:eastAsia="仿宋" w:cs="Times New Roman"/>
          <w:b/>
          <w:szCs w:val="21"/>
        </w:rPr>
      </w:pPr>
    </w:p>
    <w:p w14:paraId="14F06553">
      <w:pPr>
        <w:spacing w:line="240" w:lineRule="auto"/>
        <w:ind w:left="420" w:leftChars="200"/>
        <w:rPr>
          <w:rFonts w:eastAsia="仿宋" w:cs="Times New Roman"/>
          <w:b w:val="0"/>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14:paraId="0554D6AC">
      <w:pPr>
        <w:spacing w:line="240" w:lineRule="auto"/>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14:paraId="579E2FB1">
      <w:pPr>
        <w:spacing w:line="240" w:lineRule="auto"/>
        <w:rPr>
          <w:rFonts w:eastAsia="仿宋" w:cs="Times New Roman"/>
          <w:szCs w:val="21"/>
        </w:rPr>
      </w:pPr>
    </w:p>
    <w:p w14:paraId="7ABC9A77">
      <w:pPr>
        <w:spacing w:line="240" w:lineRule="auto"/>
        <w:ind w:left="420" w:leftChars="200"/>
        <w:rPr>
          <w:rFonts w:eastAsia="仿宋" w:cs="Times New Roman"/>
          <w:szCs w:val="21"/>
        </w:rPr>
      </w:pPr>
    </w:p>
    <w:p w14:paraId="3940B7DF">
      <w:pPr>
        <w:spacing w:line="240" w:lineRule="auto"/>
        <w:rPr>
          <w:rFonts w:eastAsia="仿宋" w:cs="Times New Roman"/>
          <w:szCs w:val="21"/>
        </w:rPr>
      </w:pPr>
    </w:p>
    <w:p w14:paraId="102D7D40">
      <w:pPr>
        <w:spacing w:line="240" w:lineRule="auto"/>
        <w:rPr>
          <w:rFonts w:eastAsia="仿宋" w:cs="Times New Roman"/>
          <w:szCs w:val="21"/>
        </w:rPr>
      </w:pPr>
    </w:p>
    <w:p w14:paraId="07E93A75">
      <w:pPr>
        <w:spacing w:line="240" w:lineRule="auto"/>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14:paraId="01A09C21">
      <w:pPr>
        <w:spacing w:line="240" w:lineRule="auto"/>
        <w:rPr>
          <w:rFonts w:eastAsia="仿宋" w:cs="Times New Roman"/>
          <w:b/>
          <w:szCs w:val="21"/>
        </w:rPr>
      </w:pPr>
    </w:p>
    <w:p w14:paraId="0B573164">
      <w:pPr>
        <w:spacing w:line="240" w:lineRule="auto"/>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w:t>
      </w:r>
    </w:p>
    <w:p w14:paraId="2AEF77FF">
      <w:pPr>
        <w:spacing w:line="240" w:lineRule="auto"/>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w:t>
      </w:r>
      <w:r>
        <w:rPr>
          <w:rFonts w:eastAsia="仿宋" w:cs="Times New Roman"/>
          <w:szCs w:val="21"/>
        </w:rPr>
        <w:t>生产。</w:t>
      </w:r>
    </w:p>
    <w:p w14:paraId="62C110AD">
      <w:pPr>
        <w:spacing w:line="240" w:lineRule="auto"/>
        <w:rPr>
          <w:rFonts w:eastAsia="仿宋" w:cs="Times New Roman"/>
          <w:szCs w:val="21"/>
        </w:rPr>
      </w:pPr>
    </w:p>
    <w:p w14:paraId="5442A22C">
      <w:pPr>
        <w:spacing w:line="240" w:lineRule="auto"/>
        <w:rPr>
          <w:rFonts w:eastAsia="仿宋" w:cs="Times New Roman"/>
          <w:szCs w:val="21"/>
        </w:rPr>
      </w:pPr>
    </w:p>
    <w:p w14:paraId="264E602A">
      <w:pPr>
        <w:pStyle w:val="12"/>
        <w:spacing w:line="240" w:lineRule="auto"/>
        <w:rPr>
          <w:rFonts w:eastAsia="仿宋" w:cs="Times New Roman"/>
          <w:sz w:val="21"/>
          <w:szCs w:val="21"/>
          <w:lang w:eastAsia="zh-TW"/>
        </w:rPr>
      </w:pPr>
      <w:r>
        <w:rPr>
          <w:rFonts w:eastAsia="仿宋" w:cs="Times New Roman"/>
          <w:b/>
          <w:szCs w:val="24"/>
          <w:lang w:eastAsia="zh-TW"/>
        </w:rPr>
        <w:t>8.</w:t>
      </w:r>
      <w:r>
        <w:rPr>
          <w:rFonts w:eastAsia="仿宋" w:cs="Times New Roman"/>
          <w:b/>
          <w:szCs w:val="24"/>
          <w:lang w:eastAsia="zh-TW"/>
        </w:rPr>
        <w:tab/>
      </w:r>
      <w:r>
        <w:rPr>
          <w:rFonts w:eastAsia="仿宋" w:cs="Times New Roman"/>
          <w:b/>
          <w:szCs w:val="24"/>
        </w:rPr>
        <w:t>PACKING包装</w:t>
      </w:r>
    </w:p>
    <w:p w14:paraId="162FD3A9">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trike/>
          <w:szCs w:val="21"/>
        </w:rPr>
        <w:t xml:space="preserve"> </w:t>
      </w:r>
      <w:r>
        <w:rPr>
          <w:rFonts w:hint="eastAsia" w:eastAsia="仿宋" w:cs="Times New Roman"/>
          <w:szCs w:val="21"/>
        </w:rPr>
        <w:t>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xml:space="preserve">. Distinct part numbers of the Buyer, part names, quantity, batch mark, date of production and place of production shall be shown on the label.At any time, the Buyer may request different labeling and/or packing from the Seller’s standard export labeling and packing. </w:t>
      </w:r>
    </w:p>
    <w:p w14:paraId="24400076">
      <w:pPr>
        <w:pStyle w:val="12"/>
        <w:spacing w:line="240" w:lineRule="auto"/>
        <w:ind w:left="477" w:hanging="476" w:hangingChars="227"/>
        <w:rPr>
          <w:rFonts w:eastAsia="仿宋" w:cs="Times New Roman"/>
          <w:sz w:val="21"/>
          <w:szCs w:val="21"/>
          <w:lang w:eastAsia="zh-TW"/>
        </w:rPr>
      </w:pPr>
    </w:p>
    <w:p w14:paraId="07902629">
      <w:pPr>
        <w:widowControl w:val="0"/>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w:t>
      </w:r>
      <w:r>
        <w:rPr>
          <w:rFonts w:hint="eastAsia" w:eastAsia="仿宋" w:cs="Times New Roman"/>
          <w:szCs w:val="21"/>
        </w:rPr>
        <w:t>/空运</w:t>
      </w:r>
      <w:r>
        <w:rPr>
          <w:rFonts w:eastAsia="仿宋" w:cs="Times New Roman"/>
          <w:szCs w:val="21"/>
        </w:rPr>
        <w:t>运输标准的包装并且防雨防潮。</w:t>
      </w:r>
      <w:r>
        <w:rPr>
          <w:rFonts w:hint="eastAsia" w:eastAsia="仿宋" w:cs="Times New Roman"/>
          <w:szCs w:val="21"/>
        </w:rPr>
        <w:t>标签上须有明显的买方件号、件名、数量及批号标识和生产日期、发运地等。买方可随时要求卖方提供不同于卖方标准出口标识和包装的标识和包装。</w:t>
      </w:r>
    </w:p>
    <w:p w14:paraId="367F4EC4">
      <w:pPr>
        <w:spacing w:line="240" w:lineRule="auto"/>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46" w:name="_Hlk110350048"/>
      <w:r>
        <w:rPr>
          <w:rFonts w:eastAsia="仿宋" w:cs="Times New Roman"/>
          <w:szCs w:val="21"/>
        </w:rPr>
        <w:t>Commodities</w:t>
      </w:r>
      <w:bookmarkEnd w:id="46"/>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14:paraId="707BF46A">
      <w:pPr>
        <w:spacing w:line="240" w:lineRule="auto"/>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14:paraId="7C5F7867">
      <w:pPr>
        <w:numPr>
          <w:ilvl w:val="1"/>
          <w:numId w:val="11"/>
        </w:numPr>
        <w:tabs>
          <w:tab w:val="left" w:pos="420"/>
          <w:tab w:val="clear" w:pos="360"/>
        </w:tabs>
        <w:spacing w:line="240" w:lineRule="auto"/>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14:paraId="4A0265D3">
      <w:pPr>
        <w:spacing w:line="240" w:lineRule="auto"/>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14:paraId="13C3186D">
      <w:pPr>
        <w:spacing w:line="240" w:lineRule="auto"/>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14:paraId="22F78B83">
      <w:pPr>
        <w:spacing w:line="240" w:lineRule="auto"/>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14:paraId="2F52112E">
      <w:pPr>
        <w:spacing w:line="240" w:lineRule="auto"/>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14:paraId="76F4A4B9">
      <w:pPr>
        <w:tabs>
          <w:tab w:val="left" w:pos="360"/>
        </w:tabs>
        <w:spacing w:line="240" w:lineRule="auto"/>
        <w:ind w:left="422" w:hanging="422" w:hangingChars="200"/>
        <w:rPr>
          <w:rFonts w:eastAsia="仿宋" w:cs="Times New Roman"/>
          <w:b/>
          <w:sz w:val="24"/>
          <w:szCs w:val="24"/>
        </w:rPr>
      </w:pPr>
      <w:r>
        <w:rPr>
          <w:rFonts w:eastAsia="仿宋" w:cs="Times New Roman"/>
          <w:b/>
          <w:szCs w:val="21"/>
        </w:rPr>
        <w:t xml:space="preserve">8.6 </w:t>
      </w:r>
      <w:r>
        <w:rPr>
          <w:rFonts w:hint="eastAsia" w:eastAsia="仿宋" w:cs="Times New Roman"/>
          <w:b/>
          <w:szCs w:val="21"/>
        </w:rPr>
        <w:t xml:space="preserve"> </w:t>
      </w:r>
      <w:r>
        <w:rPr>
          <w:rFonts w:eastAsia="仿宋" w:cs="Times New Roman"/>
          <w:szCs w:val="21"/>
        </w:rPr>
        <w:t>After the</w:t>
      </w:r>
      <w:r>
        <w:rPr>
          <w:rFonts w:eastAsia="仿宋" w:cs="Times New Roman"/>
          <w:szCs w:val="21"/>
          <w:lang w:eastAsia="zh-TW"/>
        </w:rPr>
        <w:t xml:space="preserve"> Commodities</w:t>
      </w:r>
      <w:r>
        <w:rPr>
          <w:rFonts w:eastAsia="仿宋" w:cs="Times New Roman"/>
          <w:szCs w:val="21"/>
        </w:rPr>
        <w:t xml:space="preserve"> arrive at the</w:t>
      </w:r>
      <w:r>
        <w:rPr>
          <w:rFonts w:hint="eastAsia" w:eastAsia="仿宋" w:cs="Times New Roman"/>
          <w:szCs w:val="21"/>
        </w:rPr>
        <w:t xml:space="preserve"> </w:t>
      </w:r>
      <w:r>
        <w:rPr>
          <w:rFonts w:eastAsia="仿宋" w:cs="Times New Roman"/>
          <w:szCs w:val="21"/>
        </w:rPr>
        <w:t xml:space="preserve">Buyer's </w:t>
      </w:r>
      <w:r>
        <w:rPr>
          <w:rFonts w:hint="eastAsia" w:eastAsia="仿宋" w:cs="Times New Roman"/>
          <w:szCs w:val="21"/>
        </w:rPr>
        <w:t>or the</w:t>
      </w:r>
      <w:r>
        <w:rPr>
          <w:rFonts w:eastAsia="仿宋" w:cs="Times New Roman"/>
          <w:szCs w:val="21"/>
        </w:rPr>
        <w:t xml:space="preserve"> Enduser's</w:t>
      </w:r>
      <w:r>
        <w:rPr>
          <w:rFonts w:hint="eastAsia" w:eastAsia="仿宋" w:cs="Times New Roman"/>
          <w:szCs w:val="21"/>
        </w:rPr>
        <w:t xml:space="preserve"> </w:t>
      </w:r>
      <w:r>
        <w:rPr>
          <w:rFonts w:eastAsia="仿宋" w:cs="Times New Roman"/>
          <w:szCs w:val="21"/>
        </w:rPr>
        <w:t xml:space="preserve">factory, the Buyer may initiate a claim under Article 16 for any loss of the </w:t>
      </w:r>
      <w:r>
        <w:rPr>
          <w:rFonts w:eastAsia="仿宋" w:cs="Times New Roman"/>
          <w:szCs w:val="21"/>
          <w:lang w:eastAsia="zh-TW"/>
        </w:rPr>
        <w:t>Commodities, notwithstanding any absence of</w:t>
      </w:r>
      <w:r>
        <w:rPr>
          <w:rFonts w:eastAsia="仿宋" w:cs="Times New Roman"/>
          <w:szCs w:val="21"/>
        </w:rPr>
        <w:t xml:space="preserve"> damage to the appearance of the container/packing box.</w:t>
      </w:r>
    </w:p>
    <w:p w14:paraId="4A8187F2">
      <w:pPr>
        <w:spacing w:line="240" w:lineRule="auto"/>
        <w:ind w:left="422" w:leftChars="200" w:hanging="2" w:hangingChars="1"/>
        <w:rPr>
          <w:rFonts w:eastAsia="仿宋" w:cs="Times New Roman"/>
          <w:szCs w:val="21"/>
        </w:rPr>
      </w:pPr>
      <w:r>
        <w:rPr>
          <w:rFonts w:hint="eastAsia" w:eastAsia="仿宋" w:cs="Times New Roman"/>
          <w:szCs w:val="21"/>
        </w:rPr>
        <w:t>货物到达买方或最终用户工厂后，即使在集装箱</w:t>
      </w:r>
      <w:r>
        <w:rPr>
          <w:rFonts w:eastAsia="仿宋" w:cs="Times New Roman"/>
          <w:szCs w:val="21"/>
        </w:rPr>
        <w:t>/</w:t>
      </w:r>
      <w:r>
        <w:rPr>
          <w:rFonts w:hint="eastAsia" w:eastAsia="仿宋" w:cs="Times New Roman"/>
          <w:szCs w:val="21"/>
        </w:rPr>
        <w:t>包装箱外观没有损坏的情况下，买方亦可根据本合同第1</w:t>
      </w:r>
      <w:r>
        <w:rPr>
          <w:rFonts w:eastAsia="仿宋" w:cs="Times New Roman"/>
          <w:szCs w:val="21"/>
        </w:rPr>
        <w:t>6</w:t>
      </w:r>
      <w:r>
        <w:rPr>
          <w:rFonts w:hint="eastAsia" w:eastAsia="仿宋" w:cs="Times New Roman"/>
          <w:szCs w:val="21"/>
        </w:rPr>
        <w:t>条就货物的任何损失发起索赔。</w:t>
      </w:r>
    </w:p>
    <w:p w14:paraId="64D6EDB5">
      <w:pPr>
        <w:spacing w:line="240" w:lineRule="auto"/>
        <w:ind w:left="426" w:hanging="426"/>
        <w:rPr>
          <w:rFonts w:eastAsia="仿宋" w:cs="Times New Roman"/>
          <w:szCs w:val="21"/>
          <w:lang w:eastAsia="zh-TW"/>
        </w:rPr>
      </w:pPr>
    </w:p>
    <w:p w14:paraId="0A9C7583">
      <w:pPr>
        <w:spacing w:line="240" w:lineRule="auto"/>
        <w:ind w:left="360" w:hanging="360"/>
        <w:rPr>
          <w:rFonts w:eastAsia="仿宋" w:cs="Times New Roman"/>
          <w:b/>
          <w:szCs w:val="21"/>
        </w:rPr>
      </w:pPr>
    </w:p>
    <w:p w14:paraId="7B174599">
      <w:pPr>
        <w:spacing w:line="240" w:lineRule="auto"/>
        <w:ind w:left="360" w:hanging="360"/>
        <w:rPr>
          <w:rFonts w:eastAsia="仿宋" w:cs="Times New Roman"/>
          <w:b/>
          <w:szCs w:val="21"/>
        </w:rPr>
      </w:pPr>
    </w:p>
    <w:p w14:paraId="67F279CD">
      <w:pPr>
        <w:spacing w:line="240" w:lineRule="auto"/>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14:paraId="1E8329A9">
      <w:pPr>
        <w:spacing w:line="240" w:lineRule="auto"/>
        <w:rPr>
          <w:rFonts w:eastAsia="仿宋" w:cs="Times New Roman"/>
          <w:szCs w:val="21"/>
        </w:rPr>
      </w:pPr>
    </w:p>
    <w:p w14:paraId="25F3E3ED">
      <w:pPr>
        <w:spacing w:line="240" w:lineRule="auto"/>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14:paraId="033242A9">
      <w:pPr>
        <w:spacing w:line="240" w:lineRule="auto"/>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14:paraId="0E438A59">
      <w:pPr>
        <w:numPr>
          <w:ilvl w:val="0"/>
          <w:numId w:val="12"/>
        </w:numPr>
        <w:spacing w:line="240" w:lineRule="auto"/>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14:paraId="23A2243A">
      <w:pPr>
        <w:spacing w:line="240" w:lineRule="auto"/>
        <w:ind w:left="851"/>
        <w:rPr>
          <w:rFonts w:eastAsia="仿宋" w:cs="Times New Roman"/>
          <w:szCs w:val="21"/>
        </w:rPr>
      </w:pPr>
      <w:r>
        <w:rPr>
          <w:rFonts w:eastAsia="仿宋" w:cs="Times New Roman"/>
          <w:szCs w:val="21"/>
        </w:rPr>
        <w:t>卖方应根据本合同第五条安排发货。</w:t>
      </w:r>
    </w:p>
    <w:p w14:paraId="16506C98">
      <w:pPr>
        <w:numPr>
          <w:ilvl w:val="0"/>
          <w:numId w:val="12"/>
        </w:numPr>
        <w:spacing w:line="240" w:lineRule="auto"/>
        <w:rPr>
          <w:rFonts w:eastAsia="仿宋" w:cs="Times New Roman"/>
          <w:szCs w:val="21"/>
        </w:rPr>
      </w:pPr>
      <w:r>
        <w:rPr>
          <w:rFonts w:eastAsia="仿宋" w:cs="Times New Roman"/>
          <w:szCs w:val="21"/>
        </w:rPr>
        <w:t>partial shipment is not allowed;</w:t>
      </w:r>
    </w:p>
    <w:p w14:paraId="2C7ADABB">
      <w:pPr>
        <w:spacing w:line="240" w:lineRule="auto"/>
        <w:ind w:left="851"/>
        <w:rPr>
          <w:rFonts w:eastAsia="仿宋" w:cs="Times New Roman"/>
          <w:szCs w:val="21"/>
        </w:rPr>
      </w:pPr>
      <w:r>
        <w:rPr>
          <w:rFonts w:eastAsia="仿宋" w:cs="Times New Roman"/>
          <w:szCs w:val="21"/>
        </w:rPr>
        <w:t>不允许分批装运。</w:t>
      </w:r>
    </w:p>
    <w:p w14:paraId="54B64D43">
      <w:pPr>
        <w:numPr>
          <w:ilvl w:val="0"/>
          <w:numId w:val="12"/>
        </w:numPr>
        <w:spacing w:line="240" w:lineRule="auto"/>
        <w:rPr>
          <w:rFonts w:eastAsia="仿宋" w:cs="Times New Roman"/>
          <w:szCs w:val="21"/>
        </w:rPr>
      </w:pPr>
      <w:r>
        <w:rPr>
          <w:rFonts w:eastAsia="仿宋" w:cs="Times New Roman"/>
          <w:szCs w:val="21"/>
        </w:rPr>
        <w:t>transshipment of the Commodities is not allowed;</w:t>
      </w:r>
    </w:p>
    <w:p w14:paraId="6915660E">
      <w:pPr>
        <w:spacing w:line="240" w:lineRule="auto"/>
        <w:ind w:left="851"/>
        <w:rPr>
          <w:rFonts w:eastAsia="仿宋" w:cs="Times New Roman"/>
          <w:szCs w:val="21"/>
        </w:rPr>
      </w:pPr>
      <w:r>
        <w:rPr>
          <w:rFonts w:eastAsia="仿宋" w:cs="Times New Roman"/>
          <w:szCs w:val="21"/>
        </w:rPr>
        <w:t>不允许转船运输。</w:t>
      </w:r>
    </w:p>
    <w:p w14:paraId="37A59E2B">
      <w:pPr>
        <w:numPr>
          <w:ilvl w:val="0"/>
          <w:numId w:val="12"/>
        </w:numPr>
        <w:spacing w:line="240" w:lineRule="auto"/>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14:paraId="3DC71235">
      <w:pPr>
        <w:spacing w:line="240" w:lineRule="auto"/>
        <w:ind w:left="720"/>
        <w:rPr>
          <w:rFonts w:eastAsia="仿宋" w:cs="Times New Roman"/>
          <w:szCs w:val="21"/>
        </w:rPr>
      </w:pPr>
      <w:r>
        <w:rPr>
          <w:rFonts w:eastAsia="仿宋" w:cs="Times New Roman"/>
          <w:szCs w:val="21"/>
        </w:rPr>
        <w:t>本合同项下的货物不得由悬挂买方不接受的国旗的船只运输</w:t>
      </w:r>
      <w:r>
        <w:rPr>
          <w:rFonts w:hint="eastAsia" w:eastAsia="仿宋" w:cs="Times New Roman"/>
          <w:szCs w:val="21"/>
        </w:rPr>
        <w:t>。</w:t>
      </w:r>
    </w:p>
    <w:p w14:paraId="4917DED1">
      <w:pPr>
        <w:numPr>
          <w:ilvl w:val="0"/>
          <w:numId w:val="12"/>
        </w:numPr>
        <w:spacing w:line="240" w:lineRule="auto"/>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14:paraId="373F6BD5">
      <w:pPr>
        <w:spacing w:line="240" w:lineRule="auto"/>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14:paraId="74DEAEDD">
      <w:pPr>
        <w:spacing w:line="240" w:lineRule="auto"/>
        <w:ind w:left="360" w:hanging="360"/>
        <w:rPr>
          <w:rFonts w:eastAsia="仿宋" w:cs="Times New Roman"/>
          <w:szCs w:val="21"/>
        </w:rPr>
      </w:pPr>
    </w:p>
    <w:p w14:paraId="53BDEEC6">
      <w:pPr>
        <w:numPr>
          <w:ilvl w:val="1"/>
          <w:numId w:val="13"/>
        </w:numPr>
        <w:spacing w:line="240" w:lineRule="auto"/>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14:paraId="09A5069A">
      <w:pPr>
        <w:spacing w:line="240" w:lineRule="auto"/>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14:paraId="12EF046F">
      <w:pPr>
        <w:spacing w:line="240" w:lineRule="auto"/>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14:paraId="6B246B92">
      <w:pPr>
        <w:spacing w:line="240" w:lineRule="auto"/>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14:paraId="3514BD67">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14:paraId="1E433132">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14:paraId="0D9A3ADC">
      <w:pPr>
        <w:spacing w:line="240" w:lineRule="auto"/>
        <w:ind w:left="210" w:leftChars="100" w:firstLine="210" w:firstLineChars="100"/>
        <w:rPr>
          <w:rFonts w:eastAsia="仿宋" w:cs="Times New Roman"/>
          <w:szCs w:val="21"/>
        </w:rPr>
      </w:pPr>
    </w:p>
    <w:p w14:paraId="4A66CCBE">
      <w:pPr>
        <w:spacing w:line="240" w:lineRule="auto"/>
        <w:ind w:left="360" w:hanging="360"/>
        <w:rPr>
          <w:rFonts w:eastAsia="仿宋" w:cs="Times New Roman"/>
          <w:b/>
          <w:szCs w:val="21"/>
        </w:rPr>
      </w:pPr>
    </w:p>
    <w:p w14:paraId="41E3D6B4">
      <w:pPr>
        <w:spacing w:line="240" w:lineRule="auto"/>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14:paraId="506DDC1F">
      <w:pPr>
        <w:spacing w:line="240" w:lineRule="auto"/>
        <w:ind w:left="426" w:hanging="426"/>
        <w:rPr>
          <w:rFonts w:eastAsia="仿宋" w:cs="Times New Roman"/>
          <w:b/>
          <w:szCs w:val="21"/>
          <w:lang w:eastAsia="zh-TW"/>
        </w:rPr>
      </w:pPr>
    </w:p>
    <w:p w14:paraId="55FBAD51">
      <w:pPr>
        <w:spacing w:line="240" w:lineRule="auto"/>
        <w:ind w:left="479" w:leftChars="228"/>
        <w:rPr>
          <w:rFonts w:eastAsia="仿宋" w:cs="Times New Roman"/>
          <w:szCs w:val="21"/>
        </w:rPr>
      </w:pPr>
      <w:r>
        <w:rPr>
          <w:rFonts w:eastAsia="仿宋" w:cs="Times New Roman"/>
          <w:szCs w:val="21"/>
          <w:lang w:eastAsia="zh-TW"/>
        </w:rPr>
        <w:t>The total price of the Commodities under this Contract is</w:t>
      </w:r>
      <w:r>
        <w:rPr>
          <w:rFonts w:hint="eastAsia" w:eastAsia="仿宋" w:cs="Times New Roman"/>
          <w:szCs w:val="21"/>
        </w:rPr>
        <w:t>【】</w:t>
      </w:r>
    </w:p>
    <w:p w14:paraId="6D73F4D4">
      <w:pPr>
        <w:spacing w:line="240" w:lineRule="auto"/>
        <w:ind w:left="360" w:hanging="360"/>
        <w:rPr>
          <w:rFonts w:eastAsia="仿宋" w:cs="Times New Roman"/>
          <w:b/>
          <w:szCs w:val="21"/>
          <w:lang w:eastAsia="zh-TW"/>
        </w:rPr>
      </w:pPr>
    </w:p>
    <w:p w14:paraId="54D8013C">
      <w:pPr>
        <w:spacing w:line="240" w:lineRule="auto"/>
        <w:ind w:left="522" w:leftChars="222" w:hanging="56" w:hangingChars="27"/>
        <w:rPr>
          <w:rFonts w:eastAsia="仿宋" w:cs="Times New Roman"/>
          <w:szCs w:val="21"/>
        </w:rPr>
      </w:pPr>
      <w:r>
        <w:rPr>
          <w:rFonts w:eastAsia="仿宋" w:cs="Times New Roman"/>
          <w:szCs w:val="21"/>
        </w:rPr>
        <w:t>本合同项下的货物总价为</w:t>
      </w:r>
      <w:r>
        <w:rPr>
          <w:rFonts w:hint="eastAsia" w:eastAsia="仿宋" w:cs="Times New Roman"/>
          <w:szCs w:val="21"/>
        </w:rPr>
        <w:t>【】</w:t>
      </w:r>
      <w:r>
        <w:rPr>
          <w:rFonts w:eastAsia="仿宋" w:cs="Times New Roman"/>
          <w:szCs w:val="21"/>
        </w:rPr>
        <w:t>。</w:t>
      </w:r>
    </w:p>
    <w:p w14:paraId="15C6D590">
      <w:pPr>
        <w:spacing w:line="240" w:lineRule="auto"/>
        <w:ind w:left="415" w:leftChars="171" w:hanging="56" w:hangingChars="27"/>
        <w:rPr>
          <w:rFonts w:eastAsia="仿宋" w:cs="Times New Roman"/>
          <w:szCs w:val="21"/>
        </w:rPr>
      </w:pPr>
    </w:p>
    <w:p w14:paraId="2BEB1A34">
      <w:pPr>
        <w:spacing w:line="240" w:lineRule="auto"/>
        <w:ind w:left="426" w:hanging="426"/>
        <w:rPr>
          <w:rFonts w:eastAsia="仿宋" w:cs="Times New Roman"/>
          <w:szCs w:val="21"/>
        </w:rPr>
      </w:pPr>
    </w:p>
    <w:p w14:paraId="11BBB56F">
      <w:pPr>
        <w:spacing w:line="240" w:lineRule="auto"/>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CIF/CIP</w:t>
      </w:r>
    </w:p>
    <w:p w14:paraId="2D98A013">
      <w:pPr>
        <w:spacing w:line="240" w:lineRule="auto"/>
        <w:rPr>
          <w:rFonts w:eastAsia="仿宋" w:cs="Times New Roman"/>
          <w:szCs w:val="21"/>
          <w:lang w:eastAsia="zh-TW"/>
        </w:rPr>
      </w:pPr>
    </w:p>
    <w:p w14:paraId="7D134C89">
      <w:pPr>
        <w:spacing w:line="240" w:lineRule="auto"/>
        <w:ind w:firstLine="420" w:firstLineChars="200"/>
        <w:rPr>
          <w:rFonts w:eastAsia="仿宋" w:cs="Times New Roman"/>
          <w:szCs w:val="21"/>
        </w:rPr>
      </w:pPr>
      <w:r>
        <w:rPr>
          <w:rFonts w:eastAsia="仿宋" w:cs="Times New Roman"/>
          <w:szCs w:val="21"/>
        </w:rPr>
        <w:t>Payment shall be made by the Buyer by installments as follows:</w:t>
      </w:r>
    </w:p>
    <w:p w14:paraId="36648E65">
      <w:pPr>
        <w:spacing w:line="240" w:lineRule="auto"/>
        <w:ind w:left="447" w:leftChars="213"/>
        <w:rPr>
          <w:rFonts w:eastAsia="仿宋" w:cs="Times New Roman"/>
          <w:szCs w:val="21"/>
        </w:rPr>
      </w:pPr>
      <w:r>
        <w:rPr>
          <w:rFonts w:eastAsia="仿宋" w:cs="Times New Roman"/>
          <w:szCs w:val="21"/>
        </w:rPr>
        <w:t>买方应根据如下方式分期支付货款：</w:t>
      </w:r>
    </w:p>
    <w:p w14:paraId="7F6DF55B">
      <w:pPr>
        <w:spacing w:line="240" w:lineRule="auto"/>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14:paraId="2D00C287">
      <w:pPr>
        <w:spacing w:line="240" w:lineRule="auto"/>
        <w:ind w:left="567" w:leftChars="270" w:firstLine="210" w:firstLineChars="100"/>
        <w:rPr>
          <w:rFonts w:eastAsia="仿宋" w:cs="Times New Roman"/>
          <w:szCs w:val="21"/>
        </w:rPr>
      </w:pPr>
      <w:r>
        <w:rPr>
          <w:rFonts w:eastAsia="仿宋" w:cs="Times New Roman"/>
          <w:szCs w:val="21"/>
        </w:rPr>
        <w:t>预付款10%</w:t>
      </w:r>
    </w:p>
    <w:p w14:paraId="39B09C82">
      <w:pPr>
        <w:numPr>
          <w:ilvl w:val="0"/>
          <w:numId w:val="14"/>
        </w:numPr>
        <w:spacing w:line="240" w:lineRule="auto"/>
        <w:rPr>
          <w:rFonts w:eastAsia="仿宋" w:cs="Times New Roman"/>
          <w:szCs w:val="21"/>
          <w:lang w:eastAsia="zh-TW"/>
        </w:rPr>
      </w:pPr>
      <w:bookmarkStart w:id="47" w:name="OLE_LINK21"/>
      <w:r>
        <w:rPr>
          <w:rFonts w:eastAsia="仿宋" w:cs="Times New Roman"/>
          <w:szCs w:val="21"/>
        </w:rPr>
        <w:t>Ten percent (10%) of the total Contract Value, i.e.</w:t>
      </w:r>
      <w:r>
        <w:rPr>
          <w:rFonts w:eastAsia="仿宋" w:cs="Times New Roman"/>
          <w:b/>
          <w:bCs/>
          <w:szCs w:val="21"/>
        </w:rPr>
        <w:t xml:space="preserve"> </w:t>
      </w:r>
      <w:r>
        <w:rPr>
          <w:rFonts w:hint="eastAsia" w:eastAsia="仿宋" w:cs="Times New Roman"/>
          <w:szCs w:val="21"/>
        </w:rPr>
        <w:t>【】</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bookmarkEnd w:id="47"/>
      <w:r>
        <w:rPr>
          <w:rFonts w:eastAsia="仿宋" w:cs="Times New Roman"/>
          <w:szCs w:val="21"/>
          <w:lang w:eastAsia="zh-TW"/>
        </w:rPr>
        <w:t xml:space="preserve"> </w:t>
      </w:r>
    </w:p>
    <w:p w14:paraId="7F8660D5">
      <w:pPr>
        <w:spacing w:line="240" w:lineRule="auto"/>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w:t>
      </w:r>
      <w:r>
        <w:rPr>
          <w:rFonts w:hint="eastAsia" w:eastAsia="仿宋" w:cs="Times New Roman"/>
          <w:szCs w:val="21"/>
        </w:rPr>
        <w:t>【】</w:t>
      </w:r>
      <w:r>
        <w:rPr>
          <w:rFonts w:eastAsia="仿宋" w:cs="Times New Roman"/>
          <w:szCs w:val="21"/>
        </w:rPr>
        <w:t>作为预付款支付给卖方。</w:t>
      </w:r>
    </w:p>
    <w:p w14:paraId="76846548">
      <w:pPr>
        <w:numPr>
          <w:ilvl w:val="0"/>
          <w:numId w:val="14"/>
        </w:numPr>
        <w:spacing w:line="240" w:lineRule="auto"/>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hint="eastAsia" w:eastAsia="仿宋" w:cs="Times New Roman"/>
          <w:szCs w:val="21"/>
        </w:rPr>
        <w:t>【】</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14:paraId="05A79ECB">
      <w:pPr>
        <w:spacing w:line="240" w:lineRule="auto"/>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日，若交货延期，卖方应相应延长保函的有效期。</w:t>
      </w:r>
    </w:p>
    <w:p w14:paraId="38015A09">
      <w:pPr>
        <w:spacing w:line="240" w:lineRule="auto"/>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14:paraId="693AEA2E">
      <w:pPr>
        <w:spacing w:line="240" w:lineRule="auto"/>
        <w:rPr>
          <w:rFonts w:eastAsia="仿宋" w:cs="Times New Roman"/>
          <w:szCs w:val="21"/>
        </w:rPr>
      </w:pPr>
      <w:r>
        <w:rPr>
          <w:rFonts w:eastAsia="仿宋" w:cs="Times New Roman"/>
          <w:szCs w:val="21"/>
          <w:lang w:eastAsia="zh-TW"/>
        </w:rPr>
        <w:tab/>
      </w:r>
      <w:r>
        <w:rPr>
          <w:rFonts w:eastAsia="仿宋" w:cs="Times New Roman"/>
          <w:szCs w:val="21"/>
        </w:rPr>
        <w:t xml:space="preserve">    90%货款</w:t>
      </w:r>
    </w:p>
    <w:p w14:paraId="12BD7BD0">
      <w:pPr>
        <w:spacing w:line="240" w:lineRule="auto"/>
        <w:rPr>
          <w:rFonts w:eastAsia="仿宋" w:cs="Times New Roman"/>
          <w:szCs w:val="21"/>
        </w:rPr>
      </w:pPr>
    </w:p>
    <w:p w14:paraId="51B3180E">
      <w:pPr>
        <w:spacing w:line="240" w:lineRule="auto"/>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xml:space="preserve">, for a sum of ninety percent (90%) of total Contract Value, i.e. </w:t>
      </w:r>
      <w:r>
        <w:rPr>
          <w:rFonts w:hint="eastAsia" w:eastAsia="仿宋" w:cs="Times New Roman"/>
          <w:szCs w:val="21"/>
        </w:rPr>
        <w:t>【】</w:t>
      </w:r>
      <w:r>
        <w:rPr>
          <w:rFonts w:eastAsia="仿宋" w:cs="Times New Roman"/>
          <w:szCs w:val="21"/>
        </w:rPr>
        <w:t xml:space="preserve"> in favour of the Seller and valid for twenty-one (21) calendar days after Final Acceptance. The draft of L/C should be sent to the Seller 7 days before its official issue date.</w:t>
      </w:r>
    </w:p>
    <w:p w14:paraId="134C5A8E">
      <w:pPr>
        <w:spacing w:line="240" w:lineRule="auto"/>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w:t>
      </w:r>
      <w:r>
        <w:rPr>
          <w:rFonts w:hint="eastAsia" w:eastAsia="仿宋" w:cs="Times New Roman"/>
          <w:szCs w:val="21"/>
        </w:rPr>
        <w:t>【】</w:t>
      </w:r>
      <w:r>
        <w:rPr>
          <w:rFonts w:eastAsia="仿宋" w:cs="Times New Roman"/>
          <w:szCs w:val="21"/>
        </w:rPr>
        <w:t>，信用证有效期为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14:paraId="1ADAF863">
      <w:pPr>
        <w:numPr>
          <w:ilvl w:val="0"/>
          <w:numId w:val="15"/>
        </w:numPr>
        <w:spacing w:line="240" w:lineRule="auto"/>
        <w:rPr>
          <w:rFonts w:eastAsia="仿宋" w:cs="Times New Roman"/>
          <w:szCs w:val="21"/>
        </w:rPr>
      </w:pPr>
      <w:r>
        <w:rPr>
          <w:rFonts w:eastAsia="仿宋" w:cs="Times New Roman"/>
          <w:szCs w:val="21"/>
        </w:rPr>
        <w:t>Eighty percent (80%) of shipment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following documents:</w:t>
      </w:r>
    </w:p>
    <w:p w14:paraId="386677EC">
      <w:pPr>
        <w:spacing w:line="240" w:lineRule="auto"/>
        <w:ind w:firstLine="840" w:firstLineChars="400"/>
        <w:rPr>
          <w:rFonts w:eastAsia="仿宋" w:cs="Times New Roman"/>
          <w:szCs w:val="21"/>
        </w:rPr>
      </w:pPr>
      <w:r>
        <w:rPr>
          <w:rFonts w:eastAsia="仿宋" w:cs="Times New Roman"/>
          <w:szCs w:val="21"/>
        </w:rPr>
        <w:t>在</w:t>
      </w:r>
      <w:r>
        <w:rPr>
          <w:rFonts w:hint="eastAsia" w:eastAsia="仿宋" w:cs="Times New Roman"/>
          <w:szCs w:val="21"/>
        </w:rPr>
        <w:t>具备以下单据后，</w:t>
      </w:r>
      <w:r>
        <w:rPr>
          <w:rFonts w:eastAsia="仿宋" w:cs="Times New Roman"/>
          <w:szCs w:val="21"/>
        </w:rPr>
        <w:t>买方应将</w:t>
      </w:r>
      <w:r>
        <w:rPr>
          <w:rFonts w:hint="eastAsia" w:eastAsia="仿宋" w:cs="Times New Roman"/>
          <w:szCs w:val="21"/>
        </w:rPr>
        <w:t>交货</w:t>
      </w:r>
      <w:r>
        <w:rPr>
          <w:rFonts w:eastAsia="仿宋" w:cs="Times New Roman"/>
          <w:szCs w:val="21"/>
        </w:rPr>
        <w:t>金额的80%即</w:t>
      </w:r>
      <w:r>
        <w:rPr>
          <w:rFonts w:hint="eastAsia" w:eastAsia="仿宋" w:cs="Times New Roman"/>
          <w:szCs w:val="21"/>
        </w:rPr>
        <w:t>【】</w:t>
      </w:r>
      <w:r>
        <w:rPr>
          <w:rFonts w:eastAsia="仿宋" w:cs="Times New Roman"/>
          <w:szCs w:val="21"/>
        </w:rPr>
        <w:t>支付给卖方</w:t>
      </w:r>
      <w:r>
        <w:rPr>
          <w:rFonts w:hint="eastAsia" w:eastAsia="仿宋" w:cs="Times New Roman"/>
          <w:szCs w:val="21"/>
        </w:rPr>
        <w:t>：</w:t>
      </w:r>
    </w:p>
    <w:p w14:paraId="7D57516D">
      <w:pPr>
        <w:numPr>
          <w:ilvl w:val="0"/>
          <w:numId w:val="16"/>
        </w:numPr>
        <w:spacing w:line="240" w:lineRule="auto"/>
        <w:ind w:left="750" w:leftChars="357"/>
        <w:rPr>
          <w:rFonts w:eastAsia="仿宋" w:cs="Times New Roman"/>
          <w:szCs w:val="21"/>
        </w:rPr>
      </w:pPr>
      <w:r>
        <w:rPr>
          <w:rFonts w:eastAsia="仿宋" w:cs="Times New Roman"/>
          <w:szCs w:val="21"/>
        </w:rPr>
        <w:t>The pre-acceptance report (“</w:t>
      </w:r>
      <w:r>
        <w:rPr>
          <w:rFonts w:eastAsia="仿宋" w:cs="Times New Roman"/>
          <w:szCs w:val="21"/>
          <w:lang w:val="en-GB"/>
        </w:rPr>
        <w:t>Pre-Acceptance Report</w:t>
      </w:r>
      <w:r>
        <w:rPr>
          <w:rFonts w:eastAsia="仿宋" w:cs="Times New Roman"/>
          <w:szCs w:val="21"/>
        </w:rPr>
        <w:t xml:space="preserve">”) shall be signed by the </w:t>
      </w:r>
      <w:bookmarkStart w:id="48" w:name="OLE_LINK27"/>
      <w:r>
        <w:rPr>
          <w:rFonts w:eastAsia="仿宋" w:cs="Times New Roman"/>
          <w:szCs w:val="21"/>
        </w:rPr>
        <w:t>Seller and the End User</w:t>
      </w:r>
      <w:bookmarkEnd w:id="48"/>
      <w:r>
        <w:rPr>
          <w:rFonts w:eastAsia="仿宋" w:cs="Times New Roman"/>
          <w:szCs w:val="21"/>
        </w:rPr>
        <w:t xml:space="preserve"> in accordance with </w:t>
      </w:r>
      <w:r>
        <w:rPr>
          <w:rFonts w:hint="eastAsia" w:eastAsia="仿宋" w:cs="Times New Roman"/>
          <w:szCs w:val="21"/>
        </w:rPr>
        <w:t xml:space="preserve">this Contract and </w:t>
      </w:r>
      <w:r>
        <w:rPr>
          <w:rFonts w:eastAsia="仿宋" w:cs="Times New Roman"/>
          <w:szCs w:val="21"/>
        </w:rPr>
        <w:t>the Technical Agreement</w:t>
      </w:r>
      <w:r>
        <w:rPr>
          <w:rFonts w:hint="eastAsia" w:eastAsia="仿宋" w:cs="Times New Roman"/>
          <w:szCs w:val="21"/>
        </w:rPr>
        <w:t>;</w:t>
      </w:r>
    </w:p>
    <w:p w14:paraId="6375650C">
      <w:pPr>
        <w:tabs>
          <w:tab w:val="left" w:pos="1134"/>
        </w:tabs>
        <w:spacing w:line="240" w:lineRule="auto"/>
        <w:ind w:left="945" w:leftChars="400" w:hanging="105" w:hangingChars="50"/>
        <w:rPr>
          <w:rFonts w:eastAsia="仿宋" w:cs="Times New Roman"/>
          <w:szCs w:val="21"/>
        </w:rPr>
      </w:pPr>
      <w:r>
        <w:rPr>
          <w:rFonts w:hint="eastAsia" w:eastAsia="仿宋" w:cs="Times New Roman"/>
          <w:szCs w:val="21"/>
        </w:rPr>
        <w:t>卖方和最终用户根据本合同及《技术协议》签署的预验收报告（“《预验收报告》”）；</w:t>
      </w:r>
    </w:p>
    <w:p w14:paraId="3CDF9A04">
      <w:pPr>
        <w:numPr>
          <w:ilvl w:val="0"/>
          <w:numId w:val="16"/>
        </w:numPr>
        <w:spacing w:line="240" w:lineRule="auto"/>
        <w:ind w:left="750" w:leftChars="357"/>
        <w:rPr>
          <w:rFonts w:eastAsia="仿宋" w:cs="Times New Roman"/>
          <w:szCs w:val="21"/>
        </w:rPr>
      </w:pPr>
      <w:r>
        <w:t>the Seller’s draft(s) drawn at sight on the L/C opening bank for 80% invoice value of this item</w:t>
      </w:r>
      <w:r>
        <w:rPr>
          <w:rFonts w:hint="eastAsia"/>
        </w:rPr>
        <w:t>；</w:t>
      </w:r>
      <w:r>
        <w:t xml:space="preserve"> </w:t>
      </w:r>
    </w:p>
    <w:p w14:paraId="63A7D0DB">
      <w:pPr>
        <w:numPr>
          <w:ilvl w:val="0"/>
          <w:numId w:val="16"/>
        </w:numPr>
        <w:spacing w:line="240" w:lineRule="auto"/>
        <w:ind w:left="750" w:leftChars="357"/>
        <w:rPr>
          <w:rFonts w:eastAsia="仿宋" w:cs="Times New Roman"/>
          <w:szCs w:val="21"/>
        </w:rPr>
      </w:pPr>
      <w:r>
        <w:rPr>
          <w:rFonts w:hint="eastAsia" w:eastAsia="仿宋" w:cs="Times New Roman"/>
          <w:szCs w:val="21"/>
        </w:rPr>
        <w:t xml:space="preserve">   卖</w:t>
      </w:r>
      <w:r>
        <w:rPr>
          <w:rFonts w:eastAsia="仿宋" w:cs="Times New Roman"/>
          <w:szCs w:val="21"/>
        </w:rPr>
        <w:t>方通过向开证行提交</w:t>
      </w:r>
      <w:r>
        <w:rPr>
          <w:rFonts w:hint="eastAsia" w:eastAsia="仿宋" w:cs="Times New Roman"/>
          <w:szCs w:val="21"/>
        </w:rPr>
        <w:t>交货</w:t>
      </w:r>
      <w:r>
        <w:rPr>
          <w:rFonts w:eastAsia="仿宋" w:cs="Times New Roman"/>
          <w:szCs w:val="21"/>
        </w:rPr>
        <w:t>金额80%的即期汇票</w:t>
      </w:r>
      <w:r>
        <w:rPr>
          <w:rFonts w:hint="eastAsia" w:eastAsia="仿宋" w:cs="Times New Roman"/>
          <w:szCs w:val="21"/>
        </w:rPr>
        <w:t>；</w:t>
      </w:r>
    </w:p>
    <w:p w14:paraId="4AE6CD15">
      <w:pPr>
        <w:numPr>
          <w:ilvl w:val="0"/>
          <w:numId w:val="16"/>
        </w:numPr>
        <w:spacing w:line="240" w:lineRule="auto"/>
        <w:ind w:left="750" w:leftChars="357"/>
        <w:rPr>
          <w:rFonts w:eastAsia="仿宋" w:cs="Times New Roman"/>
          <w:szCs w:val="21"/>
        </w:rPr>
      </w:pPr>
      <w:r>
        <w:rPr>
          <w:rFonts w:eastAsia="仿宋" w:cs="Times New Roman"/>
          <w:szCs w:val="21"/>
        </w:rPr>
        <w:t>the shipping documents specified in the Article 12</w:t>
      </w:r>
      <w:r>
        <w:rPr>
          <w:rFonts w:hint="eastAsia" w:eastAsia="仿宋" w:cs="Times New Roman"/>
          <w:szCs w:val="21"/>
        </w:rPr>
        <w:t xml:space="preserve"> </w:t>
      </w:r>
      <w:r>
        <w:rPr>
          <w:rFonts w:eastAsia="仿宋" w:cs="Times New Roman"/>
          <w:szCs w:val="21"/>
        </w:rPr>
        <w:t>below.</w:t>
      </w:r>
    </w:p>
    <w:p w14:paraId="3F0C6E3C">
      <w:pPr>
        <w:tabs>
          <w:tab w:val="left" w:pos="1134"/>
        </w:tabs>
        <w:spacing w:line="240" w:lineRule="auto"/>
        <w:ind w:left="945" w:hanging="945" w:hangingChars="450"/>
        <w:rPr>
          <w:rFonts w:eastAsia="仿宋" w:cs="Times New Roman"/>
          <w:szCs w:val="21"/>
        </w:rPr>
      </w:pPr>
      <w:r>
        <w:rPr>
          <w:rFonts w:eastAsia="仿宋" w:cs="Times New Roman"/>
          <w:szCs w:val="21"/>
        </w:rPr>
        <w:t xml:space="preserve">         </w:t>
      </w:r>
      <w:r>
        <w:rPr>
          <w:rFonts w:hint="eastAsia" w:eastAsia="仿宋" w:cs="Times New Roman"/>
          <w:szCs w:val="21"/>
        </w:rPr>
        <w:t>本</w:t>
      </w:r>
      <w:r>
        <w:rPr>
          <w:rFonts w:eastAsia="仿宋" w:cs="Times New Roman"/>
          <w:szCs w:val="21"/>
        </w:rPr>
        <w:t>合同第十二条所指定的装船单据</w:t>
      </w:r>
      <w:r>
        <w:rPr>
          <w:rFonts w:hint="eastAsia" w:eastAsia="仿宋" w:cs="Times New Roman"/>
          <w:szCs w:val="21"/>
        </w:rPr>
        <w:t>。</w:t>
      </w:r>
    </w:p>
    <w:p w14:paraId="642039C4">
      <w:pPr>
        <w:tabs>
          <w:tab w:val="left" w:pos="1134"/>
        </w:tabs>
        <w:spacing w:line="240" w:lineRule="auto"/>
        <w:rPr>
          <w:rFonts w:eastAsia="仿宋" w:cs="Times New Roman"/>
          <w:szCs w:val="21"/>
        </w:rPr>
      </w:pPr>
      <w:r>
        <w:rPr>
          <w:rFonts w:eastAsia="仿宋" w:cs="Times New Roman"/>
          <w:szCs w:val="21"/>
        </w:rPr>
        <w:t xml:space="preserve"> </w:t>
      </w:r>
    </w:p>
    <w:p w14:paraId="7A029188">
      <w:pPr>
        <w:numPr>
          <w:ilvl w:val="0"/>
          <w:numId w:val="15"/>
        </w:numPr>
        <w:spacing w:line="240" w:lineRule="auto"/>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14:paraId="0D56AD1D">
      <w:pPr>
        <w:spacing w:line="240" w:lineRule="auto"/>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14:paraId="50A997A3">
      <w:pPr>
        <w:tabs>
          <w:tab w:val="left" w:pos="1134"/>
        </w:tabs>
        <w:spacing w:line="240" w:lineRule="auto"/>
        <w:ind w:left="945" w:leftChars="450"/>
        <w:rPr>
          <w:rFonts w:eastAsia="仿宋" w:cs="Times New Roman"/>
          <w:szCs w:val="21"/>
        </w:rPr>
      </w:pPr>
    </w:p>
    <w:p w14:paraId="046815DF">
      <w:pPr>
        <w:tabs>
          <w:tab w:val="left" w:pos="1134"/>
        </w:tabs>
        <w:spacing w:line="240" w:lineRule="auto"/>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14:paraId="506EB6F8">
      <w:pPr>
        <w:tabs>
          <w:tab w:val="left" w:pos="1134"/>
        </w:tabs>
        <w:spacing w:line="240" w:lineRule="auto"/>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14:paraId="38086B01">
      <w:pPr>
        <w:tabs>
          <w:tab w:val="left" w:pos="1134"/>
        </w:tabs>
        <w:spacing w:line="240" w:lineRule="auto"/>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14:paraId="308A65DD">
      <w:pPr>
        <w:tabs>
          <w:tab w:val="left" w:pos="1134"/>
        </w:tabs>
        <w:spacing w:line="240" w:lineRule="auto"/>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14:paraId="1230FF38">
      <w:pPr>
        <w:tabs>
          <w:tab w:val="left" w:pos="1134"/>
        </w:tabs>
        <w:spacing w:line="240" w:lineRule="auto"/>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14:paraId="2392F40E">
      <w:pPr>
        <w:tabs>
          <w:tab w:val="left" w:pos="1134"/>
        </w:tabs>
        <w:spacing w:line="240" w:lineRule="auto"/>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14:paraId="6DB76ADE">
      <w:pPr>
        <w:spacing w:line="240" w:lineRule="auto"/>
        <w:ind w:left="735" w:leftChars="350"/>
        <w:rPr>
          <w:rFonts w:eastAsia="仿宋" w:cs="Times New Roman"/>
          <w:szCs w:val="21"/>
        </w:rPr>
      </w:pPr>
    </w:p>
    <w:p w14:paraId="5D3A5C0D">
      <w:pPr>
        <w:topLinePunct/>
        <w:spacing w:line="240" w:lineRule="auto"/>
        <w:ind w:left="838" w:leftChars="57" w:hanging="718" w:hangingChars="342"/>
        <w:rPr>
          <w:rFonts w:eastAsia="仿宋" w:cs="Times New Roman"/>
          <w:bCs/>
          <w:szCs w:val="21"/>
        </w:rPr>
      </w:pPr>
      <w:r>
        <w:rPr>
          <w:rFonts w:hint="eastAsia" w:eastAsia="仿宋" w:cs="Times New Roman"/>
          <w:szCs w:val="21"/>
        </w:rPr>
        <w:t xml:space="preserve">11.3   </w:t>
      </w:r>
      <w:bookmarkStart w:id="49" w:name="OLE_LINK28"/>
      <w:r>
        <w:rPr>
          <w:rFonts w:eastAsia="仿宋" w:cs="Times New Roman"/>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hint="eastAsia" w:eastAsia="仿宋" w:cs="Times New Roman"/>
          <w:bCs/>
          <w:szCs w:val="21"/>
        </w:rPr>
        <w:t>20</w:t>
      </w:r>
      <w:r>
        <w:rPr>
          <w:rFonts w:eastAsia="仿宋" w:cs="Times New Roman"/>
          <w:bCs/>
          <w:szCs w:val="21"/>
        </w:rPr>
        <w:t>% of the Contract Value, the Buyer shall have the right to rescind the Contract.</w:t>
      </w:r>
    </w:p>
    <w:p w14:paraId="2B3EF55F">
      <w:pPr>
        <w:kinsoku w:val="0"/>
        <w:topLinePunct/>
        <w:spacing w:line="240" w:lineRule="auto"/>
        <w:ind w:left="861" w:leftChars="410"/>
        <w:rPr>
          <w:rFonts w:eastAsia="仿宋" w:cs="Times New Roman"/>
          <w:szCs w:val="21"/>
        </w:rPr>
      </w:pPr>
      <w:r>
        <w:rPr>
          <w:rFonts w:eastAsia="仿宋" w:cs="Times New Roman"/>
          <w:bCs/>
          <w:szCs w:val="21"/>
        </w:rPr>
        <w:t>如果卖方不能按照本合同规定的交货时间表准时交货、安装调试，卖方应支付迟延罚金，罚金每周收取合同价格的0.5%，不足一周按一周计算，买方有权根据上述计算结果修改信用证的金额。如果罚金达到20%仍然无法交货、安装调试，买方有权解除本合同。</w:t>
      </w:r>
      <w:bookmarkEnd w:id="49"/>
    </w:p>
    <w:p w14:paraId="5DF1755F">
      <w:pPr>
        <w:adjustRightInd w:val="0"/>
        <w:snapToGrid w:val="0"/>
        <w:spacing w:line="240" w:lineRule="auto"/>
        <w:ind w:left="840" w:hanging="840" w:hangingChars="400"/>
        <w:rPr>
          <w:rFonts w:eastAsia="仿宋" w:cs="Times New Roman"/>
          <w:bCs/>
          <w:szCs w:val="21"/>
        </w:rPr>
      </w:pPr>
      <w:r>
        <w:rPr>
          <w:rFonts w:hint="eastAsia" w:eastAsia="仿宋" w:cs="Times New Roman"/>
          <w:bCs/>
          <w:szCs w:val="21"/>
        </w:rPr>
        <w:t xml:space="preserve">11.4    </w:t>
      </w:r>
      <w:r>
        <w:rPr>
          <w:rFonts w:eastAsia="仿宋" w:cs="Times New Roman"/>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14:paraId="43C3CB38">
      <w:pPr>
        <w:adjustRightInd w:val="0"/>
        <w:snapToGrid w:val="0"/>
        <w:spacing w:line="240" w:lineRule="auto"/>
        <w:ind w:left="840" w:leftChars="400"/>
        <w:rPr>
          <w:rFonts w:eastAsia="仿宋" w:cs="Times New Roman"/>
          <w:bCs/>
          <w:szCs w:val="21"/>
        </w:rPr>
      </w:pPr>
      <w:r>
        <w:rPr>
          <w:rFonts w:hint="eastAsia" w:eastAsia="仿宋" w:cs="Times New Roman"/>
          <w:bCs/>
          <w:szCs w:val="21"/>
        </w:rPr>
        <w:t>买方在付款行完成汇出手续后即达成按期付款条件，如因中转行或收款行等原因导致卖方延迟或者无法收到货款的，买方不支付延迟付款利息或者承担其他赔偿责任。</w:t>
      </w:r>
    </w:p>
    <w:p w14:paraId="6BCF9704">
      <w:pPr>
        <w:adjustRightInd w:val="0"/>
        <w:snapToGrid w:val="0"/>
        <w:spacing w:line="240" w:lineRule="auto"/>
        <w:ind w:left="840" w:leftChars="400"/>
        <w:rPr>
          <w:rFonts w:eastAsia="仿宋" w:cs="Times New Roman"/>
          <w:bCs/>
          <w:szCs w:val="21"/>
        </w:rPr>
      </w:pPr>
    </w:p>
    <w:p w14:paraId="52B4B7E8">
      <w:pPr>
        <w:spacing w:line="240" w:lineRule="auto"/>
        <w:ind w:left="861" w:leftChars="410"/>
        <w:rPr>
          <w:rFonts w:eastAsia="仿宋" w:cs="Times New Roman"/>
          <w:szCs w:val="21"/>
        </w:rPr>
      </w:pPr>
    </w:p>
    <w:p w14:paraId="123F6BAC">
      <w:pPr>
        <w:spacing w:line="240" w:lineRule="auto"/>
        <w:ind w:left="838" w:leftChars="57" w:hanging="718" w:hangingChars="342"/>
        <w:rPr>
          <w:rFonts w:eastAsia="仿宋" w:cs="Times New Roman"/>
          <w:szCs w:val="21"/>
        </w:rPr>
      </w:pPr>
      <w:r>
        <w:rPr>
          <w:rFonts w:eastAsia="仿宋" w:cs="Times New Roman"/>
          <w:bCs/>
          <w:szCs w:val="21"/>
          <w:lang w:eastAsia="zh-TW"/>
        </w:rPr>
        <w:t>11.</w:t>
      </w:r>
      <w:r>
        <w:rPr>
          <w:rFonts w:hint="eastAsia" w:eastAsia="仿宋" w:cs="Times New Roman"/>
          <w:bCs/>
          <w:szCs w:val="21"/>
        </w:rPr>
        <w:t>5</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14:paraId="36BAC247">
      <w:pPr>
        <w:adjustRightInd w:val="0"/>
        <w:snapToGrid w:val="0"/>
        <w:spacing w:line="240" w:lineRule="auto"/>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14:paraId="7A544235">
      <w:pPr>
        <w:adjustRightInd w:val="0"/>
        <w:snapToGrid w:val="0"/>
        <w:spacing w:line="240" w:lineRule="auto"/>
        <w:ind w:left="840" w:leftChars="100" w:hanging="630" w:hangingChars="300"/>
        <w:rPr>
          <w:rFonts w:eastAsia="仿宋" w:cs="Times New Roman"/>
          <w:bCs/>
          <w:szCs w:val="21"/>
        </w:rPr>
      </w:pPr>
      <w:r>
        <w:rPr>
          <w:rFonts w:eastAsia="仿宋" w:cs="Times New Roman"/>
          <w:bCs/>
          <w:szCs w:val="21"/>
        </w:rPr>
        <w:t>11.</w:t>
      </w:r>
      <w:r>
        <w:rPr>
          <w:rFonts w:hint="eastAsia" w:eastAsia="仿宋" w:cs="Times New Roman"/>
          <w:bCs/>
          <w:szCs w:val="21"/>
        </w:rPr>
        <w:t>6</w:t>
      </w:r>
      <w:r>
        <w:rPr>
          <w:rFonts w:eastAsia="仿宋" w:cs="Times New Roman"/>
          <w:bCs/>
          <w:szCs w:val="21"/>
        </w:rPr>
        <w:t xml:space="preserve">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14:paraId="169FD7A1">
      <w:pPr>
        <w:adjustRightInd w:val="0"/>
        <w:snapToGrid w:val="0"/>
        <w:spacing w:line="240" w:lineRule="auto"/>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114686EF">
      <w:pPr>
        <w:adjustRightInd w:val="0"/>
        <w:snapToGrid w:val="0"/>
        <w:spacing w:line="240" w:lineRule="auto"/>
        <w:ind w:left="840" w:leftChars="400"/>
        <w:rPr>
          <w:rFonts w:eastAsia="仿宋" w:cs="Times New Roman"/>
          <w:bCs/>
          <w:szCs w:val="21"/>
        </w:rPr>
      </w:pPr>
    </w:p>
    <w:p w14:paraId="33BA657E">
      <w:pPr>
        <w:spacing w:line="240" w:lineRule="auto"/>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FCA.FOB</w:t>
      </w:r>
    </w:p>
    <w:p w14:paraId="5FCC684E">
      <w:pPr>
        <w:spacing w:line="240" w:lineRule="auto"/>
        <w:rPr>
          <w:rFonts w:eastAsia="仿宋" w:cs="Times New Roman"/>
          <w:szCs w:val="21"/>
          <w:lang w:eastAsia="zh-TW"/>
        </w:rPr>
      </w:pPr>
    </w:p>
    <w:p w14:paraId="47370F4C">
      <w:pPr>
        <w:spacing w:line="240" w:lineRule="auto"/>
        <w:ind w:firstLine="218" w:firstLineChars="104"/>
        <w:rPr>
          <w:rFonts w:eastAsia="仿宋" w:cs="Times New Roman"/>
          <w:szCs w:val="21"/>
        </w:rPr>
      </w:pPr>
      <w:r>
        <w:rPr>
          <w:rFonts w:eastAsia="仿宋" w:cs="Times New Roman"/>
          <w:szCs w:val="21"/>
        </w:rPr>
        <w:t>11.1 Payment shall be made by the Buyer as follows:</w:t>
      </w:r>
    </w:p>
    <w:p w14:paraId="14B83FFA">
      <w:pPr>
        <w:spacing w:line="240" w:lineRule="auto"/>
        <w:ind w:left="447" w:leftChars="213"/>
        <w:rPr>
          <w:rFonts w:eastAsia="仿宋" w:cs="Times New Roman"/>
          <w:szCs w:val="21"/>
        </w:rPr>
      </w:pPr>
      <w:r>
        <w:rPr>
          <w:rFonts w:eastAsia="仿宋" w:cs="Times New Roman"/>
          <w:szCs w:val="21"/>
        </w:rPr>
        <w:t>买方应根据如下方式支付货款：</w:t>
      </w:r>
    </w:p>
    <w:p w14:paraId="302432B6">
      <w:pPr>
        <w:spacing w:line="240" w:lineRule="auto"/>
        <w:ind w:left="447" w:leftChars="213"/>
        <w:rPr>
          <w:rFonts w:eastAsia="仿宋" w:cs="Times New Roman"/>
          <w:szCs w:val="21"/>
        </w:rPr>
      </w:pPr>
      <w:r>
        <w:rPr>
          <w:rFonts w:eastAsia="仿宋" w:cs="Times New Roman"/>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14:paraId="3C8CC36E">
      <w:pPr>
        <w:spacing w:line="240" w:lineRule="auto"/>
        <w:ind w:left="447" w:leftChars="213"/>
        <w:rPr>
          <w:rFonts w:eastAsia="仿宋" w:cs="Times New Roman"/>
          <w:szCs w:val="21"/>
        </w:rPr>
      </w:pPr>
      <w:r>
        <w:rPr>
          <w:rFonts w:eastAsia="仿宋" w:cs="Times New Roman"/>
          <w:szCs w:val="21"/>
        </w:rPr>
        <w:t>货物交付货运代理人24小时之内，卖方应通过传真或邮件发给买方12条提及的单据，同时把全套正本单据快递给买方。</w:t>
      </w:r>
    </w:p>
    <w:p w14:paraId="1E424684">
      <w:pPr>
        <w:spacing w:line="240" w:lineRule="auto"/>
        <w:ind w:left="420" w:leftChars="200"/>
        <w:rPr>
          <w:rFonts w:eastAsia="仿宋" w:cs="Times New Roman"/>
          <w:szCs w:val="21"/>
        </w:rPr>
      </w:pPr>
      <w:r>
        <w:rPr>
          <w:rFonts w:eastAsia="仿宋" w:cs="Times New Roman"/>
          <w:szCs w:val="21"/>
        </w:rPr>
        <w:t>Due payment to the Seller shall be effected 30 days after receipt of full set of original documents which specified in the Article 12 below .</w:t>
      </w:r>
    </w:p>
    <w:p w14:paraId="4E928BB1">
      <w:pPr>
        <w:numPr>
          <w:ilvl w:val="1"/>
          <w:numId w:val="0"/>
        </w:numPr>
        <w:tabs>
          <w:tab w:val="left" w:pos="567"/>
        </w:tabs>
        <w:ind w:left="447" w:leftChars="213"/>
        <w:rPr>
          <w:rFonts w:eastAsia="仿宋" w:cs="Times New Roman"/>
          <w:szCs w:val="21"/>
        </w:rPr>
      </w:pPr>
      <w:r>
        <w:rPr>
          <w:rFonts w:eastAsia="仿宋" w:cs="Times New Roman"/>
          <w:szCs w:val="21"/>
        </w:rPr>
        <w:t>买方收到全套正本单据（货物商业发票、提货单、质量证书、包装材料声明、产地证）后30天电汇货款。</w:t>
      </w:r>
    </w:p>
    <w:p w14:paraId="067B18F3">
      <w:pPr>
        <w:numPr>
          <w:ilvl w:val="1"/>
          <w:numId w:val="0"/>
        </w:numPr>
        <w:tabs>
          <w:tab w:val="left" w:pos="567"/>
        </w:tabs>
        <w:ind w:left="444" w:leftChars="104" w:hanging="226" w:hangingChars="108"/>
        <w:jc w:val="left"/>
        <w:rPr>
          <w:rFonts w:ascii="Arial" w:hAnsi="Arial" w:eastAsia="楷体_GB2312"/>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xml:space="preserve"> 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hint="eastAsia" w:eastAsia="仿宋" w:cs="Times New Roman"/>
          <w:szCs w:val="21"/>
        </w:rPr>
        <w:t>,</w:t>
      </w:r>
      <w:r>
        <w:rPr>
          <w:rFonts w:eastAsia="仿宋" w:cs="Times New Roman"/>
          <w:szCs w:val="21"/>
        </w:rPr>
        <w:t xml:space="preserve"> installation and commissioning after the liquidated damages </w:t>
      </w:r>
      <w:r>
        <w:rPr>
          <w:rFonts w:eastAsia="仿宋" w:cs="Times New Roman"/>
          <w:szCs w:val="21"/>
          <w:lang w:eastAsia="zh-TW"/>
        </w:rPr>
        <w:t>reach 20% of the Contract Value</w:t>
      </w:r>
      <w:r>
        <w:rPr>
          <w:rFonts w:eastAsia="仿宋" w:cs="Times New Roman"/>
          <w:szCs w:val="21"/>
        </w:rPr>
        <w:t>, the Buyer shall have the right to withdraw the Contract and the Seller shall still be obligated to pay the full amount of the aforesaid liquidated damages.</w:t>
      </w:r>
    </w:p>
    <w:p w14:paraId="7F9D1DB6">
      <w:pPr>
        <w:numPr>
          <w:ilvl w:val="1"/>
          <w:numId w:val="0"/>
        </w:numPr>
        <w:tabs>
          <w:tab w:val="left" w:pos="567"/>
        </w:tabs>
        <w:ind w:left="447" w:leftChars="213"/>
        <w:rPr>
          <w:rFonts w:ascii="Arial" w:hAnsi="Arial" w:eastAsia="楷体_GB2312"/>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的0.5%，不足一周按一周计算。如果罚金达到</w:t>
      </w:r>
      <w:r>
        <w:rPr>
          <w:rFonts w:hint="eastAsia" w:eastAsia="仿宋" w:cs="Times New Roman"/>
          <w:szCs w:val="21"/>
        </w:rPr>
        <w:t>20</w:t>
      </w:r>
      <w:r>
        <w:rPr>
          <w:rFonts w:eastAsia="仿宋" w:cs="Times New Roman"/>
          <w:szCs w:val="21"/>
        </w:rPr>
        <w:t>%仍然无法交货</w:t>
      </w:r>
      <w:r>
        <w:rPr>
          <w:rFonts w:hint="eastAsia" w:eastAsia="仿宋" w:cs="Times New Roman"/>
          <w:szCs w:val="21"/>
        </w:rPr>
        <w:t>、安装调试，</w:t>
      </w:r>
      <w:r>
        <w:rPr>
          <w:rFonts w:eastAsia="仿宋" w:cs="Times New Roman"/>
          <w:szCs w:val="21"/>
        </w:rPr>
        <w:t>买方有权解除本合同，卖方仍应支付上述罚金。</w:t>
      </w:r>
    </w:p>
    <w:p w14:paraId="50950582">
      <w:pPr>
        <w:numPr>
          <w:ilvl w:val="1"/>
          <w:numId w:val="0"/>
        </w:numPr>
        <w:tabs>
          <w:tab w:val="left" w:pos="567"/>
        </w:tabs>
        <w:ind w:left="444" w:leftChars="104" w:hanging="226" w:hangingChars="108"/>
        <w:rPr>
          <w:rFonts w:ascii="Arial" w:hAnsi="Arial" w:eastAsia="楷体_GB2312"/>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14:paraId="2CF9AF7B">
      <w:pPr>
        <w:numPr>
          <w:ilvl w:val="1"/>
          <w:numId w:val="0"/>
        </w:numPr>
        <w:tabs>
          <w:tab w:val="left" w:pos="567"/>
        </w:tabs>
        <w:ind w:left="447" w:leftChars="213"/>
        <w:rPr>
          <w:rFonts w:ascii="Arial" w:hAnsi="Arial" w:eastAsia="楷体_GB2312"/>
          <w:szCs w:val="21"/>
        </w:rPr>
      </w:pPr>
      <w:r>
        <w:rPr>
          <w:rFonts w:eastAsia="仿宋" w:cs="Times New Roman"/>
          <w:szCs w:val="21"/>
        </w:rPr>
        <w:t>买方银行包括代理行的银行费用和佣金由买方支付。卖方银行及其代理行的费用和佣金由卖方支付。</w:t>
      </w:r>
    </w:p>
    <w:p w14:paraId="1922FB87">
      <w:pPr>
        <w:numPr>
          <w:ilvl w:val="1"/>
          <w:numId w:val="0"/>
        </w:numPr>
        <w:tabs>
          <w:tab w:val="left" w:pos="567"/>
        </w:tabs>
        <w:ind w:left="444" w:leftChars="104" w:hanging="226" w:hangingChars="108"/>
        <w:rPr>
          <w:rFonts w:ascii="Arial" w:hAnsi="Arial" w:eastAsia="仿宋"/>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r>
        <w:rPr>
          <w:rFonts w:hint="eastAsia" w:eastAsia="仿宋" w:cs="Times New Roman"/>
          <w:bCs/>
          <w:szCs w:val="21"/>
        </w:rPr>
        <w:t xml:space="preserve">                            </w:t>
      </w:r>
    </w:p>
    <w:p w14:paraId="06CB6052">
      <w:pPr>
        <w:numPr>
          <w:ilvl w:val="1"/>
          <w:numId w:val="0"/>
        </w:numPr>
        <w:tabs>
          <w:tab w:val="left" w:pos="567"/>
        </w:tabs>
        <w:ind w:left="447" w:leftChars="213"/>
        <w:rPr>
          <w:rFonts w:ascii="Arial" w:hAnsi="Arial" w:eastAsia="楷体_GB2312"/>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40B2C0D2">
      <w:pPr>
        <w:numPr>
          <w:ilvl w:val="1"/>
          <w:numId w:val="0"/>
        </w:numPr>
        <w:tabs>
          <w:tab w:val="left" w:pos="567"/>
        </w:tabs>
        <w:ind w:left="447" w:leftChars="213"/>
        <w:rPr>
          <w:rFonts w:ascii="Arial" w:hAnsi="Arial" w:eastAsia="楷体_GB2312"/>
          <w:szCs w:val="21"/>
        </w:rPr>
      </w:pPr>
    </w:p>
    <w:p w14:paraId="3599FC25">
      <w:pPr>
        <w:adjustRightInd w:val="0"/>
        <w:snapToGrid w:val="0"/>
        <w:spacing w:line="240" w:lineRule="auto"/>
        <w:rPr>
          <w:rFonts w:eastAsia="仿宋" w:cs="Times New Roman"/>
          <w:bCs/>
          <w:szCs w:val="21"/>
        </w:rPr>
      </w:pPr>
    </w:p>
    <w:p w14:paraId="2E4F83EC">
      <w:pPr>
        <w:spacing w:line="240" w:lineRule="auto"/>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14:paraId="77AD5759">
      <w:pPr>
        <w:spacing w:line="240" w:lineRule="auto"/>
        <w:ind w:left="210" w:hanging="210" w:hangingChars="100"/>
        <w:rPr>
          <w:rFonts w:eastAsia="仿宋" w:cs="Times New Roman"/>
          <w:szCs w:val="21"/>
          <w:lang w:eastAsia="zh-TW"/>
        </w:rPr>
      </w:pPr>
    </w:p>
    <w:p w14:paraId="1018C0FB">
      <w:pPr>
        <w:spacing w:line="240" w:lineRule="auto"/>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14:paraId="7C7AC501">
      <w:pPr>
        <w:spacing w:line="240" w:lineRule="auto"/>
        <w:ind w:left="210" w:hanging="210" w:hangingChars="100"/>
        <w:rPr>
          <w:rFonts w:eastAsia="仿宋" w:cs="Times New Roman"/>
          <w:szCs w:val="21"/>
          <w:lang w:eastAsia="zh-TW"/>
        </w:rPr>
      </w:pPr>
    </w:p>
    <w:p w14:paraId="50EAAEB1">
      <w:pPr>
        <w:numPr>
          <w:ilvl w:val="0"/>
          <w:numId w:val="17"/>
        </w:numPr>
        <w:tabs>
          <w:tab w:val="left" w:pos="993"/>
        </w:tabs>
        <w:spacing w:line="240" w:lineRule="auto"/>
        <w:rPr>
          <w:rFonts w:eastAsia="仿宋" w:cs="Times New Roman"/>
          <w:szCs w:val="21"/>
        </w:rPr>
      </w:pPr>
      <w:r>
        <w:rPr>
          <w:rFonts w:hint="eastAsia" w:eastAsia="仿宋" w:cs="Times New Roman"/>
          <w:b/>
          <w:bCs/>
          <w:i/>
          <w:iCs/>
          <w:szCs w:val="21"/>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14:paraId="44AE125E">
      <w:pPr>
        <w:spacing w:line="240" w:lineRule="auto"/>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14:paraId="264808AB">
      <w:pPr>
        <w:tabs>
          <w:tab w:val="left" w:pos="933"/>
          <w:tab w:val="left" w:pos="993"/>
        </w:tabs>
        <w:ind w:left="1050" w:leftChars="500"/>
        <w:rPr>
          <w:rFonts w:eastAsia="仿宋" w:cs="Times New Roman"/>
          <w:szCs w:val="21"/>
        </w:rPr>
      </w:pPr>
      <w:r>
        <w:rPr>
          <w:rFonts w:hint="eastAsia" w:eastAsia="仿宋" w:cs="Times New Roman"/>
          <w:b/>
          <w:bCs/>
          <w:i/>
          <w:iCs/>
          <w:szCs w:val="21"/>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14:paraId="0757E241">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14:paraId="652C2AE4">
      <w:pPr>
        <w:spacing w:line="240" w:lineRule="auto"/>
        <w:rPr>
          <w:rFonts w:eastAsia="仿宋" w:cs="Times New Roman"/>
          <w:szCs w:val="21"/>
        </w:rPr>
      </w:pPr>
    </w:p>
    <w:p w14:paraId="65C7CE3D">
      <w:pPr>
        <w:numPr>
          <w:ilvl w:val="0"/>
          <w:numId w:val="17"/>
        </w:numPr>
        <w:tabs>
          <w:tab w:val="left" w:pos="993"/>
        </w:tabs>
        <w:spacing w:line="240" w:lineRule="auto"/>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14:paraId="269B12B6">
      <w:pPr>
        <w:spacing w:line="240" w:lineRule="auto"/>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14:paraId="458E6BA4">
      <w:pPr>
        <w:numPr>
          <w:ilvl w:val="0"/>
          <w:numId w:val="17"/>
        </w:numPr>
        <w:tabs>
          <w:tab w:val="left" w:pos="993"/>
        </w:tabs>
        <w:spacing w:line="240" w:lineRule="auto"/>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14:paraId="20155E4D">
      <w:pPr>
        <w:spacing w:line="240" w:lineRule="auto"/>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14:paraId="7B43BDB3">
      <w:pPr>
        <w:numPr>
          <w:ilvl w:val="0"/>
          <w:numId w:val="17"/>
        </w:numPr>
        <w:tabs>
          <w:tab w:val="left" w:pos="993"/>
        </w:tabs>
        <w:spacing w:line="240" w:lineRule="auto"/>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14:paraId="0C8C4DCF">
      <w:pPr>
        <w:spacing w:line="240" w:lineRule="auto"/>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14:paraId="1D9946C4">
      <w:pPr>
        <w:tabs>
          <w:tab w:val="left" w:pos="709"/>
        </w:tabs>
        <w:snapToGrid w:val="0"/>
        <w:spacing w:line="240" w:lineRule="auto"/>
        <w:ind w:left="985" w:leftChars="469"/>
        <w:rPr>
          <w:rFonts w:eastAsia="仿宋" w:cs="Times New Roman"/>
          <w:szCs w:val="21"/>
        </w:rPr>
      </w:pPr>
      <w:r>
        <w:rPr>
          <w:rFonts w:eastAsia="楷体_GB2312" w:cs="Times New Roman"/>
          <w:szCs w:val="21"/>
        </w:rPr>
        <w:t>The Certificate of Quality shall include</w:t>
      </w:r>
      <w:r>
        <w:rPr>
          <w:rFonts w:hint="eastAsia" w:eastAsia="楷体_GB2312" w:cs="Times New Roman"/>
          <w:szCs w:val="21"/>
        </w:rPr>
        <w:t xml:space="preserve"> </w:t>
      </w:r>
      <w:r>
        <w:rPr>
          <w:rFonts w:eastAsia="楷体_GB2312" w:cs="Times New Roman"/>
          <w:szCs w:val="21"/>
        </w:rPr>
        <w:t>dimension results, mechanical properties (longitudinal and transverse static strength), microstructure, chemical composition, inspection certificate of</w:t>
      </w:r>
      <w:r>
        <w:rPr>
          <w:rFonts w:hint="eastAsia" w:eastAsia="楷体_GB2312" w:cs="Times New Roman"/>
          <w:szCs w:val="21"/>
        </w:rPr>
        <w:t xml:space="preserve"> </w:t>
      </w:r>
      <w:bookmarkStart w:id="50" w:name="OLE_LINK24"/>
      <w:bookmarkStart w:id="51" w:name="OLE_LINK22"/>
      <w:r>
        <w:rPr>
          <w:rFonts w:eastAsia="楷体_GB2312" w:cs="Times New Roman"/>
          <w:szCs w:val="21"/>
        </w:rPr>
        <w:t>hot rolled bars</w:t>
      </w:r>
      <w:bookmarkEnd w:id="50"/>
      <w:bookmarkEnd w:id="51"/>
      <w:r>
        <w:rPr>
          <w:rFonts w:eastAsia="楷体_GB2312" w:cs="Times New Roman"/>
          <w:szCs w:val="21"/>
        </w:rPr>
        <w:t>, etc.).</w:t>
      </w:r>
    </w:p>
    <w:p w14:paraId="6047C5C0">
      <w:pPr>
        <w:spacing w:line="240" w:lineRule="auto"/>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14:paraId="6C97FC0D">
      <w:pPr>
        <w:numPr>
          <w:ilvl w:val="0"/>
          <w:numId w:val="17"/>
        </w:numPr>
        <w:tabs>
          <w:tab w:val="left" w:pos="993"/>
        </w:tabs>
        <w:spacing w:line="240" w:lineRule="auto"/>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14:paraId="3D96007E">
      <w:pPr>
        <w:tabs>
          <w:tab w:val="left" w:pos="993"/>
        </w:tabs>
        <w:spacing w:line="240" w:lineRule="auto"/>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14:paraId="051D5849">
      <w:pPr>
        <w:numPr>
          <w:ilvl w:val="0"/>
          <w:numId w:val="17"/>
        </w:numPr>
        <w:tabs>
          <w:tab w:val="left" w:pos="993"/>
        </w:tabs>
        <w:spacing w:line="240" w:lineRule="auto"/>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14:paraId="2ABA42B8">
      <w:pPr>
        <w:tabs>
          <w:tab w:val="left" w:pos="993"/>
        </w:tabs>
        <w:spacing w:line="240" w:lineRule="auto"/>
        <w:ind w:left="933"/>
        <w:rPr>
          <w:rFonts w:eastAsia="仿宋" w:cs="Times New Roman"/>
          <w:szCs w:val="21"/>
        </w:rPr>
      </w:pPr>
      <w:r>
        <w:rPr>
          <w:rFonts w:eastAsia="仿宋" w:cs="Times New Roman"/>
          <w:szCs w:val="21"/>
        </w:rPr>
        <w:t>每批货物总值110%一切险的保单。</w:t>
      </w:r>
    </w:p>
    <w:p w14:paraId="4CE6B775">
      <w:pPr>
        <w:numPr>
          <w:ilvl w:val="0"/>
          <w:numId w:val="17"/>
        </w:numPr>
        <w:tabs>
          <w:tab w:val="left" w:pos="993"/>
        </w:tabs>
        <w:spacing w:line="240" w:lineRule="auto"/>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14:paraId="7558B918">
      <w:pPr>
        <w:tabs>
          <w:tab w:val="left" w:pos="993"/>
        </w:tabs>
        <w:spacing w:line="240" w:lineRule="auto"/>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14:paraId="4B406684">
      <w:pPr>
        <w:numPr>
          <w:ilvl w:val="0"/>
          <w:numId w:val="17"/>
        </w:numPr>
        <w:tabs>
          <w:tab w:val="left" w:pos="993"/>
        </w:tabs>
        <w:spacing w:line="240" w:lineRule="auto"/>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14:paraId="584FADF0">
      <w:pPr>
        <w:spacing w:line="240" w:lineRule="auto"/>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14:paraId="1C6F9BB5">
      <w:pPr>
        <w:numPr>
          <w:ilvl w:val="0"/>
          <w:numId w:val="17"/>
        </w:numPr>
        <w:tabs>
          <w:tab w:val="left" w:pos="993"/>
        </w:tabs>
        <w:spacing w:line="240" w:lineRule="auto"/>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14:paraId="6B9DDE72">
      <w:pPr>
        <w:numPr>
          <w:ilvl w:val="0"/>
          <w:numId w:val="17"/>
        </w:numPr>
        <w:tabs>
          <w:tab w:val="left" w:pos="993"/>
        </w:tabs>
        <w:spacing w:line="240" w:lineRule="auto"/>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14:paraId="72FC2A73">
      <w:pPr>
        <w:spacing w:line="240" w:lineRule="auto"/>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14:paraId="73BC495A">
      <w:pPr>
        <w:spacing w:line="240" w:lineRule="auto"/>
        <w:ind w:left="993"/>
        <w:rPr>
          <w:rFonts w:eastAsia="仿宋" w:cs="Times New Roman"/>
          <w:szCs w:val="21"/>
        </w:rPr>
      </w:pPr>
    </w:p>
    <w:p w14:paraId="6CC7163F">
      <w:pPr>
        <w:spacing w:line="240" w:lineRule="auto"/>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14:paraId="2E7D7B49">
      <w:pPr>
        <w:spacing w:line="240" w:lineRule="auto"/>
        <w:rPr>
          <w:rFonts w:eastAsia="仿宋" w:cs="Times New Roman"/>
          <w:szCs w:val="21"/>
          <w:lang w:eastAsia="zh-TW"/>
        </w:rPr>
      </w:pPr>
    </w:p>
    <w:p w14:paraId="08964322">
      <w:pPr>
        <w:numPr>
          <w:ilvl w:val="0"/>
          <w:numId w:val="18"/>
        </w:numPr>
        <w:spacing w:line="240" w:lineRule="auto"/>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14:paraId="759A2416">
      <w:pPr>
        <w:spacing w:line="240" w:lineRule="auto"/>
        <w:ind w:left="735" w:leftChars="350"/>
        <w:rPr>
          <w:rFonts w:eastAsia="仿宋" w:cs="Times New Roman"/>
          <w:szCs w:val="21"/>
        </w:rPr>
      </w:pPr>
      <w:r>
        <w:rPr>
          <w:rFonts w:eastAsia="仿宋" w:cs="Times New Roman"/>
          <w:szCs w:val="21"/>
        </w:rPr>
        <w:t>根据技术协议，卖方应准备并提供给最终用户技术文件。</w:t>
      </w:r>
    </w:p>
    <w:p w14:paraId="7E680960">
      <w:pPr>
        <w:numPr>
          <w:ilvl w:val="0"/>
          <w:numId w:val="18"/>
        </w:numPr>
        <w:spacing w:line="240" w:lineRule="auto"/>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14:paraId="65B342D9">
      <w:pPr>
        <w:spacing w:line="240" w:lineRule="auto"/>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14:paraId="3F6B794F">
      <w:pPr>
        <w:numPr>
          <w:ilvl w:val="0"/>
          <w:numId w:val="18"/>
        </w:numPr>
        <w:spacing w:line="240" w:lineRule="auto"/>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14:paraId="7903A864">
      <w:pPr>
        <w:spacing w:line="240" w:lineRule="auto"/>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14:paraId="53B84E2B">
      <w:pPr>
        <w:numPr>
          <w:ilvl w:val="0"/>
          <w:numId w:val="18"/>
        </w:numPr>
        <w:spacing w:line="240" w:lineRule="auto"/>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14:paraId="145FAA7B">
      <w:pPr>
        <w:spacing w:line="240" w:lineRule="auto"/>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14:paraId="7C956597">
      <w:pPr>
        <w:spacing w:line="240" w:lineRule="auto"/>
        <w:rPr>
          <w:rFonts w:eastAsia="仿宋" w:cs="Times New Roman"/>
          <w:b/>
          <w:szCs w:val="21"/>
        </w:rPr>
      </w:pPr>
    </w:p>
    <w:p w14:paraId="321AF2D7">
      <w:pPr>
        <w:tabs>
          <w:tab w:val="left" w:pos="709"/>
        </w:tabs>
        <w:snapToGrid w:val="0"/>
        <w:spacing w:line="240" w:lineRule="auto"/>
        <w:rPr>
          <w:rFonts w:eastAsia="仿宋" w:cs="Times New Roman"/>
          <w:b/>
          <w:i/>
          <w:iCs/>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w:t>
      </w:r>
      <w:r>
        <w:rPr>
          <w:rFonts w:eastAsia="仿宋" w:cs="Times New Roman"/>
          <w:b/>
          <w:i/>
          <w:iCs/>
          <w:sz w:val="24"/>
          <w:szCs w:val="24"/>
        </w:rPr>
        <w:t>（CIP.CIF适用）</w:t>
      </w:r>
    </w:p>
    <w:p w14:paraId="2A6E4815">
      <w:pPr>
        <w:snapToGrid w:val="0"/>
        <w:spacing w:line="240" w:lineRule="auto"/>
        <w:rPr>
          <w:rFonts w:eastAsia="仿宋" w:cs="Times New Roman"/>
          <w:b/>
          <w:szCs w:val="21"/>
        </w:rPr>
      </w:pPr>
    </w:p>
    <w:p w14:paraId="069B6FEB">
      <w:pPr>
        <w:snapToGrid w:val="0"/>
        <w:spacing w:line="240" w:lineRule="auto"/>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14:paraId="7FC979A5">
      <w:pPr>
        <w:snapToGrid w:val="0"/>
        <w:spacing w:line="240" w:lineRule="auto"/>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14:paraId="40E68731">
      <w:pPr>
        <w:snapToGrid w:val="0"/>
        <w:spacing w:line="240" w:lineRule="auto"/>
        <w:ind w:left="619" w:hanging="619" w:hangingChars="295"/>
        <w:rPr>
          <w:rFonts w:eastAsia="仿宋" w:cs="Times New Roman"/>
          <w:szCs w:val="21"/>
        </w:rPr>
      </w:pPr>
    </w:p>
    <w:p w14:paraId="136DC03A">
      <w:pPr>
        <w:snapToGrid w:val="0"/>
        <w:spacing w:line="240" w:lineRule="auto"/>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14:paraId="5B0F3490">
      <w:pPr>
        <w:spacing w:line="240" w:lineRule="auto"/>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14:paraId="10B4BE2B">
      <w:pPr>
        <w:snapToGrid w:val="0"/>
        <w:spacing w:line="240" w:lineRule="auto"/>
        <w:rPr>
          <w:rFonts w:eastAsia="仿宋" w:cs="Times New Roman"/>
          <w:szCs w:val="21"/>
        </w:rPr>
      </w:pPr>
    </w:p>
    <w:p w14:paraId="7CE4EADD">
      <w:pPr>
        <w:snapToGrid w:val="0"/>
        <w:spacing w:line="240" w:lineRule="auto"/>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14:paraId="1CC39AC7">
      <w:pPr>
        <w:snapToGrid w:val="0"/>
        <w:spacing w:line="240" w:lineRule="auto"/>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14:paraId="0623E8B4">
      <w:pPr>
        <w:snapToGrid w:val="0"/>
        <w:spacing w:line="240" w:lineRule="auto"/>
        <w:rPr>
          <w:rFonts w:eastAsia="仿宋" w:cs="Times New Roman"/>
          <w:szCs w:val="21"/>
        </w:rPr>
      </w:pPr>
    </w:p>
    <w:p w14:paraId="488A489F">
      <w:pPr>
        <w:snapToGrid w:val="0"/>
        <w:spacing w:line="240" w:lineRule="auto"/>
        <w:rPr>
          <w:rFonts w:eastAsia="仿宋" w:cs="Times New Roman"/>
          <w:szCs w:val="21"/>
        </w:rPr>
      </w:pPr>
    </w:p>
    <w:p w14:paraId="59A9D260">
      <w:pPr>
        <w:tabs>
          <w:tab w:val="left" w:pos="709"/>
        </w:tabs>
        <w:snapToGrid w:val="0"/>
        <w:spacing w:line="240" w:lineRule="auto"/>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14:paraId="366471AA">
      <w:pPr>
        <w:snapToGrid w:val="0"/>
        <w:spacing w:line="240" w:lineRule="auto"/>
        <w:rPr>
          <w:rFonts w:eastAsia="仿宋" w:cs="Times New Roman"/>
          <w:b/>
          <w:szCs w:val="21"/>
        </w:rPr>
      </w:pPr>
    </w:p>
    <w:p w14:paraId="5263EFC1">
      <w:pPr>
        <w:snapToGrid w:val="0"/>
        <w:spacing w:line="240" w:lineRule="auto"/>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hint="eastAsia" w:eastAsia="仿宋" w:cs="Times New Roman"/>
          <w:szCs w:val="21"/>
        </w:rPr>
        <w:t xml:space="preserve">deduct the value </w:t>
      </w:r>
      <w:r>
        <w:rPr>
          <w:rFonts w:eastAsia="仿宋" w:cs="Times New Roman"/>
          <w:szCs w:val="21"/>
          <w:lang w:eastAsia="zh-TW"/>
        </w:rPr>
        <w:t>of such defective Commodities</w:t>
      </w:r>
      <w:r>
        <w:rPr>
          <w:rFonts w:hint="eastAsia" w:eastAsia="仿宋" w:cs="Times New Roman"/>
          <w:szCs w:val="21"/>
        </w:rPr>
        <w:t xml:space="preserve"> from</w:t>
      </w:r>
      <w:r>
        <w:rPr>
          <w:rFonts w:eastAsia="仿宋" w:cs="Times New Roman"/>
          <w:szCs w:val="21"/>
          <w:lang w:eastAsia="zh-TW"/>
        </w:rPr>
        <w:t xml:space="preserve"> the </w:t>
      </w:r>
      <w:r>
        <w:rPr>
          <w:rFonts w:hint="eastAsia" w:eastAsia="仿宋" w:cs="Times New Roman"/>
          <w:szCs w:val="21"/>
        </w:rPr>
        <w:t xml:space="preserve">payable </w:t>
      </w:r>
      <w:r>
        <w:rPr>
          <w:rFonts w:eastAsia="仿宋" w:cs="Times New Roman"/>
          <w:szCs w:val="21"/>
          <w:lang w:eastAsia="zh-TW"/>
        </w:rPr>
        <w:t>invoice value</w:t>
      </w:r>
      <w:r>
        <w:rPr>
          <w:rFonts w:eastAsia="仿宋" w:cs="Times New Roman"/>
          <w:szCs w:val="21"/>
        </w:rPr>
        <w:t xml:space="preserve">.      </w:t>
      </w:r>
    </w:p>
    <w:p w14:paraId="54EA4030">
      <w:pPr>
        <w:snapToGrid w:val="0"/>
        <w:spacing w:line="240" w:lineRule="auto"/>
        <w:ind w:left="607" w:leftChars="289" w:firstLine="10" w:firstLineChars="5"/>
        <w:rPr>
          <w:rFonts w:eastAsia="仿宋" w:cs="Times New Roman"/>
          <w:szCs w:val="21"/>
        </w:rPr>
      </w:pPr>
      <w:r>
        <w:rPr>
          <w:rFonts w:eastAsia="仿宋" w:cs="Times New Roman"/>
          <w:szCs w:val="21"/>
        </w:rPr>
        <w:t>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或在应付金额中扣减此类缺陷产品金额。</w:t>
      </w:r>
    </w:p>
    <w:p w14:paraId="31FDA1B1">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14:paraId="6D58813C">
      <w:pPr>
        <w:snapToGrid w:val="0"/>
        <w:spacing w:line="240" w:lineRule="auto"/>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14:paraId="72B5DA7F">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14:paraId="7D7DBF68">
      <w:pPr>
        <w:snapToGrid w:val="0"/>
        <w:spacing w:line="240" w:lineRule="auto"/>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14:paraId="4CAB042E">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14:paraId="0C69A9E9">
      <w:pPr>
        <w:spacing w:line="240" w:lineRule="auto"/>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14:paraId="488382CD">
      <w:pPr>
        <w:snapToGrid w:val="0"/>
        <w:spacing w:line="240" w:lineRule="auto"/>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14:paraId="2F81D8CA">
      <w:pPr>
        <w:snapToGrid w:val="0"/>
        <w:spacing w:line="240" w:lineRule="auto"/>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14:paraId="6982523E">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14:paraId="344C14FE">
      <w:pPr>
        <w:spacing w:line="240" w:lineRule="auto"/>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14:paraId="5C6DBA3D">
      <w:pPr>
        <w:snapToGrid w:val="0"/>
        <w:spacing w:line="240" w:lineRule="auto"/>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14:paraId="00B7F605">
      <w:pPr>
        <w:snapToGrid w:val="0"/>
        <w:spacing w:line="240" w:lineRule="auto"/>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14:paraId="3580E578">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 </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14:paraId="64E556A9">
      <w:pPr>
        <w:spacing w:line="240" w:lineRule="auto"/>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14:paraId="7E169A20">
      <w:pPr>
        <w:snapToGrid w:val="0"/>
        <w:spacing w:line="240" w:lineRule="auto"/>
        <w:rPr>
          <w:rFonts w:eastAsia="仿宋" w:cs="Times New Roman"/>
          <w:szCs w:val="21"/>
        </w:rPr>
      </w:pPr>
    </w:p>
    <w:p w14:paraId="5A918B85">
      <w:pPr>
        <w:snapToGrid w:val="0"/>
        <w:spacing w:line="240" w:lineRule="auto"/>
        <w:rPr>
          <w:rFonts w:eastAsia="仿宋" w:cs="Times New Roman"/>
          <w:szCs w:val="21"/>
        </w:rPr>
      </w:pPr>
    </w:p>
    <w:p w14:paraId="65E11096">
      <w:pPr>
        <w:tabs>
          <w:tab w:val="left" w:pos="709"/>
        </w:tabs>
        <w:snapToGrid w:val="0"/>
        <w:spacing w:line="240" w:lineRule="auto"/>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14:paraId="2BAC7ECE">
      <w:pPr>
        <w:snapToGrid w:val="0"/>
        <w:spacing w:line="240" w:lineRule="auto"/>
        <w:rPr>
          <w:rFonts w:eastAsia="仿宋" w:cs="Times New Roman"/>
          <w:b/>
          <w:szCs w:val="21"/>
        </w:rPr>
      </w:pPr>
    </w:p>
    <w:p w14:paraId="07997786">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14:paraId="05740BF8">
      <w:pPr>
        <w:pStyle w:val="20"/>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14:paraId="617CD08B">
      <w:pPr>
        <w:tabs>
          <w:tab w:val="left" w:pos="709"/>
        </w:tabs>
        <w:snapToGrid w:val="0"/>
        <w:spacing w:line="240" w:lineRule="auto"/>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14:paraId="00840188">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14:paraId="6BBD06BE">
      <w:pPr>
        <w:tabs>
          <w:tab w:val="left" w:pos="709"/>
        </w:tabs>
        <w:snapToGrid w:val="0"/>
        <w:spacing w:line="240" w:lineRule="auto"/>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14:paraId="6BE760C5">
      <w:pPr>
        <w:spacing w:line="240" w:lineRule="auto"/>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52" w:name="OLE_LINK17"/>
      <w:r>
        <w:rPr>
          <w:rFonts w:eastAsia="仿宋" w:cs="Times New Roman"/>
          <w:szCs w:val="21"/>
        </w:rPr>
        <w:t>中国主管检验检疫部门</w:t>
      </w:r>
      <w:bookmarkEnd w:id="52"/>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14:paraId="5032C25F">
      <w:pPr>
        <w:tabs>
          <w:tab w:val="left" w:pos="709"/>
        </w:tabs>
        <w:snapToGrid w:val="0"/>
        <w:spacing w:line="240" w:lineRule="auto"/>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14:paraId="369E09E4">
      <w:pPr>
        <w:tabs>
          <w:tab w:val="left" w:pos="709"/>
        </w:tabs>
        <w:snapToGrid w:val="0"/>
        <w:spacing w:line="240" w:lineRule="auto"/>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14:paraId="217E836C">
      <w:pPr>
        <w:spacing w:line="240" w:lineRule="auto"/>
        <w:ind w:left="619" w:hanging="619" w:hangingChars="295"/>
        <w:rPr>
          <w:rFonts w:eastAsia="仿宋" w:cs="Times New Roman"/>
          <w:szCs w:val="21"/>
        </w:rPr>
      </w:pPr>
      <w:r>
        <w:rPr>
          <w:rFonts w:eastAsia="仿宋" w:cs="Times New Roman"/>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szCs w:val="21"/>
        </w:rPr>
        <w:t>Defect</w:t>
      </w:r>
      <w:r>
        <w:rPr>
          <w:rFonts w:eastAsia="仿宋" w:cs="Times New Roman"/>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14:paraId="6F8C1F7F">
      <w:pPr>
        <w:tabs>
          <w:tab w:val="left" w:pos="709"/>
        </w:tabs>
        <w:snapToGrid w:val="0"/>
        <w:spacing w:line="240" w:lineRule="auto"/>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14:paraId="236D7DE7">
      <w:pPr>
        <w:spacing w:line="240" w:lineRule="auto"/>
        <w:ind w:left="619" w:leftChars="295"/>
        <w:rPr>
          <w:rFonts w:eastAsia="仿宋" w:cs="Times New Roman"/>
          <w:szCs w:val="21"/>
        </w:rPr>
      </w:pPr>
      <w:r>
        <w:rPr>
          <w:rFonts w:eastAsia="仿宋" w:cs="Times New Roman"/>
          <w:i/>
          <w:iCs/>
          <w:szCs w:val="21"/>
          <w:lang w:val="de-DE"/>
        </w:rPr>
        <w:t>(零部件项目适用)</w:t>
      </w:r>
      <w:r>
        <w:rPr>
          <w:rFonts w:eastAsia="仿宋" w:cs="Times New Roman"/>
          <w:szCs w:val="21"/>
          <w:lang w:val="de-DE"/>
        </w:rPr>
        <w:t>Without prejudice to Article 8.2, t</w:t>
      </w:r>
      <w:r>
        <w:rPr>
          <w:rFonts w:eastAsia="仿宋" w:cs="Times New Roman"/>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14:paraId="6F13334C">
      <w:pPr>
        <w:tabs>
          <w:tab w:val="left" w:pos="709"/>
        </w:tabs>
        <w:snapToGrid w:val="0"/>
        <w:spacing w:line="240" w:lineRule="auto"/>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各方同意运输过程中发生的锈蚀不应视为缺陷。最终用户应对此进行喷砂处理。根据本合同的规定，仅当此类锈蚀无法喷砂除掉时，有关货物将被作为缺陷产品处理。</w:t>
      </w:r>
    </w:p>
    <w:p w14:paraId="3C1E5FDB">
      <w:pPr>
        <w:tabs>
          <w:tab w:val="left" w:pos="709"/>
        </w:tabs>
        <w:snapToGrid w:val="0"/>
        <w:spacing w:line="240" w:lineRule="auto"/>
        <w:rPr>
          <w:rFonts w:eastAsia="仿宋" w:cs="Times New Roman"/>
          <w:szCs w:val="21"/>
          <w:lang w:val="de-DE"/>
        </w:rPr>
      </w:pPr>
    </w:p>
    <w:p w14:paraId="778C988C">
      <w:pPr>
        <w:tabs>
          <w:tab w:val="left" w:pos="709"/>
        </w:tabs>
        <w:snapToGrid w:val="0"/>
        <w:spacing w:line="240" w:lineRule="auto"/>
        <w:rPr>
          <w:rFonts w:eastAsia="仿宋" w:cs="Times New Roman"/>
          <w:szCs w:val="21"/>
        </w:rPr>
      </w:pPr>
    </w:p>
    <w:p w14:paraId="30261634">
      <w:pPr>
        <w:tabs>
          <w:tab w:val="left" w:pos="709"/>
        </w:tabs>
        <w:snapToGrid w:val="0"/>
        <w:spacing w:line="240" w:lineRule="auto"/>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14:paraId="3E97B71F">
      <w:pPr>
        <w:snapToGrid w:val="0"/>
        <w:spacing w:line="240" w:lineRule="auto"/>
        <w:rPr>
          <w:rFonts w:eastAsia="仿宋" w:cs="Times New Roman"/>
          <w:szCs w:val="21"/>
        </w:rPr>
      </w:pPr>
    </w:p>
    <w:p w14:paraId="760972C8">
      <w:pPr>
        <w:snapToGrid w:val="0"/>
        <w:spacing w:line="240" w:lineRule="auto"/>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14:paraId="628B89A5">
      <w:pPr>
        <w:snapToGrid w:val="0"/>
        <w:spacing w:line="240" w:lineRule="auto"/>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14:paraId="5CC4F93A">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14:paraId="41CF6B5C">
      <w:pPr>
        <w:snapToGrid w:val="0"/>
        <w:spacing w:line="240" w:lineRule="auto"/>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14:paraId="56FB7F03">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14:paraId="65847F5A">
      <w:pPr>
        <w:snapToGrid w:val="0"/>
        <w:spacing w:line="240" w:lineRule="auto"/>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14:paraId="771F0AA9">
      <w:pPr>
        <w:snapToGrid w:val="0"/>
        <w:spacing w:line="240" w:lineRule="auto"/>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53" w:name="OLE_LINK23"/>
      <w:r>
        <w:rPr>
          <w:rFonts w:eastAsia="仿宋" w:cs="Times New Roman"/>
          <w:szCs w:val="21"/>
        </w:rPr>
        <w:t>Commodities</w:t>
      </w:r>
      <w:bookmarkEnd w:id="53"/>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w:t>
      </w:r>
      <w:bookmarkStart w:id="54" w:name="OLE_LINK19"/>
      <w:r>
        <w:rPr>
          <w:rFonts w:hint="eastAsia" w:eastAsia="仿宋" w:cs="Times New Roman"/>
          <w:szCs w:val="21"/>
        </w:rPr>
        <w:t>and/or the Enduser</w:t>
      </w:r>
      <w:bookmarkEnd w:id="54"/>
      <w:r>
        <w:rPr>
          <w:rFonts w:eastAsia="仿宋" w:cs="Times New Roman"/>
          <w:szCs w:val="21"/>
        </w:rPr>
        <w:t xml:space="preserve">. The Seller shall at the same time guarantee the quality of the replaced Commodities for a further corresponding period. </w:t>
      </w:r>
    </w:p>
    <w:p w14:paraId="04CD3DDE">
      <w:pPr>
        <w:snapToGrid w:val="0"/>
        <w:spacing w:line="240" w:lineRule="auto"/>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14:paraId="70E7980C">
      <w:pPr>
        <w:spacing w:line="240" w:lineRule="auto"/>
        <w:ind w:left="619" w:hanging="619" w:hangingChars="295"/>
        <w:rPr>
          <w:rFonts w:eastAsia="仿宋" w:cs="Times New Roman"/>
          <w:szCs w:val="21"/>
        </w:rPr>
      </w:pPr>
      <w:r>
        <w:rPr>
          <w:rFonts w:eastAsia="仿宋" w:cs="Times New Roman"/>
          <w:szCs w:val="21"/>
          <w:lang w:val="de-DE"/>
        </w:rPr>
        <w:t>16.</w:t>
      </w:r>
      <w:r>
        <w:rPr>
          <w:rFonts w:hint="eastAsia" w:eastAsia="仿宋" w:cs="Times New Roman"/>
          <w:szCs w:val="21"/>
        </w:rPr>
        <w:t>2</w:t>
      </w:r>
      <w:r>
        <w:rPr>
          <w:rFonts w:eastAsia="仿宋" w:cs="Times New Roman"/>
          <w:szCs w:val="21"/>
          <w:lang w:val="de-DE"/>
        </w:rPr>
        <w:t xml:space="preserve">  </w:t>
      </w:r>
      <w:r>
        <w:rPr>
          <w:rFonts w:eastAsia="仿宋" w:cs="Times New Roman"/>
          <w:i/>
          <w:iCs/>
          <w:szCs w:val="21"/>
          <w:lang w:val="de-DE"/>
        </w:rPr>
        <w:t>(零部件项目适用)</w:t>
      </w:r>
      <w:r>
        <w:rPr>
          <w:rFonts w:eastAsia="仿宋" w:cs="Times New Roman"/>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14:paraId="2DD20372">
      <w:pPr>
        <w:spacing w:line="240" w:lineRule="auto"/>
        <w:ind w:left="619" w:leftChars="295"/>
        <w:rPr>
          <w:rFonts w:eastAsia="仿宋" w:cs="Times New Roman"/>
          <w:szCs w:val="21"/>
        </w:rPr>
      </w:pPr>
      <w:r>
        <w:rPr>
          <w:rFonts w:eastAsia="仿宋" w:cs="Times New Roman"/>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14:paraId="03D5DD21">
      <w:pPr>
        <w:spacing w:line="240" w:lineRule="auto"/>
        <w:ind w:left="619" w:leftChars="295"/>
        <w:rPr>
          <w:rFonts w:eastAsia="仿宋" w:cs="Times New Roman"/>
          <w:szCs w:val="21"/>
        </w:rPr>
      </w:pPr>
      <w:r>
        <w:rPr>
          <w:rFonts w:eastAsia="仿宋" w:cs="Times New Roman"/>
          <w:szCs w:val="21"/>
        </w:rPr>
        <w:t>若货物被最终用户及/或买方视为缺陷产品，则最终用户或买方有权要求另外发货，而对于每个缺陷产品，卖方应向最终用户或买方额外提供5个合格产品。</w:t>
      </w:r>
    </w:p>
    <w:p w14:paraId="1C78944A">
      <w:pPr>
        <w:spacing w:line="240" w:lineRule="auto"/>
        <w:ind w:left="619" w:leftChars="295"/>
        <w:rPr>
          <w:rFonts w:eastAsia="仿宋" w:cs="Times New Roman"/>
          <w:szCs w:val="21"/>
        </w:rPr>
      </w:pPr>
      <w:r>
        <w:rPr>
          <w:rFonts w:eastAsia="仿宋" w:cs="Times New Roman"/>
          <w:szCs w:val="21"/>
        </w:rPr>
        <w:t>买方或最终用户有义务</w:t>
      </w:r>
      <w:r>
        <w:rPr>
          <w:rFonts w:hint="eastAsia" w:eastAsia="仿宋" w:cs="Times New Roman"/>
          <w:szCs w:val="21"/>
        </w:rPr>
        <w:t>在其处所</w:t>
      </w:r>
      <w:r>
        <w:rPr>
          <w:rFonts w:eastAsia="仿宋" w:cs="Times New Roman"/>
          <w:szCs w:val="21"/>
        </w:rPr>
        <w:t xml:space="preserve">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14:paraId="2848E80B">
      <w:pPr>
        <w:spacing w:line="240" w:lineRule="auto"/>
        <w:ind w:left="619" w:leftChars="295"/>
        <w:rPr>
          <w:rFonts w:eastAsia="仿宋" w:cs="Times New Roman"/>
          <w:szCs w:val="21"/>
        </w:rPr>
      </w:pPr>
      <w:r>
        <w:rPr>
          <w:rFonts w:eastAsia="仿宋" w:cs="Times New Roman"/>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14:paraId="135C912C">
      <w:pPr>
        <w:spacing w:line="240" w:lineRule="auto"/>
        <w:ind w:left="619" w:leftChars="295"/>
        <w:rPr>
          <w:rFonts w:eastAsia="仿宋" w:cs="Times New Roman"/>
          <w:szCs w:val="21"/>
        </w:rPr>
      </w:pPr>
      <w:r>
        <w:rPr>
          <w:rFonts w:eastAsia="仿宋" w:cs="Times New Roman"/>
          <w:szCs w:val="21"/>
        </w:rPr>
        <w:t>如有批量性故障，卖方应向最终用户提供支持并派遣人员协助鉴定，因批量性故障原因，召回、服务等具体服务条款的相关事宜另行商定。</w:t>
      </w:r>
    </w:p>
    <w:p w14:paraId="641F60A6">
      <w:pPr>
        <w:snapToGrid w:val="0"/>
        <w:spacing w:line="240" w:lineRule="auto"/>
        <w:rPr>
          <w:rFonts w:eastAsia="仿宋" w:cs="Times New Roman"/>
          <w:szCs w:val="21"/>
          <w:lang w:val="de-DE"/>
        </w:rPr>
      </w:pPr>
    </w:p>
    <w:p w14:paraId="0EA03FBE">
      <w:pPr>
        <w:snapToGrid w:val="0"/>
        <w:spacing w:line="240" w:lineRule="auto"/>
        <w:ind w:left="630" w:hanging="630" w:hangingChars="300"/>
        <w:rPr>
          <w:rFonts w:eastAsia="仿宋" w:cs="Times New Roman"/>
          <w:szCs w:val="21"/>
        </w:rPr>
      </w:pPr>
      <w:r>
        <w:rPr>
          <w:rFonts w:eastAsia="仿宋" w:cs="Times New Roman"/>
          <w:szCs w:val="21"/>
        </w:rPr>
        <w:t>16.</w:t>
      </w:r>
      <w:r>
        <w:rPr>
          <w:rFonts w:hint="eastAsia" w:eastAsia="仿宋" w:cs="Times New Roman"/>
          <w:szCs w:val="21"/>
        </w:rPr>
        <w:t>3</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r>
        <w:rPr>
          <w:rFonts w:hint="eastAsia" w:eastAsia="仿宋" w:cs="Times New Roman"/>
          <w:szCs w:val="21"/>
        </w:rPr>
        <w:t xml:space="preserve">The Buyer is entitled to deduct the claim amount from the Bank Guarantee issued by the Seller or accounts payable .  </w:t>
      </w:r>
    </w:p>
    <w:p w14:paraId="7FF82700">
      <w:pPr>
        <w:snapToGrid w:val="0"/>
        <w:spacing w:line="240" w:lineRule="auto"/>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w:t>
      </w:r>
      <w:r>
        <w:rPr>
          <w:rFonts w:hint="eastAsia" w:eastAsia="仿宋" w:cs="Times New Roman"/>
          <w:szCs w:val="21"/>
        </w:rPr>
        <w:t>通过</w:t>
      </w:r>
      <w:r>
        <w:rPr>
          <w:rFonts w:eastAsia="仿宋" w:cs="Times New Roman"/>
          <w:szCs w:val="21"/>
        </w:rPr>
        <w:t>卖方开具的银行保函</w:t>
      </w:r>
      <w:r>
        <w:rPr>
          <w:rFonts w:hint="eastAsia" w:eastAsia="仿宋" w:cs="Times New Roman"/>
          <w:szCs w:val="21"/>
        </w:rPr>
        <w:t>索赔或应付货款中</w:t>
      </w:r>
      <w:r>
        <w:rPr>
          <w:rFonts w:eastAsia="仿宋" w:cs="Times New Roman"/>
          <w:szCs w:val="21"/>
        </w:rPr>
        <w:t>扣除索赔金额。</w:t>
      </w:r>
    </w:p>
    <w:p w14:paraId="38141575">
      <w:pPr>
        <w:snapToGrid w:val="0"/>
        <w:spacing w:line="240" w:lineRule="auto"/>
        <w:ind w:left="630" w:leftChars="300"/>
        <w:rPr>
          <w:rFonts w:eastAsia="仿宋" w:cs="Times New Roman"/>
          <w:szCs w:val="21"/>
        </w:rPr>
      </w:pPr>
    </w:p>
    <w:p w14:paraId="6526AE26">
      <w:pPr>
        <w:numPr>
          <w:ilvl w:val="0"/>
          <w:numId w:val="19"/>
        </w:numPr>
        <w:snapToGrid w:val="0"/>
        <w:spacing w:line="240" w:lineRule="auto"/>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14:paraId="32DCE2FA">
      <w:pPr>
        <w:numPr>
          <w:ilvl w:val="255"/>
          <w:numId w:val="0"/>
        </w:numPr>
        <w:snapToGrid w:val="0"/>
        <w:spacing w:line="240" w:lineRule="auto"/>
        <w:rPr>
          <w:rFonts w:eastAsia="仿宋" w:cs="Times New Roman"/>
          <w:szCs w:val="21"/>
        </w:rPr>
      </w:pPr>
    </w:p>
    <w:p w14:paraId="36B18191">
      <w:pPr>
        <w:snapToGrid w:val="0"/>
        <w:spacing w:line="240" w:lineRule="auto"/>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14:paraId="286145C0">
      <w:pPr>
        <w:snapToGrid w:val="0"/>
        <w:spacing w:line="240" w:lineRule="auto"/>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14:paraId="7164F740">
      <w:pPr>
        <w:numPr>
          <w:ilvl w:val="255"/>
          <w:numId w:val="0"/>
        </w:numPr>
        <w:snapToGrid w:val="0"/>
        <w:spacing w:line="240" w:lineRule="auto"/>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14:paraId="2ACEC2AE">
      <w:pPr>
        <w:snapToGrid w:val="0"/>
        <w:spacing w:line="240" w:lineRule="auto"/>
        <w:ind w:left="630" w:leftChars="300"/>
        <w:rPr>
          <w:rFonts w:eastAsia="仿宋" w:cs="Times New Roman"/>
          <w:szCs w:val="21"/>
        </w:rPr>
      </w:pPr>
    </w:p>
    <w:p w14:paraId="4B3C7C36">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Commodities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14:paraId="6805552E">
      <w:pPr>
        <w:snapToGrid w:val="0"/>
        <w:spacing w:line="240" w:lineRule="auto"/>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14:paraId="1501881D">
      <w:pPr>
        <w:snapToGrid w:val="0"/>
        <w:spacing w:line="240" w:lineRule="auto"/>
        <w:ind w:left="630" w:leftChars="300"/>
        <w:rPr>
          <w:rFonts w:eastAsia="仿宋" w:cs="Times New Roman"/>
          <w:szCs w:val="21"/>
        </w:rPr>
      </w:pPr>
    </w:p>
    <w:p w14:paraId="54B46FAD">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14:paraId="61098F0D">
      <w:pPr>
        <w:snapToGrid w:val="0"/>
        <w:spacing w:line="240" w:lineRule="auto"/>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14:paraId="45DB2553">
      <w:pPr>
        <w:snapToGrid w:val="0"/>
        <w:spacing w:line="240" w:lineRule="auto"/>
        <w:ind w:left="630" w:leftChars="300"/>
        <w:rPr>
          <w:rFonts w:eastAsia="仿宋" w:cs="Times New Roman"/>
          <w:szCs w:val="21"/>
        </w:rPr>
      </w:pPr>
    </w:p>
    <w:p w14:paraId="456C690C">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14:paraId="0BFBE9AE">
      <w:pPr>
        <w:snapToGrid w:val="0"/>
        <w:spacing w:line="240" w:lineRule="auto"/>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14:paraId="1FB542B2">
      <w:pPr>
        <w:snapToGrid w:val="0"/>
        <w:spacing w:line="240" w:lineRule="auto"/>
        <w:rPr>
          <w:rFonts w:eastAsia="仿宋" w:cs="Times New Roman"/>
          <w:szCs w:val="21"/>
        </w:rPr>
      </w:pPr>
    </w:p>
    <w:p w14:paraId="31ECE565">
      <w:pPr>
        <w:snapToGrid w:val="0"/>
        <w:spacing w:line="240" w:lineRule="auto"/>
        <w:rPr>
          <w:rFonts w:eastAsia="仿宋" w:cs="Times New Roman"/>
          <w:szCs w:val="21"/>
        </w:rPr>
      </w:pPr>
    </w:p>
    <w:p w14:paraId="416C6727">
      <w:pPr>
        <w:tabs>
          <w:tab w:val="left" w:pos="615"/>
        </w:tabs>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14:paraId="65B5E7A7">
      <w:pPr>
        <w:snapToGrid w:val="0"/>
        <w:spacing w:line="240" w:lineRule="auto"/>
        <w:rPr>
          <w:rFonts w:eastAsia="仿宋" w:cs="Times New Roman"/>
          <w:szCs w:val="21"/>
        </w:rPr>
      </w:pPr>
    </w:p>
    <w:p w14:paraId="61B410EE">
      <w:pPr>
        <w:spacing w:line="240" w:lineRule="auto"/>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14:paraId="661473C3">
      <w:pPr>
        <w:spacing w:line="240" w:lineRule="auto"/>
        <w:ind w:left="550" w:hanging="550" w:hangingChars="262"/>
        <w:rPr>
          <w:rFonts w:eastAsia="仿宋" w:cs="Times New Roman"/>
          <w:szCs w:val="21"/>
        </w:rPr>
      </w:pPr>
      <w:r>
        <w:rPr>
          <w:rFonts w:hint="eastAsia" w:eastAsia="仿宋" w:cs="Times New Roman"/>
          <w:szCs w:val="21"/>
        </w:rPr>
        <w:t xml:space="preserve"> </w:t>
      </w:r>
    </w:p>
    <w:p w14:paraId="095E0607">
      <w:pPr>
        <w:spacing w:line="240" w:lineRule="auto"/>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14:paraId="59455DAA">
      <w:pPr>
        <w:snapToGrid w:val="0"/>
        <w:spacing w:line="240" w:lineRule="auto"/>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14:paraId="10ABF35A">
      <w:pPr>
        <w:spacing w:line="240" w:lineRule="auto"/>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14:paraId="655F9B87">
      <w:pPr>
        <w:spacing w:line="240" w:lineRule="auto"/>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14:paraId="70173E22">
      <w:pPr>
        <w:tabs>
          <w:tab w:val="left" w:pos="709"/>
        </w:tabs>
        <w:snapToGrid w:val="0"/>
        <w:spacing w:line="240" w:lineRule="auto"/>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14:paraId="622743FD">
      <w:pPr>
        <w:tabs>
          <w:tab w:val="left" w:pos="709"/>
        </w:tabs>
        <w:snapToGrid w:val="0"/>
        <w:spacing w:line="240" w:lineRule="auto"/>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14:paraId="737E5537">
      <w:pPr>
        <w:tabs>
          <w:tab w:val="left" w:pos="525"/>
        </w:tabs>
        <w:snapToGrid w:val="0"/>
        <w:spacing w:line="240" w:lineRule="auto"/>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14:paraId="4441EA22">
      <w:pPr>
        <w:snapToGrid w:val="0"/>
        <w:spacing w:line="240" w:lineRule="auto"/>
        <w:rPr>
          <w:rFonts w:eastAsia="仿宋" w:cs="Times New Roman"/>
          <w:b/>
          <w:szCs w:val="21"/>
        </w:rPr>
      </w:pPr>
    </w:p>
    <w:p w14:paraId="715EF95B">
      <w:pPr>
        <w:snapToGrid w:val="0"/>
        <w:spacing w:line="240" w:lineRule="auto"/>
        <w:rPr>
          <w:rFonts w:eastAsia="仿宋" w:cs="Times New Roman"/>
          <w:b/>
          <w:szCs w:val="21"/>
        </w:rPr>
      </w:pPr>
    </w:p>
    <w:p w14:paraId="04A85CCB">
      <w:pPr>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14:paraId="4F97319A">
      <w:pPr>
        <w:snapToGrid w:val="0"/>
        <w:spacing w:line="240" w:lineRule="auto"/>
        <w:rPr>
          <w:rFonts w:eastAsia="仿宋" w:cs="Times New Roman"/>
          <w:szCs w:val="21"/>
        </w:rPr>
      </w:pPr>
    </w:p>
    <w:p w14:paraId="0C8233F6">
      <w:pPr>
        <w:numPr>
          <w:ilvl w:val="255"/>
          <w:numId w:val="0"/>
        </w:numPr>
        <w:snapToGrid w:val="0"/>
        <w:spacing w:line="240" w:lineRule="auto"/>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14:paraId="3299411C">
      <w:pPr>
        <w:snapToGrid w:val="0"/>
        <w:spacing w:line="240" w:lineRule="auto"/>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14:paraId="2D8C8D1D">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14:paraId="2E963E5D">
      <w:pPr>
        <w:snapToGrid w:val="0"/>
        <w:spacing w:line="240" w:lineRule="auto"/>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14:paraId="5CD90792">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14:paraId="39D2AD54">
      <w:pPr>
        <w:snapToGrid w:val="0"/>
        <w:spacing w:line="240" w:lineRule="auto"/>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14:paraId="79BDF117">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14:paraId="70B0B738">
      <w:pPr>
        <w:snapToGrid w:val="0"/>
        <w:spacing w:line="240" w:lineRule="auto"/>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14:paraId="574BAFB1">
      <w:pPr>
        <w:snapToGrid w:val="0"/>
        <w:spacing w:line="240" w:lineRule="auto"/>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14:paraId="0B55732D">
      <w:pPr>
        <w:snapToGrid w:val="0"/>
        <w:spacing w:line="240" w:lineRule="auto"/>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14:paraId="28588604">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14:paraId="75E59E72">
      <w:pPr>
        <w:spacing w:line="240" w:lineRule="auto"/>
        <w:rPr>
          <w:rFonts w:eastAsia="仿宋" w:cs="Times New Roman"/>
          <w:szCs w:val="21"/>
        </w:rPr>
      </w:pPr>
      <w:r>
        <w:rPr>
          <w:rFonts w:eastAsia="仿宋" w:cs="Times New Roman"/>
          <w:szCs w:val="21"/>
        </w:rPr>
        <w:t xml:space="preserve">     仲裁期间，除正在进行的仲裁部分外，本合同其他部分仍继续执行。</w:t>
      </w:r>
    </w:p>
    <w:p w14:paraId="41EF92B9">
      <w:pPr>
        <w:snapToGrid w:val="0"/>
        <w:spacing w:line="240" w:lineRule="auto"/>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14:paraId="02965183">
      <w:pPr>
        <w:spacing w:line="240" w:lineRule="auto"/>
        <w:ind w:firstLine="525" w:firstLineChars="250"/>
        <w:rPr>
          <w:rFonts w:eastAsia="仿宋" w:cs="Times New Roman"/>
          <w:szCs w:val="21"/>
        </w:rPr>
      </w:pPr>
      <w:r>
        <w:rPr>
          <w:rFonts w:eastAsia="仿宋" w:cs="Times New Roman"/>
          <w:szCs w:val="21"/>
        </w:rPr>
        <w:t>仲裁费用除贸仲仲裁委员会另有决定外，由败诉一方承担。</w:t>
      </w:r>
    </w:p>
    <w:p w14:paraId="3C4FD846">
      <w:pPr>
        <w:snapToGrid w:val="0"/>
        <w:spacing w:line="240" w:lineRule="auto"/>
        <w:rPr>
          <w:rFonts w:eastAsia="仿宋" w:cs="Times New Roman"/>
          <w:szCs w:val="21"/>
        </w:rPr>
      </w:pPr>
    </w:p>
    <w:p w14:paraId="569793BF">
      <w:pPr>
        <w:snapToGrid w:val="0"/>
        <w:spacing w:line="240" w:lineRule="auto"/>
        <w:rPr>
          <w:rFonts w:eastAsia="仿宋" w:cs="Times New Roman"/>
          <w:szCs w:val="21"/>
        </w:rPr>
      </w:pPr>
    </w:p>
    <w:p w14:paraId="3B408B20">
      <w:pPr>
        <w:snapToGrid w:val="0"/>
        <w:spacing w:line="240" w:lineRule="auto"/>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14:paraId="490E451D">
      <w:pPr>
        <w:snapToGrid w:val="0"/>
        <w:spacing w:line="240" w:lineRule="auto"/>
        <w:rPr>
          <w:rFonts w:eastAsia="仿宋" w:cs="Times New Roman"/>
          <w:b/>
          <w:szCs w:val="21"/>
        </w:rPr>
      </w:pPr>
    </w:p>
    <w:p w14:paraId="641823DC">
      <w:pPr>
        <w:snapToGrid w:val="0"/>
        <w:spacing w:line="240" w:lineRule="auto"/>
        <w:ind w:left="525" w:leftChars="250"/>
        <w:rPr>
          <w:rFonts w:eastAsia="仿宋" w:cs="Times New Roman"/>
          <w:szCs w:val="21"/>
        </w:rPr>
      </w:pPr>
      <w:r>
        <w:rPr>
          <w:rFonts w:eastAsia="仿宋" w:cs="Times New Roman"/>
          <w:szCs w:val="21"/>
        </w:rPr>
        <w:t>This Contract shall be governed by and interpreted in accordance with the laws of the PRC.</w:t>
      </w:r>
    </w:p>
    <w:p w14:paraId="1203C63E">
      <w:pPr>
        <w:spacing w:line="240" w:lineRule="auto"/>
        <w:ind w:firstLine="525" w:firstLineChars="250"/>
        <w:rPr>
          <w:rFonts w:eastAsia="仿宋" w:cs="Times New Roman"/>
          <w:szCs w:val="21"/>
        </w:rPr>
      </w:pPr>
      <w:r>
        <w:rPr>
          <w:rFonts w:eastAsia="仿宋" w:cs="Times New Roman"/>
          <w:szCs w:val="21"/>
        </w:rPr>
        <w:t>本合同适用中国法律管辖并按照中国法律进行解释。</w:t>
      </w:r>
    </w:p>
    <w:p w14:paraId="50B391EE">
      <w:pPr>
        <w:snapToGrid w:val="0"/>
        <w:spacing w:line="240" w:lineRule="auto"/>
        <w:rPr>
          <w:rFonts w:eastAsia="仿宋" w:cs="Times New Roman"/>
          <w:szCs w:val="21"/>
        </w:rPr>
      </w:pPr>
    </w:p>
    <w:p w14:paraId="26190266">
      <w:pPr>
        <w:snapToGrid w:val="0"/>
        <w:spacing w:line="240" w:lineRule="auto"/>
        <w:rPr>
          <w:rFonts w:eastAsia="仿宋" w:cs="Times New Roman"/>
          <w:szCs w:val="21"/>
        </w:rPr>
      </w:pPr>
    </w:p>
    <w:p w14:paraId="5EDBE87B">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14:paraId="4A4D0BF4">
      <w:pPr>
        <w:spacing w:line="240" w:lineRule="auto"/>
        <w:rPr>
          <w:rFonts w:eastAsia="仿宋" w:cs="Times New Roman"/>
          <w:b/>
          <w:szCs w:val="21"/>
          <w:lang w:eastAsia="zh-TW"/>
        </w:rPr>
      </w:pPr>
      <w:r>
        <w:rPr>
          <w:rFonts w:eastAsia="仿宋" w:cs="Times New Roman"/>
          <w:b/>
          <w:sz w:val="24"/>
          <w:szCs w:val="24"/>
        </w:rPr>
        <w:t>合同的生效及其他</w:t>
      </w:r>
    </w:p>
    <w:p w14:paraId="79A538DF">
      <w:pPr>
        <w:snapToGrid w:val="0"/>
        <w:spacing w:line="240" w:lineRule="auto"/>
        <w:rPr>
          <w:rFonts w:eastAsia="仿宋" w:cs="Times New Roman"/>
          <w:b/>
          <w:szCs w:val="21"/>
        </w:rPr>
      </w:pPr>
    </w:p>
    <w:p w14:paraId="6A3F30C7">
      <w:pPr>
        <w:numPr>
          <w:ilvl w:val="255"/>
          <w:numId w:val="0"/>
        </w:numPr>
        <w:tabs>
          <w:tab w:val="left" w:pos="630"/>
        </w:tabs>
        <w:spacing w:line="240" w:lineRule="auto"/>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14:paraId="59631C97">
      <w:pPr>
        <w:spacing w:line="240" w:lineRule="auto"/>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14:paraId="62A60C51">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14:paraId="0B3EE08D">
      <w:pPr>
        <w:snapToGrid w:val="0"/>
        <w:spacing w:line="240" w:lineRule="auto"/>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14:paraId="0FCD51A5">
      <w:pPr>
        <w:widowControl w:val="0"/>
        <w:spacing w:line="240" w:lineRule="auto"/>
        <w:ind w:left="630" w:hanging="630" w:hangingChars="300"/>
        <w:rPr>
          <w:rFonts w:eastAsia="仿宋" w:cs="Times New Roman"/>
          <w:szCs w:val="21"/>
        </w:rPr>
      </w:pPr>
      <w:r>
        <w:rPr>
          <w:rFonts w:eastAsia="仿宋" w:cs="Times New Roman"/>
          <w:szCs w:val="21"/>
        </w:rPr>
        <w:t>21.3  If any</w:t>
      </w:r>
      <w:r>
        <w:rPr>
          <w:rFonts w:eastAsia="仿宋" w:cs="Times New Roman"/>
          <w:iCs/>
          <w:szCs w:val="21"/>
        </w:rPr>
        <w:t xml:space="preserve"> Quality Guarantee Agreement /</w:t>
      </w:r>
      <w:r>
        <w:rPr>
          <w:rFonts w:eastAsia="仿宋" w:cs="Times New Roman"/>
          <w:szCs w:val="21"/>
          <w:lang w:eastAsia="zh-TW"/>
        </w:rPr>
        <w:t xml:space="preserve"> Technical Agreement</w:t>
      </w:r>
      <w:r>
        <w:rPr>
          <w:rFonts w:eastAsia="仿宋" w:cs="Times New Roman"/>
          <w:iCs/>
          <w:szCs w:val="21"/>
        </w:rPr>
        <w:t xml:space="preserve"> will be</w:t>
      </w:r>
      <w:r>
        <w:rPr>
          <w:rFonts w:eastAsia="仿宋" w:cs="Times New Roman"/>
          <w:szCs w:val="21"/>
        </w:rPr>
        <w:t xml:space="preserve"> agreed on between the Seller and the Endusr, It shall form an integral part of this Agreement.. </w:t>
      </w:r>
    </w:p>
    <w:p w14:paraId="33E159FB">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如果有买卖各方达成一致的质量保证协议，则它将作为本合同不可分割的一部分。</w:t>
      </w:r>
    </w:p>
    <w:p w14:paraId="59659DB7">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hangingChars="300"/>
        <w:rPr>
          <w:rFonts w:eastAsia="仿宋" w:cs="Times New Roman"/>
          <w:szCs w:val="21"/>
        </w:rPr>
      </w:pPr>
      <w:r>
        <w:rPr>
          <w:rFonts w:eastAsia="仿宋" w:cs="Times New Roman"/>
          <w:szCs w:val="21"/>
        </w:rPr>
        <w:t xml:space="preserve">21.4 </w:t>
      </w:r>
      <w:r>
        <w:rPr>
          <w:rFonts w:hint="eastAsia" w:eastAsia="仿宋" w:cs="Times New Roman"/>
          <w:szCs w:val="21"/>
        </w:rPr>
        <w:t xml:space="preserve"> </w:t>
      </w:r>
      <w:r>
        <w:rPr>
          <w:rFonts w:eastAsia="仿宋" w:cs="Times New Roman"/>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szCs w:val="21"/>
        </w:rPr>
        <w:t xml:space="preserve"> </w:t>
      </w:r>
      <w:r>
        <w:rPr>
          <w:rFonts w:eastAsia="仿宋" w:cs="Times New Roman"/>
          <w:szCs w:val="21"/>
        </w:rPr>
        <w:t>signed by Parties, the Quality Assurance Agreement /</w:t>
      </w:r>
      <w:r>
        <w:rPr>
          <w:rFonts w:eastAsia="仿宋" w:cs="Times New Roman"/>
          <w:szCs w:val="21"/>
          <w:lang w:eastAsia="zh-TW"/>
        </w:rPr>
        <w:t xml:space="preserve"> Technical Agreement</w:t>
      </w:r>
      <w:r>
        <w:rPr>
          <w:rFonts w:eastAsia="仿宋" w:cs="Times New Roman"/>
          <w:szCs w:val="21"/>
        </w:rPr>
        <w:t xml:space="preserve"> shall prevail.</w:t>
      </w:r>
    </w:p>
    <w:p w14:paraId="4F7E826B">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当本合同的条款和各方签订的质量保证协议条款有冲突或矛盾时，优先适用质量保证协议。</w:t>
      </w:r>
    </w:p>
    <w:p w14:paraId="753BE7A3">
      <w:pPr>
        <w:snapToGrid w:val="0"/>
        <w:spacing w:line="240" w:lineRule="auto"/>
        <w:ind w:left="598" w:leftChars="49" w:hanging="495" w:hangingChars="236"/>
        <w:rPr>
          <w:rFonts w:eastAsia="仿宋" w:cs="Times New Roman"/>
          <w:szCs w:val="21"/>
        </w:rPr>
      </w:pPr>
    </w:p>
    <w:p w14:paraId="4B4CBE5D">
      <w:pPr>
        <w:pStyle w:val="129"/>
        <w:widowControl w:val="0"/>
        <w:numPr>
          <w:ilvl w:val="0"/>
          <w:numId w:val="20"/>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szCs w:val="21"/>
        </w:rPr>
      </w:pPr>
      <w:r>
        <w:rPr>
          <w:rFonts w:eastAsia="仿宋" w:cs="Times New Roman"/>
          <w:b/>
          <w:sz w:val="24"/>
          <w:szCs w:val="24"/>
        </w:rPr>
        <w:t>Maintenance of Confidentiality 保密</w:t>
      </w:r>
    </w:p>
    <w:p w14:paraId="02E460D0">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22.1</w:t>
      </w:r>
      <w:r>
        <w:rPr>
          <w:rFonts w:eastAsia="楷体_GB2312" w:cs="Times New Roman"/>
          <w:szCs w:val="21"/>
        </w:rPr>
        <w:t xml:space="preserve"> Definition of Confidentiality.</w:t>
      </w:r>
      <w:r>
        <w:rPr>
          <w:rFonts w:eastAsia="楷体_GB2312" w:cs="Times New Roman"/>
          <w:szCs w:val="21"/>
        </w:rPr>
        <w:tab/>
      </w:r>
    </w:p>
    <w:p w14:paraId="2E2D6535">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14:paraId="62FD3C3A">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14:paraId="227E1795">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22.2</w:t>
      </w:r>
      <w:r>
        <w:rPr>
          <w:rFonts w:eastAsia="楷体_GB2312" w:cs="Times New Roman"/>
          <w:szCs w:val="21"/>
        </w:rPr>
        <w:t>Nondisclosure and Nonuse Obligation.</w:t>
      </w:r>
      <w:r>
        <w:rPr>
          <w:rFonts w:eastAsia="楷体_GB2312" w:cs="Times New Roman"/>
          <w:szCs w:val="21"/>
        </w:rPr>
        <w:tab/>
      </w:r>
    </w:p>
    <w:p w14:paraId="7A124686">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14:paraId="6D36E316">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14:paraId="23624542">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22.3</w:t>
      </w:r>
      <w:r>
        <w:rPr>
          <w:rFonts w:eastAsia="楷体_GB2312" w:cs="Times New Roman"/>
          <w:szCs w:val="21"/>
        </w:rPr>
        <w:t>Survival.</w:t>
      </w:r>
    </w:p>
    <w:p w14:paraId="3D0AF898">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leftChars="200"/>
        <w:rPr>
          <w:rFonts w:eastAsia="楷体_GB2312" w:cs="Times New Roman"/>
          <w:szCs w:val="21"/>
        </w:rPr>
      </w:pPr>
      <w:r>
        <w:rPr>
          <w:rFonts w:eastAsia="楷体_GB2312" w:cs="Times New Roman"/>
          <w:szCs w:val="21"/>
        </w:rPr>
        <w:t xml:space="preserve"> This Clause shall govern all communications between the Parties. Each Party understands that its obligations under this Clause shall survive the termination of this Agreement,.</w:t>
      </w:r>
    </w:p>
    <w:p w14:paraId="7B357E54">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有效性。本条款适用于各方之间的所有联络。各方均理解他们本条款的义务在本协议终止后仍有效。</w:t>
      </w:r>
    </w:p>
    <w:p w14:paraId="4BD005FE">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szCs w:val="21"/>
        </w:rPr>
      </w:pPr>
    </w:p>
    <w:p w14:paraId="73BDF29B">
      <w:pPr>
        <w:pStyle w:val="129"/>
        <w:widowControl w:val="0"/>
        <w:numPr>
          <w:ilvl w:val="0"/>
          <w:numId w:val="20"/>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bCs/>
          <w:szCs w:val="21"/>
        </w:rPr>
      </w:pPr>
      <w:r>
        <w:rPr>
          <w:rFonts w:eastAsia="仿宋" w:cs="Times New Roman"/>
          <w:b/>
          <w:i/>
          <w:iCs/>
          <w:sz w:val="24"/>
          <w:szCs w:val="24"/>
        </w:rPr>
        <w:t>（适用于曼机零部件）</w:t>
      </w:r>
      <w:r>
        <w:rPr>
          <w:rFonts w:eastAsia="仿宋" w:cs="Times New Roman"/>
          <w:b/>
          <w:sz w:val="24"/>
          <w:szCs w:val="24"/>
        </w:rPr>
        <w:t>Intellectual Property 知识产权:</w:t>
      </w:r>
    </w:p>
    <w:p w14:paraId="04C8D410">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1" w:leftChars="210"/>
        <w:rPr>
          <w:rFonts w:eastAsia="楷体_GB2312" w:cs="Times New Roman"/>
          <w:szCs w:val="21"/>
        </w:rPr>
      </w:pPr>
      <w:r>
        <w:rPr>
          <w:rFonts w:eastAsia="楷体_GB2312" w:cs="Times New Roman"/>
          <w:szCs w:val="21"/>
        </w:rPr>
        <w:t>MAN is the owner of the intellectual property rights related to the Commodities. The Seller has been duly authorized by MAN to manufacture the Commodities for the Buyer.</w:t>
      </w:r>
    </w:p>
    <w:p w14:paraId="35983782">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hanging="420" w:hangingChars="200"/>
        <w:rPr>
          <w:rFonts w:ascii="Arial" w:hAnsi="宋体" w:eastAsia="楷体_GB2312"/>
          <w:szCs w:val="21"/>
        </w:rPr>
      </w:pPr>
      <w:r>
        <w:rPr>
          <w:rFonts w:hint="eastAsia" w:ascii="Arial" w:hAnsi="Arial" w:eastAsia="楷体_GB2312"/>
          <w:szCs w:val="21"/>
        </w:rPr>
        <w:t xml:space="preserve">   </w:t>
      </w:r>
      <w:r>
        <w:rPr>
          <w:rFonts w:hint="eastAsia" w:ascii="仿宋" w:hAnsi="仿宋" w:eastAsia="仿宋" w:cs="仿宋"/>
          <w:szCs w:val="21"/>
        </w:rPr>
        <w:t xml:space="preserve"> MAN为货物知识产权的所有人。MAN已依法授权卖方为买方生产货物。 </w:t>
      </w:r>
    </w:p>
    <w:p w14:paraId="5C996D58">
      <w:pPr>
        <w:snapToGrid w:val="0"/>
        <w:spacing w:line="240" w:lineRule="auto"/>
        <w:ind w:left="360" w:hanging="360"/>
        <w:rPr>
          <w:rFonts w:eastAsia="仿宋" w:cs="Times New Roman"/>
          <w:szCs w:val="21"/>
        </w:rPr>
      </w:pPr>
    </w:p>
    <w:p w14:paraId="7FFD091B">
      <w:pPr>
        <w:tabs>
          <w:tab w:val="left" w:pos="709"/>
        </w:tabs>
        <w:snapToGrid w:val="0"/>
        <w:spacing w:line="240" w:lineRule="auto"/>
        <w:ind w:hanging="142"/>
        <w:rPr>
          <w:rFonts w:eastAsia="仿宋" w:cs="Times New Roman"/>
          <w:szCs w:val="21"/>
        </w:rPr>
      </w:pPr>
    </w:p>
    <w:p w14:paraId="7E38DF5F">
      <w:pPr>
        <w:tabs>
          <w:tab w:val="left" w:pos="709"/>
        </w:tabs>
        <w:snapToGrid w:val="0"/>
        <w:spacing w:line="240" w:lineRule="auto"/>
        <w:ind w:hanging="142"/>
        <w:rPr>
          <w:rFonts w:eastAsia="仿宋" w:cs="Times New Roman"/>
          <w:szCs w:val="21"/>
        </w:rPr>
      </w:pPr>
    </w:p>
    <w:p w14:paraId="710BF32A">
      <w:pPr>
        <w:tabs>
          <w:tab w:val="left" w:pos="567"/>
        </w:tabs>
        <w:snapToGrid w:val="0"/>
        <w:spacing w:line="240" w:lineRule="auto"/>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14:paraId="20E8A4F8">
      <w:pPr>
        <w:snapToGrid w:val="0"/>
        <w:spacing w:line="240" w:lineRule="auto"/>
        <w:rPr>
          <w:rFonts w:eastAsia="仿宋" w:cs="Times New Roman"/>
          <w:szCs w:val="21"/>
        </w:rPr>
      </w:pPr>
    </w:p>
    <w:p w14:paraId="40A0C584">
      <w:pPr>
        <w:snapToGrid w:val="0"/>
        <w:spacing w:line="240" w:lineRule="auto"/>
        <w:ind w:left="598" w:leftChars="285"/>
        <w:rPr>
          <w:rFonts w:eastAsia="仿宋" w:cs="Times New Roman"/>
          <w:szCs w:val="21"/>
        </w:rPr>
      </w:pPr>
      <w:r>
        <w:rPr>
          <w:rFonts w:eastAsia="仿宋" w:cs="Times New Roman"/>
          <w:szCs w:val="21"/>
        </w:rPr>
        <w:t>Without prejudice to any other rig</w:t>
      </w:r>
      <w:r>
        <w:rPr>
          <w:rFonts w:eastAsia="楷体_GB2312" w:cs="Times New Roman"/>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eastAsia="仿宋" w:cs="Times New Roman"/>
          <w:szCs w:val="21"/>
        </w:rPr>
        <w:t xml:space="preserve">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bookmarkStart w:id="55" w:name="OLE_LINK25"/>
      <w:r>
        <w:rPr>
          <w:rFonts w:eastAsia="仿宋" w:cs="Times New Roman"/>
          <w:b/>
          <w:szCs w:val="21"/>
        </w:rPr>
        <w:t xml:space="preserve"> </w:t>
      </w:r>
      <w:r>
        <w:rPr>
          <w:rFonts w:hint="eastAsia" w:eastAsia="仿宋" w:cs="Times New Roman"/>
          <w:szCs w:val="21"/>
        </w:rPr>
        <w:t xml:space="preserve">In the event that the Contract cannot be permormed any more due to the reasons of the the Parties, the Parties may enter into a Termination Agreement via friendly negotiation, which shall be regarded as termination of the Contract. </w:t>
      </w:r>
      <w:bookmarkEnd w:id="55"/>
    </w:p>
    <w:p w14:paraId="6A9467EE">
      <w:pPr>
        <w:spacing w:line="240" w:lineRule="auto"/>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r>
        <w:rPr>
          <w:rFonts w:hint="eastAsia" w:eastAsia="仿宋" w:cs="Times New Roman"/>
          <w:szCs w:val="21"/>
        </w:rPr>
        <w:t>如由于各方原因，合同确认无法被继续履行，各方可通过友好协商，签署《终止协议》视同本合同的终止。</w:t>
      </w:r>
    </w:p>
    <w:p w14:paraId="6015C55E">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14:paraId="4CD0E927">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rPr>
        <w:t xml:space="preserve">Authority.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14:paraId="5495A245">
      <w:pPr>
        <w:tabs>
          <w:tab w:val="left" w:pos="709"/>
        </w:tabs>
        <w:snapToGrid w:val="0"/>
        <w:spacing w:line="240" w:lineRule="auto"/>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14:paraId="425A856A">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rPr>
        <w:t xml:space="preserve">Time. </w:t>
      </w:r>
      <w:bookmarkStart w:id="56" w:name="OLE_LINK3"/>
      <w:bookmarkStart w:id="57" w:name="OLE_LINK4"/>
      <w:bookmarkStart w:id="58" w:name="OLE_LINK10"/>
      <w:r>
        <w:rPr>
          <w:rFonts w:eastAsia="仿宋" w:cs="Times New Roman"/>
          <w:szCs w:val="21"/>
        </w:rPr>
        <w:t>Time shall be of the essence of this Contract</w:t>
      </w:r>
      <w:bookmarkEnd w:id="56"/>
      <w:bookmarkEnd w:id="57"/>
      <w:r>
        <w:rPr>
          <w:rFonts w:eastAsia="仿宋" w:cs="Times New Roman"/>
          <w:szCs w:val="21"/>
        </w:rPr>
        <w:t>.</w:t>
      </w:r>
      <w:bookmarkEnd w:id="58"/>
    </w:p>
    <w:p w14:paraId="34A98693">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14:paraId="43FC511B">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rPr>
        <w:t xml:space="preserve">Originals.  This Contract shall be executed in six (6) original copies. </w:t>
      </w:r>
    </w:p>
    <w:p w14:paraId="739B3BBB">
      <w:pPr>
        <w:tabs>
          <w:tab w:val="left" w:pos="709"/>
        </w:tabs>
        <w:snapToGrid w:val="0"/>
        <w:spacing w:line="240" w:lineRule="auto"/>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14:paraId="0C315042">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rPr>
        <w:t xml:space="preserve">Headings.  </w:t>
      </w:r>
      <w:bookmarkStart w:id="59" w:name="OLE_LINK6"/>
      <w:bookmarkStart w:id="60" w:name="OLE_LINK5"/>
      <w:r>
        <w:rPr>
          <w:rFonts w:eastAsia="仿宋" w:cs="Times New Roman"/>
          <w:szCs w:val="21"/>
        </w:rPr>
        <w:t>The headings in this Contract are for convenience only</w:t>
      </w:r>
      <w:bookmarkEnd w:id="59"/>
      <w:bookmarkEnd w:id="60"/>
      <w:r>
        <w:rPr>
          <w:rFonts w:eastAsia="仿宋" w:cs="Times New Roman"/>
          <w:szCs w:val="21"/>
        </w:rPr>
        <w:t>.</w:t>
      </w:r>
    </w:p>
    <w:p w14:paraId="1DD369B3">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14:paraId="4B69B94A">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rPr>
        <w:t xml:space="preserve">Appendices.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14:paraId="4245380F">
      <w:pPr>
        <w:tabs>
          <w:tab w:val="left" w:pos="709"/>
        </w:tabs>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14:paraId="4E15E63F">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rPr>
        <w:t>Language.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14:paraId="5823D914">
      <w:pPr>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14:paraId="387B96FC">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rPr>
        <w:t>Modifications.  Any amendments, supplements and/or alterations to the terms and conditions of this Contract shall only be made in written form and signed by the authorized representatives of the Parties.</w:t>
      </w:r>
    </w:p>
    <w:p w14:paraId="66C43200">
      <w:pPr>
        <w:snapToGrid w:val="0"/>
        <w:spacing w:line="240" w:lineRule="auto"/>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14:paraId="5BDF5AB2">
      <w:pPr>
        <w:snapToGrid w:val="0"/>
        <w:spacing w:line="240" w:lineRule="auto"/>
        <w:ind w:left="619" w:hanging="619" w:hangingChars="295"/>
        <w:rPr>
          <w:rFonts w:eastAsia="仿宋" w:cs="Times New Roman"/>
          <w:szCs w:val="21"/>
        </w:rPr>
      </w:pPr>
      <w:bookmarkStart w:id="61" w:name="OLE_LINK15"/>
      <w:bookmarkStart w:id="62" w:name="OLE_LINK16"/>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rPr>
        <w:t xml:space="preserve">Notice. </w:t>
      </w:r>
      <w:bookmarkStart w:id="63"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63"/>
    </w:p>
    <w:p w14:paraId="6DFAEBD7">
      <w:pPr>
        <w:snapToGrid w:val="0"/>
        <w:spacing w:line="240" w:lineRule="auto"/>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61"/>
    <w:bookmarkEnd w:id="62"/>
    <w:p w14:paraId="1C5D229A">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rPr>
        <w:t xml:space="preserve">No Assignment. </w:t>
      </w:r>
      <w:bookmarkStart w:id="64" w:name="OLE_LINK9"/>
      <w:bookmarkStart w:id="65" w:name="OLE_LINK8"/>
      <w:r>
        <w:rPr>
          <w:rFonts w:eastAsia="仿宋" w:cs="Times New Roman"/>
          <w:szCs w:val="21"/>
        </w:rPr>
        <w:t>No Party may assign or transfer any of its rights or obligations under this Contract to any third parties without obtaining the prior written consent of the other Party</w:t>
      </w:r>
      <w:bookmarkEnd w:id="64"/>
      <w:bookmarkEnd w:id="65"/>
      <w:r>
        <w:rPr>
          <w:rFonts w:eastAsia="仿宋" w:cs="Times New Roman"/>
          <w:szCs w:val="21"/>
        </w:rPr>
        <w:t>.</w:t>
      </w:r>
    </w:p>
    <w:p w14:paraId="4DA170DE">
      <w:pPr>
        <w:snapToGrid w:val="0"/>
        <w:spacing w:line="240" w:lineRule="auto"/>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14:paraId="1B09F47F">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rPr>
        <w:t xml:space="preserve">Entire Agreement.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14:paraId="0407109A">
      <w:pPr>
        <w:spacing w:line="240" w:lineRule="auto"/>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14:paraId="09A7948A">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rPr>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14:paraId="201023F0">
      <w:pPr>
        <w:spacing w:line="240" w:lineRule="auto"/>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14:paraId="791ABD5D">
      <w:pPr>
        <w:snapToGrid w:val="0"/>
        <w:spacing w:line="240" w:lineRule="auto"/>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66" w:name="OLE_LINK14"/>
      <w:r>
        <w:rPr>
          <w:rFonts w:eastAsia="仿宋" w:cs="Times New Roman"/>
          <w:szCs w:val="21"/>
        </w:rPr>
        <w:t xml:space="preserve">Remedies and Waivers.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66"/>
    </w:p>
    <w:p w14:paraId="114BE12F">
      <w:pPr>
        <w:spacing w:line="240" w:lineRule="auto"/>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14:paraId="6591EBCC">
      <w:pPr>
        <w:snapToGrid w:val="0"/>
        <w:spacing w:line="240" w:lineRule="auto"/>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67" w:name="OLE_LINK11"/>
      <w:bookmarkStart w:id="68" w:name="OLE_LINK12"/>
      <w:r>
        <w:rPr>
          <w:rFonts w:eastAsia="仿宋" w:cs="Times New Roman"/>
          <w:szCs w:val="21"/>
          <w:lang w:eastAsia="zh-TW"/>
        </w:rPr>
        <w:t>Non-exclusive Rights.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67"/>
      <w:bookmarkEnd w:id="68"/>
    </w:p>
    <w:p w14:paraId="180018BE">
      <w:pPr>
        <w:spacing w:line="240" w:lineRule="auto"/>
        <w:ind w:left="630" w:leftChars="300"/>
        <w:rPr>
          <w:rFonts w:eastAsia="仿宋" w:cs="Times New Roman"/>
          <w:szCs w:val="21"/>
        </w:rPr>
      </w:pPr>
      <w:r>
        <w:rPr>
          <w:rFonts w:eastAsia="仿宋" w:cs="Times New Roman"/>
          <w:szCs w:val="21"/>
        </w:rPr>
        <w:t>非专属权:本合同规定的各项权利是累加的，并不排除相关地域法律规定的其它权利、权力或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14:paraId="4BEA18E2">
      <w:pPr>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.14  Exclusion of CISG</w:t>
      </w:r>
    </w:p>
    <w:p w14:paraId="41DCCD73">
      <w:pPr>
        <w:spacing w:line="240" w:lineRule="auto"/>
        <w:ind w:firstLine="525" w:firstLineChars="250"/>
        <w:rPr>
          <w:rFonts w:eastAsia="仿宋" w:cs="Times New Roman"/>
          <w:i/>
          <w:iCs/>
          <w:szCs w:val="21"/>
        </w:rPr>
      </w:pPr>
      <w:r>
        <w:rPr>
          <w:rFonts w:hint="eastAsia" w:eastAsia="仿宋" w:cs="Times New Roman"/>
          <w:szCs w:val="21"/>
        </w:rPr>
        <w:t>《联合国国际货物销售合同公约》的排除适用。</w:t>
      </w:r>
    </w:p>
    <w:p w14:paraId="76AB5E64">
      <w:pPr>
        <w:spacing w:line="240" w:lineRule="auto"/>
        <w:rPr>
          <w:rFonts w:eastAsia="仿宋" w:cs="Times New Roman"/>
          <w:szCs w:val="21"/>
        </w:rPr>
      </w:pPr>
    </w:p>
    <w:p w14:paraId="594AFE2A">
      <w:pPr>
        <w:spacing w:line="240" w:lineRule="auto"/>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14:paraId="17DF7722">
      <w:pPr>
        <w:spacing w:line="240" w:lineRule="auto"/>
        <w:ind w:left="630" w:leftChars="300"/>
        <w:rPr>
          <w:rFonts w:eastAsia="仿宋" w:cs="Times New Roman"/>
          <w:szCs w:val="21"/>
        </w:rPr>
      </w:pPr>
      <w:r>
        <w:rPr>
          <w:rFonts w:hint="eastAsia" w:eastAsia="仿宋" w:cs="Times New Roman"/>
          <w:szCs w:val="21"/>
        </w:rPr>
        <w:t>《联合国国际货物销售合同公约》的条款不适用于本合同。</w:t>
      </w:r>
    </w:p>
    <w:p w14:paraId="11A62138">
      <w:pPr>
        <w:spacing w:line="240" w:lineRule="auto"/>
        <w:ind w:left="630" w:leftChars="300"/>
        <w:rPr>
          <w:rFonts w:eastAsia="仿宋" w:cs="Times New Roman"/>
          <w:b/>
          <w:szCs w:val="21"/>
        </w:rPr>
      </w:pPr>
    </w:p>
    <w:p w14:paraId="5EA44D60">
      <w:pPr>
        <w:spacing w:line="240" w:lineRule="auto"/>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14:paraId="5BE36F46">
      <w:pPr>
        <w:spacing w:line="240" w:lineRule="auto"/>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14:paraId="1C27B408">
      <w:pPr>
        <w:spacing w:line="240" w:lineRule="auto"/>
        <w:ind w:left="630" w:leftChars="300"/>
        <w:rPr>
          <w:rFonts w:hint="eastAsia" w:eastAsia="仿宋" w:cs="Times New Roman"/>
          <w:szCs w:val="21"/>
          <w:lang w:eastAsia="zh-CN"/>
        </w:rPr>
      </w:pPr>
      <w:r>
        <w:rPr>
          <w:rFonts w:eastAsia="仿宋" w:cs="Times New Roman"/>
          <w:szCs w:val="21"/>
          <w:lang w:eastAsia="zh-TW"/>
        </w:rPr>
        <w:t>If each signatory of this Contract chooses to use electronic signing, the legal representative or his authorized agent has registered in real name on the electronic signing platform and signed the contract through CA certificate.</w:t>
      </w:r>
    </w:p>
    <w:p w14:paraId="18556C70">
      <w:pPr>
        <w:spacing w:line="240" w:lineRule="auto"/>
        <w:ind w:left="630" w:leftChars="300"/>
        <w:rPr>
          <w:rFonts w:hint="eastAsia" w:eastAsia="仿宋" w:cs="Times New Roman"/>
          <w:szCs w:val="21"/>
          <w:lang w:eastAsia="zh-CN"/>
        </w:rPr>
      </w:pPr>
      <w:r>
        <w:rPr>
          <w:rFonts w:eastAsia="仿宋" w:cs="Times New Roman"/>
          <w:szCs w:val="21"/>
          <w:lang w:eastAsia="zh-TW"/>
        </w:rPr>
        <w:t>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signatures of individuals).</w:t>
      </w:r>
    </w:p>
    <w:p w14:paraId="1CCDF5C6">
      <w:pPr>
        <w:spacing w:line="240" w:lineRule="auto"/>
        <w:ind w:left="630" w:leftChars="300"/>
        <w:rPr>
          <w:rFonts w:eastAsia="仿宋" w:cs="Times New Roman"/>
          <w:szCs w:val="21"/>
          <w:lang w:eastAsia="zh-TW"/>
        </w:rPr>
      </w:pPr>
      <w:r>
        <w:rPr>
          <w:rFonts w:eastAsia="仿宋" w:cs="Times New Roman"/>
          <w:szCs w:val="21"/>
          <w:lang w:eastAsia="zh-TW"/>
        </w:rP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14:paraId="6EA1C791">
      <w:pPr>
        <w:spacing w:line="240" w:lineRule="auto"/>
        <w:ind w:left="630" w:leftChars="300"/>
        <w:rPr>
          <w:rFonts w:hint="eastAsia" w:eastAsia="仿宋" w:cs="Times New Roman"/>
          <w:szCs w:val="21"/>
          <w:lang w:eastAsia="zh-CN"/>
        </w:rPr>
      </w:pPr>
      <w:r>
        <w:rPr>
          <w:rFonts w:eastAsia="仿宋" w:cs="Times New Roman"/>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5B806BF">
      <w:pPr>
        <w:spacing w:line="240" w:lineRule="auto"/>
        <w:ind w:left="630" w:leftChars="300"/>
        <w:rPr>
          <w:rFonts w:hint="eastAsia" w:eastAsia="仿宋" w:cs="Times New Roman"/>
          <w:szCs w:val="21"/>
        </w:rPr>
      </w:pPr>
      <w:r>
        <w:rPr>
          <w:rFonts w:eastAsia="仿宋" w:cs="Times New Roman"/>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A5ED4CC">
      <w:pPr>
        <w:spacing w:line="240" w:lineRule="auto"/>
        <w:rPr>
          <w:rFonts w:eastAsia="仿宋" w:cs="Times New Roman"/>
          <w:szCs w:val="21"/>
        </w:rPr>
      </w:pPr>
      <w:r>
        <w:rPr>
          <w:rFonts w:eastAsia="仿宋" w:cs="Times New Roman"/>
          <w:szCs w:val="21"/>
        </w:rPr>
        <w:t>The following page is for signature. （以下为签字页）</w:t>
      </w:r>
    </w:p>
    <w:p w14:paraId="672DA600">
      <w:pPr>
        <w:spacing w:line="240" w:lineRule="auto"/>
        <w:rPr>
          <w:rFonts w:eastAsia="仿宋" w:cs="Times New Roman"/>
          <w:szCs w:val="21"/>
        </w:rPr>
      </w:pPr>
      <w:r>
        <w:rPr>
          <w:rFonts w:eastAsia="仿宋" w:cs="Times New Roman"/>
          <w:szCs w:val="21"/>
        </w:rPr>
        <w:t>This page is only for signature.</w:t>
      </w:r>
    </w:p>
    <w:p w14:paraId="3BC17D93">
      <w:pPr>
        <w:spacing w:line="240" w:lineRule="auto"/>
        <w:rPr>
          <w:rFonts w:eastAsia="仿宋" w:cs="Times New Roman"/>
          <w:szCs w:val="21"/>
        </w:rPr>
      </w:pPr>
      <w:r>
        <w:rPr>
          <w:rFonts w:eastAsia="仿宋" w:cs="Times New Roman"/>
          <w:szCs w:val="21"/>
        </w:rPr>
        <w:t>本页为签字页。</w:t>
      </w:r>
    </w:p>
    <w:p w14:paraId="77995FFC">
      <w:pPr>
        <w:spacing w:line="240" w:lineRule="auto"/>
        <w:rPr>
          <w:rFonts w:eastAsia="仿宋" w:cs="Times New Roman"/>
          <w:szCs w:val="21"/>
        </w:rPr>
      </w:pPr>
    </w:p>
    <w:p w14:paraId="529CC300">
      <w:pPr>
        <w:spacing w:line="240" w:lineRule="auto"/>
        <w:rPr>
          <w:rFonts w:eastAsia="仿宋" w:cs="Times New Roman"/>
          <w:b/>
          <w:szCs w:val="21"/>
        </w:rPr>
      </w:pPr>
      <w:r>
        <w:rPr>
          <w:rFonts w:eastAsia="仿宋" w:cs="Times New Roman"/>
          <w:b/>
          <w:szCs w:val="21"/>
        </w:rPr>
        <w:t>The Buyer买方</w:t>
      </w:r>
    </w:p>
    <w:p w14:paraId="49B83546">
      <w:pPr>
        <w:spacing w:line="240" w:lineRule="auto"/>
        <w:rPr>
          <w:rFonts w:eastAsia="仿宋" w:cs="Times New Roman"/>
          <w:b/>
          <w:szCs w:val="21"/>
        </w:rPr>
      </w:pPr>
      <w:r>
        <w:rPr>
          <w:rFonts w:eastAsia="仿宋" w:cs="Times New Roman"/>
          <w:b/>
          <w:szCs w:val="21"/>
          <w:lang w:eastAsia="zh-TW"/>
        </w:rPr>
        <w:t>SIGNED BY</w:t>
      </w:r>
    </w:p>
    <w:p w14:paraId="0C6D6D3D">
      <w:pPr>
        <w:spacing w:line="240" w:lineRule="auto"/>
        <w:rPr>
          <w:rFonts w:eastAsia="仿宋" w:cs="Times New Roman"/>
          <w:b/>
          <w:szCs w:val="21"/>
          <w:lang w:eastAsia="zh-TW"/>
        </w:rPr>
      </w:pPr>
    </w:p>
    <w:p w14:paraId="4B3B8397">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087387EC">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746F3701">
      <w:pPr>
        <w:spacing w:line="240" w:lineRule="auto"/>
        <w:rPr>
          <w:rFonts w:eastAsia="仿宋" w:cs="Times New Roman"/>
          <w:b/>
          <w:szCs w:val="21"/>
          <w:lang w:eastAsia="zh-TW"/>
        </w:rPr>
      </w:pPr>
    </w:p>
    <w:p w14:paraId="0D0A9CB1">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3FDD6901">
      <w:pPr>
        <w:spacing w:line="240" w:lineRule="auto"/>
        <w:rPr>
          <w:rFonts w:eastAsia="仿宋" w:cs="Times New Roman"/>
          <w:b/>
          <w:szCs w:val="21"/>
        </w:rPr>
      </w:pPr>
      <w:r>
        <w:rPr>
          <w:rFonts w:eastAsia="仿宋" w:cs="Times New Roman"/>
          <w:b/>
          <w:szCs w:val="21"/>
        </w:rPr>
        <w:t>Signature date</w:t>
      </w:r>
    </w:p>
    <w:p w14:paraId="6135663E">
      <w:pPr>
        <w:spacing w:line="240" w:lineRule="auto"/>
        <w:rPr>
          <w:rFonts w:eastAsia="仿宋" w:cs="Times New Roman"/>
          <w:b/>
          <w:szCs w:val="21"/>
        </w:rPr>
      </w:pPr>
      <w:r>
        <w:rPr>
          <w:rFonts w:eastAsia="仿宋" w:cs="Times New Roman"/>
          <w:b/>
          <w:szCs w:val="21"/>
        </w:rPr>
        <w:t>签字日期：</w:t>
      </w:r>
    </w:p>
    <w:p w14:paraId="05004C65">
      <w:pPr>
        <w:spacing w:line="240" w:lineRule="auto"/>
        <w:rPr>
          <w:rFonts w:eastAsia="仿宋" w:cs="Times New Roman"/>
          <w:b/>
          <w:szCs w:val="21"/>
        </w:rPr>
      </w:pPr>
    </w:p>
    <w:p w14:paraId="429D6959">
      <w:pPr>
        <w:spacing w:line="240" w:lineRule="auto"/>
        <w:rPr>
          <w:rFonts w:eastAsia="仿宋" w:cs="Times New Roman"/>
          <w:b/>
          <w:szCs w:val="21"/>
        </w:rPr>
      </w:pPr>
      <w:r>
        <w:rPr>
          <w:rFonts w:eastAsia="仿宋" w:cs="Times New Roman"/>
          <w:b/>
          <w:szCs w:val="21"/>
        </w:rPr>
        <w:t>The Seller卖方</w:t>
      </w:r>
    </w:p>
    <w:p w14:paraId="580BBA3B">
      <w:pPr>
        <w:spacing w:line="240" w:lineRule="auto"/>
        <w:rPr>
          <w:rFonts w:eastAsia="仿宋" w:cs="Times New Roman"/>
          <w:b/>
          <w:szCs w:val="21"/>
        </w:rPr>
      </w:pPr>
      <w:r>
        <w:rPr>
          <w:rFonts w:eastAsia="仿宋" w:cs="Times New Roman"/>
          <w:b/>
          <w:szCs w:val="21"/>
          <w:lang w:eastAsia="zh-TW"/>
        </w:rPr>
        <w:t xml:space="preserve">SIGNED BY </w:t>
      </w:r>
    </w:p>
    <w:p w14:paraId="0680F23F">
      <w:pPr>
        <w:spacing w:line="240" w:lineRule="auto"/>
        <w:rPr>
          <w:rFonts w:eastAsia="仿宋" w:cs="Times New Roman"/>
          <w:b/>
          <w:szCs w:val="21"/>
          <w:lang w:eastAsia="zh-TW"/>
        </w:rPr>
      </w:pPr>
    </w:p>
    <w:p w14:paraId="2EBDD426">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4B1D2939">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0422040F">
      <w:pPr>
        <w:spacing w:line="240" w:lineRule="auto"/>
        <w:rPr>
          <w:rFonts w:eastAsia="仿宋" w:cs="Times New Roman"/>
          <w:b/>
          <w:szCs w:val="21"/>
        </w:rPr>
      </w:pPr>
    </w:p>
    <w:p w14:paraId="4C8D0902">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3D023821">
      <w:pPr>
        <w:spacing w:line="240" w:lineRule="auto"/>
        <w:rPr>
          <w:rFonts w:eastAsia="仿宋" w:cs="Times New Roman"/>
          <w:b/>
          <w:szCs w:val="21"/>
        </w:rPr>
      </w:pPr>
      <w:r>
        <w:rPr>
          <w:rFonts w:eastAsia="仿宋" w:cs="Times New Roman"/>
          <w:b/>
          <w:szCs w:val="21"/>
        </w:rPr>
        <w:t>Signature date</w:t>
      </w:r>
    </w:p>
    <w:p w14:paraId="6BBDA222">
      <w:pPr>
        <w:spacing w:line="240" w:lineRule="auto"/>
        <w:rPr>
          <w:rFonts w:eastAsia="仿宋" w:cs="Times New Roman"/>
          <w:b/>
          <w:szCs w:val="21"/>
        </w:rPr>
      </w:pPr>
      <w:r>
        <w:rPr>
          <w:rFonts w:eastAsia="仿宋" w:cs="Times New Roman"/>
          <w:b/>
          <w:szCs w:val="21"/>
        </w:rPr>
        <w:t>签字日期：</w:t>
      </w:r>
    </w:p>
    <w:p w14:paraId="4A678370">
      <w:pPr>
        <w:spacing w:line="240" w:lineRule="auto"/>
        <w:rPr>
          <w:rFonts w:eastAsia="仿宋" w:cs="Times New Roman"/>
          <w:b/>
          <w:szCs w:val="21"/>
        </w:rPr>
      </w:pPr>
    </w:p>
    <w:p w14:paraId="44236D39">
      <w:pPr>
        <w:spacing w:line="240" w:lineRule="auto"/>
        <w:rPr>
          <w:rFonts w:eastAsia="仿宋" w:cs="Times New Roman"/>
          <w:b/>
          <w:szCs w:val="21"/>
        </w:rPr>
      </w:pPr>
      <w:r>
        <w:rPr>
          <w:rFonts w:eastAsia="仿宋" w:cs="Times New Roman"/>
          <w:b/>
          <w:szCs w:val="21"/>
        </w:rPr>
        <w:t>The Enduser最终用户</w:t>
      </w:r>
    </w:p>
    <w:p w14:paraId="0456F256">
      <w:pPr>
        <w:spacing w:line="240" w:lineRule="auto"/>
        <w:rPr>
          <w:rFonts w:eastAsia="仿宋" w:cs="Times New Roman"/>
          <w:b/>
          <w:szCs w:val="21"/>
        </w:rPr>
      </w:pPr>
      <w:r>
        <w:rPr>
          <w:rFonts w:eastAsia="仿宋" w:cs="Times New Roman"/>
          <w:b/>
          <w:szCs w:val="21"/>
          <w:lang w:eastAsia="zh-TW"/>
        </w:rPr>
        <w:t>SIGNED BY</w:t>
      </w:r>
    </w:p>
    <w:p w14:paraId="7319B1E0">
      <w:pPr>
        <w:spacing w:line="240" w:lineRule="auto"/>
        <w:rPr>
          <w:rFonts w:eastAsia="仿宋" w:cs="Times New Roman"/>
          <w:b/>
          <w:szCs w:val="21"/>
          <w:lang w:eastAsia="zh-TW"/>
        </w:rPr>
      </w:pPr>
    </w:p>
    <w:p w14:paraId="2993DD0E">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421D7400">
      <w:pPr>
        <w:spacing w:line="240" w:lineRule="auto"/>
        <w:rPr>
          <w:rFonts w:eastAsia="仿宋" w:cs="Times New Roman"/>
          <w:b/>
          <w:szCs w:val="21"/>
        </w:rPr>
      </w:pPr>
      <w:r>
        <w:rPr>
          <w:rFonts w:eastAsia="仿宋" w:cs="Times New Roman"/>
          <w:b/>
          <w:szCs w:val="21"/>
          <w:lang w:eastAsia="zh-TW"/>
        </w:rPr>
        <w:t>for and on behalf of</w:t>
      </w:r>
    </w:p>
    <w:p w14:paraId="061DB5F3">
      <w:pPr>
        <w:spacing w:line="240" w:lineRule="auto"/>
        <w:rPr>
          <w:rFonts w:eastAsia="仿宋" w:cs="Times New Roman"/>
          <w:b/>
          <w:szCs w:val="21"/>
          <w:lang w:eastAsia="zh-TW"/>
        </w:rPr>
      </w:pPr>
    </w:p>
    <w:p w14:paraId="0BDD6D81">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2C842DF3">
      <w:pPr>
        <w:spacing w:line="240" w:lineRule="auto"/>
        <w:rPr>
          <w:rFonts w:eastAsia="仿宋" w:cs="Times New Roman"/>
          <w:b/>
          <w:szCs w:val="21"/>
        </w:rPr>
      </w:pPr>
      <w:r>
        <w:rPr>
          <w:rFonts w:eastAsia="仿宋" w:cs="Times New Roman"/>
          <w:b/>
          <w:szCs w:val="21"/>
        </w:rPr>
        <w:t>Signature date</w:t>
      </w:r>
    </w:p>
    <w:p w14:paraId="078DD193">
      <w:pPr>
        <w:spacing w:line="240" w:lineRule="auto"/>
        <w:rPr>
          <w:rFonts w:eastAsia="仿宋" w:cs="Times New Roman"/>
          <w:b/>
          <w:szCs w:val="21"/>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r>
        <w:rPr>
          <w:rFonts w:eastAsia="仿宋" w:cs="Times New Roman"/>
          <w:b/>
          <w:szCs w:val="21"/>
        </w:rPr>
        <w:t>签字日期</w:t>
      </w:r>
      <w:bookmarkEnd w:id="45"/>
      <w:bookmarkStart w:id="69" w:name="_Toc29691"/>
    </w:p>
    <w:p w14:paraId="02B44C89">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5589A5B9">
      <w:pPr>
        <w:pStyle w:val="12"/>
        <w:spacing w:before="8"/>
        <w:ind w:left="0" w:firstLine="0"/>
        <w:rPr>
          <w:rFonts w:ascii="楷体" w:hAnsi="楷体" w:eastAsia="楷体" w:cs="楷体"/>
          <w:sz w:val="44"/>
          <w:szCs w:val="28"/>
        </w:rPr>
      </w:pPr>
    </w:p>
    <w:p w14:paraId="0A27033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B78C43A">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4ED11A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BB2B51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83433C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5AC5D37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4145499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73D26C4D">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29DB0C3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08A16C9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691BC7D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50FFE0A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0AEB9E2C">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7912973F">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08B8D8F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22B8BEA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38F265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9B32B8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646AE9E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EC8E26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537013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490DCCC">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29AD145A">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5003EBB">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4DBA6D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B5C06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7A3200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3850CCC">
      <w:pPr>
        <w:pStyle w:val="12"/>
        <w:spacing w:before="9"/>
        <w:ind w:left="0" w:firstLine="0"/>
        <w:rPr>
          <w:rFonts w:ascii="楷体" w:hAnsi="楷体" w:eastAsia="楷体" w:cs="楷体"/>
          <w:sz w:val="40"/>
          <w:szCs w:val="28"/>
        </w:rPr>
      </w:pPr>
    </w:p>
    <w:p w14:paraId="773D3DAA">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6CC39427">
      <w:pPr>
        <w:pStyle w:val="12"/>
        <w:ind w:left="0" w:firstLine="0"/>
        <w:rPr>
          <w:rFonts w:ascii="楷体" w:hAnsi="楷体" w:eastAsia="楷体" w:cs="楷体"/>
          <w:b/>
          <w:sz w:val="24"/>
          <w:szCs w:val="28"/>
        </w:rPr>
      </w:pPr>
    </w:p>
    <w:p w14:paraId="1C1B0714">
      <w:pPr>
        <w:pStyle w:val="12"/>
        <w:spacing w:before="1"/>
        <w:ind w:left="0" w:firstLine="0"/>
        <w:rPr>
          <w:rFonts w:ascii="楷体" w:hAnsi="楷体" w:eastAsia="楷体" w:cs="楷体"/>
          <w:b/>
          <w:sz w:val="24"/>
          <w:szCs w:val="28"/>
        </w:rPr>
      </w:pPr>
    </w:p>
    <w:p w14:paraId="747F88B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7FCCB4E2">
      <w:pPr>
        <w:pStyle w:val="12"/>
        <w:ind w:left="0" w:firstLine="0"/>
        <w:rPr>
          <w:rFonts w:ascii="楷体" w:hAnsi="楷体" w:eastAsia="楷体" w:cs="楷体"/>
          <w:b/>
          <w:sz w:val="24"/>
          <w:szCs w:val="28"/>
        </w:rPr>
      </w:pPr>
    </w:p>
    <w:p w14:paraId="7EB997BB">
      <w:pPr>
        <w:pStyle w:val="12"/>
        <w:spacing w:before="4"/>
        <w:ind w:left="0" w:firstLine="0"/>
        <w:rPr>
          <w:rFonts w:ascii="楷体" w:hAnsi="楷体" w:eastAsia="楷体" w:cs="楷体"/>
          <w:b/>
          <w:sz w:val="24"/>
          <w:szCs w:val="28"/>
        </w:rPr>
      </w:pPr>
    </w:p>
    <w:p w14:paraId="4F3EEE78">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5B68E4F">
      <w:pPr>
        <w:spacing w:line="240" w:lineRule="auto"/>
        <w:rPr>
          <w:rFonts w:hint="eastAsia" w:eastAsia="仿宋" w:cs="Times New Roman"/>
          <w:b/>
          <w:szCs w:val="21"/>
        </w:rPr>
      </w:pPr>
    </w:p>
    <w:p w14:paraId="6119993E">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9810C5A">
      <w:pPr>
        <w:keepNext/>
        <w:keepLines/>
        <w:jc w:val="center"/>
        <w:outlineLvl w:val="0"/>
        <w:rPr>
          <w:rFonts w:ascii="Times New Roman" w:hAnsi="Times New Roman" w:eastAsia="宋体" w:cs="Times New Roman"/>
          <w:b/>
          <w:bCs/>
          <w:color w:val="000000"/>
          <w:sz w:val="24"/>
          <w:szCs w:val="2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9"/>
    </w:p>
    <w:p w14:paraId="37C35C92">
      <w:pPr>
        <w:spacing w:line="420" w:lineRule="exact"/>
        <w:ind w:firstLine="560" w:firstLineChars="200"/>
        <w:rPr>
          <w:rFonts w:hint="eastAsia" w:ascii="宋体" w:hAnsi="宋体" w:eastAsia="宋体" w:cs="宋体"/>
          <w:sz w:val="28"/>
          <w:szCs w:val="28"/>
        </w:rPr>
      </w:pPr>
    </w:p>
    <w:p w14:paraId="76AB5F9D">
      <w:pPr>
        <w:spacing w:line="420" w:lineRule="exact"/>
        <w:ind w:firstLine="560" w:firstLineChars="200"/>
        <w:rPr>
          <w:rFonts w:hint="eastAsia" w:ascii="宋体" w:hAnsi="宋体" w:eastAsia="宋体" w:cs="宋体"/>
          <w:sz w:val="28"/>
          <w:szCs w:val="28"/>
        </w:rPr>
      </w:pPr>
    </w:p>
    <w:p w14:paraId="3E5D94E7">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14:paraId="7569371F">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14:paraId="7296F1A3">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14:paraId="02F65316">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14:paraId="37FACAB0">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14:paraId="188F8B5D">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14:paraId="6335621B"/>
    <w:p w14:paraId="32AEF65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238C00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0" w:name="_Toc353881012"/>
      <w:bookmarkStart w:id="71" w:name="_Toc25811"/>
      <w:bookmarkStart w:id="72" w:name="_Toc639004"/>
      <w:bookmarkStart w:id="73"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0"/>
      <w:bookmarkEnd w:id="71"/>
      <w:bookmarkEnd w:id="72"/>
      <w:bookmarkEnd w:id="73"/>
    </w:p>
    <w:p w14:paraId="3666D8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750C60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eastAsia="zh-CN"/>
        </w:rPr>
        <w:t>AMT变速箱疲劳寿命试验台项目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w:t>
      </w:r>
      <w:r>
        <w:rPr>
          <w:rFonts w:hint="eastAsia" w:ascii="宋体" w:hAnsi="宋体" w:eastAsia="宋体" w:cs="Times New Roman"/>
          <w:color w:val="000000"/>
          <w:sz w:val="24"/>
          <w:szCs w:val="24"/>
          <w:highlight w:val="yellow"/>
          <w:lang w:val="en-US" w:eastAsia="zh-CN"/>
        </w:rPr>
        <w:t>四</w:t>
      </w:r>
      <w:r>
        <w:rPr>
          <w:rFonts w:hint="eastAsia" w:ascii="宋体" w:hAnsi="宋体" w:eastAsia="宋体" w:cs="Times New Roman"/>
          <w:color w:val="000000"/>
          <w:sz w:val="24"/>
          <w:szCs w:val="24"/>
          <w:lang w:val="en-US" w:eastAsia="zh-CN"/>
        </w:rPr>
        <w:t>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14:paraId="2013F0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170421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C0EF7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0A432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95581D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308F8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FBB53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847223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B1B65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4DBF7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77A90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59996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1E14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2D0DB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861A6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87888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1AF603">
      <w:pPr>
        <w:rPr>
          <w:rFonts w:ascii="黑体" w:hAnsi="Calibri" w:eastAsia="黑体" w:cs="Times New Roman"/>
          <w:color w:val="000000"/>
          <w:sz w:val="24"/>
          <w:szCs w:val="24"/>
        </w:rPr>
      </w:pPr>
    </w:p>
    <w:p w14:paraId="7B44B5AC">
      <w:pPr>
        <w:pStyle w:val="17"/>
        <w:rPr>
          <w:rFonts w:ascii="黑体" w:hAnsi="Calibri" w:eastAsia="黑体" w:cs="Times New Roman"/>
          <w:color w:val="000000"/>
          <w:sz w:val="24"/>
          <w:szCs w:val="24"/>
        </w:rPr>
      </w:pPr>
    </w:p>
    <w:p w14:paraId="48C55613">
      <w:pPr>
        <w:pStyle w:val="17"/>
        <w:rPr>
          <w:rFonts w:ascii="黑体" w:hAnsi="Calibri" w:eastAsia="黑体" w:cs="Times New Roman"/>
          <w:color w:val="000000"/>
          <w:sz w:val="24"/>
          <w:szCs w:val="24"/>
        </w:rPr>
      </w:pPr>
    </w:p>
    <w:p w14:paraId="1BBB75E6">
      <w:pPr>
        <w:pStyle w:val="17"/>
        <w:rPr>
          <w:rFonts w:ascii="黑体" w:hAnsi="Calibri" w:eastAsia="黑体" w:cs="Times New Roman"/>
          <w:color w:val="000000"/>
          <w:sz w:val="24"/>
          <w:szCs w:val="24"/>
        </w:rPr>
      </w:pPr>
    </w:p>
    <w:p w14:paraId="6A2FFB57">
      <w:pPr>
        <w:pStyle w:val="17"/>
        <w:rPr>
          <w:rFonts w:ascii="黑体" w:hAnsi="Calibri" w:eastAsia="黑体" w:cs="Times New Roman"/>
          <w:color w:val="000000"/>
          <w:sz w:val="24"/>
          <w:szCs w:val="24"/>
        </w:rPr>
      </w:pPr>
    </w:p>
    <w:p w14:paraId="1F0F7CA3">
      <w:pPr>
        <w:rPr>
          <w:rFonts w:ascii="黑体" w:hAnsi="Calibri" w:eastAsia="黑体" w:cs="Times New Roman"/>
          <w:color w:val="000000"/>
          <w:sz w:val="24"/>
          <w:szCs w:val="24"/>
        </w:rPr>
      </w:pPr>
    </w:p>
    <w:p w14:paraId="32E67CF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AC26E0F">
      <w:pPr>
        <w:adjustRightInd w:val="0"/>
        <w:snapToGrid w:val="0"/>
        <w:spacing w:before="93" w:beforeLines="30" w:line="240" w:lineRule="exact"/>
        <w:jc w:val="center"/>
        <w:rPr>
          <w:rFonts w:ascii="宋体" w:hAnsi="Calibri" w:eastAsia="宋体" w:cs="Times New Roman"/>
          <w:sz w:val="24"/>
          <w:szCs w:val="20"/>
        </w:rPr>
      </w:pPr>
    </w:p>
    <w:p w14:paraId="56DCC0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AMT变速箱疲劳寿命试验台项目（</w:t>
      </w:r>
      <w:r>
        <w:rPr>
          <w:rFonts w:hint="eastAsia" w:ascii="宋体" w:hAnsi="宋体" w:eastAsia="宋体" w:cs="宋体"/>
          <w:b/>
          <w:bCs/>
          <w:sz w:val="24"/>
          <w:szCs w:val="24"/>
          <w:u w:val="single"/>
          <w:lang w:eastAsia="zh-CN"/>
        </w:rPr>
        <w:t>CGZX2025040095</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26F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D0CD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A6AE40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B4FAB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212A3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4303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B9540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5129E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144D1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FC1DF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765385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90A9A0">
      <w:pPr>
        <w:rPr>
          <w:rFonts w:ascii="Calibri" w:hAnsi="Calibri" w:eastAsia="黑体" w:cs="Times New Roman"/>
          <w:b/>
          <w:bCs/>
          <w:color w:val="000000"/>
          <w:sz w:val="28"/>
          <w:szCs w:val="20"/>
        </w:rPr>
      </w:pPr>
    </w:p>
    <w:p w14:paraId="5B006A48">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25F29A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0CD5D0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538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7ACEB83">
            <w:pPr>
              <w:pStyle w:val="133"/>
              <w:spacing w:before="114"/>
              <w:ind w:left="720"/>
            </w:pPr>
            <w:r>
              <w:t xml:space="preserve">企业名称 </w:t>
            </w:r>
          </w:p>
        </w:tc>
        <w:tc>
          <w:tcPr>
            <w:tcW w:w="4680" w:type="dxa"/>
            <w:gridSpan w:val="4"/>
            <w:vAlign w:val="center"/>
          </w:tcPr>
          <w:p w14:paraId="51CDDFE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57CAD8D">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8F898D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BF8B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C234B37">
            <w:pPr>
              <w:pStyle w:val="133"/>
              <w:spacing w:before="114"/>
              <w:ind w:left="720"/>
            </w:pPr>
            <w:r>
              <w:t xml:space="preserve">企业地址 </w:t>
            </w:r>
          </w:p>
        </w:tc>
        <w:tc>
          <w:tcPr>
            <w:tcW w:w="4680" w:type="dxa"/>
            <w:gridSpan w:val="4"/>
            <w:vAlign w:val="center"/>
          </w:tcPr>
          <w:p w14:paraId="7D800D2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A9AAE00">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1DB713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761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1E75E5C">
            <w:pPr>
              <w:pStyle w:val="133"/>
              <w:spacing w:before="111"/>
              <w:ind w:left="720"/>
            </w:pPr>
            <w:r>
              <w:t xml:space="preserve">企业性质 </w:t>
            </w:r>
          </w:p>
        </w:tc>
        <w:tc>
          <w:tcPr>
            <w:tcW w:w="4680" w:type="dxa"/>
            <w:gridSpan w:val="4"/>
            <w:vAlign w:val="center"/>
          </w:tcPr>
          <w:p w14:paraId="5A18E9A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AF651A2">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255880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1BB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3AE9802">
            <w:pPr>
              <w:pStyle w:val="133"/>
              <w:spacing w:before="111"/>
              <w:ind w:left="509"/>
              <w:rPr>
                <w:highlight w:val="yellow"/>
              </w:rPr>
            </w:pPr>
            <w:r>
              <w:t xml:space="preserve">企业法人代表  </w:t>
            </w:r>
          </w:p>
        </w:tc>
        <w:tc>
          <w:tcPr>
            <w:tcW w:w="4680" w:type="dxa"/>
            <w:gridSpan w:val="4"/>
          </w:tcPr>
          <w:p w14:paraId="13D3FF9A">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11D973E">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A5B01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9B23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8BFD0D">
            <w:pPr>
              <w:pStyle w:val="133"/>
              <w:spacing w:before="114"/>
              <w:ind w:left="720"/>
            </w:pPr>
            <w:r>
              <w:t xml:space="preserve">品牌区分 </w:t>
            </w:r>
          </w:p>
        </w:tc>
        <w:tc>
          <w:tcPr>
            <w:tcW w:w="7500" w:type="dxa"/>
            <w:gridSpan w:val="6"/>
          </w:tcPr>
          <w:p w14:paraId="357927B6">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F94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93FE53C">
            <w:pPr>
              <w:pStyle w:val="133"/>
              <w:spacing w:before="178"/>
              <w:ind w:left="720"/>
            </w:pPr>
            <w:r>
              <w:t xml:space="preserve">品牌名称 </w:t>
            </w:r>
          </w:p>
        </w:tc>
        <w:tc>
          <w:tcPr>
            <w:tcW w:w="3583" w:type="dxa"/>
            <w:gridSpan w:val="3"/>
            <w:vAlign w:val="center"/>
          </w:tcPr>
          <w:p w14:paraId="5D8356EB">
            <w:pPr>
              <w:widowControl/>
              <w:rPr>
                <w:rFonts w:ascii="宋体" w:hAnsi="宋体" w:eastAsia="仿宋_GB2312"/>
                <w:kern w:val="0"/>
                <w:szCs w:val="21"/>
                <w:lang w:bidi="ar"/>
              </w:rPr>
            </w:pPr>
          </w:p>
        </w:tc>
        <w:tc>
          <w:tcPr>
            <w:tcW w:w="1097" w:type="dxa"/>
          </w:tcPr>
          <w:p w14:paraId="5DFA77AC">
            <w:pPr>
              <w:pStyle w:val="133"/>
              <w:spacing w:before="15"/>
              <w:ind w:left="279"/>
            </w:pPr>
            <w:r>
              <w:rPr>
                <w:spacing w:val="-2"/>
              </w:rPr>
              <w:t>质量</w:t>
            </w:r>
            <w:r>
              <w:t xml:space="preserve"> </w:t>
            </w:r>
          </w:p>
          <w:p w14:paraId="2A99D453">
            <w:pPr>
              <w:pStyle w:val="133"/>
              <w:spacing w:before="30" w:line="277" w:lineRule="exact"/>
              <w:ind w:left="279"/>
            </w:pPr>
            <w:r>
              <w:rPr>
                <w:rFonts w:hint="eastAsia"/>
              </w:rPr>
              <w:t>体系</w:t>
            </w:r>
          </w:p>
        </w:tc>
        <w:tc>
          <w:tcPr>
            <w:tcW w:w="2820" w:type="dxa"/>
            <w:gridSpan w:val="2"/>
          </w:tcPr>
          <w:p w14:paraId="18FCA63B">
            <w:pPr>
              <w:pStyle w:val="133"/>
              <w:spacing w:before="158"/>
              <w:jc w:val="center"/>
              <w:rPr>
                <w:sz w:val="24"/>
              </w:rPr>
            </w:pPr>
          </w:p>
        </w:tc>
      </w:tr>
      <w:tr w14:paraId="72ACA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27392F6">
            <w:pPr>
              <w:pStyle w:val="133"/>
              <w:spacing w:before="149"/>
              <w:ind w:left="3345" w:right="3223"/>
              <w:jc w:val="center"/>
            </w:pPr>
            <w:r>
              <w:rPr>
                <w:rFonts w:hint="eastAsia"/>
                <w:szCs w:val="21"/>
              </w:rPr>
              <w:t>单位概况</w:t>
            </w:r>
          </w:p>
        </w:tc>
      </w:tr>
      <w:tr w14:paraId="400AE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B24B5C0">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CA724DF">
            <w:pPr>
              <w:widowControl/>
              <w:textAlignment w:val="center"/>
              <w:rPr>
                <w:rFonts w:ascii="宋体" w:hAnsi="宋体" w:eastAsia="宋体" w:cs="宋体"/>
                <w:szCs w:val="21"/>
              </w:rPr>
            </w:pPr>
          </w:p>
        </w:tc>
        <w:tc>
          <w:tcPr>
            <w:tcW w:w="1530" w:type="dxa"/>
            <w:vAlign w:val="center"/>
          </w:tcPr>
          <w:p w14:paraId="091C0AF2">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A66DF3C">
            <w:pPr>
              <w:widowControl/>
              <w:jc w:val="center"/>
              <w:textAlignment w:val="center"/>
              <w:rPr>
                <w:rFonts w:ascii="宋体" w:hAnsi="宋体" w:eastAsia="宋体" w:cs="宋体"/>
                <w:szCs w:val="21"/>
              </w:rPr>
            </w:pPr>
          </w:p>
        </w:tc>
        <w:tc>
          <w:tcPr>
            <w:tcW w:w="1097" w:type="dxa"/>
            <w:vAlign w:val="center"/>
          </w:tcPr>
          <w:p w14:paraId="3FB9C3E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F24EB99">
            <w:pPr>
              <w:widowControl/>
              <w:jc w:val="center"/>
              <w:textAlignment w:val="center"/>
              <w:rPr>
                <w:rFonts w:ascii="宋体" w:hAnsi="宋体" w:eastAsia="宋体" w:cs="宋体"/>
                <w:szCs w:val="21"/>
              </w:rPr>
            </w:pPr>
          </w:p>
        </w:tc>
      </w:tr>
      <w:tr w14:paraId="2E47D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D23577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2055DA7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6299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D8B7B7D">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E94AF5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D9FC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8AA8E0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86F8A6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F312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AAC532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FA495B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8788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EF652A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EFD723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F5F1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9EF6A7D">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742C4A1">
            <w:pPr>
              <w:widowControl/>
              <w:jc w:val="left"/>
              <w:rPr>
                <w:rFonts w:ascii="宋体" w:hAnsi="宋体" w:eastAsia="宋体" w:cs="宋体"/>
                <w:kern w:val="0"/>
                <w:szCs w:val="21"/>
                <w:lang w:bidi="ar"/>
              </w:rPr>
            </w:pPr>
          </w:p>
        </w:tc>
      </w:tr>
    </w:tbl>
    <w:p w14:paraId="3E235635">
      <w:pPr>
        <w:pStyle w:val="17"/>
        <w:rPr>
          <w:rFonts w:ascii="Times New Roman" w:hAnsi="Times New Roman" w:eastAsia="宋体" w:cs="Times New Roman"/>
          <w:b/>
          <w:bCs/>
          <w:color w:val="000000"/>
          <w:sz w:val="24"/>
          <w:szCs w:val="24"/>
        </w:rPr>
      </w:pPr>
    </w:p>
    <w:p w14:paraId="2B6EB490">
      <w:pPr>
        <w:pStyle w:val="17"/>
        <w:rPr>
          <w:rFonts w:ascii="Times New Roman" w:hAnsi="Times New Roman" w:eastAsia="宋体" w:cs="Times New Roman"/>
          <w:b/>
          <w:bCs/>
          <w:color w:val="000000"/>
          <w:sz w:val="24"/>
          <w:szCs w:val="24"/>
        </w:rPr>
      </w:pPr>
    </w:p>
    <w:p w14:paraId="5D4AE48B">
      <w:pPr>
        <w:pStyle w:val="17"/>
        <w:rPr>
          <w:rFonts w:ascii="Times New Roman" w:hAnsi="Times New Roman" w:eastAsia="宋体" w:cs="Times New Roman"/>
          <w:b/>
          <w:bCs/>
          <w:color w:val="000000"/>
          <w:sz w:val="24"/>
          <w:szCs w:val="24"/>
        </w:rPr>
      </w:pPr>
    </w:p>
    <w:p w14:paraId="3258A66F">
      <w:pPr>
        <w:pStyle w:val="17"/>
        <w:rPr>
          <w:rFonts w:ascii="Times New Roman" w:hAnsi="Times New Roman" w:eastAsia="宋体" w:cs="Times New Roman"/>
          <w:b/>
          <w:bCs/>
          <w:color w:val="000000"/>
          <w:sz w:val="24"/>
          <w:szCs w:val="24"/>
        </w:rPr>
      </w:pPr>
    </w:p>
    <w:p w14:paraId="31D0E201">
      <w:pPr>
        <w:pStyle w:val="17"/>
        <w:rPr>
          <w:rFonts w:ascii="Times New Roman" w:hAnsi="Times New Roman" w:eastAsia="宋体" w:cs="Times New Roman"/>
          <w:b/>
          <w:bCs/>
          <w:color w:val="000000"/>
          <w:sz w:val="24"/>
          <w:szCs w:val="24"/>
        </w:rPr>
      </w:pPr>
    </w:p>
    <w:p w14:paraId="74F2EF25">
      <w:pPr>
        <w:pStyle w:val="17"/>
        <w:rPr>
          <w:rFonts w:ascii="Times New Roman" w:hAnsi="Times New Roman" w:eastAsia="宋体" w:cs="Times New Roman"/>
          <w:b/>
          <w:bCs/>
          <w:color w:val="000000"/>
          <w:sz w:val="24"/>
          <w:szCs w:val="24"/>
        </w:rPr>
      </w:pPr>
    </w:p>
    <w:p w14:paraId="49F3CE04">
      <w:pPr>
        <w:pStyle w:val="17"/>
        <w:rPr>
          <w:rFonts w:ascii="Times New Roman" w:hAnsi="Times New Roman" w:eastAsia="宋体" w:cs="Times New Roman"/>
          <w:b/>
          <w:bCs/>
          <w:color w:val="000000"/>
          <w:sz w:val="24"/>
          <w:szCs w:val="24"/>
        </w:rPr>
      </w:pPr>
    </w:p>
    <w:p w14:paraId="1F7A313B">
      <w:pPr>
        <w:pStyle w:val="17"/>
        <w:rPr>
          <w:rFonts w:ascii="Times New Roman" w:hAnsi="Times New Roman" w:eastAsia="宋体" w:cs="Times New Roman"/>
          <w:b/>
          <w:bCs/>
          <w:color w:val="000000"/>
          <w:sz w:val="24"/>
          <w:szCs w:val="24"/>
        </w:rPr>
      </w:pPr>
    </w:p>
    <w:p w14:paraId="6227C492">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79F0CAE">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1415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188044B7">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39C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67D97EC">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3C75D17E">
            <w:pPr>
              <w:spacing w:line="440" w:lineRule="exact"/>
              <w:jc w:val="center"/>
              <w:rPr>
                <w:rFonts w:ascii="宋体" w:hAnsi="宋体"/>
                <w:color w:val="000000"/>
                <w:sz w:val="24"/>
                <w:szCs w:val="24"/>
              </w:rPr>
            </w:pPr>
          </w:p>
        </w:tc>
      </w:tr>
      <w:tr w14:paraId="0AE1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233CB8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6E7CCF11">
            <w:pPr>
              <w:spacing w:line="440" w:lineRule="exact"/>
              <w:jc w:val="center"/>
              <w:rPr>
                <w:rFonts w:ascii="宋体" w:hAnsi="宋体"/>
                <w:color w:val="000000"/>
                <w:sz w:val="24"/>
                <w:szCs w:val="24"/>
              </w:rPr>
            </w:pPr>
          </w:p>
        </w:tc>
      </w:tr>
      <w:tr w14:paraId="2257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87E92F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34C20189">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650" w:type="dxa"/>
            <w:vAlign w:val="center"/>
          </w:tcPr>
          <w:p w14:paraId="41BE612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590" w:type="dxa"/>
            <w:vAlign w:val="center"/>
          </w:tcPr>
          <w:p w14:paraId="11897E9D">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450" w:type="dxa"/>
            <w:vAlign w:val="center"/>
          </w:tcPr>
          <w:p w14:paraId="360BD0A4">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0968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8E81819">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3B58CE68">
            <w:pPr>
              <w:spacing w:line="440" w:lineRule="exact"/>
              <w:jc w:val="center"/>
              <w:rPr>
                <w:rFonts w:ascii="宋体" w:hAnsi="宋体"/>
                <w:color w:val="000000"/>
                <w:sz w:val="24"/>
                <w:szCs w:val="24"/>
              </w:rPr>
            </w:pPr>
          </w:p>
        </w:tc>
        <w:tc>
          <w:tcPr>
            <w:tcW w:w="1650" w:type="dxa"/>
          </w:tcPr>
          <w:p w14:paraId="3A2332D9">
            <w:pPr>
              <w:spacing w:line="440" w:lineRule="exact"/>
              <w:jc w:val="center"/>
              <w:rPr>
                <w:rFonts w:ascii="宋体" w:hAnsi="宋体"/>
                <w:color w:val="000000"/>
                <w:sz w:val="24"/>
                <w:szCs w:val="24"/>
              </w:rPr>
            </w:pPr>
          </w:p>
        </w:tc>
        <w:tc>
          <w:tcPr>
            <w:tcW w:w="1590" w:type="dxa"/>
          </w:tcPr>
          <w:p w14:paraId="177F13F1">
            <w:pPr>
              <w:spacing w:line="440" w:lineRule="exact"/>
              <w:jc w:val="center"/>
              <w:rPr>
                <w:rFonts w:ascii="宋体" w:hAnsi="宋体"/>
                <w:color w:val="000000"/>
                <w:sz w:val="24"/>
                <w:szCs w:val="24"/>
              </w:rPr>
            </w:pPr>
          </w:p>
        </w:tc>
        <w:tc>
          <w:tcPr>
            <w:tcW w:w="1450" w:type="dxa"/>
          </w:tcPr>
          <w:p w14:paraId="5928797E">
            <w:pPr>
              <w:spacing w:line="440" w:lineRule="exact"/>
              <w:jc w:val="center"/>
              <w:rPr>
                <w:rFonts w:ascii="宋体" w:hAnsi="宋体"/>
                <w:color w:val="000000"/>
                <w:sz w:val="24"/>
                <w:szCs w:val="24"/>
              </w:rPr>
            </w:pPr>
          </w:p>
        </w:tc>
      </w:tr>
      <w:tr w14:paraId="22DB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DEDDC20">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452E2F49">
            <w:pPr>
              <w:spacing w:line="440" w:lineRule="exact"/>
              <w:jc w:val="center"/>
              <w:rPr>
                <w:rFonts w:ascii="宋体" w:hAnsi="宋体"/>
                <w:color w:val="000000"/>
                <w:sz w:val="24"/>
                <w:szCs w:val="24"/>
              </w:rPr>
            </w:pPr>
          </w:p>
        </w:tc>
        <w:tc>
          <w:tcPr>
            <w:tcW w:w="1650" w:type="dxa"/>
          </w:tcPr>
          <w:p w14:paraId="2E39C530">
            <w:pPr>
              <w:spacing w:line="440" w:lineRule="exact"/>
              <w:jc w:val="center"/>
              <w:rPr>
                <w:rFonts w:ascii="宋体" w:hAnsi="宋体"/>
                <w:color w:val="000000"/>
                <w:sz w:val="24"/>
                <w:szCs w:val="24"/>
              </w:rPr>
            </w:pPr>
          </w:p>
        </w:tc>
        <w:tc>
          <w:tcPr>
            <w:tcW w:w="1590" w:type="dxa"/>
          </w:tcPr>
          <w:p w14:paraId="405C2332">
            <w:pPr>
              <w:spacing w:line="440" w:lineRule="exact"/>
              <w:jc w:val="center"/>
              <w:rPr>
                <w:rFonts w:ascii="宋体" w:hAnsi="宋体"/>
                <w:color w:val="000000"/>
                <w:sz w:val="24"/>
                <w:szCs w:val="24"/>
              </w:rPr>
            </w:pPr>
          </w:p>
        </w:tc>
        <w:tc>
          <w:tcPr>
            <w:tcW w:w="1450" w:type="dxa"/>
          </w:tcPr>
          <w:p w14:paraId="5F02C87D">
            <w:pPr>
              <w:spacing w:line="440" w:lineRule="exact"/>
              <w:jc w:val="center"/>
              <w:rPr>
                <w:rFonts w:ascii="宋体" w:hAnsi="宋体"/>
                <w:color w:val="000000"/>
                <w:sz w:val="24"/>
                <w:szCs w:val="24"/>
              </w:rPr>
            </w:pPr>
          </w:p>
        </w:tc>
      </w:tr>
      <w:tr w14:paraId="1721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A6936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5B28AEEB">
            <w:pPr>
              <w:spacing w:line="440" w:lineRule="exact"/>
              <w:jc w:val="center"/>
              <w:rPr>
                <w:rFonts w:ascii="宋体" w:hAnsi="宋体"/>
                <w:color w:val="000000"/>
                <w:sz w:val="24"/>
                <w:szCs w:val="24"/>
                <w:highlight w:val="yellow"/>
              </w:rPr>
            </w:pPr>
          </w:p>
        </w:tc>
        <w:tc>
          <w:tcPr>
            <w:tcW w:w="1650" w:type="dxa"/>
          </w:tcPr>
          <w:p w14:paraId="2B61337C">
            <w:pPr>
              <w:spacing w:line="440" w:lineRule="exact"/>
              <w:jc w:val="center"/>
              <w:rPr>
                <w:rFonts w:ascii="宋体" w:hAnsi="宋体"/>
                <w:color w:val="000000"/>
                <w:sz w:val="24"/>
                <w:szCs w:val="24"/>
                <w:highlight w:val="yellow"/>
              </w:rPr>
            </w:pPr>
          </w:p>
        </w:tc>
        <w:tc>
          <w:tcPr>
            <w:tcW w:w="1590" w:type="dxa"/>
          </w:tcPr>
          <w:p w14:paraId="3DEDE551">
            <w:pPr>
              <w:spacing w:line="440" w:lineRule="exact"/>
              <w:jc w:val="center"/>
              <w:rPr>
                <w:rFonts w:ascii="宋体" w:hAnsi="宋体"/>
                <w:color w:val="000000"/>
                <w:sz w:val="24"/>
                <w:szCs w:val="24"/>
                <w:highlight w:val="yellow"/>
              </w:rPr>
            </w:pPr>
          </w:p>
        </w:tc>
        <w:tc>
          <w:tcPr>
            <w:tcW w:w="1450" w:type="dxa"/>
          </w:tcPr>
          <w:p w14:paraId="3DD0C820">
            <w:pPr>
              <w:spacing w:line="440" w:lineRule="exact"/>
              <w:jc w:val="center"/>
              <w:rPr>
                <w:rFonts w:ascii="宋体" w:hAnsi="宋体"/>
                <w:color w:val="000000"/>
                <w:sz w:val="24"/>
                <w:szCs w:val="24"/>
                <w:highlight w:val="yellow"/>
              </w:rPr>
            </w:pPr>
          </w:p>
        </w:tc>
      </w:tr>
      <w:tr w14:paraId="2F5B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D36C1AE">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06C78D31">
            <w:pPr>
              <w:spacing w:line="440" w:lineRule="exact"/>
              <w:jc w:val="center"/>
              <w:rPr>
                <w:rFonts w:ascii="宋体" w:hAnsi="宋体"/>
                <w:color w:val="000000"/>
                <w:sz w:val="24"/>
                <w:szCs w:val="24"/>
              </w:rPr>
            </w:pPr>
          </w:p>
        </w:tc>
        <w:tc>
          <w:tcPr>
            <w:tcW w:w="1650" w:type="dxa"/>
          </w:tcPr>
          <w:p w14:paraId="7C9FD94A">
            <w:pPr>
              <w:spacing w:line="440" w:lineRule="exact"/>
              <w:jc w:val="center"/>
              <w:rPr>
                <w:rFonts w:ascii="宋体" w:hAnsi="宋体"/>
                <w:color w:val="000000"/>
                <w:sz w:val="24"/>
                <w:szCs w:val="24"/>
              </w:rPr>
            </w:pPr>
          </w:p>
        </w:tc>
        <w:tc>
          <w:tcPr>
            <w:tcW w:w="1590" w:type="dxa"/>
          </w:tcPr>
          <w:p w14:paraId="18F5CC68">
            <w:pPr>
              <w:spacing w:line="440" w:lineRule="exact"/>
              <w:jc w:val="center"/>
              <w:rPr>
                <w:rFonts w:ascii="宋体" w:hAnsi="宋体"/>
                <w:color w:val="000000"/>
                <w:sz w:val="24"/>
                <w:szCs w:val="24"/>
              </w:rPr>
            </w:pPr>
          </w:p>
        </w:tc>
        <w:tc>
          <w:tcPr>
            <w:tcW w:w="1450" w:type="dxa"/>
          </w:tcPr>
          <w:p w14:paraId="7E78DE14">
            <w:pPr>
              <w:spacing w:line="440" w:lineRule="exact"/>
              <w:jc w:val="center"/>
              <w:rPr>
                <w:rFonts w:ascii="宋体" w:hAnsi="宋体"/>
                <w:color w:val="000000"/>
                <w:sz w:val="24"/>
                <w:szCs w:val="24"/>
              </w:rPr>
            </w:pPr>
          </w:p>
        </w:tc>
      </w:tr>
      <w:tr w14:paraId="7749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28DEED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0894EF17">
            <w:pPr>
              <w:spacing w:line="440" w:lineRule="exact"/>
              <w:jc w:val="center"/>
              <w:rPr>
                <w:rFonts w:ascii="宋体" w:hAnsi="宋体"/>
                <w:color w:val="000000"/>
                <w:sz w:val="24"/>
                <w:szCs w:val="24"/>
              </w:rPr>
            </w:pPr>
          </w:p>
        </w:tc>
        <w:tc>
          <w:tcPr>
            <w:tcW w:w="1650" w:type="dxa"/>
          </w:tcPr>
          <w:p w14:paraId="044A8CEB">
            <w:pPr>
              <w:spacing w:line="440" w:lineRule="exact"/>
              <w:jc w:val="center"/>
              <w:rPr>
                <w:rFonts w:ascii="宋体" w:hAnsi="宋体"/>
                <w:color w:val="000000"/>
                <w:sz w:val="24"/>
                <w:szCs w:val="24"/>
              </w:rPr>
            </w:pPr>
          </w:p>
        </w:tc>
        <w:tc>
          <w:tcPr>
            <w:tcW w:w="1590" w:type="dxa"/>
          </w:tcPr>
          <w:p w14:paraId="04105321">
            <w:pPr>
              <w:spacing w:line="440" w:lineRule="exact"/>
              <w:jc w:val="center"/>
              <w:rPr>
                <w:rFonts w:ascii="宋体" w:hAnsi="宋体"/>
                <w:color w:val="000000"/>
                <w:sz w:val="24"/>
                <w:szCs w:val="24"/>
              </w:rPr>
            </w:pPr>
          </w:p>
        </w:tc>
        <w:tc>
          <w:tcPr>
            <w:tcW w:w="1450" w:type="dxa"/>
          </w:tcPr>
          <w:p w14:paraId="33CF7327">
            <w:pPr>
              <w:spacing w:line="440" w:lineRule="exact"/>
              <w:jc w:val="center"/>
              <w:rPr>
                <w:rFonts w:ascii="宋体" w:hAnsi="宋体"/>
                <w:color w:val="000000"/>
                <w:sz w:val="24"/>
                <w:szCs w:val="24"/>
              </w:rPr>
            </w:pPr>
          </w:p>
        </w:tc>
      </w:tr>
      <w:tr w14:paraId="491E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519" w:type="dxa"/>
            <w:vAlign w:val="center"/>
          </w:tcPr>
          <w:p w14:paraId="34CAA7D4">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20701A9B">
            <w:pPr>
              <w:spacing w:line="440" w:lineRule="exact"/>
              <w:jc w:val="center"/>
              <w:rPr>
                <w:rFonts w:ascii="宋体" w:hAnsi="宋体"/>
                <w:color w:val="000000"/>
                <w:sz w:val="24"/>
                <w:szCs w:val="24"/>
                <w:highlight w:val="yellow"/>
              </w:rPr>
            </w:pPr>
          </w:p>
        </w:tc>
        <w:tc>
          <w:tcPr>
            <w:tcW w:w="1650" w:type="dxa"/>
          </w:tcPr>
          <w:p w14:paraId="7244B865">
            <w:pPr>
              <w:spacing w:line="440" w:lineRule="exact"/>
              <w:jc w:val="center"/>
              <w:rPr>
                <w:rFonts w:ascii="宋体" w:hAnsi="宋体"/>
                <w:color w:val="000000"/>
                <w:sz w:val="24"/>
                <w:szCs w:val="24"/>
                <w:highlight w:val="yellow"/>
              </w:rPr>
            </w:pPr>
          </w:p>
        </w:tc>
        <w:tc>
          <w:tcPr>
            <w:tcW w:w="1590" w:type="dxa"/>
          </w:tcPr>
          <w:p w14:paraId="536ED00B">
            <w:pPr>
              <w:spacing w:line="440" w:lineRule="exact"/>
              <w:jc w:val="center"/>
              <w:rPr>
                <w:rFonts w:ascii="宋体" w:hAnsi="宋体"/>
                <w:color w:val="000000"/>
                <w:sz w:val="24"/>
                <w:szCs w:val="24"/>
                <w:highlight w:val="yellow"/>
              </w:rPr>
            </w:pPr>
          </w:p>
        </w:tc>
        <w:tc>
          <w:tcPr>
            <w:tcW w:w="1450" w:type="dxa"/>
          </w:tcPr>
          <w:p w14:paraId="5E9CEF5F">
            <w:pPr>
              <w:spacing w:line="440" w:lineRule="exact"/>
              <w:jc w:val="center"/>
              <w:rPr>
                <w:rFonts w:ascii="宋体" w:hAnsi="宋体"/>
                <w:color w:val="000000"/>
                <w:sz w:val="24"/>
                <w:szCs w:val="24"/>
                <w:highlight w:val="yellow"/>
              </w:rPr>
            </w:pPr>
          </w:p>
        </w:tc>
      </w:tr>
      <w:tr w14:paraId="2CAE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961BF5">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4EE0080E">
            <w:pPr>
              <w:spacing w:line="440" w:lineRule="exact"/>
              <w:jc w:val="center"/>
              <w:rPr>
                <w:rFonts w:ascii="宋体" w:hAnsi="宋体"/>
                <w:color w:val="000000"/>
                <w:sz w:val="24"/>
                <w:szCs w:val="24"/>
                <w:highlight w:val="yellow"/>
              </w:rPr>
            </w:pPr>
          </w:p>
        </w:tc>
        <w:tc>
          <w:tcPr>
            <w:tcW w:w="1650" w:type="dxa"/>
          </w:tcPr>
          <w:p w14:paraId="3BE31C8F">
            <w:pPr>
              <w:spacing w:line="440" w:lineRule="exact"/>
              <w:jc w:val="center"/>
              <w:rPr>
                <w:rFonts w:ascii="宋体" w:hAnsi="宋体"/>
                <w:color w:val="000000"/>
                <w:sz w:val="24"/>
                <w:szCs w:val="24"/>
                <w:highlight w:val="yellow"/>
              </w:rPr>
            </w:pPr>
          </w:p>
        </w:tc>
        <w:tc>
          <w:tcPr>
            <w:tcW w:w="1590" w:type="dxa"/>
          </w:tcPr>
          <w:p w14:paraId="652FE6EE">
            <w:pPr>
              <w:spacing w:line="440" w:lineRule="exact"/>
              <w:jc w:val="center"/>
              <w:rPr>
                <w:rFonts w:ascii="宋体" w:hAnsi="宋体"/>
                <w:color w:val="000000"/>
                <w:sz w:val="24"/>
                <w:szCs w:val="24"/>
                <w:highlight w:val="yellow"/>
              </w:rPr>
            </w:pPr>
          </w:p>
        </w:tc>
        <w:tc>
          <w:tcPr>
            <w:tcW w:w="1450" w:type="dxa"/>
          </w:tcPr>
          <w:p w14:paraId="4002467F">
            <w:pPr>
              <w:spacing w:line="440" w:lineRule="exact"/>
              <w:jc w:val="center"/>
              <w:rPr>
                <w:rFonts w:ascii="宋体" w:hAnsi="宋体"/>
                <w:color w:val="000000"/>
                <w:sz w:val="24"/>
                <w:szCs w:val="24"/>
                <w:highlight w:val="yellow"/>
              </w:rPr>
            </w:pPr>
          </w:p>
        </w:tc>
      </w:tr>
      <w:tr w14:paraId="7591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836318F">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19182871">
            <w:pPr>
              <w:spacing w:line="440" w:lineRule="exact"/>
              <w:jc w:val="center"/>
              <w:rPr>
                <w:rFonts w:ascii="宋体" w:hAnsi="宋体"/>
                <w:color w:val="000000"/>
                <w:sz w:val="24"/>
                <w:szCs w:val="24"/>
              </w:rPr>
            </w:pPr>
          </w:p>
        </w:tc>
        <w:tc>
          <w:tcPr>
            <w:tcW w:w="1650" w:type="dxa"/>
          </w:tcPr>
          <w:p w14:paraId="4B81611E">
            <w:pPr>
              <w:spacing w:line="440" w:lineRule="exact"/>
              <w:jc w:val="center"/>
              <w:rPr>
                <w:rFonts w:ascii="宋体" w:hAnsi="宋体"/>
                <w:color w:val="000000"/>
                <w:sz w:val="24"/>
                <w:szCs w:val="24"/>
              </w:rPr>
            </w:pPr>
          </w:p>
        </w:tc>
        <w:tc>
          <w:tcPr>
            <w:tcW w:w="1590" w:type="dxa"/>
          </w:tcPr>
          <w:p w14:paraId="4DD85315">
            <w:pPr>
              <w:spacing w:line="440" w:lineRule="exact"/>
              <w:jc w:val="center"/>
              <w:rPr>
                <w:rFonts w:ascii="宋体" w:hAnsi="宋体"/>
                <w:color w:val="000000"/>
                <w:sz w:val="24"/>
                <w:szCs w:val="24"/>
              </w:rPr>
            </w:pPr>
          </w:p>
        </w:tc>
        <w:tc>
          <w:tcPr>
            <w:tcW w:w="1450" w:type="dxa"/>
          </w:tcPr>
          <w:p w14:paraId="19380F24">
            <w:pPr>
              <w:spacing w:line="440" w:lineRule="exact"/>
              <w:jc w:val="center"/>
              <w:rPr>
                <w:rFonts w:ascii="宋体" w:hAnsi="宋体"/>
                <w:color w:val="000000"/>
                <w:sz w:val="24"/>
                <w:szCs w:val="24"/>
              </w:rPr>
            </w:pPr>
          </w:p>
        </w:tc>
      </w:tr>
      <w:tr w14:paraId="0AEA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3E4DE55">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61DE1349">
            <w:pPr>
              <w:spacing w:line="440" w:lineRule="exact"/>
              <w:jc w:val="center"/>
              <w:rPr>
                <w:rFonts w:ascii="宋体" w:hAnsi="宋体"/>
                <w:color w:val="000000"/>
                <w:sz w:val="24"/>
                <w:szCs w:val="24"/>
              </w:rPr>
            </w:pPr>
          </w:p>
        </w:tc>
        <w:tc>
          <w:tcPr>
            <w:tcW w:w="1650" w:type="dxa"/>
          </w:tcPr>
          <w:p w14:paraId="4A874ADA">
            <w:pPr>
              <w:spacing w:line="440" w:lineRule="exact"/>
              <w:jc w:val="center"/>
              <w:rPr>
                <w:rFonts w:ascii="宋体" w:hAnsi="宋体"/>
                <w:color w:val="000000"/>
                <w:sz w:val="24"/>
                <w:szCs w:val="24"/>
              </w:rPr>
            </w:pPr>
          </w:p>
        </w:tc>
        <w:tc>
          <w:tcPr>
            <w:tcW w:w="1590" w:type="dxa"/>
          </w:tcPr>
          <w:p w14:paraId="0EA02587">
            <w:pPr>
              <w:spacing w:line="440" w:lineRule="exact"/>
              <w:jc w:val="center"/>
              <w:rPr>
                <w:rFonts w:ascii="宋体" w:hAnsi="宋体"/>
                <w:color w:val="000000"/>
                <w:sz w:val="24"/>
                <w:szCs w:val="24"/>
              </w:rPr>
            </w:pPr>
          </w:p>
        </w:tc>
        <w:tc>
          <w:tcPr>
            <w:tcW w:w="1450" w:type="dxa"/>
          </w:tcPr>
          <w:p w14:paraId="57DE1AD5">
            <w:pPr>
              <w:spacing w:line="440" w:lineRule="exact"/>
              <w:jc w:val="center"/>
              <w:rPr>
                <w:rFonts w:ascii="宋体" w:hAnsi="宋体"/>
                <w:color w:val="000000"/>
                <w:sz w:val="24"/>
                <w:szCs w:val="24"/>
              </w:rPr>
            </w:pPr>
          </w:p>
        </w:tc>
      </w:tr>
      <w:tr w14:paraId="6FB2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D4A946D">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457E6630">
            <w:pPr>
              <w:spacing w:line="440" w:lineRule="exact"/>
              <w:jc w:val="center"/>
              <w:rPr>
                <w:rFonts w:ascii="宋体" w:hAnsi="宋体"/>
                <w:color w:val="000000"/>
                <w:sz w:val="24"/>
                <w:szCs w:val="24"/>
              </w:rPr>
            </w:pPr>
          </w:p>
        </w:tc>
        <w:tc>
          <w:tcPr>
            <w:tcW w:w="1650" w:type="dxa"/>
          </w:tcPr>
          <w:p w14:paraId="2EFED431">
            <w:pPr>
              <w:spacing w:line="440" w:lineRule="exact"/>
              <w:jc w:val="center"/>
              <w:rPr>
                <w:rFonts w:ascii="宋体" w:hAnsi="宋体"/>
                <w:color w:val="000000"/>
                <w:sz w:val="24"/>
                <w:szCs w:val="24"/>
              </w:rPr>
            </w:pPr>
          </w:p>
        </w:tc>
        <w:tc>
          <w:tcPr>
            <w:tcW w:w="1590" w:type="dxa"/>
          </w:tcPr>
          <w:p w14:paraId="2922F9BB">
            <w:pPr>
              <w:spacing w:line="440" w:lineRule="exact"/>
              <w:jc w:val="center"/>
              <w:rPr>
                <w:rFonts w:ascii="宋体" w:hAnsi="宋体"/>
                <w:color w:val="000000"/>
                <w:sz w:val="24"/>
                <w:szCs w:val="24"/>
              </w:rPr>
            </w:pPr>
          </w:p>
        </w:tc>
        <w:tc>
          <w:tcPr>
            <w:tcW w:w="1450" w:type="dxa"/>
          </w:tcPr>
          <w:p w14:paraId="27B8B4F3">
            <w:pPr>
              <w:spacing w:line="440" w:lineRule="exact"/>
              <w:jc w:val="center"/>
              <w:rPr>
                <w:rFonts w:ascii="宋体" w:hAnsi="宋体"/>
                <w:color w:val="000000"/>
                <w:sz w:val="24"/>
                <w:szCs w:val="24"/>
              </w:rPr>
            </w:pPr>
          </w:p>
        </w:tc>
      </w:tr>
    </w:tbl>
    <w:p w14:paraId="200DFA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DD56EB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C0F184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D5E6F03">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7DADF47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C5549E6">
      <w:pPr>
        <w:spacing w:line="240" w:lineRule="exact"/>
        <w:jc w:val="center"/>
        <w:rPr>
          <w:rFonts w:ascii="宋体" w:hAnsi="Calibri" w:eastAsia="宋体" w:cs="Times New Roman"/>
          <w:b/>
          <w:bCs/>
          <w:sz w:val="36"/>
          <w:szCs w:val="20"/>
        </w:rPr>
      </w:pPr>
    </w:p>
    <w:p w14:paraId="779BCE2C">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eastAsia="zh-CN"/>
        </w:rPr>
        <w:t>AMT变速箱疲劳寿命试验台项目</w:t>
      </w:r>
    </w:p>
    <w:p w14:paraId="2C01E59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F353FD">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0B69DDA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A3830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0FC8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644F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2CD6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1544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F037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0763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E509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0BCA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5E8D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7172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562D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A366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2DC764">
      <w:pPr>
        <w:spacing w:line="360" w:lineRule="auto"/>
        <w:ind w:firstLine="480" w:firstLineChars="200"/>
        <w:rPr>
          <w:rFonts w:ascii="宋体" w:hAnsi="宋体" w:eastAsia="宋体" w:cs="Times New Roman"/>
          <w:sz w:val="24"/>
          <w:szCs w:val="20"/>
          <w:u w:val="single"/>
        </w:rPr>
      </w:pPr>
    </w:p>
    <w:p w14:paraId="1FD364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41D8E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711B0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A8413B">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566352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29E3EB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lang w:eastAsia="zh-CN"/>
        </w:rPr>
        <w:t>AMT变速箱疲劳寿命试验台项目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D38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47419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1ABFC1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F5BA6F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408D0B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252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BD3B6B">
            <w:pPr>
              <w:jc w:val="center"/>
              <w:rPr>
                <w:rFonts w:ascii="Times New Roman" w:hAnsi="Times New Roman" w:eastAsia="宋体" w:cs="Times New Roman"/>
                <w:b/>
                <w:sz w:val="24"/>
                <w:szCs w:val="20"/>
              </w:rPr>
            </w:pPr>
          </w:p>
        </w:tc>
        <w:tc>
          <w:tcPr>
            <w:tcW w:w="3449" w:type="dxa"/>
          </w:tcPr>
          <w:p w14:paraId="60A4DAD7">
            <w:pPr>
              <w:jc w:val="center"/>
              <w:rPr>
                <w:rFonts w:ascii="Times New Roman" w:hAnsi="Times New Roman" w:eastAsia="宋体" w:cs="Times New Roman"/>
                <w:b/>
                <w:sz w:val="24"/>
                <w:szCs w:val="20"/>
              </w:rPr>
            </w:pPr>
          </w:p>
        </w:tc>
        <w:tc>
          <w:tcPr>
            <w:tcW w:w="2414" w:type="dxa"/>
          </w:tcPr>
          <w:p w14:paraId="389C9920">
            <w:pPr>
              <w:jc w:val="center"/>
              <w:rPr>
                <w:rFonts w:ascii="Times New Roman" w:hAnsi="Times New Roman" w:eastAsia="宋体" w:cs="Times New Roman"/>
                <w:b/>
                <w:sz w:val="24"/>
                <w:szCs w:val="20"/>
              </w:rPr>
            </w:pPr>
          </w:p>
        </w:tc>
        <w:tc>
          <w:tcPr>
            <w:tcW w:w="1608" w:type="dxa"/>
          </w:tcPr>
          <w:p w14:paraId="14495F98">
            <w:pPr>
              <w:jc w:val="center"/>
              <w:rPr>
                <w:rFonts w:ascii="Times New Roman" w:hAnsi="Times New Roman" w:eastAsia="宋体" w:cs="Times New Roman"/>
                <w:b/>
                <w:sz w:val="24"/>
                <w:szCs w:val="20"/>
              </w:rPr>
            </w:pPr>
          </w:p>
        </w:tc>
      </w:tr>
      <w:tr w14:paraId="1FD5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613D345">
            <w:pPr>
              <w:jc w:val="center"/>
              <w:rPr>
                <w:rFonts w:ascii="Times New Roman" w:hAnsi="Times New Roman" w:eastAsia="宋体" w:cs="Times New Roman"/>
                <w:b/>
                <w:sz w:val="24"/>
                <w:szCs w:val="20"/>
              </w:rPr>
            </w:pPr>
          </w:p>
        </w:tc>
        <w:tc>
          <w:tcPr>
            <w:tcW w:w="3449" w:type="dxa"/>
          </w:tcPr>
          <w:p w14:paraId="2D710551">
            <w:pPr>
              <w:jc w:val="center"/>
              <w:rPr>
                <w:rFonts w:ascii="Times New Roman" w:hAnsi="Times New Roman" w:eastAsia="宋体" w:cs="Times New Roman"/>
                <w:b/>
                <w:sz w:val="24"/>
                <w:szCs w:val="20"/>
              </w:rPr>
            </w:pPr>
          </w:p>
        </w:tc>
        <w:tc>
          <w:tcPr>
            <w:tcW w:w="2414" w:type="dxa"/>
          </w:tcPr>
          <w:p w14:paraId="269DD35D">
            <w:pPr>
              <w:jc w:val="center"/>
              <w:rPr>
                <w:rFonts w:ascii="Times New Roman" w:hAnsi="Times New Roman" w:eastAsia="宋体" w:cs="Times New Roman"/>
                <w:b/>
                <w:sz w:val="24"/>
                <w:szCs w:val="20"/>
              </w:rPr>
            </w:pPr>
          </w:p>
        </w:tc>
        <w:tc>
          <w:tcPr>
            <w:tcW w:w="1608" w:type="dxa"/>
          </w:tcPr>
          <w:p w14:paraId="057BAE2D">
            <w:pPr>
              <w:jc w:val="center"/>
              <w:rPr>
                <w:rFonts w:ascii="Times New Roman" w:hAnsi="Times New Roman" w:eastAsia="宋体" w:cs="Times New Roman"/>
                <w:b/>
                <w:sz w:val="24"/>
                <w:szCs w:val="20"/>
              </w:rPr>
            </w:pPr>
          </w:p>
        </w:tc>
      </w:tr>
      <w:tr w14:paraId="04E1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731BBF">
            <w:pPr>
              <w:jc w:val="center"/>
              <w:rPr>
                <w:rFonts w:ascii="Times New Roman" w:hAnsi="Times New Roman" w:eastAsia="宋体" w:cs="Times New Roman"/>
                <w:b/>
                <w:sz w:val="24"/>
                <w:szCs w:val="20"/>
              </w:rPr>
            </w:pPr>
          </w:p>
        </w:tc>
        <w:tc>
          <w:tcPr>
            <w:tcW w:w="3449" w:type="dxa"/>
          </w:tcPr>
          <w:p w14:paraId="44067A16">
            <w:pPr>
              <w:jc w:val="center"/>
              <w:rPr>
                <w:rFonts w:ascii="Times New Roman" w:hAnsi="Times New Roman" w:eastAsia="宋体" w:cs="Times New Roman"/>
                <w:b/>
                <w:sz w:val="24"/>
                <w:szCs w:val="20"/>
              </w:rPr>
            </w:pPr>
          </w:p>
        </w:tc>
        <w:tc>
          <w:tcPr>
            <w:tcW w:w="2414" w:type="dxa"/>
          </w:tcPr>
          <w:p w14:paraId="6CA548C2">
            <w:pPr>
              <w:jc w:val="center"/>
              <w:rPr>
                <w:rFonts w:ascii="Times New Roman" w:hAnsi="Times New Roman" w:eastAsia="宋体" w:cs="Times New Roman"/>
                <w:b/>
                <w:sz w:val="24"/>
                <w:szCs w:val="20"/>
              </w:rPr>
            </w:pPr>
          </w:p>
        </w:tc>
        <w:tc>
          <w:tcPr>
            <w:tcW w:w="1608" w:type="dxa"/>
          </w:tcPr>
          <w:p w14:paraId="1CB93936">
            <w:pPr>
              <w:jc w:val="center"/>
              <w:rPr>
                <w:rFonts w:ascii="Times New Roman" w:hAnsi="Times New Roman" w:eastAsia="宋体" w:cs="Times New Roman"/>
                <w:b/>
                <w:sz w:val="24"/>
                <w:szCs w:val="20"/>
              </w:rPr>
            </w:pPr>
          </w:p>
        </w:tc>
      </w:tr>
      <w:tr w14:paraId="35A3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395AC8C">
            <w:pPr>
              <w:jc w:val="center"/>
              <w:rPr>
                <w:rFonts w:ascii="Times New Roman" w:hAnsi="Times New Roman" w:eastAsia="宋体" w:cs="Times New Roman"/>
                <w:b/>
                <w:sz w:val="24"/>
                <w:szCs w:val="20"/>
              </w:rPr>
            </w:pPr>
          </w:p>
        </w:tc>
        <w:tc>
          <w:tcPr>
            <w:tcW w:w="3449" w:type="dxa"/>
          </w:tcPr>
          <w:p w14:paraId="77C674CA">
            <w:pPr>
              <w:jc w:val="center"/>
              <w:rPr>
                <w:rFonts w:ascii="Times New Roman" w:hAnsi="Times New Roman" w:eastAsia="宋体" w:cs="Times New Roman"/>
                <w:b/>
                <w:sz w:val="24"/>
                <w:szCs w:val="20"/>
              </w:rPr>
            </w:pPr>
          </w:p>
        </w:tc>
        <w:tc>
          <w:tcPr>
            <w:tcW w:w="2414" w:type="dxa"/>
          </w:tcPr>
          <w:p w14:paraId="0480FA9E">
            <w:pPr>
              <w:jc w:val="center"/>
              <w:rPr>
                <w:rFonts w:ascii="Times New Roman" w:hAnsi="Times New Roman" w:eastAsia="宋体" w:cs="Times New Roman"/>
                <w:b/>
                <w:sz w:val="24"/>
                <w:szCs w:val="20"/>
              </w:rPr>
            </w:pPr>
          </w:p>
        </w:tc>
        <w:tc>
          <w:tcPr>
            <w:tcW w:w="1608" w:type="dxa"/>
          </w:tcPr>
          <w:p w14:paraId="360A5F78">
            <w:pPr>
              <w:jc w:val="center"/>
              <w:rPr>
                <w:rFonts w:ascii="Times New Roman" w:hAnsi="Times New Roman" w:eastAsia="宋体" w:cs="Times New Roman"/>
                <w:b/>
                <w:sz w:val="24"/>
                <w:szCs w:val="20"/>
              </w:rPr>
            </w:pPr>
          </w:p>
        </w:tc>
      </w:tr>
      <w:tr w14:paraId="3E70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E22B4D">
            <w:pPr>
              <w:jc w:val="center"/>
              <w:rPr>
                <w:rFonts w:ascii="Times New Roman" w:hAnsi="Times New Roman" w:eastAsia="宋体" w:cs="Times New Roman"/>
                <w:b/>
                <w:sz w:val="24"/>
                <w:szCs w:val="20"/>
              </w:rPr>
            </w:pPr>
          </w:p>
        </w:tc>
        <w:tc>
          <w:tcPr>
            <w:tcW w:w="3449" w:type="dxa"/>
          </w:tcPr>
          <w:p w14:paraId="0B6BE431">
            <w:pPr>
              <w:jc w:val="center"/>
              <w:rPr>
                <w:rFonts w:ascii="Times New Roman" w:hAnsi="Times New Roman" w:eastAsia="宋体" w:cs="Times New Roman"/>
                <w:b/>
                <w:sz w:val="24"/>
                <w:szCs w:val="20"/>
              </w:rPr>
            </w:pPr>
          </w:p>
        </w:tc>
        <w:tc>
          <w:tcPr>
            <w:tcW w:w="2414" w:type="dxa"/>
          </w:tcPr>
          <w:p w14:paraId="1930E668">
            <w:pPr>
              <w:jc w:val="center"/>
              <w:rPr>
                <w:rFonts w:ascii="Times New Roman" w:hAnsi="Times New Roman" w:eastAsia="宋体" w:cs="Times New Roman"/>
                <w:b/>
                <w:sz w:val="24"/>
                <w:szCs w:val="20"/>
              </w:rPr>
            </w:pPr>
          </w:p>
        </w:tc>
        <w:tc>
          <w:tcPr>
            <w:tcW w:w="1608" w:type="dxa"/>
          </w:tcPr>
          <w:p w14:paraId="75764D15">
            <w:pPr>
              <w:jc w:val="center"/>
              <w:rPr>
                <w:rFonts w:ascii="Times New Roman" w:hAnsi="Times New Roman" w:eastAsia="宋体" w:cs="Times New Roman"/>
                <w:b/>
                <w:sz w:val="24"/>
                <w:szCs w:val="20"/>
              </w:rPr>
            </w:pPr>
          </w:p>
        </w:tc>
      </w:tr>
      <w:tr w14:paraId="3EEB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39616FA">
            <w:pPr>
              <w:jc w:val="center"/>
              <w:rPr>
                <w:rFonts w:ascii="Times New Roman" w:hAnsi="Times New Roman" w:eastAsia="宋体" w:cs="Times New Roman"/>
                <w:b/>
                <w:sz w:val="24"/>
                <w:szCs w:val="20"/>
              </w:rPr>
            </w:pPr>
          </w:p>
        </w:tc>
        <w:tc>
          <w:tcPr>
            <w:tcW w:w="3449" w:type="dxa"/>
          </w:tcPr>
          <w:p w14:paraId="27E4BD4C">
            <w:pPr>
              <w:jc w:val="center"/>
              <w:rPr>
                <w:rFonts w:ascii="Times New Roman" w:hAnsi="Times New Roman" w:eastAsia="宋体" w:cs="Times New Roman"/>
                <w:b/>
                <w:sz w:val="24"/>
                <w:szCs w:val="20"/>
              </w:rPr>
            </w:pPr>
          </w:p>
        </w:tc>
        <w:tc>
          <w:tcPr>
            <w:tcW w:w="2414" w:type="dxa"/>
          </w:tcPr>
          <w:p w14:paraId="296B5653">
            <w:pPr>
              <w:jc w:val="center"/>
              <w:rPr>
                <w:rFonts w:ascii="Times New Roman" w:hAnsi="Times New Roman" w:eastAsia="宋体" w:cs="Times New Roman"/>
                <w:b/>
                <w:sz w:val="24"/>
                <w:szCs w:val="20"/>
              </w:rPr>
            </w:pPr>
          </w:p>
        </w:tc>
        <w:tc>
          <w:tcPr>
            <w:tcW w:w="1608" w:type="dxa"/>
          </w:tcPr>
          <w:p w14:paraId="3E59F76F">
            <w:pPr>
              <w:jc w:val="center"/>
              <w:rPr>
                <w:rFonts w:ascii="Times New Roman" w:hAnsi="Times New Roman" w:eastAsia="宋体" w:cs="Times New Roman"/>
                <w:b/>
                <w:sz w:val="24"/>
                <w:szCs w:val="20"/>
              </w:rPr>
            </w:pPr>
          </w:p>
        </w:tc>
      </w:tr>
      <w:tr w14:paraId="4874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0F68E6">
            <w:pPr>
              <w:jc w:val="center"/>
              <w:rPr>
                <w:rFonts w:ascii="Times New Roman" w:hAnsi="Times New Roman" w:eastAsia="宋体" w:cs="Times New Roman"/>
                <w:b/>
                <w:sz w:val="24"/>
                <w:szCs w:val="20"/>
              </w:rPr>
            </w:pPr>
          </w:p>
        </w:tc>
        <w:tc>
          <w:tcPr>
            <w:tcW w:w="3449" w:type="dxa"/>
          </w:tcPr>
          <w:p w14:paraId="35FA4A22">
            <w:pPr>
              <w:jc w:val="center"/>
              <w:rPr>
                <w:rFonts w:ascii="Times New Roman" w:hAnsi="Times New Roman" w:eastAsia="宋体" w:cs="Times New Roman"/>
                <w:b/>
                <w:sz w:val="24"/>
                <w:szCs w:val="20"/>
              </w:rPr>
            </w:pPr>
          </w:p>
        </w:tc>
        <w:tc>
          <w:tcPr>
            <w:tcW w:w="2414" w:type="dxa"/>
          </w:tcPr>
          <w:p w14:paraId="6D038438">
            <w:pPr>
              <w:jc w:val="center"/>
              <w:rPr>
                <w:rFonts w:ascii="Times New Roman" w:hAnsi="Times New Roman" w:eastAsia="宋体" w:cs="Times New Roman"/>
                <w:b/>
                <w:sz w:val="24"/>
                <w:szCs w:val="20"/>
              </w:rPr>
            </w:pPr>
          </w:p>
        </w:tc>
        <w:tc>
          <w:tcPr>
            <w:tcW w:w="1608" w:type="dxa"/>
          </w:tcPr>
          <w:p w14:paraId="74A1207E">
            <w:pPr>
              <w:jc w:val="center"/>
              <w:rPr>
                <w:rFonts w:ascii="Times New Roman" w:hAnsi="Times New Roman" w:eastAsia="宋体" w:cs="Times New Roman"/>
                <w:b/>
                <w:sz w:val="24"/>
                <w:szCs w:val="20"/>
              </w:rPr>
            </w:pPr>
          </w:p>
        </w:tc>
      </w:tr>
      <w:tr w14:paraId="4AA8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197D446">
            <w:pPr>
              <w:jc w:val="center"/>
              <w:rPr>
                <w:rFonts w:ascii="Times New Roman" w:hAnsi="Times New Roman" w:eastAsia="宋体" w:cs="Times New Roman"/>
                <w:b/>
                <w:sz w:val="24"/>
                <w:szCs w:val="20"/>
              </w:rPr>
            </w:pPr>
          </w:p>
        </w:tc>
        <w:tc>
          <w:tcPr>
            <w:tcW w:w="3449" w:type="dxa"/>
          </w:tcPr>
          <w:p w14:paraId="3224D2E2">
            <w:pPr>
              <w:jc w:val="center"/>
              <w:rPr>
                <w:rFonts w:ascii="Times New Roman" w:hAnsi="Times New Roman" w:eastAsia="宋体" w:cs="Times New Roman"/>
                <w:b/>
                <w:sz w:val="24"/>
                <w:szCs w:val="20"/>
              </w:rPr>
            </w:pPr>
          </w:p>
        </w:tc>
        <w:tc>
          <w:tcPr>
            <w:tcW w:w="2414" w:type="dxa"/>
          </w:tcPr>
          <w:p w14:paraId="3B87D7D5">
            <w:pPr>
              <w:jc w:val="center"/>
              <w:rPr>
                <w:rFonts w:ascii="Times New Roman" w:hAnsi="Times New Roman" w:eastAsia="宋体" w:cs="Times New Roman"/>
                <w:b/>
                <w:sz w:val="24"/>
                <w:szCs w:val="20"/>
              </w:rPr>
            </w:pPr>
          </w:p>
        </w:tc>
        <w:tc>
          <w:tcPr>
            <w:tcW w:w="1608" w:type="dxa"/>
          </w:tcPr>
          <w:p w14:paraId="5652CC17">
            <w:pPr>
              <w:jc w:val="center"/>
              <w:rPr>
                <w:rFonts w:ascii="Times New Roman" w:hAnsi="Times New Roman" w:eastAsia="宋体" w:cs="Times New Roman"/>
                <w:b/>
                <w:sz w:val="24"/>
                <w:szCs w:val="20"/>
              </w:rPr>
            </w:pPr>
          </w:p>
        </w:tc>
      </w:tr>
      <w:tr w14:paraId="5F21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1A31C4B">
            <w:pPr>
              <w:jc w:val="center"/>
              <w:rPr>
                <w:rFonts w:ascii="Times New Roman" w:hAnsi="Times New Roman" w:eastAsia="宋体" w:cs="Times New Roman"/>
                <w:b/>
                <w:sz w:val="24"/>
                <w:szCs w:val="20"/>
              </w:rPr>
            </w:pPr>
          </w:p>
        </w:tc>
        <w:tc>
          <w:tcPr>
            <w:tcW w:w="3449" w:type="dxa"/>
          </w:tcPr>
          <w:p w14:paraId="2D7F2083">
            <w:pPr>
              <w:jc w:val="center"/>
              <w:rPr>
                <w:rFonts w:ascii="Times New Roman" w:hAnsi="Times New Roman" w:eastAsia="宋体" w:cs="Times New Roman"/>
                <w:b/>
                <w:sz w:val="24"/>
                <w:szCs w:val="20"/>
              </w:rPr>
            </w:pPr>
          </w:p>
        </w:tc>
        <w:tc>
          <w:tcPr>
            <w:tcW w:w="2414" w:type="dxa"/>
          </w:tcPr>
          <w:p w14:paraId="327F718B">
            <w:pPr>
              <w:jc w:val="center"/>
              <w:rPr>
                <w:rFonts w:ascii="Times New Roman" w:hAnsi="Times New Roman" w:eastAsia="宋体" w:cs="Times New Roman"/>
                <w:b/>
                <w:sz w:val="24"/>
                <w:szCs w:val="20"/>
              </w:rPr>
            </w:pPr>
          </w:p>
        </w:tc>
        <w:tc>
          <w:tcPr>
            <w:tcW w:w="1608" w:type="dxa"/>
          </w:tcPr>
          <w:p w14:paraId="0B30BD2E">
            <w:pPr>
              <w:jc w:val="center"/>
              <w:rPr>
                <w:rFonts w:ascii="Times New Roman" w:hAnsi="Times New Roman" w:eastAsia="宋体" w:cs="Times New Roman"/>
                <w:b/>
                <w:sz w:val="24"/>
                <w:szCs w:val="20"/>
              </w:rPr>
            </w:pPr>
          </w:p>
        </w:tc>
      </w:tr>
      <w:tr w14:paraId="1080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8EDDEA">
            <w:pPr>
              <w:jc w:val="center"/>
              <w:rPr>
                <w:rFonts w:ascii="Times New Roman" w:hAnsi="Times New Roman" w:eastAsia="宋体" w:cs="Times New Roman"/>
                <w:b/>
                <w:sz w:val="24"/>
                <w:szCs w:val="20"/>
              </w:rPr>
            </w:pPr>
          </w:p>
        </w:tc>
        <w:tc>
          <w:tcPr>
            <w:tcW w:w="3449" w:type="dxa"/>
          </w:tcPr>
          <w:p w14:paraId="2F8642E7">
            <w:pPr>
              <w:jc w:val="center"/>
              <w:rPr>
                <w:rFonts w:ascii="Times New Roman" w:hAnsi="Times New Roman" w:eastAsia="宋体" w:cs="Times New Roman"/>
                <w:b/>
                <w:sz w:val="24"/>
                <w:szCs w:val="20"/>
              </w:rPr>
            </w:pPr>
          </w:p>
        </w:tc>
        <w:tc>
          <w:tcPr>
            <w:tcW w:w="2414" w:type="dxa"/>
          </w:tcPr>
          <w:p w14:paraId="54F95533">
            <w:pPr>
              <w:jc w:val="center"/>
              <w:rPr>
                <w:rFonts w:ascii="Times New Roman" w:hAnsi="Times New Roman" w:eastAsia="宋体" w:cs="Times New Roman"/>
                <w:b/>
                <w:sz w:val="24"/>
                <w:szCs w:val="20"/>
              </w:rPr>
            </w:pPr>
          </w:p>
        </w:tc>
        <w:tc>
          <w:tcPr>
            <w:tcW w:w="1608" w:type="dxa"/>
          </w:tcPr>
          <w:p w14:paraId="7DEA78D7">
            <w:pPr>
              <w:jc w:val="center"/>
              <w:rPr>
                <w:rFonts w:ascii="Times New Roman" w:hAnsi="Times New Roman" w:eastAsia="宋体" w:cs="Times New Roman"/>
                <w:b/>
                <w:sz w:val="24"/>
                <w:szCs w:val="20"/>
              </w:rPr>
            </w:pPr>
          </w:p>
        </w:tc>
      </w:tr>
      <w:tr w14:paraId="645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7B5016">
            <w:pPr>
              <w:jc w:val="center"/>
              <w:rPr>
                <w:rFonts w:ascii="Times New Roman" w:hAnsi="Times New Roman" w:eastAsia="宋体" w:cs="Times New Roman"/>
                <w:b/>
                <w:sz w:val="24"/>
                <w:szCs w:val="20"/>
              </w:rPr>
            </w:pPr>
          </w:p>
        </w:tc>
        <w:tc>
          <w:tcPr>
            <w:tcW w:w="3449" w:type="dxa"/>
          </w:tcPr>
          <w:p w14:paraId="37BC437B">
            <w:pPr>
              <w:jc w:val="center"/>
              <w:rPr>
                <w:rFonts w:ascii="Times New Roman" w:hAnsi="Times New Roman" w:eastAsia="宋体" w:cs="Times New Roman"/>
                <w:b/>
                <w:sz w:val="24"/>
                <w:szCs w:val="20"/>
              </w:rPr>
            </w:pPr>
          </w:p>
        </w:tc>
        <w:tc>
          <w:tcPr>
            <w:tcW w:w="2414" w:type="dxa"/>
          </w:tcPr>
          <w:p w14:paraId="42B0A93E">
            <w:pPr>
              <w:jc w:val="center"/>
              <w:rPr>
                <w:rFonts w:ascii="Times New Roman" w:hAnsi="Times New Roman" w:eastAsia="宋体" w:cs="Times New Roman"/>
                <w:b/>
                <w:sz w:val="24"/>
                <w:szCs w:val="20"/>
              </w:rPr>
            </w:pPr>
          </w:p>
        </w:tc>
        <w:tc>
          <w:tcPr>
            <w:tcW w:w="1608" w:type="dxa"/>
          </w:tcPr>
          <w:p w14:paraId="66EB3D6F">
            <w:pPr>
              <w:jc w:val="center"/>
              <w:rPr>
                <w:rFonts w:ascii="Times New Roman" w:hAnsi="Times New Roman" w:eastAsia="宋体" w:cs="Times New Roman"/>
                <w:b/>
                <w:sz w:val="24"/>
                <w:szCs w:val="20"/>
              </w:rPr>
            </w:pPr>
          </w:p>
        </w:tc>
      </w:tr>
      <w:tr w14:paraId="2BB6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B17CEE">
            <w:pPr>
              <w:jc w:val="center"/>
              <w:rPr>
                <w:rFonts w:ascii="Times New Roman" w:hAnsi="Times New Roman" w:eastAsia="宋体" w:cs="Times New Roman"/>
                <w:b/>
                <w:sz w:val="24"/>
                <w:szCs w:val="20"/>
              </w:rPr>
            </w:pPr>
          </w:p>
        </w:tc>
        <w:tc>
          <w:tcPr>
            <w:tcW w:w="3449" w:type="dxa"/>
          </w:tcPr>
          <w:p w14:paraId="40480661">
            <w:pPr>
              <w:jc w:val="center"/>
              <w:rPr>
                <w:rFonts w:ascii="Times New Roman" w:hAnsi="Times New Roman" w:eastAsia="宋体" w:cs="Times New Roman"/>
                <w:b/>
                <w:sz w:val="24"/>
                <w:szCs w:val="20"/>
              </w:rPr>
            </w:pPr>
          </w:p>
        </w:tc>
        <w:tc>
          <w:tcPr>
            <w:tcW w:w="2414" w:type="dxa"/>
          </w:tcPr>
          <w:p w14:paraId="1B54E8B3">
            <w:pPr>
              <w:jc w:val="center"/>
              <w:rPr>
                <w:rFonts w:ascii="Times New Roman" w:hAnsi="Times New Roman" w:eastAsia="宋体" w:cs="Times New Roman"/>
                <w:b/>
                <w:sz w:val="24"/>
                <w:szCs w:val="20"/>
              </w:rPr>
            </w:pPr>
          </w:p>
        </w:tc>
        <w:tc>
          <w:tcPr>
            <w:tcW w:w="1608" w:type="dxa"/>
          </w:tcPr>
          <w:p w14:paraId="3117E914">
            <w:pPr>
              <w:jc w:val="center"/>
              <w:rPr>
                <w:rFonts w:ascii="Times New Roman" w:hAnsi="Times New Roman" w:eastAsia="宋体" w:cs="Times New Roman"/>
                <w:b/>
                <w:sz w:val="24"/>
                <w:szCs w:val="20"/>
              </w:rPr>
            </w:pPr>
          </w:p>
        </w:tc>
      </w:tr>
      <w:tr w14:paraId="6587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90197D">
            <w:pPr>
              <w:jc w:val="center"/>
              <w:rPr>
                <w:rFonts w:ascii="Times New Roman" w:hAnsi="Times New Roman" w:eastAsia="宋体" w:cs="Times New Roman"/>
                <w:b/>
                <w:sz w:val="24"/>
                <w:szCs w:val="20"/>
              </w:rPr>
            </w:pPr>
          </w:p>
        </w:tc>
        <w:tc>
          <w:tcPr>
            <w:tcW w:w="3449" w:type="dxa"/>
          </w:tcPr>
          <w:p w14:paraId="1E878627">
            <w:pPr>
              <w:jc w:val="center"/>
              <w:rPr>
                <w:rFonts w:ascii="Times New Roman" w:hAnsi="Times New Roman" w:eastAsia="宋体" w:cs="Times New Roman"/>
                <w:b/>
                <w:sz w:val="24"/>
                <w:szCs w:val="20"/>
              </w:rPr>
            </w:pPr>
          </w:p>
        </w:tc>
        <w:tc>
          <w:tcPr>
            <w:tcW w:w="2414" w:type="dxa"/>
          </w:tcPr>
          <w:p w14:paraId="36B896A8">
            <w:pPr>
              <w:jc w:val="center"/>
              <w:rPr>
                <w:rFonts w:ascii="Times New Roman" w:hAnsi="Times New Roman" w:eastAsia="宋体" w:cs="Times New Roman"/>
                <w:b/>
                <w:sz w:val="24"/>
                <w:szCs w:val="20"/>
              </w:rPr>
            </w:pPr>
          </w:p>
        </w:tc>
        <w:tc>
          <w:tcPr>
            <w:tcW w:w="1608" w:type="dxa"/>
          </w:tcPr>
          <w:p w14:paraId="77CA8A2D">
            <w:pPr>
              <w:jc w:val="center"/>
              <w:rPr>
                <w:rFonts w:ascii="Times New Roman" w:hAnsi="Times New Roman" w:eastAsia="宋体" w:cs="Times New Roman"/>
                <w:b/>
                <w:sz w:val="24"/>
                <w:szCs w:val="20"/>
              </w:rPr>
            </w:pPr>
          </w:p>
        </w:tc>
      </w:tr>
      <w:tr w14:paraId="37FF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F06809">
            <w:pPr>
              <w:jc w:val="center"/>
              <w:rPr>
                <w:rFonts w:ascii="Times New Roman" w:hAnsi="Times New Roman" w:eastAsia="宋体" w:cs="Times New Roman"/>
                <w:b/>
                <w:sz w:val="24"/>
                <w:szCs w:val="20"/>
              </w:rPr>
            </w:pPr>
          </w:p>
        </w:tc>
        <w:tc>
          <w:tcPr>
            <w:tcW w:w="3449" w:type="dxa"/>
          </w:tcPr>
          <w:p w14:paraId="4654D8CF">
            <w:pPr>
              <w:jc w:val="center"/>
              <w:rPr>
                <w:rFonts w:ascii="Times New Roman" w:hAnsi="Times New Roman" w:eastAsia="宋体" w:cs="Times New Roman"/>
                <w:b/>
                <w:sz w:val="24"/>
                <w:szCs w:val="20"/>
              </w:rPr>
            </w:pPr>
          </w:p>
        </w:tc>
        <w:tc>
          <w:tcPr>
            <w:tcW w:w="2414" w:type="dxa"/>
          </w:tcPr>
          <w:p w14:paraId="77CB0BF8">
            <w:pPr>
              <w:jc w:val="center"/>
              <w:rPr>
                <w:rFonts w:ascii="Times New Roman" w:hAnsi="Times New Roman" w:eastAsia="宋体" w:cs="Times New Roman"/>
                <w:b/>
                <w:sz w:val="24"/>
                <w:szCs w:val="20"/>
              </w:rPr>
            </w:pPr>
          </w:p>
        </w:tc>
        <w:tc>
          <w:tcPr>
            <w:tcW w:w="1608" w:type="dxa"/>
          </w:tcPr>
          <w:p w14:paraId="15A7D50D">
            <w:pPr>
              <w:jc w:val="center"/>
              <w:rPr>
                <w:rFonts w:ascii="Times New Roman" w:hAnsi="Times New Roman" w:eastAsia="宋体" w:cs="Times New Roman"/>
                <w:b/>
                <w:sz w:val="24"/>
                <w:szCs w:val="20"/>
              </w:rPr>
            </w:pPr>
          </w:p>
        </w:tc>
      </w:tr>
    </w:tbl>
    <w:p w14:paraId="61E1596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FAA67F8">
      <w:pPr>
        <w:spacing w:line="660" w:lineRule="exact"/>
        <w:rPr>
          <w:rFonts w:hint="eastAsia" w:ascii="宋体" w:hAnsi="宋体" w:eastAsia="宋体" w:cs="Times New Roman"/>
          <w:sz w:val="24"/>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F22AB0">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14:paraId="05ED8A9E">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14:paraId="5A978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14:paraId="24134F61">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序号</w:t>
            </w:r>
          </w:p>
        </w:tc>
        <w:tc>
          <w:tcPr>
            <w:tcW w:w="4101" w:type="dxa"/>
            <w:vAlign w:val="center"/>
          </w:tcPr>
          <w:p w14:paraId="13D8F32A">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子系统关键组成部分</w:t>
            </w:r>
          </w:p>
        </w:tc>
        <w:tc>
          <w:tcPr>
            <w:tcW w:w="1188" w:type="dxa"/>
            <w:vAlign w:val="center"/>
          </w:tcPr>
          <w:p w14:paraId="04F54B35">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型号和规格</w:t>
            </w:r>
          </w:p>
        </w:tc>
        <w:tc>
          <w:tcPr>
            <w:tcW w:w="564" w:type="dxa"/>
            <w:vAlign w:val="center"/>
          </w:tcPr>
          <w:p w14:paraId="5152E587">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单位</w:t>
            </w:r>
          </w:p>
        </w:tc>
        <w:tc>
          <w:tcPr>
            <w:tcW w:w="672" w:type="dxa"/>
            <w:vAlign w:val="center"/>
          </w:tcPr>
          <w:p w14:paraId="743C4B80">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数量</w:t>
            </w:r>
          </w:p>
        </w:tc>
        <w:tc>
          <w:tcPr>
            <w:tcW w:w="1092" w:type="dxa"/>
            <w:tcBorders>
              <w:right w:val="single" w:color="000000" w:sz="4" w:space="0"/>
            </w:tcBorders>
            <w:vAlign w:val="center"/>
          </w:tcPr>
          <w:p w14:paraId="48295713">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原产地和制造商名称</w:t>
            </w:r>
          </w:p>
        </w:tc>
        <w:tc>
          <w:tcPr>
            <w:tcW w:w="769" w:type="dxa"/>
            <w:vAlign w:val="center"/>
          </w:tcPr>
          <w:p w14:paraId="74FE4B31">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备注</w:t>
            </w:r>
          </w:p>
        </w:tc>
      </w:tr>
      <w:tr w14:paraId="731A8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024CCCC6">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1</w:t>
            </w:r>
          </w:p>
        </w:tc>
        <w:tc>
          <w:tcPr>
            <w:tcW w:w="4101" w:type="dxa"/>
            <w:vAlign w:val="center"/>
          </w:tcPr>
          <w:p w14:paraId="5758896A">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机械部分</w:t>
            </w:r>
          </w:p>
        </w:tc>
        <w:tc>
          <w:tcPr>
            <w:tcW w:w="1188" w:type="dxa"/>
            <w:vAlign w:val="center"/>
          </w:tcPr>
          <w:p w14:paraId="7A9C9E45">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6570AA16">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2E39F2EC">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002914EA">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43140BEE">
            <w:pPr>
              <w:spacing w:line="240" w:lineRule="exact"/>
              <w:jc w:val="center"/>
              <w:rPr>
                <w:rFonts w:hint="eastAsia" w:eastAsia="宋体"/>
                <w:color w:val="000000" w:themeColor="text1"/>
                <w:szCs w:val="21"/>
                <w14:textFill>
                  <w14:solidFill>
                    <w14:schemeClr w14:val="tx1"/>
                  </w14:solidFill>
                </w14:textFill>
              </w:rPr>
            </w:pPr>
          </w:p>
        </w:tc>
      </w:tr>
      <w:tr w14:paraId="62994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5BFDD797">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2</w:t>
            </w:r>
          </w:p>
        </w:tc>
        <w:tc>
          <w:tcPr>
            <w:tcW w:w="4101" w:type="dxa"/>
            <w:vAlign w:val="center"/>
          </w:tcPr>
          <w:p w14:paraId="34449698">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电气部分</w:t>
            </w:r>
          </w:p>
        </w:tc>
        <w:tc>
          <w:tcPr>
            <w:tcW w:w="1188" w:type="dxa"/>
            <w:vAlign w:val="center"/>
          </w:tcPr>
          <w:p w14:paraId="46521DC9">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574D7652">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51C0FA82">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73573B71">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749065AB">
            <w:pPr>
              <w:spacing w:line="240" w:lineRule="exact"/>
              <w:jc w:val="center"/>
              <w:rPr>
                <w:rFonts w:hint="eastAsia" w:eastAsia="宋体"/>
                <w:color w:val="000000" w:themeColor="text1"/>
                <w:szCs w:val="21"/>
                <w14:textFill>
                  <w14:solidFill>
                    <w14:schemeClr w14:val="tx1"/>
                  </w14:solidFill>
                </w14:textFill>
              </w:rPr>
            </w:pPr>
          </w:p>
        </w:tc>
      </w:tr>
      <w:tr w14:paraId="4F2DE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2D843DE7">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3</w:t>
            </w:r>
          </w:p>
        </w:tc>
        <w:tc>
          <w:tcPr>
            <w:tcW w:w="4101" w:type="dxa"/>
            <w:vAlign w:val="center"/>
          </w:tcPr>
          <w:p w14:paraId="45479298">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数据采集/测量和控制部分</w:t>
            </w:r>
          </w:p>
        </w:tc>
        <w:tc>
          <w:tcPr>
            <w:tcW w:w="1188" w:type="dxa"/>
            <w:vAlign w:val="center"/>
          </w:tcPr>
          <w:p w14:paraId="65CFBC97">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6D82D1DB">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4EB9B911">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45FD9A6A">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2D19BB29">
            <w:pPr>
              <w:spacing w:line="240" w:lineRule="exact"/>
              <w:jc w:val="center"/>
              <w:rPr>
                <w:rFonts w:hint="eastAsia" w:eastAsia="宋体"/>
                <w:color w:val="000000" w:themeColor="text1"/>
                <w:szCs w:val="21"/>
                <w14:textFill>
                  <w14:solidFill>
                    <w14:schemeClr w14:val="tx1"/>
                  </w14:solidFill>
                </w14:textFill>
              </w:rPr>
            </w:pPr>
          </w:p>
        </w:tc>
      </w:tr>
      <w:tr w14:paraId="7891E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2F25E10F">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4</w:t>
            </w:r>
          </w:p>
        </w:tc>
        <w:tc>
          <w:tcPr>
            <w:tcW w:w="4101" w:type="dxa"/>
            <w:vAlign w:val="center"/>
          </w:tcPr>
          <w:p w14:paraId="5B37BE03">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冷却温控单元</w:t>
            </w:r>
          </w:p>
        </w:tc>
        <w:tc>
          <w:tcPr>
            <w:tcW w:w="1188" w:type="dxa"/>
            <w:vAlign w:val="center"/>
          </w:tcPr>
          <w:p w14:paraId="04815076">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6FF86A66">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2816B95A">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0AD17390">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204B01D4">
            <w:pPr>
              <w:spacing w:line="240" w:lineRule="exact"/>
              <w:jc w:val="center"/>
              <w:rPr>
                <w:rFonts w:hint="eastAsia" w:eastAsia="宋体"/>
                <w:color w:val="000000" w:themeColor="text1"/>
                <w:szCs w:val="21"/>
                <w14:textFill>
                  <w14:solidFill>
                    <w14:schemeClr w14:val="tx1"/>
                  </w14:solidFill>
                </w14:textFill>
              </w:rPr>
            </w:pPr>
          </w:p>
        </w:tc>
      </w:tr>
      <w:tr w14:paraId="7C314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0FCEBC65">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5</w:t>
            </w:r>
          </w:p>
        </w:tc>
        <w:tc>
          <w:tcPr>
            <w:tcW w:w="4101" w:type="dxa"/>
            <w:vAlign w:val="center"/>
          </w:tcPr>
          <w:p w14:paraId="091E2278">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人工成本（设计、管理、安装调试等）</w:t>
            </w:r>
          </w:p>
        </w:tc>
        <w:tc>
          <w:tcPr>
            <w:tcW w:w="1188" w:type="dxa"/>
            <w:vAlign w:val="center"/>
          </w:tcPr>
          <w:p w14:paraId="641D1CC6">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4BE5C733">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4917BF40">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2F10DE48">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352C3671">
            <w:pPr>
              <w:spacing w:line="240" w:lineRule="exact"/>
              <w:jc w:val="center"/>
              <w:rPr>
                <w:rFonts w:hint="eastAsia" w:eastAsia="宋体"/>
                <w:color w:val="000000" w:themeColor="text1"/>
                <w:szCs w:val="21"/>
                <w14:textFill>
                  <w14:solidFill>
                    <w14:schemeClr w14:val="tx1"/>
                  </w14:solidFill>
                </w14:textFill>
              </w:rPr>
            </w:pPr>
          </w:p>
        </w:tc>
      </w:tr>
      <w:tr w14:paraId="55CB7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0AB2F3A1">
            <w:pPr>
              <w:spacing w:before="100" w:beforeAutospacing="1" w:after="100" w:afterAutospacing="1"/>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6</w:t>
            </w:r>
          </w:p>
        </w:tc>
        <w:tc>
          <w:tcPr>
            <w:tcW w:w="4101" w:type="dxa"/>
            <w:vAlign w:val="center"/>
          </w:tcPr>
          <w:p w14:paraId="0E3920A9">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包装和装运</w:t>
            </w:r>
          </w:p>
        </w:tc>
        <w:tc>
          <w:tcPr>
            <w:tcW w:w="1188" w:type="dxa"/>
            <w:vAlign w:val="center"/>
          </w:tcPr>
          <w:p w14:paraId="40A6BD93">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57C3837F">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029889D7">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30ECA365">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01452C92">
            <w:pPr>
              <w:spacing w:line="240" w:lineRule="exact"/>
              <w:jc w:val="center"/>
              <w:rPr>
                <w:rFonts w:hint="eastAsia" w:eastAsia="宋体"/>
                <w:color w:val="000000" w:themeColor="text1"/>
                <w:szCs w:val="21"/>
                <w14:textFill>
                  <w14:solidFill>
                    <w14:schemeClr w14:val="tx1"/>
                  </w14:solidFill>
                </w14:textFill>
              </w:rPr>
            </w:pPr>
          </w:p>
        </w:tc>
      </w:tr>
      <w:tr w14:paraId="25507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89" w:type="dxa"/>
            <w:vAlign w:val="center"/>
          </w:tcPr>
          <w:p w14:paraId="465F906F">
            <w:pPr>
              <w:spacing w:line="240" w:lineRule="exact"/>
              <w:jc w:val="center"/>
              <w:rPr>
                <w:rFonts w:hint="eastAsia" w:ascii="宋体" w:hAnsi="宋体" w:eastAsia="宋体" w:cs="宋体"/>
                <w:color w:val="000000" w:themeColor="text1"/>
                <w14:textFill>
                  <w14:solidFill>
                    <w14:schemeClr w14:val="tx1"/>
                  </w14:solidFill>
                </w14:textFill>
              </w:rPr>
            </w:pPr>
          </w:p>
        </w:tc>
        <w:tc>
          <w:tcPr>
            <w:tcW w:w="4101" w:type="dxa"/>
            <w:vAlign w:val="center"/>
          </w:tcPr>
          <w:p w14:paraId="5B34CF02">
            <w:pPr>
              <w:spacing w:line="240" w:lineRule="exact"/>
              <w:jc w:val="center"/>
              <w:rPr>
                <w:rFonts w:hint="eastAsia" w:ascii="Arial"/>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以上投标设备不足之处请往下添加序号自行补充</w:t>
            </w:r>
          </w:p>
        </w:tc>
        <w:tc>
          <w:tcPr>
            <w:tcW w:w="1188" w:type="dxa"/>
            <w:vAlign w:val="center"/>
          </w:tcPr>
          <w:p w14:paraId="13F67405">
            <w:pPr>
              <w:spacing w:line="240" w:lineRule="exact"/>
              <w:jc w:val="center"/>
              <w:rPr>
                <w:rFonts w:hint="eastAsia" w:ascii="Arial"/>
                <w:color w:val="000000" w:themeColor="text1"/>
                <w14:textFill>
                  <w14:solidFill>
                    <w14:schemeClr w14:val="tx1"/>
                  </w14:solidFill>
                </w14:textFill>
              </w:rPr>
            </w:pPr>
          </w:p>
        </w:tc>
        <w:tc>
          <w:tcPr>
            <w:tcW w:w="564" w:type="dxa"/>
            <w:vAlign w:val="center"/>
          </w:tcPr>
          <w:p w14:paraId="70CD93B1">
            <w:pPr>
              <w:adjustRightInd w:val="0"/>
              <w:snapToGrid w:val="0"/>
              <w:spacing w:before="156" w:beforeLines="50" w:after="156" w:afterLines="50" w:line="240" w:lineRule="exact"/>
              <w:jc w:val="center"/>
              <w:rPr>
                <w:rFonts w:hint="eastAsia" w:ascii="宋体" w:hAnsi="宋体" w:cs="宋体"/>
                <w:color w:val="000000" w:themeColor="text1"/>
                <w:szCs w:val="21"/>
                <w14:textFill>
                  <w14:solidFill>
                    <w14:schemeClr w14:val="tx1"/>
                  </w14:solidFill>
                </w14:textFill>
              </w:rPr>
            </w:pPr>
          </w:p>
        </w:tc>
        <w:tc>
          <w:tcPr>
            <w:tcW w:w="672" w:type="dxa"/>
            <w:vAlign w:val="center"/>
          </w:tcPr>
          <w:p w14:paraId="19A7F021">
            <w:pPr>
              <w:spacing w:line="240" w:lineRule="exact"/>
              <w:jc w:val="center"/>
              <w:rPr>
                <w:rFonts w:hint="eastAsia" w:ascii="Arial"/>
                <w:color w:val="000000" w:themeColor="text1"/>
                <w14:textFill>
                  <w14:solidFill>
                    <w14:schemeClr w14:val="tx1"/>
                  </w14:solidFill>
                </w14:textFill>
              </w:rPr>
            </w:pPr>
          </w:p>
        </w:tc>
        <w:tc>
          <w:tcPr>
            <w:tcW w:w="1092" w:type="dxa"/>
            <w:tcBorders>
              <w:right w:val="single" w:color="000000" w:sz="4" w:space="0"/>
            </w:tcBorders>
            <w:vAlign w:val="center"/>
          </w:tcPr>
          <w:p w14:paraId="5AB3DB28">
            <w:pPr>
              <w:spacing w:line="240" w:lineRule="exact"/>
              <w:jc w:val="center"/>
              <w:rPr>
                <w:rFonts w:hint="eastAsia" w:ascii="Arial"/>
                <w:color w:val="000000" w:themeColor="text1"/>
                <w14:textFill>
                  <w14:solidFill>
                    <w14:schemeClr w14:val="tx1"/>
                  </w14:solidFill>
                </w14:textFill>
              </w:rPr>
            </w:pPr>
          </w:p>
        </w:tc>
        <w:tc>
          <w:tcPr>
            <w:tcW w:w="769" w:type="dxa"/>
            <w:vAlign w:val="center"/>
          </w:tcPr>
          <w:p w14:paraId="40EB7E13">
            <w:pPr>
              <w:spacing w:line="240" w:lineRule="exact"/>
              <w:jc w:val="center"/>
              <w:rPr>
                <w:rFonts w:hint="eastAsia" w:ascii="Arial"/>
                <w:color w:val="000000" w:themeColor="text1"/>
                <w14:textFill>
                  <w14:solidFill>
                    <w14:schemeClr w14:val="tx1"/>
                  </w14:solidFill>
                </w14:textFill>
              </w:rPr>
            </w:pPr>
          </w:p>
        </w:tc>
      </w:tr>
    </w:tbl>
    <w:p w14:paraId="5687E2F0">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FAD26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F2F2BBB">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5684DF6C">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285773EF">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19F44B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7E689ACF">
      <w:pPr>
        <w:spacing w:before="78" w:line="219" w:lineRule="auto"/>
        <w:ind w:left="431"/>
        <w:rPr>
          <w:rFonts w:hint="eastAsia" w:ascii="宋体" w:hAnsi="宋体" w:eastAsia="宋体" w:cs="宋体"/>
          <w:spacing w:val="-6"/>
          <w:szCs w:val="21"/>
          <w:lang w:val="en-US" w:eastAsia="zh-CN"/>
        </w:rPr>
      </w:pPr>
    </w:p>
    <w:p w14:paraId="72456EE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10F2E79">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6CDB910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896B2C">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3F753BF1">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cs="Times New Roman"/>
          <w:color w:val="000000"/>
          <w:sz w:val="24"/>
          <w:szCs w:val="24"/>
          <w:highlight w:val="yellow"/>
          <w:lang w:eastAsia="zh-CN"/>
        </w:rPr>
        <w:t>AMT变速箱疲劳寿命试验台项目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FEF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65245A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F4F596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DC2C0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67B6D7B">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C6F07C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ADE24">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0A9D14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F39870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733A4C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BD4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B03FD7">
            <w:pPr>
              <w:ind w:left="420" w:hanging="420"/>
              <w:rPr>
                <w:rFonts w:ascii="宋体" w:hAnsi="Times New Roman" w:eastAsia="宋体" w:cs="Times New Roman"/>
                <w:b/>
                <w:szCs w:val="20"/>
              </w:rPr>
            </w:pPr>
          </w:p>
        </w:tc>
        <w:tc>
          <w:tcPr>
            <w:tcW w:w="2082" w:type="dxa"/>
            <w:vAlign w:val="center"/>
          </w:tcPr>
          <w:p w14:paraId="41A95F37">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5B5D5F30">
            <w:pPr>
              <w:ind w:left="420" w:hanging="420"/>
              <w:rPr>
                <w:rFonts w:ascii="宋体" w:hAnsi="Times New Roman" w:eastAsia="宋体" w:cs="Times New Roman"/>
                <w:b/>
                <w:szCs w:val="20"/>
              </w:rPr>
            </w:pPr>
          </w:p>
        </w:tc>
        <w:tc>
          <w:tcPr>
            <w:tcW w:w="826" w:type="dxa"/>
          </w:tcPr>
          <w:p w14:paraId="3EF94319">
            <w:pPr>
              <w:ind w:left="420" w:hanging="420"/>
              <w:rPr>
                <w:rFonts w:ascii="宋体" w:hAnsi="Times New Roman" w:eastAsia="宋体" w:cs="Times New Roman"/>
                <w:b/>
                <w:szCs w:val="20"/>
              </w:rPr>
            </w:pPr>
          </w:p>
        </w:tc>
        <w:tc>
          <w:tcPr>
            <w:tcW w:w="1320" w:type="dxa"/>
          </w:tcPr>
          <w:p w14:paraId="4B14147E">
            <w:pPr>
              <w:ind w:left="420" w:hanging="420"/>
              <w:rPr>
                <w:rFonts w:ascii="宋体" w:hAnsi="Times New Roman" w:eastAsia="宋体" w:cs="Times New Roman"/>
                <w:b/>
                <w:szCs w:val="20"/>
              </w:rPr>
            </w:pPr>
          </w:p>
        </w:tc>
        <w:tc>
          <w:tcPr>
            <w:tcW w:w="1023" w:type="dxa"/>
          </w:tcPr>
          <w:p w14:paraId="0637391E">
            <w:pPr>
              <w:ind w:left="420" w:hanging="420"/>
              <w:rPr>
                <w:rFonts w:ascii="宋体" w:hAnsi="Times New Roman" w:eastAsia="宋体" w:cs="Times New Roman"/>
                <w:b/>
                <w:szCs w:val="20"/>
              </w:rPr>
            </w:pPr>
          </w:p>
        </w:tc>
        <w:tc>
          <w:tcPr>
            <w:tcW w:w="1590" w:type="dxa"/>
          </w:tcPr>
          <w:p w14:paraId="0FF603CA">
            <w:pPr>
              <w:ind w:left="420" w:hanging="420"/>
              <w:rPr>
                <w:rFonts w:ascii="宋体" w:hAnsi="Times New Roman" w:eastAsia="宋体" w:cs="Times New Roman"/>
                <w:b/>
                <w:szCs w:val="20"/>
              </w:rPr>
            </w:pPr>
          </w:p>
        </w:tc>
      </w:tr>
      <w:tr w14:paraId="2C4A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4320BC">
            <w:pPr>
              <w:ind w:left="420" w:hanging="420"/>
              <w:rPr>
                <w:rFonts w:ascii="宋体" w:hAnsi="Times New Roman" w:eastAsia="宋体" w:cs="Times New Roman"/>
                <w:b/>
                <w:szCs w:val="20"/>
              </w:rPr>
            </w:pPr>
          </w:p>
        </w:tc>
        <w:tc>
          <w:tcPr>
            <w:tcW w:w="2082" w:type="dxa"/>
            <w:vAlign w:val="center"/>
          </w:tcPr>
          <w:p w14:paraId="0E3E1B74">
            <w:pPr>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6CC814D0">
            <w:pPr>
              <w:ind w:left="420" w:hanging="420"/>
              <w:rPr>
                <w:rFonts w:ascii="宋体" w:hAnsi="Times New Roman" w:eastAsia="宋体" w:cs="Times New Roman"/>
                <w:b/>
                <w:szCs w:val="20"/>
              </w:rPr>
            </w:pPr>
          </w:p>
        </w:tc>
        <w:tc>
          <w:tcPr>
            <w:tcW w:w="826" w:type="dxa"/>
          </w:tcPr>
          <w:p w14:paraId="5C152923">
            <w:pPr>
              <w:ind w:left="420" w:hanging="420"/>
              <w:rPr>
                <w:rFonts w:ascii="宋体" w:hAnsi="Times New Roman" w:eastAsia="宋体" w:cs="Times New Roman"/>
                <w:b/>
                <w:szCs w:val="20"/>
              </w:rPr>
            </w:pPr>
          </w:p>
        </w:tc>
        <w:tc>
          <w:tcPr>
            <w:tcW w:w="1320" w:type="dxa"/>
          </w:tcPr>
          <w:p w14:paraId="2CF285C2">
            <w:pPr>
              <w:ind w:left="420" w:hanging="420"/>
              <w:rPr>
                <w:rFonts w:ascii="宋体" w:hAnsi="Times New Roman" w:eastAsia="宋体" w:cs="Times New Roman"/>
                <w:b/>
                <w:szCs w:val="20"/>
              </w:rPr>
            </w:pPr>
          </w:p>
        </w:tc>
        <w:tc>
          <w:tcPr>
            <w:tcW w:w="1023" w:type="dxa"/>
          </w:tcPr>
          <w:p w14:paraId="3BC318E5">
            <w:pPr>
              <w:ind w:left="420" w:hanging="420"/>
              <w:rPr>
                <w:rFonts w:ascii="宋体" w:hAnsi="Times New Roman" w:eastAsia="宋体" w:cs="Times New Roman"/>
                <w:b/>
                <w:szCs w:val="20"/>
              </w:rPr>
            </w:pPr>
          </w:p>
        </w:tc>
        <w:tc>
          <w:tcPr>
            <w:tcW w:w="1590" w:type="dxa"/>
          </w:tcPr>
          <w:p w14:paraId="40F0B89D">
            <w:pPr>
              <w:ind w:left="420" w:hanging="420"/>
              <w:rPr>
                <w:rFonts w:ascii="宋体" w:hAnsi="Times New Roman" w:eastAsia="宋体" w:cs="Times New Roman"/>
                <w:b/>
                <w:szCs w:val="20"/>
              </w:rPr>
            </w:pPr>
          </w:p>
        </w:tc>
      </w:tr>
      <w:tr w14:paraId="2D3A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5FB88C">
            <w:pPr>
              <w:ind w:left="420" w:hanging="420"/>
              <w:rPr>
                <w:rFonts w:ascii="宋体" w:hAnsi="Times New Roman" w:eastAsia="宋体" w:cs="Times New Roman"/>
                <w:b/>
                <w:szCs w:val="20"/>
              </w:rPr>
            </w:pPr>
          </w:p>
        </w:tc>
        <w:tc>
          <w:tcPr>
            <w:tcW w:w="2082" w:type="dxa"/>
            <w:vAlign w:val="center"/>
          </w:tcPr>
          <w:p w14:paraId="0AC3280E">
            <w:pPr>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374D77E2">
            <w:pPr>
              <w:ind w:left="420" w:hanging="420"/>
              <w:rPr>
                <w:rFonts w:ascii="宋体" w:hAnsi="Times New Roman" w:eastAsia="宋体" w:cs="Times New Roman"/>
                <w:b/>
                <w:szCs w:val="20"/>
              </w:rPr>
            </w:pPr>
          </w:p>
        </w:tc>
        <w:tc>
          <w:tcPr>
            <w:tcW w:w="826" w:type="dxa"/>
          </w:tcPr>
          <w:p w14:paraId="68DCA02A">
            <w:pPr>
              <w:ind w:left="420" w:hanging="420"/>
              <w:rPr>
                <w:rFonts w:ascii="宋体" w:hAnsi="Times New Roman" w:eastAsia="宋体" w:cs="Times New Roman"/>
                <w:b/>
                <w:szCs w:val="20"/>
              </w:rPr>
            </w:pPr>
          </w:p>
        </w:tc>
        <w:tc>
          <w:tcPr>
            <w:tcW w:w="1320" w:type="dxa"/>
          </w:tcPr>
          <w:p w14:paraId="7D2567C1">
            <w:pPr>
              <w:ind w:left="420" w:hanging="420"/>
              <w:rPr>
                <w:rFonts w:ascii="宋体" w:hAnsi="Times New Roman" w:eastAsia="宋体" w:cs="Times New Roman"/>
                <w:b/>
                <w:szCs w:val="20"/>
              </w:rPr>
            </w:pPr>
          </w:p>
        </w:tc>
        <w:tc>
          <w:tcPr>
            <w:tcW w:w="1023" w:type="dxa"/>
          </w:tcPr>
          <w:p w14:paraId="16A8794B">
            <w:pPr>
              <w:ind w:left="420" w:hanging="420"/>
              <w:rPr>
                <w:rFonts w:ascii="宋体" w:hAnsi="Times New Roman" w:eastAsia="宋体" w:cs="Times New Roman"/>
                <w:b/>
                <w:szCs w:val="20"/>
              </w:rPr>
            </w:pPr>
          </w:p>
        </w:tc>
        <w:tc>
          <w:tcPr>
            <w:tcW w:w="1590" w:type="dxa"/>
          </w:tcPr>
          <w:p w14:paraId="575B4185">
            <w:pPr>
              <w:ind w:left="420" w:hanging="420"/>
              <w:rPr>
                <w:rFonts w:ascii="宋体" w:hAnsi="Times New Roman" w:eastAsia="宋体" w:cs="Times New Roman"/>
                <w:b/>
                <w:szCs w:val="20"/>
              </w:rPr>
            </w:pPr>
          </w:p>
        </w:tc>
      </w:tr>
      <w:tr w14:paraId="7DCC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306E55">
            <w:pPr>
              <w:ind w:left="420" w:hanging="420"/>
              <w:rPr>
                <w:rFonts w:ascii="宋体" w:hAnsi="Times New Roman" w:eastAsia="宋体" w:cs="Times New Roman"/>
                <w:b/>
                <w:szCs w:val="20"/>
              </w:rPr>
            </w:pPr>
          </w:p>
        </w:tc>
        <w:tc>
          <w:tcPr>
            <w:tcW w:w="2082" w:type="dxa"/>
            <w:vAlign w:val="center"/>
          </w:tcPr>
          <w:p w14:paraId="10946404">
            <w:pPr>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45EE90BC">
            <w:pPr>
              <w:ind w:left="420" w:hanging="420"/>
              <w:rPr>
                <w:rFonts w:ascii="宋体" w:hAnsi="Times New Roman" w:eastAsia="宋体" w:cs="Times New Roman"/>
                <w:b/>
                <w:szCs w:val="20"/>
              </w:rPr>
            </w:pPr>
          </w:p>
        </w:tc>
        <w:tc>
          <w:tcPr>
            <w:tcW w:w="826" w:type="dxa"/>
          </w:tcPr>
          <w:p w14:paraId="47D04F77">
            <w:pPr>
              <w:ind w:left="420" w:hanging="420"/>
              <w:rPr>
                <w:rFonts w:ascii="宋体" w:hAnsi="Times New Roman" w:eastAsia="宋体" w:cs="Times New Roman"/>
                <w:b/>
                <w:szCs w:val="20"/>
              </w:rPr>
            </w:pPr>
          </w:p>
        </w:tc>
        <w:tc>
          <w:tcPr>
            <w:tcW w:w="1320" w:type="dxa"/>
          </w:tcPr>
          <w:p w14:paraId="6DB2F3EF">
            <w:pPr>
              <w:ind w:left="420" w:hanging="420"/>
              <w:rPr>
                <w:rFonts w:ascii="宋体" w:hAnsi="Times New Roman" w:eastAsia="宋体" w:cs="Times New Roman"/>
                <w:b/>
                <w:szCs w:val="20"/>
              </w:rPr>
            </w:pPr>
          </w:p>
        </w:tc>
        <w:tc>
          <w:tcPr>
            <w:tcW w:w="1023" w:type="dxa"/>
          </w:tcPr>
          <w:p w14:paraId="520E544B">
            <w:pPr>
              <w:ind w:left="420" w:hanging="420"/>
              <w:rPr>
                <w:rFonts w:ascii="宋体" w:hAnsi="Times New Roman" w:eastAsia="宋体" w:cs="Times New Roman"/>
                <w:b/>
                <w:szCs w:val="20"/>
              </w:rPr>
            </w:pPr>
          </w:p>
        </w:tc>
        <w:tc>
          <w:tcPr>
            <w:tcW w:w="1590" w:type="dxa"/>
          </w:tcPr>
          <w:p w14:paraId="690AF37E">
            <w:pPr>
              <w:ind w:left="420" w:hanging="420"/>
              <w:rPr>
                <w:rFonts w:ascii="宋体" w:hAnsi="Times New Roman" w:eastAsia="宋体" w:cs="Times New Roman"/>
                <w:b/>
                <w:szCs w:val="20"/>
              </w:rPr>
            </w:pPr>
          </w:p>
        </w:tc>
      </w:tr>
      <w:tr w14:paraId="5CFA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EF040E">
            <w:pPr>
              <w:ind w:left="420" w:hanging="420"/>
              <w:rPr>
                <w:rFonts w:ascii="宋体" w:hAnsi="Times New Roman" w:eastAsia="宋体" w:cs="Times New Roman"/>
                <w:b/>
                <w:szCs w:val="20"/>
              </w:rPr>
            </w:pPr>
          </w:p>
        </w:tc>
        <w:tc>
          <w:tcPr>
            <w:tcW w:w="2082" w:type="dxa"/>
            <w:vAlign w:val="center"/>
          </w:tcPr>
          <w:p w14:paraId="1C985AF9">
            <w:pPr>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53ABCC68">
            <w:pPr>
              <w:ind w:left="420" w:hanging="420"/>
              <w:rPr>
                <w:rFonts w:ascii="宋体" w:hAnsi="Times New Roman" w:eastAsia="宋体" w:cs="Times New Roman"/>
                <w:b/>
                <w:szCs w:val="20"/>
              </w:rPr>
            </w:pPr>
          </w:p>
        </w:tc>
        <w:tc>
          <w:tcPr>
            <w:tcW w:w="826" w:type="dxa"/>
          </w:tcPr>
          <w:p w14:paraId="6A2A9785">
            <w:pPr>
              <w:ind w:left="420" w:hanging="420"/>
              <w:rPr>
                <w:rFonts w:ascii="宋体" w:hAnsi="Times New Roman" w:eastAsia="宋体" w:cs="Times New Roman"/>
                <w:b/>
                <w:szCs w:val="20"/>
              </w:rPr>
            </w:pPr>
          </w:p>
        </w:tc>
        <w:tc>
          <w:tcPr>
            <w:tcW w:w="1320" w:type="dxa"/>
          </w:tcPr>
          <w:p w14:paraId="25B6E47E">
            <w:pPr>
              <w:ind w:left="420" w:hanging="420"/>
              <w:rPr>
                <w:rFonts w:ascii="宋体" w:hAnsi="Times New Roman" w:eastAsia="宋体" w:cs="Times New Roman"/>
                <w:b/>
                <w:szCs w:val="20"/>
              </w:rPr>
            </w:pPr>
          </w:p>
        </w:tc>
        <w:tc>
          <w:tcPr>
            <w:tcW w:w="1023" w:type="dxa"/>
          </w:tcPr>
          <w:p w14:paraId="63D98745">
            <w:pPr>
              <w:ind w:left="420" w:hanging="420"/>
              <w:rPr>
                <w:rFonts w:ascii="宋体" w:hAnsi="Times New Roman" w:eastAsia="宋体" w:cs="Times New Roman"/>
                <w:b/>
                <w:szCs w:val="20"/>
              </w:rPr>
            </w:pPr>
          </w:p>
        </w:tc>
        <w:tc>
          <w:tcPr>
            <w:tcW w:w="1590" w:type="dxa"/>
          </w:tcPr>
          <w:p w14:paraId="257A59E1">
            <w:pPr>
              <w:ind w:left="420" w:hanging="420"/>
              <w:rPr>
                <w:rFonts w:ascii="宋体" w:hAnsi="Times New Roman" w:eastAsia="宋体" w:cs="Times New Roman"/>
                <w:b/>
                <w:szCs w:val="20"/>
              </w:rPr>
            </w:pPr>
          </w:p>
        </w:tc>
      </w:tr>
      <w:tr w14:paraId="5680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6B0774">
            <w:pPr>
              <w:ind w:left="420" w:hanging="420"/>
              <w:rPr>
                <w:rFonts w:ascii="宋体" w:hAnsi="Times New Roman" w:eastAsia="宋体" w:cs="Times New Roman"/>
                <w:b/>
                <w:szCs w:val="20"/>
              </w:rPr>
            </w:pPr>
          </w:p>
        </w:tc>
        <w:tc>
          <w:tcPr>
            <w:tcW w:w="2082" w:type="dxa"/>
            <w:vAlign w:val="center"/>
          </w:tcPr>
          <w:p w14:paraId="7ADAE669">
            <w:pPr>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384E1D74">
            <w:pPr>
              <w:ind w:left="420" w:hanging="420"/>
              <w:rPr>
                <w:rFonts w:ascii="宋体" w:hAnsi="Times New Roman" w:eastAsia="宋体" w:cs="Times New Roman"/>
                <w:b/>
                <w:szCs w:val="20"/>
              </w:rPr>
            </w:pPr>
          </w:p>
        </w:tc>
        <w:tc>
          <w:tcPr>
            <w:tcW w:w="826" w:type="dxa"/>
          </w:tcPr>
          <w:p w14:paraId="546FFD4A">
            <w:pPr>
              <w:ind w:left="420" w:hanging="420"/>
              <w:rPr>
                <w:rFonts w:ascii="宋体" w:hAnsi="Times New Roman" w:eastAsia="宋体" w:cs="Times New Roman"/>
                <w:b/>
                <w:szCs w:val="20"/>
              </w:rPr>
            </w:pPr>
          </w:p>
        </w:tc>
        <w:tc>
          <w:tcPr>
            <w:tcW w:w="1320" w:type="dxa"/>
          </w:tcPr>
          <w:p w14:paraId="50204CFF">
            <w:pPr>
              <w:ind w:left="420" w:hanging="420"/>
              <w:rPr>
                <w:rFonts w:ascii="宋体" w:hAnsi="Times New Roman" w:eastAsia="宋体" w:cs="Times New Roman"/>
                <w:b/>
                <w:szCs w:val="20"/>
              </w:rPr>
            </w:pPr>
          </w:p>
        </w:tc>
        <w:tc>
          <w:tcPr>
            <w:tcW w:w="1023" w:type="dxa"/>
          </w:tcPr>
          <w:p w14:paraId="672BAC3C">
            <w:pPr>
              <w:ind w:left="420" w:hanging="420"/>
              <w:rPr>
                <w:rFonts w:ascii="宋体" w:hAnsi="Times New Roman" w:eastAsia="宋体" w:cs="Times New Roman"/>
                <w:b/>
                <w:szCs w:val="20"/>
              </w:rPr>
            </w:pPr>
          </w:p>
        </w:tc>
        <w:tc>
          <w:tcPr>
            <w:tcW w:w="1590" w:type="dxa"/>
          </w:tcPr>
          <w:p w14:paraId="73E3EDD3">
            <w:pPr>
              <w:ind w:left="420" w:hanging="420"/>
              <w:rPr>
                <w:rFonts w:ascii="宋体" w:hAnsi="Times New Roman" w:eastAsia="宋体" w:cs="Times New Roman"/>
                <w:b/>
                <w:szCs w:val="20"/>
              </w:rPr>
            </w:pPr>
          </w:p>
        </w:tc>
      </w:tr>
      <w:tr w14:paraId="52C5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921DEE">
            <w:pPr>
              <w:ind w:left="420" w:hanging="420"/>
              <w:rPr>
                <w:rFonts w:ascii="宋体" w:hAnsi="Times New Roman" w:eastAsia="宋体" w:cs="Times New Roman"/>
                <w:b/>
                <w:szCs w:val="20"/>
              </w:rPr>
            </w:pPr>
          </w:p>
        </w:tc>
        <w:tc>
          <w:tcPr>
            <w:tcW w:w="2082" w:type="dxa"/>
          </w:tcPr>
          <w:p w14:paraId="34A4354E">
            <w:pPr>
              <w:ind w:left="420" w:hanging="420"/>
              <w:rPr>
                <w:rFonts w:ascii="宋体" w:hAnsi="Times New Roman" w:eastAsia="宋体" w:cs="Times New Roman"/>
                <w:b/>
                <w:szCs w:val="20"/>
              </w:rPr>
            </w:pPr>
          </w:p>
        </w:tc>
        <w:tc>
          <w:tcPr>
            <w:tcW w:w="1355" w:type="dxa"/>
          </w:tcPr>
          <w:p w14:paraId="6141642D">
            <w:pPr>
              <w:ind w:left="420" w:hanging="420"/>
              <w:rPr>
                <w:rFonts w:ascii="宋体" w:hAnsi="Times New Roman" w:eastAsia="宋体" w:cs="Times New Roman"/>
                <w:b/>
                <w:szCs w:val="20"/>
              </w:rPr>
            </w:pPr>
          </w:p>
        </w:tc>
        <w:tc>
          <w:tcPr>
            <w:tcW w:w="826" w:type="dxa"/>
          </w:tcPr>
          <w:p w14:paraId="3E714CF5">
            <w:pPr>
              <w:ind w:left="420" w:hanging="420"/>
              <w:rPr>
                <w:rFonts w:ascii="宋体" w:hAnsi="Times New Roman" w:eastAsia="宋体" w:cs="Times New Roman"/>
                <w:b/>
                <w:szCs w:val="20"/>
              </w:rPr>
            </w:pPr>
          </w:p>
        </w:tc>
        <w:tc>
          <w:tcPr>
            <w:tcW w:w="1320" w:type="dxa"/>
          </w:tcPr>
          <w:p w14:paraId="28C67839">
            <w:pPr>
              <w:ind w:left="420" w:hanging="420"/>
              <w:rPr>
                <w:rFonts w:ascii="宋体" w:hAnsi="Times New Roman" w:eastAsia="宋体" w:cs="Times New Roman"/>
                <w:b/>
                <w:szCs w:val="20"/>
              </w:rPr>
            </w:pPr>
          </w:p>
        </w:tc>
        <w:tc>
          <w:tcPr>
            <w:tcW w:w="1023" w:type="dxa"/>
          </w:tcPr>
          <w:p w14:paraId="2328A930">
            <w:pPr>
              <w:ind w:left="420" w:hanging="420"/>
              <w:rPr>
                <w:rFonts w:ascii="宋体" w:hAnsi="Times New Roman" w:eastAsia="宋体" w:cs="Times New Roman"/>
                <w:b/>
                <w:szCs w:val="20"/>
              </w:rPr>
            </w:pPr>
          </w:p>
        </w:tc>
        <w:tc>
          <w:tcPr>
            <w:tcW w:w="1590" w:type="dxa"/>
          </w:tcPr>
          <w:p w14:paraId="6DBBE3AB">
            <w:pPr>
              <w:ind w:left="420" w:hanging="420"/>
              <w:rPr>
                <w:rFonts w:ascii="宋体" w:hAnsi="Times New Roman" w:eastAsia="宋体" w:cs="Times New Roman"/>
                <w:b/>
                <w:szCs w:val="20"/>
              </w:rPr>
            </w:pPr>
          </w:p>
        </w:tc>
      </w:tr>
      <w:tr w14:paraId="2815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AAB3D9">
            <w:pPr>
              <w:ind w:left="420" w:hanging="420"/>
              <w:rPr>
                <w:rFonts w:ascii="宋体" w:hAnsi="Times New Roman" w:eastAsia="宋体" w:cs="Times New Roman"/>
                <w:b/>
                <w:szCs w:val="20"/>
              </w:rPr>
            </w:pPr>
          </w:p>
        </w:tc>
        <w:tc>
          <w:tcPr>
            <w:tcW w:w="2082" w:type="dxa"/>
          </w:tcPr>
          <w:p w14:paraId="18B88EC7">
            <w:pPr>
              <w:ind w:left="420" w:hanging="420"/>
              <w:rPr>
                <w:rFonts w:ascii="宋体" w:hAnsi="Times New Roman" w:eastAsia="宋体" w:cs="Times New Roman"/>
                <w:b/>
                <w:szCs w:val="20"/>
              </w:rPr>
            </w:pPr>
          </w:p>
        </w:tc>
        <w:tc>
          <w:tcPr>
            <w:tcW w:w="1355" w:type="dxa"/>
          </w:tcPr>
          <w:p w14:paraId="0119FBDD">
            <w:pPr>
              <w:ind w:left="420" w:hanging="420"/>
              <w:rPr>
                <w:rFonts w:ascii="宋体" w:hAnsi="Times New Roman" w:eastAsia="宋体" w:cs="Times New Roman"/>
                <w:b/>
                <w:szCs w:val="20"/>
              </w:rPr>
            </w:pPr>
          </w:p>
        </w:tc>
        <w:tc>
          <w:tcPr>
            <w:tcW w:w="826" w:type="dxa"/>
          </w:tcPr>
          <w:p w14:paraId="3DD81688">
            <w:pPr>
              <w:ind w:left="420" w:hanging="420"/>
              <w:rPr>
                <w:rFonts w:ascii="宋体" w:hAnsi="Times New Roman" w:eastAsia="宋体" w:cs="Times New Roman"/>
                <w:b/>
                <w:szCs w:val="20"/>
              </w:rPr>
            </w:pPr>
          </w:p>
        </w:tc>
        <w:tc>
          <w:tcPr>
            <w:tcW w:w="1320" w:type="dxa"/>
          </w:tcPr>
          <w:p w14:paraId="36DC01EF">
            <w:pPr>
              <w:ind w:left="420" w:hanging="420"/>
              <w:rPr>
                <w:rFonts w:ascii="宋体" w:hAnsi="Times New Roman" w:eastAsia="宋体" w:cs="Times New Roman"/>
                <w:b/>
                <w:szCs w:val="20"/>
              </w:rPr>
            </w:pPr>
          </w:p>
        </w:tc>
        <w:tc>
          <w:tcPr>
            <w:tcW w:w="1023" w:type="dxa"/>
          </w:tcPr>
          <w:p w14:paraId="77A7C860">
            <w:pPr>
              <w:ind w:left="420" w:hanging="420"/>
              <w:rPr>
                <w:rFonts w:ascii="宋体" w:hAnsi="Times New Roman" w:eastAsia="宋体" w:cs="Times New Roman"/>
                <w:b/>
                <w:szCs w:val="20"/>
              </w:rPr>
            </w:pPr>
          </w:p>
        </w:tc>
        <w:tc>
          <w:tcPr>
            <w:tcW w:w="1590" w:type="dxa"/>
          </w:tcPr>
          <w:p w14:paraId="42CFDB57">
            <w:pPr>
              <w:ind w:left="420" w:hanging="420"/>
              <w:rPr>
                <w:rFonts w:ascii="宋体" w:hAnsi="Times New Roman" w:eastAsia="宋体" w:cs="Times New Roman"/>
                <w:b/>
                <w:szCs w:val="20"/>
              </w:rPr>
            </w:pPr>
          </w:p>
        </w:tc>
      </w:tr>
      <w:tr w14:paraId="3D2D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B58F03">
            <w:pPr>
              <w:ind w:left="420" w:hanging="420"/>
              <w:rPr>
                <w:rFonts w:ascii="宋体" w:hAnsi="Times New Roman" w:eastAsia="宋体" w:cs="Times New Roman"/>
                <w:b/>
                <w:szCs w:val="20"/>
              </w:rPr>
            </w:pPr>
          </w:p>
        </w:tc>
        <w:tc>
          <w:tcPr>
            <w:tcW w:w="2082" w:type="dxa"/>
          </w:tcPr>
          <w:p w14:paraId="18A40F1F">
            <w:pPr>
              <w:ind w:left="420" w:hanging="420"/>
              <w:rPr>
                <w:rFonts w:ascii="宋体" w:hAnsi="Times New Roman" w:eastAsia="宋体" w:cs="Times New Roman"/>
                <w:b/>
                <w:szCs w:val="20"/>
              </w:rPr>
            </w:pPr>
          </w:p>
        </w:tc>
        <w:tc>
          <w:tcPr>
            <w:tcW w:w="1355" w:type="dxa"/>
          </w:tcPr>
          <w:p w14:paraId="488CEE40">
            <w:pPr>
              <w:ind w:left="420" w:hanging="420"/>
              <w:rPr>
                <w:rFonts w:ascii="宋体" w:hAnsi="Times New Roman" w:eastAsia="宋体" w:cs="Times New Roman"/>
                <w:b/>
                <w:szCs w:val="20"/>
              </w:rPr>
            </w:pPr>
          </w:p>
        </w:tc>
        <w:tc>
          <w:tcPr>
            <w:tcW w:w="826" w:type="dxa"/>
          </w:tcPr>
          <w:p w14:paraId="53D2421F">
            <w:pPr>
              <w:ind w:left="420" w:hanging="420"/>
              <w:rPr>
                <w:rFonts w:ascii="宋体" w:hAnsi="Times New Roman" w:eastAsia="宋体" w:cs="Times New Roman"/>
                <w:b/>
                <w:szCs w:val="20"/>
              </w:rPr>
            </w:pPr>
          </w:p>
        </w:tc>
        <w:tc>
          <w:tcPr>
            <w:tcW w:w="1320" w:type="dxa"/>
          </w:tcPr>
          <w:p w14:paraId="24992153">
            <w:pPr>
              <w:ind w:left="420" w:hanging="420"/>
              <w:rPr>
                <w:rFonts w:ascii="宋体" w:hAnsi="Times New Roman" w:eastAsia="宋体" w:cs="Times New Roman"/>
                <w:b/>
                <w:szCs w:val="20"/>
              </w:rPr>
            </w:pPr>
          </w:p>
        </w:tc>
        <w:tc>
          <w:tcPr>
            <w:tcW w:w="1023" w:type="dxa"/>
          </w:tcPr>
          <w:p w14:paraId="6436B55B">
            <w:pPr>
              <w:ind w:left="420" w:hanging="420"/>
              <w:rPr>
                <w:rFonts w:ascii="宋体" w:hAnsi="Times New Roman" w:eastAsia="宋体" w:cs="Times New Roman"/>
                <w:b/>
                <w:szCs w:val="20"/>
              </w:rPr>
            </w:pPr>
          </w:p>
        </w:tc>
        <w:tc>
          <w:tcPr>
            <w:tcW w:w="1590" w:type="dxa"/>
          </w:tcPr>
          <w:p w14:paraId="793C7390">
            <w:pPr>
              <w:ind w:left="420" w:hanging="420"/>
              <w:rPr>
                <w:rFonts w:ascii="宋体" w:hAnsi="Times New Roman" w:eastAsia="宋体" w:cs="Times New Roman"/>
                <w:b/>
                <w:szCs w:val="20"/>
              </w:rPr>
            </w:pPr>
          </w:p>
        </w:tc>
      </w:tr>
      <w:tr w14:paraId="57B9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69D1A3">
            <w:pPr>
              <w:ind w:left="420" w:hanging="420"/>
              <w:rPr>
                <w:rFonts w:ascii="宋体" w:hAnsi="Times New Roman" w:eastAsia="宋体" w:cs="Times New Roman"/>
                <w:b/>
                <w:szCs w:val="20"/>
              </w:rPr>
            </w:pPr>
          </w:p>
        </w:tc>
        <w:tc>
          <w:tcPr>
            <w:tcW w:w="2082" w:type="dxa"/>
          </w:tcPr>
          <w:p w14:paraId="60DC641C">
            <w:pPr>
              <w:ind w:left="420" w:hanging="420"/>
              <w:rPr>
                <w:rFonts w:ascii="宋体" w:hAnsi="Times New Roman" w:eastAsia="宋体" w:cs="Times New Roman"/>
                <w:b/>
                <w:szCs w:val="20"/>
              </w:rPr>
            </w:pPr>
          </w:p>
        </w:tc>
        <w:tc>
          <w:tcPr>
            <w:tcW w:w="1355" w:type="dxa"/>
          </w:tcPr>
          <w:p w14:paraId="22687494">
            <w:pPr>
              <w:ind w:left="420" w:hanging="420"/>
              <w:rPr>
                <w:rFonts w:ascii="宋体" w:hAnsi="Times New Roman" w:eastAsia="宋体" w:cs="Times New Roman"/>
                <w:b/>
                <w:szCs w:val="20"/>
              </w:rPr>
            </w:pPr>
          </w:p>
        </w:tc>
        <w:tc>
          <w:tcPr>
            <w:tcW w:w="826" w:type="dxa"/>
          </w:tcPr>
          <w:p w14:paraId="1AF75126">
            <w:pPr>
              <w:ind w:left="420" w:hanging="420"/>
              <w:rPr>
                <w:rFonts w:ascii="宋体" w:hAnsi="Times New Roman" w:eastAsia="宋体" w:cs="Times New Roman"/>
                <w:b/>
                <w:szCs w:val="20"/>
              </w:rPr>
            </w:pPr>
          </w:p>
        </w:tc>
        <w:tc>
          <w:tcPr>
            <w:tcW w:w="1320" w:type="dxa"/>
          </w:tcPr>
          <w:p w14:paraId="18A11E46">
            <w:pPr>
              <w:ind w:left="420" w:hanging="420"/>
              <w:rPr>
                <w:rFonts w:ascii="宋体" w:hAnsi="Times New Roman" w:eastAsia="宋体" w:cs="Times New Roman"/>
                <w:b/>
                <w:szCs w:val="20"/>
              </w:rPr>
            </w:pPr>
          </w:p>
        </w:tc>
        <w:tc>
          <w:tcPr>
            <w:tcW w:w="1023" w:type="dxa"/>
          </w:tcPr>
          <w:p w14:paraId="3AA53B49">
            <w:pPr>
              <w:ind w:left="420" w:hanging="420"/>
              <w:rPr>
                <w:rFonts w:ascii="宋体" w:hAnsi="Times New Roman" w:eastAsia="宋体" w:cs="Times New Roman"/>
                <w:b/>
                <w:szCs w:val="20"/>
              </w:rPr>
            </w:pPr>
          </w:p>
        </w:tc>
        <w:tc>
          <w:tcPr>
            <w:tcW w:w="1590" w:type="dxa"/>
          </w:tcPr>
          <w:p w14:paraId="57906A33">
            <w:pPr>
              <w:ind w:left="420" w:hanging="420"/>
              <w:rPr>
                <w:rFonts w:ascii="宋体" w:hAnsi="Times New Roman" w:eastAsia="宋体" w:cs="Times New Roman"/>
                <w:b/>
                <w:szCs w:val="20"/>
              </w:rPr>
            </w:pPr>
          </w:p>
        </w:tc>
      </w:tr>
      <w:tr w14:paraId="1975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5D8550">
            <w:pPr>
              <w:ind w:left="420" w:hanging="420"/>
              <w:rPr>
                <w:rFonts w:ascii="宋体" w:hAnsi="Times New Roman" w:eastAsia="宋体" w:cs="Times New Roman"/>
                <w:b/>
                <w:szCs w:val="20"/>
              </w:rPr>
            </w:pPr>
          </w:p>
        </w:tc>
        <w:tc>
          <w:tcPr>
            <w:tcW w:w="2082" w:type="dxa"/>
          </w:tcPr>
          <w:p w14:paraId="67DC299A">
            <w:pPr>
              <w:ind w:left="420" w:hanging="420"/>
              <w:rPr>
                <w:rFonts w:ascii="宋体" w:hAnsi="Times New Roman" w:eastAsia="宋体" w:cs="Times New Roman"/>
                <w:b/>
                <w:szCs w:val="20"/>
              </w:rPr>
            </w:pPr>
          </w:p>
        </w:tc>
        <w:tc>
          <w:tcPr>
            <w:tcW w:w="1355" w:type="dxa"/>
          </w:tcPr>
          <w:p w14:paraId="69E7875C">
            <w:pPr>
              <w:ind w:left="420" w:hanging="420"/>
              <w:rPr>
                <w:rFonts w:ascii="宋体" w:hAnsi="Times New Roman" w:eastAsia="宋体" w:cs="Times New Roman"/>
                <w:b/>
                <w:szCs w:val="20"/>
              </w:rPr>
            </w:pPr>
          </w:p>
        </w:tc>
        <w:tc>
          <w:tcPr>
            <w:tcW w:w="826" w:type="dxa"/>
          </w:tcPr>
          <w:p w14:paraId="2FF35366">
            <w:pPr>
              <w:ind w:left="420" w:hanging="420"/>
              <w:rPr>
                <w:rFonts w:ascii="宋体" w:hAnsi="Times New Roman" w:eastAsia="宋体" w:cs="Times New Roman"/>
                <w:b/>
                <w:szCs w:val="20"/>
              </w:rPr>
            </w:pPr>
          </w:p>
        </w:tc>
        <w:tc>
          <w:tcPr>
            <w:tcW w:w="1320" w:type="dxa"/>
          </w:tcPr>
          <w:p w14:paraId="16ADF479">
            <w:pPr>
              <w:ind w:left="420" w:hanging="420"/>
              <w:rPr>
                <w:rFonts w:ascii="宋体" w:hAnsi="Times New Roman" w:eastAsia="宋体" w:cs="Times New Roman"/>
                <w:b/>
                <w:szCs w:val="20"/>
              </w:rPr>
            </w:pPr>
          </w:p>
        </w:tc>
        <w:tc>
          <w:tcPr>
            <w:tcW w:w="1023" w:type="dxa"/>
          </w:tcPr>
          <w:p w14:paraId="3A86CDE8">
            <w:pPr>
              <w:ind w:left="420" w:hanging="420"/>
              <w:rPr>
                <w:rFonts w:ascii="宋体" w:hAnsi="Times New Roman" w:eastAsia="宋体" w:cs="Times New Roman"/>
                <w:b/>
                <w:szCs w:val="20"/>
              </w:rPr>
            </w:pPr>
          </w:p>
        </w:tc>
        <w:tc>
          <w:tcPr>
            <w:tcW w:w="1590" w:type="dxa"/>
          </w:tcPr>
          <w:p w14:paraId="4A077724">
            <w:pPr>
              <w:ind w:left="420" w:hanging="420"/>
              <w:rPr>
                <w:rFonts w:ascii="宋体" w:hAnsi="Times New Roman" w:eastAsia="宋体" w:cs="Times New Roman"/>
                <w:b/>
                <w:szCs w:val="20"/>
              </w:rPr>
            </w:pPr>
          </w:p>
        </w:tc>
      </w:tr>
      <w:tr w14:paraId="5538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5E89A4">
            <w:pPr>
              <w:ind w:left="420" w:hanging="420"/>
              <w:rPr>
                <w:rFonts w:ascii="宋体" w:hAnsi="Times New Roman" w:eastAsia="宋体" w:cs="Times New Roman"/>
                <w:b/>
                <w:szCs w:val="20"/>
              </w:rPr>
            </w:pPr>
          </w:p>
        </w:tc>
        <w:tc>
          <w:tcPr>
            <w:tcW w:w="2082" w:type="dxa"/>
          </w:tcPr>
          <w:p w14:paraId="0634614E">
            <w:pPr>
              <w:ind w:left="420" w:hanging="420"/>
              <w:rPr>
                <w:rFonts w:ascii="宋体" w:hAnsi="Times New Roman" w:eastAsia="宋体" w:cs="Times New Roman"/>
                <w:b/>
                <w:szCs w:val="20"/>
              </w:rPr>
            </w:pPr>
          </w:p>
        </w:tc>
        <w:tc>
          <w:tcPr>
            <w:tcW w:w="1355" w:type="dxa"/>
          </w:tcPr>
          <w:p w14:paraId="4DBB1B3D">
            <w:pPr>
              <w:ind w:left="420" w:hanging="420"/>
              <w:rPr>
                <w:rFonts w:ascii="宋体" w:hAnsi="Times New Roman" w:eastAsia="宋体" w:cs="Times New Roman"/>
                <w:b/>
                <w:szCs w:val="20"/>
              </w:rPr>
            </w:pPr>
          </w:p>
        </w:tc>
        <w:tc>
          <w:tcPr>
            <w:tcW w:w="826" w:type="dxa"/>
          </w:tcPr>
          <w:p w14:paraId="2474ACC4">
            <w:pPr>
              <w:ind w:left="420" w:hanging="420"/>
              <w:rPr>
                <w:rFonts w:ascii="宋体" w:hAnsi="Times New Roman" w:eastAsia="宋体" w:cs="Times New Roman"/>
                <w:b/>
                <w:szCs w:val="20"/>
              </w:rPr>
            </w:pPr>
          </w:p>
        </w:tc>
        <w:tc>
          <w:tcPr>
            <w:tcW w:w="1320" w:type="dxa"/>
          </w:tcPr>
          <w:p w14:paraId="45D8B591">
            <w:pPr>
              <w:ind w:left="420" w:hanging="420"/>
              <w:rPr>
                <w:rFonts w:ascii="宋体" w:hAnsi="Times New Roman" w:eastAsia="宋体" w:cs="Times New Roman"/>
                <w:b/>
                <w:szCs w:val="20"/>
              </w:rPr>
            </w:pPr>
          </w:p>
        </w:tc>
        <w:tc>
          <w:tcPr>
            <w:tcW w:w="1023" w:type="dxa"/>
          </w:tcPr>
          <w:p w14:paraId="33D2222D">
            <w:pPr>
              <w:ind w:left="420" w:hanging="420"/>
              <w:rPr>
                <w:rFonts w:ascii="宋体" w:hAnsi="Times New Roman" w:eastAsia="宋体" w:cs="Times New Roman"/>
                <w:b/>
                <w:szCs w:val="20"/>
              </w:rPr>
            </w:pPr>
          </w:p>
        </w:tc>
        <w:tc>
          <w:tcPr>
            <w:tcW w:w="1590" w:type="dxa"/>
          </w:tcPr>
          <w:p w14:paraId="498E4BC3">
            <w:pPr>
              <w:ind w:left="420" w:hanging="420"/>
              <w:rPr>
                <w:rFonts w:ascii="宋体" w:hAnsi="Times New Roman" w:eastAsia="宋体" w:cs="Times New Roman"/>
                <w:b/>
                <w:szCs w:val="20"/>
              </w:rPr>
            </w:pPr>
          </w:p>
        </w:tc>
      </w:tr>
      <w:tr w14:paraId="4D28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39CBBE5">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所有业绩合同总额汇总（必填</w:t>
            </w:r>
            <w:r>
              <w:rPr>
                <w:rFonts w:hint="eastAsia" w:ascii="宋体" w:hAnsi="宋体" w:eastAsia="宋体" w:cs="宋体"/>
                <w:sz w:val="24"/>
                <w:szCs w:val="24"/>
                <w:highlight w:val="yellow"/>
                <w:lang w:eastAsia="zh-CN"/>
              </w:rPr>
              <w:t>）</w:t>
            </w:r>
          </w:p>
        </w:tc>
        <w:tc>
          <w:tcPr>
            <w:tcW w:w="826" w:type="dxa"/>
          </w:tcPr>
          <w:p w14:paraId="73155D97">
            <w:pPr>
              <w:ind w:left="420" w:hanging="420"/>
              <w:rPr>
                <w:rFonts w:ascii="宋体" w:hAnsi="Times New Roman" w:eastAsia="宋体" w:cs="Times New Roman"/>
                <w:b/>
                <w:szCs w:val="20"/>
              </w:rPr>
            </w:pPr>
          </w:p>
        </w:tc>
        <w:tc>
          <w:tcPr>
            <w:tcW w:w="1320" w:type="dxa"/>
          </w:tcPr>
          <w:p w14:paraId="7BCADCA0">
            <w:pPr>
              <w:ind w:left="420" w:hanging="420"/>
              <w:rPr>
                <w:rFonts w:ascii="宋体" w:hAnsi="Times New Roman" w:eastAsia="宋体" w:cs="Times New Roman"/>
                <w:b/>
                <w:szCs w:val="20"/>
              </w:rPr>
            </w:pPr>
          </w:p>
        </w:tc>
        <w:tc>
          <w:tcPr>
            <w:tcW w:w="1023" w:type="dxa"/>
          </w:tcPr>
          <w:p w14:paraId="7886B88E">
            <w:pPr>
              <w:ind w:left="420" w:hanging="420"/>
              <w:rPr>
                <w:rFonts w:ascii="宋体" w:hAnsi="Times New Roman" w:eastAsia="宋体" w:cs="Times New Roman"/>
                <w:b/>
                <w:szCs w:val="20"/>
              </w:rPr>
            </w:pPr>
          </w:p>
        </w:tc>
        <w:tc>
          <w:tcPr>
            <w:tcW w:w="1590" w:type="dxa"/>
          </w:tcPr>
          <w:p w14:paraId="62EF5293">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AFB0EBC">
      <w:pPr>
        <w:keepNext/>
        <w:keepLines/>
        <w:outlineLvl w:val="2"/>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1B0F26F">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088BC6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5ADDD1">
      <w:pPr>
        <w:spacing w:line="240" w:lineRule="exact"/>
        <w:rPr>
          <w:rFonts w:ascii="宋体" w:hAnsi="宋体" w:eastAsia="宋体" w:cs="Times New Roman"/>
          <w:szCs w:val="20"/>
        </w:rPr>
      </w:pPr>
      <w:r>
        <w:rPr>
          <w:rFonts w:ascii="宋体" w:hAnsi="宋体" w:eastAsia="宋体" w:cs="Times New Roman"/>
          <w:szCs w:val="20"/>
        </w:rPr>
        <w:t xml:space="preserve">                                               </w:t>
      </w:r>
    </w:p>
    <w:p w14:paraId="629C8B1F">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eastAsia="zh-CN"/>
        </w:rPr>
        <w:t>AMT变速箱疲劳寿命试验台项目</w:t>
      </w:r>
    </w:p>
    <w:p w14:paraId="6DCF336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D2FA739">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F0011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90A6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A542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EC61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AE54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800C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E2B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8258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DA15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E0DE0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D38C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D83C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EB3F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EB0B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2E29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CB39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45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427B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B74BD2">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B15A09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6D537C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6D932D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B38B8DD">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AB04A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5ABF6F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3166E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lang w:eastAsia="zh-CN"/>
        </w:rPr>
        <w:t>AMT变速箱疲劳寿命试验台项目</w:t>
      </w:r>
      <w:r>
        <w:rPr>
          <w:rFonts w:ascii="宋体" w:hAnsi="宋体" w:eastAsia="宋体" w:cs="Times New Roman"/>
          <w:color w:val="000000"/>
          <w:sz w:val="24"/>
          <w:szCs w:val="24"/>
        </w:rPr>
        <w:t xml:space="preserve">                                                        </w:t>
      </w:r>
    </w:p>
    <w:tbl>
      <w:tblPr>
        <w:tblStyle w:val="37"/>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2204"/>
        <w:gridCol w:w="1844"/>
        <w:gridCol w:w="973"/>
        <w:gridCol w:w="1277"/>
        <w:gridCol w:w="1194"/>
        <w:gridCol w:w="1146"/>
      </w:tblGrid>
      <w:tr w14:paraId="2AAA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14:paraId="3CEE2EBA">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14:paraId="42F48DB0">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14:paraId="46E2392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14:paraId="2419405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2204" w:type="dxa"/>
            <w:vAlign w:val="center"/>
          </w:tcPr>
          <w:p w14:paraId="2D212CED">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14:paraId="37030425">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14:paraId="04DB4A70">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14:paraId="646611BB">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DEF546E">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14:paraId="0551A3D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14:paraId="61E2722C">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3C7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14:paraId="39CD392D">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14:paraId="3D9B9FEC">
            <w:pPr>
              <w:jc w:val="center"/>
              <w:rPr>
                <w:rFonts w:hint="eastAsia" w:ascii="宋体" w:hAnsi="宋体" w:eastAsia="宋体" w:cs="宋体"/>
                <w:b/>
                <w:bCs w:val="0"/>
                <w:szCs w:val="20"/>
                <w:lang w:eastAsia="zh-CN"/>
              </w:rPr>
            </w:pPr>
            <w:r>
              <w:rPr>
                <w:rFonts w:hint="eastAsia" w:ascii="Times New Roman" w:hAnsi="Times New Roman" w:eastAsia="宋体" w:cs="Times New Roman"/>
                <w:b/>
                <w:szCs w:val="20"/>
                <w:lang w:eastAsia="zh-CN"/>
              </w:rPr>
              <w:t>AMT变速箱疲劳寿命试验台项目</w:t>
            </w:r>
          </w:p>
        </w:tc>
        <w:tc>
          <w:tcPr>
            <w:tcW w:w="582" w:type="dxa"/>
            <w:vAlign w:val="center"/>
          </w:tcPr>
          <w:p w14:paraId="0EB91637">
            <w:pPr>
              <w:jc w:val="center"/>
              <w:rPr>
                <w:rFonts w:hint="eastAsia" w:ascii="宋体" w:hAnsi="宋体" w:eastAsia="宋体" w:cs="宋体"/>
                <w:b/>
                <w:bCs w:val="0"/>
                <w:szCs w:val="20"/>
                <w:lang w:val="en-US" w:eastAsia="zh-CN"/>
              </w:rPr>
            </w:pPr>
            <w:r>
              <w:rPr>
                <w:rFonts w:hint="eastAsia" w:ascii="宋体" w:hAnsi="宋体" w:eastAsia="宋体" w:cs="宋体"/>
                <w:b/>
                <w:bCs w:val="0"/>
                <w:szCs w:val="20"/>
                <w:lang w:val="en-US" w:eastAsia="zh-CN"/>
              </w:rPr>
              <w:t>1</w:t>
            </w:r>
          </w:p>
        </w:tc>
        <w:tc>
          <w:tcPr>
            <w:tcW w:w="2538" w:type="dxa"/>
            <w:vAlign w:val="center"/>
          </w:tcPr>
          <w:p w14:paraId="60477DCB">
            <w:pPr>
              <w:jc w:val="center"/>
              <w:rPr>
                <w:rFonts w:hint="eastAsia" w:ascii="宋体" w:hAnsi="宋体" w:eastAsia="宋体" w:cs="宋体"/>
                <w:b/>
                <w:bCs w:val="0"/>
                <w:szCs w:val="20"/>
              </w:rPr>
            </w:pPr>
            <w:r>
              <w:rPr>
                <w:rFonts w:hint="eastAsia" w:ascii="宋体" w:hAnsi="宋体" w:eastAsia="宋体" w:cs="宋体"/>
                <w:b/>
                <w:bCs w:val="0"/>
                <w:szCs w:val="20"/>
                <w:lang w:val="en-US" w:eastAsia="zh-CN"/>
              </w:rPr>
              <w:t>总价：</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元（大写：</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w:t>
            </w:r>
          </w:p>
        </w:tc>
        <w:tc>
          <w:tcPr>
            <w:tcW w:w="2204" w:type="dxa"/>
            <w:vAlign w:val="center"/>
          </w:tcPr>
          <w:p w14:paraId="7F31CA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实际支付币种及金额</w:t>
            </w:r>
            <w:r>
              <w:rPr>
                <w:rFonts w:hint="eastAsia" w:ascii="宋体" w:hAnsi="宋体" w:eastAsia="宋体" w:cs="宋体"/>
                <w:b/>
                <w:bCs w:val="0"/>
                <w:lang w:eastAsia="zh-CN"/>
              </w:rPr>
              <w:t>：</w:t>
            </w:r>
            <w:r>
              <w:rPr>
                <w:rFonts w:hint="eastAsia" w:ascii="宋体" w:hAnsi="宋体" w:eastAsia="宋体" w:cs="宋体"/>
                <w:b/>
                <w:bCs w:val="0"/>
                <w:u w:val="single"/>
                <w:lang w:val="en-US" w:eastAsia="zh-CN"/>
              </w:rPr>
              <w:t xml:space="preserve">      </w:t>
            </w:r>
          </w:p>
          <w:p w14:paraId="5BBDC5DB">
            <w:pPr>
              <w:pStyle w:val="3"/>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lang w:val="en-US" w:eastAsia="zh-CN"/>
              </w:rPr>
              <w:t>汇率：</w:t>
            </w:r>
            <w:r>
              <w:rPr>
                <w:rFonts w:hint="eastAsia" w:ascii="宋体" w:hAnsi="宋体" w:eastAsia="宋体" w:cs="宋体"/>
                <w:b/>
                <w:bCs w:val="0"/>
                <w:u w:val="single"/>
                <w:lang w:val="en-US" w:eastAsia="zh-CN"/>
              </w:rPr>
              <w:t xml:space="preserve">    </w:t>
            </w:r>
          </w:p>
          <w:p w14:paraId="0D4FACD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折算人民币：</w:t>
            </w:r>
            <w:r>
              <w:rPr>
                <w:rFonts w:hint="eastAsia" w:ascii="宋体" w:hAnsi="宋体" w:eastAsia="宋体" w:cs="宋体"/>
                <w:b/>
                <w:bCs w:val="0"/>
                <w:u w:val="single"/>
                <w:lang w:val="en-US" w:eastAsia="zh-CN"/>
              </w:rPr>
              <w:t xml:space="preserve">     </w:t>
            </w:r>
          </w:p>
          <w:p w14:paraId="5C3B1A89">
            <w:pPr>
              <w:rPr>
                <w:rFonts w:hint="eastAsia" w:ascii="宋体" w:hAnsi="宋体" w:eastAsia="宋体" w:cs="宋体"/>
                <w:b/>
                <w:bCs w:val="0"/>
                <w:lang w:eastAsia="zh-CN"/>
              </w:rPr>
            </w:pPr>
          </w:p>
        </w:tc>
        <w:tc>
          <w:tcPr>
            <w:tcW w:w="1844" w:type="dxa"/>
            <w:vAlign w:val="center"/>
          </w:tcPr>
          <w:p w14:paraId="4C2810F4">
            <w:pPr>
              <w:jc w:val="left"/>
              <w:rPr>
                <w:rFonts w:hint="default" w:ascii="宋体" w:hAnsi="宋体" w:eastAsia="宋体" w:cs="宋体"/>
                <w:b/>
                <w:bCs w:val="0"/>
                <w:szCs w:val="20"/>
                <w:lang w:val="en-US" w:eastAsia="zh-CN"/>
              </w:rPr>
            </w:pPr>
            <w:r>
              <w:rPr>
                <w:rFonts w:hint="eastAsia" w:ascii="宋体" w:hAnsi="宋体" w:eastAsia="宋体" w:cs="宋体"/>
                <w:b/>
                <w:bCs w:val="0"/>
                <w:szCs w:val="20"/>
              </w:rPr>
              <w:t>含税价格：</w:t>
            </w:r>
            <w:r>
              <w:rPr>
                <w:rFonts w:hint="eastAsia" w:ascii="宋体" w:hAnsi="宋体" w:eastAsia="宋体" w:cs="宋体"/>
                <w:b/>
                <w:bCs w:val="0"/>
                <w:szCs w:val="20"/>
                <w:u w:val="single"/>
                <w:lang w:val="en-US" w:eastAsia="zh-CN"/>
              </w:rPr>
              <w:t xml:space="preserve">   </w:t>
            </w:r>
          </w:p>
          <w:p w14:paraId="396B555E">
            <w:pPr>
              <w:jc w:val="left"/>
              <w:rPr>
                <w:rFonts w:hint="default" w:ascii="宋体" w:hAnsi="宋体" w:eastAsia="宋体" w:cs="宋体"/>
                <w:b/>
                <w:bCs w:val="0"/>
                <w:lang w:val="en-US" w:eastAsia="zh-CN"/>
              </w:rPr>
            </w:pPr>
            <w:r>
              <w:rPr>
                <w:rFonts w:hint="eastAsia" w:ascii="宋体" w:hAnsi="宋体" w:eastAsia="宋体" w:cs="宋体"/>
                <w:b/>
                <w:bCs w:val="0"/>
                <w:szCs w:val="20"/>
              </w:rPr>
              <w:t>不含税价：</w:t>
            </w:r>
            <w:r>
              <w:rPr>
                <w:rFonts w:hint="eastAsia" w:ascii="宋体" w:hAnsi="宋体" w:eastAsia="宋体" w:cs="宋体"/>
                <w:b/>
                <w:bCs w:val="0"/>
                <w:szCs w:val="20"/>
                <w:u w:val="single"/>
                <w:lang w:val="en-US" w:eastAsia="zh-CN"/>
              </w:rPr>
              <w:t xml:space="preserve">   </w:t>
            </w:r>
          </w:p>
          <w:p w14:paraId="284FEE14">
            <w:pPr>
              <w:jc w:val="left"/>
              <w:rPr>
                <w:rFonts w:hint="default" w:ascii="宋体" w:hAnsi="宋体" w:eastAsia="宋体" w:cs="宋体"/>
                <w:b/>
                <w:bCs w:val="0"/>
                <w:szCs w:val="20"/>
                <w:lang w:val="en-US" w:eastAsia="zh-CN"/>
              </w:rPr>
            </w:pPr>
            <w:r>
              <w:rPr>
                <w:rFonts w:hint="eastAsia" w:ascii="宋体" w:hAnsi="宋体" w:eastAsia="宋体" w:cs="宋体"/>
                <w:b/>
                <w:bCs w:val="0"/>
                <w:szCs w:val="20"/>
              </w:rPr>
              <w:t>税率：</w:t>
            </w:r>
            <w:r>
              <w:rPr>
                <w:rFonts w:hint="eastAsia" w:ascii="宋体" w:hAnsi="宋体" w:eastAsia="宋体" w:cs="宋体"/>
                <w:b/>
                <w:bCs w:val="0"/>
                <w:szCs w:val="20"/>
                <w:u w:val="single"/>
                <w:lang w:val="en-US" w:eastAsia="zh-CN"/>
              </w:rPr>
              <w:t xml:space="preserve">    </w:t>
            </w:r>
          </w:p>
        </w:tc>
        <w:tc>
          <w:tcPr>
            <w:tcW w:w="973" w:type="dxa"/>
            <w:vAlign w:val="center"/>
          </w:tcPr>
          <w:p w14:paraId="749C3689">
            <w:pPr>
              <w:jc w:val="center"/>
              <w:rPr>
                <w:rFonts w:ascii="Times New Roman" w:hAnsi="Times New Roman" w:eastAsia="宋体" w:cs="Times New Roman"/>
                <w:b/>
                <w:szCs w:val="20"/>
              </w:rPr>
            </w:pPr>
          </w:p>
        </w:tc>
        <w:tc>
          <w:tcPr>
            <w:tcW w:w="1277" w:type="dxa"/>
            <w:vAlign w:val="center"/>
          </w:tcPr>
          <w:p w14:paraId="5F906304">
            <w:pPr>
              <w:jc w:val="center"/>
              <w:rPr>
                <w:rFonts w:ascii="Times New Roman" w:hAnsi="Times New Roman" w:eastAsia="宋体" w:cs="Times New Roman"/>
                <w:b/>
                <w:szCs w:val="20"/>
              </w:rPr>
            </w:pPr>
          </w:p>
        </w:tc>
        <w:tc>
          <w:tcPr>
            <w:tcW w:w="1194" w:type="dxa"/>
            <w:vAlign w:val="center"/>
          </w:tcPr>
          <w:p w14:paraId="2E684BD7">
            <w:pPr>
              <w:jc w:val="center"/>
              <w:rPr>
                <w:rFonts w:ascii="Times New Roman" w:hAnsi="Times New Roman" w:eastAsia="宋体" w:cs="Times New Roman"/>
                <w:b/>
                <w:szCs w:val="20"/>
              </w:rPr>
            </w:pPr>
          </w:p>
        </w:tc>
        <w:tc>
          <w:tcPr>
            <w:tcW w:w="1146" w:type="dxa"/>
            <w:vAlign w:val="center"/>
          </w:tcPr>
          <w:p w14:paraId="0AE64721">
            <w:pPr>
              <w:jc w:val="center"/>
              <w:rPr>
                <w:rFonts w:ascii="Times New Roman" w:hAnsi="Times New Roman" w:eastAsia="宋体" w:cs="Times New Roman"/>
                <w:b/>
                <w:szCs w:val="20"/>
              </w:rPr>
            </w:pPr>
          </w:p>
        </w:tc>
      </w:tr>
    </w:tbl>
    <w:p w14:paraId="549C3BA3">
      <w:pPr>
        <w:rPr>
          <w:rFonts w:ascii="宋体" w:hAnsi="Arial" w:eastAsia="宋体" w:cs="Times New Roman"/>
          <w:sz w:val="24"/>
          <w:szCs w:val="24"/>
        </w:rPr>
      </w:pPr>
    </w:p>
    <w:p w14:paraId="6BBD0C1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7A61C9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FFAD841">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430DEEB">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59C4EC0">
      <w:pPr>
        <w:pStyle w:val="17"/>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14:paraId="5CDD6035">
      <w:pPr>
        <w:pStyle w:val="17"/>
        <w:rPr>
          <w:rFonts w:hAnsi="宋体" w:eastAsia="宋体" w:cs="Times New Roman"/>
          <w:b/>
          <w:bCs/>
          <w:szCs w:val="21"/>
          <w:highlight w:val="yellow"/>
        </w:rPr>
      </w:pPr>
      <w:r>
        <w:rPr>
          <w:rFonts w:hint="eastAsia" w:hAnsi="宋体" w:eastAsia="宋体" w:cs="Times New Roman"/>
          <w:b/>
          <w:bCs/>
          <w:szCs w:val="21"/>
          <w:highlight w:val="yellow"/>
          <w:lang w:val="en-US" w:eastAsia="zh-CN"/>
        </w:rPr>
        <w:t>5.本表内投标总价：</w:t>
      </w:r>
      <w:r>
        <w:rPr>
          <w:rFonts w:hint="eastAsia" w:hAnsi="宋体" w:eastAsia="宋体" w:cs="Times New Roman"/>
          <w:b/>
          <w:bCs/>
          <w:szCs w:val="21"/>
          <w:highlight w:val="yellow"/>
        </w:rPr>
        <w:t>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5</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lang w:val="en-US" w:eastAsia="zh-CN"/>
        </w:rPr>
        <w:t>外币金额*汇率，CIF价格，未税</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rPr>
        <w:t>，并注明实际支付币种及金额。</w:t>
      </w:r>
    </w:p>
    <w:p w14:paraId="43F8CCA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68613C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9DB2F9">
      <w:pPr>
        <w:spacing w:line="660" w:lineRule="exact"/>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9685030">
      <w:pPr>
        <w:pStyle w:val="17"/>
        <w:sectPr>
          <w:pgSz w:w="16838" w:h="11906" w:orient="landscape"/>
          <w:pgMar w:top="1418" w:right="1588" w:bottom="1418" w:left="1134" w:header="851" w:footer="992" w:gutter="0"/>
          <w:cols w:space="720" w:num="1"/>
          <w:titlePg/>
          <w:docGrid w:type="lines" w:linePitch="312" w:charSpace="0"/>
        </w:sectPr>
      </w:pPr>
    </w:p>
    <w:p w14:paraId="299D9847">
      <w:pPr>
        <w:rPr>
          <w:rFonts w:ascii="宋体" w:hAnsi="宋体" w:cs="宋体"/>
          <w:color w:val="000000"/>
          <w:sz w:val="24"/>
          <w:szCs w:val="24"/>
        </w:rPr>
      </w:pPr>
    </w:p>
    <w:p w14:paraId="61C0312E">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4F87903">
      <w:pPr>
        <w:pStyle w:val="5"/>
        <w:spacing w:before="140" w:after="140" w:line="240" w:lineRule="auto"/>
        <w:jc w:val="left"/>
        <w:outlineLvl w:val="3"/>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14:paraId="5CBD8D5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一</w:t>
      </w:r>
    </w:p>
    <w:p w14:paraId="558F11A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500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7"/>
        <w:gridCol w:w="1704"/>
        <w:gridCol w:w="1987"/>
        <w:gridCol w:w="544"/>
        <w:gridCol w:w="2371"/>
        <w:gridCol w:w="2763"/>
        <w:gridCol w:w="2721"/>
        <w:gridCol w:w="1219"/>
      </w:tblGrid>
      <w:tr w14:paraId="4AD2C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75B87A95">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1</w:t>
            </w:r>
          </w:p>
        </w:tc>
        <w:tc>
          <w:tcPr>
            <w:tcW w:w="608" w:type="pct"/>
            <w:vAlign w:val="center"/>
          </w:tcPr>
          <w:p w14:paraId="41439447">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2</w:t>
            </w:r>
          </w:p>
        </w:tc>
        <w:tc>
          <w:tcPr>
            <w:tcW w:w="709" w:type="pct"/>
            <w:vAlign w:val="center"/>
          </w:tcPr>
          <w:p w14:paraId="589C32CC">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3</w:t>
            </w:r>
          </w:p>
        </w:tc>
        <w:tc>
          <w:tcPr>
            <w:tcW w:w="194" w:type="pct"/>
            <w:vAlign w:val="center"/>
          </w:tcPr>
          <w:p w14:paraId="7B558F20">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4</w:t>
            </w:r>
          </w:p>
        </w:tc>
        <w:tc>
          <w:tcPr>
            <w:tcW w:w="846" w:type="pct"/>
            <w:vAlign w:val="center"/>
          </w:tcPr>
          <w:p w14:paraId="1C60C8B8">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5</w:t>
            </w:r>
          </w:p>
        </w:tc>
        <w:tc>
          <w:tcPr>
            <w:tcW w:w="985" w:type="pct"/>
            <w:tcBorders>
              <w:right w:val="single" w:color="000000" w:sz="4" w:space="0"/>
            </w:tcBorders>
            <w:vAlign w:val="center"/>
          </w:tcPr>
          <w:p w14:paraId="48010BB1">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6</w:t>
            </w:r>
          </w:p>
        </w:tc>
        <w:tc>
          <w:tcPr>
            <w:tcW w:w="971" w:type="pct"/>
            <w:tcBorders>
              <w:left w:val="single" w:color="000000" w:sz="4" w:space="0"/>
            </w:tcBorders>
            <w:vAlign w:val="center"/>
          </w:tcPr>
          <w:p w14:paraId="6B2A5EC3">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7</w:t>
            </w:r>
          </w:p>
        </w:tc>
        <w:tc>
          <w:tcPr>
            <w:tcW w:w="435" w:type="pct"/>
            <w:vAlign w:val="center"/>
          </w:tcPr>
          <w:p w14:paraId="53825A65">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8</w:t>
            </w:r>
          </w:p>
        </w:tc>
      </w:tr>
      <w:tr w14:paraId="4E47F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1286862A">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序</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号</w:t>
            </w:r>
          </w:p>
        </w:tc>
        <w:tc>
          <w:tcPr>
            <w:tcW w:w="608" w:type="pct"/>
            <w:vAlign w:val="center"/>
          </w:tcPr>
          <w:p w14:paraId="4DD5AC22">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货物名</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称</w:t>
            </w:r>
          </w:p>
        </w:tc>
        <w:tc>
          <w:tcPr>
            <w:tcW w:w="709" w:type="pct"/>
            <w:vAlign w:val="center"/>
          </w:tcPr>
          <w:p w14:paraId="19397B02">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型号和</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规格</w:t>
            </w:r>
          </w:p>
        </w:tc>
        <w:tc>
          <w:tcPr>
            <w:tcW w:w="194" w:type="pct"/>
            <w:vAlign w:val="center"/>
          </w:tcPr>
          <w:p w14:paraId="4D30A95B">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数量</w:t>
            </w:r>
          </w:p>
        </w:tc>
        <w:tc>
          <w:tcPr>
            <w:tcW w:w="846" w:type="pct"/>
            <w:vAlign w:val="center"/>
          </w:tcPr>
          <w:p w14:paraId="5EDDF9A6">
            <w:pPr>
              <w:spacing w:before="100" w:beforeAutospacing="1" w:after="100" w:afterAutospacing="1"/>
              <w:ind w:right="308"/>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t>原</w:t>
            </w: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产地和</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制造商名</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称</w:t>
            </w:r>
          </w:p>
        </w:tc>
        <w:tc>
          <w:tcPr>
            <w:tcW w:w="985" w:type="pct"/>
            <w:tcBorders>
              <w:right w:val="single" w:color="000000" w:sz="4" w:space="0"/>
            </w:tcBorders>
            <w:vAlign w:val="center"/>
          </w:tcPr>
          <w:p w14:paraId="04BF3D3C">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单</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价</w:t>
            </w:r>
            <w: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t>（不含税）</w:t>
            </w:r>
            <w:r>
              <w:rPr>
                <w:rFonts w:ascii="宋体" w:hAnsi="宋体" w:eastAsia="宋体" w:cs="宋体"/>
                <w:color w:val="000000" w:themeColor="text1"/>
                <w:spacing w:val="-16"/>
                <w:szCs w:val="21"/>
                <w14:textOutline w14:w="3835" w14:cap="flat" w14:cmpd="sng" w14:algn="ctr">
                  <w14:solidFill>
                    <w14:srgbClr w14:val="000000"/>
                  </w14:solidFill>
                  <w14:prstDash w14:val="solid"/>
                  <w14:miter w14:val="0"/>
                </w14:textOutline>
                <w14:textFill>
                  <w14:solidFill>
                    <w14:schemeClr w14:val="tx1"/>
                  </w14:solidFill>
                </w14:textFill>
              </w:rPr>
              <w:t>(</w:t>
            </w:r>
            <w:r>
              <w:rPr>
                <w:rFonts w:ascii="宋体" w:hAnsi="宋体" w:eastAsia="宋体" w:cs="宋体"/>
                <w:color w:val="000000" w:themeColor="text1"/>
                <w:spacing w:val="-14"/>
                <w:szCs w:val="21"/>
                <w14:textOutline w14:w="3835" w14:cap="flat" w14:cmpd="sng" w14:algn="ctr">
                  <w14:solidFill>
                    <w14:srgbClr w14:val="000000"/>
                  </w14:solidFill>
                  <w14:prstDash w14:val="solid"/>
                  <w14:miter w14:val="0"/>
                </w14:textOutline>
                <w14:textFill>
                  <w14:solidFill>
                    <w14:schemeClr w14:val="tx1"/>
                  </w14:solidFill>
                </w14:textFill>
              </w:rPr>
              <w:t>元)</w:t>
            </w:r>
          </w:p>
        </w:tc>
        <w:tc>
          <w:tcPr>
            <w:tcW w:w="971" w:type="pct"/>
            <w:tcBorders>
              <w:left w:val="single" w:color="000000" w:sz="4" w:space="0"/>
            </w:tcBorders>
            <w:vAlign w:val="center"/>
          </w:tcPr>
          <w:p w14:paraId="379CD7CD">
            <w:pPr>
              <w:spacing w:before="100" w:beforeAutospacing="1" w:after="100" w:afterAutospacing="1"/>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总价[4</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×6]</w:t>
            </w:r>
            <w: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t>（不含税）</w:t>
            </w:r>
            <w:r>
              <w:rPr>
                <w:rFonts w:ascii="宋体" w:hAnsi="宋体" w:eastAsia="宋体" w:cs="宋体"/>
                <w:color w:val="000000" w:themeColor="text1"/>
                <w:spacing w:val="27"/>
                <w:szCs w:val="21"/>
                <w14:textOutline w14:w="3835" w14:cap="flat" w14:cmpd="sng" w14:algn="ctr">
                  <w14:solidFill>
                    <w14:srgbClr w14:val="000000"/>
                  </w14:solidFill>
                  <w14:prstDash w14:val="solid"/>
                  <w14:miter w14:val="0"/>
                </w14:textOutline>
                <w14:textFill>
                  <w14:solidFill>
                    <w14:schemeClr w14:val="tx1"/>
                  </w14:solidFill>
                </w14:textFill>
              </w:rPr>
              <w:t>(</w:t>
            </w:r>
            <w:r>
              <w:rPr>
                <w:rFonts w:ascii="宋体" w:hAnsi="宋体" w:eastAsia="宋体" w:cs="宋体"/>
                <w:color w:val="000000" w:themeColor="text1"/>
                <w:spacing w:val="26"/>
                <w:szCs w:val="21"/>
                <w14:textOutline w14:w="3835" w14:cap="flat" w14:cmpd="sng" w14:algn="ctr">
                  <w14:solidFill>
                    <w14:srgbClr w14:val="000000"/>
                  </w14:solidFill>
                  <w14:prstDash w14:val="solid"/>
                  <w14:miter w14:val="0"/>
                </w14:textOutline>
                <w14:textFill>
                  <w14:solidFill>
                    <w14:schemeClr w14:val="tx1"/>
                  </w14:solidFill>
                </w14:textFill>
              </w:rPr>
              <w:t>元)</w:t>
            </w:r>
          </w:p>
        </w:tc>
        <w:tc>
          <w:tcPr>
            <w:tcW w:w="435" w:type="pct"/>
            <w:vAlign w:val="center"/>
          </w:tcPr>
          <w:p w14:paraId="170FA55F">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备</w:t>
            </w:r>
            <w:r>
              <w:rPr>
                <w:rFonts w:ascii="宋体" w:hAnsi="宋体" w:eastAsia="宋体" w:cs="宋体"/>
                <w:color w:val="000000" w:themeColor="text1"/>
                <w:szCs w:val="21"/>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注</w:t>
            </w:r>
          </w:p>
        </w:tc>
      </w:tr>
      <w:tr w14:paraId="6C612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399FD847">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1</w:t>
            </w:r>
          </w:p>
        </w:tc>
        <w:tc>
          <w:tcPr>
            <w:tcW w:w="608" w:type="pct"/>
            <w:vAlign w:val="center"/>
          </w:tcPr>
          <w:p w14:paraId="4438E8AB">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机械部分</w:t>
            </w:r>
          </w:p>
        </w:tc>
        <w:tc>
          <w:tcPr>
            <w:tcW w:w="709" w:type="pct"/>
            <w:vAlign w:val="center"/>
          </w:tcPr>
          <w:p w14:paraId="5642CFE5">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5C2E73FC">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7D2464AF">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78377B1E">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037B1D52">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25208A2A">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0C4AA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6687AE94">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2</w:t>
            </w:r>
          </w:p>
        </w:tc>
        <w:tc>
          <w:tcPr>
            <w:tcW w:w="608" w:type="pct"/>
            <w:vAlign w:val="center"/>
          </w:tcPr>
          <w:p w14:paraId="7E41458B">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电气部分</w:t>
            </w:r>
          </w:p>
        </w:tc>
        <w:tc>
          <w:tcPr>
            <w:tcW w:w="709" w:type="pct"/>
            <w:vAlign w:val="center"/>
          </w:tcPr>
          <w:p w14:paraId="2915E746">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485632FC">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2DEEBD1F">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3ADA245B">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5DB18595">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7E5E8CC0">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6CCC8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276771A0">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3</w:t>
            </w:r>
          </w:p>
        </w:tc>
        <w:tc>
          <w:tcPr>
            <w:tcW w:w="608" w:type="pct"/>
            <w:vAlign w:val="center"/>
          </w:tcPr>
          <w:p w14:paraId="467EDB7F">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数据采集/测量和控制部分</w:t>
            </w:r>
          </w:p>
        </w:tc>
        <w:tc>
          <w:tcPr>
            <w:tcW w:w="709" w:type="pct"/>
            <w:vAlign w:val="center"/>
          </w:tcPr>
          <w:p w14:paraId="0BB75ED9">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14BE57CB">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653AB99F">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18EFEF6B">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47C08981">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4067E517">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07916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7E082085">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4</w:t>
            </w:r>
          </w:p>
        </w:tc>
        <w:tc>
          <w:tcPr>
            <w:tcW w:w="608" w:type="pct"/>
            <w:vAlign w:val="center"/>
          </w:tcPr>
          <w:p w14:paraId="18D486BB">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冷却温控单元</w:t>
            </w:r>
          </w:p>
        </w:tc>
        <w:tc>
          <w:tcPr>
            <w:tcW w:w="709" w:type="pct"/>
            <w:vAlign w:val="center"/>
          </w:tcPr>
          <w:p w14:paraId="2C416384">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63937F8A">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2C90C101">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4848FE1B">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33493B3C">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1B723614">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3117F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7087F004">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5</w:t>
            </w:r>
          </w:p>
        </w:tc>
        <w:tc>
          <w:tcPr>
            <w:tcW w:w="608" w:type="pct"/>
            <w:vAlign w:val="center"/>
          </w:tcPr>
          <w:p w14:paraId="2A0FB7F9">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人工成本（设计、管理、安装调试等）</w:t>
            </w:r>
          </w:p>
        </w:tc>
        <w:tc>
          <w:tcPr>
            <w:tcW w:w="709" w:type="pct"/>
            <w:vAlign w:val="center"/>
          </w:tcPr>
          <w:p w14:paraId="3811A24D">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178C2B75">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776BE5EB">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01604DFA">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669C2EFC">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10C3581C">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03FBE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7EA9F7ED">
            <w:pPr>
              <w:spacing w:before="100" w:beforeAutospacing="1" w:after="100" w:afterAutospacing="1"/>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6</w:t>
            </w:r>
          </w:p>
        </w:tc>
        <w:tc>
          <w:tcPr>
            <w:tcW w:w="608" w:type="pct"/>
            <w:vAlign w:val="center"/>
          </w:tcPr>
          <w:p w14:paraId="59993A94">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其他</w:t>
            </w:r>
          </w:p>
        </w:tc>
        <w:tc>
          <w:tcPr>
            <w:tcW w:w="709" w:type="pct"/>
            <w:vAlign w:val="center"/>
          </w:tcPr>
          <w:p w14:paraId="666926CA">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6B020A37">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484EE354">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1573F764">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1CE6840F">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5264E6ED">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3D5EB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01727E06">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608" w:type="pct"/>
            <w:vAlign w:val="center"/>
          </w:tcPr>
          <w:p w14:paraId="12C3A5BD">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p>
        </w:tc>
        <w:tc>
          <w:tcPr>
            <w:tcW w:w="2735" w:type="pct"/>
            <w:gridSpan w:val="4"/>
            <w:tcBorders>
              <w:right w:val="single" w:color="000000" w:sz="4" w:space="0"/>
            </w:tcBorders>
            <w:vAlign w:val="center"/>
          </w:tcPr>
          <w:p w14:paraId="2B65989E">
            <w:pPr>
              <w:spacing w:before="100" w:beforeAutospacing="1" w:after="100" w:afterAutospacing="1"/>
              <w:jc w:val="center"/>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spacing w:val="-6"/>
                <w:szCs w:val="21"/>
                <w:lang w:val="en-US" w:eastAsia="zh-CN"/>
              </w:rPr>
              <w:t>小计</w:t>
            </w:r>
          </w:p>
        </w:tc>
        <w:tc>
          <w:tcPr>
            <w:tcW w:w="1406" w:type="pct"/>
            <w:gridSpan w:val="2"/>
            <w:tcBorders>
              <w:left w:val="single" w:color="000000" w:sz="4" w:space="0"/>
            </w:tcBorders>
            <w:vAlign w:val="center"/>
          </w:tcPr>
          <w:p w14:paraId="2A08BFF6">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4B8B50E6">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58372943">
            <w:pPr>
              <w:jc w:val="left"/>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15EB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058EC175">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608" w:type="pct"/>
            <w:vAlign w:val="center"/>
          </w:tcPr>
          <w:p w14:paraId="20594F8C">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p>
        </w:tc>
        <w:tc>
          <w:tcPr>
            <w:tcW w:w="2735" w:type="pct"/>
            <w:gridSpan w:val="4"/>
            <w:tcBorders>
              <w:right w:val="single" w:color="000000" w:sz="4" w:space="0"/>
            </w:tcBorders>
            <w:vAlign w:val="center"/>
          </w:tcPr>
          <w:p w14:paraId="1D4D7D83">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pacing w:val="-6"/>
                <w:szCs w:val="21"/>
                <w14:textFill>
                  <w14:solidFill>
                    <w14:schemeClr w14:val="tx1"/>
                  </w14:solidFill>
                </w14:textFill>
              </w:rPr>
              <w:t>总</w:t>
            </w:r>
            <w:r>
              <w:rPr>
                <w:rFonts w:ascii="宋体" w:hAnsi="宋体" w:eastAsia="宋体" w:cs="宋体"/>
                <w:color w:val="000000" w:themeColor="text1"/>
                <w:spacing w:val="-4"/>
                <w:szCs w:val="21"/>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14:textFill>
                  <w14:solidFill>
                    <w14:schemeClr w14:val="tx1"/>
                  </w14:solidFill>
                </w14:textFill>
              </w:rPr>
              <w:t>9</w:t>
            </w:r>
            <w:r>
              <w:rPr>
                <w:rFonts w:ascii="宋体" w:hAnsi="宋体" w:eastAsia="宋体" w:cs="宋体"/>
                <w:color w:val="000000" w:themeColor="text1"/>
                <w:spacing w:val="-4"/>
                <w:szCs w:val="21"/>
                <w14:textFill>
                  <w14:solidFill>
                    <w14:schemeClr w14:val="tx1"/>
                  </w14:solidFill>
                </w14:textFill>
              </w:rPr>
              <w:t>-</w:t>
            </w:r>
            <w:r>
              <w:rPr>
                <w:rFonts w:hint="eastAsia" w:ascii="宋体" w:hAnsi="宋体" w:eastAsia="宋体" w:cs="宋体"/>
                <w:color w:val="000000" w:themeColor="text1"/>
                <w:spacing w:val="-4"/>
                <w:szCs w:val="21"/>
                <w14:textFill>
                  <w14:solidFill>
                    <w14:schemeClr w14:val="tx1"/>
                  </w14:solidFill>
                </w14:textFill>
              </w:rPr>
              <w:t>5</w:t>
            </w:r>
          </w:p>
        </w:tc>
        <w:tc>
          <w:tcPr>
            <w:tcW w:w="1406" w:type="pct"/>
            <w:gridSpan w:val="2"/>
            <w:tcBorders>
              <w:left w:val="single" w:color="000000" w:sz="4" w:space="0"/>
            </w:tcBorders>
            <w:vAlign w:val="center"/>
          </w:tcPr>
          <w:p w14:paraId="3EC13A6F">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602D0B8E">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703B4FC">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6DF2B79A">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5B4C53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44AE09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D8602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03D4C9D">
      <w:pPr>
        <w:spacing w:before="40" w:line="186" w:lineRule="auto"/>
        <w:rPr>
          <w:rFonts w:ascii="宋体" w:hAnsi="宋体" w:eastAsia="宋体" w:cs="宋体"/>
          <w:spacing w:val="-2"/>
          <w:sz w:val="24"/>
          <w:szCs w:val="24"/>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2129357">
      <w:pPr>
        <w:spacing w:before="40" w:line="186" w:lineRule="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22796CE">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9FBA85A">
      <w:pPr>
        <w:spacing w:before="132" w:line="221" w:lineRule="auto"/>
        <w:ind w:left="310"/>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7FF8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14:paraId="7A2EA686">
            <w:pPr>
              <w:spacing w:line="296" w:lineRule="auto"/>
              <w:rPr>
                <w:rFonts w:ascii="Arial"/>
              </w:rPr>
            </w:pPr>
          </w:p>
          <w:p w14:paraId="4570DAB3">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50689EE">
            <w:pPr>
              <w:spacing w:line="295" w:lineRule="auto"/>
              <w:rPr>
                <w:rFonts w:ascii="Arial"/>
              </w:rPr>
            </w:pPr>
          </w:p>
          <w:p w14:paraId="31BDB696">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0A08108">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B505545">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4696ABF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448D56D">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3713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B67477E">
            <w:pPr>
              <w:rPr>
                <w:rFonts w:ascii="Arial"/>
              </w:rPr>
            </w:pPr>
          </w:p>
        </w:tc>
        <w:tc>
          <w:tcPr>
            <w:tcW w:w="3530" w:type="dxa"/>
            <w:vMerge w:val="continue"/>
            <w:tcBorders>
              <w:top w:val="nil"/>
            </w:tcBorders>
          </w:tcPr>
          <w:p w14:paraId="5AE7DDDE">
            <w:pPr>
              <w:rPr>
                <w:rFonts w:ascii="Arial"/>
              </w:rPr>
            </w:pPr>
          </w:p>
        </w:tc>
        <w:tc>
          <w:tcPr>
            <w:tcW w:w="2159" w:type="dxa"/>
          </w:tcPr>
          <w:p w14:paraId="6ED81459">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7C2BE663">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173D9B5">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14424E69">
            <w:pPr>
              <w:spacing w:before="161" w:line="185" w:lineRule="auto"/>
              <w:ind w:left="1031"/>
              <w:rPr>
                <w:rFonts w:ascii="宋体" w:hAnsi="宋体" w:eastAsia="宋体" w:cs="宋体"/>
                <w:szCs w:val="21"/>
              </w:rPr>
            </w:pPr>
            <w:r>
              <w:rPr>
                <w:rFonts w:ascii="宋体" w:hAnsi="宋体" w:eastAsia="宋体" w:cs="宋体"/>
                <w:szCs w:val="21"/>
              </w:rPr>
              <w:t>4</w:t>
            </w:r>
          </w:p>
        </w:tc>
      </w:tr>
      <w:tr w14:paraId="089E7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445732F">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60E7E0A0">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2AA4243">
            <w:pPr>
              <w:rPr>
                <w:rFonts w:ascii="Arial"/>
              </w:rPr>
            </w:pPr>
          </w:p>
        </w:tc>
        <w:tc>
          <w:tcPr>
            <w:tcW w:w="2186" w:type="dxa"/>
          </w:tcPr>
          <w:p w14:paraId="2AF62CC5">
            <w:pPr>
              <w:rPr>
                <w:rFonts w:ascii="Arial"/>
              </w:rPr>
            </w:pPr>
          </w:p>
        </w:tc>
        <w:tc>
          <w:tcPr>
            <w:tcW w:w="2596" w:type="dxa"/>
          </w:tcPr>
          <w:p w14:paraId="7001BD07">
            <w:pPr>
              <w:rPr>
                <w:rFonts w:ascii="Arial"/>
              </w:rPr>
            </w:pPr>
          </w:p>
        </w:tc>
        <w:tc>
          <w:tcPr>
            <w:tcW w:w="2164" w:type="dxa"/>
          </w:tcPr>
          <w:p w14:paraId="5C02D043">
            <w:pPr>
              <w:rPr>
                <w:rFonts w:ascii="Arial"/>
              </w:rPr>
            </w:pPr>
          </w:p>
        </w:tc>
      </w:tr>
      <w:tr w14:paraId="70F7A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8B09B50">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D1B8046">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3182AF7">
            <w:pPr>
              <w:rPr>
                <w:rFonts w:ascii="Arial"/>
              </w:rPr>
            </w:pPr>
          </w:p>
        </w:tc>
        <w:tc>
          <w:tcPr>
            <w:tcW w:w="2186" w:type="dxa"/>
          </w:tcPr>
          <w:p w14:paraId="38B5AF3D">
            <w:pPr>
              <w:rPr>
                <w:rFonts w:ascii="Arial"/>
              </w:rPr>
            </w:pPr>
          </w:p>
        </w:tc>
        <w:tc>
          <w:tcPr>
            <w:tcW w:w="2596" w:type="dxa"/>
          </w:tcPr>
          <w:p w14:paraId="590EDF72">
            <w:pPr>
              <w:rPr>
                <w:rFonts w:ascii="Arial"/>
              </w:rPr>
            </w:pPr>
          </w:p>
        </w:tc>
        <w:tc>
          <w:tcPr>
            <w:tcW w:w="2164" w:type="dxa"/>
            <w:vMerge w:val="restart"/>
            <w:tcBorders>
              <w:bottom w:val="nil"/>
            </w:tcBorders>
          </w:tcPr>
          <w:p w14:paraId="5B783CF2">
            <w:pPr>
              <w:spacing w:line="295" w:lineRule="auto"/>
              <w:rPr>
                <w:rFonts w:ascii="Arial"/>
              </w:rPr>
            </w:pPr>
          </w:p>
          <w:p w14:paraId="69C9940A">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7C1A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58AC0E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8036C0F">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F705E98">
            <w:pPr>
              <w:rPr>
                <w:rFonts w:ascii="Arial"/>
              </w:rPr>
            </w:pPr>
          </w:p>
        </w:tc>
        <w:tc>
          <w:tcPr>
            <w:tcW w:w="2186" w:type="dxa"/>
          </w:tcPr>
          <w:p w14:paraId="366FF0E5">
            <w:pPr>
              <w:rPr>
                <w:rFonts w:ascii="Arial"/>
              </w:rPr>
            </w:pPr>
          </w:p>
        </w:tc>
        <w:tc>
          <w:tcPr>
            <w:tcW w:w="2596" w:type="dxa"/>
          </w:tcPr>
          <w:p w14:paraId="00CC46AB">
            <w:pPr>
              <w:rPr>
                <w:rFonts w:ascii="Arial"/>
              </w:rPr>
            </w:pPr>
          </w:p>
        </w:tc>
        <w:tc>
          <w:tcPr>
            <w:tcW w:w="2164" w:type="dxa"/>
            <w:vMerge w:val="continue"/>
            <w:tcBorders>
              <w:top w:val="nil"/>
            </w:tcBorders>
          </w:tcPr>
          <w:p w14:paraId="3EC85425">
            <w:pPr>
              <w:rPr>
                <w:rFonts w:ascii="Arial"/>
              </w:rPr>
            </w:pPr>
          </w:p>
        </w:tc>
      </w:tr>
      <w:tr w14:paraId="05F43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10B3A77">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268AF711">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2E4A41E4">
            <w:pPr>
              <w:rPr>
                <w:rFonts w:ascii="Arial"/>
              </w:rPr>
            </w:pPr>
          </w:p>
        </w:tc>
        <w:tc>
          <w:tcPr>
            <w:tcW w:w="2186" w:type="dxa"/>
          </w:tcPr>
          <w:p w14:paraId="719974E4">
            <w:pPr>
              <w:rPr>
                <w:rFonts w:ascii="Arial"/>
              </w:rPr>
            </w:pPr>
          </w:p>
        </w:tc>
        <w:tc>
          <w:tcPr>
            <w:tcW w:w="2596" w:type="dxa"/>
          </w:tcPr>
          <w:p w14:paraId="66AA7DFA">
            <w:pPr>
              <w:rPr>
                <w:rFonts w:ascii="Arial"/>
              </w:rPr>
            </w:pPr>
          </w:p>
        </w:tc>
        <w:tc>
          <w:tcPr>
            <w:tcW w:w="2164" w:type="dxa"/>
          </w:tcPr>
          <w:p w14:paraId="21AC9694">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3B4B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C1F3DC6">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7D88E6C">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3EC4EED0">
            <w:pPr>
              <w:rPr>
                <w:rFonts w:ascii="Arial"/>
              </w:rPr>
            </w:pPr>
          </w:p>
        </w:tc>
        <w:tc>
          <w:tcPr>
            <w:tcW w:w="2186" w:type="dxa"/>
          </w:tcPr>
          <w:p w14:paraId="2B9055B4">
            <w:pPr>
              <w:rPr>
                <w:rFonts w:ascii="Arial"/>
              </w:rPr>
            </w:pPr>
          </w:p>
        </w:tc>
        <w:tc>
          <w:tcPr>
            <w:tcW w:w="2596" w:type="dxa"/>
          </w:tcPr>
          <w:p w14:paraId="45FC5A6F">
            <w:pPr>
              <w:rPr>
                <w:rFonts w:ascii="Arial"/>
              </w:rPr>
            </w:pPr>
          </w:p>
        </w:tc>
        <w:tc>
          <w:tcPr>
            <w:tcW w:w="2164" w:type="dxa"/>
          </w:tcPr>
          <w:p w14:paraId="54136F42">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1CE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vAlign w:val="center"/>
          </w:tcPr>
          <w:p w14:paraId="2A600F4F">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760" w:type="dxa"/>
            <w:gridSpan w:val="2"/>
            <w:vAlign w:val="center"/>
          </w:tcPr>
          <w:p w14:paraId="31FC00E0">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6FDCA8C5">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761ECC31">
            <w:pPr>
              <w:jc w:val="left"/>
              <w:rPr>
                <w:rFonts w:ascii="宋体" w:hAnsi="宋体" w:eastAsia="宋体" w:cs="宋体"/>
                <w:b/>
                <w:bCs/>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0B93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6141D1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8A6FCA8">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22FFA01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784F701">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CB54D19">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C7007FF">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1FCD7F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E4ECE88">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4BF1B8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F4AB664">
      <w:pPr>
        <w:rPr>
          <w:sz w:val="24"/>
          <w:szCs w:val="24"/>
        </w:rPr>
        <w:sectPr>
          <w:footerReference r:id="rId27" w:type="default"/>
          <w:pgSz w:w="16841" w:h="11907"/>
          <w:pgMar w:top="400" w:right="1699" w:bottom="1184" w:left="1481" w:header="0" w:footer="1022" w:gutter="0"/>
          <w:cols w:space="720" w:num="1"/>
        </w:sectPr>
      </w:pPr>
    </w:p>
    <w:p w14:paraId="5C3BE5A0">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60C1529F">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67C2D0C">
      <w:pPr>
        <w:spacing w:before="134" w:line="221" w:lineRule="auto"/>
        <w:ind w:left="212"/>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375E9D">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5C788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14:paraId="03053D39">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14:paraId="3B9F0A1A">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14:paraId="3D99787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14:paraId="7B81752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14:paraId="675875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14:paraId="200F1EC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D4B2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tcPr>
          <w:p w14:paraId="1EC64023">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14:paraId="03A70593">
            <w:pPr>
              <w:spacing w:before="266" w:line="221" w:lineRule="auto"/>
              <w:jc w:val="center"/>
              <w:rPr>
                <w:rFonts w:ascii="宋体" w:hAnsi="宋体" w:eastAsia="宋体" w:cs="宋体"/>
                <w:color w:val="FF0000"/>
                <w:szCs w:val="21"/>
              </w:rPr>
            </w:pPr>
            <w:r>
              <w:rPr>
                <w:rFonts w:ascii="宋体" w:hAnsi="宋体" w:eastAsia="宋体" w:cs="宋体"/>
                <w:color w:val="FF0000"/>
                <w:spacing w:val="-1"/>
                <w:szCs w:val="21"/>
              </w:rPr>
              <w:t>现场安装</w:t>
            </w:r>
          </w:p>
        </w:tc>
        <w:tc>
          <w:tcPr>
            <w:tcW w:w="1241" w:type="dxa"/>
          </w:tcPr>
          <w:p w14:paraId="2D3A5AAD">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5422679D">
            <w:pPr>
              <w:spacing w:before="266" w:line="221" w:lineRule="auto"/>
              <w:jc w:val="center"/>
              <w:rPr>
                <w:rFonts w:ascii="宋体" w:hAnsi="宋体" w:eastAsia="宋体" w:cs="宋体"/>
                <w:spacing w:val="-2"/>
                <w:szCs w:val="21"/>
              </w:rPr>
            </w:pPr>
          </w:p>
        </w:tc>
        <w:tc>
          <w:tcPr>
            <w:tcW w:w="2699" w:type="dxa"/>
          </w:tcPr>
          <w:p w14:paraId="6728FE5D">
            <w:pPr>
              <w:rPr>
                <w:rFonts w:ascii="Arial"/>
              </w:rPr>
            </w:pPr>
          </w:p>
        </w:tc>
        <w:tc>
          <w:tcPr>
            <w:tcW w:w="3668" w:type="dxa"/>
          </w:tcPr>
          <w:p w14:paraId="3FDA355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801B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tcPr>
          <w:p w14:paraId="6F266E67">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14:paraId="039CA140">
            <w:pPr>
              <w:spacing w:before="266" w:line="221" w:lineRule="auto"/>
              <w:jc w:val="center"/>
              <w:rPr>
                <w:rFonts w:ascii="宋体" w:hAnsi="宋体" w:eastAsia="宋体" w:cs="宋体"/>
                <w:color w:val="FF0000"/>
                <w:szCs w:val="21"/>
              </w:rPr>
            </w:pPr>
            <w:r>
              <w:rPr>
                <w:rFonts w:ascii="宋体" w:hAnsi="宋体" w:eastAsia="宋体" w:cs="宋体"/>
                <w:color w:val="FF0000"/>
                <w:spacing w:val="-1"/>
                <w:szCs w:val="21"/>
              </w:rPr>
              <w:t>现场调试、</w:t>
            </w:r>
            <w:r>
              <w:rPr>
                <w:rFonts w:ascii="宋体" w:hAnsi="宋体" w:eastAsia="宋体" w:cs="宋体"/>
                <w:color w:val="FF0000"/>
                <w:szCs w:val="21"/>
              </w:rPr>
              <w:t>试车</w:t>
            </w:r>
          </w:p>
        </w:tc>
        <w:tc>
          <w:tcPr>
            <w:tcW w:w="1241" w:type="dxa"/>
          </w:tcPr>
          <w:p w14:paraId="0B9813D5">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1EBC8D8E">
            <w:pPr>
              <w:spacing w:before="266" w:line="221" w:lineRule="auto"/>
              <w:jc w:val="center"/>
              <w:rPr>
                <w:rFonts w:ascii="宋体" w:hAnsi="宋体" w:eastAsia="宋体" w:cs="宋体"/>
                <w:spacing w:val="-2"/>
                <w:szCs w:val="21"/>
              </w:rPr>
            </w:pPr>
          </w:p>
        </w:tc>
        <w:tc>
          <w:tcPr>
            <w:tcW w:w="2699" w:type="dxa"/>
          </w:tcPr>
          <w:p w14:paraId="02AFF8ED">
            <w:pPr>
              <w:rPr>
                <w:rFonts w:ascii="Arial"/>
              </w:rPr>
            </w:pPr>
          </w:p>
        </w:tc>
        <w:tc>
          <w:tcPr>
            <w:tcW w:w="3668" w:type="dxa"/>
          </w:tcPr>
          <w:p w14:paraId="75949EA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663E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3" w:type="dxa"/>
          </w:tcPr>
          <w:p w14:paraId="6080B515">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14:paraId="3F9E94E8">
            <w:pPr>
              <w:spacing w:before="266" w:line="221" w:lineRule="auto"/>
              <w:jc w:val="center"/>
              <w:rPr>
                <w:rFonts w:ascii="宋体" w:hAnsi="宋体" w:eastAsia="宋体" w:cs="宋体"/>
                <w:color w:val="FF0000"/>
                <w:szCs w:val="21"/>
              </w:rPr>
            </w:pPr>
            <w:r>
              <w:rPr>
                <w:rFonts w:hint="eastAsia" w:ascii="宋体" w:hAnsi="宋体" w:eastAsia="宋体" w:cs="宋体"/>
                <w:color w:val="FF0000"/>
                <w:szCs w:val="21"/>
              </w:rPr>
              <w:t>现场技术支持解决技术难题</w:t>
            </w:r>
          </w:p>
        </w:tc>
        <w:tc>
          <w:tcPr>
            <w:tcW w:w="1241" w:type="dxa"/>
          </w:tcPr>
          <w:p w14:paraId="061A910C">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73565D47">
            <w:pPr>
              <w:spacing w:before="266" w:line="221" w:lineRule="auto"/>
              <w:jc w:val="center"/>
              <w:rPr>
                <w:rFonts w:ascii="宋体" w:hAnsi="宋体" w:eastAsia="宋体" w:cs="宋体"/>
                <w:spacing w:val="-2"/>
                <w:szCs w:val="21"/>
              </w:rPr>
            </w:pPr>
          </w:p>
        </w:tc>
        <w:tc>
          <w:tcPr>
            <w:tcW w:w="2699" w:type="dxa"/>
          </w:tcPr>
          <w:p w14:paraId="20845F20">
            <w:pPr>
              <w:rPr>
                <w:rFonts w:ascii="Arial"/>
              </w:rPr>
            </w:pPr>
          </w:p>
        </w:tc>
        <w:tc>
          <w:tcPr>
            <w:tcW w:w="3668" w:type="dxa"/>
          </w:tcPr>
          <w:p w14:paraId="1AFE32C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95E7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tcPr>
          <w:p w14:paraId="5DFB6D45">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14:paraId="46BD8F5C">
            <w:pPr>
              <w:spacing w:before="268" w:line="221" w:lineRule="auto"/>
              <w:jc w:val="center"/>
              <w:rPr>
                <w:rFonts w:ascii="宋体" w:hAnsi="宋体" w:eastAsia="宋体" w:cs="宋体"/>
                <w:color w:val="FF0000"/>
                <w:szCs w:val="21"/>
              </w:rPr>
            </w:pPr>
            <w:r>
              <w:rPr>
                <w:rFonts w:hint="eastAsia" w:ascii="宋体" w:hAnsi="宋体" w:eastAsia="宋体" w:cs="宋体"/>
                <w:color w:val="FF0000"/>
                <w:szCs w:val="21"/>
                <w:lang w:bidi="ar"/>
              </w:rPr>
              <w:t>企业管理费</w:t>
            </w:r>
          </w:p>
        </w:tc>
        <w:tc>
          <w:tcPr>
            <w:tcW w:w="1241" w:type="dxa"/>
          </w:tcPr>
          <w:p w14:paraId="78CA47C7">
            <w:pPr>
              <w:spacing w:before="266" w:line="221" w:lineRule="auto"/>
              <w:jc w:val="center"/>
              <w:rPr>
                <w:rFonts w:ascii="宋体" w:hAnsi="宋体" w:eastAsia="宋体" w:cs="宋体"/>
                <w:spacing w:val="-2"/>
                <w:szCs w:val="21"/>
              </w:rPr>
            </w:pPr>
          </w:p>
        </w:tc>
        <w:tc>
          <w:tcPr>
            <w:tcW w:w="1255" w:type="dxa"/>
          </w:tcPr>
          <w:p w14:paraId="32724FED">
            <w:pPr>
              <w:spacing w:before="266" w:line="221" w:lineRule="auto"/>
              <w:jc w:val="center"/>
              <w:rPr>
                <w:rFonts w:ascii="宋体" w:hAnsi="宋体" w:eastAsia="宋体" w:cs="宋体"/>
                <w:spacing w:val="-2"/>
                <w:szCs w:val="21"/>
              </w:rPr>
            </w:pPr>
          </w:p>
        </w:tc>
        <w:tc>
          <w:tcPr>
            <w:tcW w:w="2699" w:type="dxa"/>
          </w:tcPr>
          <w:p w14:paraId="402F50EA">
            <w:pPr>
              <w:rPr>
                <w:rFonts w:ascii="Arial"/>
              </w:rPr>
            </w:pPr>
          </w:p>
        </w:tc>
        <w:tc>
          <w:tcPr>
            <w:tcW w:w="3668" w:type="dxa"/>
          </w:tcPr>
          <w:p w14:paraId="5BAEAEA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108E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tcPr>
          <w:p w14:paraId="0BCED8A2">
            <w:pPr>
              <w:spacing w:before="306" w:line="182" w:lineRule="auto"/>
              <w:ind w:left="432"/>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995" w:type="dxa"/>
          </w:tcPr>
          <w:p w14:paraId="69EEDBB5">
            <w:pPr>
              <w:spacing w:before="268" w:line="221" w:lineRule="auto"/>
              <w:jc w:val="center"/>
              <w:rPr>
                <w:rFonts w:hint="eastAsia" w:ascii="宋体" w:hAnsi="宋体" w:eastAsia="宋体" w:cs="宋体"/>
                <w:color w:val="FF0000"/>
                <w:szCs w:val="21"/>
                <w:lang w:val="en-US" w:eastAsia="zh-CN" w:bidi="ar"/>
              </w:rPr>
            </w:pPr>
            <w:r>
              <w:rPr>
                <w:rFonts w:hint="eastAsia" w:ascii="宋体" w:hAnsi="宋体" w:eastAsia="宋体" w:cs="宋体"/>
                <w:color w:val="FF0000"/>
                <w:szCs w:val="21"/>
                <w:lang w:val="en-US" w:eastAsia="zh-CN" w:bidi="ar"/>
              </w:rPr>
              <w:t>设计费</w:t>
            </w:r>
          </w:p>
        </w:tc>
        <w:tc>
          <w:tcPr>
            <w:tcW w:w="1241" w:type="dxa"/>
          </w:tcPr>
          <w:p w14:paraId="5F364E92">
            <w:pPr>
              <w:spacing w:before="266" w:line="221" w:lineRule="auto"/>
              <w:jc w:val="center"/>
              <w:rPr>
                <w:rFonts w:ascii="宋体" w:hAnsi="宋体" w:eastAsia="宋体" w:cs="宋体"/>
                <w:spacing w:val="-2"/>
                <w:szCs w:val="21"/>
              </w:rPr>
            </w:pPr>
          </w:p>
        </w:tc>
        <w:tc>
          <w:tcPr>
            <w:tcW w:w="1255" w:type="dxa"/>
          </w:tcPr>
          <w:p w14:paraId="662B0891">
            <w:pPr>
              <w:spacing w:before="266" w:line="221" w:lineRule="auto"/>
              <w:jc w:val="center"/>
              <w:rPr>
                <w:rFonts w:ascii="宋体" w:hAnsi="宋体" w:eastAsia="宋体" w:cs="宋体"/>
                <w:spacing w:val="-2"/>
                <w:szCs w:val="21"/>
              </w:rPr>
            </w:pPr>
          </w:p>
        </w:tc>
        <w:tc>
          <w:tcPr>
            <w:tcW w:w="2699" w:type="dxa"/>
          </w:tcPr>
          <w:p w14:paraId="1DCABCC6">
            <w:pPr>
              <w:rPr>
                <w:rFonts w:ascii="Arial"/>
              </w:rPr>
            </w:pPr>
          </w:p>
        </w:tc>
        <w:tc>
          <w:tcPr>
            <w:tcW w:w="3668" w:type="dxa"/>
          </w:tcPr>
          <w:p w14:paraId="187675F5">
            <w:pPr>
              <w:spacing w:before="266" w:line="221" w:lineRule="auto"/>
              <w:jc w:val="center"/>
              <w:rPr>
                <w:rFonts w:ascii="宋体" w:hAnsi="宋体" w:eastAsia="宋体" w:cs="宋体"/>
                <w:spacing w:val="-1"/>
                <w:szCs w:val="21"/>
              </w:rPr>
            </w:pPr>
          </w:p>
        </w:tc>
      </w:tr>
      <w:tr w14:paraId="4680B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 w:hRule="atLeast"/>
        </w:trPr>
        <w:tc>
          <w:tcPr>
            <w:tcW w:w="783" w:type="dxa"/>
          </w:tcPr>
          <w:p w14:paraId="0B38A8C3">
            <w:pPr>
              <w:spacing w:before="306" w:line="182" w:lineRule="auto"/>
              <w:ind w:left="432"/>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3995" w:type="dxa"/>
          </w:tcPr>
          <w:p w14:paraId="3FE83E86">
            <w:pPr>
              <w:spacing w:before="268" w:line="221" w:lineRule="auto"/>
              <w:jc w:val="center"/>
              <w:rPr>
                <w:rFonts w:ascii="宋体" w:hAnsi="宋体" w:eastAsia="宋体" w:cs="宋体"/>
                <w:color w:val="FF0000"/>
                <w:spacing w:val="15"/>
                <w:szCs w:val="21"/>
              </w:rPr>
            </w:pPr>
            <w:r>
              <w:rPr>
                <w:rFonts w:hint="eastAsia" w:ascii="宋体" w:hAnsi="宋体" w:eastAsia="宋体" w:cs="宋体"/>
                <w:color w:val="FF0000"/>
                <w:szCs w:val="21"/>
                <w:lang w:bidi="ar"/>
              </w:rPr>
              <w:t>检验检测费</w:t>
            </w:r>
          </w:p>
        </w:tc>
        <w:tc>
          <w:tcPr>
            <w:tcW w:w="1241" w:type="dxa"/>
          </w:tcPr>
          <w:p w14:paraId="710BE04F">
            <w:pPr>
              <w:spacing w:before="266" w:line="221" w:lineRule="auto"/>
              <w:jc w:val="center"/>
              <w:rPr>
                <w:rFonts w:ascii="宋体" w:hAnsi="宋体" w:eastAsia="宋体" w:cs="宋体"/>
                <w:spacing w:val="-2"/>
                <w:szCs w:val="21"/>
              </w:rPr>
            </w:pPr>
          </w:p>
        </w:tc>
        <w:tc>
          <w:tcPr>
            <w:tcW w:w="1255" w:type="dxa"/>
          </w:tcPr>
          <w:p w14:paraId="54489DB1">
            <w:pPr>
              <w:spacing w:before="266" w:line="221" w:lineRule="auto"/>
              <w:jc w:val="center"/>
              <w:rPr>
                <w:rFonts w:ascii="宋体" w:hAnsi="宋体" w:eastAsia="宋体" w:cs="宋体"/>
                <w:spacing w:val="-2"/>
                <w:szCs w:val="21"/>
              </w:rPr>
            </w:pPr>
          </w:p>
        </w:tc>
        <w:tc>
          <w:tcPr>
            <w:tcW w:w="2699" w:type="dxa"/>
          </w:tcPr>
          <w:p w14:paraId="496F7A73">
            <w:pPr>
              <w:rPr>
                <w:rFonts w:ascii="Arial"/>
              </w:rPr>
            </w:pPr>
          </w:p>
        </w:tc>
        <w:tc>
          <w:tcPr>
            <w:tcW w:w="3668" w:type="dxa"/>
          </w:tcPr>
          <w:p w14:paraId="7D2AE2BB">
            <w:pPr>
              <w:spacing w:before="266" w:line="221" w:lineRule="auto"/>
              <w:jc w:val="center"/>
              <w:rPr>
                <w:rFonts w:ascii="宋体" w:hAnsi="宋体" w:eastAsia="宋体" w:cs="宋体"/>
                <w:spacing w:val="-1"/>
                <w:szCs w:val="21"/>
              </w:rPr>
            </w:pPr>
          </w:p>
        </w:tc>
      </w:tr>
      <w:tr w14:paraId="1BF17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83" w:type="dxa"/>
          </w:tcPr>
          <w:p w14:paraId="6C82045F">
            <w:pPr>
              <w:spacing w:before="306" w:line="182" w:lineRule="auto"/>
              <w:ind w:left="432"/>
              <w:rPr>
                <w:rFonts w:ascii="宋体" w:hAnsi="宋体" w:eastAsia="宋体" w:cs="宋体"/>
                <w:szCs w:val="21"/>
              </w:rPr>
            </w:pPr>
          </w:p>
        </w:tc>
        <w:tc>
          <w:tcPr>
            <w:tcW w:w="3995" w:type="dxa"/>
          </w:tcPr>
          <w:p w14:paraId="085C1916">
            <w:pPr>
              <w:spacing w:before="268" w:line="221" w:lineRule="auto"/>
              <w:jc w:val="center"/>
              <w:rPr>
                <w:rFonts w:ascii="宋体" w:hAnsi="宋体" w:eastAsia="宋体" w:cs="宋体"/>
                <w:color w:val="FF0000"/>
                <w:spacing w:val="15"/>
                <w:szCs w:val="21"/>
              </w:rPr>
            </w:pPr>
            <w:r>
              <w:rPr>
                <w:rFonts w:ascii="宋体" w:hAnsi="宋体" w:eastAsia="宋体" w:cs="宋体"/>
                <w:color w:val="FF0000"/>
                <w:spacing w:val="-1"/>
                <w:szCs w:val="21"/>
              </w:rPr>
              <w:t>.......以上不足之处请往下添加序号自行补充</w:t>
            </w:r>
          </w:p>
        </w:tc>
        <w:tc>
          <w:tcPr>
            <w:tcW w:w="1241" w:type="dxa"/>
          </w:tcPr>
          <w:p w14:paraId="65E079E7">
            <w:pPr>
              <w:spacing w:before="266" w:line="221" w:lineRule="auto"/>
              <w:jc w:val="center"/>
              <w:rPr>
                <w:rFonts w:ascii="宋体" w:hAnsi="宋体" w:eastAsia="宋体" w:cs="宋体"/>
                <w:spacing w:val="-2"/>
                <w:szCs w:val="21"/>
              </w:rPr>
            </w:pPr>
          </w:p>
        </w:tc>
        <w:tc>
          <w:tcPr>
            <w:tcW w:w="1255" w:type="dxa"/>
          </w:tcPr>
          <w:p w14:paraId="0E2BC1C9">
            <w:pPr>
              <w:spacing w:before="266" w:line="221" w:lineRule="auto"/>
              <w:jc w:val="center"/>
              <w:rPr>
                <w:rFonts w:ascii="宋体" w:hAnsi="宋体" w:eastAsia="宋体" w:cs="宋体"/>
                <w:spacing w:val="-2"/>
                <w:szCs w:val="21"/>
              </w:rPr>
            </w:pPr>
          </w:p>
        </w:tc>
        <w:tc>
          <w:tcPr>
            <w:tcW w:w="2699" w:type="dxa"/>
          </w:tcPr>
          <w:p w14:paraId="788AAF57">
            <w:pPr>
              <w:rPr>
                <w:rFonts w:ascii="Arial"/>
              </w:rPr>
            </w:pPr>
          </w:p>
        </w:tc>
        <w:tc>
          <w:tcPr>
            <w:tcW w:w="3668" w:type="dxa"/>
          </w:tcPr>
          <w:p w14:paraId="172AFA63">
            <w:pPr>
              <w:spacing w:before="266" w:line="221" w:lineRule="auto"/>
              <w:jc w:val="center"/>
              <w:rPr>
                <w:rFonts w:ascii="宋体" w:hAnsi="宋体" w:eastAsia="宋体" w:cs="宋体"/>
                <w:spacing w:val="-1"/>
                <w:szCs w:val="21"/>
              </w:rPr>
            </w:pPr>
          </w:p>
        </w:tc>
      </w:tr>
      <w:tr w14:paraId="41D5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vAlign w:val="center"/>
          </w:tcPr>
          <w:p w14:paraId="3235F12B">
            <w:pPr>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lang w:val="en-US" w:eastAsia="zh-CN"/>
              </w:rPr>
              <w:t>小计</w:t>
            </w:r>
          </w:p>
        </w:tc>
        <w:tc>
          <w:tcPr>
            <w:tcW w:w="6367" w:type="dxa"/>
            <w:gridSpan w:val="2"/>
            <w:vAlign w:val="center"/>
          </w:tcPr>
          <w:p w14:paraId="1F94C472">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20806D05">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43691093">
            <w:pPr>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2C6B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14:paraId="0F9C4B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6367" w:type="dxa"/>
            <w:gridSpan w:val="2"/>
          </w:tcPr>
          <w:p w14:paraId="2F2232F3">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19F4D4F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9CB7BB9">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25DF09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A7B76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23FC38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09E7C5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3C044D0"/>
    <w:p w14:paraId="32675C30">
      <w:pPr>
        <w:pStyle w:val="17"/>
      </w:pPr>
    </w:p>
    <w:p w14:paraId="78C75840">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32A3C5B">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49E024D8">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5368731">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222984E">
      <w:pPr>
        <w:spacing w:line="220" w:lineRule="auto"/>
        <w:ind w:left="1"/>
        <w:jc w:val="right"/>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4C8F7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0E01E6F">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A443F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2B6EA05">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7E717D8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14:paraId="09DC514D">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14:paraId="725E7582">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14:paraId="3695A55A">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03C758F">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ECD8DCA">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024F7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132D57C7">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14:paraId="6F4B711C">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14:paraId="3B9C5EFD">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14:paraId="4D5F0710">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14:paraId="24B2313A">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14:paraId="395D75A2">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14:paraId="20406AC2">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32EF41CD">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14:paraId="3D12F5CB">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03C5060E">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14:paraId="0C197006">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14:paraId="74546075">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14:paraId="57007A73">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14:paraId="1F756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14:paraId="524CB2DA">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739B3C8F">
            <w:pPr>
              <w:pStyle w:val="128"/>
              <w:spacing w:before="60" w:after="60"/>
              <w:jc w:val="center"/>
              <w:rPr>
                <w:rFonts w:ascii="宋体" w:hAnsi="宋体" w:eastAsia="宋体" w:cs="宋体"/>
                <w:color w:val="FF0000"/>
                <w:szCs w:val="21"/>
              </w:rPr>
            </w:pPr>
          </w:p>
        </w:tc>
        <w:tc>
          <w:tcPr>
            <w:tcW w:w="2100" w:type="dxa"/>
            <w:vAlign w:val="center"/>
          </w:tcPr>
          <w:p w14:paraId="7DDEECEC">
            <w:pPr>
              <w:jc w:val="center"/>
              <w:rPr>
                <w:rFonts w:ascii="Arial"/>
                <w:color w:val="FF0000"/>
              </w:rPr>
            </w:pPr>
          </w:p>
        </w:tc>
        <w:tc>
          <w:tcPr>
            <w:tcW w:w="840" w:type="dxa"/>
            <w:vAlign w:val="center"/>
          </w:tcPr>
          <w:p w14:paraId="632995B3">
            <w:pPr>
              <w:spacing w:line="360" w:lineRule="auto"/>
              <w:jc w:val="center"/>
              <w:textAlignment w:val="center"/>
              <w:rPr>
                <w:rFonts w:ascii="宋体" w:hAnsi="宋体" w:eastAsia="宋体" w:cs="宋体"/>
                <w:szCs w:val="21"/>
              </w:rPr>
            </w:pPr>
          </w:p>
        </w:tc>
        <w:tc>
          <w:tcPr>
            <w:tcW w:w="1940" w:type="dxa"/>
          </w:tcPr>
          <w:p w14:paraId="26A7D1D1">
            <w:pPr>
              <w:rPr>
                <w:rFonts w:ascii="Arial"/>
              </w:rPr>
            </w:pPr>
          </w:p>
        </w:tc>
        <w:tc>
          <w:tcPr>
            <w:tcW w:w="1770" w:type="dxa"/>
          </w:tcPr>
          <w:p w14:paraId="34CEE072"/>
        </w:tc>
        <w:tc>
          <w:tcPr>
            <w:tcW w:w="1888" w:type="dxa"/>
          </w:tcPr>
          <w:p w14:paraId="79EDBD1C">
            <w:pPr>
              <w:rPr>
                <w:rFonts w:ascii="Arial"/>
              </w:rPr>
            </w:pPr>
          </w:p>
        </w:tc>
        <w:tc>
          <w:tcPr>
            <w:tcW w:w="1120" w:type="dxa"/>
          </w:tcPr>
          <w:p w14:paraId="5B5B5B00">
            <w:pPr>
              <w:rPr>
                <w:rFonts w:ascii="Arial"/>
              </w:rPr>
            </w:pPr>
          </w:p>
        </w:tc>
        <w:tc>
          <w:tcPr>
            <w:tcW w:w="1125" w:type="dxa"/>
          </w:tcPr>
          <w:p w14:paraId="4898A1EC">
            <w:pPr>
              <w:rPr>
                <w:rFonts w:ascii="Arial"/>
              </w:rPr>
            </w:pPr>
          </w:p>
        </w:tc>
      </w:tr>
      <w:tr w14:paraId="10E05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14:paraId="580D1E52">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7984F055">
            <w:pPr>
              <w:pStyle w:val="128"/>
              <w:spacing w:before="60" w:after="60"/>
              <w:rPr>
                <w:rFonts w:ascii="宋体" w:hAnsi="宋体" w:eastAsia="宋体" w:cs="宋体"/>
                <w:color w:val="FF0000"/>
                <w:szCs w:val="21"/>
              </w:rPr>
            </w:pPr>
          </w:p>
        </w:tc>
        <w:tc>
          <w:tcPr>
            <w:tcW w:w="2100" w:type="dxa"/>
            <w:vAlign w:val="center"/>
          </w:tcPr>
          <w:p w14:paraId="654D5FB6">
            <w:pPr>
              <w:jc w:val="center"/>
              <w:rPr>
                <w:rFonts w:ascii="Arial"/>
                <w:color w:val="FF0000"/>
              </w:rPr>
            </w:pPr>
          </w:p>
        </w:tc>
        <w:tc>
          <w:tcPr>
            <w:tcW w:w="840" w:type="dxa"/>
            <w:vAlign w:val="center"/>
          </w:tcPr>
          <w:p w14:paraId="2ED5B5F3">
            <w:pPr>
              <w:spacing w:line="360" w:lineRule="auto"/>
              <w:jc w:val="center"/>
              <w:textAlignment w:val="center"/>
              <w:rPr>
                <w:rFonts w:ascii="宋体" w:hAnsi="宋体" w:eastAsia="宋体" w:cs="宋体"/>
                <w:szCs w:val="21"/>
              </w:rPr>
            </w:pPr>
          </w:p>
        </w:tc>
        <w:tc>
          <w:tcPr>
            <w:tcW w:w="1940" w:type="dxa"/>
          </w:tcPr>
          <w:p w14:paraId="730D8925">
            <w:pPr>
              <w:rPr>
                <w:rFonts w:ascii="Arial"/>
              </w:rPr>
            </w:pPr>
          </w:p>
        </w:tc>
        <w:tc>
          <w:tcPr>
            <w:tcW w:w="1770" w:type="dxa"/>
          </w:tcPr>
          <w:p w14:paraId="3A30CD50">
            <w:pPr>
              <w:rPr>
                <w:rFonts w:ascii="Arial"/>
              </w:rPr>
            </w:pPr>
          </w:p>
        </w:tc>
        <w:tc>
          <w:tcPr>
            <w:tcW w:w="1888" w:type="dxa"/>
          </w:tcPr>
          <w:p w14:paraId="09B00D77">
            <w:pPr>
              <w:rPr>
                <w:rFonts w:ascii="Arial"/>
              </w:rPr>
            </w:pPr>
          </w:p>
        </w:tc>
        <w:tc>
          <w:tcPr>
            <w:tcW w:w="1120" w:type="dxa"/>
          </w:tcPr>
          <w:p w14:paraId="26C462F2">
            <w:pPr>
              <w:rPr>
                <w:rFonts w:ascii="Arial"/>
              </w:rPr>
            </w:pPr>
          </w:p>
        </w:tc>
        <w:tc>
          <w:tcPr>
            <w:tcW w:w="1125" w:type="dxa"/>
          </w:tcPr>
          <w:p w14:paraId="10494356">
            <w:pPr>
              <w:rPr>
                <w:rFonts w:ascii="Arial"/>
              </w:rPr>
            </w:pPr>
          </w:p>
        </w:tc>
      </w:tr>
      <w:tr w14:paraId="7E13E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14:paraId="271A7271">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516962FD">
            <w:pPr>
              <w:pStyle w:val="128"/>
              <w:spacing w:before="60" w:after="60"/>
              <w:rPr>
                <w:rFonts w:ascii="宋体" w:hAnsi="宋体" w:eastAsia="宋体" w:cs="宋体"/>
                <w:color w:val="FF0000"/>
                <w:szCs w:val="21"/>
              </w:rPr>
            </w:pPr>
          </w:p>
        </w:tc>
        <w:tc>
          <w:tcPr>
            <w:tcW w:w="2100" w:type="dxa"/>
            <w:vAlign w:val="center"/>
          </w:tcPr>
          <w:p w14:paraId="5392DC01">
            <w:pPr>
              <w:jc w:val="center"/>
              <w:rPr>
                <w:rFonts w:ascii="Arial"/>
                <w:color w:val="FF0000"/>
              </w:rPr>
            </w:pPr>
          </w:p>
        </w:tc>
        <w:tc>
          <w:tcPr>
            <w:tcW w:w="840" w:type="dxa"/>
            <w:vAlign w:val="center"/>
          </w:tcPr>
          <w:p w14:paraId="5200AD37">
            <w:pPr>
              <w:spacing w:line="360" w:lineRule="auto"/>
              <w:jc w:val="center"/>
              <w:textAlignment w:val="center"/>
              <w:rPr>
                <w:rFonts w:ascii="宋体" w:hAnsi="宋体" w:eastAsia="宋体" w:cs="宋体"/>
                <w:szCs w:val="21"/>
              </w:rPr>
            </w:pPr>
          </w:p>
        </w:tc>
        <w:tc>
          <w:tcPr>
            <w:tcW w:w="1940" w:type="dxa"/>
          </w:tcPr>
          <w:p w14:paraId="0B105773">
            <w:pPr>
              <w:rPr>
                <w:rFonts w:ascii="Arial"/>
              </w:rPr>
            </w:pPr>
          </w:p>
        </w:tc>
        <w:tc>
          <w:tcPr>
            <w:tcW w:w="1770" w:type="dxa"/>
          </w:tcPr>
          <w:p w14:paraId="4785CFC7">
            <w:pPr>
              <w:rPr>
                <w:rFonts w:ascii="Arial"/>
              </w:rPr>
            </w:pPr>
          </w:p>
        </w:tc>
        <w:tc>
          <w:tcPr>
            <w:tcW w:w="1888" w:type="dxa"/>
          </w:tcPr>
          <w:p w14:paraId="1A46FC9A">
            <w:pPr>
              <w:rPr>
                <w:rFonts w:ascii="Arial"/>
              </w:rPr>
            </w:pPr>
          </w:p>
        </w:tc>
        <w:tc>
          <w:tcPr>
            <w:tcW w:w="1120" w:type="dxa"/>
          </w:tcPr>
          <w:p w14:paraId="1AED9735">
            <w:pPr>
              <w:rPr>
                <w:rFonts w:ascii="Arial"/>
              </w:rPr>
            </w:pPr>
          </w:p>
        </w:tc>
        <w:tc>
          <w:tcPr>
            <w:tcW w:w="1125" w:type="dxa"/>
          </w:tcPr>
          <w:p w14:paraId="7A494604">
            <w:pPr>
              <w:rPr>
                <w:rFonts w:ascii="Arial"/>
              </w:rPr>
            </w:pPr>
          </w:p>
        </w:tc>
      </w:tr>
      <w:tr w14:paraId="23F51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14:paraId="363F5729">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7E7C55BA">
            <w:pPr>
              <w:pStyle w:val="128"/>
              <w:spacing w:before="60" w:after="60"/>
              <w:rPr>
                <w:rFonts w:ascii="宋体" w:hAnsi="宋体" w:eastAsia="宋体" w:cs="宋体"/>
                <w:color w:val="FF0000"/>
                <w:szCs w:val="21"/>
              </w:rPr>
            </w:pPr>
          </w:p>
        </w:tc>
        <w:tc>
          <w:tcPr>
            <w:tcW w:w="2100" w:type="dxa"/>
            <w:vAlign w:val="center"/>
          </w:tcPr>
          <w:p w14:paraId="0A1149C2">
            <w:pPr>
              <w:jc w:val="center"/>
              <w:rPr>
                <w:rFonts w:ascii="Arial"/>
                <w:color w:val="FF0000"/>
              </w:rPr>
            </w:pPr>
          </w:p>
        </w:tc>
        <w:tc>
          <w:tcPr>
            <w:tcW w:w="840" w:type="dxa"/>
            <w:vAlign w:val="center"/>
          </w:tcPr>
          <w:p w14:paraId="3104BFAB">
            <w:pPr>
              <w:spacing w:line="360" w:lineRule="auto"/>
              <w:jc w:val="center"/>
              <w:textAlignment w:val="center"/>
              <w:rPr>
                <w:rFonts w:ascii="宋体" w:hAnsi="宋体" w:eastAsia="宋体" w:cs="宋体"/>
                <w:szCs w:val="21"/>
              </w:rPr>
            </w:pPr>
          </w:p>
        </w:tc>
        <w:tc>
          <w:tcPr>
            <w:tcW w:w="1940" w:type="dxa"/>
          </w:tcPr>
          <w:p w14:paraId="6C4F3078">
            <w:pPr>
              <w:rPr>
                <w:rFonts w:ascii="Arial"/>
              </w:rPr>
            </w:pPr>
          </w:p>
        </w:tc>
        <w:tc>
          <w:tcPr>
            <w:tcW w:w="1770" w:type="dxa"/>
          </w:tcPr>
          <w:p w14:paraId="127488F9">
            <w:pPr>
              <w:rPr>
                <w:rFonts w:ascii="Arial"/>
              </w:rPr>
            </w:pPr>
          </w:p>
        </w:tc>
        <w:tc>
          <w:tcPr>
            <w:tcW w:w="1888" w:type="dxa"/>
          </w:tcPr>
          <w:p w14:paraId="5A3619AC">
            <w:pPr>
              <w:rPr>
                <w:rFonts w:ascii="Arial"/>
              </w:rPr>
            </w:pPr>
          </w:p>
        </w:tc>
        <w:tc>
          <w:tcPr>
            <w:tcW w:w="1120" w:type="dxa"/>
          </w:tcPr>
          <w:p w14:paraId="16BF1E64">
            <w:pPr>
              <w:rPr>
                <w:rFonts w:ascii="Arial"/>
              </w:rPr>
            </w:pPr>
          </w:p>
        </w:tc>
        <w:tc>
          <w:tcPr>
            <w:tcW w:w="1125" w:type="dxa"/>
          </w:tcPr>
          <w:p w14:paraId="65F1B53B">
            <w:pPr>
              <w:rPr>
                <w:rFonts w:ascii="Arial"/>
              </w:rPr>
            </w:pPr>
          </w:p>
        </w:tc>
      </w:tr>
      <w:tr w14:paraId="611E8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D2CAAD1">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14:paraId="70365CAC">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14:paraId="16E879FC">
            <w:pPr>
              <w:jc w:val="center"/>
              <w:rPr>
                <w:rFonts w:ascii="Arial"/>
                <w:color w:val="FF0000"/>
              </w:rPr>
            </w:pPr>
          </w:p>
        </w:tc>
        <w:tc>
          <w:tcPr>
            <w:tcW w:w="840" w:type="dxa"/>
            <w:vAlign w:val="center"/>
          </w:tcPr>
          <w:p w14:paraId="0088C4FC">
            <w:pPr>
              <w:spacing w:line="360" w:lineRule="auto"/>
              <w:jc w:val="center"/>
              <w:textAlignment w:val="center"/>
              <w:rPr>
                <w:rFonts w:ascii="宋体" w:hAnsi="宋体" w:eastAsia="宋体" w:cs="宋体"/>
                <w:szCs w:val="21"/>
              </w:rPr>
            </w:pPr>
          </w:p>
        </w:tc>
        <w:tc>
          <w:tcPr>
            <w:tcW w:w="1940" w:type="dxa"/>
          </w:tcPr>
          <w:p w14:paraId="5503DA93">
            <w:pPr>
              <w:rPr>
                <w:rFonts w:ascii="Arial"/>
              </w:rPr>
            </w:pPr>
          </w:p>
        </w:tc>
        <w:tc>
          <w:tcPr>
            <w:tcW w:w="1770" w:type="dxa"/>
          </w:tcPr>
          <w:p w14:paraId="3F35A231"/>
        </w:tc>
        <w:tc>
          <w:tcPr>
            <w:tcW w:w="1888" w:type="dxa"/>
          </w:tcPr>
          <w:p w14:paraId="1AE8DA19">
            <w:pPr>
              <w:rPr>
                <w:rFonts w:ascii="Arial"/>
              </w:rPr>
            </w:pPr>
          </w:p>
        </w:tc>
        <w:tc>
          <w:tcPr>
            <w:tcW w:w="1120" w:type="dxa"/>
          </w:tcPr>
          <w:p w14:paraId="144C6913">
            <w:pPr>
              <w:rPr>
                <w:rFonts w:ascii="Arial"/>
              </w:rPr>
            </w:pPr>
          </w:p>
        </w:tc>
        <w:tc>
          <w:tcPr>
            <w:tcW w:w="1125" w:type="dxa"/>
          </w:tcPr>
          <w:p w14:paraId="1E7070BF">
            <w:pPr>
              <w:rPr>
                <w:rFonts w:ascii="Arial"/>
              </w:rPr>
            </w:pPr>
          </w:p>
        </w:tc>
      </w:tr>
      <w:tr w14:paraId="23D33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center"/>
          </w:tcPr>
          <w:p w14:paraId="70DDC25F">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133" w:type="dxa"/>
            <w:gridSpan w:val="3"/>
            <w:vAlign w:val="center"/>
          </w:tcPr>
          <w:p w14:paraId="77792B2C">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12F25E94">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7F2D184D">
            <w:pPr>
              <w:jc w:val="left"/>
              <w:rPr>
                <w:rFonts w:ascii="宋体" w:hAnsi="宋体" w:eastAsia="宋体" w:cs="宋体"/>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41115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5EB0A5B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14:paraId="03DBFEF8">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0329E8CD">
      <w:pPr>
        <w:spacing w:before="69" w:line="219" w:lineRule="auto"/>
        <w:rPr>
          <w:rFonts w:ascii="宋体" w:hAnsi="宋体" w:eastAsia="宋体" w:cs="宋体"/>
          <w:spacing w:val="-3"/>
          <w:szCs w:val="21"/>
        </w:rPr>
      </w:pPr>
    </w:p>
    <w:p w14:paraId="7491A8E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B0B2D58">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B0D4A61">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1E6ACF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762172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096E7B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9082F4A">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18D5F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A8647F4">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2D4D5A53">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EFD60AA">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520A782">
      <w:pPr>
        <w:spacing w:before="24" w:line="221" w:lineRule="auto"/>
        <w:ind w:left="211" w:firstLine="416" w:firstLineChars="20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9F0527C">
      <w:pPr>
        <w:spacing w:line="127" w:lineRule="exact"/>
      </w:pPr>
    </w:p>
    <w:tbl>
      <w:tblPr>
        <w:tblStyle w:val="131"/>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14:paraId="437F6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14:paraId="07FDE42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9D61676">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891384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128" w:type="dxa"/>
          </w:tcPr>
          <w:p w14:paraId="7643AB70">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C1A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38" w:type="dxa"/>
          </w:tcPr>
          <w:p w14:paraId="204D1821">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7BB8FEA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A07FA9E">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D41E814">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420EB937">
            <w:pPr>
              <w:rPr>
                <w:rFonts w:hint="eastAsia" w:ascii="Arial"/>
                <w:lang w:val="en-US" w:eastAsia="zh-CN"/>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24C34869">
            <w:pPr>
              <w:rPr>
                <w:rFonts w:ascii="Arial"/>
              </w:rPr>
            </w:pPr>
          </w:p>
        </w:tc>
      </w:tr>
      <w:tr w14:paraId="6FC20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14:paraId="3E7CE4B8">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9EEE9CC">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23C59C80">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DC47E00">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19D4E60F">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7F9C720F">
            <w:pPr>
              <w:rPr>
                <w:rFonts w:ascii="Arial"/>
              </w:rPr>
            </w:pPr>
          </w:p>
        </w:tc>
      </w:tr>
      <w:tr w14:paraId="3D41B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14:paraId="761DD599">
            <w:pPr>
              <w:rPr>
                <w:rFonts w:ascii="Arial"/>
              </w:rPr>
            </w:pPr>
          </w:p>
          <w:p w14:paraId="223FB312">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67D3E301">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BE3CC4C">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AA8D79F">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1DEDEA33">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35D207F3">
            <w:pPr>
              <w:rPr>
                <w:rFonts w:ascii="Arial"/>
              </w:rPr>
            </w:pPr>
          </w:p>
        </w:tc>
      </w:tr>
      <w:tr w14:paraId="795B2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14:paraId="4B3403C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0AF80EE">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DC494CA">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6D8285E">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2950426B">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7749E147">
            <w:pPr>
              <w:rPr>
                <w:rFonts w:ascii="Arial"/>
              </w:rPr>
            </w:pPr>
          </w:p>
        </w:tc>
      </w:tr>
      <w:tr w14:paraId="34D86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14:paraId="696623A4">
            <w:pPr>
              <w:spacing w:before="266" w:line="221" w:lineRule="auto"/>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小计</w:t>
            </w:r>
          </w:p>
        </w:tc>
        <w:tc>
          <w:tcPr>
            <w:tcW w:w="6482" w:type="dxa"/>
            <w:gridSpan w:val="2"/>
          </w:tcPr>
          <w:p w14:paraId="698FB6B7">
            <w:pPr>
              <w:jc w:val="left"/>
              <w:rPr>
                <w:rFonts w:hint="eastAsia" w:ascii="宋体" w:hAnsi="宋体" w:eastAsia="宋体" w:cs="宋体"/>
                <w:b/>
                <w:bCs/>
                <w:spacing w:val="-3"/>
                <w:szCs w:val="21"/>
                <w:lang w:eastAsia="zh-CN"/>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小</w:t>
            </w:r>
            <w:r>
              <w:rPr>
                <w:rFonts w:ascii="宋体" w:hAnsi="宋体" w:eastAsia="宋体" w:cs="宋体"/>
                <w:spacing w:val="-1"/>
                <w:szCs w:val="21"/>
                <w14:textOutline w14:w="3835" w14:cap="flat" w14:cmpd="sng" w14:algn="ctr">
                  <w14:solidFill>
                    <w14:srgbClr w14:val="000000"/>
                  </w14:solidFill>
                  <w14:prstDash w14:val="solid"/>
                  <w14:miter w14:val="0"/>
                </w14:textOutline>
              </w:rPr>
              <w:t>计</w:t>
            </w:r>
            <w:r>
              <w:rPr>
                <w:rFonts w:hint="eastAsia" w:ascii="宋体" w:hAnsi="宋体" w:eastAsia="宋体" w:cs="宋体"/>
                <w:b/>
                <w:bCs/>
                <w:spacing w:val="-3"/>
                <w:szCs w:val="21"/>
              </w:rPr>
              <w:t>（</w:t>
            </w:r>
            <w:r>
              <w:rPr>
                <w:rFonts w:hint="eastAsia" w:ascii="宋体" w:hAnsi="宋体" w:eastAsia="宋体" w:cs="宋体"/>
                <w:b/>
                <w:bCs/>
                <w:color w:val="FF0000"/>
                <w:spacing w:val="-3"/>
                <w:szCs w:val="21"/>
              </w:rPr>
              <w:t>不含税</w:t>
            </w:r>
            <w:r>
              <w:rPr>
                <w:rFonts w:hint="eastAsia" w:ascii="宋体" w:hAnsi="宋体" w:eastAsia="宋体" w:cs="宋体"/>
                <w:b/>
                <w:bCs/>
                <w:spacing w:val="-3"/>
                <w:szCs w:val="21"/>
              </w:rPr>
              <w:t>）</w:t>
            </w:r>
            <w:r>
              <w:rPr>
                <w:rFonts w:hint="eastAsia" w:ascii="宋体" w:hAnsi="宋体" w:eastAsia="宋体" w:cs="宋体"/>
                <w:b/>
                <w:bCs/>
                <w:spacing w:val="-3"/>
                <w:szCs w:val="21"/>
                <w:lang w:eastAsia="zh-CN"/>
              </w:rPr>
              <w:t>：</w:t>
            </w:r>
          </w:p>
          <w:p w14:paraId="389F8163">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216D81D2">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750FF05F">
            <w:pPr>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28273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14:paraId="167BF59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tcPr>
          <w:p w14:paraId="1372FEA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w:t>
            </w:r>
            <w:r>
              <w:rPr>
                <w:rFonts w:hint="eastAsia" w:ascii="宋体" w:hAnsi="宋体" w:eastAsia="宋体" w:cs="宋体"/>
                <w:b/>
                <w:bCs/>
                <w:color w:val="FF0000"/>
                <w:szCs w:val="21"/>
              </w:rPr>
              <w:t>含税</w:t>
            </w:r>
            <w:r>
              <w:rPr>
                <w:rFonts w:hint="eastAsia" w:ascii="宋体" w:hAnsi="宋体" w:eastAsia="宋体" w:cs="宋体"/>
                <w:b/>
                <w:bCs/>
                <w:szCs w:val="21"/>
              </w:rPr>
              <w:t>）</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1587F8AD">
      <w:pPr>
        <w:spacing w:line="291" w:lineRule="auto"/>
        <w:rPr>
          <w:rFonts w:ascii="Arial"/>
        </w:rPr>
      </w:pPr>
    </w:p>
    <w:p w14:paraId="64810AF6">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740D751">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A76B53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2DA9B95">
      <w:pPr>
        <w:pStyle w:val="17"/>
      </w:pPr>
    </w:p>
    <w:p w14:paraId="09A36BC0">
      <w:pPr>
        <w:pStyle w:val="17"/>
      </w:pPr>
    </w:p>
    <w:p w14:paraId="426A83A2">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D359E1E">
      <w:pPr>
        <w:sectPr>
          <w:footerReference r:id="rId30" w:type="default"/>
          <w:pgSz w:w="16841" w:h="11907"/>
          <w:pgMar w:top="400" w:right="1699" w:bottom="1168" w:left="1481" w:header="0" w:footer="990" w:gutter="0"/>
          <w:cols w:equalWidth="0" w:num="1">
            <w:col w:w="13660"/>
          </w:cols>
        </w:sectPr>
      </w:pPr>
    </w:p>
    <w:p w14:paraId="381870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4B1A9747">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14:paraId="48E5A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74F1B96E">
            <w:pPr>
              <w:jc w:val="center"/>
              <w:rPr>
                <w:rFonts w:hint="eastAsia" w:ascii="Times New Roman" w:hAnsi="Times New Roman" w:eastAsia="宋体" w:cs="Times New Roman"/>
                <w:b/>
                <w:szCs w:val="20"/>
                <w:lang w:eastAsia="zh-CN"/>
              </w:rPr>
            </w:pPr>
            <w:r>
              <w:rPr>
                <w:rFonts w:hint="eastAsia" w:ascii="宋体" w:hAnsi="宋体" w:eastAsia="宋体" w:cs="宋体"/>
                <w:b/>
                <w:szCs w:val="20"/>
                <w:lang w:eastAsia="zh-CN"/>
              </w:rPr>
              <w:t>AMT变速箱疲劳寿命试验台项目</w:t>
            </w:r>
          </w:p>
        </w:tc>
        <w:tc>
          <w:tcPr>
            <w:tcW w:w="2830" w:type="dxa"/>
            <w:tcBorders>
              <w:top w:val="single" w:color="auto" w:sz="4" w:space="0"/>
              <w:left w:val="single" w:color="auto" w:sz="4" w:space="0"/>
              <w:bottom w:val="single" w:color="auto" w:sz="4" w:space="0"/>
              <w:right w:val="single" w:color="auto" w:sz="4" w:space="0"/>
            </w:tcBorders>
            <w:vAlign w:val="center"/>
          </w:tcPr>
          <w:p w14:paraId="694424B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5F9F45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11FA9D2">
            <w:pPr>
              <w:jc w:val="center"/>
              <w:rPr>
                <w:rFonts w:ascii="Times New Roman" w:hAnsi="Times New Roman" w:eastAsia="宋体" w:cs="Times New Roman"/>
                <w:b/>
                <w:szCs w:val="20"/>
              </w:rPr>
            </w:pPr>
            <w:r>
              <w:rPr>
                <w:rFonts w:hint="eastAsia" w:ascii="宋体" w:hAnsi="宋体" w:eastAsia="宋体" w:cs="宋体"/>
                <w:b/>
                <w:szCs w:val="20"/>
              </w:rPr>
              <w:t>是否偏离</w:t>
            </w:r>
          </w:p>
          <w:p w14:paraId="7CDC179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3126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4DBF519">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14:paraId="36D4D50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C12F8B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DDB2228">
            <w:pPr>
              <w:jc w:val="center"/>
              <w:rPr>
                <w:rFonts w:ascii="Times New Roman" w:hAnsi="Times New Roman" w:eastAsia="宋体" w:cs="Times New Roman"/>
                <w:b/>
                <w:szCs w:val="20"/>
              </w:rPr>
            </w:pPr>
          </w:p>
        </w:tc>
      </w:tr>
      <w:tr w14:paraId="6B164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52484FD3">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14:paraId="5DCA7D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00CF9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8204394">
            <w:pPr>
              <w:jc w:val="center"/>
              <w:rPr>
                <w:rFonts w:ascii="Times New Roman" w:hAnsi="Times New Roman" w:eastAsia="宋体" w:cs="Times New Roman"/>
                <w:b/>
                <w:szCs w:val="21"/>
              </w:rPr>
            </w:pPr>
          </w:p>
        </w:tc>
      </w:tr>
      <w:tr w14:paraId="337D2B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A07A21F">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14:paraId="29243F7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50AC2F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D5A6AC1">
            <w:pPr>
              <w:jc w:val="center"/>
              <w:rPr>
                <w:rFonts w:ascii="Times New Roman" w:hAnsi="Times New Roman" w:eastAsia="宋体" w:cs="Times New Roman"/>
                <w:b/>
                <w:szCs w:val="20"/>
              </w:rPr>
            </w:pPr>
          </w:p>
        </w:tc>
      </w:tr>
      <w:tr w14:paraId="5B723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62B0AC44">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14:paraId="1D7763F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23081C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FBDB3">
            <w:pPr>
              <w:jc w:val="center"/>
              <w:rPr>
                <w:rFonts w:ascii="Times New Roman" w:hAnsi="Times New Roman" w:eastAsia="宋体" w:cs="Times New Roman"/>
                <w:b/>
                <w:szCs w:val="21"/>
              </w:rPr>
            </w:pPr>
          </w:p>
          <w:p w14:paraId="3532DC4F">
            <w:pPr>
              <w:jc w:val="center"/>
              <w:rPr>
                <w:rFonts w:ascii="Times New Roman" w:hAnsi="Times New Roman" w:eastAsia="宋体" w:cs="Times New Roman"/>
                <w:b/>
                <w:szCs w:val="21"/>
              </w:rPr>
            </w:pPr>
          </w:p>
          <w:p w14:paraId="51C44874">
            <w:pPr>
              <w:jc w:val="center"/>
              <w:rPr>
                <w:rFonts w:ascii="Times New Roman" w:hAnsi="Times New Roman" w:eastAsia="宋体" w:cs="Times New Roman"/>
                <w:b/>
                <w:szCs w:val="21"/>
              </w:rPr>
            </w:pPr>
          </w:p>
          <w:p w14:paraId="1570318E">
            <w:pPr>
              <w:jc w:val="center"/>
              <w:rPr>
                <w:rFonts w:ascii="Times New Roman" w:hAnsi="Times New Roman" w:eastAsia="宋体" w:cs="Times New Roman"/>
                <w:b/>
                <w:szCs w:val="21"/>
              </w:rPr>
            </w:pPr>
          </w:p>
          <w:p w14:paraId="0DACB339">
            <w:pPr>
              <w:jc w:val="center"/>
              <w:rPr>
                <w:rFonts w:ascii="Times New Roman" w:hAnsi="Times New Roman" w:eastAsia="宋体" w:cs="Times New Roman"/>
                <w:b/>
                <w:szCs w:val="21"/>
              </w:rPr>
            </w:pPr>
          </w:p>
          <w:p w14:paraId="08D9C4B1">
            <w:pPr>
              <w:jc w:val="center"/>
              <w:rPr>
                <w:rFonts w:ascii="Times New Roman" w:hAnsi="Times New Roman" w:eastAsia="宋体" w:cs="Times New Roman"/>
                <w:b/>
                <w:szCs w:val="21"/>
              </w:rPr>
            </w:pPr>
          </w:p>
          <w:p w14:paraId="0FD9234C">
            <w:pPr>
              <w:jc w:val="center"/>
              <w:rPr>
                <w:rFonts w:ascii="Times New Roman" w:hAnsi="Times New Roman" w:eastAsia="宋体" w:cs="Times New Roman"/>
                <w:b/>
                <w:szCs w:val="21"/>
              </w:rPr>
            </w:pPr>
          </w:p>
          <w:p w14:paraId="04C0FE26">
            <w:pPr>
              <w:jc w:val="center"/>
              <w:rPr>
                <w:rFonts w:ascii="Times New Roman" w:hAnsi="Times New Roman" w:eastAsia="宋体" w:cs="Times New Roman"/>
                <w:b/>
                <w:szCs w:val="21"/>
              </w:rPr>
            </w:pPr>
          </w:p>
          <w:p w14:paraId="4E7C1084">
            <w:pPr>
              <w:jc w:val="center"/>
              <w:rPr>
                <w:rFonts w:ascii="Times New Roman" w:hAnsi="Times New Roman" w:eastAsia="宋体" w:cs="Times New Roman"/>
                <w:b/>
                <w:szCs w:val="21"/>
              </w:rPr>
            </w:pPr>
          </w:p>
          <w:p w14:paraId="52E4AA44">
            <w:pPr>
              <w:jc w:val="center"/>
              <w:rPr>
                <w:rFonts w:ascii="Times New Roman" w:hAnsi="Times New Roman" w:eastAsia="宋体" w:cs="Times New Roman"/>
                <w:b/>
                <w:szCs w:val="21"/>
              </w:rPr>
            </w:pPr>
          </w:p>
          <w:p w14:paraId="0DF20B82">
            <w:pPr>
              <w:jc w:val="center"/>
              <w:rPr>
                <w:rFonts w:ascii="Times New Roman" w:hAnsi="Times New Roman" w:eastAsia="宋体" w:cs="Times New Roman"/>
                <w:b/>
                <w:szCs w:val="21"/>
              </w:rPr>
            </w:pPr>
          </w:p>
          <w:p w14:paraId="5AB95D4E">
            <w:pPr>
              <w:jc w:val="center"/>
              <w:rPr>
                <w:rFonts w:ascii="Times New Roman" w:hAnsi="Times New Roman" w:eastAsia="宋体" w:cs="Times New Roman"/>
                <w:b/>
                <w:szCs w:val="21"/>
              </w:rPr>
            </w:pPr>
          </w:p>
          <w:p w14:paraId="45959A83">
            <w:pPr>
              <w:jc w:val="center"/>
              <w:rPr>
                <w:rFonts w:ascii="Times New Roman" w:hAnsi="Times New Roman" w:eastAsia="宋体" w:cs="Times New Roman"/>
                <w:b/>
                <w:szCs w:val="21"/>
              </w:rPr>
            </w:pPr>
          </w:p>
          <w:p w14:paraId="1CCF8B79">
            <w:pPr>
              <w:jc w:val="center"/>
              <w:rPr>
                <w:rFonts w:ascii="Times New Roman" w:hAnsi="Times New Roman" w:eastAsia="宋体" w:cs="Times New Roman"/>
                <w:b/>
                <w:szCs w:val="21"/>
              </w:rPr>
            </w:pPr>
          </w:p>
          <w:p w14:paraId="37A24F5F">
            <w:pPr>
              <w:jc w:val="center"/>
              <w:rPr>
                <w:rFonts w:ascii="Times New Roman" w:hAnsi="Times New Roman" w:eastAsia="宋体" w:cs="Times New Roman"/>
                <w:b/>
                <w:szCs w:val="21"/>
              </w:rPr>
            </w:pPr>
          </w:p>
          <w:p w14:paraId="5CD5CAF7">
            <w:pPr>
              <w:jc w:val="center"/>
              <w:rPr>
                <w:rFonts w:ascii="Times New Roman" w:hAnsi="Times New Roman" w:eastAsia="宋体" w:cs="Times New Roman"/>
                <w:b/>
                <w:szCs w:val="21"/>
              </w:rPr>
            </w:pPr>
          </w:p>
          <w:p w14:paraId="19BF9A22">
            <w:pPr>
              <w:jc w:val="center"/>
              <w:rPr>
                <w:rFonts w:ascii="Times New Roman" w:hAnsi="Times New Roman" w:eastAsia="宋体" w:cs="Times New Roman"/>
                <w:b/>
                <w:szCs w:val="20"/>
              </w:rPr>
            </w:pPr>
          </w:p>
        </w:tc>
      </w:tr>
      <w:tr w14:paraId="493C73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10D6C84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14:paraId="78D2EA32">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143B50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78ECFF0">
            <w:pPr>
              <w:jc w:val="center"/>
              <w:rPr>
                <w:rFonts w:ascii="Times New Roman" w:hAnsi="Times New Roman" w:eastAsia="宋体" w:cs="Times New Roman"/>
                <w:b/>
                <w:szCs w:val="20"/>
              </w:rPr>
            </w:pPr>
          </w:p>
        </w:tc>
      </w:tr>
    </w:tbl>
    <w:p w14:paraId="01542F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E616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79928A6">
      <w:pPr>
        <w:rPr>
          <w:rFonts w:ascii="宋体" w:hAnsi="Calibri" w:eastAsia="宋体" w:cs="Times New Roman"/>
          <w:szCs w:val="20"/>
        </w:rPr>
      </w:pPr>
    </w:p>
    <w:p w14:paraId="4069C905">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45008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A757E00">
      <w:pPr>
        <w:spacing w:line="272" w:lineRule="auto"/>
        <w:rPr>
          <w:rFonts w:ascii="Arial"/>
        </w:rPr>
      </w:pPr>
    </w:p>
    <w:p w14:paraId="2366966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u w:val="single"/>
          <w:lang w:eastAsia="zh-CN"/>
        </w:rPr>
        <w:t>AMT变速箱疲劳寿命试验台项目</w:t>
      </w:r>
      <w:r>
        <w:rPr>
          <w:rFonts w:ascii="宋体" w:hAnsi="宋体" w:eastAsia="宋体" w:cs="宋体"/>
          <w:spacing w:val="-5"/>
          <w:sz w:val="24"/>
          <w:szCs w:val="24"/>
          <w:u w:val="single"/>
        </w:rPr>
        <w:t xml:space="preserve"> </w:t>
      </w:r>
    </w:p>
    <w:p w14:paraId="4BC6E5D7">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EC47BC7"/>
    <w:p w14:paraId="3E46FA1C">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6FC4E3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64CA402">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EA37DA4">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643C272">
      <w:pPr>
        <w:keepNext/>
        <w:keepLines/>
        <w:rPr>
          <w:rFonts w:ascii="Times New Roman" w:hAnsi="Times New Roman" w:eastAsia="宋体" w:cs="Times New Roman"/>
          <w:b/>
          <w:bCs/>
          <w:color w:val="000000"/>
          <w:sz w:val="24"/>
          <w:szCs w:val="24"/>
        </w:rPr>
      </w:pPr>
    </w:p>
    <w:p w14:paraId="07A9C8EE">
      <w:pPr>
        <w:spacing w:before="75" w:line="227" w:lineRule="auto"/>
        <w:ind w:left="135"/>
        <w:rPr>
          <w:rFonts w:ascii="宋体" w:hAnsi="宋体" w:eastAsia="宋体" w:cs="宋体"/>
          <w:spacing w:val="-2"/>
          <w:sz w:val="24"/>
          <w:szCs w:val="24"/>
        </w:rPr>
      </w:pPr>
    </w:p>
    <w:p w14:paraId="6EC38138">
      <w:pPr>
        <w:spacing w:before="75" w:line="227" w:lineRule="auto"/>
        <w:ind w:left="135"/>
        <w:rPr>
          <w:rFonts w:ascii="宋体" w:hAnsi="宋体" w:eastAsia="宋体" w:cs="宋体"/>
          <w:spacing w:val="-2"/>
          <w:sz w:val="24"/>
          <w:szCs w:val="24"/>
        </w:rPr>
      </w:pPr>
    </w:p>
    <w:p w14:paraId="3968BD5E">
      <w:pPr>
        <w:spacing w:before="75" w:line="227" w:lineRule="auto"/>
        <w:ind w:left="135"/>
        <w:rPr>
          <w:rFonts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066E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9EA99EF">
      <w:pPr>
        <w:spacing w:line="240" w:lineRule="exact"/>
        <w:jc w:val="center"/>
        <w:rPr>
          <w:rFonts w:ascii="宋体" w:hAnsi="Calibri" w:eastAsia="宋体" w:cs="Times New Roman"/>
          <w:b/>
          <w:bCs/>
          <w:sz w:val="36"/>
          <w:szCs w:val="20"/>
        </w:rPr>
      </w:pPr>
    </w:p>
    <w:p w14:paraId="58BE7808">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宋体"/>
          <w:spacing w:val="-5"/>
          <w:sz w:val="24"/>
          <w:szCs w:val="24"/>
          <w:u w:val="single"/>
          <w:lang w:eastAsia="zh-CN"/>
        </w:rPr>
        <w:t>AMT变速箱疲劳寿命试验台项目</w:t>
      </w:r>
    </w:p>
    <w:p w14:paraId="5EB23BC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1C94F2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4C5A36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DEE1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59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ED80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843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5984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5098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7BD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9C5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065E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116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36B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1ABF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D9F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903D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E8B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A887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B53AC2">
      <w:pPr>
        <w:spacing w:line="360" w:lineRule="auto"/>
        <w:ind w:firstLine="480" w:firstLineChars="200"/>
        <w:rPr>
          <w:rFonts w:ascii="宋体" w:hAnsi="宋体" w:eastAsia="宋体" w:cs="Times New Roman"/>
          <w:sz w:val="24"/>
          <w:szCs w:val="20"/>
          <w:u w:val="single"/>
        </w:rPr>
      </w:pPr>
    </w:p>
    <w:p w14:paraId="49C304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B33E2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0482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8A83C48">
      <w:pPr>
        <w:rPr>
          <w:rFonts w:ascii="宋体" w:hAnsi="Calibri" w:eastAsia="宋体" w:cs="宋体"/>
          <w:b/>
          <w:bCs/>
          <w:color w:val="000000"/>
          <w:sz w:val="28"/>
          <w:szCs w:val="20"/>
        </w:rPr>
      </w:pPr>
    </w:p>
    <w:p w14:paraId="3AF705AD">
      <w:pPr>
        <w:pStyle w:val="17"/>
        <w:rPr>
          <w:rFonts w:hAnsi="Calibri" w:eastAsia="宋体" w:cs="宋体"/>
          <w:b/>
          <w:bCs/>
          <w:color w:val="000000"/>
          <w:sz w:val="28"/>
          <w:szCs w:val="20"/>
        </w:rPr>
      </w:pPr>
    </w:p>
    <w:p w14:paraId="1EB38E33">
      <w:pPr>
        <w:rPr>
          <w:rFonts w:ascii="宋体" w:hAnsi="Calibri" w:eastAsia="宋体" w:cs="宋体"/>
          <w:b/>
          <w:bCs/>
          <w:color w:val="000000"/>
          <w:sz w:val="28"/>
          <w:szCs w:val="20"/>
        </w:rPr>
      </w:pPr>
    </w:p>
    <w:p w14:paraId="2B20F99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0E238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09BA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34C1CF0">
            <w:pPr>
              <w:jc w:val="center"/>
              <w:rPr>
                <w:rFonts w:ascii="Times New Roman" w:hAnsi="Times New Roman" w:eastAsia="宋体" w:cs="Times New Roman"/>
                <w:b/>
                <w:szCs w:val="20"/>
              </w:rPr>
            </w:pPr>
          </w:p>
          <w:p w14:paraId="4F71FB93">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BF23FCD">
            <w:pPr>
              <w:rPr>
                <w:rFonts w:ascii="Times New Roman" w:hAnsi="Times New Roman" w:eastAsia="等线" w:cs="Times New Roman"/>
                <w:b/>
                <w:sz w:val="30"/>
                <w:szCs w:val="30"/>
              </w:rPr>
            </w:pPr>
          </w:p>
          <w:p w14:paraId="6D64AE1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4</w:t>
            </w:r>
            <w:r>
              <w:rPr>
                <w:rFonts w:hint="eastAsia" w:ascii="宋体" w:hAnsi="宋体" w:eastAsia="宋体" w:cs="宋体"/>
                <w:b/>
                <w:sz w:val="30"/>
                <w:szCs w:val="30"/>
              </w:rPr>
              <w:t>副本）</w:t>
            </w:r>
          </w:p>
          <w:p w14:paraId="37C407D9">
            <w:pPr>
              <w:jc w:val="center"/>
              <w:rPr>
                <w:rFonts w:ascii="Times New Roman" w:hAnsi="Times New Roman" w:eastAsia="宋体" w:cs="Times New Roman"/>
                <w:b/>
                <w:szCs w:val="20"/>
              </w:rPr>
            </w:pPr>
          </w:p>
          <w:p w14:paraId="32E13ADF">
            <w:pPr>
              <w:jc w:val="center"/>
              <w:rPr>
                <w:rFonts w:ascii="Times New Roman" w:hAnsi="Times New Roman" w:eastAsia="宋体" w:cs="Times New Roman"/>
                <w:b/>
                <w:szCs w:val="20"/>
              </w:rPr>
            </w:pPr>
          </w:p>
          <w:p w14:paraId="052899F3">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b/>
                <w:szCs w:val="20"/>
                <w:lang w:eastAsia="zh-CN"/>
              </w:rPr>
              <w:t>AMT变速箱疲劳寿命试验台项目</w:t>
            </w:r>
          </w:p>
          <w:p w14:paraId="73B4FF4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BFF1D2E">
            <w:pPr>
              <w:jc w:val="center"/>
              <w:rPr>
                <w:rFonts w:ascii="Times New Roman" w:hAnsi="Times New Roman" w:eastAsia="宋体" w:cs="Times New Roman"/>
                <w:b/>
                <w:szCs w:val="20"/>
              </w:rPr>
            </w:pPr>
            <w:r>
              <w:rPr>
                <w:rFonts w:hint="eastAsia" w:ascii="宋体" w:hAnsi="宋体" w:eastAsia="宋体" w:cs="宋体"/>
                <w:b/>
                <w:szCs w:val="20"/>
              </w:rPr>
              <w:t>地址：</w:t>
            </w:r>
          </w:p>
          <w:p w14:paraId="0AFA371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98C14F0">
            <w:pPr>
              <w:jc w:val="center"/>
              <w:rPr>
                <w:rFonts w:ascii="Times New Roman" w:hAnsi="Times New Roman" w:eastAsia="宋体" w:cs="Times New Roman"/>
                <w:b/>
                <w:szCs w:val="20"/>
              </w:rPr>
            </w:pPr>
            <w:r>
              <w:rPr>
                <w:rFonts w:hint="eastAsia" w:ascii="宋体" w:hAnsi="宋体" w:eastAsia="宋体" w:cs="宋体"/>
                <w:b/>
                <w:szCs w:val="20"/>
              </w:rPr>
              <w:t>传真：</w:t>
            </w:r>
          </w:p>
          <w:p w14:paraId="08297E89">
            <w:pPr>
              <w:jc w:val="center"/>
              <w:rPr>
                <w:rFonts w:ascii="Times New Roman" w:hAnsi="Times New Roman" w:eastAsia="宋体" w:cs="Times New Roman"/>
                <w:b/>
                <w:szCs w:val="20"/>
              </w:rPr>
            </w:pPr>
          </w:p>
          <w:p w14:paraId="3F552FA7">
            <w:pPr>
              <w:jc w:val="center"/>
              <w:rPr>
                <w:rFonts w:ascii="Times New Roman" w:hAnsi="Times New Roman" w:eastAsia="宋体" w:cs="Times New Roman"/>
                <w:b/>
                <w:szCs w:val="20"/>
              </w:rPr>
            </w:pPr>
          </w:p>
        </w:tc>
      </w:tr>
    </w:tbl>
    <w:p w14:paraId="00E2E6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93CD693">
      <w:pPr>
        <w:rPr>
          <w:rFonts w:asciiTheme="minorEastAsia" w:hAnsiTheme="minorEastAsia" w:cstheme="minorEastAsia"/>
          <w:sz w:val="20"/>
          <w:szCs w:val="20"/>
        </w:rPr>
      </w:pPr>
      <w:r>
        <w:rPr>
          <w:rFonts w:asciiTheme="minorEastAsia" w:hAnsiTheme="minorEastAsia" w:cstheme="minorEastAsia"/>
          <w:sz w:val="20"/>
          <w:szCs w:val="20"/>
        </w:rPr>
        <w:br w:type="page"/>
      </w:r>
    </w:p>
    <w:p w14:paraId="576BE4D6">
      <w:pPr>
        <w:pStyle w:val="3"/>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741AF982">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附件14评分标准</w:t>
      </w:r>
    </w:p>
    <w:p w14:paraId="1077B3F0">
      <w:pPr>
        <w:jc w:val="center"/>
        <w:outlineLvl w:val="9"/>
        <w:rPr>
          <w:rFonts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7"/>
        <w:tblW w:w="5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615"/>
        <w:gridCol w:w="3499"/>
        <w:gridCol w:w="920"/>
        <w:gridCol w:w="3978"/>
      </w:tblGrid>
      <w:tr w14:paraId="48C6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414" w:type="pct"/>
            <w:vAlign w:val="center"/>
          </w:tcPr>
          <w:p w14:paraId="2D3EC20C">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评价类型</w:t>
            </w:r>
          </w:p>
        </w:tc>
        <w:tc>
          <w:tcPr>
            <w:tcW w:w="313" w:type="pct"/>
            <w:vAlign w:val="center"/>
          </w:tcPr>
          <w:p w14:paraId="5490B6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序号</w:t>
            </w:r>
          </w:p>
        </w:tc>
        <w:tc>
          <w:tcPr>
            <w:tcW w:w="1780" w:type="pct"/>
            <w:vAlign w:val="center"/>
          </w:tcPr>
          <w:p w14:paraId="20AEF4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内   容</w:t>
            </w:r>
          </w:p>
        </w:tc>
        <w:tc>
          <w:tcPr>
            <w:tcW w:w="468" w:type="pct"/>
            <w:vAlign w:val="center"/>
          </w:tcPr>
          <w:p w14:paraId="2FF915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标准分</w:t>
            </w:r>
          </w:p>
        </w:tc>
        <w:tc>
          <w:tcPr>
            <w:tcW w:w="2023" w:type="pct"/>
            <w:vAlign w:val="center"/>
          </w:tcPr>
          <w:p w14:paraId="10B7F2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评分标准</w:t>
            </w:r>
          </w:p>
        </w:tc>
      </w:tr>
      <w:tr w14:paraId="0AC7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1" w:hRule="atLeast"/>
          <w:jc w:val="center"/>
        </w:trPr>
        <w:tc>
          <w:tcPr>
            <w:tcW w:w="414" w:type="pct"/>
            <w:vMerge w:val="restart"/>
            <w:vAlign w:val="center"/>
          </w:tcPr>
          <w:p w14:paraId="0FF78C2A">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技术</w:t>
            </w:r>
          </w:p>
          <w:p w14:paraId="1B9B9612">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100分</w:t>
            </w:r>
          </w:p>
        </w:tc>
        <w:tc>
          <w:tcPr>
            <w:tcW w:w="313" w:type="pct"/>
            <w:vAlign w:val="center"/>
          </w:tcPr>
          <w:p w14:paraId="623131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780" w:type="pct"/>
            <w:vAlign w:val="center"/>
          </w:tcPr>
          <w:p w14:paraId="18C511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设备制造商产品技术先进性、成熟度，性能稳定性，操作方便性，产品附件备品备件配置完整性、合理性</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装备制造能力、生产设备、加工工艺</w:t>
            </w:r>
          </w:p>
        </w:tc>
        <w:tc>
          <w:tcPr>
            <w:tcW w:w="468" w:type="pct"/>
            <w:vAlign w:val="center"/>
          </w:tcPr>
          <w:p w14:paraId="76B4530C">
            <w:pPr>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45</w:t>
            </w:r>
          </w:p>
        </w:tc>
        <w:tc>
          <w:tcPr>
            <w:tcW w:w="2023" w:type="pct"/>
            <w:vAlign w:val="center"/>
          </w:tcPr>
          <w:p w14:paraId="1FF7E0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由评标委员会成员独立进行客观、公正的评价，按照优、良、一般进行赋分，优得</w:t>
            </w:r>
            <w:r>
              <w:rPr>
                <w:rFonts w:hint="eastAsia" w:ascii="宋体" w:hAnsi="宋体" w:eastAsia="宋体" w:cs="宋体"/>
                <w:color w:val="000000" w:themeColor="text1"/>
                <w:szCs w:val="21"/>
                <w:lang w:val="en-US" w:eastAsia="zh-CN"/>
                <w14:textFill>
                  <w14:solidFill>
                    <w14:schemeClr w14:val="tx1"/>
                  </w14:solidFill>
                </w14:textFill>
              </w:rPr>
              <w:t>40</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45</w:t>
            </w:r>
            <w:r>
              <w:rPr>
                <w:rFonts w:hint="eastAsia" w:ascii="宋体" w:hAnsi="宋体" w:eastAsia="宋体" w:cs="宋体"/>
                <w:color w:val="000000" w:themeColor="text1"/>
                <w:szCs w:val="21"/>
                <w14:textFill>
                  <w14:solidFill>
                    <w14:schemeClr w14:val="tx1"/>
                  </w14:solidFill>
                </w14:textFill>
              </w:rPr>
              <w:t>分，良得</w:t>
            </w:r>
            <w:r>
              <w:rPr>
                <w:rFonts w:hint="eastAsia" w:ascii="宋体" w:hAnsi="宋体" w:eastAsia="宋体" w:cs="宋体"/>
                <w:color w:val="000000" w:themeColor="text1"/>
                <w:szCs w:val="21"/>
                <w:lang w:val="en-US" w:eastAsia="zh-CN"/>
                <w14:textFill>
                  <w14:solidFill>
                    <w14:schemeClr w14:val="tx1"/>
                  </w14:solidFill>
                </w14:textFill>
              </w:rPr>
              <w:t>30</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40</w:t>
            </w:r>
            <w:r>
              <w:rPr>
                <w:rFonts w:hint="eastAsia" w:ascii="宋体" w:hAnsi="宋体" w:eastAsia="宋体" w:cs="宋体"/>
                <w:color w:val="000000" w:themeColor="text1"/>
                <w:szCs w:val="21"/>
                <w14:textFill>
                  <w14:solidFill>
                    <w14:schemeClr w14:val="tx1"/>
                  </w14:solidFill>
                </w14:textFill>
              </w:rPr>
              <w:t>分，一般得10-</w:t>
            </w: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0分</w:t>
            </w:r>
          </w:p>
        </w:tc>
      </w:tr>
      <w:tr w14:paraId="0C8C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414" w:type="pct"/>
            <w:vMerge w:val="continue"/>
            <w:vAlign w:val="center"/>
          </w:tcPr>
          <w:p w14:paraId="05F7F5BA">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19166F4E">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w:t>
            </w:r>
          </w:p>
        </w:tc>
        <w:tc>
          <w:tcPr>
            <w:tcW w:w="1780" w:type="pct"/>
            <w:vAlign w:val="center"/>
          </w:tcPr>
          <w:p w14:paraId="632A064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现场安装、调试、验收阶段的的组织管理措施；技术培训方案安排科学、合理、可行性；售后服务质量及质保期长短；维保专业技术人员实力</w:t>
            </w:r>
          </w:p>
        </w:tc>
        <w:tc>
          <w:tcPr>
            <w:tcW w:w="468" w:type="pct"/>
            <w:vAlign w:val="center"/>
          </w:tcPr>
          <w:p w14:paraId="13448F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507B0F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由评标委员会成员独立进行客观、公正的评价，按照优、良、一般进行赋分，优得8-10分，良得6-8分，一般得2-6分。</w:t>
            </w:r>
          </w:p>
        </w:tc>
      </w:tr>
      <w:tr w14:paraId="0408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continue"/>
            <w:vAlign w:val="center"/>
          </w:tcPr>
          <w:p w14:paraId="253A052C">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6D2028A6">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w:t>
            </w:r>
          </w:p>
        </w:tc>
        <w:tc>
          <w:tcPr>
            <w:tcW w:w="1780" w:type="pct"/>
            <w:vAlign w:val="center"/>
          </w:tcPr>
          <w:p w14:paraId="6850231D">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设备制造商同类型项目业绩</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品牌市场认可度较高，能够提供重要或者权威客户产品认可证明文件（客户签字盖章）</w:t>
            </w:r>
          </w:p>
        </w:tc>
        <w:tc>
          <w:tcPr>
            <w:tcW w:w="468" w:type="pct"/>
            <w:vAlign w:val="center"/>
          </w:tcPr>
          <w:p w14:paraId="58859C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3F9D58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已交付使用的与本次招标项目同类产品业绩，提供合同原件（包含详细的产品明细清单）；按照业绩进行排名，优得8-10分，良得6-8分，一般得2-6分。</w:t>
            </w:r>
          </w:p>
        </w:tc>
      </w:tr>
      <w:tr w14:paraId="141C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continue"/>
            <w:vAlign w:val="center"/>
          </w:tcPr>
          <w:p w14:paraId="29EDA459">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233AA778">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w:t>
            </w:r>
          </w:p>
        </w:tc>
        <w:tc>
          <w:tcPr>
            <w:tcW w:w="1780" w:type="pct"/>
            <w:vAlign w:val="center"/>
          </w:tcPr>
          <w:p w14:paraId="14E590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供货周期及工期进度计划</w:t>
            </w:r>
          </w:p>
        </w:tc>
        <w:tc>
          <w:tcPr>
            <w:tcW w:w="468" w:type="pct"/>
            <w:vAlign w:val="center"/>
          </w:tcPr>
          <w:p w14:paraId="46CA3F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2023" w:type="pct"/>
            <w:vAlign w:val="center"/>
          </w:tcPr>
          <w:p w14:paraId="0D6591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交货期14个月以内得12-15分</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14</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15个月得8-12分，15个月以上得4-8分。</w:t>
            </w:r>
          </w:p>
        </w:tc>
      </w:tr>
      <w:tr w14:paraId="0B79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414" w:type="pct"/>
            <w:vMerge w:val="continue"/>
            <w:vAlign w:val="center"/>
          </w:tcPr>
          <w:p w14:paraId="7D823413">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5C133204">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w:t>
            </w:r>
          </w:p>
        </w:tc>
        <w:tc>
          <w:tcPr>
            <w:tcW w:w="1780" w:type="pct"/>
            <w:vAlign w:val="center"/>
          </w:tcPr>
          <w:p w14:paraId="13C430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响应及偏离</w:t>
            </w:r>
          </w:p>
        </w:tc>
        <w:tc>
          <w:tcPr>
            <w:tcW w:w="468" w:type="pct"/>
            <w:vAlign w:val="center"/>
          </w:tcPr>
          <w:p w14:paraId="2A80B3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53F212B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一般偏离每一项扣2分，较大偏离每一项扣3分。</w:t>
            </w:r>
          </w:p>
        </w:tc>
      </w:tr>
      <w:tr w14:paraId="3096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414" w:type="pct"/>
            <w:vMerge w:val="continue"/>
            <w:vAlign w:val="center"/>
          </w:tcPr>
          <w:p w14:paraId="0BD1A8A9">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6F9B9BAB">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6</w:t>
            </w:r>
          </w:p>
        </w:tc>
        <w:tc>
          <w:tcPr>
            <w:tcW w:w="1780" w:type="pct"/>
            <w:vAlign w:val="center"/>
          </w:tcPr>
          <w:p w14:paraId="2B3E17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现场答疑</w:t>
            </w:r>
          </w:p>
        </w:tc>
        <w:tc>
          <w:tcPr>
            <w:tcW w:w="468" w:type="pct"/>
            <w:vAlign w:val="center"/>
          </w:tcPr>
          <w:p w14:paraId="5CD4BC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64E826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投标人代表对方案、技术优势的讲解，以及就该项目难点回答评标专家现场提问，0-10分。</w:t>
            </w:r>
          </w:p>
        </w:tc>
      </w:tr>
    </w:tbl>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37"/>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51E50824">
      <w:pPr>
        <w:spacing w:line="360" w:lineRule="auto"/>
        <w:ind w:firstLine="482" w:firstLineChars="200"/>
        <w:rPr>
          <w:rFonts w:ascii="宋体" w:hAnsi="宋体" w:eastAsia="宋体" w:cs="宋体"/>
          <w:color w:val="000000"/>
          <w:sz w:val="24"/>
          <w:szCs w:val="24"/>
        </w:rPr>
      </w:pPr>
      <w:r>
        <w:rPr>
          <w:rFonts w:hint="eastAsia" w:hAnsi="宋体" w:eastAsia="宋体" w:cs="宋体"/>
          <w:b/>
          <w:bCs/>
          <w:color w:val="000000"/>
          <w:sz w:val="24"/>
          <w:szCs w:val="24"/>
          <w:highlight w:val="yellow"/>
          <w:lang w:val="en-US" w:eastAsia="zh-CN"/>
        </w:rPr>
        <w:t>综合得分=技术标得分*0.3+商务标得分*0.7。</w:t>
      </w:r>
    </w:p>
    <w:p w14:paraId="2934FEC7">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2F7AE62B">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6DF1250F">
      <w:pPr>
        <w:adjustRightInd w:val="0"/>
        <w:snapToGrid w:val="0"/>
        <w:jc w:val="left"/>
        <w:rPr>
          <w:rFonts w:ascii="宋体" w:hAnsi="宋体" w:eastAsia="宋体" w:cs="宋体"/>
          <w:sz w:val="24"/>
          <w:szCs w:val="24"/>
        </w:rPr>
      </w:pPr>
    </w:p>
    <w:p w14:paraId="50A727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5095734">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31DF21B">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8796F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1B0A705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2A3F186">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022A4387">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47F7FFE">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2E04798B">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DB24514">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207F02CE">
      <w:pPr>
        <w:numPr>
          <w:ilvl w:val="0"/>
          <w:numId w:val="2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14:paraId="21EBB131">
      <w:pPr>
        <w:rPr>
          <w:rFonts w:eastAsia="宋体"/>
        </w:rPr>
      </w:pPr>
      <w:r>
        <w:rPr>
          <w:rFonts w:hint="eastAsia"/>
        </w:rPr>
        <w:t>审批通过后，注意记录本单位的“供应商代码”，代码用于登录系统后应标。登录信息如下：</w:t>
      </w:r>
    </w:p>
    <w:p w14:paraId="179335B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763AC2C6">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31A0B9A">
      <w:pPr>
        <w:pStyle w:val="17"/>
        <w:numPr>
          <w:ilvl w:val="0"/>
          <w:numId w:val="0"/>
        </w:numPr>
      </w:pPr>
    </w:p>
    <w:p w14:paraId="76603FF4">
      <w:pPr>
        <w:rPr>
          <w:rFonts w:ascii="宋体" w:hAnsi="宋体" w:eastAsia="宋体" w:cs="宋体"/>
          <w:color w:val="000000"/>
        </w:rPr>
      </w:pPr>
    </w:p>
    <w:p w14:paraId="4E1478A6">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2CE00FB1">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520133E6">
      <w:pPr>
        <w:pStyle w:val="17"/>
      </w:pPr>
    </w:p>
    <w:p w14:paraId="71C32B4F">
      <w:pPr>
        <w:pStyle w:val="17"/>
      </w:pPr>
    </w:p>
    <w:p w14:paraId="0923BCE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623AB">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4CACA0D">
      <w:pPr>
        <w:pStyle w:val="17"/>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792A3166">
      <w:pPr>
        <w:pStyle w:val="17"/>
        <w:sectPr>
          <w:pgSz w:w="11906" w:h="16838"/>
          <w:pgMar w:top="1588" w:right="1418" w:bottom="1134" w:left="1418" w:header="851" w:footer="992" w:gutter="0"/>
          <w:cols w:space="720" w:num="1"/>
          <w:titlePg/>
          <w:docGrid w:type="lines" w:linePitch="312" w:charSpace="0"/>
        </w:sectPr>
      </w:pPr>
    </w:p>
    <w:p w14:paraId="0EDE0C05">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22E51E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799A85B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3C8554C3">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2D2DC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54FA68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952E3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697D3FC">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3"/>
                    <a:stretch>
                      <a:fillRect/>
                    </a:stretch>
                  </pic:blipFill>
                  <pic:spPr>
                    <a:xfrm>
                      <a:off x="0" y="0"/>
                      <a:ext cx="5760085" cy="2269864"/>
                    </a:xfrm>
                    <a:prstGeom prst="rect">
                      <a:avLst/>
                    </a:prstGeom>
                  </pic:spPr>
                </pic:pic>
              </a:graphicData>
            </a:graphic>
          </wp:inline>
        </w:drawing>
      </w:r>
    </w:p>
    <w:p w14:paraId="7C1E355F"/>
    <w:p w14:paraId="5CE60CA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A77EDC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ABC459C">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4"/>
                    <a:stretch>
                      <a:fillRect/>
                    </a:stretch>
                  </pic:blipFill>
                  <pic:spPr>
                    <a:xfrm>
                      <a:off x="0" y="0"/>
                      <a:ext cx="5760085" cy="2125673"/>
                    </a:xfrm>
                    <a:prstGeom prst="rect">
                      <a:avLst/>
                    </a:prstGeom>
                  </pic:spPr>
                </pic:pic>
              </a:graphicData>
            </a:graphic>
          </wp:inline>
        </w:drawing>
      </w:r>
    </w:p>
    <w:p w14:paraId="7E9762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2A3D842">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0D3E8670">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5"/>
                    <a:stretch>
                      <a:fillRect/>
                    </a:stretch>
                  </pic:blipFill>
                  <pic:spPr>
                    <a:xfrm>
                      <a:off x="0" y="0"/>
                      <a:ext cx="5490210" cy="2669498"/>
                    </a:xfrm>
                    <a:prstGeom prst="rect">
                      <a:avLst/>
                    </a:prstGeom>
                  </pic:spPr>
                </pic:pic>
              </a:graphicData>
            </a:graphic>
          </wp:inline>
        </w:drawing>
      </w:r>
    </w:p>
    <w:p w14:paraId="7E79F72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6D0CA5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EB4D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789B4FF">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6"/>
                    <a:stretch>
                      <a:fillRect/>
                    </a:stretch>
                  </pic:blipFill>
                  <pic:spPr>
                    <a:xfrm>
                      <a:off x="0" y="0"/>
                      <a:ext cx="5490210" cy="1992743"/>
                    </a:xfrm>
                    <a:prstGeom prst="rect">
                      <a:avLst/>
                    </a:prstGeom>
                  </pic:spPr>
                </pic:pic>
              </a:graphicData>
            </a:graphic>
          </wp:inline>
        </w:drawing>
      </w:r>
    </w:p>
    <w:p w14:paraId="2AD896D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DB14FA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6DA91EC">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B2389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559DB7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4CE74EE">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65F9167">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7"/>
                    <a:stretch>
                      <a:fillRect/>
                    </a:stretch>
                  </pic:blipFill>
                  <pic:spPr>
                    <a:xfrm>
                      <a:off x="0" y="0"/>
                      <a:ext cx="5490210" cy="2544669"/>
                    </a:xfrm>
                    <a:prstGeom prst="rect">
                      <a:avLst/>
                    </a:prstGeom>
                  </pic:spPr>
                </pic:pic>
              </a:graphicData>
            </a:graphic>
          </wp:inline>
        </w:drawing>
      </w:r>
    </w:p>
    <w:p w14:paraId="1F188D2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DD1F1C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B818EA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E28FFF8">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8"/>
                    <a:stretch>
                      <a:fillRect/>
                    </a:stretch>
                  </pic:blipFill>
                  <pic:spPr>
                    <a:xfrm>
                      <a:off x="0" y="0"/>
                      <a:ext cx="5760085" cy="1956600"/>
                    </a:xfrm>
                    <a:prstGeom prst="rect">
                      <a:avLst/>
                    </a:prstGeom>
                  </pic:spPr>
                </pic:pic>
              </a:graphicData>
            </a:graphic>
          </wp:inline>
        </w:drawing>
      </w:r>
    </w:p>
    <w:p w14:paraId="2A2257B1">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AD252">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1965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03F1965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4264">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1E057">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6B1E057">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EF344">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51F5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7551F5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4E776">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B831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774B8311">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78EFA">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2DA8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3702DA8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0A716">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B3FE2">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74B3FE2">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DBFD8">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426B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B7426B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13D76">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19286">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28E19286">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F485D">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50CAF">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1A450CAF">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698FF">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FE6FF">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6FDFE6FF">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00029">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939B0">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7E1939B0">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974D5">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ADEA6">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417ADEA6">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296A">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EDB42">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630EDB42">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4452E">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25CFC">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14:paraId="47F25CFC">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6F3D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E858B">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14:paraId="114E858B">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2B791">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95EB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14:paraId="22495EB1">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F5744">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8B36C">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7BE8B36C">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6FA1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8E17F">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4318E17F">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83A04">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98E3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4AC98E3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BDEDB">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F37E0">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14:paraId="0E9F37E0">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F315D">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8A1F2">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73A8A1F2">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A245">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D21D7">
    <w:pPr>
      <w:pStyle w:val="2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A7052">
                          <w:pPr>
                            <w:pStyle w:val="2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87A7052">
                    <w:pPr>
                      <w:pStyle w:val="2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E3E38">
    <w:pPr>
      <w:pStyle w:val="22"/>
      <w:jc w:val="center"/>
    </w:pPr>
    <w:r>
      <mc:AlternateContent>
        <mc:Choice Requires="wps">
          <w:drawing>
            <wp:anchor distT="0" distB="0" distL="114300" distR="114300" simplePos="0" relativeHeight="251679744" behindDoc="0" locked="0" layoutInCell="1" allowOverlap="1">
              <wp:simplePos x="0" y="0"/>
              <wp:positionH relativeFrom="margin">
                <wp:posOffset>2846070</wp:posOffset>
              </wp:positionH>
              <wp:positionV relativeFrom="paragraph">
                <wp:posOffset>0</wp:posOffset>
              </wp:positionV>
              <wp:extent cx="153035" cy="13589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2881" cy="1355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D80CB">
                          <w:pPr>
                            <w:pStyle w:val="2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1pt;margin-top:0pt;height:10.7pt;width:12.05pt;mso-position-horizontal-relative:margin;z-index:251679744;mso-width-relative:page;mso-height-relative:page;" filled="f" stroked="f" coordsize="21600,21600" o:gfxdata="UEsDBAoAAAAAAIdO4kAAAAAAAAAAAAAAAAAEAAAAZHJzL1BLAwQUAAAACACHTuJAcD0ZW9YAAAAH&#10;AQAADwAAAGRycy9kb3ducmV2LnhtbE2PO0/EMBCEeyT+g7VIdJydEMEpZHMFj47HcYAEnZMsSYQf&#10;ke3kjn/PUkE5mtHMN9XmYI1YKMTRO4RspUCQa303uh7h9eXubA0iJu06bbwjhG+KsKmPjypddn7v&#10;nmnZpV5wiYulRhhSmkopYzuQ1XHlJ3LsffpgdWIZetkFvedya2Su1IW0enS8MOiJrgdqv3azRTDv&#10;Mdw3Kn0sN/1D2j7J+e02e0Q8PcnUFYhEh/QXhl98RoeamRo/uy4Kg1AU65yjCPyI7eIyPwfRIORZ&#10;AbKu5H/++gdQSwMEFAAAAAgAh07iQNi35+gxAgAAVQQAAA4AAABkcnMvZTJvRG9jLnhtbK1UzY7T&#10;MBC+I/EOlu80/dkuVdV0VbYqQqrYlRbE2XWcxpLtMbbbpDwAvAEnLtx5rj4HYyfpooXDHri4E8/4&#10;G3/ffO7iptGKHIXzEkxOR4MhJcJwKKTZ5/Tjh82rGSU+MFMwBUbk9CQ8vVm+fLGo7VyMoQJVCEcQ&#10;xPh5bXNahWDnWeZ5JTTzA7DCYLIEp1nAT7fPCsdqRNcqGw+H11kNrrAOuPAed9dtknaI7jmAUJaS&#10;izXwgxYmtKhOKBaQkq+k9XSZbluWgoe7svQiEJVTZBrSik0w3sU1Wy7YfO+YrSTvrsCec4UnnDST&#10;BpteoNYsMHJw8i8oLbkDD2UYcNBZSyQpgixGwyfaPFTMisQFpfb2Irr/f7D8/fHeEVnk9IoSwzQO&#10;/Pz92/nHr/PPr+QqylNbP8eqB4t1oXkDDZqm3/e4GVk3pdPxF/kQzKO4p4u4ogmEx0PT8Ww2ooRj&#10;ajSZTl9PIkr2eNg6H94K0CQGOXU4uyQpO259aEv7ktjLwEYqleanDKlzej2ZDtOBSwbBlcEekUJ7&#10;1RiFZtd0vHZQnJCWg9YX3vKNxOZb5sM9c2gEZIJPJdzhUirAJtBFlFTgvvxrP9bjfDBLSY3Gyqn/&#10;fGBOUKLeGZxcdGEfuD7Y9YE56FtAr6JQeJsU4gEXVB+WDvQnfEGr2AVTzHDsldPQh7ehtTe+QC5W&#10;q1SEXrMsbM2D5RG6lW91CFDKpGyUpdWiUwvdlmbTvYxo5z+/U9Xjv8H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A9GVvWAAAABwEAAA8AAAAAAAAAAQAgAAAAIgAAAGRycy9kb3ducmV2LnhtbFBL&#10;AQIUABQAAAAIAIdO4kDYt+foMQIAAFUEAAAOAAAAAAAAAAEAIAAAACUBAABkcnMvZTJvRG9jLnht&#10;bFBLBQYAAAAABgAGAFkBAADIBQAAAAA=&#10;">
              <v:fill on="f" focussize="0,0"/>
              <v:stroke on="f" weight="0.5pt"/>
              <v:imagedata o:title=""/>
              <o:lock v:ext="edit" aspectratio="f"/>
              <v:textbox inset="0mm,0mm,0mm,0mm">
                <w:txbxContent>
                  <w:p w14:paraId="5D2D80CB">
                    <w:pPr>
                      <w:pStyle w:val="2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2531A">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1F65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A41F65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D9F20">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DCE10">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hAB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GEAFywCAABXBAAADgAAAAAAAAABACAAAAAfAQAAZHJzL2Uyb0RvYy54bWxQSwUGAAAAAAYA&#10;BgBZAQAAvQUAAAAA&#10;">
              <v:fill on="f" focussize="0,0"/>
              <v:stroke on="f" weight="0.5pt"/>
              <v:imagedata o:title=""/>
              <o:lock v:ext="edit" aspectratio="f"/>
              <v:textbox inset="0mm,0mm,0mm,0mm" style="mso-fit-shape-to-text:t;">
                <w:txbxContent>
                  <w:p w14:paraId="1C5DCE10">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31FBF">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05FF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6D905FF1">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CDDF">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BF232">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2DD3D">
    <w:pPr>
      <w:pStyle w:val="23"/>
    </w:pPr>
    <w:r>
      <w:rPr>
        <w:sz w:val="18"/>
      </w:rPr>
      <w:pict>
        <v:shape id="PowerPlusWaterMarkObject7816373" o:spid="_x0000_s3073" o:spt="136" type="#_x0000_t136" style="position:absolute;left:0pt;margin-left:472.35pt;margin-top:400.05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7628223" o:spid="_x0000_s3074" o:spt="136" type="#_x0000_t136" style="position:absolute;left:0pt;margin-left:359.95pt;margin-top:512.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6628665" o:spid="_x0000_s3075" o:spt="136" type="#_x0000_t136" style="position:absolute;left:0pt;margin-left:247.5pt;margin-top:624.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6544427" o:spid="_x0000_s3076" o:spt="136" type="#_x0000_t136" style="position:absolute;left:0pt;margin-left:135.05pt;margin-top:737.3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5658989" o:spid="_x0000_s3077" o:spt="136" type="#_x0000_t136" style="position:absolute;left:0pt;margin-left:472.35pt;margin-top:40.7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5576347" o:spid="_x0000_s3078" o:spt="136" type="#_x0000_t136" style="position:absolute;left:0pt;margin-left:359.95pt;margin-top:153.1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4691201" o:spid="_x0000_s3079" o:spt="136" type="#_x0000_t136" style="position:absolute;left:0pt;margin-left:247.5pt;margin-top:265.6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890595" o:spid="_x0000_s3080" o:spt="136" type="#_x0000_t136" style="position:absolute;left:0pt;margin-left:135.05pt;margin-top:378.0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686065" o:spid="_x0000_s3081" o:spt="136" type="#_x0000_t136" style="position:absolute;left:0pt;margin-left:22.65pt;margin-top:490.4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443108" o:spid="_x0000_s3082" o:spt="136" type="#_x0000_t136" style="position:absolute;left:0pt;margin-left:-89.8pt;margin-top:602.9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149564" o:spid="_x0000_s3083" o:spt="136" type="#_x0000_t136" style="position:absolute;left:0pt;margin-left:247.5pt;margin-top:-93.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2198832" o:spid="_x0000_s3084" o:spt="136" type="#_x0000_t136" style="position:absolute;left:0pt;margin-left:135.05pt;margin-top:18.7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1298393" o:spid="_x0000_s3085" o:spt="136" type="#_x0000_t136" style="position:absolute;left:0pt;margin-left:22.65pt;margin-top:131.1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86039" o:spid="_x0000_s3086" o:spt="136" type="#_x0000_t136" style="position:absolute;left:0pt;margin-left:-89.8pt;margin-top:243.5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8A1CB">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E9940">
    <w:pPr>
      <w:pStyle w:val="23"/>
    </w:pPr>
  </w:p>
  <w:p w14:paraId="32367499">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DF6F">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685C15C"/>
    <w:multiLevelType w:val="singleLevel"/>
    <w:tmpl w:val="D685C15C"/>
    <w:lvl w:ilvl="0" w:tentative="0">
      <w:start w:val="5"/>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7">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1763B91"/>
    <w:multiLevelType w:val="singleLevel"/>
    <w:tmpl w:val="31763B91"/>
    <w:lvl w:ilvl="0" w:tentative="0">
      <w:start w:val="1"/>
      <w:numFmt w:val="bullet"/>
      <w:lvlText w:val=""/>
      <w:lvlJc w:val="left"/>
      <w:pPr>
        <w:ind w:left="420" w:hanging="420"/>
      </w:pPr>
      <w:rPr>
        <w:rFonts w:hint="default" w:ascii="Wingdings" w:hAnsi="Wingdings"/>
      </w:rPr>
    </w:lvl>
  </w:abstractNum>
  <w:abstractNum w:abstractNumId="12">
    <w:nsid w:val="363426D8"/>
    <w:multiLevelType w:val="multilevel"/>
    <w:tmpl w:val="363426D8"/>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4EF9949A"/>
    <w:multiLevelType w:val="singleLevel"/>
    <w:tmpl w:val="4EF9949A"/>
    <w:lvl w:ilvl="0" w:tentative="0">
      <w:start w:val="1"/>
      <w:numFmt w:val="upperRoman"/>
      <w:suff w:val="space"/>
      <w:lvlText w:val="(%1)"/>
      <w:lvlJc w:val="left"/>
    </w:lvl>
  </w:abstractNum>
  <w:abstractNum w:abstractNumId="17">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6E8C6948"/>
    <w:multiLevelType w:val="singleLevel"/>
    <w:tmpl w:val="6E8C6948"/>
    <w:lvl w:ilvl="0" w:tentative="0">
      <w:start w:val="1"/>
      <w:numFmt w:val="chineseCounting"/>
      <w:suff w:val="space"/>
      <w:lvlText w:val="第%1部分"/>
      <w:lvlJc w:val="left"/>
      <w:rPr>
        <w:rFonts w:hint="eastAsia"/>
      </w:rPr>
    </w:lvl>
  </w:abstractNum>
  <w:abstractNum w:abstractNumId="20">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2"/>
  </w:num>
  <w:num w:numId="2">
    <w:abstractNumId w:val="19"/>
  </w:num>
  <w:num w:numId="3">
    <w:abstractNumId w:val="0"/>
  </w:num>
  <w:num w:numId="4">
    <w:abstractNumId w:val="9"/>
  </w:num>
  <w:num w:numId="5">
    <w:abstractNumId w:val="4"/>
  </w:num>
  <w:num w:numId="6">
    <w:abstractNumId w:val="14"/>
  </w:num>
  <w:num w:numId="7">
    <w:abstractNumId w:val="2"/>
  </w:num>
  <w:num w:numId="8">
    <w:abstractNumId w:val="10"/>
  </w:num>
  <w:num w:numId="9">
    <w:abstractNumId w:val="8"/>
  </w:num>
  <w:num w:numId="10">
    <w:abstractNumId w:val="11"/>
  </w:num>
  <w:num w:numId="11">
    <w:abstractNumId w:val="7"/>
  </w:num>
  <w:num w:numId="12">
    <w:abstractNumId w:val="20"/>
  </w:num>
  <w:num w:numId="13">
    <w:abstractNumId w:val="6"/>
  </w:num>
  <w:num w:numId="14">
    <w:abstractNumId w:val="17"/>
  </w:num>
  <w:num w:numId="15">
    <w:abstractNumId w:val="5"/>
  </w:num>
  <w:num w:numId="16">
    <w:abstractNumId w:val="16"/>
  </w:num>
  <w:num w:numId="17">
    <w:abstractNumId w:val="18"/>
  </w:num>
  <w:num w:numId="18">
    <w:abstractNumId w:val="15"/>
  </w:num>
  <w:num w:numId="19">
    <w:abstractNumId w:val="3"/>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3f94176b-c6e5-4a35-bceb-00d97f8336d8"/>
  </w:docVars>
  <w:rsids>
    <w:rsidRoot w:val="0056018A"/>
    <w:rsid w:val="0000344B"/>
    <w:rsid w:val="00004AE2"/>
    <w:rsid w:val="00005742"/>
    <w:rsid w:val="00005DE3"/>
    <w:rsid w:val="00006ACA"/>
    <w:rsid w:val="000074E0"/>
    <w:rsid w:val="000118ED"/>
    <w:rsid w:val="00012EE1"/>
    <w:rsid w:val="000139F5"/>
    <w:rsid w:val="00013AF9"/>
    <w:rsid w:val="0001756F"/>
    <w:rsid w:val="00022B06"/>
    <w:rsid w:val="00024229"/>
    <w:rsid w:val="00027254"/>
    <w:rsid w:val="0003107B"/>
    <w:rsid w:val="00032998"/>
    <w:rsid w:val="000335E7"/>
    <w:rsid w:val="00036836"/>
    <w:rsid w:val="0004157E"/>
    <w:rsid w:val="00042C90"/>
    <w:rsid w:val="000444D7"/>
    <w:rsid w:val="00044EDD"/>
    <w:rsid w:val="00045968"/>
    <w:rsid w:val="000461C2"/>
    <w:rsid w:val="00046230"/>
    <w:rsid w:val="00047C31"/>
    <w:rsid w:val="000521B7"/>
    <w:rsid w:val="00052B1D"/>
    <w:rsid w:val="00053A98"/>
    <w:rsid w:val="00054508"/>
    <w:rsid w:val="00056803"/>
    <w:rsid w:val="0005777A"/>
    <w:rsid w:val="00057D69"/>
    <w:rsid w:val="00061EF5"/>
    <w:rsid w:val="00063033"/>
    <w:rsid w:val="000632CC"/>
    <w:rsid w:val="00065382"/>
    <w:rsid w:val="000725A1"/>
    <w:rsid w:val="000728AA"/>
    <w:rsid w:val="000753F9"/>
    <w:rsid w:val="000770EF"/>
    <w:rsid w:val="00080223"/>
    <w:rsid w:val="00080C06"/>
    <w:rsid w:val="00082367"/>
    <w:rsid w:val="00084C12"/>
    <w:rsid w:val="00091339"/>
    <w:rsid w:val="00092FED"/>
    <w:rsid w:val="00094EC2"/>
    <w:rsid w:val="000A305B"/>
    <w:rsid w:val="000A36AF"/>
    <w:rsid w:val="000A4CB3"/>
    <w:rsid w:val="000A5309"/>
    <w:rsid w:val="000A664C"/>
    <w:rsid w:val="000B081A"/>
    <w:rsid w:val="000B27AB"/>
    <w:rsid w:val="000B6B49"/>
    <w:rsid w:val="000C0057"/>
    <w:rsid w:val="000C28E3"/>
    <w:rsid w:val="000C4015"/>
    <w:rsid w:val="000C53A7"/>
    <w:rsid w:val="000C6BE3"/>
    <w:rsid w:val="000C7C11"/>
    <w:rsid w:val="000D6A51"/>
    <w:rsid w:val="000F2BF0"/>
    <w:rsid w:val="000F2FAC"/>
    <w:rsid w:val="000F45A3"/>
    <w:rsid w:val="000F489E"/>
    <w:rsid w:val="00100760"/>
    <w:rsid w:val="00101992"/>
    <w:rsid w:val="00102A5F"/>
    <w:rsid w:val="00107502"/>
    <w:rsid w:val="00110547"/>
    <w:rsid w:val="00116759"/>
    <w:rsid w:val="0012053F"/>
    <w:rsid w:val="00122A5E"/>
    <w:rsid w:val="001240BC"/>
    <w:rsid w:val="00124515"/>
    <w:rsid w:val="0012736D"/>
    <w:rsid w:val="00131BE5"/>
    <w:rsid w:val="0013700C"/>
    <w:rsid w:val="00146B8D"/>
    <w:rsid w:val="001475D5"/>
    <w:rsid w:val="00153841"/>
    <w:rsid w:val="00153BD7"/>
    <w:rsid w:val="001543D6"/>
    <w:rsid w:val="0015579F"/>
    <w:rsid w:val="001616B1"/>
    <w:rsid w:val="001636A0"/>
    <w:rsid w:val="00164E8C"/>
    <w:rsid w:val="0016584F"/>
    <w:rsid w:val="00165C77"/>
    <w:rsid w:val="001704B5"/>
    <w:rsid w:val="00173BD7"/>
    <w:rsid w:val="00173E90"/>
    <w:rsid w:val="00176B22"/>
    <w:rsid w:val="00180E59"/>
    <w:rsid w:val="001821CA"/>
    <w:rsid w:val="0018236B"/>
    <w:rsid w:val="00192B63"/>
    <w:rsid w:val="00195466"/>
    <w:rsid w:val="00195D33"/>
    <w:rsid w:val="001A56FA"/>
    <w:rsid w:val="001B2A52"/>
    <w:rsid w:val="001B4458"/>
    <w:rsid w:val="001B6E24"/>
    <w:rsid w:val="001C02D0"/>
    <w:rsid w:val="001C1EE3"/>
    <w:rsid w:val="001C284F"/>
    <w:rsid w:val="001C5565"/>
    <w:rsid w:val="001C630E"/>
    <w:rsid w:val="001C713C"/>
    <w:rsid w:val="001D0CEA"/>
    <w:rsid w:val="001D75B9"/>
    <w:rsid w:val="001E59F5"/>
    <w:rsid w:val="001E5C04"/>
    <w:rsid w:val="001F21BF"/>
    <w:rsid w:val="001F4A3A"/>
    <w:rsid w:val="001F6329"/>
    <w:rsid w:val="00200EA6"/>
    <w:rsid w:val="00200F05"/>
    <w:rsid w:val="002023A1"/>
    <w:rsid w:val="00202C59"/>
    <w:rsid w:val="0020386D"/>
    <w:rsid w:val="00203AE1"/>
    <w:rsid w:val="00203BAA"/>
    <w:rsid w:val="00212C27"/>
    <w:rsid w:val="00216B42"/>
    <w:rsid w:val="00217B79"/>
    <w:rsid w:val="00220056"/>
    <w:rsid w:val="00221FF8"/>
    <w:rsid w:val="00222D33"/>
    <w:rsid w:val="00224F73"/>
    <w:rsid w:val="00227943"/>
    <w:rsid w:val="00227B98"/>
    <w:rsid w:val="00230062"/>
    <w:rsid w:val="00230474"/>
    <w:rsid w:val="002308E5"/>
    <w:rsid w:val="00233296"/>
    <w:rsid w:val="00236395"/>
    <w:rsid w:val="0024547B"/>
    <w:rsid w:val="0025142F"/>
    <w:rsid w:val="00251589"/>
    <w:rsid w:val="002522D8"/>
    <w:rsid w:val="00255A2F"/>
    <w:rsid w:val="00255CF1"/>
    <w:rsid w:val="00255F5A"/>
    <w:rsid w:val="002602AB"/>
    <w:rsid w:val="00260543"/>
    <w:rsid w:val="002626ED"/>
    <w:rsid w:val="002627E8"/>
    <w:rsid w:val="002631FB"/>
    <w:rsid w:val="0026541A"/>
    <w:rsid w:val="00265A40"/>
    <w:rsid w:val="00265F73"/>
    <w:rsid w:val="002676D4"/>
    <w:rsid w:val="00267893"/>
    <w:rsid w:val="00272C1A"/>
    <w:rsid w:val="00272D11"/>
    <w:rsid w:val="00282FDE"/>
    <w:rsid w:val="002849C3"/>
    <w:rsid w:val="0029130A"/>
    <w:rsid w:val="002915F2"/>
    <w:rsid w:val="0029562F"/>
    <w:rsid w:val="002A0B96"/>
    <w:rsid w:val="002A1CA2"/>
    <w:rsid w:val="002A31F5"/>
    <w:rsid w:val="002A3F4F"/>
    <w:rsid w:val="002A6C6A"/>
    <w:rsid w:val="002B12F2"/>
    <w:rsid w:val="002B15AF"/>
    <w:rsid w:val="002B2809"/>
    <w:rsid w:val="002B4A1E"/>
    <w:rsid w:val="002C246D"/>
    <w:rsid w:val="002C2B20"/>
    <w:rsid w:val="002C4144"/>
    <w:rsid w:val="002C7D96"/>
    <w:rsid w:val="002D6690"/>
    <w:rsid w:val="002E179E"/>
    <w:rsid w:val="002E4B2B"/>
    <w:rsid w:val="002E79DB"/>
    <w:rsid w:val="002E7A99"/>
    <w:rsid w:val="002F05B6"/>
    <w:rsid w:val="002F0A87"/>
    <w:rsid w:val="002F0FC5"/>
    <w:rsid w:val="002F2292"/>
    <w:rsid w:val="002F25FD"/>
    <w:rsid w:val="002F38BD"/>
    <w:rsid w:val="002F6301"/>
    <w:rsid w:val="00302231"/>
    <w:rsid w:val="00310813"/>
    <w:rsid w:val="003112D5"/>
    <w:rsid w:val="00315FA4"/>
    <w:rsid w:val="00316FCA"/>
    <w:rsid w:val="0032235A"/>
    <w:rsid w:val="003257F7"/>
    <w:rsid w:val="0032597C"/>
    <w:rsid w:val="0032769F"/>
    <w:rsid w:val="00330D3C"/>
    <w:rsid w:val="00330D97"/>
    <w:rsid w:val="003320CC"/>
    <w:rsid w:val="00334124"/>
    <w:rsid w:val="00335D3F"/>
    <w:rsid w:val="00337283"/>
    <w:rsid w:val="00337834"/>
    <w:rsid w:val="00340233"/>
    <w:rsid w:val="00342A2C"/>
    <w:rsid w:val="00343BD7"/>
    <w:rsid w:val="0034622D"/>
    <w:rsid w:val="00346DF3"/>
    <w:rsid w:val="00360D6F"/>
    <w:rsid w:val="00363AE4"/>
    <w:rsid w:val="00373943"/>
    <w:rsid w:val="00375073"/>
    <w:rsid w:val="00375D5C"/>
    <w:rsid w:val="00383039"/>
    <w:rsid w:val="00383E66"/>
    <w:rsid w:val="00383EE3"/>
    <w:rsid w:val="003877CD"/>
    <w:rsid w:val="00390FB2"/>
    <w:rsid w:val="00393912"/>
    <w:rsid w:val="00393BDA"/>
    <w:rsid w:val="0039542F"/>
    <w:rsid w:val="003A2EE2"/>
    <w:rsid w:val="003A32CA"/>
    <w:rsid w:val="003A4382"/>
    <w:rsid w:val="003A4540"/>
    <w:rsid w:val="003A61B2"/>
    <w:rsid w:val="003B1C2B"/>
    <w:rsid w:val="003B1E06"/>
    <w:rsid w:val="003B2849"/>
    <w:rsid w:val="003B3D52"/>
    <w:rsid w:val="003B4D7D"/>
    <w:rsid w:val="003B706A"/>
    <w:rsid w:val="003B7CDC"/>
    <w:rsid w:val="003C0BA4"/>
    <w:rsid w:val="003C208A"/>
    <w:rsid w:val="003C21F8"/>
    <w:rsid w:val="003C61E4"/>
    <w:rsid w:val="003D6561"/>
    <w:rsid w:val="003E0AB3"/>
    <w:rsid w:val="003F750D"/>
    <w:rsid w:val="003F7959"/>
    <w:rsid w:val="004013CA"/>
    <w:rsid w:val="00401C42"/>
    <w:rsid w:val="00406D2C"/>
    <w:rsid w:val="004076DE"/>
    <w:rsid w:val="00413D86"/>
    <w:rsid w:val="0041440A"/>
    <w:rsid w:val="00446232"/>
    <w:rsid w:val="00446B25"/>
    <w:rsid w:val="0045011A"/>
    <w:rsid w:val="00450142"/>
    <w:rsid w:val="00452676"/>
    <w:rsid w:val="004532C9"/>
    <w:rsid w:val="00455F17"/>
    <w:rsid w:val="00457BA8"/>
    <w:rsid w:val="00460AFB"/>
    <w:rsid w:val="00466039"/>
    <w:rsid w:val="00470130"/>
    <w:rsid w:val="0047251F"/>
    <w:rsid w:val="00475A85"/>
    <w:rsid w:val="004767BE"/>
    <w:rsid w:val="00476A00"/>
    <w:rsid w:val="00482B2B"/>
    <w:rsid w:val="00483B0A"/>
    <w:rsid w:val="00486529"/>
    <w:rsid w:val="004877C0"/>
    <w:rsid w:val="0049064A"/>
    <w:rsid w:val="00494169"/>
    <w:rsid w:val="0049457D"/>
    <w:rsid w:val="004953BE"/>
    <w:rsid w:val="004A2CD5"/>
    <w:rsid w:val="004A39F1"/>
    <w:rsid w:val="004A6352"/>
    <w:rsid w:val="004B04B8"/>
    <w:rsid w:val="004B0EBB"/>
    <w:rsid w:val="004B5126"/>
    <w:rsid w:val="004B5831"/>
    <w:rsid w:val="004B5AAF"/>
    <w:rsid w:val="004C093E"/>
    <w:rsid w:val="004C2CBC"/>
    <w:rsid w:val="004C37FE"/>
    <w:rsid w:val="004C44BD"/>
    <w:rsid w:val="004C458A"/>
    <w:rsid w:val="004C7C93"/>
    <w:rsid w:val="004C7D75"/>
    <w:rsid w:val="004D32F6"/>
    <w:rsid w:val="004E3B6C"/>
    <w:rsid w:val="004E3D1C"/>
    <w:rsid w:val="004E5459"/>
    <w:rsid w:val="004E6DAF"/>
    <w:rsid w:val="004F4658"/>
    <w:rsid w:val="004F7838"/>
    <w:rsid w:val="00501230"/>
    <w:rsid w:val="005021D0"/>
    <w:rsid w:val="00502563"/>
    <w:rsid w:val="00503391"/>
    <w:rsid w:val="00506DC7"/>
    <w:rsid w:val="00513258"/>
    <w:rsid w:val="00513612"/>
    <w:rsid w:val="0051451D"/>
    <w:rsid w:val="0052203A"/>
    <w:rsid w:val="00523001"/>
    <w:rsid w:val="0052498D"/>
    <w:rsid w:val="00525A9A"/>
    <w:rsid w:val="00530187"/>
    <w:rsid w:val="00530B38"/>
    <w:rsid w:val="00533162"/>
    <w:rsid w:val="0053375F"/>
    <w:rsid w:val="005419BC"/>
    <w:rsid w:val="00550A68"/>
    <w:rsid w:val="00552960"/>
    <w:rsid w:val="00555360"/>
    <w:rsid w:val="0056018A"/>
    <w:rsid w:val="0056193B"/>
    <w:rsid w:val="00562CB6"/>
    <w:rsid w:val="005637CE"/>
    <w:rsid w:val="0056531B"/>
    <w:rsid w:val="00566D19"/>
    <w:rsid w:val="00567344"/>
    <w:rsid w:val="005722E4"/>
    <w:rsid w:val="00572D37"/>
    <w:rsid w:val="0057339B"/>
    <w:rsid w:val="005744B6"/>
    <w:rsid w:val="0057594A"/>
    <w:rsid w:val="00576CA0"/>
    <w:rsid w:val="00577245"/>
    <w:rsid w:val="0057780C"/>
    <w:rsid w:val="005829DC"/>
    <w:rsid w:val="0059251F"/>
    <w:rsid w:val="005943C2"/>
    <w:rsid w:val="00595CC4"/>
    <w:rsid w:val="00597985"/>
    <w:rsid w:val="005A1F31"/>
    <w:rsid w:val="005A33D7"/>
    <w:rsid w:val="005A3497"/>
    <w:rsid w:val="005B1A29"/>
    <w:rsid w:val="005B6185"/>
    <w:rsid w:val="005B721A"/>
    <w:rsid w:val="005B7FE4"/>
    <w:rsid w:val="005C0B4E"/>
    <w:rsid w:val="005C0F18"/>
    <w:rsid w:val="005C307A"/>
    <w:rsid w:val="005C3F7D"/>
    <w:rsid w:val="005C421F"/>
    <w:rsid w:val="005C5556"/>
    <w:rsid w:val="005D03F4"/>
    <w:rsid w:val="005D579B"/>
    <w:rsid w:val="005E29A2"/>
    <w:rsid w:val="005E5EBB"/>
    <w:rsid w:val="005E7A6E"/>
    <w:rsid w:val="005F148C"/>
    <w:rsid w:val="005F16F0"/>
    <w:rsid w:val="005F3F45"/>
    <w:rsid w:val="005F54A1"/>
    <w:rsid w:val="006043F2"/>
    <w:rsid w:val="00605511"/>
    <w:rsid w:val="00615209"/>
    <w:rsid w:val="00616513"/>
    <w:rsid w:val="0063004E"/>
    <w:rsid w:val="00637535"/>
    <w:rsid w:val="00641772"/>
    <w:rsid w:val="00644F89"/>
    <w:rsid w:val="00645022"/>
    <w:rsid w:val="00645873"/>
    <w:rsid w:val="006462FB"/>
    <w:rsid w:val="0065185D"/>
    <w:rsid w:val="00653F92"/>
    <w:rsid w:val="00655B13"/>
    <w:rsid w:val="006651D4"/>
    <w:rsid w:val="006676DF"/>
    <w:rsid w:val="00670BDF"/>
    <w:rsid w:val="00680629"/>
    <w:rsid w:val="00686C52"/>
    <w:rsid w:val="00691285"/>
    <w:rsid w:val="00696664"/>
    <w:rsid w:val="006A041E"/>
    <w:rsid w:val="006A0ECC"/>
    <w:rsid w:val="006A3C25"/>
    <w:rsid w:val="006A4103"/>
    <w:rsid w:val="006A58C9"/>
    <w:rsid w:val="006B132C"/>
    <w:rsid w:val="006B1F87"/>
    <w:rsid w:val="006B2EF2"/>
    <w:rsid w:val="006C39CD"/>
    <w:rsid w:val="006C6481"/>
    <w:rsid w:val="006C7755"/>
    <w:rsid w:val="006D1581"/>
    <w:rsid w:val="006D51E3"/>
    <w:rsid w:val="006D5433"/>
    <w:rsid w:val="006E2F84"/>
    <w:rsid w:val="006E5323"/>
    <w:rsid w:val="006E5E25"/>
    <w:rsid w:val="006F115C"/>
    <w:rsid w:val="006F1414"/>
    <w:rsid w:val="006F358B"/>
    <w:rsid w:val="006F6623"/>
    <w:rsid w:val="006F6FA6"/>
    <w:rsid w:val="006F7788"/>
    <w:rsid w:val="0070714B"/>
    <w:rsid w:val="00711C72"/>
    <w:rsid w:val="007160E8"/>
    <w:rsid w:val="007178AE"/>
    <w:rsid w:val="00727B8E"/>
    <w:rsid w:val="007316EF"/>
    <w:rsid w:val="00736BD7"/>
    <w:rsid w:val="00740BCA"/>
    <w:rsid w:val="007432BF"/>
    <w:rsid w:val="00743C2A"/>
    <w:rsid w:val="00743C8F"/>
    <w:rsid w:val="007440C5"/>
    <w:rsid w:val="007457A1"/>
    <w:rsid w:val="007525BF"/>
    <w:rsid w:val="00753421"/>
    <w:rsid w:val="007534C2"/>
    <w:rsid w:val="00756A37"/>
    <w:rsid w:val="0076634E"/>
    <w:rsid w:val="00773303"/>
    <w:rsid w:val="007800DC"/>
    <w:rsid w:val="00782D24"/>
    <w:rsid w:val="007838AA"/>
    <w:rsid w:val="00783D5E"/>
    <w:rsid w:val="00785FD6"/>
    <w:rsid w:val="00787C14"/>
    <w:rsid w:val="00791389"/>
    <w:rsid w:val="007970ED"/>
    <w:rsid w:val="00797790"/>
    <w:rsid w:val="007A1B34"/>
    <w:rsid w:val="007A1F01"/>
    <w:rsid w:val="007A2F8B"/>
    <w:rsid w:val="007A3B10"/>
    <w:rsid w:val="007A516F"/>
    <w:rsid w:val="007A623D"/>
    <w:rsid w:val="007B212D"/>
    <w:rsid w:val="007B3671"/>
    <w:rsid w:val="007B380A"/>
    <w:rsid w:val="007C0B20"/>
    <w:rsid w:val="007C5982"/>
    <w:rsid w:val="007D10C3"/>
    <w:rsid w:val="007D11EB"/>
    <w:rsid w:val="007D2DCC"/>
    <w:rsid w:val="007D373F"/>
    <w:rsid w:val="007D717A"/>
    <w:rsid w:val="007E2662"/>
    <w:rsid w:val="007E41D7"/>
    <w:rsid w:val="007F327F"/>
    <w:rsid w:val="007F3556"/>
    <w:rsid w:val="007F511B"/>
    <w:rsid w:val="007F702F"/>
    <w:rsid w:val="00800CB7"/>
    <w:rsid w:val="008014E1"/>
    <w:rsid w:val="0080192E"/>
    <w:rsid w:val="00803989"/>
    <w:rsid w:val="00806A61"/>
    <w:rsid w:val="00807E23"/>
    <w:rsid w:val="008155A8"/>
    <w:rsid w:val="0081741E"/>
    <w:rsid w:val="008201AC"/>
    <w:rsid w:val="0082195A"/>
    <w:rsid w:val="00821D8A"/>
    <w:rsid w:val="00823EAE"/>
    <w:rsid w:val="00824B1D"/>
    <w:rsid w:val="00824BFD"/>
    <w:rsid w:val="00826BC0"/>
    <w:rsid w:val="008275A6"/>
    <w:rsid w:val="008318A4"/>
    <w:rsid w:val="00836ADC"/>
    <w:rsid w:val="00841253"/>
    <w:rsid w:val="008429A9"/>
    <w:rsid w:val="00843AB4"/>
    <w:rsid w:val="008453B3"/>
    <w:rsid w:val="00855777"/>
    <w:rsid w:val="00857F5E"/>
    <w:rsid w:val="00860A8E"/>
    <w:rsid w:val="00860EA1"/>
    <w:rsid w:val="00861187"/>
    <w:rsid w:val="0086454F"/>
    <w:rsid w:val="00867CB2"/>
    <w:rsid w:val="00870A7E"/>
    <w:rsid w:val="0087205A"/>
    <w:rsid w:val="008736E3"/>
    <w:rsid w:val="00874891"/>
    <w:rsid w:val="00874DD4"/>
    <w:rsid w:val="00875DF4"/>
    <w:rsid w:val="00877077"/>
    <w:rsid w:val="00885F54"/>
    <w:rsid w:val="008901B7"/>
    <w:rsid w:val="008917AA"/>
    <w:rsid w:val="00892530"/>
    <w:rsid w:val="00896A94"/>
    <w:rsid w:val="008A4EE5"/>
    <w:rsid w:val="008A6678"/>
    <w:rsid w:val="008B0CCE"/>
    <w:rsid w:val="008B180D"/>
    <w:rsid w:val="008B25A1"/>
    <w:rsid w:val="008B4352"/>
    <w:rsid w:val="008B5614"/>
    <w:rsid w:val="008C4204"/>
    <w:rsid w:val="008C51DC"/>
    <w:rsid w:val="008C6366"/>
    <w:rsid w:val="008D3B56"/>
    <w:rsid w:val="008D4742"/>
    <w:rsid w:val="008D5CEF"/>
    <w:rsid w:val="008E07A1"/>
    <w:rsid w:val="008E0EF2"/>
    <w:rsid w:val="008E723E"/>
    <w:rsid w:val="008F18AA"/>
    <w:rsid w:val="008F6A61"/>
    <w:rsid w:val="009021C8"/>
    <w:rsid w:val="00906356"/>
    <w:rsid w:val="00906B9E"/>
    <w:rsid w:val="00906DAB"/>
    <w:rsid w:val="0091006D"/>
    <w:rsid w:val="0091190D"/>
    <w:rsid w:val="00915EE8"/>
    <w:rsid w:val="00931980"/>
    <w:rsid w:val="009360F9"/>
    <w:rsid w:val="00937D41"/>
    <w:rsid w:val="009405DA"/>
    <w:rsid w:val="0094165A"/>
    <w:rsid w:val="0094372A"/>
    <w:rsid w:val="00945180"/>
    <w:rsid w:val="00946C8E"/>
    <w:rsid w:val="00953451"/>
    <w:rsid w:val="009571FF"/>
    <w:rsid w:val="00960BAD"/>
    <w:rsid w:val="00962479"/>
    <w:rsid w:val="009629F9"/>
    <w:rsid w:val="00964F00"/>
    <w:rsid w:val="00970C06"/>
    <w:rsid w:val="009746FF"/>
    <w:rsid w:val="009758E4"/>
    <w:rsid w:val="0097607C"/>
    <w:rsid w:val="0098245C"/>
    <w:rsid w:val="00986927"/>
    <w:rsid w:val="009908A5"/>
    <w:rsid w:val="009910B2"/>
    <w:rsid w:val="0099547C"/>
    <w:rsid w:val="00995C51"/>
    <w:rsid w:val="009969B2"/>
    <w:rsid w:val="009A0362"/>
    <w:rsid w:val="009A403F"/>
    <w:rsid w:val="009A42DB"/>
    <w:rsid w:val="009A54A4"/>
    <w:rsid w:val="009B112C"/>
    <w:rsid w:val="009B1C44"/>
    <w:rsid w:val="009B3D84"/>
    <w:rsid w:val="009B511E"/>
    <w:rsid w:val="009B5907"/>
    <w:rsid w:val="009C1615"/>
    <w:rsid w:val="009D46EB"/>
    <w:rsid w:val="009E02E2"/>
    <w:rsid w:val="009E0461"/>
    <w:rsid w:val="009E0F5E"/>
    <w:rsid w:val="009E1897"/>
    <w:rsid w:val="009E3207"/>
    <w:rsid w:val="009E3346"/>
    <w:rsid w:val="009E6B4F"/>
    <w:rsid w:val="009F334A"/>
    <w:rsid w:val="009F4A9C"/>
    <w:rsid w:val="009F60C8"/>
    <w:rsid w:val="009F70ED"/>
    <w:rsid w:val="009F79CE"/>
    <w:rsid w:val="00A1372D"/>
    <w:rsid w:val="00A13FAA"/>
    <w:rsid w:val="00A14B6A"/>
    <w:rsid w:val="00A15489"/>
    <w:rsid w:val="00A21EB2"/>
    <w:rsid w:val="00A313C2"/>
    <w:rsid w:val="00A31561"/>
    <w:rsid w:val="00A33DC8"/>
    <w:rsid w:val="00A42CA3"/>
    <w:rsid w:val="00A46AF9"/>
    <w:rsid w:val="00A52952"/>
    <w:rsid w:val="00A546A9"/>
    <w:rsid w:val="00A54E81"/>
    <w:rsid w:val="00A54E95"/>
    <w:rsid w:val="00A60709"/>
    <w:rsid w:val="00A64672"/>
    <w:rsid w:val="00A64FA5"/>
    <w:rsid w:val="00A661AB"/>
    <w:rsid w:val="00A66D84"/>
    <w:rsid w:val="00A67D18"/>
    <w:rsid w:val="00A73385"/>
    <w:rsid w:val="00A74876"/>
    <w:rsid w:val="00A75CE3"/>
    <w:rsid w:val="00A764AE"/>
    <w:rsid w:val="00A7765E"/>
    <w:rsid w:val="00A80564"/>
    <w:rsid w:val="00A819BB"/>
    <w:rsid w:val="00A82813"/>
    <w:rsid w:val="00A84227"/>
    <w:rsid w:val="00A8466A"/>
    <w:rsid w:val="00A8485C"/>
    <w:rsid w:val="00A8525E"/>
    <w:rsid w:val="00A91C3A"/>
    <w:rsid w:val="00A95CA3"/>
    <w:rsid w:val="00A960B2"/>
    <w:rsid w:val="00A97FA1"/>
    <w:rsid w:val="00AA00F2"/>
    <w:rsid w:val="00AA17A6"/>
    <w:rsid w:val="00AA66A4"/>
    <w:rsid w:val="00AA7A1A"/>
    <w:rsid w:val="00AA7DF9"/>
    <w:rsid w:val="00AB1938"/>
    <w:rsid w:val="00AB37BA"/>
    <w:rsid w:val="00AB6411"/>
    <w:rsid w:val="00AC18E4"/>
    <w:rsid w:val="00AC1BB2"/>
    <w:rsid w:val="00AC2FC2"/>
    <w:rsid w:val="00AC64FA"/>
    <w:rsid w:val="00AC6AFC"/>
    <w:rsid w:val="00AC6C65"/>
    <w:rsid w:val="00AD1AFD"/>
    <w:rsid w:val="00AD2364"/>
    <w:rsid w:val="00AD6B44"/>
    <w:rsid w:val="00AE2BE3"/>
    <w:rsid w:val="00AE484B"/>
    <w:rsid w:val="00AE50E6"/>
    <w:rsid w:val="00AE6633"/>
    <w:rsid w:val="00AF27DF"/>
    <w:rsid w:val="00AF59BB"/>
    <w:rsid w:val="00AF6954"/>
    <w:rsid w:val="00B003A5"/>
    <w:rsid w:val="00B01FF1"/>
    <w:rsid w:val="00B0476B"/>
    <w:rsid w:val="00B058AD"/>
    <w:rsid w:val="00B11846"/>
    <w:rsid w:val="00B141C7"/>
    <w:rsid w:val="00B17076"/>
    <w:rsid w:val="00B20E3D"/>
    <w:rsid w:val="00B23961"/>
    <w:rsid w:val="00B260A0"/>
    <w:rsid w:val="00B26258"/>
    <w:rsid w:val="00B2752D"/>
    <w:rsid w:val="00B3700D"/>
    <w:rsid w:val="00B37482"/>
    <w:rsid w:val="00B440B3"/>
    <w:rsid w:val="00B45B0A"/>
    <w:rsid w:val="00B54400"/>
    <w:rsid w:val="00B54472"/>
    <w:rsid w:val="00B603A8"/>
    <w:rsid w:val="00B622D5"/>
    <w:rsid w:val="00B6248A"/>
    <w:rsid w:val="00B64CF2"/>
    <w:rsid w:val="00B701C2"/>
    <w:rsid w:val="00B71C67"/>
    <w:rsid w:val="00B72516"/>
    <w:rsid w:val="00B725D2"/>
    <w:rsid w:val="00B772B1"/>
    <w:rsid w:val="00B85BAE"/>
    <w:rsid w:val="00B862B2"/>
    <w:rsid w:val="00B87074"/>
    <w:rsid w:val="00B87218"/>
    <w:rsid w:val="00B8772E"/>
    <w:rsid w:val="00B92C97"/>
    <w:rsid w:val="00B95BF5"/>
    <w:rsid w:val="00B96BEB"/>
    <w:rsid w:val="00BA164B"/>
    <w:rsid w:val="00BA1F27"/>
    <w:rsid w:val="00BA22A3"/>
    <w:rsid w:val="00BA3C70"/>
    <w:rsid w:val="00BB462B"/>
    <w:rsid w:val="00BB4E42"/>
    <w:rsid w:val="00BC1799"/>
    <w:rsid w:val="00BC2137"/>
    <w:rsid w:val="00BC406F"/>
    <w:rsid w:val="00BD4454"/>
    <w:rsid w:val="00BD482F"/>
    <w:rsid w:val="00BD48DB"/>
    <w:rsid w:val="00BD533C"/>
    <w:rsid w:val="00BD590A"/>
    <w:rsid w:val="00BD7B45"/>
    <w:rsid w:val="00BE4BDC"/>
    <w:rsid w:val="00BE4BEB"/>
    <w:rsid w:val="00BE4E6B"/>
    <w:rsid w:val="00C01073"/>
    <w:rsid w:val="00C018F6"/>
    <w:rsid w:val="00C02BA2"/>
    <w:rsid w:val="00C02DFC"/>
    <w:rsid w:val="00C0347A"/>
    <w:rsid w:val="00C0451E"/>
    <w:rsid w:val="00C05D59"/>
    <w:rsid w:val="00C076F2"/>
    <w:rsid w:val="00C07723"/>
    <w:rsid w:val="00C07BC8"/>
    <w:rsid w:val="00C11C6C"/>
    <w:rsid w:val="00C14296"/>
    <w:rsid w:val="00C158F0"/>
    <w:rsid w:val="00C17F56"/>
    <w:rsid w:val="00C20947"/>
    <w:rsid w:val="00C27028"/>
    <w:rsid w:val="00C33D2F"/>
    <w:rsid w:val="00C357A4"/>
    <w:rsid w:val="00C36B23"/>
    <w:rsid w:val="00C429DC"/>
    <w:rsid w:val="00C44C4E"/>
    <w:rsid w:val="00C55033"/>
    <w:rsid w:val="00C6069E"/>
    <w:rsid w:val="00C60ADE"/>
    <w:rsid w:val="00C62367"/>
    <w:rsid w:val="00C63FB1"/>
    <w:rsid w:val="00C64A3F"/>
    <w:rsid w:val="00C66D9D"/>
    <w:rsid w:val="00C74F46"/>
    <w:rsid w:val="00C75264"/>
    <w:rsid w:val="00C76292"/>
    <w:rsid w:val="00C77A2D"/>
    <w:rsid w:val="00C84485"/>
    <w:rsid w:val="00C855F6"/>
    <w:rsid w:val="00C86991"/>
    <w:rsid w:val="00C86C51"/>
    <w:rsid w:val="00C9064C"/>
    <w:rsid w:val="00C9108D"/>
    <w:rsid w:val="00C92944"/>
    <w:rsid w:val="00C92F53"/>
    <w:rsid w:val="00C97601"/>
    <w:rsid w:val="00C9784E"/>
    <w:rsid w:val="00CA1259"/>
    <w:rsid w:val="00CA5334"/>
    <w:rsid w:val="00CA6948"/>
    <w:rsid w:val="00CA6F40"/>
    <w:rsid w:val="00CB64FE"/>
    <w:rsid w:val="00CB753A"/>
    <w:rsid w:val="00CC105B"/>
    <w:rsid w:val="00CD0040"/>
    <w:rsid w:val="00CD2F3F"/>
    <w:rsid w:val="00CD46FA"/>
    <w:rsid w:val="00CD5223"/>
    <w:rsid w:val="00CD73C8"/>
    <w:rsid w:val="00CE0692"/>
    <w:rsid w:val="00CE0A95"/>
    <w:rsid w:val="00CE185B"/>
    <w:rsid w:val="00CE4A92"/>
    <w:rsid w:val="00CE5010"/>
    <w:rsid w:val="00CE537E"/>
    <w:rsid w:val="00CE6E17"/>
    <w:rsid w:val="00CF080D"/>
    <w:rsid w:val="00CF5E7B"/>
    <w:rsid w:val="00CF738A"/>
    <w:rsid w:val="00D0376A"/>
    <w:rsid w:val="00D0528A"/>
    <w:rsid w:val="00D064F3"/>
    <w:rsid w:val="00D10055"/>
    <w:rsid w:val="00D11B37"/>
    <w:rsid w:val="00D15B6B"/>
    <w:rsid w:val="00D20C23"/>
    <w:rsid w:val="00D24747"/>
    <w:rsid w:val="00D31EF2"/>
    <w:rsid w:val="00D3523B"/>
    <w:rsid w:val="00D37B5D"/>
    <w:rsid w:val="00D408EF"/>
    <w:rsid w:val="00D42379"/>
    <w:rsid w:val="00D467AE"/>
    <w:rsid w:val="00D4714D"/>
    <w:rsid w:val="00D5145C"/>
    <w:rsid w:val="00D5235F"/>
    <w:rsid w:val="00D53E20"/>
    <w:rsid w:val="00D5468E"/>
    <w:rsid w:val="00D552BC"/>
    <w:rsid w:val="00D64DAE"/>
    <w:rsid w:val="00D6722B"/>
    <w:rsid w:val="00D7137D"/>
    <w:rsid w:val="00D727CF"/>
    <w:rsid w:val="00D729A1"/>
    <w:rsid w:val="00D81581"/>
    <w:rsid w:val="00D81C55"/>
    <w:rsid w:val="00D81E69"/>
    <w:rsid w:val="00D82AD8"/>
    <w:rsid w:val="00D842E9"/>
    <w:rsid w:val="00D94C86"/>
    <w:rsid w:val="00DA336D"/>
    <w:rsid w:val="00DA5F70"/>
    <w:rsid w:val="00DA6406"/>
    <w:rsid w:val="00DB3448"/>
    <w:rsid w:val="00DB5225"/>
    <w:rsid w:val="00DC05BA"/>
    <w:rsid w:val="00DC0987"/>
    <w:rsid w:val="00DC2B7B"/>
    <w:rsid w:val="00DD1E5E"/>
    <w:rsid w:val="00DE23BB"/>
    <w:rsid w:val="00DE6417"/>
    <w:rsid w:val="00DF1686"/>
    <w:rsid w:val="00DF7A2F"/>
    <w:rsid w:val="00E03389"/>
    <w:rsid w:val="00E067D8"/>
    <w:rsid w:val="00E1627A"/>
    <w:rsid w:val="00E2137E"/>
    <w:rsid w:val="00E264DD"/>
    <w:rsid w:val="00E30265"/>
    <w:rsid w:val="00E30F72"/>
    <w:rsid w:val="00E345D6"/>
    <w:rsid w:val="00E34C35"/>
    <w:rsid w:val="00E368F4"/>
    <w:rsid w:val="00E37E12"/>
    <w:rsid w:val="00E37F87"/>
    <w:rsid w:val="00E4136A"/>
    <w:rsid w:val="00E44B34"/>
    <w:rsid w:val="00E45970"/>
    <w:rsid w:val="00E46E10"/>
    <w:rsid w:val="00E51995"/>
    <w:rsid w:val="00E52FCE"/>
    <w:rsid w:val="00E650A8"/>
    <w:rsid w:val="00E828C3"/>
    <w:rsid w:val="00E83A8B"/>
    <w:rsid w:val="00E85253"/>
    <w:rsid w:val="00E878B4"/>
    <w:rsid w:val="00E878C9"/>
    <w:rsid w:val="00E95684"/>
    <w:rsid w:val="00EA3E07"/>
    <w:rsid w:val="00EA7B24"/>
    <w:rsid w:val="00EB0C00"/>
    <w:rsid w:val="00EB10E4"/>
    <w:rsid w:val="00EB3D00"/>
    <w:rsid w:val="00EB7DDC"/>
    <w:rsid w:val="00EC004D"/>
    <w:rsid w:val="00ED3322"/>
    <w:rsid w:val="00ED40D0"/>
    <w:rsid w:val="00ED54E3"/>
    <w:rsid w:val="00ED7307"/>
    <w:rsid w:val="00ED7342"/>
    <w:rsid w:val="00ED7DDD"/>
    <w:rsid w:val="00EE1C41"/>
    <w:rsid w:val="00EF11E2"/>
    <w:rsid w:val="00EF421E"/>
    <w:rsid w:val="00EF4D50"/>
    <w:rsid w:val="00EF6BCF"/>
    <w:rsid w:val="00EF7597"/>
    <w:rsid w:val="00F011A5"/>
    <w:rsid w:val="00F1084E"/>
    <w:rsid w:val="00F1627D"/>
    <w:rsid w:val="00F16B1F"/>
    <w:rsid w:val="00F201E7"/>
    <w:rsid w:val="00F3039F"/>
    <w:rsid w:val="00F342E7"/>
    <w:rsid w:val="00F34754"/>
    <w:rsid w:val="00F4160D"/>
    <w:rsid w:val="00F41BB6"/>
    <w:rsid w:val="00F45912"/>
    <w:rsid w:val="00F461B1"/>
    <w:rsid w:val="00F509DA"/>
    <w:rsid w:val="00F51563"/>
    <w:rsid w:val="00F51ECC"/>
    <w:rsid w:val="00F547D9"/>
    <w:rsid w:val="00F566E5"/>
    <w:rsid w:val="00F6072F"/>
    <w:rsid w:val="00F6136F"/>
    <w:rsid w:val="00F61D52"/>
    <w:rsid w:val="00F62C70"/>
    <w:rsid w:val="00F630D4"/>
    <w:rsid w:val="00F649F9"/>
    <w:rsid w:val="00F71720"/>
    <w:rsid w:val="00F71A75"/>
    <w:rsid w:val="00F72AE4"/>
    <w:rsid w:val="00F7343D"/>
    <w:rsid w:val="00F80728"/>
    <w:rsid w:val="00F84B4C"/>
    <w:rsid w:val="00F8637F"/>
    <w:rsid w:val="00F87E0F"/>
    <w:rsid w:val="00F94C99"/>
    <w:rsid w:val="00F94DFA"/>
    <w:rsid w:val="00FA0A44"/>
    <w:rsid w:val="00FA579E"/>
    <w:rsid w:val="00FA64EE"/>
    <w:rsid w:val="00FA6A73"/>
    <w:rsid w:val="00FA6F6D"/>
    <w:rsid w:val="00FB651B"/>
    <w:rsid w:val="00FB6918"/>
    <w:rsid w:val="00FC1AE7"/>
    <w:rsid w:val="00FC2431"/>
    <w:rsid w:val="00FD26DE"/>
    <w:rsid w:val="00FD3AC1"/>
    <w:rsid w:val="00FD47E9"/>
    <w:rsid w:val="00FD5697"/>
    <w:rsid w:val="00FE040F"/>
    <w:rsid w:val="00FE1302"/>
    <w:rsid w:val="00FE2E32"/>
    <w:rsid w:val="00FE3DD3"/>
    <w:rsid w:val="00FE42B3"/>
    <w:rsid w:val="00FE4D88"/>
    <w:rsid w:val="00FF13FA"/>
    <w:rsid w:val="00FF47C3"/>
    <w:rsid w:val="00FF4CFC"/>
    <w:rsid w:val="014832F2"/>
    <w:rsid w:val="014A7FD7"/>
    <w:rsid w:val="014D51C1"/>
    <w:rsid w:val="01835747"/>
    <w:rsid w:val="01A32794"/>
    <w:rsid w:val="01C43A72"/>
    <w:rsid w:val="01C52478"/>
    <w:rsid w:val="02094A42"/>
    <w:rsid w:val="02355837"/>
    <w:rsid w:val="027408EE"/>
    <w:rsid w:val="02873BB9"/>
    <w:rsid w:val="02963F39"/>
    <w:rsid w:val="02BA7274"/>
    <w:rsid w:val="02DF57A3"/>
    <w:rsid w:val="03251978"/>
    <w:rsid w:val="0325718A"/>
    <w:rsid w:val="03545DBF"/>
    <w:rsid w:val="037B371D"/>
    <w:rsid w:val="03BA08C7"/>
    <w:rsid w:val="042921B6"/>
    <w:rsid w:val="04356A9C"/>
    <w:rsid w:val="04904FA7"/>
    <w:rsid w:val="04A5009E"/>
    <w:rsid w:val="04AD02B8"/>
    <w:rsid w:val="04DF17D4"/>
    <w:rsid w:val="05412745"/>
    <w:rsid w:val="054702E8"/>
    <w:rsid w:val="05491761"/>
    <w:rsid w:val="05726DA2"/>
    <w:rsid w:val="05A351AD"/>
    <w:rsid w:val="05F9748A"/>
    <w:rsid w:val="06266F78"/>
    <w:rsid w:val="063E7B7A"/>
    <w:rsid w:val="06510766"/>
    <w:rsid w:val="06582413"/>
    <w:rsid w:val="067375A5"/>
    <w:rsid w:val="067E33B8"/>
    <w:rsid w:val="069A3EBB"/>
    <w:rsid w:val="06A95914"/>
    <w:rsid w:val="06D118A6"/>
    <w:rsid w:val="06E82FCB"/>
    <w:rsid w:val="06F34B95"/>
    <w:rsid w:val="071535E2"/>
    <w:rsid w:val="07571DAC"/>
    <w:rsid w:val="07BE7CD4"/>
    <w:rsid w:val="08D8507E"/>
    <w:rsid w:val="08E64121"/>
    <w:rsid w:val="0942017F"/>
    <w:rsid w:val="09676C13"/>
    <w:rsid w:val="097144E5"/>
    <w:rsid w:val="098350DA"/>
    <w:rsid w:val="09A3345C"/>
    <w:rsid w:val="09BA1FBB"/>
    <w:rsid w:val="09CB139F"/>
    <w:rsid w:val="0A0106F5"/>
    <w:rsid w:val="0A112AB7"/>
    <w:rsid w:val="0AD71BC7"/>
    <w:rsid w:val="0AD81455"/>
    <w:rsid w:val="0AF420EB"/>
    <w:rsid w:val="0B2B2BF5"/>
    <w:rsid w:val="0B2F3908"/>
    <w:rsid w:val="0B3F6206"/>
    <w:rsid w:val="0BE12DB6"/>
    <w:rsid w:val="0C626CE4"/>
    <w:rsid w:val="0C897AA5"/>
    <w:rsid w:val="0D0C2B7B"/>
    <w:rsid w:val="0D9308F8"/>
    <w:rsid w:val="0E1A1D85"/>
    <w:rsid w:val="0E750568"/>
    <w:rsid w:val="0EF95ECE"/>
    <w:rsid w:val="0F2D7A80"/>
    <w:rsid w:val="0F4277E5"/>
    <w:rsid w:val="0F647FFD"/>
    <w:rsid w:val="0FA75561"/>
    <w:rsid w:val="0FB83603"/>
    <w:rsid w:val="0FBC07B0"/>
    <w:rsid w:val="0FCA77F1"/>
    <w:rsid w:val="101C3295"/>
    <w:rsid w:val="10270545"/>
    <w:rsid w:val="103539E9"/>
    <w:rsid w:val="108A1D4B"/>
    <w:rsid w:val="109457E5"/>
    <w:rsid w:val="10A10111"/>
    <w:rsid w:val="10BE093E"/>
    <w:rsid w:val="10D64E7C"/>
    <w:rsid w:val="111B0FE9"/>
    <w:rsid w:val="115F67A8"/>
    <w:rsid w:val="119A7465"/>
    <w:rsid w:val="11C07DA5"/>
    <w:rsid w:val="11F76665"/>
    <w:rsid w:val="12096398"/>
    <w:rsid w:val="12491386"/>
    <w:rsid w:val="128F607B"/>
    <w:rsid w:val="129F2533"/>
    <w:rsid w:val="12A04F4F"/>
    <w:rsid w:val="12E60579"/>
    <w:rsid w:val="13695B36"/>
    <w:rsid w:val="1372609F"/>
    <w:rsid w:val="13755ED0"/>
    <w:rsid w:val="13AE369B"/>
    <w:rsid w:val="13BA3B64"/>
    <w:rsid w:val="13E57CC1"/>
    <w:rsid w:val="13EC6C09"/>
    <w:rsid w:val="13FA7090"/>
    <w:rsid w:val="141605EF"/>
    <w:rsid w:val="14193377"/>
    <w:rsid w:val="143F0F15"/>
    <w:rsid w:val="145A6A37"/>
    <w:rsid w:val="1467440F"/>
    <w:rsid w:val="147A6974"/>
    <w:rsid w:val="15433A9B"/>
    <w:rsid w:val="154371B0"/>
    <w:rsid w:val="1574321C"/>
    <w:rsid w:val="158A65B6"/>
    <w:rsid w:val="15A71F89"/>
    <w:rsid w:val="15A97AFC"/>
    <w:rsid w:val="15B40B18"/>
    <w:rsid w:val="15FC2F04"/>
    <w:rsid w:val="16181FAC"/>
    <w:rsid w:val="16282DBB"/>
    <w:rsid w:val="16750AB1"/>
    <w:rsid w:val="168756A0"/>
    <w:rsid w:val="16F94849"/>
    <w:rsid w:val="17045E51"/>
    <w:rsid w:val="172011D4"/>
    <w:rsid w:val="17252C3B"/>
    <w:rsid w:val="173F0A2E"/>
    <w:rsid w:val="17770BC2"/>
    <w:rsid w:val="17A119AA"/>
    <w:rsid w:val="18480522"/>
    <w:rsid w:val="18586F2B"/>
    <w:rsid w:val="192A2804"/>
    <w:rsid w:val="195B507D"/>
    <w:rsid w:val="19A766B9"/>
    <w:rsid w:val="19CE76BA"/>
    <w:rsid w:val="19E96D90"/>
    <w:rsid w:val="19F26070"/>
    <w:rsid w:val="19FF46E1"/>
    <w:rsid w:val="1A1523CE"/>
    <w:rsid w:val="1A4008D5"/>
    <w:rsid w:val="1AA730BD"/>
    <w:rsid w:val="1B111D18"/>
    <w:rsid w:val="1B264783"/>
    <w:rsid w:val="1B333D5D"/>
    <w:rsid w:val="1B587618"/>
    <w:rsid w:val="1B5F19C7"/>
    <w:rsid w:val="1BCC093D"/>
    <w:rsid w:val="1C024584"/>
    <w:rsid w:val="1C1C709B"/>
    <w:rsid w:val="1CEF4A97"/>
    <w:rsid w:val="1D5C514E"/>
    <w:rsid w:val="1D7F72F5"/>
    <w:rsid w:val="1D865D14"/>
    <w:rsid w:val="1D8705EC"/>
    <w:rsid w:val="1DEC1347"/>
    <w:rsid w:val="1E43150B"/>
    <w:rsid w:val="1EA93E80"/>
    <w:rsid w:val="1ED33FB6"/>
    <w:rsid w:val="1EE81332"/>
    <w:rsid w:val="1F32415A"/>
    <w:rsid w:val="1F4719E1"/>
    <w:rsid w:val="1FC55BA1"/>
    <w:rsid w:val="1FD925EF"/>
    <w:rsid w:val="20107567"/>
    <w:rsid w:val="20390044"/>
    <w:rsid w:val="20AB56C6"/>
    <w:rsid w:val="21104A68"/>
    <w:rsid w:val="21602B55"/>
    <w:rsid w:val="2176507C"/>
    <w:rsid w:val="217F0425"/>
    <w:rsid w:val="219D4B44"/>
    <w:rsid w:val="21BE35AF"/>
    <w:rsid w:val="21C11174"/>
    <w:rsid w:val="21DC5877"/>
    <w:rsid w:val="21ED1832"/>
    <w:rsid w:val="22244B28"/>
    <w:rsid w:val="223B5680"/>
    <w:rsid w:val="22467FD4"/>
    <w:rsid w:val="225936CC"/>
    <w:rsid w:val="229451FD"/>
    <w:rsid w:val="22A12DB6"/>
    <w:rsid w:val="23C962E8"/>
    <w:rsid w:val="247E4FED"/>
    <w:rsid w:val="24B30BE8"/>
    <w:rsid w:val="24E34060"/>
    <w:rsid w:val="25012CF2"/>
    <w:rsid w:val="251F7F55"/>
    <w:rsid w:val="253A0491"/>
    <w:rsid w:val="25E036B2"/>
    <w:rsid w:val="25E9082A"/>
    <w:rsid w:val="25F42473"/>
    <w:rsid w:val="26AF2D79"/>
    <w:rsid w:val="26B34B91"/>
    <w:rsid w:val="270D66E8"/>
    <w:rsid w:val="27231852"/>
    <w:rsid w:val="273E7E29"/>
    <w:rsid w:val="278B0DAB"/>
    <w:rsid w:val="278F1E9D"/>
    <w:rsid w:val="27A64735"/>
    <w:rsid w:val="27C923FA"/>
    <w:rsid w:val="27CC4DF2"/>
    <w:rsid w:val="27ED433A"/>
    <w:rsid w:val="281864F2"/>
    <w:rsid w:val="286903EF"/>
    <w:rsid w:val="287F5DD3"/>
    <w:rsid w:val="288047CB"/>
    <w:rsid w:val="289E62FA"/>
    <w:rsid w:val="28BC3D0D"/>
    <w:rsid w:val="2916410F"/>
    <w:rsid w:val="291E2CA6"/>
    <w:rsid w:val="29331862"/>
    <w:rsid w:val="298F561F"/>
    <w:rsid w:val="299E147F"/>
    <w:rsid w:val="29CF26DC"/>
    <w:rsid w:val="29D1744E"/>
    <w:rsid w:val="2A1C5DA0"/>
    <w:rsid w:val="2A200D39"/>
    <w:rsid w:val="2A507EFF"/>
    <w:rsid w:val="2ABF3E12"/>
    <w:rsid w:val="2ADC05A4"/>
    <w:rsid w:val="2B6F0D7F"/>
    <w:rsid w:val="2B8716BD"/>
    <w:rsid w:val="2B894C74"/>
    <w:rsid w:val="2C7F39CF"/>
    <w:rsid w:val="2D025012"/>
    <w:rsid w:val="2D4178F0"/>
    <w:rsid w:val="2D54644E"/>
    <w:rsid w:val="2DAE631A"/>
    <w:rsid w:val="2DD877E0"/>
    <w:rsid w:val="2DDB2E87"/>
    <w:rsid w:val="2DE616C9"/>
    <w:rsid w:val="2DFC2451"/>
    <w:rsid w:val="2E6E566D"/>
    <w:rsid w:val="2E7F188E"/>
    <w:rsid w:val="2E8B1366"/>
    <w:rsid w:val="2EBC0905"/>
    <w:rsid w:val="2EC73739"/>
    <w:rsid w:val="2EDC1C09"/>
    <w:rsid w:val="2F1E7104"/>
    <w:rsid w:val="2F4A1E0C"/>
    <w:rsid w:val="2F5C684F"/>
    <w:rsid w:val="2F6B3D97"/>
    <w:rsid w:val="305A7CF6"/>
    <w:rsid w:val="307776D1"/>
    <w:rsid w:val="30862574"/>
    <w:rsid w:val="308F1FEB"/>
    <w:rsid w:val="30B631E1"/>
    <w:rsid w:val="311933AA"/>
    <w:rsid w:val="317D15BB"/>
    <w:rsid w:val="31D07E6C"/>
    <w:rsid w:val="321F266A"/>
    <w:rsid w:val="32203942"/>
    <w:rsid w:val="323F65DA"/>
    <w:rsid w:val="32412074"/>
    <w:rsid w:val="32DE0199"/>
    <w:rsid w:val="33353039"/>
    <w:rsid w:val="335B2774"/>
    <w:rsid w:val="339A479B"/>
    <w:rsid w:val="33A4642E"/>
    <w:rsid w:val="33D4039C"/>
    <w:rsid w:val="33D47E05"/>
    <w:rsid w:val="3413677D"/>
    <w:rsid w:val="342B544B"/>
    <w:rsid w:val="34395261"/>
    <w:rsid w:val="349A7C69"/>
    <w:rsid w:val="34C06413"/>
    <w:rsid w:val="34DE1E4F"/>
    <w:rsid w:val="34F07DB1"/>
    <w:rsid w:val="35B2048C"/>
    <w:rsid w:val="35D354B8"/>
    <w:rsid w:val="35D4025C"/>
    <w:rsid w:val="360B5E16"/>
    <w:rsid w:val="362666BC"/>
    <w:rsid w:val="367B5207"/>
    <w:rsid w:val="368A6B11"/>
    <w:rsid w:val="36A302BA"/>
    <w:rsid w:val="36E65423"/>
    <w:rsid w:val="36F37E4A"/>
    <w:rsid w:val="37085B1F"/>
    <w:rsid w:val="372E04CB"/>
    <w:rsid w:val="372F117B"/>
    <w:rsid w:val="38C017FC"/>
    <w:rsid w:val="390D33AB"/>
    <w:rsid w:val="391E6D06"/>
    <w:rsid w:val="3986014B"/>
    <w:rsid w:val="39900E42"/>
    <w:rsid w:val="39DF52AB"/>
    <w:rsid w:val="3A074847"/>
    <w:rsid w:val="3A2B7BBB"/>
    <w:rsid w:val="3A583210"/>
    <w:rsid w:val="3A942275"/>
    <w:rsid w:val="3A944AE9"/>
    <w:rsid w:val="3A9B19D4"/>
    <w:rsid w:val="3AA90FE6"/>
    <w:rsid w:val="3AA9318F"/>
    <w:rsid w:val="3AB62DA0"/>
    <w:rsid w:val="3B7D3FD5"/>
    <w:rsid w:val="3B7F12F6"/>
    <w:rsid w:val="3B823DDF"/>
    <w:rsid w:val="3C237ED3"/>
    <w:rsid w:val="3CAA596A"/>
    <w:rsid w:val="3CB1587B"/>
    <w:rsid w:val="3CB735F2"/>
    <w:rsid w:val="3D0D25E5"/>
    <w:rsid w:val="3D186684"/>
    <w:rsid w:val="3D8B2178"/>
    <w:rsid w:val="3DA32BB0"/>
    <w:rsid w:val="3DD115F5"/>
    <w:rsid w:val="3DE435F0"/>
    <w:rsid w:val="3DE5122C"/>
    <w:rsid w:val="3DF37E53"/>
    <w:rsid w:val="3ED26DE9"/>
    <w:rsid w:val="3EED17D0"/>
    <w:rsid w:val="3F0C0304"/>
    <w:rsid w:val="3FC25C2F"/>
    <w:rsid w:val="3FEC147E"/>
    <w:rsid w:val="40376375"/>
    <w:rsid w:val="407209E5"/>
    <w:rsid w:val="40B31894"/>
    <w:rsid w:val="412732B7"/>
    <w:rsid w:val="4127791F"/>
    <w:rsid w:val="41281794"/>
    <w:rsid w:val="413C1FDF"/>
    <w:rsid w:val="418331C2"/>
    <w:rsid w:val="41B0259C"/>
    <w:rsid w:val="41BC6F1C"/>
    <w:rsid w:val="41EF2363"/>
    <w:rsid w:val="41F77860"/>
    <w:rsid w:val="42025BE2"/>
    <w:rsid w:val="42323A7F"/>
    <w:rsid w:val="424A4B98"/>
    <w:rsid w:val="42581D3A"/>
    <w:rsid w:val="42584B94"/>
    <w:rsid w:val="42AD752A"/>
    <w:rsid w:val="42FE0080"/>
    <w:rsid w:val="431467C7"/>
    <w:rsid w:val="43315D2E"/>
    <w:rsid w:val="434D1CD9"/>
    <w:rsid w:val="43824A1C"/>
    <w:rsid w:val="43D110E1"/>
    <w:rsid w:val="43E873C9"/>
    <w:rsid w:val="440178DB"/>
    <w:rsid w:val="44905B1F"/>
    <w:rsid w:val="44DC7EDD"/>
    <w:rsid w:val="44E22FFB"/>
    <w:rsid w:val="45316885"/>
    <w:rsid w:val="45421DBD"/>
    <w:rsid w:val="457E43CC"/>
    <w:rsid w:val="45A95EE9"/>
    <w:rsid w:val="45FB0F21"/>
    <w:rsid w:val="465B4795"/>
    <w:rsid w:val="46F60D44"/>
    <w:rsid w:val="470D5A07"/>
    <w:rsid w:val="47200EE3"/>
    <w:rsid w:val="472753AE"/>
    <w:rsid w:val="472E3BD0"/>
    <w:rsid w:val="47435AC2"/>
    <w:rsid w:val="47544B78"/>
    <w:rsid w:val="47587AF7"/>
    <w:rsid w:val="47745A86"/>
    <w:rsid w:val="47E239AC"/>
    <w:rsid w:val="480F4B73"/>
    <w:rsid w:val="48DB38E3"/>
    <w:rsid w:val="48DD0A15"/>
    <w:rsid w:val="49001B5E"/>
    <w:rsid w:val="49376DB0"/>
    <w:rsid w:val="49804BB7"/>
    <w:rsid w:val="49826DCB"/>
    <w:rsid w:val="499013E7"/>
    <w:rsid w:val="49C8088A"/>
    <w:rsid w:val="4A301C93"/>
    <w:rsid w:val="4A3302AB"/>
    <w:rsid w:val="4A4A4BFA"/>
    <w:rsid w:val="4AC85D49"/>
    <w:rsid w:val="4AE308A9"/>
    <w:rsid w:val="4B9A1456"/>
    <w:rsid w:val="4BA32C82"/>
    <w:rsid w:val="4BE70627"/>
    <w:rsid w:val="4C0A5AE1"/>
    <w:rsid w:val="4C130AB8"/>
    <w:rsid w:val="4C5A284D"/>
    <w:rsid w:val="4C9C05BC"/>
    <w:rsid w:val="4CB96B43"/>
    <w:rsid w:val="4CD63947"/>
    <w:rsid w:val="4CFC49F4"/>
    <w:rsid w:val="4D073D73"/>
    <w:rsid w:val="4D1E27BA"/>
    <w:rsid w:val="4D23574A"/>
    <w:rsid w:val="4D2E3A85"/>
    <w:rsid w:val="4D4C4DB0"/>
    <w:rsid w:val="4D7322D5"/>
    <w:rsid w:val="4DD7034C"/>
    <w:rsid w:val="4DE312CB"/>
    <w:rsid w:val="4E0D4016"/>
    <w:rsid w:val="4E1F4862"/>
    <w:rsid w:val="4E2E4393"/>
    <w:rsid w:val="4E535EF2"/>
    <w:rsid w:val="4EAA19A9"/>
    <w:rsid w:val="4EDD4BFC"/>
    <w:rsid w:val="4F017C92"/>
    <w:rsid w:val="4F08773C"/>
    <w:rsid w:val="4F31409F"/>
    <w:rsid w:val="4F817C52"/>
    <w:rsid w:val="4F846A83"/>
    <w:rsid w:val="50070E2C"/>
    <w:rsid w:val="504B57F2"/>
    <w:rsid w:val="50C62BC7"/>
    <w:rsid w:val="50E65BBF"/>
    <w:rsid w:val="50ED1473"/>
    <w:rsid w:val="50F72A66"/>
    <w:rsid w:val="5123368C"/>
    <w:rsid w:val="5130747C"/>
    <w:rsid w:val="515C765A"/>
    <w:rsid w:val="51905BB3"/>
    <w:rsid w:val="51946FCB"/>
    <w:rsid w:val="51A52CE0"/>
    <w:rsid w:val="51DD796B"/>
    <w:rsid w:val="51DF373B"/>
    <w:rsid w:val="51F43C48"/>
    <w:rsid w:val="520D3136"/>
    <w:rsid w:val="529E3882"/>
    <w:rsid w:val="52EF4CB5"/>
    <w:rsid w:val="52F959F0"/>
    <w:rsid w:val="5302488E"/>
    <w:rsid w:val="53357698"/>
    <w:rsid w:val="539A4AC7"/>
    <w:rsid w:val="54345897"/>
    <w:rsid w:val="54672CD7"/>
    <w:rsid w:val="54A61722"/>
    <w:rsid w:val="54B31FAF"/>
    <w:rsid w:val="55326D63"/>
    <w:rsid w:val="5550794C"/>
    <w:rsid w:val="555D1A10"/>
    <w:rsid w:val="569C26D6"/>
    <w:rsid w:val="56AC4A78"/>
    <w:rsid w:val="56DB16B9"/>
    <w:rsid w:val="56F91B04"/>
    <w:rsid w:val="571A77B4"/>
    <w:rsid w:val="571B3530"/>
    <w:rsid w:val="577A3463"/>
    <w:rsid w:val="57E718ED"/>
    <w:rsid w:val="57F967AD"/>
    <w:rsid w:val="58052975"/>
    <w:rsid w:val="58E525CA"/>
    <w:rsid w:val="593D045A"/>
    <w:rsid w:val="5960739E"/>
    <w:rsid w:val="59715A31"/>
    <w:rsid w:val="59796F2C"/>
    <w:rsid w:val="598879D9"/>
    <w:rsid w:val="59896D0A"/>
    <w:rsid w:val="59B72684"/>
    <w:rsid w:val="5A373CAC"/>
    <w:rsid w:val="5A9579AE"/>
    <w:rsid w:val="5AAC290A"/>
    <w:rsid w:val="5AC468CD"/>
    <w:rsid w:val="5B342B9A"/>
    <w:rsid w:val="5B426256"/>
    <w:rsid w:val="5B630802"/>
    <w:rsid w:val="5B807F68"/>
    <w:rsid w:val="5B9A0FAF"/>
    <w:rsid w:val="5BC743E9"/>
    <w:rsid w:val="5C034D53"/>
    <w:rsid w:val="5CA36CB7"/>
    <w:rsid w:val="5DFC697C"/>
    <w:rsid w:val="5E1D6F56"/>
    <w:rsid w:val="5E52187F"/>
    <w:rsid w:val="5E620850"/>
    <w:rsid w:val="5E6A13CD"/>
    <w:rsid w:val="5E705D15"/>
    <w:rsid w:val="5E93326C"/>
    <w:rsid w:val="5EFB4BA4"/>
    <w:rsid w:val="5F5F46B5"/>
    <w:rsid w:val="5F7C1227"/>
    <w:rsid w:val="5FBA3CC0"/>
    <w:rsid w:val="5FD90D61"/>
    <w:rsid w:val="60177697"/>
    <w:rsid w:val="602329DB"/>
    <w:rsid w:val="607777D6"/>
    <w:rsid w:val="60BC76A1"/>
    <w:rsid w:val="60DF7FBD"/>
    <w:rsid w:val="60F11A9E"/>
    <w:rsid w:val="610B7637"/>
    <w:rsid w:val="61446072"/>
    <w:rsid w:val="615F5624"/>
    <w:rsid w:val="61D215CF"/>
    <w:rsid w:val="62087F4C"/>
    <w:rsid w:val="625C563D"/>
    <w:rsid w:val="626A1704"/>
    <w:rsid w:val="629F5C4E"/>
    <w:rsid w:val="62B362C8"/>
    <w:rsid w:val="62BE098C"/>
    <w:rsid w:val="62C1330E"/>
    <w:rsid w:val="62C90F25"/>
    <w:rsid w:val="6342085E"/>
    <w:rsid w:val="63631E53"/>
    <w:rsid w:val="636F415C"/>
    <w:rsid w:val="63E92F01"/>
    <w:rsid w:val="646E3CD1"/>
    <w:rsid w:val="6472739A"/>
    <w:rsid w:val="64786E14"/>
    <w:rsid w:val="647E0640"/>
    <w:rsid w:val="64917820"/>
    <w:rsid w:val="64AA1CC5"/>
    <w:rsid w:val="64BE25DF"/>
    <w:rsid w:val="65463A24"/>
    <w:rsid w:val="656B2909"/>
    <w:rsid w:val="65A3045D"/>
    <w:rsid w:val="65D97752"/>
    <w:rsid w:val="65E25E59"/>
    <w:rsid w:val="66307F76"/>
    <w:rsid w:val="66580EAF"/>
    <w:rsid w:val="666176C6"/>
    <w:rsid w:val="66694D0D"/>
    <w:rsid w:val="66C67BED"/>
    <w:rsid w:val="66F041A8"/>
    <w:rsid w:val="6721178A"/>
    <w:rsid w:val="6739399A"/>
    <w:rsid w:val="673F39DE"/>
    <w:rsid w:val="674C5D22"/>
    <w:rsid w:val="67604F32"/>
    <w:rsid w:val="67663AF8"/>
    <w:rsid w:val="67762CFD"/>
    <w:rsid w:val="677A678D"/>
    <w:rsid w:val="68011379"/>
    <w:rsid w:val="68252C37"/>
    <w:rsid w:val="68817BAC"/>
    <w:rsid w:val="689A5E59"/>
    <w:rsid w:val="68EE72DF"/>
    <w:rsid w:val="69485FEA"/>
    <w:rsid w:val="69677DC0"/>
    <w:rsid w:val="69937EC7"/>
    <w:rsid w:val="69D64558"/>
    <w:rsid w:val="6A042548"/>
    <w:rsid w:val="6A471EFD"/>
    <w:rsid w:val="6AB57116"/>
    <w:rsid w:val="6B17424A"/>
    <w:rsid w:val="6B2218FA"/>
    <w:rsid w:val="6B5E00AD"/>
    <w:rsid w:val="6B691672"/>
    <w:rsid w:val="6B9E7DD5"/>
    <w:rsid w:val="6BC93025"/>
    <w:rsid w:val="6C5E6A51"/>
    <w:rsid w:val="6C6513C3"/>
    <w:rsid w:val="6C744268"/>
    <w:rsid w:val="6CAB788B"/>
    <w:rsid w:val="6CD62D03"/>
    <w:rsid w:val="6CD97FB6"/>
    <w:rsid w:val="6CE36A9C"/>
    <w:rsid w:val="6CFD3401"/>
    <w:rsid w:val="6D4F2BB4"/>
    <w:rsid w:val="6D770CE9"/>
    <w:rsid w:val="6D930013"/>
    <w:rsid w:val="6E1204FC"/>
    <w:rsid w:val="6E1A1656"/>
    <w:rsid w:val="6E597A63"/>
    <w:rsid w:val="6E5A5288"/>
    <w:rsid w:val="6E5F44EB"/>
    <w:rsid w:val="6EE013EE"/>
    <w:rsid w:val="6EE079F1"/>
    <w:rsid w:val="6EE42C42"/>
    <w:rsid w:val="6F7F7CB0"/>
    <w:rsid w:val="6FC30AAA"/>
    <w:rsid w:val="6FD64C81"/>
    <w:rsid w:val="6FE0165C"/>
    <w:rsid w:val="6FF354DE"/>
    <w:rsid w:val="70222744"/>
    <w:rsid w:val="706D2B21"/>
    <w:rsid w:val="707B1384"/>
    <w:rsid w:val="70857A34"/>
    <w:rsid w:val="70985D3C"/>
    <w:rsid w:val="71047C73"/>
    <w:rsid w:val="7109004F"/>
    <w:rsid w:val="71103167"/>
    <w:rsid w:val="712E56F7"/>
    <w:rsid w:val="71691ABB"/>
    <w:rsid w:val="71AE1AEA"/>
    <w:rsid w:val="71CF3B6C"/>
    <w:rsid w:val="722922C6"/>
    <w:rsid w:val="724B1497"/>
    <w:rsid w:val="732D4B5D"/>
    <w:rsid w:val="73393C88"/>
    <w:rsid w:val="7362513F"/>
    <w:rsid w:val="73771D49"/>
    <w:rsid w:val="73A1354E"/>
    <w:rsid w:val="73A63AAE"/>
    <w:rsid w:val="73E93C17"/>
    <w:rsid w:val="747E3B9D"/>
    <w:rsid w:val="74A11E7D"/>
    <w:rsid w:val="74B23C98"/>
    <w:rsid w:val="755269DA"/>
    <w:rsid w:val="75590B0A"/>
    <w:rsid w:val="7582279F"/>
    <w:rsid w:val="758D1214"/>
    <w:rsid w:val="75BB71AF"/>
    <w:rsid w:val="75DE488F"/>
    <w:rsid w:val="75F01962"/>
    <w:rsid w:val="75F56562"/>
    <w:rsid w:val="760E19DF"/>
    <w:rsid w:val="765D721E"/>
    <w:rsid w:val="76676A53"/>
    <w:rsid w:val="76A853AA"/>
    <w:rsid w:val="76B620A1"/>
    <w:rsid w:val="76E52316"/>
    <w:rsid w:val="77462524"/>
    <w:rsid w:val="77A21064"/>
    <w:rsid w:val="77DF044B"/>
    <w:rsid w:val="77E34EB2"/>
    <w:rsid w:val="77FB6A67"/>
    <w:rsid w:val="781564B8"/>
    <w:rsid w:val="78224ACF"/>
    <w:rsid w:val="78A26DFF"/>
    <w:rsid w:val="78CD6DCC"/>
    <w:rsid w:val="78D07CAF"/>
    <w:rsid w:val="78DE12D7"/>
    <w:rsid w:val="79210683"/>
    <w:rsid w:val="799C3465"/>
    <w:rsid w:val="79B14EC4"/>
    <w:rsid w:val="79B46E76"/>
    <w:rsid w:val="7A2A6B4A"/>
    <w:rsid w:val="7A666C01"/>
    <w:rsid w:val="7A681070"/>
    <w:rsid w:val="7A7632E8"/>
    <w:rsid w:val="7A860C7C"/>
    <w:rsid w:val="7AB879FE"/>
    <w:rsid w:val="7B167D97"/>
    <w:rsid w:val="7B3264DD"/>
    <w:rsid w:val="7B81188A"/>
    <w:rsid w:val="7B9E2902"/>
    <w:rsid w:val="7BA9149B"/>
    <w:rsid w:val="7BC854E2"/>
    <w:rsid w:val="7C0562EC"/>
    <w:rsid w:val="7C213CD7"/>
    <w:rsid w:val="7C27683F"/>
    <w:rsid w:val="7CB14B4D"/>
    <w:rsid w:val="7CD25041"/>
    <w:rsid w:val="7CF26969"/>
    <w:rsid w:val="7D1B0177"/>
    <w:rsid w:val="7D5B4BF4"/>
    <w:rsid w:val="7DA44165"/>
    <w:rsid w:val="7DB23041"/>
    <w:rsid w:val="7E5F7809"/>
    <w:rsid w:val="7EBC3294"/>
    <w:rsid w:val="7ED56C53"/>
    <w:rsid w:val="7EEA1BAF"/>
    <w:rsid w:val="7F3D63C9"/>
    <w:rsid w:val="7FD34D39"/>
    <w:rsid w:val="7FF44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unhideWhenUsed/>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unhideWhenUsed/>
    <w:qFormat/>
    <w:uiPriority w:val="0"/>
    <w:pPr>
      <w:ind w:left="2520" w:hanging="280"/>
    </w:pPr>
    <w:rPr>
      <w:rFonts w:eastAsia="仿宋"/>
      <w:sz w:val="28"/>
    </w:rPr>
  </w:style>
  <w:style w:type="paragraph" w:styleId="30">
    <w:name w:val="toc 2"/>
    <w:basedOn w:val="1"/>
    <w:next w:val="1"/>
    <w:autoRedefine/>
    <w:unhideWhenUsed/>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semiHidden/>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semiHidden/>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locked/>
    <w:uiPriority w:val="99"/>
  </w:style>
  <w:style w:type="character" w:customStyle="1" w:styleId="53">
    <w:name w:val="批注主题 字符"/>
    <w:link w:val="35"/>
    <w:autoRedefine/>
    <w:qFormat/>
    <w:locked/>
    <w:uiPriority w:val="0"/>
    <w:rPr>
      <w:b/>
    </w:rPr>
  </w:style>
  <w:style w:type="character" w:customStyle="1" w:styleId="54">
    <w:name w:val="正文文本缩进 3 字符"/>
    <w:link w:val="28"/>
    <w:autoRedefine/>
    <w:qFormat/>
    <w:locked/>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locked/>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locked/>
    <w:uiPriority w:val="99"/>
    <w:rPr>
      <w:sz w:val="18"/>
    </w:rPr>
  </w:style>
  <w:style w:type="character" w:customStyle="1" w:styleId="61">
    <w:name w:val="BODY TEXT Char"/>
    <w:link w:val="62"/>
    <w:autoRedefine/>
    <w:qFormat/>
    <w:locked/>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locked/>
    <w:uiPriority w:val="0"/>
  </w:style>
  <w:style w:type="character" w:customStyle="1" w:styleId="64">
    <w:name w:val="标题 字符"/>
    <w:link w:val="34"/>
    <w:autoRedefine/>
    <w:qFormat/>
    <w:locked/>
    <w:uiPriority w:val="0"/>
    <w:rPr>
      <w:rFonts w:ascii="Arial" w:hAnsi="Arial"/>
      <w:b/>
      <w:sz w:val="32"/>
    </w:rPr>
  </w:style>
  <w:style w:type="character" w:customStyle="1" w:styleId="65">
    <w:name w:val="日期 字符"/>
    <w:link w:val="19"/>
    <w:autoRedefine/>
    <w:qFormat/>
    <w:locked/>
    <w:uiPriority w:val="99"/>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locked/>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locked/>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locked/>
    <w:uiPriority w:val="0"/>
    <w:rPr>
      <w:rFonts w:ascii="宋体" w:hAnsi="Courier New"/>
    </w:rPr>
  </w:style>
  <w:style w:type="character" w:customStyle="1" w:styleId="75">
    <w:name w:val="页脚 字符"/>
    <w:link w:val="22"/>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semiHidden/>
    <w:qFormat/>
    <w:uiPriority w:val="99"/>
    <w:rPr>
      <w:rFonts w:ascii="Microsoft YaHei UI" w:eastAsia="Microsoft YaHei UI"/>
      <w:sz w:val="18"/>
      <w:szCs w:val="18"/>
    </w:rPr>
  </w:style>
  <w:style w:type="character" w:customStyle="1" w:styleId="83">
    <w:name w:val="文档结构图 字符11"/>
    <w:basedOn w:val="40"/>
    <w:autoRedefine/>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hAnsi="Courier New" w:cs="Courier New" w:asciiTheme="minorEastAsia"/>
    </w:rPr>
  </w:style>
  <w:style w:type="character" w:customStyle="1" w:styleId="86">
    <w:name w:val="纯文本 字符11"/>
    <w:basedOn w:val="40"/>
    <w:autoRedefine/>
    <w:qFormat/>
    <w:uiPriority w:val="0"/>
    <w:rPr>
      <w:rFonts w:hAnsi="Courier New" w:cs="Courier New" w:asciiTheme="minorEastAsia" w:eastAsiaTheme="minorEastAsia"/>
      <w:kern w:val="2"/>
      <w:sz w:val="21"/>
    </w:rPr>
  </w:style>
  <w:style w:type="character" w:customStyle="1" w:styleId="87">
    <w:name w:val="页眉 字符1"/>
    <w:basedOn w:val="40"/>
    <w:autoRedefine/>
    <w:semiHidden/>
    <w:qFormat/>
    <w:uiPriority w:val="99"/>
    <w:rPr>
      <w:sz w:val="18"/>
      <w:szCs w:val="18"/>
    </w:rPr>
  </w:style>
  <w:style w:type="character" w:customStyle="1" w:styleId="88">
    <w:name w:val="页眉 字符11"/>
    <w:basedOn w:val="40"/>
    <w:autoRedefine/>
    <w:semiHidden/>
    <w:qFormat/>
    <w:uiPriority w:val="99"/>
    <w:rPr>
      <w:rFonts w:cs="Times New Roman"/>
      <w:kern w:val="2"/>
      <w:sz w:val="18"/>
      <w:szCs w:val="18"/>
    </w:rPr>
  </w:style>
  <w:style w:type="character" w:customStyle="1" w:styleId="89">
    <w:name w:val="批注框文本 字符1"/>
    <w:basedOn w:val="40"/>
    <w:autoRedefine/>
    <w:semiHidden/>
    <w:qFormat/>
    <w:uiPriority w:val="99"/>
    <w:rPr>
      <w:sz w:val="18"/>
      <w:szCs w:val="18"/>
    </w:rPr>
  </w:style>
  <w:style w:type="character" w:customStyle="1" w:styleId="90">
    <w:name w:val="批注框文本 字符11"/>
    <w:basedOn w:val="40"/>
    <w:autoRedefine/>
    <w:semiHidden/>
    <w:qFormat/>
    <w:uiPriority w:val="99"/>
    <w:rPr>
      <w:rFonts w:cs="Times New Roman"/>
      <w:kern w:val="2"/>
      <w:sz w:val="18"/>
      <w:szCs w:val="18"/>
    </w:rPr>
  </w:style>
  <w:style w:type="character" w:customStyle="1" w:styleId="91">
    <w:name w:val="日期 字符1"/>
    <w:basedOn w:val="40"/>
    <w:autoRedefine/>
    <w:semiHidden/>
    <w:qFormat/>
    <w:uiPriority w:val="99"/>
  </w:style>
  <w:style w:type="character" w:customStyle="1" w:styleId="92">
    <w:name w:val="日期 字符11"/>
    <w:basedOn w:val="40"/>
    <w:autoRedefine/>
    <w:semiHidden/>
    <w:qFormat/>
    <w:uiPriority w:val="99"/>
    <w:rPr>
      <w:rFonts w:cs="Times New Roman"/>
      <w:kern w:val="2"/>
      <w:sz w:val="21"/>
    </w:rPr>
  </w:style>
  <w:style w:type="character" w:customStyle="1" w:styleId="93">
    <w:name w:val="页脚 字符1"/>
    <w:basedOn w:val="40"/>
    <w:autoRedefine/>
    <w:semiHidden/>
    <w:qFormat/>
    <w:uiPriority w:val="99"/>
    <w:rPr>
      <w:sz w:val="18"/>
      <w:szCs w:val="18"/>
    </w:rPr>
  </w:style>
  <w:style w:type="character" w:customStyle="1" w:styleId="94">
    <w:name w:val="页脚 字符11"/>
    <w:basedOn w:val="40"/>
    <w:autoRedefine/>
    <w:semiHidden/>
    <w:qFormat/>
    <w:uiPriority w:val="99"/>
    <w:rPr>
      <w:rFonts w:cs="Times New Roman"/>
      <w:kern w:val="2"/>
      <w:sz w:val="18"/>
      <w:szCs w:val="18"/>
    </w:rPr>
  </w:style>
  <w:style w:type="character" w:customStyle="1" w:styleId="95">
    <w:name w:val="正文文本缩进 2 字符1"/>
    <w:basedOn w:val="40"/>
    <w:autoRedefine/>
    <w:semiHidden/>
    <w:qFormat/>
    <w:uiPriority w:val="99"/>
  </w:style>
  <w:style w:type="character" w:customStyle="1" w:styleId="96">
    <w:name w:val="正文文本缩进 2 字符11"/>
    <w:basedOn w:val="40"/>
    <w:autoRedefine/>
    <w:semiHidden/>
    <w:qFormat/>
    <w:uiPriority w:val="99"/>
    <w:rPr>
      <w:rFonts w:cs="Times New Roman"/>
      <w:kern w:val="2"/>
      <w:sz w:val="21"/>
    </w:rPr>
  </w:style>
  <w:style w:type="character" w:customStyle="1" w:styleId="97">
    <w:name w:val="正文文本缩进 3 字符1"/>
    <w:basedOn w:val="40"/>
    <w:autoRedefine/>
    <w:semiHidden/>
    <w:qFormat/>
    <w:uiPriority w:val="99"/>
    <w:rPr>
      <w:sz w:val="16"/>
      <w:szCs w:val="16"/>
    </w:rPr>
  </w:style>
  <w:style w:type="character" w:customStyle="1" w:styleId="98">
    <w:name w:val="正文文本缩进 3 字符11"/>
    <w:basedOn w:val="40"/>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0"/>
    <w:autoRedefine/>
    <w:qFormat/>
    <w:uiPriority w:val="10"/>
    <w:rPr>
      <w:rFonts w:asciiTheme="majorHAnsi" w:hAnsiTheme="majorHAnsi" w:eastAsiaTheme="majorEastAsia" w:cstheme="majorBidi"/>
      <w:b/>
      <w:bCs/>
      <w:sz w:val="32"/>
      <w:szCs w:val="32"/>
    </w:rPr>
  </w:style>
  <w:style w:type="character" w:customStyle="1" w:styleId="102">
    <w:name w:val="标题 字符11"/>
    <w:basedOn w:val="40"/>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eastAsia="黑体" w:asciiTheme="minorHAnsi" w:hAnsiTheme="minorHAnsi" w:cstheme="minorBidi"/>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
    <w:autoRedefine/>
    <w:unhideWhenUsed/>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locked/>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114</Pages>
  <Words>5948</Words>
  <Characters>6494</Characters>
  <Lines>103</Lines>
  <Paragraphs>97</Paragraphs>
  <TotalTime>12</TotalTime>
  <ScaleCrop>false</ScaleCrop>
  <LinksUpToDate>false</LinksUpToDate>
  <CharactersWithSpaces>6604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2023-04-10T06:57:00Z</cp:lastPrinted>
  <dcterms:modified xsi:type="dcterms:W3CDTF">2025-05-07T00:46:16Z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