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35F89">
      <w:pPr>
        <w:jc w:val="center"/>
        <w:rPr>
          <w:rFonts w:ascii="Times New Roman" w:hAnsi="Times New Roman" w:eastAsia="仿宋_GB2312"/>
          <w:sz w:val="28"/>
          <w:szCs w:val="48"/>
        </w:rPr>
      </w:pPr>
    </w:p>
    <w:p w14:paraId="63A9134F">
      <w:pPr>
        <w:spacing w:line="900" w:lineRule="exact"/>
        <w:jc w:val="center"/>
        <w:rPr>
          <w:rFonts w:hint="eastAsia"/>
          <w:b/>
          <w:bCs/>
          <w:sz w:val="48"/>
          <w:szCs w:val="48"/>
          <w:lang w:val="en-US" w:eastAsia="zh-CN"/>
        </w:rPr>
      </w:pPr>
      <w:r>
        <w:rPr>
          <w:rFonts w:hint="eastAsia"/>
          <w:b/>
          <w:bCs/>
          <w:sz w:val="48"/>
          <w:szCs w:val="48"/>
          <w:lang w:val="en-US" w:eastAsia="zh-CN"/>
        </w:rPr>
        <w:t>中国重汽集团科技中心园区、未来</w:t>
      </w:r>
    </w:p>
    <w:p w14:paraId="6CB71B66">
      <w:pPr>
        <w:spacing w:line="900" w:lineRule="exact"/>
        <w:jc w:val="center"/>
        <w:rPr>
          <w:rFonts w:hint="eastAsia"/>
          <w:b/>
          <w:bCs/>
          <w:sz w:val="48"/>
          <w:szCs w:val="48"/>
        </w:rPr>
      </w:pPr>
      <w:r>
        <w:rPr>
          <w:rFonts w:hint="eastAsia"/>
          <w:b/>
          <w:bCs/>
          <w:sz w:val="48"/>
          <w:szCs w:val="48"/>
          <w:lang w:val="en-US" w:eastAsia="zh-CN"/>
        </w:rPr>
        <w:t>科技大厦、检测中心电气暖通系统运维项目</w:t>
      </w:r>
    </w:p>
    <w:p w14:paraId="64C7B9FA">
      <w:pPr>
        <w:jc w:val="center"/>
        <w:rPr>
          <w:rFonts w:asciiTheme="minorEastAsia" w:hAnsiTheme="minorEastAsia" w:eastAsiaTheme="minorEastAsia"/>
          <w:b/>
          <w:sz w:val="48"/>
          <w:szCs w:val="48"/>
        </w:rPr>
      </w:pPr>
    </w:p>
    <w:p w14:paraId="7E6BEF75">
      <w:pPr>
        <w:pStyle w:val="26"/>
      </w:pPr>
    </w:p>
    <w:p w14:paraId="106D7CC0">
      <w:pPr>
        <w:rPr>
          <w:rFonts w:asciiTheme="minorEastAsia" w:hAnsiTheme="minorEastAsia" w:eastAsiaTheme="minorEastAsia"/>
          <w:b/>
          <w:sz w:val="48"/>
          <w:szCs w:val="48"/>
        </w:rPr>
      </w:pPr>
    </w:p>
    <w:p w14:paraId="3C6F384A">
      <w:pPr>
        <w:jc w:val="center"/>
        <w:rPr>
          <w:rFonts w:asciiTheme="minorEastAsia" w:hAnsiTheme="minorEastAsia" w:eastAsiaTheme="minorEastAsia"/>
          <w:b/>
          <w:sz w:val="48"/>
          <w:szCs w:val="48"/>
        </w:rPr>
      </w:pPr>
      <w:r>
        <w:rPr>
          <w:rFonts w:hint="eastAsia" w:asciiTheme="minorEastAsia" w:hAnsiTheme="minorEastAsia" w:eastAsiaTheme="minorEastAsia"/>
          <w:b/>
          <w:sz w:val="48"/>
          <w:szCs w:val="48"/>
        </w:rPr>
        <w:t>招</w:t>
      </w:r>
    </w:p>
    <w:p w14:paraId="48EF26F9">
      <w:pPr>
        <w:jc w:val="center"/>
        <w:rPr>
          <w:rFonts w:asciiTheme="minorEastAsia" w:hAnsiTheme="minorEastAsia" w:eastAsiaTheme="minorEastAsia"/>
          <w:b/>
          <w:sz w:val="48"/>
          <w:szCs w:val="48"/>
        </w:rPr>
      </w:pPr>
    </w:p>
    <w:p w14:paraId="65A54AD9">
      <w:pPr>
        <w:jc w:val="center"/>
        <w:rPr>
          <w:rFonts w:asciiTheme="minorEastAsia" w:hAnsiTheme="minorEastAsia" w:eastAsiaTheme="minorEastAsia"/>
          <w:b/>
          <w:sz w:val="48"/>
          <w:szCs w:val="48"/>
        </w:rPr>
      </w:pPr>
      <w:r>
        <w:rPr>
          <w:rFonts w:hint="eastAsia" w:asciiTheme="minorEastAsia" w:hAnsiTheme="minorEastAsia" w:eastAsiaTheme="minorEastAsia"/>
          <w:b/>
          <w:sz w:val="48"/>
          <w:szCs w:val="48"/>
        </w:rPr>
        <w:t>标</w:t>
      </w:r>
    </w:p>
    <w:p w14:paraId="7B313729">
      <w:pPr>
        <w:jc w:val="center"/>
        <w:rPr>
          <w:rFonts w:asciiTheme="minorEastAsia" w:hAnsiTheme="minorEastAsia" w:eastAsiaTheme="minorEastAsia"/>
          <w:b/>
          <w:sz w:val="48"/>
          <w:szCs w:val="48"/>
        </w:rPr>
      </w:pPr>
    </w:p>
    <w:p w14:paraId="0268FDEC">
      <w:pPr>
        <w:jc w:val="center"/>
        <w:rPr>
          <w:rFonts w:hint="eastAsia" w:asciiTheme="minorEastAsia" w:hAnsiTheme="minorEastAsia" w:eastAsiaTheme="minorEastAsia"/>
          <w:b/>
          <w:sz w:val="48"/>
          <w:szCs w:val="48"/>
          <w:lang w:val="en-US" w:eastAsia="zh-CN"/>
        </w:rPr>
      </w:pPr>
      <w:r>
        <w:rPr>
          <w:rFonts w:hint="eastAsia" w:asciiTheme="minorEastAsia" w:hAnsiTheme="minorEastAsia" w:eastAsiaTheme="minorEastAsia"/>
          <w:b/>
          <w:sz w:val="48"/>
          <w:szCs w:val="48"/>
          <w:lang w:val="en-US" w:eastAsia="zh-CN"/>
        </w:rPr>
        <w:t>公</w:t>
      </w:r>
    </w:p>
    <w:p w14:paraId="35BD2817">
      <w:pPr>
        <w:jc w:val="both"/>
        <w:rPr>
          <w:rFonts w:hint="eastAsia" w:asciiTheme="minorEastAsia" w:hAnsiTheme="minorEastAsia" w:eastAsiaTheme="minorEastAsia"/>
          <w:b/>
          <w:sz w:val="48"/>
          <w:szCs w:val="48"/>
          <w:lang w:val="en-US" w:eastAsia="zh-CN"/>
        </w:rPr>
      </w:pPr>
    </w:p>
    <w:p w14:paraId="4C08C844">
      <w:pPr>
        <w:jc w:val="center"/>
        <w:rPr>
          <w:rFonts w:hint="default" w:asciiTheme="minorEastAsia" w:hAnsiTheme="minorEastAsia" w:eastAsiaTheme="minorEastAsia"/>
          <w:b/>
          <w:sz w:val="48"/>
          <w:szCs w:val="48"/>
          <w:lang w:val="en-US" w:eastAsia="zh-CN"/>
        </w:rPr>
      </w:pPr>
      <w:r>
        <w:rPr>
          <w:rFonts w:hint="eastAsia" w:asciiTheme="minorEastAsia" w:hAnsiTheme="minorEastAsia" w:eastAsiaTheme="minorEastAsia"/>
          <w:b/>
          <w:sz w:val="48"/>
          <w:szCs w:val="48"/>
          <w:lang w:val="en-US" w:eastAsia="zh-CN"/>
        </w:rPr>
        <w:t>告</w:t>
      </w:r>
    </w:p>
    <w:p w14:paraId="50C1D7EF">
      <w:pPr>
        <w:jc w:val="center"/>
        <w:rPr>
          <w:rFonts w:asciiTheme="minorEastAsia" w:hAnsiTheme="minorEastAsia" w:eastAsiaTheme="minorEastAsia"/>
          <w:b/>
          <w:sz w:val="48"/>
          <w:szCs w:val="48"/>
        </w:rPr>
      </w:pPr>
    </w:p>
    <w:p w14:paraId="21C937F1">
      <w:pPr>
        <w:jc w:val="center"/>
        <w:rPr>
          <w:rFonts w:asciiTheme="minorEastAsia" w:hAnsiTheme="minorEastAsia" w:eastAsiaTheme="minorEastAsia"/>
          <w:b/>
          <w:sz w:val="48"/>
          <w:szCs w:val="48"/>
        </w:rPr>
      </w:pPr>
    </w:p>
    <w:p w14:paraId="46153661">
      <w:pPr>
        <w:jc w:val="center"/>
        <w:rPr>
          <w:rFonts w:asciiTheme="minorEastAsia" w:hAnsiTheme="minorEastAsia" w:eastAsiaTheme="minorEastAsia"/>
          <w:b/>
          <w:sz w:val="48"/>
          <w:szCs w:val="48"/>
        </w:rPr>
      </w:pPr>
    </w:p>
    <w:p w14:paraId="53AF882C">
      <w:pPr>
        <w:rPr>
          <w:rFonts w:asciiTheme="minorEastAsia" w:hAnsiTheme="minorEastAsia" w:eastAsiaTheme="minorEastAsia"/>
          <w:b/>
          <w:sz w:val="48"/>
          <w:szCs w:val="48"/>
        </w:rPr>
      </w:pPr>
    </w:p>
    <w:p w14:paraId="1B89D443">
      <w:pPr>
        <w:rPr>
          <w:rFonts w:asciiTheme="minorEastAsia" w:hAnsiTheme="minorEastAsia" w:eastAsiaTheme="minorEastAsia"/>
          <w:b/>
          <w:sz w:val="48"/>
          <w:szCs w:val="48"/>
        </w:rPr>
      </w:pPr>
    </w:p>
    <w:p w14:paraId="05638CC1">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招 标 人：中国重型汽车集团有限公司</w:t>
      </w:r>
    </w:p>
    <w:p w14:paraId="36750148">
      <w:pPr>
        <w:pStyle w:val="15"/>
        <w:jc w:val="center"/>
        <w:rPr>
          <w:rFonts w:asciiTheme="minorEastAsia" w:hAnsiTheme="minorEastAsia" w:eastAsiaTheme="minorEastAsia"/>
          <w:b/>
          <w:color w:val="000000"/>
          <w:sz w:val="36"/>
          <w:szCs w:val="36"/>
        </w:rPr>
      </w:pPr>
      <w:r>
        <w:rPr>
          <w:rFonts w:hint="eastAsia" w:asciiTheme="minorEastAsia" w:hAnsiTheme="minorEastAsia" w:eastAsiaTheme="minorEastAsia"/>
          <w:b/>
          <w:sz w:val="36"/>
          <w:szCs w:val="36"/>
        </w:rPr>
        <w:t xml:space="preserve"> 202</w:t>
      </w:r>
      <w:r>
        <w:rPr>
          <w:rFonts w:hint="eastAsia" w:asciiTheme="minorEastAsia" w:hAnsiTheme="minorEastAsia" w:eastAsiaTheme="minorEastAsia"/>
          <w:b/>
          <w:sz w:val="36"/>
          <w:szCs w:val="36"/>
          <w:lang w:val="en-US" w:eastAsia="zh-CN"/>
        </w:rPr>
        <w:t>5</w:t>
      </w:r>
      <w:r>
        <w:rPr>
          <w:rFonts w:hint="eastAsia" w:asciiTheme="minorEastAsia" w:hAnsiTheme="minorEastAsia" w:eastAsiaTheme="minorEastAsia"/>
          <w:b/>
          <w:sz w:val="36"/>
          <w:szCs w:val="36"/>
        </w:rPr>
        <w:t>年</w:t>
      </w:r>
      <w:r>
        <w:rPr>
          <w:rFonts w:hint="eastAsia" w:asciiTheme="minorEastAsia" w:hAnsiTheme="minorEastAsia" w:eastAsiaTheme="minorEastAsia"/>
          <w:b/>
          <w:sz w:val="36"/>
          <w:szCs w:val="36"/>
          <w:lang w:val="en-US" w:eastAsia="zh-CN"/>
        </w:rPr>
        <w:t>4</w:t>
      </w:r>
      <w:r>
        <w:rPr>
          <w:rFonts w:hint="eastAsia" w:asciiTheme="minorEastAsia" w:hAnsiTheme="minorEastAsia" w:eastAsiaTheme="minorEastAsia"/>
          <w:b/>
          <w:sz w:val="36"/>
          <w:szCs w:val="36"/>
        </w:rPr>
        <w:t>月</w:t>
      </w:r>
    </w:p>
    <w:p w14:paraId="0E28C249">
      <w:r>
        <w:rPr>
          <w:rFonts w:asciiTheme="minorEastAsia" w:hAnsiTheme="minorEastAsia" w:eastAsiaTheme="minorEastAsia"/>
          <w:sz w:val="32"/>
          <w:szCs w:val="32"/>
        </w:rPr>
        <w:br w:type="page"/>
      </w:r>
    </w:p>
    <w:p w14:paraId="7F132CE2">
      <w:pPr>
        <w:pStyle w:val="15"/>
        <w:spacing w:line="360" w:lineRule="auto"/>
        <w:jc w:val="center"/>
        <w:rPr>
          <w:rFonts w:ascii="Times New Roman" w:hAnsi="Times New Roman" w:eastAsia="黑体"/>
          <w:b/>
          <w:bCs/>
          <w:color w:val="000000"/>
          <w:sz w:val="36"/>
          <w:szCs w:val="36"/>
        </w:rPr>
      </w:pPr>
      <w:r>
        <w:rPr>
          <w:rFonts w:hint="eastAsia" w:ascii="Times New Roman" w:hAnsi="Times New Roman" w:cs="宋体"/>
          <w:b/>
          <w:bCs/>
          <w:color w:val="000000"/>
          <w:sz w:val="36"/>
          <w:szCs w:val="36"/>
        </w:rPr>
        <w:t xml:space="preserve">  招标公告</w:t>
      </w:r>
    </w:p>
    <w:p w14:paraId="6AD214DA">
      <w:pPr>
        <w:pStyle w:val="15"/>
        <w:spacing w:line="360" w:lineRule="auto"/>
        <w:rPr>
          <w:rFonts w:cs="宋体" w:asciiTheme="minorEastAsia" w:hAnsiTheme="minorEastAsia" w:eastAsiaTheme="minorEastAsia"/>
          <w:b/>
          <w:bCs/>
          <w:color w:val="000000"/>
          <w:szCs w:val="24"/>
        </w:rPr>
      </w:pPr>
      <w:r>
        <w:rPr>
          <w:rFonts w:hint="eastAsia" w:cs="宋体" w:asciiTheme="minorEastAsia" w:hAnsiTheme="minorEastAsia" w:eastAsiaTheme="minorEastAsia"/>
          <w:b/>
          <w:bCs/>
          <w:color w:val="000000"/>
          <w:szCs w:val="24"/>
        </w:rPr>
        <w:t>一、项目名称</w:t>
      </w:r>
    </w:p>
    <w:p w14:paraId="7595B757">
      <w:pPr>
        <w:spacing w:line="360" w:lineRule="auto"/>
        <w:ind w:firstLine="480" w:firstLineChars="200"/>
        <w:rPr>
          <w:rFonts w:cs="宋体" w:asciiTheme="minorEastAsia" w:hAnsiTheme="minorEastAsia" w:eastAsiaTheme="minorEastAsia"/>
          <w:color w:val="000000"/>
          <w:szCs w:val="24"/>
        </w:rPr>
      </w:pPr>
      <w:r>
        <w:rPr>
          <w:rFonts w:hint="eastAsia" w:asciiTheme="minorEastAsia" w:hAnsiTheme="minorEastAsia" w:eastAsiaTheme="minorEastAsia"/>
          <w:color w:val="000000"/>
          <w:szCs w:val="24"/>
        </w:rPr>
        <w:t>项目名</w:t>
      </w:r>
      <w:r>
        <w:rPr>
          <w:rFonts w:hint="eastAsia" w:cs="宋体" w:asciiTheme="minorEastAsia" w:hAnsiTheme="minorEastAsia" w:eastAsiaTheme="minorEastAsia"/>
          <w:color w:val="000000"/>
          <w:szCs w:val="24"/>
        </w:rPr>
        <w:t>称：</w:t>
      </w:r>
      <w:r>
        <w:rPr>
          <w:rFonts w:hint="eastAsia" w:ascii="Times New Roman" w:hAnsi="Times New Roman" w:cs="宋体"/>
          <w:color w:val="000000"/>
          <w:szCs w:val="24"/>
          <w:lang w:val="en-US" w:eastAsia="zh-CN"/>
        </w:rPr>
        <w:t>中国重汽集团科技中心园区、未来科技大厦、检测中心电气暖通系统运维项目</w:t>
      </w:r>
    </w:p>
    <w:p w14:paraId="140D52D3">
      <w:pPr>
        <w:pStyle w:val="15"/>
        <w:spacing w:line="360" w:lineRule="auto"/>
        <w:rPr>
          <w:rFonts w:cs="宋体" w:asciiTheme="minorEastAsia" w:hAnsiTheme="minorEastAsia" w:eastAsiaTheme="minorEastAsia"/>
          <w:b/>
          <w:bCs/>
          <w:color w:val="000000"/>
          <w:szCs w:val="24"/>
        </w:rPr>
      </w:pPr>
      <w:r>
        <w:rPr>
          <w:rFonts w:hint="eastAsia" w:cs="宋体" w:asciiTheme="minorEastAsia" w:hAnsiTheme="minorEastAsia" w:eastAsiaTheme="minorEastAsia"/>
          <w:b/>
          <w:bCs/>
          <w:color w:val="000000"/>
          <w:szCs w:val="24"/>
        </w:rPr>
        <w:t>二、招标内容及形式</w:t>
      </w:r>
    </w:p>
    <w:p w14:paraId="7C41254E">
      <w:pPr>
        <w:spacing w:line="360" w:lineRule="auto"/>
        <w:ind w:firstLine="480" w:firstLineChars="200"/>
        <w:rPr>
          <w:rFonts w:hint="default" w:eastAsia="宋体" w:cs="宋体" w:asciiTheme="minorEastAsia" w:hAnsiTheme="minorEastAsia"/>
          <w:color w:val="000000"/>
          <w:szCs w:val="24"/>
          <w:u w:val="single"/>
          <w:lang w:val="en-US" w:eastAsia="zh-CN"/>
        </w:rPr>
      </w:pPr>
      <w:r>
        <w:rPr>
          <w:rFonts w:hint="eastAsia" w:asciiTheme="minorEastAsia" w:hAnsiTheme="minorEastAsia" w:eastAsiaTheme="minorEastAsia"/>
          <w:color w:val="000000"/>
          <w:szCs w:val="24"/>
        </w:rPr>
        <w:t>1、招标内容：</w:t>
      </w:r>
      <w:r>
        <w:rPr>
          <w:rFonts w:hint="eastAsia" w:ascii="Times New Roman" w:hAnsi="Times New Roman" w:cs="宋体"/>
          <w:color w:val="000000"/>
          <w:szCs w:val="24"/>
        </w:rPr>
        <w:t>科技中心园区</w:t>
      </w:r>
      <w:r>
        <w:rPr>
          <w:rFonts w:hint="eastAsia" w:ascii="Times New Roman" w:hAnsi="Times New Roman" w:cs="宋体"/>
          <w:color w:val="000000"/>
          <w:szCs w:val="24"/>
          <w:lang w:eastAsia="zh-CN"/>
        </w:rPr>
        <w:t>、</w:t>
      </w:r>
      <w:r>
        <w:rPr>
          <w:rFonts w:hint="eastAsia" w:ascii="Times New Roman" w:hAnsi="Times New Roman" w:cs="宋体"/>
          <w:color w:val="000000"/>
          <w:szCs w:val="24"/>
        </w:rPr>
        <w:t>章丘试验室</w:t>
      </w:r>
      <w:r>
        <w:rPr>
          <w:rFonts w:hint="eastAsia" w:ascii="Times New Roman" w:hAnsi="Times New Roman" w:cs="宋体"/>
          <w:color w:val="000000"/>
          <w:szCs w:val="24"/>
          <w:lang w:val="en-US" w:eastAsia="zh-CN"/>
        </w:rPr>
        <w:t>及未来科技大厦</w:t>
      </w:r>
      <w:r>
        <w:rPr>
          <w:rFonts w:hint="eastAsia" w:ascii="Times New Roman" w:hAnsi="Times New Roman" w:cs="宋体"/>
          <w:color w:val="000000"/>
          <w:szCs w:val="24"/>
        </w:rPr>
        <w:t>电气系统、暖通系统运维管理</w:t>
      </w:r>
      <w:r>
        <w:rPr>
          <w:rFonts w:hint="eastAsia" w:ascii="Times New Roman" w:hAnsi="Times New Roman" w:cs="宋体"/>
          <w:color w:val="000000"/>
          <w:szCs w:val="24"/>
          <w:lang w:eastAsia="zh-CN"/>
        </w:rPr>
        <w:t>；</w:t>
      </w:r>
    </w:p>
    <w:p w14:paraId="7998FF79">
      <w:pPr>
        <w:pStyle w:val="15"/>
        <w:spacing w:line="360" w:lineRule="auto"/>
        <w:ind w:firstLine="480" w:firstLineChars="200"/>
        <w:rPr>
          <w:rFonts w:hint="default" w:asciiTheme="minorEastAsia" w:hAnsiTheme="minorEastAsia" w:eastAsiaTheme="minorEastAsia"/>
          <w:color w:val="000000"/>
          <w:szCs w:val="24"/>
          <w:lang w:val="en-US"/>
        </w:rPr>
      </w:pPr>
      <w:r>
        <w:rPr>
          <w:rFonts w:hint="eastAsia" w:asciiTheme="minorEastAsia" w:hAnsiTheme="minorEastAsia" w:eastAsiaTheme="minorEastAsia"/>
          <w:color w:val="000000"/>
          <w:szCs w:val="24"/>
        </w:rPr>
        <w:t>2、招标形式-公开招标</w:t>
      </w:r>
      <w:r>
        <w:rPr>
          <w:rFonts w:hint="eastAsia" w:asciiTheme="minorEastAsia" w:hAnsiTheme="minorEastAsia" w:eastAsiaTheme="minorEastAsia"/>
          <w:color w:val="000000"/>
          <w:szCs w:val="24"/>
          <w:lang w:eastAsia="zh-CN"/>
        </w:rPr>
        <w:t>；</w:t>
      </w:r>
    </w:p>
    <w:p w14:paraId="7E4A108F">
      <w:pPr>
        <w:pStyle w:val="15"/>
        <w:spacing w:line="360" w:lineRule="auto"/>
        <w:ind w:firstLine="482" w:firstLineChars="200"/>
        <w:rPr>
          <w:rFonts w:asciiTheme="minorEastAsia" w:hAnsiTheme="minorEastAsia" w:eastAsiaTheme="minorEastAsia"/>
          <w:b/>
          <w:color w:val="000000"/>
          <w:szCs w:val="24"/>
        </w:rPr>
      </w:pPr>
      <w:r>
        <w:rPr>
          <w:rFonts w:hint="eastAsia" w:asciiTheme="minorEastAsia" w:hAnsiTheme="minorEastAsia" w:eastAsiaTheme="minorEastAsia"/>
          <w:b/>
          <w:color w:val="000000"/>
          <w:szCs w:val="24"/>
        </w:rPr>
        <w:t>具体要求详见《技术协议书》。</w:t>
      </w:r>
    </w:p>
    <w:p w14:paraId="2BDF9DC2">
      <w:pPr>
        <w:spacing w:line="360" w:lineRule="auto"/>
        <w:rPr>
          <w:rFonts w:asciiTheme="minorEastAsia" w:hAnsiTheme="minorEastAsia" w:eastAsiaTheme="minorEastAsia"/>
          <w:b/>
          <w:szCs w:val="24"/>
        </w:rPr>
      </w:pPr>
      <w:bookmarkStart w:id="0" w:name="_Toc247513943"/>
      <w:bookmarkStart w:id="1" w:name="_Toc247527544"/>
      <w:bookmarkStart w:id="2" w:name="_Toc322443868"/>
      <w:bookmarkStart w:id="3" w:name="_Toc325705433"/>
      <w:r>
        <w:rPr>
          <w:rFonts w:hint="eastAsia" w:asciiTheme="minorEastAsia" w:hAnsiTheme="minorEastAsia" w:eastAsiaTheme="minorEastAsia"/>
          <w:b/>
          <w:szCs w:val="24"/>
        </w:rPr>
        <w:t>三、项目概况与招标范围</w:t>
      </w:r>
      <w:bookmarkEnd w:id="0"/>
      <w:bookmarkEnd w:id="1"/>
      <w:bookmarkEnd w:id="2"/>
      <w:bookmarkEnd w:id="3"/>
    </w:p>
    <w:p w14:paraId="6ACA0F21">
      <w:pPr>
        <w:spacing w:line="360" w:lineRule="auto"/>
        <w:ind w:firstLine="480" w:firstLineChars="200"/>
        <w:rPr>
          <w:rFonts w:hint="eastAsia" w:ascii="Times New Roman" w:hAnsi="Times New Roman" w:cs="宋体" w:eastAsiaTheme="minorEastAsia"/>
          <w:color w:val="000000"/>
          <w:szCs w:val="24"/>
          <w:u w:val="single"/>
        </w:rPr>
      </w:pPr>
      <w:r>
        <w:rPr>
          <w:rFonts w:hint="eastAsia" w:cs="宋体" w:asciiTheme="minorEastAsia" w:hAnsiTheme="minorEastAsia" w:eastAsiaTheme="minorEastAsia"/>
          <w:color w:val="000000"/>
          <w:szCs w:val="24"/>
        </w:rPr>
        <w:t>1、项目名称：</w:t>
      </w:r>
      <w:r>
        <w:rPr>
          <w:rFonts w:hint="eastAsia" w:ascii="Times New Roman" w:hAnsi="Times New Roman" w:cs="宋体"/>
          <w:color w:val="000000"/>
          <w:szCs w:val="24"/>
        </w:rPr>
        <w:t>中国重汽集团科技中心园区、未来科技大厦、检测中心电气暖通系统运维项目</w:t>
      </w:r>
    </w:p>
    <w:p w14:paraId="414CD1FE">
      <w:pPr>
        <w:pStyle w:val="15"/>
        <w:spacing w:line="360" w:lineRule="auto"/>
        <w:ind w:firstLine="480" w:firstLineChars="200"/>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2、项目地点：</w:t>
      </w:r>
      <w:r>
        <w:rPr>
          <w:rFonts w:hint="eastAsia" w:ascii="Times New Roman" w:hAnsi="Times New Roman" w:cs="宋体"/>
          <w:color w:val="000000"/>
          <w:szCs w:val="24"/>
        </w:rPr>
        <w:t>济南市高新区华奥路777号重汽科技中心园区及章丘工业园区。</w:t>
      </w:r>
    </w:p>
    <w:p w14:paraId="258255AD">
      <w:pPr>
        <w:pStyle w:val="15"/>
        <w:spacing w:line="360" w:lineRule="auto"/>
        <w:ind w:firstLine="480" w:firstLineChars="200"/>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3、资金来源：企业自筹，已落实。</w:t>
      </w:r>
    </w:p>
    <w:p w14:paraId="087AD818">
      <w:pPr>
        <w:pStyle w:val="15"/>
        <w:spacing w:line="360" w:lineRule="auto"/>
        <w:ind w:firstLine="480" w:firstLineChars="200"/>
        <w:rPr>
          <w:rFonts w:hAnsi="宋体"/>
          <w:color w:val="000000"/>
          <w:szCs w:val="24"/>
        </w:rPr>
      </w:pPr>
      <w:r>
        <w:rPr>
          <w:rFonts w:hint="eastAsia" w:cs="宋体" w:asciiTheme="minorEastAsia" w:hAnsiTheme="minorEastAsia" w:eastAsiaTheme="minorEastAsia"/>
          <w:color w:val="000000"/>
          <w:szCs w:val="24"/>
        </w:rPr>
        <w:t>4、</w:t>
      </w:r>
      <w:r>
        <w:rPr>
          <w:rFonts w:hint="eastAsia" w:asciiTheme="minorEastAsia" w:hAnsiTheme="minorEastAsia" w:eastAsiaTheme="minorEastAsia"/>
          <w:color w:val="000000"/>
          <w:szCs w:val="24"/>
        </w:rPr>
        <w:t>付款方式：</w:t>
      </w:r>
      <w:r>
        <w:rPr>
          <w:rFonts w:hint="eastAsia" w:hAnsi="宋体"/>
          <w:szCs w:val="24"/>
        </w:rPr>
        <w:t>合同正式签署后，运维</w:t>
      </w:r>
      <w:r>
        <w:rPr>
          <w:rFonts w:hint="eastAsia" w:hAnsi="宋体"/>
          <w:kern w:val="0"/>
        </w:rPr>
        <w:t>服务费用采取按月以</w:t>
      </w:r>
      <w:r>
        <w:rPr>
          <w:rFonts w:hint="eastAsia" w:hAnsi="宋体"/>
          <w:b/>
          <w:bCs/>
          <w:kern w:val="0"/>
          <w:u w:val="single"/>
        </w:rPr>
        <w:t>半年期商业汇票（包括银行承兑汇票和商业承兑汇票）方式</w:t>
      </w:r>
      <w:r>
        <w:rPr>
          <w:rFonts w:hint="eastAsia" w:hAnsi="宋体"/>
          <w:kern w:val="0"/>
        </w:rPr>
        <w:t>支付，每月10日前由乙方向甲方提供上月服务费用和实际发生的材料费用发票，甲方收到发票后支付上月费用</w:t>
      </w:r>
      <w:r>
        <w:rPr>
          <w:rFonts w:hint="eastAsia" w:hAnsi="宋体"/>
          <w:kern w:val="0"/>
          <w:lang w:eastAsia="zh-CN"/>
        </w:rPr>
        <w:t>，</w:t>
      </w:r>
      <w:r>
        <w:rPr>
          <w:rFonts w:hint="eastAsia" w:hAnsi="宋体"/>
          <w:b/>
          <w:bCs/>
          <w:kern w:val="0"/>
          <w:lang w:val="en-US" w:eastAsia="zh-CN"/>
        </w:rPr>
        <w:t>结算按照人员据实结算</w:t>
      </w:r>
      <w:r>
        <w:rPr>
          <w:rFonts w:hint="eastAsia" w:hAnsi="宋体"/>
          <w:b/>
          <w:bCs/>
          <w:kern w:val="0"/>
        </w:rPr>
        <w:t>。</w:t>
      </w:r>
    </w:p>
    <w:p w14:paraId="6A95E3E1">
      <w:pPr>
        <w:pStyle w:val="55"/>
        <w:numPr>
          <w:ilvl w:val="0"/>
          <w:numId w:val="2"/>
        </w:numPr>
        <w:tabs>
          <w:tab w:val="left" w:pos="0"/>
        </w:tabs>
        <w:spacing w:line="360" w:lineRule="auto"/>
        <w:ind w:firstLineChars="0"/>
        <w:rPr>
          <w:rFonts w:cs="宋体" w:asciiTheme="minorEastAsia" w:hAnsiTheme="minorEastAsia" w:eastAsiaTheme="minorEastAsia"/>
          <w:b/>
          <w:bCs/>
          <w:color w:val="000000"/>
          <w:szCs w:val="24"/>
        </w:rPr>
      </w:pPr>
      <w:r>
        <w:rPr>
          <w:rFonts w:hint="eastAsia" w:cs="宋体" w:asciiTheme="minorEastAsia" w:hAnsiTheme="minorEastAsia" w:eastAsiaTheme="minorEastAsia"/>
          <w:b/>
          <w:bCs/>
          <w:color w:val="000000"/>
          <w:szCs w:val="24"/>
        </w:rPr>
        <w:t>投标说明</w:t>
      </w:r>
    </w:p>
    <w:p w14:paraId="16C8A8F8">
      <w:pPr>
        <w:pStyle w:val="15"/>
        <w:spacing w:line="360" w:lineRule="auto"/>
        <w:ind w:firstLine="482" w:firstLineChars="200"/>
        <w:rPr>
          <w:rFonts w:cs="宋体" w:asciiTheme="minorEastAsia" w:hAnsiTheme="minorEastAsia" w:eastAsiaTheme="minorEastAsia"/>
          <w:b/>
          <w:bCs/>
          <w:szCs w:val="24"/>
        </w:rPr>
      </w:pPr>
      <w:r>
        <w:rPr>
          <w:rFonts w:cs="宋体" w:asciiTheme="minorEastAsia" w:hAnsiTheme="minorEastAsia" w:eastAsiaTheme="minorEastAsia"/>
          <w:b/>
          <w:bCs/>
          <w:szCs w:val="24"/>
        </w:rPr>
        <w:t>1</w:t>
      </w:r>
      <w:r>
        <w:rPr>
          <w:rFonts w:hint="eastAsia" w:cs="宋体" w:asciiTheme="minorEastAsia" w:hAnsiTheme="minorEastAsia" w:eastAsiaTheme="minorEastAsia"/>
          <w:b/>
          <w:bCs/>
          <w:szCs w:val="24"/>
        </w:rPr>
        <w:t>、报名方式</w:t>
      </w:r>
    </w:p>
    <w:p w14:paraId="74C299F3">
      <w:pPr>
        <w:pStyle w:val="15"/>
        <w:spacing w:line="360" w:lineRule="auto"/>
        <w:ind w:firstLine="480" w:firstLineChars="200"/>
        <w:rPr>
          <w:rFonts w:hint="eastAsia" w:ascii="Times New Roman" w:hAnsi="Times New Roman" w:eastAsia="宋体" w:cs="宋体"/>
          <w:color w:val="000000"/>
          <w:szCs w:val="24"/>
        </w:rPr>
      </w:pPr>
      <w:r>
        <w:rPr>
          <w:rFonts w:hint="eastAsia" w:ascii="Times New Roman" w:hAnsi="Times New Roman" w:eastAsia="宋体" w:cs="宋体"/>
          <w:color w:val="000000"/>
          <w:szCs w:val="24"/>
        </w:rPr>
        <w:t>方式：本项目招标工作的所有过程均须在中国重汽e采通上完成，包括报名、资质审核、招标、应标、评标、审批等环节。中国重汽E采通中链接为（</w:t>
      </w:r>
      <w:r>
        <w:rPr>
          <w:rFonts w:hint="default" w:ascii="Times New Roman" w:hAnsi="Times New Roman" w:eastAsia="宋体" w:cs="宋体"/>
          <w:color w:val="000000"/>
          <w:szCs w:val="24"/>
        </w:rPr>
        <w:fldChar w:fldCharType="begin"/>
      </w:r>
      <w:r>
        <w:rPr>
          <w:rFonts w:hint="default" w:ascii="Times New Roman" w:hAnsi="Times New Roman" w:eastAsia="宋体" w:cs="宋体"/>
          <w:color w:val="000000"/>
          <w:szCs w:val="24"/>
        </w:rPr>
        <w:instrText xml:space="preserve"> HYPERLINK "http://ecaitong.sinotruk.com:8012%EF%BC%89/" \t "https://n.dingtalk.com/dingtalk-frontend/h5_combo_msg_preview_panel/index/_blank" </w:instrText>
      </w:r>
      <w:r>
        <w:rPr>
          <w:rFonts w:hint="default" w:ascii="Times New Roman" w:hAnsi="Times New Roman" w:eastAsia="宋体" w:cs="宋体"/>
          <w:color w:val="000000"/>
          <w:szCs w:val="24"/>
        </w:rPr>
        <w:fldChar w:fldCharType="separate"/>
      </w:r>
      <w:r>
        <w:rPr>
          <w:rFonts w:hint="default" w:ascii="Times New Roman" w:hAnsi="Times New Roman" w:eastAsia="宋体" w:cs="宋体"/>
          <w:color w:val="000000"/>
          <w:szCs w:val="24"/>
        </w:rPr>
        <w:t>https://ecaitong.sinotruk.com:8012/#/login）</w:t>
      </w:r>
      <w:r>
        <w:rPr>
          <w:rFonts w:hint="default" w:ascii="Times New Roman" w:hAnsi="Times New Roman" w:eastAsia="宋体" w:cs="宋体"/>
          <w:color w:val="000000"/>
          <w:szCs w:val="24"/>
        </w:rPr>
        <w:fldChar w:fldCharType="end"/>
      </w:r>
      <w:r>
        <w:rPr>
          <w:rFonts w:hint="default" w:ascii="Times New Roman" w:hAnsi="Times New Roman" w:eastAsia="宋体" w:cs="宋体"/>
          <w:color w:val="000000"/>
          <w:szCs w:val="24"/>
        </w:rPr>
        <w:t>。相关操作手册请详见注册界面供应商用户手册。未在中国重汽E采通进行注册的供方，注册时，业务主管部门选择“</w:t>
      </w:r>
      <w:r>
        <w:rPr>
          <w:rFonts w:hint="eastAsia" w:ascii="Times New Roman" w:hAnsi="Times New Roman" w:cs="宋体"/>
          <w:color w:val="000000"/>
          <w:szCs w:val="24"/>
          <w:lang w:val="en-US" w:eastAsia="zh-CN"/>
        </w:rPr>
        <w:t>制造工程</w:t>
      </w:r>
      <w:r>
        <w:rPr>
          <w:rFonts w:hint="default" w:ascii="Times New Roman" w:hAnsi="Times New Roman" w:eastAsia="宋体" w:cs="宋体"/>
          <w:color w:val="000000"/>
          <w:szCs w:val="24"/>
        </w:rPr>
        <w:t>部”，类别选择“</w:t>
      </w:r>
      <w:r>
        <w:rPr>
          <w:rFonts w:hint="eastAsia" w:ascii="Times New Roman" w:hAnsi="Times New Roman" w:eastAsia="宋体" w:cs="宋体"/>
          <w:color w:val="000000"/>
          <w:szCs w:val="24"/>
          <w:lang w:val="en-US" w:eastAsia="zh-CN"/>
        </w:rPr>
        <w:t>设备设施维保</w:t>
      </w:r>
      <w:r>
        <w:rPr>
          <w:rFonts w:hint="default" w:ascii="Times New Roman" w:hAnsi="Times New Roman" w:eastAsia="宋体" w:cs="宋体"/>
          <w:color w:val="000000"/>
          <w:szCs w:val="24"/>
        </w:rPr>
        <w:t>”。请于报名截止时间前完成注册审批，未注册完成的不允许参加相关投标报名。</w:t>
      </w:r>
    </w:p>
    <w:p w14:paraId="373297FC">
      <w:pPr>
        <w:pStyle w:val="15"/>
        <w:spacing w:line="360" w:lineRule="auto"/>
        <w:ind w:firstLine="480" w:firstLineChars="200"/>
        <w:rPr>
          <w:rFonts w:hint="default" w:ascii="Times New Roman" w:hAnsi="Times New Roman" w:eastAsia="宋体" w:cs="宋体"/>
          <w:color w:val="000000"/>
          <w:szCs w:val="24"/>
        </w:rPr>
      </w:pPr>
      <w:r>
        <w:rPr>
          <w:rFonts w:hint="eastAsia" w:ascii="Times New Roman" w:hAnsi="Times New Roman" w:eastAsia="宋体" w:cs="宋体"/>
          <w:color w:val="000000"/>
          <w:szCs w:val="24"/>
        </w:rPr>
        <w:t>投标人应标成功后在中国重汽e采通查看标书文件，投标人应自备电脑（笔记本）进行流程操作，注意应标、投标、开标、再次报价时间开始、截止节点，如错过时间节点将无法进行招投标流程节点的操作</w:t>
      </w:r>
      <w:r>
        <w:rPr>
          <w:rFonts w:hint="eastAsia" w:ascii="Times New Roman" w:hAnsi="Times New Roman" w:eastAsia="宋体" w:cs="宋体"/>
          <w:color w:val="000000"/>
          <w:szCs w:val="24"/>
          <w:lang w:eastAsia="zh-CN"/>
        </w:rPr>
        <w:t>，</w:t>
      </w:r>
      <w:r>
        <w:rPr>
          <w:rFonts w:hint="eastAsia" w:ascii="Times New Roman" w:hAnsi="Times New Roman" w:eastAsia="宋体" w:cs="宋体"/>
          <w:color w:val="000000"/>
          <w:szCs w:val="24"/>
        </w:rPr>
        <w:t>进入商务标后按招标方要求在重汽e采通进行价格报价和逐轮报价，商务标中还需提供开标一览表。</w:t>
      </w:r>
    </w:p>
    <w:p w14:paraId="41472EE3">
      <w:pPr>
        <w:pStyle w:val="15"/>
        <w:spacing w:line="360" w:lineRule="auto"/>
        <w:ind w:firstLine="480" w:firstLineChars="200"/>
        <w:rPr>
          <w:rFonts w:hint="default" w:ascii="Times New Roman" w:hAnsi="Times New Roman" w:eastAsia="宋体" w:cs="宋体"/>
          <w:color w:val="000000"/>
          <w:szCs w:val="24"/>
          <w:lang w:val="en-US" w:eastAsia="zh-CN"/>
        </w:rPr>
      </w:pPr>
      <w:r>
        <w:rPr>
          <w:rFonts w:hint="eastAsia" w:ascii="Times New Roman" w:hAnsi="Times New Roman" w:eastAsia="宋体" w:cs="宋体"/>
          <w:color w:val="000000"/>
          <w:szCs w:val="24"/>
        </w:rPr>
        <w:t>招标完成后以上所提供的所有材料投标方将纸制版（加盖红章）及电子标书（U盘）、及线上招标的所有的澄清资料送到招标人处进行备案。</w:t>
      </w:r>
    </w:p>
    <w:p w14:paraId="30D4C5A6">
      <w:pPr>
        <w:pStyle w:val="15"/>
        <w:spacing w:line="360" w:lineRule="auto"/>
        <w:ind w:firstLine="482" w:firstLineChars="200"/>
        <w:rPr>
          <w:rFonts w:asciiTheme="minorEastAsia" w:hAnsiTheme="minorEastAsia" w:eastAsiaTheme="minorEastAsia"/>
          <w:b/>
          <w:color w:val="000000"/>
          <w:szCs w:val="24"/>
        </w:rPr>
      </w:pPr>
      <w:r>
        <w:rPr>
          <w:rFonts w:hint="eastAsia" w:asciiTheme="minorEastAsia" w:hAnsiTheme="minorEastAsia" w:eastAsiaTheme="minorEastAsia"/>
          <w:b/>
          <w:bCs/>
          <w:color w:val="000000"/>
          <w:szCs w:val="24"/>
        </w:rPr>
        <w:t>2、投标条件</w:t>
      </w:r>
    </w:p>
    <w:p w14:paraId="40049C61">
      <w:pPr>
        <w:pStyle w:val="15"/>
        <w:spacing w:line="360" w:lineRule="auto"/>
        <w:ind w:firstLine="480" w:firstLineChars="200"/>
        <w:rPr>
          <w:rFonts w:hint="eastAsia" w:hAnsi="宋体" w:cs="宋体"/>
        </w:rPr>
      </w:pPr>
      <w:r>
        <w:rPr>
          <w:rFonts w:hint="eastAsia" w:hAnsi="宋体"/>
        </w:rPr>
        <w:t>⑴</w:t>
      </w:r>
      <w:r>
        <w:rPr>
          <w:rFonts w:hint="eastAsia"/>
        </w:rPr>
        <w:t>投标人须遵守《中华人民共和国招标投标法》、《中华人民共和国民法典》及其它有关的法律和法规；为中华人民共和国境内注册的独立法人机构，具有独立承担民事责任能力；</w:t>
      </w:r>
      <w:r>
        <w:rPr>
          <w:rFonts w:hint="eastAsia" w:hAnsi="宋体" w:cs="宋体"/>
        </w:rPr>
        <w:t>并在人员、设备、资金等方面具有承担本项目的能力；</w:t>
      </w:r>
    </w:p>
    <w:p w14:paraId="31888319">
      <w:pPr>
        <w:pStyle w:val="15"/>
        <w:spacing w:line="360" w:lineRule="auto"/>
        <w:ind w:firstLine="323" w:firstLineChars="134"/>
        <w:rPr>
          <w:b/>
          <w:bCs/>
          <w:color w:val="auto"/>
        </w:rPr>
      </w:pPr>
      <w:r>
        <w:rPr>
          <w:rFonts w:hint="eastAsia" w:hAnsi="宋体"/>
          <w:b/>
          <w:bCs/>
          <w:color w:val="FF0000"/>
        </w:rPr>
        <w:t>*</w:t>
      </w:r>
      <w:r>
        <w:rPr>
          <w:rFonts w:hint="eastAsia" w:hAnsi="宋体"/>
          <w:b/>
          <w:bCs/>
        </w:rPr>
        <w:t>⑵</w:t>
      </w:r>
      <w:r>
        <w:rPr>
          <w:rFonts w:hint="eastAsia"/>
          <w:b/>
          <w:bCs/>
        </w:rPr>
        <w:t>公司成立三年以上（以营业执照成立日期到开标当日满三年为准）；注册资金不少</w:t>
      </w:r>
      <w:r>
        <w:rPr>
          <w:rFonts w:hint="eastAsia"/>
          <w:b/>
          <w:bCs/>
          <w:color w:val="000000"/>
        </w:rPr>
        <w:t>于</w:t>
      </w:r>
      <w:r>
        <w:rPr>
          <w:rFonts w:hint="eastAsia"/>
          <w:b/>
          <w:bCs/>
          <w:color w:val="000000"/>
          <w:highlight w:val="none"/>
          <w:lang w:val="en-US" w:eastAsia="zh-CN"/>
        </w:rPr>
        <w:t>500</w:t>
      </w:r>
      <w:r>
        <w:rPr>
          <w:rFonts w:hint="eastAsia"/>
          <w:b/>
          <w:bCs/>
          <w:color w:val="000000"/>
        </w:rPr>
        <w:t>万</w:t>
      </w:r>
      <w:r>
        <w:rPr>
          <w:rFonts w:hint="eastAsia"/>
          <w:b/>
          <w:bCs/>
        </w:rPr>
        <w:t>元</w:t>
      </w:r>
      <w:r>
        <w:rPr>
          <w:rFonts w:hint="eastAsia" w:hAnsi="宋体"/>
          <w:b/>
          <w:bCs/>
          <w:sz w:val="24"/>
        </w:rPr>
        <w:t>；</w:t>
      </w:r>
      <w:r>
        <w:rPr>
          <w:rFonts w:hint="eastAsia" w:hAnsi="宋体"/>
          <w:b/>
          <w:bCs/>
          <w:sz w:val="24"/>
          <w:highlight w:val="green"/>
          <w:lang w:val="en-US" w:eastAsia="zh-CN"/>
        </w:rPr>
        <w:t>具有电力承修承试四级及以上资质</w:t>
      </w:r>
      <w:r>
        <w:rPr>
          <w:rFonts w:hint="eastAsia" w:hAnsi="宋体"/>
          <w:b/>
          <w:bCs/>
          <w:sz w:val="24"/>
          <w:lang w:val="en-US" w:eastAsia="zh-CN"/>
        </w:rPr>
        <w:t>，</w:t>
      </w:r>
      <w:r>
        <w:rPr>
          <w:rFonts w:hint="eastAsia"/>
          <w:b/>
          <w:bCs/>
        </w:rPr>
        <w:t>经营范围满足招标</w:t>
      </w:r>
      <w:r>
        <w:rPr>
          <w:rFonts w:hint="eastAsia"/>
          <w:b/>
          <w:bCs/>
          <w:color w:val="auto"/>
        </w:rPr>
        <w:t>项目需求；</w:t>
      </w:r>
    </w:p>
    <w:p w14:paraId="43228986">
      <w:pPr>
        <w:pStyle w:val="15"/>
        <w:spacing w:line="360" w:lineRule="auto"/>
        <w:ind w:firstLine="323" w:firstLineChars="134"/>
        <w:rPr>
          <w:b/>
          <w:bCs/>
        </w:rPr>
      </w:pPr>
      <w:r>
        <w:rPr>
          <w:rFonts w:hint="eastAsia" w:hAnsi="宋体"/>
          <w:b/>
          <w:bCs/>
          <w:color w:val="FF0000"/>
        </w:rPr>
        <w:t>*</w:t>
      </w:r>
      <w:r>
        <w:rPr>
          <w:rFonts w:hint="eastAsia"/>
          <w:b/>
          <w:bCs/>
        </w:rPr>
        <w:t>⑶投标人须提供具有统一社会信用代码的新版营业执照副本原件及（或）复印件（加盖公章）；</w:t>
      </w:r>
    </w:p>
    <w:p w14:paraId="2C290EFF">
      <w:pPr>
        <w:pStyle w:val="15"/>
        <w:spacing w:line="360" w:lineRule="auto"/>
        <w:ind w:firstLine="480" w:firstLineChars="200"/>
        <w:rPr>
          <w:b/>
        </w:rPr>
      </w:pPr>
      <w:r>
        <w:rPr>
          <w:rFonts w:hint="eastAsia" w:hAnsi="宋体"/>
        </w:rPr>
        <w:t>⑷</w:t>
      </w:r>
      <w:r>
        <w:rPr>
          <w:rFonts w:hint="eastAsia"/>
        </w:rPr>
        <w:t>具有良好的商业信誉，在国家企业信用信息公示系统中无与项目有关的行政处罚、列入经营异常名录和列入严重违法失信企业名单（黑名单）信息但上述信息已被移除的可参与投标；</w:t>
      </w:r>
    </w:p>
    <w:p w14:paraId="16CC1F52">
      <w:pPr>
        <w:pStyle w:val="15"/>
        <w:spacing w:line="360" w:lineRule="auto"/>
        <w:ind w:firstLine="480" w:firstLineChars="200"/>
      </w:pPr>
      <w:r>
        <w:rPr>
          <w:rFonts w:hint="eastAsia" w:hAnsi="宋体"/>
        </w:rPr>
        <w:t>⑸</w:t>
      </w:r>
      <w:r>
        <w:rPr>
          <w:rFonts w:hint="eastAsia"/>
        </w:rPr>
        <w:t>投标人近三年内在经营活动中无与本项目有关的违法及重大违规情况；</w:t>
      </w:r>
    </w:p>
    <w:p w14:paraId="0408F332">
      <w:pPr>
        <w:pStyle w:val="15"/>
        <w:spacing w:line="360" w:lineRule="auto"/>
        <w:ind w:firstLine="480" w:firstLineChars="200"/>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r>
        <w:rPr>
          <w:rFonts w:hint="eastAsia"/>
          <w:color w:val="FF0000"/>
        </w:rPr>
        <w:t>；</w:t>
      </w:r>
    </w:p>
    <w:p w14:paraId="1F895CAB">
      <w:pPr>
        <w:pStyle w:val="15"/>
        <w:spacing w:line="360" w:lineRule="auto"/>
        <w:ind w:firstLine="480" w:firstLineChars="200"/>
      </w:pPr>
      <w:r>
        <w:rPr>
          <w:rFonts w:hint="eastAsia" w:hAnsi="宋体"/>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4A222EE0">
      <w:pPr>
        <w:autoSpaceDE w:val="0"/>
        <w:autoSpaceDN w:val="0"/>
        <w:adjustRightInd w:val="0"/>
        <w:spacing w:line="360" w:lineRule="auto"/>
        <w:ind w:firstLine="482" w:firstLineChars="200"/>
        <w:jc w:val="left"/>
        <w:rPr>
          <w:rFonts w:hint="eastAsia" w:ascii="宋体" w:hAnsi="Courier New"/>
          <w:b/>
          <w:bCs/>
          <w:highlight w:val="none"/>
          <w:lang w:val="en-US" w:eastAsia="zh-CN"/>
        </w:rPr>
      </w:pPr>
      <w:r>
        <w:rPr>
          <w:rFonts w:hint="eastAsia" w:ascii="宋体" w:hAnsi="Courier New"/>
          <w:b/>
          <w:bCs/>
          <w:color w:val="FF0000"/>
        </w:rPr>
        <w:t>*</w:t>
      </w:r>
      <w:r>
        <w:rPr>
          <w:rFonts w:hint="eastAsia" w:ascii="宋体" w:hAnsi="Courier New"/>
          <w:b/>
          <w:bCs/>
        </w:rPr>
        <w:t>⑻</w:t>
      </w:r>
      <w:r>
        <w:rPr>
          <w:rFonts w:hint="eastAsia" w:ascii="宋体" w:hAnsi="Courier New"/>
          <w:b/>
          <w:bCs/>
          <w:highlight w:val="none"/>
          <w:lang w:val="en-US" w:eastAsia="zh-CN"/>
        </w:rPr>
        <w:t>①经会计师事务所审计且出具无保留意见的近三年（2020年至今）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 应提供中文版本的审计报告或财务报表；②企业最近半年完税证明、信用证明材料（中国人民银行信用代码证+征信报告）；③年度纳税信用评价信息（可从电子税务局查询截图，需加盖公章）；④企业对外担保说明（写明贵单位对外有无对外担保和质押业务，需加盖公章）。</w:t>
      </w:r>
    </w:p>
    <w:p w14:paraId="06ECCB9B">
      <w:pPr>
        <w:spacing w:line="360" w:lineRule="auto"/>
        <w:ind w:firstLine="482" w:firstLineChars="200"/>
        <w:rPr>
          <w:rFonts w:ascii="宋体" w:hAnsi="Courier New"/>
          <w:b/>
          <w:bCs/>
        </w:rPr>
      </w:pPr>
      <w:r>
        <w:rPr>
          <w:rFonts w:hint="eastAsia" w:hAnsi="宋体"/>
          <w:b/>
          <w:bCs/>
          <w:color w:val="FF0000"/>
        </w:rPr>
        <w:t>*</w:t>
      </w:r>
      <w:r>
        <w:rPr>
          <w:rFonts w:hint="eastAsia" w:ascii="宋体" w:hAnsi="宋体"/>
          <w:b/>
          <w:bCs/>
        </w:rPr>
        <w:t>⑼</w:t>
      </w:r>
      <w:r>
        <w:rPr>
          <w:rFonts w:hint="eastAsia" w:ascii="宋体" w:hAnsi="Courier New"/>
          <w:b/>
          <w:bCs/>
        </w:rPr>
        <w:t>投标人须提供法人授权委托书原件（在投标文件副本中可用复印件）及投标单位的法定代表人或授权代表的身份证原件及复印件（加盖公章）；</w:t>
      </w:r>
    </w:p>
    <w:p w14:paraId="3A9E7AAC">
      <w:pPr>
        <w:pStyle w:val="15"/>
        <w:spacing w:line="360" w:lineRule="auto"/>
        <w:ind w:firstLine="480" w:firstLineChars="200"/>
      </w:pPr>
      <w:r>
        <w:rPr>
          <w:rFonts w:hint="eastAsia" w:hAnsi="宋体"/>
        </w:rPr>
        <w:t>⑽</w:t>
      </w:r>
      <w:r>
        <w:rPr>
          <w:rFonts w:hint="eastAsia"/>
        </w:rPr>
        <w:t>投标人须具有履行合同所必须的设备、财务、技术、服务等方面的资质和能力；</w:t>
      </w:r>
    </w:p>
    <w:p w14:paraId="2EF904E0">
      <w:pPr>
        <w:pStyle w:val="15"/>
        <w:spacing w:line="360" w:lineRule="auto"/>
        <w:ind w:firstLine="480" w:firstLineChars="200"/>
      </w:pPr>
      <w:r>
        <w:rPr>
          <w:rFonts w:hint="eastAsia" w:hAnsi="宋体"/>
        </w:rPr>
        <w:t>⑾</w:t>
      </w:r>
      <w:r>
        <w:rPr>
          <w:rFonts w:hint="eastAsia"/>
        </w:rPr>
        <w:t>投标人须具有完全履行招标文件的所有要求的能力；</w:t>
      </w:r>
    </w:p>
    <w:p w14:paraId="63184D7C">
      <w:pPr>
        <w:pStyle w:val="15"/>
        <w:spacing w:line="360" w:lineRule="auto"/>
        <w:ind w:firstLine="480" w:firstLineChars="200"/>
        <w:rPr>
          <w:b/>
          <w:bCs/>
          <w:color w:val="auto"/>
        </w:rPr>
      </w:pPr>
      <w:r>
        <w:rPr>
          <w:rFonts w:hint="eastAsia" w:ascii="宋体" w:hAnsi="宋体" w:eastAsia="宋体" w:cs="Times New Roman"/>
        </w:rPr>
        <w:t>⑿投标人须负责提供合理的便于运输的包装物，并承担相关费用</w:t>
      </w:r>
      <w:r>
        <w:rPr>
          <w:rFonts w:hint="eastAsia" w:ascii="宋体" w:hAnsi="宋体" w:eastAsia="宋体" w:cs="Times New Roman"/>
          <w:lang w:eastAsia="zh-CN"/>
        </w:rPr>
        <w:t>；</w:t>
      </w:r>
    </w:p>
    <w:p w14:paraId="3BE44EE4">
      <w:pPr>
        <w:pStyle w:val="15"/>
        <w:spacing w:line="360" w:lineRule="auto"/>
        <w:ind w:firstLine="480" w:firstLineChars="200"/>
      </w:pPr>
      <w:r>
        <w:rPr>
          <w:rFonts w:hint="eastAsia" w:hAnsi="宋体"/>
        </w:rPr>
        <w:t>⒀</w:t>
      </w:r>
      <w:r>
        <w:rPr>
          <w:rFonts w:hint="eastAsia"/>
        </w:rPr>
        <w:t>投标人须认可招标人的工作指令，包括节、假日能正常开展工作的要求；</w:t>
      </w:r>
    </w:p>
    <w:p w14:paraId="71E3A870">
      <w:pPr>
        <w:pStyle w:val="15"/>
        <w:spacing w:line="360" w:lineRule="auto"/>
        <w:ind w:firstLine="480" w:firstLineChars="200"/>
      </w:pPr>
      <w:r>
        <w:rPr>
          <w:rFonts w:hint="eastAsia" w:hAnsi="宋体"/>
        </w:rPr>
        <w:t>⒁</w:t>
      </w:r>
      <w:r>
        <w:rPr>
          <w:rFonts w:hint="eastAsia"/>
        </w:rPr>
        <w:t>投标人须认可招标人终止合同后3个月退还履约保证金的招标要求；</w:t>
      </w:r>
    </w:p>
    <w:p w14:paraId="74A31E73">
      <w:pPr>
        <w:pStyle w:val="15"/>
        <w:spacing w:line="360" w:lineRule="auto"/>
        <w:ind w:firstLine="480" w:firstLineChars="200"/>
        <w:rPr>
          <w:b w:val="0"/>
          <w:bCs w:val="0"/>
          <w:highlight w:val="none"/>
        </w:rPr>
      </w:pPr>
      <w:r>
        <w:rPr>
          <w:rFonts w:hint="eastAsia" w:hAnsi="宋体"/>
          <w:b w:val="0"/>
          <w:bCs w:val="0"/>
          <w:highlight w:val="none"/>
        </w:rPr>
        <w:t>⒂</w:t>
      </w:r>
      <w:r>
        <w:rPr>
          <w:rFonts w:hint="eastAsia"/>
          <w:b w:val="0"/>
          <w:bCs w:val="0"/>
          <w:highlight w:val="none"/>
        </w:rPr>
        <w:t>投标人必须是最终投标、签订合同的单位，不得以任何理由将已中标项目以任何形式转包给其他单位；</w:t>
      </w:r>
    </w:p>
    <w:p w14:paraId="4B411AB7">
      <w:pPr>
        <w:pStyle w:val="15"/>
        <w:spacing w:line="360" w:lineRule="auto"/>
        <w:ind w:firstLine="480" w:firstLineChars="200"/>
        <w:rPr>
          <w:b w:val="0"/>
          <w:bCs w:val="0"/>
        </w:rPr>
      </w:pPr>
      <w:r>
        <w:rPr>
          <w:rFonts w:hint="eastAsia" w:hAnsi="宋体"/>
          <w:b w:val="0"/>
          <w:bCs w:val="0"/>
        </w:rPr>
        <w:t>⒃</w:t>
      </w:r>
      <w:r>
        <w:rPr>
          <w:rFonts w:hint="eastAsia"/>
          <w:b w:val="0"/>
          <w:bCs w:val="0"/>
        </w:rPr>
        <w:t>本次招标项目不接受联合体投标；</w:t>
      </w:r>
    </w:p>
    <w:p w14:paraId="59A660FC">
      <w:pPr>
        <w:spacing w:line="360" w:lineRule="auto"/>
        <w:ind w:firstLine="482" w:firstLineChars="200"/>
        <w:rPr>
          <w:rFonts w:hint="eastAsia" w:ascii="宋体" w:hAnsi="宋体"/>
          <w:b/>
          <w:bCs/>
        </w:rPr>
      </w:pPr>
      <w:r>
        <w:rPr>
          <w:rFonts w:hint="eastAsia" w:hAnsi="宋体"/>
          <w:b/>
          <w:bCs/>
          <w:color w:val="FF0000"/>
        </w:rPr>
        <w:t>*</w:t>
      </w:r>
      <w:r>
        <w:rPr>
          <w:rFonts w:hint="eastAsia" w:ascii="宋体" w:hAnsi="宋体"/>
          <w:b/>
          <w:bCs/>
        </w:rPr>
        <w:t>⒄投标人在向招标人出示《投标保证金缴纳凭证》后方可进行投标；</w:t>
      </w:r>
    </w:p>
    <w:p w14:paraId="2FA94E7B">
      <w:pPr>
        <w:pStyle w:val="15"/>
        <w:spacing w:line="360" w:lineRule="auto"/>
        <w:ind w:firstLine="480" w:firstLineChars="200"/>
        <w:rPr>
          <w:rFonts w:hint="eastAsia" w:hAnsi="宋体"/>
        </w:rPr>
      </w:pPr>
      <w:r>
        <w:rPr>
          <w:rFonts w:hint="eastAsia" w:hAnsi="宋体"/>
        </w:rPr>
        <w:t>⒅供方的直接或间接股东、法定代表人、董事、监事、高管非重汽员工及其亲属。</w:t>
      </w:r>
    </w:p>
    <w:p w14:paraId="05E17B5B">
      <w:pPr>
        <w:pStyle w:val="15"/>
        <w:spacing w:line="360" w:lineRule="auto"/>
        <w:ind w:firstLine="482" w:firstLineChars="200"/>
        <w:rPr>
          <w:b/>
        </w:rPr>
      </w:pPr>
      <w:r>
        <w:rPr>
          <w:rFonts w:hint="eastAsia"/>
          <w:b/>
          <w:bCs/>
        </w:rPr>
        <w:t>注：上述带“</w:t>
      </w:r>
      <w:r>
        <w:rPr>
          <w:rFonts w:hint="eastAsia" w:hAnsi="宋体"/>
          <w:b/>
          <w:bCs/>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14:paraId="13F78D1A">
      <w:pPr>
        <w:pStyle w:val="56"/>
        <w:ind w:firstLine="482"/>
        <w:rPr>
          <w:rFonts w:asciiTheme="minorEastAsia" w:hAnsiTheme="minorEastAsia" w:eastAsiaTheme="minorEastAsia"/>
          <w:b/>
        </w:rPr>
      </w:pPr>
      <w:r>
        <w:rPr>
          <w:rFonts w:asciiTheme="minorEastAsia" w:hAnsiTheme="minorEastAsia" w:eastAsiaTheme="minorEastAsia"/>
          <w:b/>
        </w:rPr>
        <w:t>3</w:t>
      </w:r>
      <w:r>
        <w:rPr>
          <w:rFonts w:hint="eastAsia" w:asciiTheme="minorEastAsia" w:hAnsiTheme="minorEastAsia" w:eastAsiaTheme="minorEastAsia"/>
          <w:b/>
        </w:rPr>
        <w:t>、报价</w:t>
      </w:r>
    </w:p>
    <w:p w14:paraId="0584B7F1">
      <w:pPr>
        <w:pStyle w:val="15"/>
        <w:spacing w:line="360" w:lineRule="auto"/>
        <w:ind w:firstLine="480" w:firstLineChars="200"/>
        <w:rPr>
          <w:rFonts w:hint="eastAsia" w:asciiTheme="minorEastAsia" w:hAnsiTheme="minorEastAsia" w:eastAsiaTheme="minorEastAsia"/>
          <w:b/>
          <w:bCs/>
          <w:highlight w:val="none"/>
        </w:rPr>
      </w:pPr>
      <w:r>
        <w:rPr>
          <w:rFonts w:hint="eastAsia" w:asciiTheme="minorEastAsia" w:hAnsiTheme="minorEastAsia" w:eastAsiaTheme="minorEastAsia"/>
          <w:szCs w:val="24"/>
        </w:rPr>
        <w:t>（1）本次招投标为公开招标，</w:t>
      </w:r>
      <w:r>
        <w:rPr>
          <w:rFonts w:hint="eastAsia" w:asciiTheme="minorEastAsia" w:hAnsiTheme="minorEastAsia" w:eastAsiaTheme="minorEastAsia"/>
          <w:b/>
          <w:bCs/>
          <w:highlight w:val="none"/>
        </w:rPr>
        <w:t>招标人统一组织勘察现场，投标人结合现场情况进行合理报价</w:t>
      </w:r>
      <w:r>
        <w:rPr>
          <w:rFonts w:hint="eastAsia" w:asciiTheme="minorEastAsia" w:hAnsiTheme="minorEastAsia" w:eastAsiaTheme="minorEastAsia"/>
          <w:b/>
          <w:bCs/>
          <w:highlight w:val="none"/>
          <w:lang w:eastAsia="zh-CN"/>
        </w:rPr>
        <w:t>。每人分项报价，后面若减人按照单价减少费用</w:t>
      </w:r>
      <w:r>
        <w:rPr>
          <w:rFonts w:hint="eastAsia" w:asciiTheme="minorEastAsia" w:hAnsiTheme="minorEastAsia" w:eastAsiaTheme="minorEastAsia"/>
          <w:b/>
          <w:bCs/>
          <w:highlight w:val="none"/>
        </w:rPr>
        <w:t>。</w:t>
      </w:r>
    </w:p>
    <w:p w14:paraId="56C78856">
      <w:pPr>
        <w:pStyle w:val="15"/>
        <w:spacing w:line="360" w:lineRule="auto"/>
        <w:ind w:firstLine="482" w:firstLineChars="200"/>
        <w:rPr>
          <w:rFonts w:hint="eastAsia" w:asciiTheme="minorEastAsia" w:hAnsiTheme="minorEastAsia" w:eastAsiaTheme="minorEastAsia"/>
          <w:b/>
          <w:bCs/>
          <w:highlight w:val="none"/>
        </w:rPr>
      </w:pPr>
      <w:r>
        <w:rPr>
          <w:rFonts w:hint="eastAsia" w:asciiTheme="minorEastAsia" w:hAnsiTheme="minorEastAsia" w:eastAsiaTheme="minorEastAsia"/>
          <w:b/>
          <w:bCs/>
          <w:highlight w:val="none"/>
        </w:rPr>
        <w:t>投标方报价上限417.56万元（含税）</w:t>
      </w:r>
    </w:p>
    <w:p w14:paraId="1F0F14CF">
      <w:pPr>
        <w:pStyle w:val="56"/>
        <w:ind w:firstLine="480"/>
        <w:rPr>
          <w:rFonts w:hint="eastAsia" w:cs="Times New Roman" w:asciiTheme="minorEastAsia" w:hAnsiTheme="minorEastAsia" w:eastAsiaTheme="minorEastAsia"/>
          <w:highlight w:val="none"/>
        </w:rPr>
      </w:pPr>
      <w:r>
        <w:rPr>
          <w:rFonts w:hint="eastAsia" w:asciiTheme="minorEastAsia" w:hAnsiTheme="minorEastAsia" w:eastAsiaTheme="minorEastAsia"/>
          <w:highlight w:val="none"/>
        </w:rPr>
        <w:t>组织统一踏勘现场时间：20</w:t>
      </w:r>
      <w:r>
        <w:rPr>
          <w:rFonts w:asciiTheme="minorEastAsia" w:hAnsiTheme="minorEastAsia" w:eastAsiaTheme="minorEastAsia"/>
          <w:highlight w:val="none"/>
        </w:rPr>
        <w:t>2</w:t>
      </w:r>
      <w:r>
        <w:rPr>
          <w:rFonts w:hint="eastAsia" w:asciiTheme="minorEastAsia" w:hAnsiTheme="minorEastAsia" w:eastAsiaTheme="minorEastAsia"/>
          <w:highlight w:val="none"/>
          <w:lang w:val="en-US" w:eastAsia="zh-CN"/>
        </w:rPr>
        <w:t>5</w:t>
      </w:r>
      <w:r>
        <w:rPr>
          <w:rFonts w:hint="eastAsia" w:asciiTheme="minorEastAsia" w:hAnsiTheme="minorEastAsia" w:eastAsiaTheme="minorEastAsia"/>
          <w:highlight w:val="none"/>
        </w:rPr>
        <w:t>年</w:t>
      </w:r>
      <w:r>
        <w:rPr>
          <w:rFonts w:hint="eastAsia" w:asciiTheme="minorEastAsia" w:hAnsiTheme="minorEastAsia" w:eastAsiaTheme="minorEastAsia"/>
          <w:highlight w:val="none"/>
          <w:lang w:val="en-US" w:eastAsia="zh-CN"/>
        </w:rPr>
        <w:t>5</w:t>
      </w:r>
      <w:r>
        <w:rPr>
          <w:rFonts w:hint="eastAsia" w:asciiTheme="minorEastAsia" w:hAnsiTheme="minorEastAsia" w:eastAsiaTheme="minorEastAsia"/>
          <w:highlight w:val="none"/>
        </w:rPr>
        <w:t>月</w:t>
      </w:r>
      <w:r>
        <w:rPr>
          <w:rFonts w:hint="eastAsia" w:asciiTheme="minorEastAsia" w:hAnsiTheme="minorEastAsia" w:eastAsiaTheme="minorEastAsia"/>
          <w:highlight w:val="none"/>
          <w:lang w:val="en-US" w:eastAsia="zh-CN"/>
        </w:rPr>
        <w:t>10</w:t>
      </w:r>
      <w:r>
        <w:rPr>
          <w:rFonts w:hint="eastAsia" w:asciiTheme="minorEastAsia" w:hAnsiTheme="minorEastAsia" w:eastAsiaTheme="minorEastAsia"/>
          <w:highlight w:val="none"/>
        </w:rPr>
        <w:t>日09时00分至17时00分</w:t>
      </w:r>
      <w:r>
        <w:rPr>
          <w:rFonts w:hint="eastAsia" w:cs="Times New Roman" w:asciiTheme="minorEastAsia" w:hAnsiTheme="minorEastAsia" w:eastAsiaTheme="minorEastAsia"/>
          <w:highlight w:val="none"/>
        </w:rPr>
        <w:t>（若有变动另行通知）</w:t>
      </w:r>
    </w:p>
    <w:p w14:paraId="00FBE4CF">
      <w:pPr>
        <w:pStyle w:val="56"/>
        <w:ind w:firstLine="480"/>
        <w:rPr>
          <w:rFonts w:asciiTheme="minorEastAsia" w:hAnsiTheme="minorEastAsia" w:eastAsiaTheme="minorEastAsia"/>
          <w:highlight w:val="none"/>
        </w:rPr>
      </w:pPr>
      <w:r>
        <w:rPr>
          <w:rFonts w:hint="eastAsia" w:asciiTheme="minorEastAsia" w:hAnsiTheme="minorEastAsia" w:eastAsiaTheme="minorEastAsia"/>
          <w:highlight w:val="none"/>
        </w:rPr>
        <w:t>勘察现场集合地点：济南市高新区华奥路777号</w:t>
      </w:r>
    </w:p>
    <w:p w14:paraId="3646CE7B">
      <w:pPr>
        <w:pStyle w:val="15"/>
        <w:spacing w:line="360" w:lineRule="auto"/>
        <w:ind w:firstLine="480" w:firstLineChars="200"/>
        <w:rPr>
          <w:rFonts w:hint="eastAsia" w:cs="Times New Roman" w:asciiTheme="minorEastAsia" w:hAnsiTheme="minorEastAsia" w:eastAsiaTheme="minorEastAsia"/>
          <w:color w:val="000000"/>
          <w:kern w:val="0"/>
          <w:sz w:val="24"/>
          <w:szCs w:val="24"/>
          <w:highlight w:val="none"/>
          <w:lang w:val="en-US" w:eastAsia="zh-CN" w:bidi="ar-SA"/>
        </w:rPr>
      </w:pPr>
      <w:r>
        <w:rPr>
          <w:rFonts w:hint="eastAsia" w:asciiTheme="minorEastAsia" w:hAnsiTheme="minorEastAsia" w:eastAsiaTheme="minorEastAsia"/>
          <w:highlight w:val="none"/>
        </w:rPr>
        <w:t>勘察现场联系人：</w:t>
      </w:r>
      <w:r>
        <w:rPr>
          <w:rFonts w:hint="eastAsia" w:cs="Times New Roman" w:asciiTheme="minorEastAsia" w:hAnsiTheme="minorEastAsia" w:eastAsiaTheme="minorEastAsia"/>
          <w:color w:val="000000"/>
          <w:kern w:val="0"/>
          <w:sz w:val="24"/>
          <w:szCs w:val="24"/>
          <w:highlight w:val="none"/>
          <w:lang w:val="en-US" w:eastAsia="zh-CN" w:bidi="ar-SA"/>
        </w:rPr>
        <w:t>王骁</w:t>
      </w:r>
    </w:p>
    <w:p w14:paraId="0FF2F07E">
      <w:pPr>
        <w:pStyle w:val="15"/>
        <w:spacing w:line="360" w:lineRule="auto"/>
        <w:ind w:firstLine="480" w:firstLineChars="200"/>
        <w:rPr>
          <w:rFonts w:hint="eastAsia" w:cs="Times New Roman" w:asciiTheme="minorEastAsia" w:hAnsiTheme="minorEastAsia" w:eastAsiaTheme="minorEastAsia"/>
          <w:color w:val="000000"/>
          <w:kern w:val="0"/>
          <w:sz w:val="24"/>
          <w:szCs w:val="24"/>
          <w:highlight w:val="none"/>
          <w:lang w:val="zh-CN" w:eastAsia="zh-CN" w:bidi="ar-SA"/>
        </w:rPr>
      </w:pPr>
      <w:r>
        <w:rPr>
          <w:rFonts w:hint="eastAsia" w:cs="Times New Roman" w:asciiTheme="minorEastAsia" w:hAnsiTheme="minorEastAsia" w:eastAsiaTheme="minorEastAsia"/>
          <w:color w:val="000000"/>
          <w:kern w:val="0"/>
          <w:sz w:val="24"/>
          <w:szCs w:val="24"/>
          <w:highlight w:val="none"/>
          <w:lang w:val="zh-CN" w:eastAsia="zh-CN" w:bidi="ar-SA"/>
        </w:rPr>
        <w:t>联系电话：15753188780</w:t>
      </w:r>
    </w:p>
    <w:p w14:paraId="2CD33EF5">
      <w:pPr>
        <w:pStyle w:val="56"/>
        <w:ind w:firstLine="480"/>
        <w:rPr>
          <w:rFonts w:asciiTheme="minorEastAsia" w:hAnsiTheme="minorEastAsia" w:eastAsiaTheme="minorEastAsia"/>
          <w:highlight w:val="none"/>
        </w:rPr>
      </w:pPr>
      <w:r>
        <w:rPr>
          <w:rFonts w:hint="eastAsia" w:asciiTheme="minorEastAsia" w:hAnsiTheme="minorEastAsia" w:eastAsiaTheme="minorEastAsia"/>
          <w:highlight w:val="none"/>
        </w:rPr>
        <w:t>注：投标人必须在统一踏勘现场的规定时间内对现场进行踏勘，并签字确认，逾期或不进行现场勘查视为自动放弃投标资格。</w:t>
      </w:r>
    </w:p>
    <w:p w14:paraId="482FCCF3">
      <w:pPr>
        <w:pStyle w:val="56"/>
        <w:ind w:firstLine="482"/>
        <w:rPr>
          <w:rFonts w:asciiTheme="minorEastAsia" w:hAnsiTheme="minorEastAsia" w:eastAsiaTheme="minorEastAsia"/>
          <w:b/>
        </w:rPr>
      </w:pPr>
      <w:r>
        <w:rPr>
          <w:rFonts w:hint="eastAsia" w:asciiTheme="minorEastAsia" w:hAnsiTheme="minorEastAsia" w:eastAsiaTheme="minorEastAsia"/>
          <w:b/>
        </w:rPr>
        <w:t>（2）所有的报价货币单位为：</w:t>
      </w:r>
      <w:r>
        <w:rPr>
          <w:rFonts w:hint="eastAsia" w:asciiTheme="minorEastAsia" w:hAnsiTheme="minorEastAsia" w:eastAsiaTheme="minorEastAsia"/>
          <w:b/>
          <w:u w:val="single"/>
        </w:rPr>
        <w:t xml:space="preserve">  （人民币）元</w:t>
      </w:r>
      <w:r>
        <w:rPr>
          <w:rFonts w:hint="eastAsia" w:asciiTheme="minorEastAsia" w:hAnsiTheme="minorEastAsia" w:eastAsiaTheme="minorEastAsia"/>
          <w:b/>
        </w:rPr>
        <w:t>（请务必报含税价和不含税价并写明税率）。</w:t>
      </w:r>
    </w:p>
    <w:p w14:paraId="25F10434">
      <w:pPr>
        <w:pStyle w:val="56"/>
        <w:ind w:firstLine="482"/>
        <w:rPr>
          <w:rFonts w:asciiTheme="minorEastAsia" w:hAnsiTheme="minorEastAsia" w:eastAsiaTheme="minorEastAsia"/>
          <w:b/>
        </w:rPr>
      </w:pPr>
      <w:r>
        <w:rPr>
          <w:rFonts w:hint="eastAsia" w:asciiTheme="minorEastAsia" w:hAnsiTheme="minorEastAsia" w:eastAsiaTheme="minorEastAsia"/>
          <w:b/>
        </w:rPr>
        <w:t>4、投标保证金</w:t>
      </w:r>
    </w:p>
    <w:p w14:paraId="1B4F2108">
      <w:pPr>
        <w:pStyle w:val="56"/>
        <w:ind w:firstLine="480"/>
        <w:rPr>
          <w:rFonts w:asciiTheme="minorEastAsia" w:hAnsiTheme="minorEastAsia" w:eastAsiaTheme="minorEastAsia"/>
          <w:bCs/>
        </w:rPr>
      </w:pPr>
      <w:r>
        <w:rPr>
          <w:rFonts w:hint="eastAsia" w:asciiTheme="minorEastAsia" w:hAnsiTheme="minorEastAsia" w:eastAsiaTheme="minorEastAsia"/>
          <w:bCs/>
        </w:rPr>
        <w:t>（1）投标人在报名参与本项目的同时，应提供</w:t>
      </w:r>
      <w:r>
        <w:rPr>
          <w:rFonts w:hint="eastAsia" w:asciiTheme="minorEastAsia" w:hAnsiTheme="minorEastAsia" w:eastAsiaTheme="minorEastAsia"/>
          <w:bCs/>
          <w:highlight w:val="green"/>
          <w:u w:val="single"/>
        </w:rPr>
        <w:t>2</w:t>
      </w:r>
      <w:r>
        <w:rPr>
          <w:rFonts w:asciiTheme="minorEastAsia" w:hAnsiTheme="minorEastAsia" w:eastAsiaTheme="minorEastAsia"/>
          <w:bCs/>
          <w:highlight w:val="green"/>
          <w:u w:val="single"/>
        </w:rPr>
        <w:t>0000</w:t>
      </w:r>
      <w:r>
        <w:rPr>
          <w:rFonts w:hint="eastAsia" w:asciiTheme="minorEastAsia" w:hAnsiTheme="minorEastAsia" w:eastAsiaTheme="minorEastAsia"/>
          <w:bCs/>
        </w:rPr>
        <w:t>元（或其他等值货币）的投标保证金，并作为其投标文件的组成部分。投标保证金应在投标截止时间1日前将投标保证金从投标人单位基本帐户转出并到账或银行保函电子版确认（保函原件于开标之日交于招标人），否则按否决投标处理；未按规定提交保证金的投标人，其投标文件按否决投标处理；保证金提交后，请报名时提供转账依据。</w:t>
      </w:r>
    </w:p>
    <w:p w14:paraId="54E8C059">
      <w:pPr>
        <w:pStyle w:val="56"/>
        <w:ind w:firstLine="480"/>
        <w:rPr>
          <w:rFonts w:asciiTheme="minorEastAsia" w:hAnsiTheme="minorEastAsia" w:eastAsiaTheme="minorEastAsia"/>
          <w:bCs/>
        </w:rPr>
      </w:pPr>
      <w:r>
        <w:rPr>
          <w:rFonts w:hint="eastAsia" w:asciiTheme="minorEastAsia" w:hAnsiTheme="minorEastAsia" w:eastAsiaTheme="minorEastAsia"/>
          <w:bCs/>
        </w:rPr>
        <w:t>（2）招标人银行账户信息如下：</w:t>
      </w:r>
    </w:p>
    <w:tbl>
      <w:tblPr>
        <w:tblStyle w:val="27"/>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28D92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noWrap w:val="0"/>
            <w:vAlign w:val="center"/>
          </w:tcPr>
          <w:p w14:paraId="097BC1E3">
            <w:pPr>
              <w:pStyle w:val="15"/>
              <w:ind w:firstLine="480" w:firstLineChars="200"/>
              <w:rPr>
                <w:highlight w:val="none"/>
              </w:rPr>
            </w:pPr>
            <w:r>
              <w:rPr>
                <w:rFonts w:hint="eastAsia"/>
                <w:highlight w:val="none"/>
              </w:rPr>
              <w:t>开户银行：</w:t>
            </w:r>
            <w:r>
              <w:rPr>
                <w:highlight w:val="none"/>
              </w:rPr>
              <w:t>中国</w:t>
            </w:r>
            <w:r>
              <w:rPr>
                <w:rFonts w:hint="eastAsia"/>
                <w:highlight w:val="none"/>
              </w:rPr>
              <w:t>工商</w:t>
            </w:r>
            <w:r>
              <w:rPr>
                <w:highlight w:val="none"/>
              </w:rPr>
              <w:t>银行济南天桥支行</w:t>
            </w:r>
          </w:p>
        </w:tc>
      </w:tr>
      <w:tr w14:paraId="7CBDD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noWrap w:val="0"/>
            <w:vAlign w:val="center"/>
          </w:tcPr>
          <w:p w14:paraId="77A5AC7C">
            <w:pPr>
              <w:pStyle w:val="15"/>
              <w:ind w:firstLine="480" w:firstLineChars="200"/>
              <w:rPr>
                <w:highlight w:val="none"/>
              </w:rPr>
            </w:pPr>
            <w:r>
              <w:rPr>
                <w:rFonts w:hint="eastAsia"/>
                <w:highlight w:val="none"/>
              </w:rPr>
              <w:t>户名：中国重型汽车集团有限公司</w:t>
            </w:r>
          </w:p>
        </w:tc>
      </w:tr>
      <w:tr w14:paraId="0E7E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noWrap w:val="0"/>
            <w:vAlign w:val="center"/>
          </w:tcPr>
          <w:p w14:paraId="03B253FB">
            <w:pPr>
              <w:pStyle w:val="15"/>
              <w:ind w:firstLine="480" w:firstLineChars="200"/>
              <w:rPr>
                <w:highlight w:val="none"/>
              </w:rPr>
            </w:pPr>
            <w:r>
              <w:rPr>
                <w:rFonts w:hint="eastAsia"/>
                <w:highlight w:val="none"/>
              </w:rPr>
              <w:t>账号：1602005019200063284</w:t>
            </w:r>
          </w:p>
        </w:tc>
      </w:tr>
      <w:tr w14:paraId="41FFE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noWrap w:val="0"/>
            <w:vAlign w:val="center"/>
          </w:tcPr>
          <w:p w14:paraId="0155FB19">
            <w:pPr>
              <w:pStyle w:val="15"/>
              <w:ind w:firstLine="480" w:firstLineChars="200"/>
              <w:rPr>
                <w:highlight w:val="none"/>
              </w:rPr>
            </w:pPr>
            <w:r>
              <w:rPr>
                <w:rFonts w:hint="eastAsia"/>
                <w:highlight w:val="none"/>
              </w:rPr>
              <w:t>纳税人识别号：</w:t>
            </w:r>
            <w:r>
              <w:rPr>
                <w:highlight w:val="none"/>
              </w:rPr>
              <w:t>91370000614140905P</w:t>
            </w:r>
          </w:p>
        </w:tc>
      </w:tr>
    </w:tbl>
    <w:p w14:paraId="530760A2">
      <w:pPr>
        <w:pStyle w:val="56"/>
        <w:ind w:left="0" w:leftChars="0" w:firstLine="720" w:firstLineChars="300"/>
        <w:rPr>
          <w:rFonts w:asciiTheme="minorEastAsia" w:hAnsiTheme="minorEastAsia" w:eastAsiaTheme="minorEastAsia"/>
          <w:bCs/>
        </w:rPr>
      </w:pPr>
      <w:r>
        <w:rPr>
          <w:rFonts w:hint="eastAsia" w:asciiTheme="minorEastAsia" w:hAnsiTheme="minorEastAsia" w:eastAsiaTheme="minorEastAsia"/>
          <w:bCs/>
        </w:rPr>
        <w:t>投标保证金形式</w:t>
      </w:r>
    </w:p>
    <w:p w14:paraId="5C9739B8">
      <w:pPr>
        <w:pStyle w:val="56"/>
        <w:numPr>
          <w:ilvl w:val="0"/>
          <w:numId w:val="3"/>
        </w:numPr>
        <w:ind w:firstLineChars="0"/>
        <w:rPr>
          <w:rFonts w:asciiTheme="minorEastAsia" w:hAnsiTheme="minorEastAsia" w:eastAsiaTheme="minorEastAsia"/>
          <w:bCs/>
        </w:rPr>
      </w:pPr>
      <w:r>
        <w:rPr>
          <w:rFonts w:hint="eastAsia" w:asciiTheme="minorEastAsia" w:hAnsiTheme="minorEastAsia" w:eastAsiaTheme="minorEastAsia"/>
          <w:bCs/>
        </w:rPr>
        <w:t>该银行账户只接受外币电开保函和电汇。</w:t>
      </w:r>
    </w:p>
    <w:p w14:paraId="32A4FE01">
      <w:pPr>
        <w:pStyle w:val="56"/>
        <w:numPr>
          <w:ilvl w:val="0"/>
          <w:numId w:val="3"/>
        </w:numPr>
        <w:ind w:firstLineChars="0"/>
        <w:rPr>
          <w:rFonts w:asciiTheme="minorEastAsia" w:hAnsiTheme="minorEastAsia" w:eastAsiaTheme="minorEastAsia"/>
          <w:bCs/>
        </w:rPr>
      </w:pPr>
      <w:r>
        <w:rPr>
          <w:rFonts w:hint="eastAsia" w:asciiTheme="minorEastAsia" w:hAnsiTheme="minorEastAsia" w:eastAsiaTheme="minorEastAsia"/>
          <w:bCs/>
        </w:rPr>
        <w:t>境外投标单位缴纳投标保证金形式应采用电开保函形式；境内投标单位缴纳投标保证金应采用电汇形式；若有其他特殊情况，请提前与我们沟通，做好转账信息备注工作。</w:t>
      </w:r>
    </w:p>
    <w:p w14:paraId="657DB674">
      <w:pPr>
        <w:pStyle w:val="56"/>
        <w:numPr>
          <w:ilvl w:val="0"/>
          <w:numId w:val="3"/>
        </w:numPr>
        <w:ind w:firstLineChars="0"/>
        <w:rPr>
          <w:rFonts w:asciiTheme="minorEastAsia" w:hAnsiTheme="minorEastAsia" w:eastAsiaTheme="minorEastAsia"/>
          <w:bCs/>
        </w:rPr>
      </w:pPr>
      <w:r>
        <w:rPr>
          <w:rFonts w:hint="eastAsia" w:asciiTheme="minorEastAsia" w:hAnsiTheme="minorEastAsia" w:eastAsiaTheme="minorEastAsia"/>
          <w:bCs/>
        </w:rPr>
        <w:t>对于没有中标的投标单位，投标保证金将于招标人内部完成中标人评审并确认最终中标人后在3</w:t>
      </w:r>
      <w:r>
        <w:rPr>
          <w:rFonts w:asciiTheme="minorEastAsia" w:hAnsiTheme="minorEastAsia" w:eastAsiaTheme="minorEastAsia"/>
          <w:bCs/>
        </w:rPr>
        <w:t>0</w:t>
      </w:r>
      <w:r>
        <w:rPr>
          <w:rFonts w:hint="eastAsia" w:asciiTheme="minorEastAsia" w:hAnsiTheme="minorEastAsia" w:eastAsiaTheme="minorEastAsia"/>
          <w:bCs/>
        </w:rPr>
        <w:t>工作日内予以无息原路返还；对于中标供应商，投标保证金将在签订合同后3</w:t>
      </w:r>
      <w:r>
        <w:rPr>
          <w:rFonts w:asciiTheme="minorEastAsia" w:hAnsiTheme="minorEastAsia" w:eastAsiaTheme="minorEastAsia"/>
          <w:bCs/>
        </w:rPr>
        <w:t>0</w:t>
      </w:r>
      <w:r>
        <w:rPr>
          <w:rFonts w:hint="eastAsia" w:asciiTheme="minorEastAsia" w:hAnsiTheme="minorEastAsia" w:eastAsiaTheme="minorEastAsia"/>
          <w:bCs/>
        </w:rPr>
        <w:t>工作日内无息返还。</w:t>
      </w:r>
    </w:p>
    <w:p w14:paraId="7EC2DF6E">
      <w:pPr>
        <w:pStyle w:val="56"/>
        <w:numPr>
          <w:ilvl w:val="0"/>
          <w:numId w:val="3"/>
        </w:numPr>
        <w:ind w:firstLineChars="0"/>
        <w:rPr>
          <w:rFonts w:asciiTheme="minorEastAsia" w:hAnsiTheme="minorEastAsia" w:eastAsiaTheme="minorEastAsia"/>
          <w:bCs/>
        </w:rPr>
      </w:pPr>
      <w:r>
        <w:rPr>
          <w:rFonts w:hint="eastAsia" w:asciiTheme="minorEastAsia" w:hAnsiTheme="minorEastAsia" w:eastAsiaTheme="minorEastAsia"/>
          <w:bCs/>
        </w:rPr>
        <w:t>投标单位若有以下行为时，招标人有权没收其投标保证金。</w:t>
      </w:r>
    </w:p>
    <w:p w14:paraId="3A387197">
      <w:pPr>
        <w:spacing w:line="360" w:lineRule="auto"/>
        <w:ind w:left="1440" w:leftChars="400" w:hanging="480" w:hangingChars="200"/>
        <w:rPr>
          <w:rFonts w:ascii="宋体" w:hAnsi="Courier New"/>
        </w:rPr>
      </w:pPr>
      <w:r>
        <w:rPr>
          <w:rFonts w:hint="eastAsia" w:ascii="宋体" w:hAnsi="Courier New"/>
        </w:rPr>
        <w:t>a）截至开标前3天，投标人无正当理由且未以书面形式递交说明而在投标截止日不来投</w:t>
      </w:r>
      <w:r>
        <w:rPr>
          <w:rFonts w:hint="eastAsia" w:ascii="宋体" w:hAnsi="Courier New"/>
          <w:lang w:val="en-US" w:eastAsia="zh-CN"/>
        </w:rPr>
        <w:t>标</w:t>
      </w:r>
      <w:r>
        <w:rPr>
          <w:rFonts w:hint="eastAsia" w:ascii="宋体" w:hAnsi="Courier New"/>
        </w:rPr>
        <w:t>；</w:t>
      </w:r>
    </w:p>
    <w:p w14:paraId="2A84191E">
      <w:pPr>
        <w:spacing w:line="360" w:lineRule="auto"/>
        <w:ind w:left="480" w:leftChars="200" w:firstLine="480" w:firstLineChars="200"/>
        <w:rPr>
          <w:rFonts w:ascii="宋体" w:hAnsi="Courier New"/>
        </w:rPr>
      </w:pPr>
      <w:r>
        <w:rPr>
          <w:rFonts w:hint="eastAsia" w:ascii="宋体" w:hAnsi="Courier New"/>
        </w:rPr>
        <w:t>b）投标人递送投标文件后，无正当理由放弃投标的；</w:t>
      </w:r>
    </w:p>
    <w:p w14:paraId="7661A73C">
      <w:pPr>
        <w:spacing w:line="360" w:lineRule="auto"/>
        <w:ind w:left="480" w:leftChars="200" w:firstLine="480" w:firstLineChars="200"/>
        <w:rPr>
          <w:rFonts w:ascii="宋体" w:hAnsi="Courier New"/>
        </w:rPr>
      </w:pPr>
      <w:r>
        <w:rPr>
          <w:rFonts w:hint="eastAsia" w:ascii="宋体" w:hAnsi="Courier New"/>
        </w:rPr>
        <w:t>c）自中标通知书发出之日起30日内，中标人无正当理由不签订合同的；</w:t>
      </w:r>
    </w:p>
    <w:p w14:paraId="71DC532A">
      <w:pPr>
        <w:spacing w:line="360" w:lineRule="auto"/>
        <w:ind w:left="480" w:leftChars="200" w:firstLine="480" w:firstLineChars="200"/>
        <w:rPr>
          <w:rFonts w:ascii="宋体" w:hAnsi="Courier New"/>
        </w:rPr>
      </w:pPr>
      <w:r>
        <w:rPr>
          <w:rFonts w:hint="eastAsia" w:ascii="宋体" w:hAnsi="Courier New"/>
        </w:rPr>
        <w:t>d）投标人在投标过程中被查实有串标、围标、陪标等违规违纪行为的；</w:t>
      </w:r>
    </w:p>
    <w:p w14:paraId="0067218B">
      <w:pPr>
        <w:spacing w:line="360" w:lineRule="auto"/>
        <w:ind w:left="1200" w:leftChars="400" w:hanging="240" w:hangingChars="100"/>
        <w:rPr>
          <w:rFonts w:asciiTheme="minorEastAsia" w:hAnsiTheme="minorEastAsia" w:eastAsiaTheme="minorEastAsia"/>
          <w:bCs/>
        </w:rPr>
      </w:pPr>
      <w:r>
        <w:rPr>
          <w:rFonts w:hint="eastAsia" w:ascii="宋体" w:hAnsi="Courier New"/>
        </w:rPr>
        <w:t>e）投标人有违约违规行为或被投诉、举报的，在调查处理期间，保证金暂不退还，待调查处理结束后按有关规定处理。</w:t>
      </w:r>
    </w:p>
    <w:p w14:paraId="0D51055D">
      <w:pPr>
        <w:pStyle w:val="15"/>
        <w:spacing w:line="360" w:lineRule="auto"/>
        <w:ind w:firstLine="482" w:firstLineChars="200"/>
        <w:rPr>
          <w:rFonts w:cs="宋体" w:asciiTheme="minorEastAsia" w:hAnsiTheme="minorEastAsia" w:eastAsiaTheme="minorEastAsia"/>
          <w:b/>
          <w:bCs/>
          <w:color w:val="000000"/>
          <w:szCs w:val="24"/>
        </w:rPr>
      </w:pPr>
      <w:r>
        <w:rPr>
          <w:rFonts w:cs="宋体" w:asciiTheme="minorEastAsia" w:hAnsiTheme="minorEastAsia" w:eastAsiaTheme="minorEastAsia"/>
          <w:b/>
          <w:bCs/>
          <w:color w:val="000000"/>
          <w:szCs w:val="24"/>
        </w:rPr>
        <w:t>5</w:t>
      </w:r>
      <w:r>
        <w:rPr>
          <w:rFonts w:hint="eastAsia" w:cs="宋体" w:asciiTheme="minorEastAsia" w:hAnsiTheme="minorEastAsia" w:eastAsiaTheme="minorEastAsia"/>
          <w:b/>
          <w:bCs/>
          <w:color w:val="000000"/>
          <w:szCs w:val="24"/>
        </w:rPr>
        <w:t>、议程安排</w:t>
      </w:r>
    </w:p>
    <w:p w14:paraId="4628BF9F">
      <w:pPr>
        <w:pStyle w:val="15"/>
        <w:spacing w:line="360" w:lineRule="auto"/>
        <w:ind w:firstLine="480" w:firstLineChars="200"/>
        <w:rPr>
          <w:rFonts w:cs="宋体" w:asciiTheme="minorEastAsia" w:hAnsiTheme="minorEastAsia" w:eastAsiaTheme="minorEastAsia"/>
          <w:color w:val="000000"/>
          <w:szCs w:val="24"/>
          <w:highlight w:val="none"/>
        </w:rPr>
      </w:pPr>
      <w:r>
        <w:rPr>
          <w:rFonts w:cs="宋体" w:asciiTheme="minorEastAsia" w:hAnsiTheme="minorEastAsia" w:eastAsiaTheme="minorEastAsia"/>
          <w:color w:val="000000"/>
          <w:szCs w:val="24"/>
        </w:rPr>
        <w:t>5</w:t>
      </w:r>
      <w:r>
        <w:rPr>
          <w:rFonts w:hint="eastAsia" w:cs="宋体" w:asciiTheme="minorEastAsia" w:hAnsiTheme="minorEastAsia" w:eastAsiaTheme="minorEastAsia"/>
          <w:color w:val="000000"/>
          <w:szCs w:val="24"/>
        </w:rPr>
        <w:t>.1发标时间</w:t>
      </w:r>
      <w:r>
        <w:rPr>
          <w:rFonts w:hint="eastAsia" w:cs="宋体" w:asciiTheme="minorEastAsia" w:hAnsiTheme="minorEastAsia" w:eastAsiaTheme="minorEastAsia"/>
          <w:color w:val="000000"/>
          <w:szCs w:val="24"/>
          <w:highlight w:val="none"/>
        </w:rPr>
        <w:t>：202</w:t>
      </w:r>
      <w:r>
        <w:rPr>
          <w:rFonts w:hint="eastAsia" w:cs="宋体" w:asciiTheme="minorEastAsia" w:hAnsiTheme="minorEastAsia" w:eastAsiaTheme="minorEastAsia"/>
          <w:color w:val="000000"/>
          <w:szCs w:val="24"/>
          <w:highlight w:val="none"/>
          <w:lang w:val="en-US" w:eastAsia="zh-CN"/>
        </w:rPr>
        <w:t>5</w:t>
      </w:r>
      <w:r>
        <w:rPr>
          <w:rFonts w:hint="eastAsia" w:cs="宋体" w:asciiTheme="minorEastAsia" w:hAnsiTheme="minorEastAsia" w:eastAsiaTheme="minorEastAsia"/>
          <w:color w:val="000000"/>
          <w:szCs w:val="24"/>
          <w:highlight w:val="none"/>
        </w:rPr>
        <w:t>年</w:t>
      </w:r>
      <w:r>
        <w:rPr>
          <w:rFonts w:hint="eastAsia" w:cs="宋体" w:asciiTheme="minorEastAsia" w:hAnsiTheme="minorEastAsia" w:eastAsiaTheme="minorEastAsia"/>
          <w:color w:val="000000"/>
          <w:szCs w:val="24"/>
          <w:highlight w:val="none"/>
          <w:lang w:val="en-US" w:eastAsia="zh-CN"/>
        </w:rPr>
        <w:t>4</w:t>
      </w:r>
      <w:r>
        <w:rPr>
          <w:rFonts w:hint="eastAsia" w:cs="宋体" w:asciiTheme="minorEastAsia" w:hAnsiTheme="minorEastAsia" w:eastAsiaTheme="minorEastAsia"/>
          <w:color w:val="000000"/>
          <w:szCs w:val="24"/>
          <w:highlight w:val="none"/>
        </w:rPr>
        <w:t>月</w:t>
      </w:r>
      <w:r>
        <w:rPr>
          <w:rFonts w:hint="eastAsia" w:cs="宋体" w:asciiTheme="minorEastAsia" w:hAnsiTheme="minorEastAsia" w:eastAsiaTheme="minorEastAsia"/>
          <w:color w:val="000000"/>
          <w:szCs w:val="24"/>
          <w:highlight w:val="none"/>
          <w:lang w:val="en-US" w:eastAsia="zh-CN"/>
        </w:rPr>
        <w:t>28</w:t>
      </w:r>
      <w:r>
        <w:rPr>
          <w:rFonts w:hint="eastAsia" w:cs="宋体" w:asciiTheme="minorEastAsia" w:hAnsiTheme="minorEastAsia" w:eastAsiaTheme="minorEastAsia"/>
          <w:color w:val="000000"/>
          <w:szCs w:val="24"/>
          <w:highlight w:val="none"/>
        </w:rPr>
        <w:t>日</w:t>
      </w:r>
    </w:p>
    <w:p w14:paraId="0605686D">
      <w:pPr>
        <w:pStyle w:val="56"/>
        <w:ind w:firstLine="480"/>
        <w:rPr>
          <w:rFonts w:asciiTheme="minorEastAsia" w:hAnsiTheme="minorEastAsia" w:eastAsiaTheme="minorEastAsia"/>
          <w:highlight w:val="none"/>
        </w:rPr>
      </w:pPr>
      <w:r>
        <w:rPr>
          <w:rFonts w:cs="宋体" w:asciiTheme="minorEastAsia" w:hAnsiTheme="minorEastAsia" w:eastAsiaTheme="minorEastAsia"/>
          <w:highlight w:val="none"/>
        </w:rPr>
        <w:t>5</w:t>
      </w:r>
      <w:r>
        <w:rPr>
          <w:rFonts w:hint="eastAsia" w:cs="宋体" w:asciiTheme="minorEastAsia" w:hAnsiTheme="minorEastAsia" w:eastAsiaTheme="minorEastAsia"/>
          <w:highlight w:val="none"/>
        </w:rPr>
        <w:t>.2</w:t>
      </w:r>
      <w:r>
        <w:rPr>
          <w:rFonts w:hint="eastAsia" w:asciiTheme="minorEastAsia" w:hAnsiTheme="minorEastAsia" w:eastAsiaTheme="minorEastAsia"/>
          <w:highlight w:val="none"/>
        </w:rPr>
        <w:t>发布招标方式：中国重汽官网、山东省阳光采购服务平台、中国重汽e采通</w:t>
      </w:r>
    </w:p>
    <w:p w14:paraId="55D6D792">
      <w:pPr>
        <w:pStyle w:val="56"/>
        <w:ind w:firstLine="480"/>
        <w:rPr>
          <w:rFonts w:asciiTheme="minorEastAsia" w:hAnsiTheme="minorEastAsia" w:eastAsiaTheme="minorEastAsia"/>
          <w:highlight w:val="none"/>
        </w:rPr>
      </w:pPr>
      <w:r>
        <w:rPr>
          <w:rFonts w:cs="宋体" w:asciiTheme="minorEastAsia" w:hAnsiTheme="minorEastAsia" w:eastAsiaTheme="minorEastAsia"/>
          <w:highlight w:val="none"/>
        </w:rPr>
        <w:t>5</w:t>
      </w:r>
      <w:r>
        <w:rPr>
          <w:rFonts w:hint="eastAsia" w:cs="宋体" w:asciiTheme="minorEastAsia" w:hAnsiTheme="minorEastAsia" w:eastAsiaTheme="minorEastAsia"/>
          <w:highlight w:val="none"/>
        </w:rPr>
        <w:t>.3踏勘现场</w:t>
      </w:r>
      <w:r>
        <w:rPr>
          <w:rFonts w:hint="eastAsia" w:cs="宋体" w:asciiTheme="minorEastAsia" w:hAnsiTheme="minorEastAsia" w:eastAsiaTheme="minorEastAsia"/>
          <w:highlight w:val="none"/>
          <w:lang w:val="en-US" w:eastAsia="zh-CN"/>
        </w:rPr>
        <w:t>截止</w:t>
      </w:r>
      <w:r>
        <w:rPr>
          <w:rFonts w:hint="eastAsia" w:cs="宋体" w:asciiTheme="minorEastAsia" w:hAnsiTheme="minorEastAsia" w:eastAsiaTheme="minorEastAsia"/>
          <w:highlight w:val="none"/>
        </w:rPr>
        <w:t>时间：</w:t>
      </w:r>
      <w:r>
        <w:rPr>
          <w:rFonts w:hint="eastAsia" w:asciiTheme="minorEastAsia" w:hAnsiTheme="minorEastAsia" w:eastAsiaTheme="minorEastAsia"/>
          <w:highlight w:val="none"/>
        </w:rPr>
        <w:t>20</w:t>
      </w:r>
      <w:r>
        <w:rPr>
          <w:rFonts w:asciiTheme="minorEastAsia" w:hAnsiTheme="minorEastAsia" w:eastAsiaTheme="minorEastAsia"/>
          <w:highlight w:val="none"/>
        </w:rPr>
        <w:t>2</w:t>
      </w:r>
      <w:r>
        <w:rPr>
          <w:rFonts w:hint="eastAsia" w:asciiTheme="minorEastAsia" w:hAnsiTheme="minorEastAsia" w:eastAsiaTheme="minorEastAsia"/>
          <w:highlight w:val="none"/>
          <w:lang w:val="en-US" w:eastAsia="zh-CN"/>
        </w:rPr>
        <w:t>4</w:t>
      </w:r>
      <w:r>
        <w:rPr>
          <w:rFonts w:hint="eastAsia" w:asciiTheme="minorEastAsia" w:hAnsiTheme="minorEastAsia" w:eastAsiaTheme="minorEastAsia"/>
          <w:highlight w:val="none"/>
        </w:rPr>
        <w:t>年</w:t>
      </w:r>
      <w:r>
        <w:rPr>
          <w:rFonts w:hint="eastAsia" w:asciiTheme="minorEastAsia" w:hAnsiTheme="minorEastAsia" w:eastAsiaTheme="minorEastAsia"/>
          <w:highlight w:val="none"/>
          <w:lang w:val="en-US" w:eastAsia="zh-CN"/>
        </w:rPr>
        <w:t>5</w:t>
      </w:r>
      <w:r>
        <w:rPr>
          <w:rFonts w:hint="eastAsia" w:asciiTheme="minorEastAsia" w:hAnsiTheme="minorEastAsia" w:eastAsiaTheme="minorEastAsia"/>
          <w:highlight w:val="none"/>
        </w:rPr>
        <w:t>月</w:t>
      </w:r>
      <w:r>
        <w:rPr>
          <w:rFonts w:hint="eastAsia" w:asciiTheme="minorEastAsia" w:hAnsiTheme="minorEastAsia" w:eastAsiaTheme="minorEastAsia"/>
          <w:highlight w:val="none"/>
          <w:lang w:val="en-US" w:eastAsia="zh-CN"/>
        </w:rPr>
        <w:t>10</w:t>
      </w:r>
      <w:r>
        <w:rPr>
          <w:rFonts w:hint="eastAsia" w:asciiTheme="minorEastAsia" w:hAnsiTheme="minorEastAsia" w:eastAsiaTheme="minorEastAsia"/>
          <w:highlight w:val="none"/>
        </w:rPr>
        <w:t>日17时</w:t>
      </w:r>
    </w:p>
    <w:p w14:paraId="30D27065">
      <w:pPr>
        <w:pStyle w:val="15"/>
        <w:spacing w:line="360" w:lineRule="auto"/>
        <w:ind w:firstLine="480" w:firstLineChars="200"/>
        <w:rPr>
          <w:rFonts w:cs="宋体" w:asciiTheme="minorEastAsia" w:hAnsiTheme="minorEastAsia" w:eastAsiaTheme="minorEastAsia"/>
          <w:color w:val="000000"/>
          <w:szCs w:val="24"/>
        </w:rPr>
      </w:pPr>
      <w:r>
        <w:rPr>
          <w:rFonts w:cs="宋体" w:asciiTheme="minorEastAsia" w:hAnsiTheme="minorEastAsia" w:eastAsiaTheme="minorEastAsia"/>
          <w:color w:val="000000"/>
          <w:szCs w:val="24"/>
        </w:rPr>
        <w:t>5</w:t>
      </w:r>
      <w:r>
        <w:rPr>
          <w:rFonts w:hint="eastAsia" w:cs="宋体" w:asciiTheme="minorEastAsia" w:hAnsiTheme="minorEastAsia" w:eastAsiaTheme="minorEastAsia"/>
          <w:color w:val="000000"/>
          <w:szCs w:val="24"/>
        </w:rPr>
        <w:t>.4技术答疑</w:t>
      </w:r>
    </w:p>
    <w:p w14:paraId="2C194E8F">
      <w:pPr>
        <w:pStyle w:val="15"/>
        <w:spacing w:line="360" w:lineRule="auto"/>
        <w:ind w:firstLine="480" w:firstLineChars="200"/>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答疑时间：截止至202</w:t>
      </w:r>
      <w:r>
        <w:rPr>
          <w:rFonts w:hint="eastAsia" w:cs="宋体" w:asciiTheme="minorEastAsia" w:hAnsiTheme="minorEastAsia" w:eastAsiaTheme="minorEastAsia"/>
          <w:color w:val="000000"/>
          <w:szCs w:val="24"/>
          <w:lang w:val="en-US" w:eastAsia="zh-CN"/>
        </w:rPr>
        <w:t>5</w:t>
      </w:r>
      <w:r>
        <w:rPr>
          <w:rFonts w:hint="eastAsia" w:cs="宋体" w:asciiTheme="minorEastAsia" w:hAnsiTheme="minorEastAsia" w:eastAsiaTheme="minorEastAsia"/>
          <w:color w:val="000000"/>
          <w:szCs w:val="24"/>
        </w:rPr>
        <w:t>年</w:t>
      </w:r>
      <w:r>
        <w:rPr>
          <w:rFonts w:hint="eastAsia" w:cs="宋体" w:asciiTheme="minorEastAsia" w:hAnsiTheme="minorEastAsia" w:eastAsiaTheme="minorEastAsia"/>
          <w:color w:val="000000"/>
          <w:szCs w:val="24"/>
          <w:lang w:val="en-US" w:eastAsia="zh-CN"/>
        </w:rPr>
        <w:t>5</w:t>
      </w:r>
      <w:r>
        <w:rPr>
          <w:rFonts w:hint="eastAsia" w:cs="宋体" w:asciiTheme="minorEastAsia" w:hAnsiTheme="minorEastAsia" w:eastAsiaTheme="minorEastAsia"/>
          <w:color w:val="000000"/>
          <w:szCs w:val="24"/>
        </w:rPr>
        <w:t>月</w:t>
      </w:r>
      <w:r>
        <w:rPr>
          <w:rFonts w:hint="eastAsia" w:cs="宋体" w:asciiTheme="minorEastAsia" w:hAnsiTheme="minorEastAsia" w:eastAsiaTheme="minorEastAsia"/>
          <w:color w:val="000000"/>
          <w:szCs w:val="24"/>
          <w:lang w:val="en-US" w:eastAsia="zh-CN"/>
        </w:rPr>
        <w:t>10</w:t>
      </w:r>
      <w:r>
        <w:rPr>
          <w:rFonts w:hint="eastAsia" w:cs="宋体" w:asciiTheme="minorEastAsia" w:hAnsiTheme="minorEastAsia" w:eastAsiaTheme="minorEastAsia"/>
          <w:color w:val="000000"/>
          <w:szCs w:val="24"/>
        </w:rPr>
        <w:t>日下午17点前，逾期不受理</w:t>
      </w:r>
    </w:p>
    <w:p w14:paraId="2D880927">
      <w:pPr>
        <w:pStyle w:val="15"/>
        <w:spacing w:line="360" w:lineRule="auto"/>
        <w:ind w:firstLine="480" w:firstLineChars="200"/>
        <w:rPr>
          <w:rFonts w:cs="宋体" w:asciiTheme="minorEastAsia" w:hAnsiTheme="minorEastAsia" w:eastAsiaTheme="minorEastAsia"/>
          <w:color w:val="000000"/>
          <w:szCs w:val="24"/>
        </w:rPr>
      </w:pPr>
      <w:r>
        <w:rPr>
          <w:rFonts w:hint="eastAsia" w:cs="宋体" w:asciiTheme="minorEastAsia" w:hAnsiTheme="minorEastAsia" w:eastAsiaTheme="minorEastAsia"/>
          <w:color w:val="000000"/>
          <w:szCs w:val="24"/>
        </w:rPr>
        <w:t>答疑方式：书面及传真（电话不受理）</w:t>
      </w:r>
    </w:p>
    <w:p w14:paraId="39C41477">
      <w:pPr>
        <w:pStyle w:val="15"/>
        <w:spacing w:line="360" w:lineRule="auto"/>
        <w:ind w:firstLine="480" w:firstLineChars="200"/>
        <w:rPr>
          <w:rFonts w:hint="default" w:cs="宋体" w:asciiTheme="minorEastAsia" w:hAnsiTheme="minorEastAsia" w:eastAsiaTheme="minorEastAsia"/>
          <w:color w:val="000000"/>
          <w:szCs w:val="24"/>
          <w:highlight w:val="none"/>
          <w:lang w:val="en-US" w:eastAsia="zh-CN"/>
        </w:rPr>
      </w:pPr>
      <w:r>
        <w:rPr>
          <w:rFonts w:hint="eastAsia" w:cs="宋体" w:asciiTheme="minorEastAsia" w:hAnsiTheme="minorEastAsia" w:eastAsiaTheme="minorEastAsia"/>
          <w:color w:val="000000"/>
          <w:szCs w:val="24"/>
        </w:rPr>
        <w:t>联 系 人：</w:t>
      </w:r>
      <w:r>
        <w:rPr>
          <w:rFonts w:hint="eastAsia" w:cs="宋体" w:asciiTheme="minorEastAsia" w:hAnsiTheme="minorEastAsia" w:eastAsiaTheme="minorEastAsia"/>
          <w:color w:val="000000"/>
          <w:szCs w:val="24"/>
          <w:highlight w:val="none"/>
          <w:lang w:val="en-US" w:eastAsia="zh-CN"/>
        </w:rPr>
        <w:t>王骁</w:t>
      </w:r>
    </w:p>
    <w:p w14:paraId="5CAF8C29">
      <w:pPr>
        <w:pStyle w:val="15"/>
        <w:spacing w:line="360" w:lineRule="auto"/>
        <w:ind w:firstLine="480" w:firstLineChars="200"/>
        <w:rPr>
          <w:rFonts w:hint="eastAsia" w:cs="宋体" w:asciiTheme="minorEastAsia" w:hAnsiTheme="minorEastAsia" w:eastAsiaTheme="minorEastAsia"/>
          <w:color w:val="000000"/>
          <w:szCs w:val="24"/>
          <w:highlight w:val="none"/>
          <w:lang w:eastAsia="zh-CN"/>
        </w:rPr>
      </w:pPr>
      <w:r>
        <w:rPr>
          <w:rFonts w:hint="eastAsia" w:cs="宋体" w:asciiTheme="minorEastAsia" w:hAnsiTheme="minorEastAsia" w:eastAsiaTheme="minorEastAsia"/>
          <w:color w:val="000000"/>
          <w:szCs w:val="24"/>
          <w:highlight w:val="none"/>
        </w:rPr>
        <w:t>电    话：</w:t>
      </w:r>
      <w:r>
        <w:rPr>
          <w:rFonts w:hint="eastAsia" w:cs="宋体" w:asciiTheme="minorEastAsia" w:hAnsiTheme="minorEastAsia" w:eastAsiaTheme="minorEastAsia"/>
          <w:color w:val="000000"/>
          <w:szCs w:val="24"/>
          <w:highlight w:val="none"/>
          <w:lang w:eastAsia="zh-CN"/>
        </w:rPr>
        <w:t>15753188780</w:t>
      </w:r>
    </w:p>
    <w:p w14:paraId="7CB590BB">
      <w:pPr>
        <w:pStyle w:val="15"/>
        <w:spacing w:line="360" w:lineRule="auto"/>
        <w:ind w:firstLine="480" w:firstLineChars="200"/>
        <w:rPr>
          <w:rFonts w:cs="宋体" w:asciiTheme="minorEastAsia" w:hAnsiTheme="minorEastAsia" w:eastAsiaTheme="minorEastAsia"/>
          <w:color w:val="000000"/>
          <w:szCs w:val="24"/>
          <w:highlight w:val="none"/>
        </w:rPr>
      </w:pPr>
      <w:r>
        <w:rPr>
          <w:rFonts w:cs="宋体" w:asciiTheme="minorEastAsia" w:hAnsiTheme="minorEastAsia" w:eastAsiaTheme="minorEastAsia"/>
          <w:color w:val="000000"/>
          <w:szCs w:val="24"/>
          <w:highlight w:val="none"/>
        </w:rPr>
        <w:t>5</w:t>
      </w:r>
      <w:r>
        <w:rPr>
          <w:rFonts w:hint="eastAsia" w:cs="宋体" w:asciiTheme="minorEastAsia" w:hAnsiTheme="minorEastAsia" w:eastAsiaTheme="minorEastAsia"/>
          <w:color w:val="000000"/>
          <w:szCs w:val="24"/>
          <w:highlight w:val="none"/>
        </w:rPr>
        <w:t>.5商务答疑</w:t>
      </w:r>
    </w:p>
    <w:p w14:paraId="5A46FB14">
      <w:pPr>
        <w:pStyle w:val="15"/>
        <w:spacing w:line="360" w:lineRule="auto"/>
        <w:ind w:firstLine="480" w:firstLineChars="200"/>
        <w:rPr>
          <w:rFonts w:hint="eastAsia" w:cs="宋体" w:asciiTheme="minorEastAsia" w:hAnsiTheme="minorEastAsia" w:eastAsiaTheme="minorEastAsia"/>
          <w:color w:val="000000"/>
          <w:szCs w:val="24"/>
          <w:highlight w:val="none"/>
          <w:lang w:val="en-US" w:eastAsia="zh-CN"/>
        </w:rPr>
      </w:pPr>
      <w:r>
        <w:rPr>
          <w:rFonts w:hint="eastAsia" w:cs="宋体" w:asciiTheme="minorEastAsia" w:hAnsiTheme="minorEastAsia" w:eastAsiaTheme="minorEastAsia"/>
          <w:color w:val="000000"/>
          <w:szCs w:val="24"/>
          <w:highlight w:val="none"/>
        </w:rPr>
        <w:t>联系人：</w:t>
      </w:r>
      <w:r>
        <w:rPr>
          <w:rFonts w:hint="eastAsia" w:cs="宋体" w:asciiTheme="minorEastAsia" w:hAnsiTheme="minorEastAsia" w:eastAsiaTheme="minorEastAsia"/>
          <w:color w:val="000000"/>
          <w:szCs w:val="24"/>
          <w:highlight w:val="none"/>
          <w:lang w:val="en-US" w:eastAsia="zh-CN"/>
        </w:rPr>
        <w:t>李万宋</w:t>
      </w:r>
    </w:p>
    <w:p w14:paraId="19126EFB">
      <w:pPr>
        <w:pStyle w:val="15"/>
        <w:spacing w:line="360" w:lineRule="auto"/>
        <w:ind w:firstLine="480" w:firstLineChars="200"/>
        <w:rPr>
          <w:rFonts w:hint="default" w:asciiTheme="minorEastAsia" w:hAnsiTheme="minorEastAsia" w:eastAsiaTheme="minorEastAsia"/>
          <w:color w:val="000000"/>
          <w:szCs w:val="24"/>
          <w:highlight w:val="none"/>
          <w:lang w:val="en-US"/>
        </w:rPr>
      </w:pPr>
      <w:r>
        <w:rPr>
          <w:rFonts w:hint="eastAsia" w:asciiTheme="minorEastAsia" w:hAnsiTheme="minorEastAsia" w:eastAsiaTheme="minorEastAsia"/>
          <w:color w:val="000000"/>
          <w:szCs w:val="24"/>
          <w:highlight w:val="none"/>
          <w:lang w:val="en-US" w:eastAsia="zh-CN"/>
        </w:rPr>
        <w:t>电  话：</w:t>
      </w:r>
      <w:r>
        <w:rPr>
          <w:rFonts w:hint="eastAsia"/>
          <w:highlight w:val="none"/>
          <w:lang w:val="en-US" w:eastAsia="zh-CN"/>
        </w:rPr>
        <w:t>17866613161</w:t>
      </w:r>
    </w:p>
    <w:p w14:paraId="04508A8B">
      <w:pPr>
        <w:pStyle w:val="15"/>
        <w:spacing w:line="360" w:lineRule="auto"/>
        <w:ind w:firstLine="480" w:firstLineChars="200"/>
        <w:rPr>
          <w:rFonts w:asciiTheme="minorEastAsia" w:hAnsiTheme="minorEastAsia" w:eastAsiaTheme="minorEastAsia"/>
          <w:color w:val="000000"/>
          <w:szCs w:val="24"/>
        </w:rPr>
      </w:pPr>
      <w:r>
        <w:rPr>
          <w:rFonts w:asciiTheme="minorEastAsia" w:hAnsiTheme="minorEastAsia" w:eastAsiaTheme="minorEastAsia"/>
          <w:color w:val="000000"/>
          <w:szCs w:val="24"/>
        </w:rPr>
        <w:t>5.6</w:t>
      </w:r>
      <w:r>
        <w:rPr>
          <w:rFonts w:hint="eastAsia" w:asciiTheme="minorEastAsia" w:hAnsiTheme="minorEastAsia" w:eastAsiaTheme="minorEastAsia"/>
          <w:color w:val="000000"/>
          <w:szCs w:val="24"/>
        </w:rPr>
        <w:t>投标报名事项</w:t>
      </w:r>
    </w:p>
    <w:p w14:paraId="1080E98A">
      <w:pPr>
        <w:pStyle w:val="15"/>
        <w:spacing w:line="360" w:lineRule="auto"/>
        <w:ind w:firstLine="480" w:firstLineChars="200"/>
        <w:rPr>
          <w:rFonts w:asciiTheme="minorEastAsia" w:hAnsiTheme="minorEastAsia" w:eastAsiaTheme="minorEastAsia"/>
          <w:color w:val="000000"/>
          <w:szCs w:val="24"/>
        </w:rPr>
      </w:pPr>
      <w:r>
        <w:rPr>
          <w:rFonts w:hint="eastAsia" w:asciiTheme="minorEastAsia" w:hAnsiTheme="minorEastAsia" w:eastAsiaTheme="minorEastAsia"/>
          <w:color w:val="000000"/>
          <w:szCs w:val="24"/>
        </w:rPr>
        <w:t>投标报名截止时间：</w:t>
      </w:r>
      <w:r>
        <w:rPr>
          <w:rFonts w:hint="eastAsia" w:cs="宋体" w:asciiTheme="minorEastAsia" w:hAnsiTheme="minorEastAsia" w:eastAsiaTheme="minorEastAsia"/>
          <w:color w:val="000000"/>
          <w:szCs w:val="24"/>
        </w:rPr>
        <w:t>202</w:t>
      </w:r>
      <w:r>
        <w:rPr>
          <w:rFonts w:hint="eastAsia" w:cs="宋体" w:asciiTheme="minorEastAsia" w:hAnsiTheme="minorEastAsia" w:eastAsiaTheme="minorEastAsia"/>
          <w:color w:val="000000"/>
          <w:szCs w:val="24"/>
          <w:lang w:val="en-US" w:eastAsia="zh-CN"/>
        </w:rPr>
        <w:t>5</w:t>
      </w:r>
      <w:r>
        <w:rPr>
          <w:rFonts w:hint="eastAsia" w:cs="宋体" w:asciiTheme="minorEastAsia" w:hAnsiTheme="minorEastAsia" w:eastAsiaTheme="minorEastAsia"/>
          <w:color w:val="000000"/>
          <w:szCs w:val="24"/>
        </w:rPr>
        <w:t>年</w:t>
      </w:r>
      <w:r>
        <w:rPr>
          <w:rFonts w:hint="eastAsia" w:cs="宋体" w:asciiTheme="minorEastAsia" w:hAnsiTheme="minorEastAsia" w:eastAsiaTheme="minorEastAsia"/>
          <w:color w:val="000000"/>
          <w:szCs w:val="24"/>
          <w:lang w:val="en-US" w:eastAsia="zh-CN"/>
        </w:rPr>
        <w:t>5</w:t>
      </w:r>
      <w:r>
        <w:rPr>
          <w:rFonts w:hint="eastAsia" w:cs="宋体" w:asciiTheme="minorEastAsia" w:hAnsiTheme="minorEastAsia" w:eastAsiaTheme="minorEastAsia"/>
          <w:color w:val="000000"/>
          <w:szCs w:val="24"/>
        </w:rPr>
        <w:t>月</w:t>
      </w:r>
      <w:r>
        <w:rPr>
          <w:rFonts w:hint="eastAsia" w:cs="宋体" w:asciiTheme="minorEastAsia" w:hAnsiTheme="minorEastAsia" w:eastAsiaTheme="minorEastAsia"/>
          <w:color w:val="000000"/>
          <w:szCs w:val="24"/>
          <w:lang w:val="en-US" w:eastAsia="zh-CN"/>
        </w:rPr>
        <w:t>11</w:t>
      </w:r>
      <w:r>
        <w:rPr>
          <w:rFonts w:hint="eastAsia" w:cs="宋体" w:asciiTheme="minorEastAsia" w:hAnsiTheme="minorEastAsia" w:eastAsiaTheme="minorEastAsia"/>
          <w:color w:val="000000"/>
          <w:szCs w:val="24"/>
        </w:rPr>
        <w:t>日</w:t>
      </w:r>
      <w:r>
        <w:rPr>
          <w:rFonts w:hint="eastAsia" w:asciiTheme="minorEastAsia" w:hAnsiTheme="minorEastAsia" w:eastAsiaTheme="minorEastAsia"/>
          <w:color w:val="000000"/>
          <w:szCs w:val="24"/>
        </w:rPr>
        <w:t>1</w:t>
      </w:r>
      <w:r>
        <w:rPr>
          <w:rFonts w:hint="eastAsia" w:asciiTheme="minorEastAsia" w:hAnsiTheme="minorEastAsia" w:eastAsiaTheme="minorEastAsia"/>
          <w:color w:val="000000"/>
          <w:szCs w:val="24"/>
          <w:lang w:val="en-US" w:eastAsia="zh-CN"/>
        </w:rPr>
        <w:t>8</w:t>
      </w:r>
      <w:r>
        <w:rPr>
          <w:rFonts w:hint="eastAsia" w:asciiTheme="minorEastAsia" w:hAnsiTheme="minorEastAsia" w:eastAsiaTheme="minorEastAsia"/>
          <w:color w:val="000000"/>
          <w:szCs w:val="24"/>
        </w:rPr>
        <w:t>点前，逾期不受理。</w:t>
      </w:r>
    </w:p>
    <w:p w14:paraId="2B3128A1">
      <w:pPr>
        <w:pStyle w:val="15"/>
        <w:spacing w:line="360" w:lineRule="auto"/>
        <w:ind w:firstLine="480" w:firstLineChars="200"/>
        <w:rPr>
          <w:rFonts w:hint="default" w:asciiTheme="minorEastAsia" w:hAnsiTheme="minorEastAsia" w:eastAsiaTheme="minorEastAsia"/>
          <w:color w:val="000000"/>
          <w:szCs w:val="24"/>
          <w:lang w:val="en-US" w:eastAsia="zh-CN"/>
        </w:rPr>
      </w:pPr>
      <w:r>
        <w:rPr>
          <w:rFonts w:hint="eastAsia" w:asciiTheme="minorEastAsia" w:hAnsiTheme="minorEastAsia" w:eastAsiaTheme="minorEastAsia"/>
          <w:color w:val="000000"/>
          <w:szCs w:val="24"/>
        </w:rPr>
        <w:t>报名方式：</w:t>
      </w:r>
      <w:r>
        <w:rPr>
          <w:rFonts w:hint="eastAsia" w:asciiTheme="minorEastAsia" w:hAnsiTheme="minorEastAsia" w:eastAsiaTheme="minorEastAsia"/>
          <w:color w:val="000000"/>
          <w:szCs w:val="24"/>
          <w:lang w:val="en-US" w:eastAsia="zh-CN"/>
        </w:rPr>
        <w:t>重汽e采通系统报名</w:t>
      </w:r>
    </w:p>
    <w:p w14:paraId="246CC1CD">
      <w:pPr>
        <w:pStyle w:val="15"/>
        <w:spacing w:line="360" w:lineRule="auto"/>
        <w:ind w:firstLine="480" w:firstLineChars="200"/>
        <w:rPr>
          <w:rFonts w:asciiTheme="minorEastAsia" w:hAnsiTheme="minorEastAsia" w:eastAsiaTheme="minorEastAsia"/>
          <w:szCs w:val="24"/>
        </w:rPr>
      </w:pPr>
      <w:r>
        <w:rPr>
          <w:rFonts w:asciiTheme="minorEastAsia" w:hAnsiTheme="minorEastAsia" w:eastAsiaTheme="minorEastAsia"/>
          <w:szCs w:val="24"/>
        </w:rPr>
        <w:t>5.</w:t>
      </w:r>
      <w:r>
        <w:rPr>
          <w:rFonts w:hint="eastAsia" w:asciiTheme="minorEastAsia" w:hAnsiTheme="minorEastAsia" w:eastAsiaTheme="minorEastAsia"/>
          <w:szCs w:val="24"/>
        </w:rPr>
        <w:t>7投标文件接收事项：</w:t>
      </w:r>
    </w:p>
    <w:p w14:paraId="4313FC9E">
      <w:pPr>
        <w:pStyle w:val="15"/>
        <w:spacing w:line="360" w:lineRule="auto"/>
        <w:ind w:firstLine="480" w:firstLineChars="200"/>
        <w:rPr>
          <w:rFonts w:hint="eastAsia" w:asciiTheme="minorEastAsia" w:hAnsiTheme="minorEastAsia" w:eastAsiaTheme="minorEastAsia"/>
          <w:color w:val="auto"/>
        </w:rPr>
      </w:pPr>
      <w:r>
        <w:rPr>
          <w:rFonts w:hint="eastAsia" w:asciiTheme="minorEastAsia" w:hAnsiTheme="minorEastAsia" w:eastAsiaTheme="minorEastAsia"/>
          <w:color w:val="auto"/>
        </w:rPr>
        <w:t>投标文件接收截止时间：</w:t>
      </w:r>
      <w:r>
        <w:rPr>
          <w:rFonts w:hint="eastAsia" w:cs="宋体" w:asciiTheme="minorEastAsia" w:hAnsiTheme="minorEastAsia" w:eastAsiaTheme="minorEastAsia"/>
        </w:rPr>
        <w:t>202</w:t>
      </w:r>
      <w:r>
        <w:rPr>
          <w:rFonts w:hint="eastAsia" w:cs="宋体" w:asciiTheme="minorEastAsia" w:hAnsiTheme="minorEastAsia" w:eastAsiaTheme="minorEastAsia"/>
          <w:lang w:val="en-US" w:eastAsia="zh-CN"/>
        </w:rPr>
        <w:t>5</w:t>
      </w:r>
      <w:r>
        <w:rPr>
          <w:rFonts w:hint="eastAsia" w:cs="宋体" w:asciiTheme="minorEastAsia" w:hAnsiTheme="minorEastAsia" w:eastAsiaTheme="minorEastAsia"/>
        </w:rPr>
        <w:t>年</w:t>
      </w:r>
      <w:r>
        <w:rPr>
          <w:rFonts w:hint="eastAsia" w:cs="宋体" w:asciiTheme="minorEastAsia" w:hAnsiTheme="minorEastAsia" w:eastAsiaTheme="minorEastAsia"/>
          <w:lang w:val="en-US" w:eastAsia="zh-CN"/>
        </w:rPr>
        <w:t>5</w:t>
      </w:r>
      <w:r>
        <w:rPr>
          <w:rFonts w:hint="eastAsia" w:cs="宋体" w:asciiTheme="minorEastAsia" w:hAnsiTheme="minorEastAsia" w:eastAsiaTheme="minorEastAsia"/>
        </w:rPr>
        <w:t>月</w:t>
      </w:r>
      <w:r>
        <w:rPr>
          <w:rFonts w:hint="eastAsia" w:cs="宋体" w:asciiTheme="minorEastAsia" w:hAnsiTheme="minorEastAsia" w:eastAsiaTheme="minorEastAsia"/>
          <w:lang w:val="en-US" w:eastAsia="zh-CN"/>
        </w:rPr>
        <w:t>11</w:t>
      </w:r>
      <w:r>
        <w:rPr>
          <w:rFonts w:hint="eastAsia" w:cs="宋体" w:asciiTheme="minorEastAsia" w:hAnsiTheme="minorEastAsia" w:eastAsiaTheme="minorEastAsia"/>
        </w:rPr>
        <w:t>日</w:t>
      </w:r>
      <w:r>
        <w:rPr>
          <w:rFonts w:hint="eastAsia" w:asciiTheme="minorEastAsia" w:hAnsiTheme="minorEastAsia" w:eastAsiaTheme="minorEastAsia"/>
          <w:color w:val="auto"/>
        </w:rPr>
        <w:t>下午</w:t>
      </w:r>
      <w:r>
        <w:rPr>
          <w:rFonts w:asciiTheme="minorEastAsia" w:hAnsiTheme="minorEastAsia" w:eastAsiaTheme="minorEastAsia"/>
          <w:color w:val="auto"/>
        </w:rPr>
        <w:t>13:30</w:t>
      </w:r>
      <w:r>
        <w:rPr>
          <w:rFonts w:hint="eastAsia" w:asciiTheme="minorEastAsia" w:hAnsiTheme="minorEastAsia" w:eastAsiaTheme="minorEastAsia"/>
          <w:color w:val="auto"/>
        </w:rPr>
        <w:t>前，没有收到投标资料的报名单位视为自动放弃投标资格，我单位不再另行通知；</w:t>
      </w:r>
    </w:p>
    <w:p w14:paraId="77CBD60A">
      <w:pPr>
        <w:pStyle w:val="15"/>
        <w:spacing w:line="360" w:lineRule="auto"/>
        <w:ind w:firstLine="480" w:firstLineChars="200"/>
        <w:rPr>
          <w:rFonts w:asciiTheme="minorEastAsia" w:hAnsiTheme="minorEastAsia" w:eastAsiaTheme="minorEastAsia"/>
          <w:szCs w:val="24"/>
        </w:rPr>
      </w:pPr>
      <w:r>
        <w:rPr>
          <w:rFonts w:hint="eastAsia" w:asciiTheme="minorEastAsia" w:hAnsiTheme="minorEastAsia" w:eastAsiaTheme="minorEastAsia"/>
          <w:szCs w:val="24"/>
          <w:lang w:val="en-US" w:eastAsia="zh-CN"/>
        </w:rPr>
        <w:t>李万宋，17866613163</w:t>
      </w:r>
      <w:r>
        <w:rPr>
          <w:rFonts w:asciiTheme="minorEastAsia" w:hAnsiTheme="minorEastAsia" w:eastAsiaTheme="minorEastAsia"/>
          <w:szCs w:val="24"/>
        </w:rPr>
        <w:t xml:space="preserve">  </w:t>
      </w:r>
    </w:p>
    <w:p w14:paraId="0CE1D1B6">
      <w:pPr>
        <w:pStyle w:val="15"/>
        <w:spacing w:line="360" w:lineRule="auto"/>
        <w:ind w:firstLine="482" w:firstLineChars="200"/>
        <w:rPr>
          <w:rFonts w:hint="eastAsia" w:cs="宋体" w:asciiTheme="minorEastAsia" w:hAnsiTheme="minorEastAsia" w:eastAsiaTheme="minorEastAsia"/>
          <w:b/>
          <w:bCs/>
          <w:color w:val="000000"/>
          <w:szCs w:val="24"/>
        </w:rPr>
      </w:pPr>
      <w:r>
        <w:rPr>
          <w:rFonts w:cs="宋体" w:asciiTheme="minorEastAsia" w:hAnsiTheme="minorEastAsia" w:eastAsiaTheme="minorEastAsia"/>
          <w:b/>
          <w:bCs/>
          <w:szCs w:val="24"/>
        </w:rPr>
        <w:t>5</w:t>
      </w:r>
      <w:r>
        <w:rPr>
          <w:rFonts w:hint="eastAsia" w:cs="宋体" w:asciiTheme="minorEastAsia" w:hAnsiTheme="minorEastAsia" w:eastAsiaTheme="minorEastAsia"/>
          <w:b/>
          <w:bCs/>
          <w:szCs w:val="24"/>
        </w:rPr>
        <w:t>.8开标时间：</w:t>
      </w:r>
      <w:r>
        <w:rPr>
          <w:rFonts w:hint="eastAsia" w:cs="宋体" w:asciiTheme="minorEastAsia" w:hAnsiTheme="minorEastAsia" w:eastAsiaTheme="minorEastAsia"/>
          <w:b/>
          <w:bCs/>
          <w:color w:val="000000"/>
          <w:szCs w:val="24"/>
        </w:rPr>
        <w:t>202</w:t>
      </w:r>
      <w:r>
        <w:rPr>
          <w:rFonts w:hint="eastAsia" w:cs="宋体" w:asciiTheme="minorEastAsia" w:hAnsiTheme="minorEastAsia" w:eastAsiaTheme="minorEastAsia"/>
          <w:b/>
          <w:bCs/>
          <w:color w:val="000000"/>
          <w:szCs w:val="24"/>
          <w:lang w:val="en-US" w:eastAsia="zh-CN"/>
        </w:rPr>
        <w:t>5</w:t>
      </w:r>
      <w:r>
        <w:rPr>
          <w:rFonts w:hint="eastAsia" w:cs="宋体" w:asciiTheme="minorEastAsia" w:hAnsiTheme="minorEastAsia" w:eastAsiaTheme="minorEastAsia"/>
          <w:b/>
          <w:bCs/>
          <w:color w:val="000000"/>
          <w:szCs w:val="24"/>
        </w:rPr>
        <w:t>年</w:t>
      </w:r>
      <w:r>
        <w:rPr>
          <w:rFonts w:hint="eastAsia" w:cs="宋体" w:asciiTheme="minorEastAsia" w:hAnsiTheme="minorEastAsia" w:eastAsiaTheme="minorEastAsia"/>
          <w:b/>
          <w:bCs/>
          <w:color w:val="000000"/>
          <w:szCs w:val="24"/>
          <w:lang w:val="en-US" w:eastAsia="zh-CN"/>
        </w:rPr>
        <w:t>5</w:t>
      </w:r>
      <w:r>
        <w:rPr>
          <w:rFonts w:hint="eastAsia" w:cs="宋体" w:asciiTheme="minorEastAsia" w:hAnsiTheme="minorEastAsia" w:eastAsiaTheme="minorEastAsia"/>
          <w:b/>
          <w:bCs/>
          <w:color w:val="000000"/>
          <w:szCs w:val="24"/>
        </w:rPr>
        <w:t>月</w:t>
      </w:r>
      <w:r>
        <w:rPr>
          <w:rFonts w:hint="eastAsia" w:cs="宋体" w:asciiTheme="minorEastAsia" w:hAnsiTheme="minorEastAsia" w:eastAsiaTheme="minorEastAsia"/>
          <w:b/>
          <w:bCs/>
          <w:color w:val="000000"/>
          <w:szCs w:val="24"/>
          <w:lang w:val="en-US" w:eastAsia="zh-CN"/>
        </w:rPr>
        <w:t>12</w:t>
      </w:r>
      <w:r>
        <w:rPr>
          <w:rFonts w:hint="eastAsia" w:cs="宋体" w:asciiTheme="minorEastAsia" w:hAnsiTheme="minorEastAsia" w:eastAsiaTheme="minorEastAsia"/>
          <w:b/>
          <w:bCs/>
          <w:color w:val="000000"/>
          <w:szCs w:val="24"/>
        </w:rPr>
        <w:t>日</w:t>
      </w:r>
      <w:r>
        <w:rPr>
          <w:rFonts w:hint="eastAsia" w:cs="宋体" w:asciiTheme="minorEastAsia" w:hAnsiTheme="minorEastAsia" w:eastAsiaTheme="minorEastAsia"/>
          <w:b/>
          <w:bCs/>
          <w:color w:val="000000"/>
          <w:szCs w:val="24"/>
          <w:lang w:val="en-US" w:eastAsia="zh-CN"/>
        </w:rPr>
        <w:t>上</w:t>
      </w:r>
      <w:r>
        <w:rPr>
          <w:rFonts w:hint="eastAsia" w:cs="宋体" w:asciiTheme="minorEastAsia" w:hAnsiTheme="minorEastAsia" w:eastAsiaTheme="minorEastAsia"/>
          <w:b/>
          <w:bCs/>
          <w:szCs w:val="24"/>
        </w:rPr>
        <w:t>午</w:t>
      </w:r>
      <w:r>
        <w:rPr>
          <w:rFonts w:hint="eastAsia" w:cs="宋体" w:asciiTheme="minorEastAsia" w:hAnsiTheme="minorEastAsia" w:eastAsiaTheme="minorEastAsia"/>
          <w:b/>
          <w:bCs/>
          <w:szCs w:val="24"/>
          <w:lang w:val="en-US" w:eastAsia="zh-CN"/>
        </w:rPr>
        <w:t>9</w:t>
      </w:r>
      <w:r>
        <w:rPr>
          <w:rFonts w:hint="eastAsia" w:cs="宋体" w:asciiTheme="minorEastAsia" w:hAnsiTheme="minorEastAsia" w:eastAsiaTheme="minorEastAsia"/>
          <w:b/>
          <w:bCs/>
          <w:szCs w:val="24"/>
        </w:rPr>
        <w:t>：</w:t>
      </w:r>
      <w:r>
        <w:rPr>
          <w:rFonts w:hint="eastAsia" w:cs="宋体" w:asciiTheme="minorEastAsia" w:hAnsiTheme="minorEastAsia" w:eastAsiaTheme="minorEastAsia"/>
          <w:b/>
          <w:bCs/>
          <w:szCs w:val="24"/>
          <w:lang w:val="en-US" w:eastAsia="zh-CN"/>
        </w:rPr>
        <w:t>0</w:t>
      </w:r>
      <w:r>
        <w:rPr>
          <w:rFonts w:hint="eastAsia" w:cs="宋体" w:asciiTheme="minorEastAsia" w:hAnsiTheme="minorEastAsia" w:eastAsiaTheme="minorEastAsia"/>
          <w:b/>
          <w:bCs/>
          <w:szCs w:val="24"/>
        </w:rPr>
        <w:t>0，若有</w:t>
      </w:r>
      <w:r>
        <w:rPr>
          <w:rFonts w:hint="eastAsia" w:cs="宋体" w:asciiTheme="minorEastAsia" w:hAnsiTheme="minorEastAsia" w:eastAsiaTheme="minorEastAsia"/>
          <w:b/>
          <w:bCs/>
          <w:color w:val="000000"/>
          <w:szCs w:val="24"/>
        </w:rPr>
        <w:t>变动另行通知。</w:t>
      </w:r>
    </w:p>
    <w:p w14:paraId="28DA9D3D">
      <w:pPr>
        <w:pStyle w:val="15"/>
        <w:spacing w:line="360" w:lineRule="auto"/>
        <w:ind w:firstLine="482" w:firstLineChars="200"/>
        <w:rPr>
          <w:rFonts w:hint="eastAsia" w:cs="宋体" w:asciiTheme="minorEastAsia" w:hAnsiTheme="minorEastAsia" w:eastAsiaTheme="minorEastAsia"/>
          <w:b/>
          <w:bCs/>
          <w:color w:val="000000"/>
          <w:szCs w:val="24"/>
        </w:rPr>
      </w:pPr>
      <w:r>
        <w:rPr>
          <w:rFonts w:hint="eastAsia" w:cs="宋体" w:asciiTheme="minorEastAsia" w:hAnsiTheme="minorEastAsia" w:eastAsiaTheme="minorEastAsia"/>
          <w:b/>
          <w:bCs/>
          <w:color w:val="000000"/>
          <w:szCs w:val="24"/>
        </w:rPr>
        <w:t>开标地点：山东省济南市章丘区重汽工业园变速箱厂 231 会议室（若有变动另行通知）</w:t>
      </w:r>
    </w:p>
    <w:p w14:paraId="1F37C1E3">
      <w:pPr>
        <w:pStyle w:val="15"/>
        <w:spacing w:line="360" w:lineRule="auto"/>
        <w:ind w:firstLine="482" w:firstLineChars="200"/>
        <w:rPr>
          <w:rFonts w:asciiTheme="minorEastAsia" w:hAnsiTheme="minorEastAsia" w:eastAsiaTheme="minorEastAsia"/>
          <w:b/>
          <w:szCs w:val="24"/>
        </w:rPr>
      </w:pPr>
      <w:r>
        <w:rPr>
          <w:rFonts w:asciiTheme="minorEastAsia" w:hAnsiTheme="minorEastAsia" w:eastAsiaTheme="minorEastAsia"/>
          <w:b/>
          <w:szCs w:val="24"/>
        </w:rPr>
        <w:t>6</w:t>
      </w:r>
      <w:r>
        <w:rPr>
          <w:rFonts w:hint="eastAsia" w:asciiTheme="minorEastAsia" w:hAnsiTheme="minorEastAsia" w:eastAsiaTheme="minorEastAsia"/>
          <w:b/>
          <w:szCs w:val="24"/>
        </w:rPr>
        <w:t>、评标规则</w:t>
      </w:r>
    </w:p>
    <w:p w14:paraId="0E2A1C56">
      <w:pPr>
        <w:pStyle w:val="15"/>
        <w:spacing w:line="360" w:lineRule="auto"/>
        <w:ind w:firstLine="480" w:firstLineChars="200"/>
        <w:rPr>
          <w:rFonts w:asciiTheme="minorEastAsia" w:hAnsiTheme="minorEastAsia" w:eastAsiaTheme="minorEastAsia"/>
          <w:color w:val="000000"/>
          <w:szCs w:val="24"/>
        </w:rPr>
      </w:pPr>
      <w:r>
        <w:rPr>
          <w:rFonts w:asciiTheme="minorEastAsia" w:hAnsiTheme="minorEastAsia" w:eastAsiaTheme="minorEastAsia"/>
          <w:color w:val="000000"/>
          <w:szCs w:val="24"/>
        </w:rPr>
        <w:t>6.</w:t>
      </w:r>
      <w:r>
        <w:rPr>
          <w:rFonts w:hint="eastAsia" w:asciiTheme="minorEastAsia" w:hAnsiTheme="minorEastAsia" w:eastAsiaTheme="minorEastAsia"/>
          <w:color w:val="000000"/>
          <w:szCs w:val="24"/>
        </w:rPr>
        <w:t>1、评标</w:t>
      </w:r>
    </w:p>
    <w:p w14:paraId="5DA88BCD">
      <w:pPr>
        <w:pStyle w:val="15"/>
        <w:spacing w:line="360" w:lineRule="auto"/>
        <w:ind w:firstLine="480" w:firstLineChars="200"/>
        <w:rPr>
          <w:rFonts w:asciiTheme="minorEastAsia" w:hAnsiTheme="minorEastAsia" w:eastAsiaTheme="minorEastAsia"/>
          <w:b/>
          <w:bCs/>
          <w:color w:val="000000"/>
          <w:szCs w:val="24"/>
        </w:rPr>
      </w:pPr>
      <w:r>
        <w:rPr>
          <w:rFonts w:hint="eastAsia" w:asciiTheme="minorEastAsia" w:hAnsiTheme="minorEastAsia" w:eastAsiaTheme="minorEastAsia"/>
          <w:color w:val="000000"/>
          <w:szCs w:val="24"/>
        </w:rPr>
        <w:t>评标由依照有关法律、法规组建的评标委员会负责。评标工作小组由招标人或其委托的招标代理机构熟悉相关业务的代表，以及有关技术、经济等方面的专家组成。评标委员会成员人数为</w:t>
      </w:r>
      <w:r>
        <w:rPr>
          <w:rFonts w:hint="eastAsia" w:asciiTheme="minorEastAsia" w:hAnsiTheme="minorEastAsia" w:eastAsiaTheme="minorEastAsia"/>
          <w:b/>
          <w:bCs/>
          <w:color w:val="000000"/>
          <w:szCs w:val="24"/>
          <w:lang w:val="en-US" w:eastAsia="zh-CN"/>
        </w:rPr>
        <w:t>五</w:t>
      </w:r>
      <w:r>
        <w:rPr>
          <w:rFonts w:hint="eastAsia" w:asciiTheme="minorEastAsia" w:hAnsiTheme="minorEastAsia" w:eastAsiaTheme="minorEastAsia"/>
          <w:b/>
          <w:bCs/>
          <w:color w:val="000000"/>
          <w:szCs w:val="24"/>
        </w:rPr>
        <w:t>人</w:t>
      </w:r>
      <w:r>
        <w:rPr>
          <w:rFonts w:hint="eastAsia" w:asciiTheme="minorEastAsia" w:hAnsiTheme="minorEastAsia" w:eastAsiaTheme="minorEastAsia"/>
          <w:color w:val="000000"/>
          <w:szCs w:val="24"/>
        </w:rPr>
        <w:t>以上单数。其中，技术、经济等方面的专家不少于成员总数的三分之二。评标专家小组负责参照评分标准，按照国家招投标有关规定，本着公平、公正、公开、有序的原则，在最大限度地满足招标文件实质性要求的前提下，</w:t>
      </w:r>
      <w:r>
        <w:rPr>
          <w:rFonts w:hint="eastAsia" w:asciiTheme="minorEastAsia" w:hAnsiTheme="minorEastAsia" w:eastAsiaTheme="minorEastAsia"/>
          <w:b/>
          <w:bCs/>
          <w:color w:val="000000"/>
          <w:szCs w:val="24"/>
        </w:rPr>
        <w:t>按照合理最低价的原则选择中标厂家。</w:t>
      </w:r>
    </w:p>
    <w:p w14:paraId="5EBF811F">
      <w:pPr>
        <w:pStyle w:val="15"/>
        <w:spacing w:line="360" w:lineRule="auto"/>
        <w:ind w:firstLine="470" w:firstLineChars="196"/>
        <w:rPr>
          <w:rFonts w:asciiTheme="minorEastAsia" w:hAnsiTheme="minorEastAsia" w:eastAsiaTheme="minorEastAsia"/>
          <w:color w:val="000000"/>
          <w:szCs w:val="24"/>
        </w:rPr>
      </w:pPr>
      <w:r>
        <w:rPr>
          <w:rFonts w:asciiTheme="minorEastAsia" w:hAnsiTheme="minorEastAsia" w:eastAsiaTheme="minorEastAsia"/>
          <w:color w:val="000000"/>
          <w:szCs w:val="24"/>
        </w:rPr>
        <w:t>6.</w:t>
      </w:r>
      <w:r>
        <w:rPr>
          <w:rFonts w:hint="eastAsia" w:asciiTheme="minorEastAsia" w:hAnsiTheme="minorEastAsia" w:eastAsiaTheme="minorEastAsia"/>
          <w:color w:val="000000"/>
          <w:szCs w:val="24"/>
        </w:rPr>
        <w:t>2、</w:t>
      </w:r>
      <w:bookmarkStart w:id="4" w:name="OLE_LINK4"/>
      <w:r>
        <w:rPr>
          <w:rFonts w:hint="eastAsia" w:asciiTheme="minorEastAsia" w:hAnsiTheme="minorEastAsia" w:eastAsiaTheme="minorEastAsia"/>
          <w:color w:val="000000"/>
          <w:szCs w:val="24"/>
        </w:rPr>
        <w:t>评分标准</w:t>
      </w:r>
    </w:p>
    <w:p w14:paraId="633F9E0F">
      <w:pPr>
        <w:keepNext w:val="0"/>
        <w:keepLines w:val="0"/>
        <w:widowControl/>
        <w:suppressLineNumbers w:val="0"/>
        <w:jc w:val="left"/>
        <w:rPr>
          <w:rFonts w:hint="eastAsia" w:cs="Arial" w:asciiTheme="minorEastAsia" w:hAnsiTheme="minorEastAsia" w:eastAsiaTheme="minorEastAsia"/>
          <w:bCs/>
          <w:highlight w:val="yellow"/>
        </w:rPr>
      </w:pPr>
      <w:r>
        <w:rPr>
          <w:rFonts w:hint="eastAsia" w:asciiTheme="minorEastAsia" w:hAnsiTheme="minorEastAsia" w:eastAsiaTheme="minorEastAsia"/>
          <w:color w:val="000000"/>
          <w:szCs w:val="24"/>
        </w:rPr>
        <w:t>(</w:t>
      </w:r>
      <w:r>
        <w:rPr>
          <w:rFonts w:asciiTheme="minorEastAsia" w:hAnsiTheme="minorEastAsia" w:eastAsiaTheme="minorEastAsia"/>
          <w:color w:val="000000"/>
          <w:szCs w:val="24"/>
        </w:rPr>
        <w:t>1)</w:t>
      </w:r>
      <w:r>
        <w:rPr>
          <w:rFonts w:hint="eastAsia" w:asciiTheme="minorEastAsia" w:hAnsiTheme="minorEastAsia" w:eastAsiaTheme="minorEastAsia"/>
          <w:color w:val="000000"/>
          <w:szCs w:val="24"/>
        </w:rPr>
        <w:t>评标依据：</w:t>
      </w:r>
      <w:r>
        <w:rPr>
          <w:rFonts w:hint="eastAsia" w:cs="Arial" w:asciiTheme="minorEastAsia" w:hAnsiTheme="minorEastAsia" w:eastAsiaTheme="minorEastAsia"/>
          <w:bCs/>
          <w:highlight w:val="green"/>
          <w:lang w:val="en-US" w:eastAsia="zh-CN"/>
        </w:rPr>
        <w:t>技术标与商务标分别投标，按照标书中规定的详细技术要求进行技术评标，技术标评分不带入商务标，原则上按照评标合理最低价选择中标厂家。</w:t>
      </w:r>
    </w:p>
    <w:p w14:paraId="365F64C2">
      <w:pPr>
        <w:pStyle w:val="15"/>
        <w:spacing w:line="360" w:lineRule="auto"/>
        <w:jc w:val="center"/>
        <w:rPr>
          <w:rFonts w:asciiTheme="minorEastAsia" w:hAnsiTheme="minorEastAsia" w:eastAsiaTheme="minorEastAsia"/>
          <w:b/>
          <w:bCs/>
          <w:color w:val="000000"/>
          <w:szCs w:val="24"/>
        </w:rPr>
      </w:pPr>
      <w:r>
        <w:rPr>
          <w:rFonts w:hint="eastAsia" w:asciiTheme="minorEastAsia" w:hAnsiTheme="minorEastAsia" w:eastAsiaTheme="minorEastAsia"/>
          <w:b/>
          <w:bCs/>
          <w:color w:val="000000"/>
          <w:szCs w:val="24"/>
        </w:rPr>
        <w:t>技术标评分细则（满分10</w:t>
      </w:r>
      <w:r>
        <w:rPr>
          <w:rFonts w:asciiTheme="minorEastAsia" w:hAnsiTheme="minorEastAsia" w:eastAsiaTheme="minorEastAsia"/>
          <w:b/>
          <w:bCs/>
          <w:color w:val="000000"/>
          <w:szCs w:val="24"/>
        </w:rPr>
        <w:t>0</w:t>
      </w:r>
      <w:r>
        <w:rPr>
          <w:rFonts w:hint="eastAsia" w:asciiTheme="minorEastAsia" w:hAnsiTheme="minorEastAsia" w:eastAsiaTheme="minorEastAsia"/>
          <w:b/>
          <w:bCs/>
          <w:color w:val="000000"/>
          <w:szCs w:val="24"/>
        </w:rPr>
        <w:t>分）</w:t>
      </w:r>
    </w:p>
    <w:tbl>
      <w:tblPr>
        <w:tblStyle w:val="27"/>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1"/>
        <w:gridCol w:w="850"/>
        <w:gridCol w:w="6521"/>
      </w:tblGrid>
      <w:tr w14:paraId="6B3C1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09" w:type="dxa"/>
          </w:tcPr>
          <w:p w14:paraId="29E5F083">
            <w:pPr>
              <w:autoSpaceDN w:val="0"/>
              <w:spacing w:line="360" w:lineRule="auto"/>
              <w:jc w:val="center"/>
              <w:textAlignment w:val="center"/>
              <w:rPr>
                <w:rFonts w:ascii="宋体" w:hAnsi="宋体"/>
                <w:b/>
                <w:bCs/>
                <w:szCs w:val="24"/>
                <w:highlight w:val="none"/>
              </w:rPr>
            </w:pPr>
            <w:r>
              <w:rPr>
                <w:rFonts w:hint="eastAsia" w:ascii="宋体" w:hAnsi="宋体"/>
                <w:b/>
                <w:bCs/>
                <w:szCs w:val="24"/>
                <w:highlight w:val="none"/>
              </w:rPr>
              <w:t>序号</w:t>
            </w:r>
          </w:p>
        </w:tc>
        <w:tc>
          <w:tcPr>
            <w:tcW w:w="1271" w:type="dxa"/>
            <w:vAlign w:val="center"/>
          </w:tcPr>
          <w:p w14:paraId="4D6BED6D">
            <w:pPr>
              <w:autoSpaceDN w:val="0"/>
              <w:spacing w:line="360" w:lineRule="auto"/>
              <w:jc w:val="center"/>
              <w:textAlignment w:val="center"/>
              <w:rPr>
                <w:rFonts w:ascii="宋体" w:hAnsi="宋体"/>
                <w:b/>
                <w:bCs/>
                <w:szCs w:val="24"/>
                <w:highlight w:val="none"/>
              </w:rPr>
            </w:pPr>
            <w:r>
              <w:rPr>
                <w:rFonts w:hint="eastAsia" w:ascii="宋体" w:hAnsi="宋体"/>
                <w:b/>
                <w:bCs/>
                <w:szCs w:val="24"/>
                <w:highlight w:val="none"/>
              </w:rPr>
              <w:t>类别</w:t>
            </w:r>
          </w:p>
        </w:tc>
        <w:tc>
          <w:tcPr>
            <w:tcW w:w="850" w:type="dxa"/>
          </w:tcPr>
          <w:p w14:paraId="61480294">
            <w:pPr>
              <w:autoSpaceDN w:val="0"/>
              <w:spacing w:line="360" w:lineRule="auto"/>
              <w:jc w:val="center"/>
              <w:textAlignment w:val="center"/>
              <w:rPr>
                <w:rFonts w:ascii="宋体" w:hAnsi="宋体"/>
                <w:b/>
                <w:bCs/>
                <w:szCs w:val="24"/>
                <w:highlight w:val="none"/>
              </w:rPr>
            </w:pPr>
            <w:r>
              <w:rPr>
                <w:rFonts w:hint="eastAsia" w:ascii="宋体" w:hAnsi="宋体"/>
                <w:b/>
                <w:bCs/>
                <w:szCs w:val="24"/>
                <w:highlight w:val="none"/>
              </w:rPr>
              <w:t>满分</w:t>
            </w:r>
          </w:p>
        </w:tc>
        <w:tc>
          <w:tcPr>
            <w:tcW w:w="6521" w:type="dxa"/>
            <w:vAlign w:val="center"/>
          </w:tcPr>
          <w:p w14:paraId="3259C38A">
            <w:pPr>
              <w:autoSpaceDN w:val="0"/>
              <w:spacing w:line="360" w:lineRule="auto"/>
              <w:jc w:val="center"/>
              <w:textAlignment w:val="center"/>
              <w:rPr>
                <w:rFonts w:ascii="宋体" w:hAnsi="宋体"/>
                <w:b/>
                <w:bCs/>
                <w:szCs w:val="24"/>
                <w:highlight w:val="none"/>
              </w:rPr>
            </w:pPr>
            <w:r>
              <w:rPr>
                <w:rFonts w:ascii="宋体" w:hAnsi="宋体"/>
                <w:b/>
                <w:bCs/>
                <w:szCs w:val="24"/>
                <w:highlight w:val="none"/>
              </w:rPr>
              <w:t>评分标准</w:t>
            </w:r>
          </w:p>
        </w:tc>
      </w:tr>
      <w:tr w14:paraId="06E1C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09" w:type="dxa"/>
            <w:vAlign w:val="center"/>
          </w:tcPr>
          <w:p w14:paraId="42995138">
            <w:pPr>
              <w:autoSpaceDN w:val="0"/>
              <w:jc w:val="center"/>
              <w:textAlignment w:val="center"/>
              <w:rPr>
                <w:rFonts w:ascii="宋体" w:hAnsi="宋体"/>
                <w:szCs w:val="24"/>
                <w:highlight w:val="none"/>
              </w:rPr>
            </w:pPr>
            <w:r>
              <w:rPr>
                <w:rFonts w:hint="eastAsia" w:ascii="宋体" w:hAnsi="宋体"/>
                <w:szCs w:val="24"/>
                <w:highlight w:val="none"/>
              </w:rPr>
              <w:t>1</w:t>
            </w:r>
          </w:p>
        </w:tc>
        <w:tc>
          <w:tcPr>
            <w:tcW w:w="1271" w:type="dxa"/>
            <w:vAlign w:val="center"/>
          </w:tcPr>
          <w:p w14:paraId="0EB9BC2B">
            <w:pPr>
              <w:autoSpaceDN w:val="0"/>
              <w:jc w:val="center"/>
              <w:textAlignment w:val="center"/>
              <w:rPr>
                <w:rFonts w:ascii="宋体" w:hAnsi="宋体"/>
                <w:bCs/>
                <w:szCs w:val="24"/>
                <w:highlight w:val="none"/>
              </w:rPr>
            </w:pPr>
            <w:r>
              <w:rPr>
                <w:rFonts w:ascii="宋体" w:hAnsi="宋体"/>
                <w:szCs w:val="24"/>
                <w:highlight w:val="none"/>
              </w:rPr>
              <w:t>运维服务方案</w:t>
            </w:r>
          </w:p>
        </w:tc>
        <w:tc>
          <w:tcPr>
            <w:tcW w:w="850" w:type="dxa"/>
            <w:vAlign w:val="center"/>
          </w:tcPr>
          <w:p w14:paraId="5CC262EC">
            <w:pPr>
              <w:jc w:val="center"/>
              <w:rPr>
                <w:rFonts w:ascii="宋体" w:hAnsi="宋体"/>
                <w:bCs/>
                <w:szCs w:val="24"/>
                <w:highlight w:val="none"/>
              </w:rPr>
            </w:pPr>
            <w:r>
              <w:rPr>
                <w:rFonts w:ascii="宋体" w:hAnsi="宋体"/>
                <w:bCs/>
                <w:szCs w:val="24"/>
                <w:highlight w:val="none"/>
              </w:rPr>
              <w:t>5</w:t>
            </w:r>
            <w:r>
              <w:rPr>
                <w:rFonts w:hint="eastAsia" w:ascii="宋体" w:hAnsi="宋体"/>
                <w:bCs/>
                <w:szCs w:val="24"/>
                <w:highlight w:val="none"/>
              </w:rPr>
              <w:t>0分</w:t>
            </w:r>
          </w:p>
        </w:tc>
        <w:tc>
          <w:tcPr>
            <w:tcW w:w="6521" w:type="dxa"/>
            <w:vAlign w:val="center"/>
          </w:tcPr>
          <w:p w14:paraId="5A397E29">
            <w:pPr>
              <w:jc w:val="left"/>
              <w:rPr>
                <w:rFonts w:ascii="宋体" w:hAnsi="宋体"/>
                <w:bCs/>
                <w:szCs w:val="24"/>
                <w:highlight w:val="none"/>
              </w:rPr>
            </w:pPr>
            <w:r>
              <w:rPr>
                <w:rFonts w:ascii="宋体" w:hAnsi="宋体"/>
                <w:bCs/>
                <w:szCs w:val="24"/>
                <w:highlight w:val="none"/>
              </w:rPr>
              <w:t>1、投标人针对项目特点提出完善的运维服务解决方案，方案全面、可靠，制度体系完整，安全、质量及应急等保障措施到位，依据运维服务方案</w:t>
            </w:r>
            <w:r>
              <w:rPr>
                <w:rFonts w:hint="eastAsia" w:ascii="宋体" w:hAnsi="宋体"/>
                <w:bCs/>
                <w:szCs w:val="24"/>
                <w:highlight w:val="none"/>
              </w:rPr>
              <w:t>综合评价打分（40分）</w:t>
            </w:r>
            <w:r>
              <w:rPr>
                <w:rFonts w:ascii="宋体" w:hAnsi="宋体"/>
                <w:bCs/>
                <w:szCs w:val="24"/>
                <w:highlight w:val="none"/>
              </w:rPr>
              <w:t>。</w:t>
            </w:r>
          </w:p>
          <w:p w14:paraId="0966D9B2">
            <w:pPr>
              <w:jc w:val="left"/>
              <w:rPr>
                <w:rFonts w:ascii="宋体" w:hAnsi="宋体"/>
                <w:bCs/>
                <w:color w:val="FF0000"/>
                <w:szCs w:val="24"/>
                <w:highlight w:val="none"/>
              </w:rPr>
            </w:pPr>
            <w:r>
              <w:rPr>
                <w:rFonts w:ascii="宋体" w:hAnsi="宋体"/>
                <w:bCs/>
                <w:szCs w:val="24"/>
                <w:highlight w:val="none"/>
              </w:rPr>
              <w:t>2、投标人需提供2份针对运维现场的EOP文件，评委根据EOP文件的针对性、可操作性、可执行性进行综合评价打分</w:t>
            </w:r>
            <w:r>
              <w:rPr>
                <w:rFonts w:hint="eastAsia" w:ascii="宋体" w:hAnsi="宋体"/>
                <w:bCs/>
                <w:szCs w:val="24"/>
                <w:highlight w:val="none"/>
              </w:rPr>
              <w:t>（10分）</w:t>
            </w:r>
            <w:r>
              <w:rPr>
                <w:rFonts w:ascii="宋体" w:hAnsi="宋体"/>
                <w:bCs/>
                <w:szCs w:val="24"/>
                <w:highlight w:val="none"/>
              </w:rPr>
              <w:t>。</w:t>
            </w:r>
            <w:r>
              <w:rPr>
                <w:rFonts w:hint="eastAsia" w:ascii="宋体" w:hAnsi="宋体"/>
                <w:bCs/>
                <w:szCs w:val="24"/>
                <w:highlight w:val="none"/>
              </w:rPr>
              <w:t xml:space="preserve"> </w:t>
            </w:r>
          </w:p>
        </w:tc>
      </w:tr>
      <w:tr w14:paraId="5ED9C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09" w:type="dxa"/>
            <w:vAlign w:val="center"/>
          </w:tcPr>
          <w:p w14:paraId="3BD21797">
            <w:pPr>
              <w:autoSpaceDN w:val="0"/>
              <w:jc w:val="center"/>
              <w:textAlignment w:val="center"/>
              <w:rPr>
                <w:rFonts w:ascii="宋体" w:hAnsi="宋体"/>
                <w:szCs w:val="24"/>
                <w:highlight w:val="none"/>
              </w:rPr>
            </w:pPr>
            <w:r>
              <w:rPr>
                <w:rFonts w:hint="eastAsia" w:ascii="宋体" w:hAnsi="宋体"/>
                <w:szCs w:val="24"/>
                <w:highlight w:val="none"/>
              </w:rPr>
              <w:t>2</w:t>
            </w:r>
          </w:p>
        </w:tc>
        <w:tc>
          <w:tcPr>
            <w:tcW w:w="1271" w:type="dxa"/>
            <w:vAlign w:val="center"/>
          </w:tcPr>
          <w:p w14:paraId="77743CBA">
            <w:pPr>
              <w:autoSpaceDN w:val="0"/>
              <w:jc w:val="center"/>
              <w:textAlignment w:val="center"/>
              <w:rPr>
                <w:rFonts w:ascii="宋体" w:hAnsi="宋体"/>
                <w:szCs w:val="24"/>
                <w:highlight w:val="none"/>
              </w:rPr>
            </w:pPr>
            <w:r>
              <w:rPr>
                <w:rFonts w:hint="eastAsia" w:ascii="宋体" w:hAnsi="宋体"/>
                <w:szCs w:val="24"/>
                <w:highlight w:val="none"/>
              </w:rPr>
              <w:t>综合实力</w:t>
            </w:r>
          </w:p>
        </w:tc>
        <w:tc>
          <w:tcPr>
            <w:tcW w:w="850" w:type="dxa"/>
            <w:vAlign w:val="center"/>
          </w:tcPr>
          <w:p w14:paraId="06483889">
            <w:pPr>
              <w:jc w:val="center"/>
              <w:rPr>
                <w:rFonts w:ascii="宋体" w:hAnsi="宋体"/>
                <w:bCs/>
                <w:szCs w:val="24"/>
                <w:highlight w:val="none"/>
              </w:rPr>
            </w:pPr>
            <w:r>
              <w:rPr>
                <w:rFonts w:hint="eastAsia" w:ascii="宋体" w:hAnsi="宋体"/>
                <w:bCs/>
                <w:szCs w:val="24"/>
                <w:highlight w:val="none"/>
                <w:lang w:val="en-US" w:eastAsia="zh-CN"/>
              </w:rPr>
              <w:t>5</w:t>
            </w:r>
            <w:r>
              <w:rPr>
                <w:rFonts w:hint="eastAsia" w:ascii="宋体" w:hAnsi="宋体"/>
                <w:bCs/>
                <w:szCs w:val="24"/>
                <w:highlight w:val="none"/>
              </w:rPr>
              <w:t>分</w:t>
            </w:r>
          </w:p>
        </w:tc>
        <w:tc>
          <w:tcPr>
            <w:tcW w:w="6521" w:type="dxa"/>
            <w:vAlign w:val="center"/>
          </w:tcPr>
          <w:p w14:paraId="76F67F2A">
            <w:pPr>
              <w:adjustRightInd w:val="0"/>
              <w:snapToGrid w:val="0"/>
              <w:jc w:val="left"/>
              <w:rPr>
                <w:rFonts w:ascii="宋体" w:hAnsi="宋体"/>
                <w:color w:val="000000"/>
                <w:kern w:val="0"/>
                <w:szCs w:val="24"/>
                <w:highlight w:val="none"/>
                <w:lang w:bidi="ar"/>
              </w:rPr>
            </w:pPr>
            <w:r>
              <w:rPr>
                <w:rFonts w:ascii="宋体" w:hAnsi="宋体"/>
                <w:color w:val="000000"/>
                <w:kern w:val="0"/>
                <w:szCs w:val="24"/>
                <w:highlight w:val="none"/>
                <w:lang w:bidi="ar"/>
              </w:rPr>
              <w:t>1、投标人具有承装（修、试）电力设施许可证四级及以上资质证书得</w:t>
            </w:r>
            <w:r>
              <w:rPr>
                <w:rFonts w:hint="eastAsia" w:ascii="宋体" w:hAnsi="宋体"/>
                <w:color w:val="000000"/>
                <w:kern w:val="0"/>
                <w:szCs w:val="24"/>
                <w:highlight w:val="none"/>
                <w:lang w:val="en-US" w:eastAsia="zh-CN" w:bidi="ar"/>
              </w:rPr>
              <w:t>5</w:t>
            </w:r>
            <w:r>
              <w:rPr>
                <w:rFonts w:ascii="宋体" w:hAnsi="宋体"/>
                <w:color w:val="000000"/>
                <w:kern w:val="0"/>
                <w:szCs w:val="24"/>
                <w:highlight w:val="none"/>
                <w:lang w:bidi="ar"/>
              </w:rPr>
              <w:t>分，</w:t>
            </w:r>
            <w:r>
              <w:rPr>
                <w:rFonts w:hint="eastAsia" w:ascii="宋体" w:hAnsi="宋体"/>
                <w:color w:val="000000"/>
                <w:kern w:val="0"/>
                <w:szCs w:val="24"/>
                <w:highlight w:val="none"/>
                <w:lang w:bidi="ar"/>
              </w:rPr>
              <w:t>没有</w:t>
            </w:r>
            <w:r>
              <w:rPr>
                <w:rFonts w:ascii="宋体" w:hAnsi="宋体"/>
                <w:color w:val="000000"/>
                <w:kern w:val="0"/>
                <w:szCs w:val="24"/>
                <w:highlight w:val="none"/>
                <w:lang w:bidi="ar"/>
              </w:rPr>
              <w:t>不得分</w:t>
            </w:r>
            <w:r>
              <w:rPr>
                <w:rFonts w:hint="eastAsia" w:ascii="宋体" w:hAnsi="宋体"/>
                <w:color w:val="000000"/>
                <w:kern w:val="0"/>
                <w:szCs w:val="24"/>
                <w:highlight w:val="none"/>
                <w:lang w:val="en-US" w:eastAsia="zh-CN" w:bidi="ar"/>
              </w:rPr>
              <w:t>(一票否决项）</w:t>
            </w:r>
            <w:r>
              <w:rPr>
                <w:rFonts w:ascii="宋体" w:hAnsi="宋体"/>
                <w:color w:val="000000"/>
                <w:kern w:val="0"/>
                <w:szCs w:val="24"/>
                <w:highlight w:val="none"/>
                <w:lang w:bidi="ar"/>
              </w:rPr>
              <w:t>。</w:t>
            </w:r>
          </w:p>
        </w:tc>
      </w:tr>
      <w:tr w14:paraId="5A063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709" w:type="dxa"/>
            <w:vAlign w:val="center"/>
          </w:tcPr>
          <w:p w14:paraId="6EB02566">
            <w:pPr>
              <w:autoSpaceDN w:val="0"/>
              <w:jc w:val="center"/>
              <w:textAlignment w:val="center"/>
              <w:rPr>
                <w:rFonts w:ascii="宋体" w:hAnsi="宋体"/>
                <w:color w:val="000000" w:themeColor="text1"/>
                <w:szCs w:val="24"/>
                <w:highlight w:val="none"/>
                <w14:textFill>
                  <w14:solidFill>
                    <w14:schemeClr w14:val="tx1"/>
                  </w14:solidFill>
                </w14:textFill>
              </w:rPr>
            </w:pPr>
            <w:r>
              <w:rPr>
                <w:rFonts w:ascii="宋体" w:hAnsi="宋体"/>
                <w:color w:val="000000" w:themeColor="text1"/>
                <w:szCs w:val="24"/>
                <w:highlight w:val="none"/>
                <w14:textFill>
                  <w14:solidFill>
                    <w14:schemeClr w14:val="tx1"/>
                  </w14:solidFill>
                </w14:textFill>
              </w:rPr>
              <w:t>3</w:t>
            </w:r>
          </w:p>
        </w:tc>
        <w:tc>
          <w:tcPr>
            <w:tcW w:w="1271" w:type="dxa"/>
            <w:vAlign w:val="center"/>
          </w:tcPr>
          <w:p w14:paraId="51E7AE64">
            <w:pPr>
              <w:autoSpaceDN w:val="0"/>
              <w:jc w:val="center"/>
              <w:textAlignment w:val="center"/>
              <w:rPr>
                <w:rFonts w:ascii="宋体" w:hAnsi="宋体"/>
                <w:color w:val="000000" w:themeColor="text1"/>
                <w:szCs w:val="24"/>
                <w:highlight w:val="none"/>
                <w14:textFill>
                  <w14:solidFill>
                    <w14:schemeClr w14:val="tx1"/>
                  </w14:solidFill>
                </w14:textFill>
              </w:rPr>
            </w:pPr>
            <w:r>
              <w:rPr>
                <w:rFonts w:ascii="宋体" w:hAnsi="宋体"/>
                <w:color w:val="000000" w:themeColor="text1"/>
                <w:szCs w:val="24"/>
                <w:highlight w:val="none"/>
                <w14:textFill>
                  <w14:solidFill>
                    <w14:schemeClr w14:val="tx1"/>
                  </w14:solidFill>
                </w14:textFill>
              </w:rPr>
              <w:t>运维工程师技术能力</w:t>
            </w:r>
          </w:p>
        </w:tc>
        <w:tc>
          <w:tcPr>
            <w:tcW w:w="850" w:type="dxa"/>
            <w:vAlign w:val="center"/>
          </w:tcPr>
          <w:p w14:paraId="6899F404">
            <w:pPr>
              <w:widowControl/>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30分</w:t>
            </w:r>
          </w:p>
        </w:tc>
        <w:tc>
          <w:tcPr>
            <w:tcW w:w="6521" w:type="dxa"/>
            <w:vAlign w:val="center"/>
          </w:tcPr>
          <w:p w14:paraId="43F47621">
            <w:pPr>
              <w:jc w:val="left"/>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 xml:space="preserve">针对投标人对本项目的专业运维人员配置情况、综合素质进行综合评定，团队总人数为 </w:t>
            </w:r>
            <w:r>
              <w:rPr>
                <w:rFonts w:hint="eastAsia" w:ascii="宋体" w:hAnsi="宋体"/>
                <w:color w:val="000000" w:themeColor="text1"/>
                <w:szCs w:val="24"/>
                <w:highlight w:val="none"/>
                <w:lang w:val="en-US" w:eastAsia="zh-CN"/>
                <w14:textFill>
                  <w14:solidFill>
                    <w14:schemeClr w14:val="tx1"/>
                  </w14:solidFill>
                </w14:textFill>
              </w:rPr>
              <w:t>41</w:t>
            </w:r>
            <w:r>
              <w:rPr>
                <w:rFonts w:hint="eastAsia" w:ascii="宋体" w:hAnsi="宋体"/>
                <w:color w:val="000000" w:themeColor="text1"/>
                <w:szCs w:val="24"/>
                <w:highlight w:val="none"/>
                <w14:textFill>
                  <w14:solidFill>
                    <w14:schemeClr w14:val="tx1"/>
                  </w14:solidFill>
                </w14:textFill>
              </w:rPr>
              <w:t>人（最低要求），投标人可结合技术规范书工作量自行考量运维团队人员数量，要求配置人员资质必须符合招标技术要求（30分）。</w:t>
            </w:r>
          </w:p>
        </w:tc>
      </w:tr>
      <w:tr w14:paraId="6D5EB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09" w:type="dxa"/>
            <w:vAlign w:val="center"/>
          </w:tcPr>
          <w:p w14:paraId="064D06A1">
            <w:pPr>
              <w:autoSpaceDN w:val="0"/>
              <w:jc w:val="center"/>
              <w:textAlignment w:val="center"/>
              <w:rPr>
                <w:rFonts w:ascii="宋体" w:hAnsi="宋体"/>
                <w:szCs w:val="24"/>
                <w:highlight w:val="none"/>
              </w:rPr>
            </w:pPr>
            <w:r>
              <w:rPr>
                <w:rFonts w:hint="eastAsia" w:ascii="宋体" w:hAnsi="宋体"/>
                <w:szCs w:val="24"/>
                <w:highlight w:val="none"/>
              </w:rPr>
              <w:t>4</w:t>
            </w:r>
          </w:p>
        </w:tc>
        <w:tc>
          <w:tcPr>
            <w:tcW w:w="1271" w:type="dxa"/>
            <w:vAlign w:val="center"/>
          </w:tcPr>
          <w:p w14:paraId="414CC663">
            <w:pPr>
              <w:autoSpaceDN w:val="0"/>
              <w:jc w:val="center"/>
              <w:textAlignment w:val="center"/>
              <w:rPr>
                <w:rFonts w:ascii="宋体" w:hAnsi="宋体"/>
                <w:szCs w:val="24"/>
                <w:highlight w:val="none"/>
              </w:rPr>
            </w:pPr>
            <w:r>
              <w:rPr>
                <w:rFonts w:hint="eastAsia" w:ascii="宋体" w:hAnsi="宋体"/>
                <w:szCs w:val="24"/>
                <w:highlight w:val="none"/>
              </w:rPr>
              <w:t>现场答疑</w:t>
            </w:r>
          </w:p>
        </w:tc>
        <w:tc>
          <w:tcPr>
            <w:tcW w:w="850" w:type="dxa"/>
            <w:vAlign w:val="center"/>
          </w:tcPr>
          <w:p w14:paraId="6247C7B9">
            <w:pPr>
              <w:widowControl/>
              <w:jc w:val="center"/>
              <w:rPr>
                <w:rFonts w:ascii="宋体" w:hAnsi="宋体"/>
                <w:szCs w:val="24"/>
                <w:highlight w:val="none"/>
              </w:rPr>
            </w:pPr>
            <w:r>
              <w:rPr>
                <w:rFonts w:hint="eastAsia" w:ascii="宋体" w:hAnsi="宋体"/>
                <w:szCs w:val="24"/>
                <w:highlight w:val="none"/>
              </w:rPr>
              <w:t>10分</w:t>
            </w:r>
          </w:p>
        </w:tc>
        <w:tc>
          <w:tcPr>
            <w:tcW w:w="6521" w:type="dxa"/>
            <w:vAlign w:val="center"/>
          </w:tcPr>
          <w:p w14:paraId="67B32B26">
            <w:pPr>
              <w:widowControl/>
              <w:jc w:val="left"/>
              <w:rPr>
                <w:rFonts w:ascii="宋体" w:hAnsi="宋体"/>
                <w:color w:val="000000"/>
                <w:kern w:val="0"/>
                <w:szCs w:val="24"/>
                <w:highlight w:val="none"/>
              </w:rPr>
            </w:pPr>
            <w:r>
              <w:rPr>
                <w:rFonts w:ascii="宋体" w:hAnsi="宋体"/>
                <w:szCs w:val="24"/>
                <w:highlight w:val="none"/>
              </w:rPr>
              <w:t>投标人</w:t>
            </w:r>
            <w:r>
              <w:rPr>
                <w:rFonts w:hint="eastAsia" w:ascii="宋体" w:hAnsi="宋体"/>
                <w:szCs w:val="24"/>
                <w:highlight w:val="none"/>
              </w:rPr>
              <w:t>代表对运维服务方案及技术优势的介绍，回答评标专家现场提问（10分）</w:t>
            </w:r>
            <w:r>
              <w:rPr>
                <w:rFonts w:ascii="宋体" w:hAnsi="宋体"/>
                <w:color w:val="000000"/>
                <w:kern w:val="0"/>
                <w:szCs w:val="24"/>
                <w:highlight w:val="none"/>
                <w:lang w:bidi="ar"/>
              </w:rPr>
              <w:t>。</w:t>
            </w:r>
          </w:p>
        </w:tc>
      </w:tr>
      <w:tr w14:paraId="31ADB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09" w:type="dxa"/>
            <w:vAlign w:val="center"/>
          </w:tcPr>
          <w:p w14:paraId="326A3BB8">
            <w:pPr>
              <w:autoSpaceDN w:val="0"/>
              <w:jc w:val="center"/>
              <w:textAlignment w:val="center"/>
              <w:rPr>
                <w:rFonts w:ascii="宋体" w:hAnsi="宋体"/>
                <w:bCs/>
                <w:szCs w:val="24"/>
                <w:highlight w:val="none"/>
              </w:rPr>
            </w:pPr>
            <w:r>
              <w:rPr>
                <w:rFonts w:hint="eastAsia" w:ascii="宋体" w:hAnsi="宋体"/>
                <w:bCs/>
                <w:szCs w:val="24"/>
                <w:highlight w:val="none"/>
              </w:rPr>
              <w:t>5</w:t>
            </w:r>
          </w:p>
        </w:tc>
        <w:tc>
          <w:tcPr>
            <w:tcW w:w="1271" w:type="dxa"/>
            <w:vAlign w:val="center"/>
          </w:tcPr>
          <w:p w14:paraId="68421CA1">
            <w:pPr>
              <w:autoSpaceDN w:val="0"/>
              <w:jc w:val="center"/>
              <w:textAlignment w:val="center"/>
              <w:rPr>
                <w:rFonts w:ascii="宋体" w:hAnsi="宋体"/>
                <w:szCs w:val="24"/>
                <w:highlight w:val="none"/>
              </w:rPr>
            </w:pPr>
            <w:r>
              <w:rPr>
                <w:rFonts w:ascii="宋体" w:hAnsi="宋体"/>
                <w:bCs/>
                <w:szCs w:val="24"/>
                <w:highlight w:val="none"/>
              </w:rPr>
              <w:t>企业类似业绩</w:t>
            </w:r>
          </w:p>
        </w:tc>
        <w:tc>
          <w:tcPr>
            <w:tcW w:w="850" w:type="dxa"/>
            <w:vAlign w:val="center"/>
          </w:tcPr>
          <w:p w14:paraId="04A096D4">
            <w:pPr>
              <w:adjustRightInd w:val="0"/>
              <w:snapToGrid w:val="0"/>
              <w:jc w:val="center"/>
              <w:rPr>
                <w:rFonts w:ascii="宋体" w:hAnsi="宋体"/>
                <w:color w:val="000000"/>
                <w:kern w:val="0"/>
                <w:szCs w:val="24"/>
                <w:highlight w:val="none"/>
                <w:lang w:bidi="ar"/>
              </w:rPr>
            </w:pPr>
            <w:r>
              <w:rPr>
                <w:rFonts w:hint="eastAsia" w:ascii="宋体" w:hAnsi="宋体"/>
                <w:color w:val="000000"/>
                <w:kern w:val="0"/>
                <w:szCs w:val="24"/>
                <w:highlight w:val="none"/>
                <w:lang w:val="en-US" w:eastAsia="zh-CN" w:bidi="ar"/>
              </w:rPr>
              <w:t>5</w:t>
            </w:r>
            <w:r>
              <w:rPr>
                <w:rFonts w:hint="eastAsia" w:ascii="宋体" w:hAnsi="宋体"/>
                <w:color w:val="000000"/>
                <w:kern w:val="0"/>
                <w:szCs w:val="24"/>
                <w:highlight w:val="none"/>
                <w:lang w:bidi="ar"/>
              </w:rPr>
              <w:t>分</w:t>
            </w:r>
          </w:p>
        </w:tc>
        <w:tc>
          <w:tcPr>
            <w:tcW w:w="6521" w:type="dxa"/>
            <w:vAlign w:val="center"/>
          </w:tcPr>
          <w:p w14:paraId="7D8405DF">
            <w:pPr>
              <w:adjustRightInd w:val="0"/>
              <w:snapToGrid w:val="0"/>
              <w:jc w:val="left"/>
              <w:rPr>
                <w:rFonts w:ascii="宋体" w:hAnsi="宋体"/>
                <w:color w:val="000000"/>
                <w:kern w:val="0"/>
                <w:szCs w:val="24"/>
                <w:highlight w:val="none"/>
                <w:lang w:bidi="ar"/>
              </w:rPr>
            </w:pPr>
            <w:r>
              <w:rPr>
                <w:rFonts w:ascii="宋体" w:hAnsi="宋体"/>
                <w:color w:val="000000"/>
                <w:kern w:val="0"/>
                <w:szCs w:val="24"/>
                <w:highlight w:val="none"/>
                <w:lang w:bidi="ar"/>
              </w:rPr>
              <w:t>投标人提供</w:t>
            </w:r>
            <w:r>
              <w:rPr>
                <w:rFonts w:hint="eastAsia" w:ascii="宋体" w:hAnsi="宋体"/>
                <w:color w:val="000000"/>
                <w:kern w:val="0"/>
                <w:szCs w:val="24"/>
                <w:highlight w:val="none"/>
                <w:lang w:bidi="ar"/>
              </w:rPr>
              <w:t>2</w:t>
            </w:r>
            <w:r>
              <w:rPr>
                <w:rFonts w:ascii="宋体" w:hAnsi="宋体"/>
                <w:color w:val="000000"/>
                <w:kern w:val="0"/>
                <w:szCs w:val="24"/>
                <w:highlight w:val="none"/>
                <w:lang w:bidi="ar"/>
              </w:rPr>
              <w:t>0</w:t>
            </w:r>
            <w:r>
              <w:rPr>
                <w:rFonts w:hint="eastAsia" w:ascii="宋体" w:hAnsi="宋体"/>
                <w:color w:val="000000"/>
                <w:kern w:val="0"/>
                <w:szCs w:val="24"/>
                <w:highlight w:val="none"/>
                <w:lang w:bidi="ar"/>
              </w:rPr>
              <w:t>2</w:t>
            </w:r>
            <w:r>
              <w:rPr>
                <w:rFonts w:hint="eastAsia" w:ascii="宋体" w:hAnsi="宋体"/>
                <w:color w:val="000000"/>
                <w:kern w:val="0"/>
                <w:szCs w:val="24"/>
                <w:highlight w:val="none"/>
                <w:lang w:val="en-US" w:eastAsia="zh-CN" w:bidi="ar"/>
              </w:rPr>
              <w:t>2</w:t>
            </w:r>
            <w:r>
              <w:rPr>
                <w:rFonts w:hint="eastAsia" w:ascii="宋体" w:hAnsi="宋体"/>
                <w:color w:val="000000"/>
                <w:kern w:val="0"/>
                <w:szCs w:val="24"/>
                <w:highlight w:val="none"/>
                <w:lang w:bidi="ar"/>
              </w:rPr>
              <w:t>年1月1日（以合同签订时间为准）至今已实施完毕的</w:t>
            </w:r>
            <w:r>
              <w:rPr>
                <w:rFonts w:ascii="宋体" w:hAnsi="宋体"/>
                <w:color w:val="000000"/>
                <w:kern w:val="0"/>
                <w:szCs w:val="24"/>
                <w:highlight w:val="none"/>
                <w:lang w:bidi="ar"/>
              </w:rPr>
              <w:t>电气系统或暖通系统运行维护服务类似案例业绩</w:t>
            </w:r>
            <w:r>
              <w:rPr>
                <w:rFonts w:hint="eastAsia" w:ascii="宋体" w:hAnsi="宋体"/>
                <w:color w:val="000000"/>
                <w:kern w:val="0"/>
                <w:szCs w:val="24"/>
                <w:highlight w:val="none"/>
                <w:lang w:bidi="ar"/>
              </w:rPr>
              <w:t>（代维框架合同以实际实施业绩金额为准）。</w:t>
            </w:r>
          </w:p>
          <w:p w14:paraId="5EA8D176">
            <w:pPr>
              <w:adjustRightInd w:val="0"/>
              <w:snapToGrid w:val="0"/>
              <w:jc w:val="left"/>
              <w:rPr>
                <w:rFonts w:ascii="宋体" w:hAnsi="宋体"/>
                <w:color w:val="000000"/>
                <w:kern w:val="0"/>
                <w:szCs w:val="24"/>
                <w:highlight w:val="none"/>
                <w:lang w:bidi="ar"/>
              </w:rPr>
            </w:pPr>
            <w:r>
              <w:rPr>
                <w:rFonts w:ascii="宋体" w:hAnsi="宋体"/>
                <w:color w:val="000000"/>
                <w:kern w:val="0"/>
                <w:szCs w:val="24"/>
                <w:highlight w:val="none"/>
                <w:lang w:bidi="ar"/>
              </w:rPr>
              <w:t>≥300万业绩每份得</w:t>
            </w:r>
            <w:r>
              <w:rPr>
                <w:rFonts w:hint="eastAsia" w:ascii="宋体" w:hAnsi="宋体"/>
                <w:color w:val="000000"/>
                <w:kern w:val="0"/>
                <w:szCs w:val="24"/>
                <w:highlight w:val="none"/>
                <w:lang w:val="en-US" w:eastAsia="zh-CN" w:bidi="ar"/>
              </w:rPr>
              <w:t>2</w:t>
            </w:r>
            <w:r>
              <w:rPr>
                <w:rFonts w:ascii="宋体" w:hAnsi="宋体"/>
                <w:color w:val="000000"/>
                <w:kern w:val="0"/>
                <w:szCs w:val="24"/>
                <w:highlight w:val="none"/>
                <w:lang w:bidi="ar"/>
              </w:rPr>
              <w:t>分，</w:t>
            </w:r>
          </w:p>
          <w:p w14:paraId="55553BA3">
            <w:pPr>
              <w:adjustRightInd w:val="0"/>
              <w:snapToGrid w:val="0"/>
              <w:jc w:val="left"/>
              <w:rPr>
                <w:rFonts w:ascii="宋体" w:hAnsi="宋体"/>
                <w:color w:val="000000"/>
                <w:kern w:val="0"/>
                <w:szCs w:val="24"/>
                <w:highlight w:val="none"/>
                <w:lang w:bidi="ar"/>
              </w:rPr>
            </w:pPr>
            <w:r>
              <w:rPr>
                <w:rFonts w:ascii="宋体" w:hAnsi="宋体"/>
                <w:color w:val="000000"/>
                <w:kern w:val="0"/>
                <w:szCs w:val="24"/>
                <w:highlight w:val="none"/>
                <w:lang w:bidi="ar"/>
              </w:rPr>
              <w:t>200万≤业绩＜300万业绩每份得</w:t>
            </w:r>
            <w:r>
              <w:rPr>
                <w:rFonts w:hint="eastAsia" w:ascii="宋体" w:hAnsi="宋体"/>
                <w:color w:val="000000"/>
                <w:kern w:val="0"/>
                <w:szCs w:val="24"/>
                <w:highlight w:val="none"/>
                <w:lang w:val="en-US" w:eastAsia="zh-CN" w:bidi="ar"/>
              </w:rPr>
              <w:t>1</w:t>
            </w:r>
            <w:r>
              <w:rPr>
                <w:rFonts w:ascii="宋体" w:hAnsi="宋体"/>
                <w:color w:val="000000"/>
                <w:kern w:val="0"/>
                <w:szCs w:val="24"/>
                <w:highlight w:val="none"/>
                <w:lang w:bidi="ar"/>
              </w:rPr>
              <w:t>分，</w:t>
            </w:r>
          </w:p>
          <w:p w14:paraId="509F071A">
            <w:pPr>
              <w:adjustRightInd w:val="0"/>
              <w:snapToGrid w:val="0"/>
              <w:jc w:val="left"/>
              <w:rPr>
                <w:rFonts w:ascii="宋体" w:hAnsi="宋体"/>
                <w:color w:val="000000"/>
                <w:kern w:val="0"/>
                <w:szCs w:val="24"/>
                <w:highlight w:val="none"/>
                <w:lang w:bidi="ar"/>
              </w:rPr>
            </w:pPr>
            <w:r>
              <w:rPr>
                <w:rFonts w:ascii="宋体" w:hAnsi="宋体"/>
                <w:color w:val="000000"/>
                <w:kern w:val="0"/>
                <w:szCs w:val="24"/>
                <w:highlight w:val="none"/>
                <w:lang w:bidi="ar"/>
              </w:rPr>
              <w:t>业绩＜200万不得分。</w:t>
            </w:r>
          </w:p>
          <w:p w14:paraId="1575B52E">
            <w:pPr>
              <w:widowControl/>
              <w:jc w:val="left"/>
              <w:rPr>
                <w:rFonts w:ascii="宋体" w:hAnsi="宋体"/>
                <w:szCs w:val="24"/>
                <w:highlight w:val="none"/>
              </w:rPr>
            </w:pPr>
            <w:r>
              <w:rPr>
                <w:rFonts w:hint="eastAsia" w:ascii="宋体" w:hAnsi="宋体"/>
                <w:b/>
                <w:szCs w:val="24"/>
                <w:highlight w:val="none"/>
              </w:rPr>
              <w:t>注：同一甲方业绩只计一次得分，</w:t>
            </w:r>
            <w:r>
              <w:rPr>
                <w:rFonts w:ascii="宋体" w:hAnsi="宋体"/>
                <w:b/>
                <w:szCs w:val="24"/>
                <w:highlight w:val="none"/>
              </w:rPr>
              <w:t>上述业绩需提供合同</w:t>
            </w:r>
            <w:r>
              <w:rPr>
                <w:rFonts w:hint="eastAsia" w:ascii="宋体" w:hAnsi="宋体"/>
                <w:b/>
                <w:szCs w:val="24"/>
                <w:highlight w:val="none"/>
              </w:rPr>
              <w:t>复印件</w:t>
            </w:r>
            <w:r>
              <w:rPr>
                <w:rFonts w:ascii="宋体" w:hAnsi="宋体"/>
                <w:b/>
                <w:szCs w:val="24"/>
                <w:highlight w:val="none"/>
              </w:rPr>
              <w:t>。</w:t>
            </w:r>
          </w:p>
        </w:tc>
      </w:tr>
      <w:tr w14:paraId="63A8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09" w:type="dxa"/>
            <w:vAlign w:val="center"/>
          </w:tcPr>
          <w:p w14:paraId="1BF69150">
            <w:pPr>
              <w:autoSpaceDN w:val="0"/>
              <w:jc w:val="center"/>
              <w:textAlignment w:val="center"/>
              <w:rPr>
                <w:rFonts w:ascii="宋体" w:hAnsi="宋体"/>
                <w:bCs/>
                <w:szCs w:val="24"/>
                <w:highlight w:val="none"/>
              </w:rPr>
            </w:pPr>
            <w:r>
              <w:rPr>
                <w:rFonts w:hint="eastAsia" w:ascii="宋体" w:hAnsi="宋体"/>
                <w:bCs/>
                <w:szCs w:val="24"/>
                <w:highlight w:val="none"/>
              </w:rPr>
              <w:t>6</w:t>
            </w:r>
          </w:p>
        </w:tc>
        <w:tc>
          <w:tcPr>
            <w:tcW w:w="1271" w:type="dxa"/>
            <w:vAlign w:val="center"/>
          </w:tcPr>
          <w:p w14:paraId="37857975">
            <w:pPr>
              <w:autoSpaceDN w:val="0"/>
              <w:jc w:val="center"/>
              <w:textAlignment w:val="center"/>
              <w:rPr>
                <w:rFonts w:ascii="宋体" w:hAnsi="宋体"/>
                <w:bCs/>
                <w:szCs w:val="24"/>
                <w:highlight w:val="none"/>
              </w:rPr>
            </w:pPr>
            <w:r>
              <w:rPr>
                <w:rFonts w:hint="eastAsia" w:ascii="宋体" w:hAnsi="宋体"/>
                <w:bCs/>
                <w:szCs w:val="24"/>
                <w:highlight w:val="none"/>
              </w:rPr>
              <w:t>合计</w:t>
            </w:r>
          </w:p>
        </w:tc>
        <w:tc>
          <w:tcPr>
            <w:tcW w:w="850" w:type="dxa"/>
            <w:vAlign w:val="center"/>
          </w:tcPr>
          <w:p w14:paraId="7682FEAE">
            <w:pPr>
              <w:adjustRightInd w:val="0"/>
              <w:snapToGrid w:val="0"/>
              <w:jc w:val="left"/>
              <w:rPr>
                <w:rFonts w:ascii="宋体" w:hAnsi="宋体"/>
                <w:color w:val="000000"/>
                <w:kern w:val="0"/>
                <w:szCs w:val="24"/>
                <w:highlight w:val="none"/>
                <w:lang w:bidi="ar"/>
              </w:rPr>
            </w:pPr>
            <w:r>
              <w:rPr>
                <w:rFonts w:hint="eastAsia" w:ascii="宋体" w:hAnsi="宋体"/>
                <w:color w:val="000000"/>
                <w:kern w:val="0"/>
                <w:szCs w:val="24"/>
                <w:highlight w:val="none"/>
                <w:lang w:bidi="ar"/>
              </w:rPr>
              <w:t>10</w:t>
            </w:r>
            <w:r>
              <w:rPr>
                <w:rFonts w:ascii="宋体" w:hAnsi="宋体"/>
                <w:color w:val="000000"/>
                <w:kern w:val="0"/>
                <w:szCs w:val="24"/>
                <w:highlight w:val="none"/>
                <w:lang w:bidi="ar"/>
              </w:rPr>
              <w:t>0</w:t>
            </w:r>
            <w:r>
              <w:rPr>
                <w:rFonts w:hint="eastAsia" w:ascii="宋体" w:hAnsi="宋体"/>
                <w:color w:val="000000"/>
                <w:kern w:val="0"/>
                <w:szCs w:val="24"/>
                <w:highlight w:val="none"/>
                <w:lang w:bidi="ar"/>
              </w:rPr>
              <w:t>分</w:t>
            </w:r>
          </w:p>
        </w:tc>
        <w:tc>
          <w:tcPr>
            <w:tcW w:w="6521" w:type="dxa"/>
            <w:vAlign w:val="center"/>
          </w:tcPr>
          <w:p w14:paraId="419B7D36">
            <w:pPr>
              <w:adjustRightInd w:val="0"/>
              <w:snapToGrid w:val="0"/>
              <w:jc w:val="left"/>
              <w:rPr>
                <w:rFonts w:ascii="宋体" w:hAnsi="宋体"/>
                <w:color w:val="000000"/>
                <w:kern w:val="0"/>
                <w:szCs w:val="24"/>
                <w:highlight w:val="none"/>
                <w:lang w:bidi="ar"/>
              </w:rPr>
            </w:pPr>
            <w:r>
              <w:rPr>
                <w:rFonts w:hint="eastAsia" w:ascii="宋体" w:hAnsi="宋体"/>
                <w:color w:val="000000"/>
                <w:kern w:val="0"/>
                <w:szCs w:val="24"/>
                <w:highlight w:val="none"/>
                <w:lang w:bidi="ar"/>
              </w:rPr>
              <w:t>=</w:t>
            </w:r>
            <w:r>
              <w:rPr>
                <w:rFonts w:ascii="宋体" w:hAnsi="宋体"/>
                <w:color w:val="000000"/>
                <w:kern w:val="0"/>
                <w:szCs w:val="24"/>
                <w:highlight w:val="none"/>
                <w:lang w:bidi="ar"/>
              </w:rPr>
              <w:t>1</w:t>
            </w:r>
            <w:r>
              <w:rPr>
                <w:rFonts w:hint="eastAsia" w:ascii="宋体" w:hAnsi="宋体"/>
                <w:color w:val="000000"/>
                <w:kern w:val="0"/>
                <w:szCs w:val="24"/>
                <w:highlight w:val="none"/>
                <w:lang w:bidi="ar"/>
              </w:rPr>
              <w:t>+</w:t>
            </w:r>
            <w:r>
              <w:rPr>
                <w:rFonts w:ascii="宋体" w:hAnsi="宋体"/>
                <w:color w:val="000000"/>
                <w:kern w:val="0"/>
                <w:szCs w:val="24"/>
                <w:highlight w:val="none"/>
                <w:lang w:bidi="ar"/>
              </w:rPr>
              <w:t>2</w:t>
            </w:r>
            <w:r>
              <w:rPr>
                <w:rFonts w:hint="eastAsia" w:ascii="宋体" w:hAnsi="宋体"/>
                <w:color w:val="000000"/>
                <w:kern w:val="0"/>
                <w:szCs w:val="24"/>
                <w:highlight w:val="none"/>
                <w:lang w:bidi="ar"/>
              </w:rPr>
              <w:t>+</w:t>
            </w:r>
            <w:r>
              <w:rPr>
                <w:rFonts w:ascii="宋体" w:hAnsi="宋体"/>
                <w:color w:val="000000"/>
                <w:kern w:val="0"/>
                <w:szCs w:val="24"/>
                <w:highlight w:val="none"/>
                <w:lang w:bidi="ar"/>
              </w:rPr>
              <w:t>3</w:t>
            </w:r>
            <w:r>
              <w:rPr>
                <w:rFonts w:hint="eastAsia" w:ascii="宋体" w:hAnsi="宋体"/>
                <w:color w:val="000000"/>
                <w:kern w:val="0"/>
                <w:szCs w:val="24"/>
                <w:highlight w:val="none"/>
                <w:lang w:bidi="ar"/>
              </w:rPr>
              <w:t>+</w:t>
            </w:r>
            <w:r>
              <w:rPr>
                <w:rFonts w:ascii="宋体" w:hAnsi="宋体"/>
                <w:color w:val="000000"/>
                <w:kern w:val="0"/>
                <w:szCs w:val="24"/>
                <w:highlight w:val="none"/>
                <w:lang w:bidi="ar"/>
              </w:rPr>
              <w:t>4</w:t>
            </w:r>
            <w:r>
              <w:rPr>
                <w:rFonts w:hint="eastAsia" w:ascii="宋体" w:hAnsi="宋体"/>
                <w:color w:val="000000"/>
                <w:kern w:val="0"/>
                <w:szCs w:val="24"/>
                <w:highlight w:val="none"/>
                <w:lang w:bidi="ar"/>
              </w:rPr>
              <w:t>+</w:t>
            </w:r>
            <w:r>
              <w:rPr>
                <w:rFonts w:ascii="宋体" w:hAnsi="宋体"/>
                <w:color w:val="000000"/>
                <w:kern w:val="0"/>
                <w:szCs w:val="24"/>
                <w:highlight w:val="none"/>
                <w:lang w:bidi="ar"/>
              </w:rPr>
              <w:t>5</w:t>
            </w:r>
          </w:p>
        </w:tc>
      </w:tr>
      <w:tr w14:paraId="14CC9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830" w:type="dxa"/>
            <w:gridSpan w:val="3"/>
            <w:vAlign w:val="center"/>
          </w:tcPr>
          <w:p w14:paraId="1A56AA96">
            <w:pPr>
              <w:adjustRightInd w:val="0"/>
              <w:snapToGrid w:val="0"/>
              <w:jc w:val="center"/>
              <w:rPr>
                <w:rFonts w:hint="eastAsia" w:ascii="宋体" w:hAnsi="宋体"/>
                <w:color w:val="000000"/>
                <w:kern w:val="0"/>
                <w:szCs w:val="24"/>
                <w:highlight w:val="none"/>
                <w:lang w:bidi="ar"/>
              </w:rPr>
            </w:pPr>
            <w:r>
              <w:rPr>
                <w:rFonts w:hint="eastAsia" w:ascii="宋体" w:hAnsi="宋体"/>
                <w:bCs/>
                <w:szCs w:val="24"/>
                <w:highlight w:val="none"/>
                <w:lang w:val="en-US" w:eastAsia="zh-CN"/>
              </w:rPr>
              <w:t>备注</w:t>
            </w:r>
          </w:p>
        </w:tc>
        <w:tc>
          <w:tcPr>
            <w:tcW w:w="6521" w:type="dxa"/>
            <w:vAlign w:val="center"/>
          </w:tcPr>
          <w:p w14:paraId="76178754">
            <w:pPr>
              <w:adjustRightInd w:val="0"/>
              <w:snapToGrid w:val="0"/>
              <w:jc w:val="left"/>
              <w:rPr>
                <w:rFonts w:hint="eastAsia" w:ascii="宋体" w:hAnsi="宋体" w:eastAsia="宋体"/>
                <w:color w:val="000000"/>
                <w:kern w:val="0"/>
                <w:szCs w:val="24"/>
                <w:highlight w:val="none"/>
                <w:lang w:val="en-US" w:eastAsia="zh-CN" w:bidi="ar"/>
              </w:rPr>
            </w:pPr>
            <w:r>
              <w:rPr>
                <w:rFonts w:hint="eastAsia" w:ascii="宋体" w:hAnsi="宋体" w:cs="宋体"/>
                <w:b/>
                <w:bCs/>
                <w:highlight w:val="green"/>
                <w:lang w:val="en-US" w:eastAsia="zh-CN"/>
              </w:rPr>
              <w:t>投标单位必须到现场勘察，根据招标方要求制定合理运维方案（一票否决项）</w:t>
            </w:r>
          </w:p>
        </w:tc>
      </w:tr>
      <w:bookmarkEnd w:id="4"/>
    </w:tbl>
    <w:p w14:paraId="7D085EAB">
      <w:pPr>
        <w:pStyle w:val="15"/>
        <w:spacing w:line="360" w:lineRule="auto"/>
        <w:ind w:firstLine="480" w:firstLineChars="200"/>
        <w:rPr>
          <w:rFonts w:asciiTheme="minorEastAsia" w:hAnsiTheme="minorEastAsia" w:eastAsiaTheme="minorEastAsia"/>
          <w:color w:val="000000"/>
          <w:szCs w:val="24"/>
        </w:rPr>
      </w:pPr>
      <w:r>
        <w:rPr>
          <w:rFonts w:hint="eastAsia" w:asciiTheme="minorEastAsia" w:hAnsiTheme="minorEastAsia" w:eastAsiaTheme="minorEastAsia"/>
          <w:color w:val="000000"/>
          <w:szCs w:val="24"/>
        </w:rPr>
        <w:t>（2）评标方法</w:t>
      </w:r>
    </w:p>
    <w:p w14:paraId="63A179A0">
      <w:pPr>
        <w:pStyle w:val="56"/>
        <w:ind w:firstLine="480"/>
        <w:rPr>
          <w:rFonts w:asciiTheme="minorEastAsia" w:hAnsiTheme="minorEastAsia" w:eastAsiaTheme="minorEastAsia"/>
          <w:b/>
          <w:bCs/>
          <w:highlight w:val="green"/>
        </w:rPr>
      </w:pPr>
      <w:r>
        <w:rPr>
          <w:rFonts w:hint="eastAsia" w:asciiTheme="minorEastAsia" w:hAnsiTheme="minorEastAsia" w:eastAsiaTheme="minorEastAsia"/>
          <w:highlight w:val="none"/>
          <w:lang w:val="en-US" w:eastAsia="zh-CN"/>
        </w:rPr>
        <w:t>由招标人为该项目依法组织的评标工作小组负责，依据评分标准，本着公平、公正、公开、有序的原则，在最大限度地满足招标文件实质性要求的前提下，按照评审要素中的具体项目进行评审，确定得分和排名，通过初审者为有效投标，</w:t>
      </w:r>
      <w:r>
        <w:rPr>
          <w:rFonts w:hint="eastAsia" w:asciiTheme="minorEastAsia" w:hAnsiTheme="minorEastAsia" w:eastAsiaTheme="minorEastAsia"/>
          <w:b/>
          <w:bCs/>
          <w:highlight w:val="none"/>
          <w:lang w:val="en-US" w:eastAsia="zh-CN"/>
        </w:rPr>
        <w:t>技术标得分超过80分进入商务标</w:t>
      </w:r>
      <w:r>
        <w:rPr>
          <w:rFonts w:hint="eastAsia" w:asciiTheme="minorEastAsia" w:hAnsiTheme="minorEastAsia" w:eastAsiaTheme="minorEastAsia"/>
          <w:b/>
          <w:bCs/>
          <w:highlight w:val="none"/>
        </w:rPr>
        <w:t>。</w:t>
      </w:r>
    </w:p>
    <w:p w14:paraId="32587978">
      <w:pPr>
        <w:pStyle w:val="56"/>
        <w:ind w:firstLine="480"/>
        <w:rPr>
          <w:rFonts w:asciiTheme="minorEastAsia" w:hAnsiTheme="minorEastAsia" w:eastAsiaTheme="minorEastAsia"/>
          <w:b/>
          <w:bCs/>
        </w:rPr>
      </w:pPr>
      <w:r>
        <w:rPr>
          <w:rFonts w:hint="eastAsia" w:asciiTheme="minorEastAsia" w:hAnsiTheme="minorEastAsia" w:eastAsiaTheme="minorEastAsia"/>
          <w:b/>
          <w:bCs/>
        </w:rPr>
        <w:t>投标前请各投标人按照标书技术要求对项目方案进行充分准备，有意投标的单位应默认认同上述开标、评标过程，无异议，</w:t>
      </w:r>
      <w:r>
        <w:rPr>
          <w:rFonts w:hint="eastAsia" w:asciiTheme="minorEastAsia" w:hAnsiTheme="minorEastAsia" w:eastAsiaTheme="minorEastAsia"/>
          <w:b/>
          <w:bCs/>
          <w:highlight w:val="green"/>
        </w:rPr>
        <w:t>本项目只产生一个中标人。</w:t>
      </w:r>
    </w:p>
    <w:p w14:paraId="0B62A388">
      <w:pPr>
        <w:pStyle w:val="56"/>
        <w:ind w:firstLine="482"/>
        <w:rPr>
          <w:rFonts w:asciiTheme="minorEastAsia" w:hAnsiTheme="minorEastAsia" w:eastAsiaTheme="minorEastAsia"/>
          <w:b/>
        </w:rPr>
      </w:pPr>
      <w:r>
        <w:rPr>
          <w:rFonts w:hint="eastAsia" w:asciiTheme="minorEastAsia" w:hAnsiTheme="minorEastAsia" w:eastAsiaTheme="minorEastAsia"/>
          <w:b/>
          <w:lang w:val="en-US" w:eastAsia="zh-CN"/>
        </w:rPr>
        <w:t>7</w:t>
      </w:r>
      <w:r>
        <w:rPr>
          <w:rFonts w:hint="eastAsia" w:asciiTheme="minorEastAsia" w:hAnsiTheme="minorEastAsia" w:eastAsiaTheme="minorEastAsia"/>
          <w:b/>
        </w:rPr>
        <w:t>、投标文件的编制</w:t>
      </w:r>
    </w:p>
    <w:p w14:paraId="3CC62749">
      <w:pPr>
        <w:pStyle w:val="56"/>
        <w:ind w:firstLine="480"/>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投标文件和与投标有关的所有文件均应使用</w:t>
      </w:r>
      <w:r>
        <w:rPr>
          <w:rFonts w:hint="eastAsia" w:asciiTheme="minorEastAsia" w:hAnsiTheme="minorEastAsia" w:eastAsiaTheme="minorEastAsia"/>
        </w:rPr>
        <w:t>中文。</w:t>
      </w:r>
    </w:p>
    <w:p w14:paraId="1EBA4E2E">
      <w:pPr>
        <w:pStyle w:val="56"/>
        <w:ind w:firstLine="480"/>
        <w:rPr>
          <w:rFonts w:asciiTheme="minorEastAsia" w:hAnsiTheme="minorEastAsia" w:eastAsiaTheme="minorEastAsia"/>
        </w:rPr>
      </w:pPr>
      <w:r>
        <w:rPr>
          <w:rFonts w:hint="eastAsia" w:asciiTheme="minorEastAsia" w:hAnsiTheme="minorEastAsia" w:eastAsiaTheme="minorEastAsia"/>
        </w:rPr>
        <w:t>（2）除投标文件的技术规格中另有规定外，投标文件中所使用的计量单位应为中华人民共和国法定计量单位。</w:t>
      </w:r>
    </w:p>
    <w:p w14:paraId="2D5E8700">
      <w:pPr>
        <w:pStyle w:val="56"/>
        <w:ind w:firstLine="482"/>
        <w:rPr>
          <w:rFonts w:asciiTheme="minorEastAsia" w:hAnsiTheme="minorEastAsia" w:eastAsiaTheme="minorEastAsia"/>
          <w:b/>
        </w:rPr>
      </w:pPr>
      <w:r>
        <w:rPr>
          <w:rFonts w:hint="eastAsia" w:asciiTheme="minorEastAsia" w:hAnsiTheme="minorEastAsia" w:eastAsiaTheme="minorEastAsia"/>
          <w:b/>
          <w:lang w:val="en-US" w:eastAsia="zh-CN"/>
        </w:rPr>
        <w:t>8</w:t>
      </w:r>
      <w:r>
        <w:rPr>
          <w:rFonts w:hint="eastAsia" w:asciiTheme="minorEastAsia" w:hAnsiTheme="minorEastAsia" w:eastAsiaTheme="minorEastAsia"/>
          <w:b/>
        </w:rPr>
        <w:t>、投标文件的组成</w:t>
      </w:r>
    </w:p>
    <w:p w14:paraId="555B1A33">
      <w:pPr>
        <w:pStyle w:val="56"/>
        <w:ind w:firstLine="482"/>
        <w:rPr>
          <w:rFonts w:asciiTheme="minorEastAsia" w:hAnsiTheme="minorEastAsia" w:eastAsiaTheme="minorEastAsia"/>
          <w:b/>
          <w:color w:val="auto"/>
        </w:rPr>
      </w:pPr>
      <w:bookmarkStart w:id="5" w:name="_Toc212369516"/>
      <w:r>
        <w:rPr>
          <w:rFonts w:hint="eastAsia" w:asciiTheme="minorEastAsia" w:hAnsiTheme="minorEastAsia" w:eastAsiaTheme="minorEastAsia"/>
          <w:b/>
        </w:rPr>
        <w:t>本项目商务标书、</w:t>
      </w:r>
      <w:r>
        <w:rPr>
          <w:rFonts w:hint="eastAsia" w:asciiTheme="minorEastAsia" w:hAnsiTheme="minorEastAsia" w:eastAsiaTheme="minorEastAsia"/>
          <w:b/>
          <w:color w:val="auto"/>
        </w:rPr>
        <w:t>技术标书、资质文件分开封装。</w:t>
      </w:r>
    </w:p>
    <w:p w14:paraId="226BC700">
      <w:pPr>
        <w:pStyle w:val="56"/>
        <w:ind w:firstLine="482"/>
        <w:rPr>
          <w:rFonts w:hint="eastAsia" w:asciiTheme="minorEastAsia" w:hAnsiTheme="minorEastAsia" w:eastAsiaTheme="minorEastAsia"/>
          <w:b/>
          <w:color w:val="auto"/>
          <w:lang w:eastAsia="zh-CN"/>
        </w:rPr>
      </w:pPr>
      <w:r>
        <w:rPr>
          <w:rFonts w:hint="eastAsia" w:asciiTheme="minorEastAsia" w:hAnsiTheme="minorEastAsia" w:eastAsiaTheme="minorEastAsia"/>
          <w:b/>
        </w:rPr>
        <w:t>本项目投标文件</w:t>
      </w:r>
      <w:r>
        <w:rPr>
          <w:rFonts w:hint="eastAsia" w:asciiTheme="minorEastAsia" w:hAnsiTheme="minorEastAsia" w:eastAsiaTheme="minorEastAsia"/>
          <w:b/>
          <w:color w:val="auto"/>
        </w:rPr>
        <w:t>一式</w:t>
      </w:r>
      <w:r>
        <w:rPr>
          <w:rFonts w:hint="eastAsia" w:asciiTheme="minorEastAsia" w:hAnsiTheme="minorEastAsia" w:eastAsiaTheme="minorEastAsia"/>
          <w:b/>
          <w:color w:val="auto"/>
          <w:lang w:val="en-US" w:eastAsia="zh-CN"/>
        </w:rPr>
        <w:t>三</w:t>
      </w:r>
      <w:r>
        <w:rPr>
          <w:rFonts w:hint="eastAsia" w:asciiTheme="minorEastAsia" w:hAnsiTheme="minorEastAsia" w:eastAsiaTheme="minorEastAsia"/>
          <w:b/>
          <w:color w:val="auto"/>
        </w:rPr>
        <w:t>份，正本一份，副本</w:t>
      </w:r>
      <w:r>
        <w:rPr>
          <w:rFonts w:hint="eastAsia" w:asciiTheme="minorEastAsia" w:hAnsiTheme="minorEastAsia" w:eastAsiaTheme="minorEastAsia"/>
          <w:b/>
          <w:color w:val="auto"/>
          <w:lang w:val="en-US" w:eastAsia="zh-CN"/>
        </w:rPr>
        <w:t>两</w:t>
      </w:r>
      <w:r>
        <w:rPr>
          <w:rFonts w:hint="eastAsia" w:asciiTheme="minorEastAsia" w:hAnsiTheme="minorEastAsia" w:eastAsiaTheme="minorEastAsia"/>
          <w:b/>
          <w:color w:val="auto"/>
        </w:rPr>
        <w:t>份。电子版投标文件1份（保证电子版和纸质版一致性）</w:t>
      </w:r>
      <w:r>
        <w:rPr>
          <w:rFonts w:hint="eastAsia" w:asciiTheme="minorEastAsia" w:hAnsiTheme="minorEastAsia" w:eastAsiaTheme="minorEastAsia"/>
          <w:b/>
          <w:color w:val="auto"/>
          <w:lang w:eastAsia="zh-CN"/>
        </w:rPr>
        <w:t>。</w:t>
      </w:r>
    </w:p>
    <w:p w14:paraId="16AA6C1E">
      <w:pPr>
        <w:pStyle w:val="56"/>
        <w:ind w:firstLine="482"/>
        <w:rPr>
          <w:rFonts w:asciiTheme="minorEastAsia" w:hAnsiTheme="minorEastAsia" w:eastAsiaTheme="minorEastAsia"/>
          <w:b/>
          <w:bCs/>
        </w:rPr>
      </w:pPr>
      <w:r>
        <w:rPr>
          <w:rFonts w:hint="eastAsia" w:asciiTheme="minorEastAsia" w:hAnsiTheme="minorEastAsia" w:eastAsiaTheme="minorEastAsia"/>
          <w:b/>
          <w:bCs/>
          <w:lang w:val="en-US" w:eastAsia="zh-CN"/>
        </w:rPr>
        <w:t>8</w:t>
      </w:r>
      <w:r>
        <w:rPr>
          <w:rFonts w:hint="eastAsia" w:asciiTheme="minorEastAsia" w:hAnsiTheme="minorEastAsia" w:eastAsiaTheme="minorEastAsia"/>
          <w:b/>
          <w:bCs/>
        </w:rPr>
        <w:t>.</w:t>
      </w:r>
      <w:r>
        <w:rPr>
          <w:rFonts w:asciiTheme="minorEastAsia" w:hAnsiTheme="minorEastAsia" w:eastAsiaTheme="minorEastAsia"/>
          <w:b/>
          <w:bCs/>
        </w:rPr>
        <w:t>1</w:t>
      </w:r>
      <w:r>
        <w:rPr>
          <w:rFonts w:hint="eastAsia" w:asciiTheme="minorEastAsia" w:hAnsiTheme="minorEastAsia" w:eastAsiaTheme="minorEastAsia"/>
          <w:b/>
          <w:bCs/>
        </w:rPr>
        <w:t xml:space="preserve"> 资格证明文件包括：</w:t>
      </w:r>
      <w:bookmarkEnd w:id="5"/>
    </w:p>
    <w:p w14:paraId="39A762A0">
      <w:pPr>
        <w:pStyle w:val="56"/>
        <w:ind w:firstLine="480"/>
        <w:rPr>
          <w:rFonts w:asciiTheme="minorEastAsia" w:hAnsiTheme="minorEastAsia" w:eastAsiaTheme="minorEastAsia"/>
        </w:rPr>
      </w:pPr>
      <w:r>
        <w:rPr>
          <w:rFonts w:hint="eastAsia" w:asciiTheme="minorEastAsia" w:hAnsiTheme="minorEastAsia" w:eastAsiaTheme="minorEastAsia"/>
        </w:rPr>
        <w:t>（1）有统一社会信用代码的新版营业执照副本复印件；</w:t>
      </w:r>
    </w:p>
    <w:p w14:paraId="25728C46">
      <w:pPr>
        <w:pStyle w:val="56"/>
        <w:ind w:firstLine="48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）投标函（附件</w:t>
      </w:r>
      <w:r>
        <w:rPr>
          <w:rFonts w:asciiTheme="minorEastAsia" w:hAnsiTheme="minorEastAsia" w:eastAsiaTheme="minorEastAsia"/>
        </w:rPr>
        <w:t>1</w:t>
      </w:r>
      <w:r>
        <w:rPr>
          <w:rFonts w:hint="eastAsia" w:asciiTheme="minorEastAsia" w:hAnsiTheme="minorEastAsia" w:eastAsiaTheme="minorEastAsia"/>
        </w:rPr>
        <w:t>）；</w:t>
      </w:r>
    </w:p>
    <w:p w14:paraId="7121EB1F">
      <w:pPr>
        <w:pStyle w:val="56"/>
        <w:ind w:firstLine="480"/>
        <w:rPr>
          <w:rFonts w:asciiTheme="minorEastAsia" w:hAnsiTheme="minorEastAsia" w:eastAsiaTheme="minorEastAsia"/>
          <w:b/>
        </w:rPr>
      </w:pPr>
      <w:r>
        <w:rPr>
          <w:rFonts w:hint="eastAsia" w:asciiTheme="minorEastAsia" w:hAnsiTheme="minorEastAsia" w:eastAsiaTheme="minorEastAsia"/>
        </w:rPr>
        <w:t>（</w:t>
      </w:r>
      <w:r>
        <w:rPr>
          <w:rFonts w:asciiTheme="minorEastAsia" w:hAnsiTheme="minorEastAsia" w:eastAsiaTheme="minorEastAsia"/>
        </w:rPr>
        <w:t>3</w:t>
      </w:r>
      <w:r>
        <w:rPr>
          <w:rFonts w:hint="eastAsia" w:asciiTheme="minorEastAsia" w:hAnsiTheme="minorEastAsia" w:eastAsiaTheme="minorEastAsia"/>
        </w:rPr>
        <w:t>）法定代表人授权书（附件2）法定代表人参加投标的，提供法人身份证明文件即可；授权人参加投标的，需提供法定代表人授权委托书</w:t>
      </w:r>
      <w:r>
        <w:rPr>
          <w:rFonts w:hint="eastAsia" w:asciiTheme="minorEastAsia" w:hAnsiTheme="minorEastAsia" w:eastAsiaTheme="minorEastAsia"/>
          <w:b/>
        </w:rPr>
        <w:t>（含法人身份证和被授权人身份证）；</w:t>
      </w:r>
    </w:p>
    <w:p w14:paraId="6802FB64">
      <w:pPr>
        <w:pStyle w:val="61"/>
        <w:ind w:firstLine="480"/>
        <w:rPr>
          <w:rFonts w:asciiTheme="minorEastAsia" w:hAnsiTheme="minorEastAsia" w:eastAsiaTheme="minorEastAsia"/>
          <w:b/>
        </w:rPr>
      </w:pPr>
      <w:r>
        <w:rPr>
          <w:rFonts w:hint="eastAsia" w:asciiTheme="minorEastAsia" w:hAnsiTheme="minorEastAsia" w:eastAsiaTheme="minorEastAsia"/>
        </w:rPr>
        <w:t>（</w:t>
      </w:r>
      <w:r>
        <w:rPr>
          <w:rFonts w:asciiTheme="minorEastAsia" w:hAnsiTheme="minorEastAsia" w:eastAsiaTheme="minorEastAsia"/>
        </w:rPr>
        <w:t>4</w:t>
      </w:r>
      <w:r>
        <w:rPr>
          <w:rFonts w:hint="eastAsia" w:asciiTheme="minorEastAsia" w:hAnsiTheme="minorEastAsia" w:eastAsiaTheme="minorEastAsia"/>
        </w:rPr>
        <w:t>）近三年经审计的财务报表（资产负债表、损益表、现金流量表）复印件；</w:t>
      </w:r>
      <w:r>
        <w:rPr>
          <w:rFonts w:hint="eastAsia" w:asciiTheme="minorEastAsia" w:hAnsiTheme="minorEastAsia" w:eastAsiaTheme="minorEastAsia"/>
          <w:b/>
        </w:rPr>
        <w:t>若缺少本项或经财务专家审核认为有异常，则会根据评分标准进行扣分；</w:t>
      </w:r>
    </w:p>
    <w:p w14:paraId="132C25F2">
      <w:pPr>
        <w:pStyle w:val="61"/>
        <w:ind w:firstLine="48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5</w:t>
      </w:r>
      <w:r>
        <w:rPr>
          <w:rFonts w:hint="eastAsia" w:asciiTheme="minorEastAsia" w:hAnsiTheme="minorEastAsia" w:eastAsiaTheme="minorEastAsia"/>
        </w:rPr>
        <w:t>）近三年内在经营活动中没有违法违纪行为的声明；</w:t>
      </w:r>
    </w:p>
    <w:p w14:paraId="491DE77C">
      <w:pPr>
        <w:pStyle w:val="61"/>
        <w:ind w:firstLine="48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6</w:t>
      </w:r>
      <w:r>
        <w:rPr>
          <w:rFonts w:hint="eastAsia" w:asciiTheme="minorEastAsia" w:hAnsiTheme="minorEastAsia" w:eastAsiaTheme="minorEastAsia"/>
        </w:rPr>
        <w:t>）投标单位在国家企业信用信息公示系统中无与本投标业务相关的行政处罚、经营异常和失信信息的声明；</w:t>
      </w:r>
    </w:p>
    <w:p w14:paraId="68D4B39C">
      <w:pPr>
        <w:pStyle w:val="56"/>
        <w:ind w:firstLine="48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7</w:t>
      </w:r>
      <w:r>
        <w:rPr>
          <w:rFonts w:hint="eastAsia" w:asciiTheme="minorEastAsia" w:hAnsiTheme="minorEastAsia" w:eastAsiaTheme="minorEastAsia"/>
        </w:rPr>
        <w:t>）税务部门开具的依法缴纳税收的证明（如有）；</w:t>
      </w:r>
    </w:p>
    <w:p w14:paraId="057F0432">
      <w:pPr>
        <w:spacing w:line="360" w:lineRule="auto"/>
        <w:ind w:firstLine="482" w:firstLineChars="200"/>
        <w:rPr>
          <w:rFonts w:asciiTheme="minorEastAsia" w:hAnsiTheme="minorEastAsia" w:eastAsiaTheme="minorEastAsia"/>
          <w:b/>
          <w:bCs/>
          <w:szCs w:val="24"/>
        </w:rPr>
      </w:pPr>
      <w:bookmarkStart w:id="6" w:name="_Toc212369515"/>
      <w:r>
        <w:rPr>
          <w:rFonts w:hint="eastAsia" w:asciiTheme="minorEastAsia" w:hAnsiTheme="minorEastAsia" w:eastAsiaTheme="minorEastAsia"/>
          <w:b/>
          <w:bCs/>
          <w:szCs w:val="24"/>
          <w:lang w:val="en-US" w:eastAsia="zh-CN"/>
        </w:rPr>
        <w:t>8</w:t>
      </w:r>
      <w:r>
        <w:rPr>
          <w:rFonts w:hint="eastAsia" w:asciiTheme="minorEastAsia" w:hAnsiTheme="minorEastAsia" w:eastAsiaTheme="minorEastAsia"/>
          <w:b/>
          <w:bCs/>
          <w:szCs w:val="24"/>
        </w:rPr>
        <w:t>.2技术部分：</w:t>
      </w:r>
      <w:bookmarkEnd w:id="6"/>
    </w:p>
    <w:p w14:paraId="08C95816">
      <w:pPr>
        <w:pStyle w:val="56"/>
        <w:ind w:firstLine="480"/>
        <w:rPr>
          <w:rFonts w:asciiTheme="minorEastAsia" w:hAnsiTheme="minorEastAsia" w:eastAsiaTheme="minorEastAsia"/>
          <w:b/>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）技术规格偏离表（附件</w:t>
      </w:r>
      <w:r>
        <w:rPr>
          <w:rFonts w:asciiTheme="minorEastAsia" w:hAnsiTheme="minorEastAsia" w:eastAsiaTheme="minorEastAsia"/>
        </w:rPr>
        <w:t>3</w:t>
      </w:r>
      <w:r>
        <w:rPr>
          <w:rFonts w:hint="eastAsia" w:asciiTheme="minorEastAsia" w:hAnsiTheme="minorEastAsia" w:eastAsiaTheme="minorEastAsia"/>
        </w:rPr>
        <w:t>）；</w:t>
      </w:r>
      <w:r>
        <w:rPr>
          <w:rFonts w:hint="eastAsia" w:asciiTheme="minorEastAsia" w:hAnsiTheme="minorEastAsia" w:eastAsiaTheme="minorEastAsia"/>
          <w:b/>
        </w:rPr>
        <w:t>必须先进行两列要求一一对照。不允许直接写无偏离。</w:t>
      </w:r>
    </w:p>
    <w:p w14:paraId="4CC981A7">
      <w:pPr>
        <w:pStyle w:val="61"/>
        <w:ind w:firstLine="480"/>
        <w:rPr>
          <w:rFonts w:asciiTheme="minorEastAsia" w:hAnsiTheme="minorEastAsia" w:eastAsiaTheme="minorEastAsia"/>
          <w:b/>
        </w:rPr>
      </w:pPr>
      <w:r>
        <w:rPr>
          <w:rFonts w:hint="eastAsia" w:asciiTheme="minorEastAsia" w:hAnsiTheme="minorEastAsia" w:eastAsiaTheme="minorEastAsia"/>
          <w:bCs/>
        </w:rPr>
        <w:t>（</w:t>
      </w:r>
      <w:r>
        <w:rPr>
          <w:rFonts w:asciiTheme="minorEastAsia" w:hAnsiTheme="minorEastAsia" w:eastAsiaTheme="minorEastAsia"/>
          <w:bCs/>
        </w:rPr>
        <w:t>2</w:t>
      </w:r>
      <w:r>
        <w:rPr>
          <w:rFonts w:hint="eastAsia" w:asciiTheme="minorEastAsia" w:hAnsiTheme="minorEastAsia" w:eastAsiaTheme="minorEastAsia"/>
          <w:bCs/>
        </w:rPr>
        <w:t>）</w:t>
      </w:r>
      <w:r>
        <w:rPr>
          <w:rFonts w:hint="eastAsia" w:asciiTheme="minorEastAsia" w:hAnsiTheme="minorEastAsia" w:eastAsiaTheme="minorEastAsia"/>
        </w:rPr>
        <w:t>近三年同类项目业绩一览表（附件</w:t>
      </w:r>
      <w:r>
        <w:rPr>
          <w:rFonts w:asciiTheme="minorEastAsia" w:hAnsiTheme="minorEastAsia" w:eastAsiaTheme="minorEastAsia"/>
        </w:rPr>
        <w:t>4</w:t>
      </w:r>
      <w:r>
        <w:rPr>
          <w:rFonts w:hint="eastAsia" w:asciiTheme="minorEastAsia" w:hAnsiTheme="minorEastAsia" w:eastAsiaTheme="minorEastAsia"/>
        </w:rPr>
        <w:t>）及有效合同复印件；</w:t>
      </w:r>
      <w:r>
        <w:rPr>
          <w:rFonts w:hint="eastAsia" w:asciiTheme="minorEastAsia" w:hAnsiTheme="minorEastAsia" w:eastAsiaTheme="minorEastAsia"/>
          <w:b/>
        </w:rPr>
        <w:t>若没有提供相应业绩证明，将影响现场评标专家组对投标单位业绩判定打分。</w:t>
      </w:r>
    </w:p>
    <w:p w14:paraId="472A793C">
      <w:pPr>
        <w:pStyle w:val="15"/>
        <w:spacing w:line="360" w:lineRule="auto"/>
        <w:ind w:firstLine="480" w:firstLineChars="200"/>
        <w:rPr>
          <w:rFonts w:hAnsi="宋体"/>
          <w:color w:val="000000"/>
          <w:szCs w:val="24"/>
          <w:lang w:val="zh-CN"/>
        </w:rPr>
      </w:pPr>
      <w:r>
        <w:rPr>
          <w:rFonts w:hint="eastAsia" w:hAnsi="宋体"/>
          <w:color w:val="000000"/>
          <w:szCs w:val="24"/>
          <w:lang w:val="zh-CN"/>
        </w:rPr>
        <w:t>（</w:t>
      </w:r>
      <w:r>
        <w:rPr>
          <w:rFonts w:hAnsi="宋体"/>
          <w:color w:val="000000"/>
          <w:szCs w:val="24"/>
          <w:lang w:val="zh-CN"/>
        </w:rPr>
        <w:t>3</w:t>
      </w:r>
      <w:r>
        <w:rPr>
          <w:rFonts w:hint="eastAsia" w:hAnsi="宋体"/>
          <w:color w:val="000000"/>
          <w:szCs w:val="24"/>
          <w:lang w:val="zh-CN"/>
        </w:rPr>
        <w:t>）拟投入的主要设施设备表（附件</w:t>
      </w:r>
      <w:r>
        <w:rPr>
          <w:rFonts w:hAnsi="宋体"/>
          <w:color w:val="000000"/>
          <w:szCs w:val="24"/>
          <w:lang w:val="zh-CN"/>
        </w:rPr>
        <w:t>9</w:t>
      </w:r>
      <w:r>
        <w:rPr>
          <w:rFonts w:hint="eastAsia" w:hAnsi="宋体"/>
          <w:color w:val="000000"/>
          <w:szCs w:val="24"/>
          <w:lang w:val="zh-CN"/>
        </w:rPr>
        <w:t>）。</w:t>
      </w:r>
    </w:p>
    <w:p w14:paraId="710EA9A1">
      <w:pPr>
        <w:pStyle w:val="15"/>
        <w:spacing w:line="360" w:lineRule="auto"/>
        <w:ind w:firstLine="480" w:firstLineChars="200"/>
        <w:rPr>
          <w:rFonts w:hAnsi="宋体"/>
          <w:color w:val="000000"/>
          <w:szCs w:val="24"/>
          <w:lang w:val="zh-CN"/>
        </w:rPr>
      </w:pPr>
      <w:r>
        <w:rPr>
          <w:rFonts w:hint="eastAsia" w:hAnsi="宋体"/>
          <w:color w:val="000000"/>
          <w:szCs w:val="24"/>
          <w:lang w:val="zh-CN"/>
        </w:rPr>
        <w:t>（</w:t>
      </w:r>
      <w:r>
        <w:rPr>
          <w:rFonts w:hAnsi="宋体"/>
          <w:color w:val="000000"/>
          <w:szCs w:val="24"/>
          <w:lang w:val="zh-CN"/>
        </w:rPr>
        <w:t>4</w:t>
      </w:r>
      <w:r>
        <w:rPr>
          <w:rFonts w:hint="eastAsia" w:hAnsi="宋体"/>
          <w:color w:val="000000"/>
          <w:szCs w:val="24"/>
          <w:lang w:val="zh-CN"/>
        </w:rPr>
        <w:t>）拟投入的项目人员配备情况表（附件</w:t>
      </w:r>
      <w:r>
        <w:rPr>
          <w:rFonts w:hAnsi="宋体"/>
          <w:color w:val="000000"/>
          <w:szCs w:val="24"/>
          <w:lang w:val="zh-CN"/>
        </w:rPr>
        <w:t>10</w:t>
      </w:r>
      <w:r>
        <w:rPr>
          <w:rFonts w:hint="eastAsia" w:hAnsi="宋体"/>
          <w:color w:val="000000"/>
          <w:szCs w:val="24"/>
          <w:lang w:val="zh-CN"/>
        </w:rPr>
        <w:t>）。</w:t>
      </w:r>
    </w:p>
    <w:p w14:paraId="722AEA89">
      <w:pPr>
        <w:pStyle w:val="15"/>
        <w:spacing w:line="360" w:lineRule="auto"/>
        <w:ind w:firstLine="480" w:firstLineChars="200"/>
        <w:rPr>
          <w:rFonts w:hAnsi="宋体"/>
          <w:color w:val="000000"/>
          <w:szCs w:val="24"/>
          <w:lang w:val="zh-CN"/>
        </w:rPr>
      </w:pPr>
      <w:r>
        <w:rPr>
          <w:rFonts w:hint="eastAsia" w:hAnsi="宋体"/>
          <w:color w:val="000000"/>
          <w:szCs w:val="24"/>
          <w:lang w:val="zh-CN"/>
        </w:rPr>
        <w:t>（</w:t>
      </w:r>
      <w:r>
        <w:rPr>
          <w:rFonts w:hAnsi="宋体"/>
          <w:color w:val="000000"/>
          <w:szCs w:val="24"/>
          <w:lang w:val="zh-CN"/>
        </w:rPr>
        <w:t>5</w:t>
      </w:r>
      <w:r>
        <w:rPr>
          <w:rFonts w:hint="eastAsia" w:hAnsi="宋体"/>
          <w:color w:val="000000"/>
          <w:szCs w:val="24"/>
          <w:lang w:val="zh-CN"/>
        </w:rPr>
        <w:t>）企业概况一览表。</w:t>
      </w:r>
    </w:p>
    <w:p w14:paraId="20E46FF5">
      <w:pPr>
        <w:pStyle w:val="15"/>
        <w:spacing w:line="360" w:lineRule="auto"/>
        <w:ind w:firstLine="480" w:firstLineChars="200"/>
        <w:rPr>
          <w:rFonts w:hAnsi="宋体"/>
          <w:color w:val="000000"/>
          <w:szCs w:val="24"/>
          <w:lang w:val="zh-CN"/>
        </w:rPr>
      </w:pPr>
      <w:r>
        <w:rPr>
          <w:rFonts w:hint="eastAsia" w:hAnsi="宋体"/>
          <w:color w:val="000000"/>
          <w:szCs w:val="24"/>
          <w:lang w:val="zh-CN"/>
        </w:rPr>
        <w:t>（</w:t>
      </w:r>
      <w:r>
        <w:rPr>
          <w:rFonts w:hAnsi="宋体"/>
          <w:color w:val="000000"/>
          <w:szCs w:val="24"/>
          <w:lang w:val="zh-CN"/>
        </w:rPr>
        <w:t>6</w:t>
      </w:r>
      <w:r>
        <w:rPr>
          <w:rFonts w:hint="eastAsia" w:hAnsi="宋体"/>
          <w:color w:val="000000"/>
          <w:szCs w:val="24"/>
          <w:lang w:val="zh-CN"/>
        </w:rPr>
        <w:t>）投标人运维管理实施方案介绍。</w:t>
      </w:r>
    </w:p>
    <w:p w14:paraId="5ACA9FE7">
      <w:pPr>
        <w:pStyle w:val="15"/>
        <w:spacing w:line="360" w:lineRule="auto"/>
        <w:ind w:firstLine="480" w:firstLineChars="200"/>
        <w:rPr>
          <w:rFonts w:hAnsi="宋体"/>
          <w:color w:val="000000"/>
          <w:szCs w:val="24"/>
          <w:lang w:val="zh-CN"/>
        </w:rPr>
      </w:pPr>
      <w:r>
        <w:rPr>
          <w:rFonts w:hint="eastAsia" w:hAnsi="宋体"/>
          <w:color w:val="000000"/>
          <w:szCs w:val="24"/>
          <w:lang w:val="zh-CN"/>
        </w:rPr>
        <w:t>（</w:t>
      </w:r>
      <w:r>
        <w:rPr>
          <w:rFonts w:hAnsi="宋体"/>
          <w:color w:val="000000"/>
          <w:szCs w:val="24"/>
          <w:lang w:val="zh-CN"/>
        </w:rPr>
        <w:t>7</w:t>
      </w:r>
      <w:r>
        <w:rPr>
          <w:rFonts w:hint="eastAsia" w:hAnsi="宋体"/>
          <w:color w:val="000000"/>
          <w:szCs w:val="24"/>
          <w:lang w:val="zh-CN"/>
        </w:rPr>
        <w:t>）投标人运维管理团队人员资历、素质、技术能力介绍。</w:t>
      </w:r>
    </w:p>
    <w:p w14:paraId="28542FCA">
      <w:pPr>
        <w:pStyle w:val="15"/>
        <w:spacing w:line="360" w:lineRule="auto"/>
        <w:ind w:firstLine="480" w:firstLineChars="200"/>
        <w:rPr>
          <w:rFonts w:hAnsi="宋体"/>
          <w:color w:val="000000"/>
          <w:szCs w:val="24"/>
          <w:lang w:val="zh-CN"/>
        </w:rPr>
      </w:pPr>
      <w:r>
        <w:rPr>
          <w:rFonts w:hint="eastAsia" w:hAnsi="宋体"/>
          <w:color w:val="000000"/>
          <w:szCs w:val="24"/>
          <w:lang w:val="zh-CN"/>
        </w:rPr>
        <w:t>（</w:t>
      </w:r>
      <w:r>
        <w:rPr>
          <w:rFonts w:hAnsi="宋体"/>
          <w:color w:val="000000"/>
          <w:szCs w:val="24"/>
          <w:lang w:val="zh-CN"/>
        </w:rPr>
        <w:t>8</w:t>
      </w:r>
      <w:r>
        <w:rPr>
          <w:rFonts w:hint="eastAsia" w:hAnsi="宋体"/>
          <w:color w:val="000000"/>
          <w:szCs w:val="24"/>
          <w:lang w:val="zh-CN"/>
        </w:rPr>
        <w:t>）其他业主方对投标人服务过的运维管理项目评价。</w:t>
      </w:r>
    </w:p>
    <w:p w14:paraId="0757F83C">
      <w:pPr>
        <w:pStyle w:val="56"/>
        <w:ind w:firstLine="480"/>
      </w:pPr>
      <w:r>
        <w:rPr>
          <w:rFonts w:hint="eastAsia"/>
        </w:rPr>
        <w:t>（</w:t>
      </w:r>
      <w:r>
        <w:rPr>
          <w:lang w:val="en-US"/>
        </w:rPr>
        <w:t>9</w:t>
      </w:r>
      <w:r>
        <w:rPr>
          <w:rFonts w:hint="eastAsia"/>
        </w:rPr>
        <w:t>）投标人需提交的其它资料。</w:t>
      </w:r>
    </w:p>
    <w:p w14:paraId="4F2C91BE">
      <w:pPr>
        <w:pStyle w:val="56"/>
        <w:ind w:firstLine="482"/>
        <w:rPr>
          <w:rFonts w:asciiTheme="minorEastAsia" w:hAnsiTheme="minorEastAsia" w:eastAsiaTheme="minorEastAsia"/>
          <w:b/>
          <w:bCs/>
        </w:rPr>
      </w:pPr>
      <w:r>
        <w:rPr>
          <w:rFonts w:hint="eastAsia" w:asciiTheme="minorEastAsia" w:hAnsiTheme="minorEastAsia" w:eastAsiaTheme="minorEastAsia"/>
          <w:b/>
          <w:bCs/>
          <w:lang w:val="en-US" w:eastAsia="zh-CN"/>
        </w:rPr>
        <w:t>8</w:t>
      </w:r>
      <w:r>
        <w:rPr>
          <w:rFonts w:asciiTheme="minorEastAsia" w:hAnsiTheme="minorEastAsia" w:eastAsiaTheme="minorEastAsia"/>
          <w:b/>
          <w:bCs/>
        </w:rPr>
        <w:t>.3</w:t>
      </w:r>
      <w:r>
        <w:rPr>
          <w:rFonts w:hint="eastAsia" w:asciiTheme="minorEastAsia" w:hAnsiTheme="minorEastAsia" w:eastAsiaTheme="minorEastAsia"/>
          <w:b/>
          <w:bCs/>
        </w:rPr>
        <w:t>商务部分：</w:t>
      </w:r>
    </w:p>
    <w:p w14:paraId="2DCB5B2A">
      <w:pPr>
        <w:pStyle w:val="56"/>
        <w:ind w:firstLine="48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）开标一览表（附件</w:t>
      </w:r>
      <w:r>
        <w:rPr>
          <w:rFonts w:asciiTheme="minorEastAsia" w:hAnsiTheme="minorEastAsia" w:eastAsiaTheme="minorEastAsia"/>
        </w:rPr>
        <w:t>5</w:t>
      </w:r>
      <w:r>
        <w:rPr>
          <w:rFonts w:hint="eastAsia" w:asciiTheme="minorEastAsia" w:hAnsiTheme="minorEastAsia" w:eastAsiaTheme="minorEastAsia"/>
        </w:rPr>
        <w:t>）。</w:t>
      </w:r>
    </w:p>
    <w:p w14:paraId="3FCAA57F">
      <w:pPr>
        <w:pStyle w:val="56"/>
        <w:ind w:firstLine="480"/>
        <w:rPr>
          <w:rFonts w:asciiTheme="minorEastAsia" w:hAnsiTheme="minorEastAsia" w:eastAsiaTheme="minorEastAsia"/>
          <w:b/>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）投标报价明细表（附件</w:t>
      </w:r>
      <w:r>
        <w:rPr>
          <w:rFonts w:asciiTheme="minorEastAsia" w:hAnsiTheme="minorEastAsia" w:eastAsiaTheme="minorEastAsia"/>
        </w:rPr>
        <w:t>6</w:t>
      </w:r>
      <w:r>
        <w:rPr>
          <w:rFonts w:hint="eastAsia" w:asciiTheme="minorEastAsia" w:hAnsiTheme="minorEastAsia" w:eastAsiaTheme="minorEastAsia"/>
        </w:rPr>
        <w:t>）</w:t>
      </w:r>
      <w:r>
        <w:rPr>
          <w:rFonts w:hint="eastAsia" w:asciiTheme="minorEastAsia" w:hAnsiTheme="minorEastAsia" w:eastAsiaTheme="minorEastAsia"/>
          <w:b/>
        </w:rPr>
        <w:t>附件5、6、7需要一起单独封装</w:t>
      </w:r>
      <w:r>
        <w:rPr>
          <w:rFonts w:asciiTheme="minorEastAsia" w:hAnsiTheme="minorEastAsia" w:eastAsiaTheme="minorEastAsia"/>
          <w:b/>
        </w:rPr>
        <w:t>1</w:t>
      </w:r>
      <w:r>
        <w:rPr>
          <w:rFonts w:hint="eastAsia" w:asciiTheme="minorEastAsia" w:hAnsiTheme="minorEastAsia" w:eastAsiaTheme="minorEastAsia"/>
          <w:b/>
        </w:rPr>
        <w:t>份。</w:t>
      </w:r>
    </w:p>
    <w:p w14:paraId="2AD1B9FD">
      <w:pPr>
        <w:pStyle w:val="56"/>
        <w:ind w:firstLine="48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3</w:t>
      </w:r>
      <w:r>
        <w:rPr>
          <w:rFonts w:hint="eastAsia" w:asciiTheme="minorEastAsia" w:hAnsiTheme="minorEastAsia" w:eastAsiaTheme="minorEastAsia"/>
        </w:rPr>
        <w:t>）商务条款偏离表（附件</w:t>
      </w:r>
      <w:r>
        <w:rPr>
          <w:rFonts w:asciiTheme="minorEastAsia" w:hAnsiTheme="minorEastAsia" w:eastAsiaTheme="minorEastAsia"/>
        </w:rPr>
        <w:t>7</w:t>
      </w:r>
      <w:r>
        <w:rPr>
          <w:rFonts w:hint="eastAsia" w:asciiTheme="minorEastAsia" w:hAnsiTheme="minorEastAsia" w:eastAsiaTheme="minorEastAsia"/>
        </w:rPr>
        <w:t>）</w:t>
      </w:r>
      <w:r>
        <w:rPr>
          <w:rFonts w:hint="eastAsia" w:asciiTheme="minorEastAsia" w:hAnsiTheme="minorEastAsia" w:eastAsiaTheme="minorEastAsia"/>
          <w:b/>
        </w:rPr>
        <w:t>。</w:t>
      </w:r>
    </w:p>
    <w:p w14:paraId="419AD296">
      <w:pPr>
        <w:pStyle w:val="56"/>
        <w:ind w:firstLine="48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4</w:t>
      </w:r>
      <w:r>
        <w:rPr>
          <w:rFonts w:hint="eastAsia" w:asciiTheme="minorEastAsia" w:hAnsiTheme="minorEastAsia" w:eastAsiaTheme="minorEastAsia"/>
        </w:rPr>
        <w:t>）服务承诺函(附件</w:t>
      </w:r>
      <w:r>
        <w:rPr>
          <w:rFonts w:asciiTheme="minorEastAsia" w:hAnsiTheme="minorEastAsia" w:eastAsiaTheme="minorEastAsia"/>
        </w:rPr>
        <w:t>8</w:t>
      </w:r>
      <w:r>
        <w:rPr>
          <w:rFonts w:hint="eastAsia" w:asciiTheme="minorEastAsia" w:hAnsiTheme="minorEastAsia" w:eastAsiaTheme="minorEastAsia"/>
        </w:rPr>
        <w:t>)</w:t>
      </w:r>
      <w:r>
        <w:rPr>
          <w:rFonts w:asciiTheme="minorEastAsia" w:hAnsiTheme="minorEastAsia" w:eastAsiaTheme="minorEastAsia"/>
        </w:rPr>
        <w:t xml:space="preserve"> </w:t>
      </w:r>
    </w:p>
    <w:p w14:paraId="12389D8F">
      <w:pPr>
        <w:pStyle w:val="56"/>
        <w:ind w:firstLine="480"/>
        <w:rPr>
          <w:rFonts w:asciiTheme="minorEastAsia" w:hAnsiTheme="minorEastAsia" w:eastAsiaTheme="minorEastAsia"/>
          <w:b/>
        </w:rPr>
      </w:pPr>
      <w:r>
        <w:rPr>
          <w:rFonts w:hint="eastAsia" w:asciiTheme="minorEastAsia" w:hAnsiTheme="minorEastAsia" w:eastAsiaTheme="minorEastAsia"/>
        </w:rPr>
        <w:t>（</w:t>
      </w:r>
      <w:r>
        <w:rPr>
          <w:rFonts w:asciiTheme="minorEastAsia" w:hAnsiTheme="minorEastAsia" w:eastAsiaTheme="minorEastAsia"/>
        </w:rPr>
        <w:t>5</w:t>
      </w:r>
      <w:r>
        <w:rPr>
          <w:rFonts w:hint="eastAsia" w:asciiTheme="minorEastAsia" w:hAnsiTheme="minorEastAsia" w:eastAsiaTheme="minorEastAsia"/>
        </w:rPr>
        <w:t>）按招标文件投标人须知和技术规格书中要求提供的有关文件。</w:t>
      </w:r>
    </w:p>
    <w:p w14:paraId="6CC70E57">
      <w:pPr>
        <w:pStyle w:val="56"/>
        <w:ind w:firstLine="482"/>
        <w:rPr>
          <w:rFonts w:asciiTheme="minorEastAsia" w:hAnsiTheme="minorEastAsia" w:eastAsiaTheme="minorEastAsia"/>
          <w:b/>
        </w:rPr>
      </w:pPr>
      <w:r>
        <w:rPr>
          <w:rFonts w:hint="eastAsia" w:asciiTheme="minorEastAsia" w:hAnsiTheme="minorEastAsia" w:eastAsiaTheme="minorEastAsia"/>
          <w:b/>
          <w:lang w:val="en-US" w:eastAsia="zh-CN"/>
        </w:rPr>
        <w:t>9</w:t>
      </w:r>
      <w:r>
        <w:rPr>
          <w:rFonts w:hint="eastAsia" w:asciiTheme="minorEastAsia" w:hAnsiTheme="minorEastAsia" w:eastAsiaTheme="minorEastAsia"/>
          <w:b/>
        </w:rPr>
        <w:t>、合同签订</w:t>
      </w:r>
    </w:p>
    <w:p w14:paraId="54FBF1E3">
      <w:pPr>
        <w:pStyle w:val="56"/>
        <w:ind w:firstLine="480"/>
        <w:rPr>
          <w:rFonts w:asciiTheme="minorEastAsia" w:hAnsiTheme="minorEastAsia" w:eastAsiaTheme="minorEastAsia"/>
        </w:rPr>
      </w:pPr>
      <w:r>
        <w:rPr>
          <w:rFonts w:hint="eastAsia" w:asciiTheme="minorEastAsia" w:hAnsiTheme="minorEastAsia" w:eastAsiaTheme="minorEastAsia"/>
          <w:lang w:val="en-US" w:eastAsia="zh-CN"/>
        </w:rPr>
        <w:t>9</w:t>
      </w:r>
      <w:r>
        <w:rPr>
          <w:rFonts w:asciiTheme="minorEastAsia" w:hAnsiTheme="minorEastAsia" w:eastAsiaTheme="minorEastAsia"/>
        </w:rPr>
        <w:t>.</w:t>
      </w:r>
      <w:r>
        <w:rPr>
          <w:rFonts w:hint="eastAsia" w:asciiTheme="minorEastAsia" w:hAnsiTheme="minorEastAsia" w:eastAsiaTheme="minorEastAsia"/>
        </w:rPr>
        <w:t>1、招标人根据评标工作小组的评标结果确定中标人，并书面通知中标人。</w:t>
      </w:r>
    </w:p>
    <w:p w14:paraId="1368FC2C">
      <w:pPr>
        <w:pStyle w:val="56"/>
        <w:ind w:firstLine="480"/>
        <w:rPr>
          <w:rFonts w:asciiTheme="minorEastAsia" w:hAnsiTheme="minorEastAsia" w:eastAsiaTheme="minorEastAsia"/>
        </w:rPr>
      </w:pPr>
      <w:r>
        <w:rPr>
          <w:rFonts w:hint="eastAsia" w:asciiTheme="minorEastAsia" w:hAnsiTheme="minorEastAsia" w:eastAsiaTheme="minorEastAsia"/>
          <w:lang w:val="en-US" w:eastAsia="zh-CN"/>
        </w:rPr>
        <w:t>9</w:t>
      </w:r>
      <w:r>
        <w:rPr>
          <w:rFonts w:asciiTheme="minorEastAsia" w:hAnsiTheme="minorEastAsia" w:eastAsiaTheme="minorEastAsia"/>
        </w:rPr>
        <w:t>.</w:t>
      </w:r>
      <w:r>
        <w:rPr>
          <w:rFonts w:hint="eastAsia" w:asciiTheme="minorEastAsia" w:hAnsiTheme="minorEastAsia" w:eastAsiaTheme="minorEastAsia"/>
        </w:rPr>
        <w:t>2、中标人应当按照合同约定的履约责任，在保证质量的前提下完成中标项目，不得将中标项目转包或分包给他人，否则视为违约，招标人有权解除合同。</w:t>
      </w:r>
    </w:p>
    <w:p w14:paraId="632255FA">
      <w:pPr>
        <w:pStyle w:val="15"/>
        <w:spacing w:line="360" w:lineRule="auto"/>
        <w:ind w:firstLine="480" w:firstLineChars="200"/>
        <w:rPr>
          <w:rFonts w:asciiTheme="minorEastAsia" w:hAnsiTheme="minorEastAsia" w:eastAsiaTheme="minorEastAsia"/>
          <w:b/>
          <w:szCs w:val="24"/>
        </w:rPr>
      </w:pPr>
      <w:r>
        <w:rPr>
          <w:rFonts w:hint="eastAsia" w:asciiTheme="minorEastAsia" w:hAnsiTheme="minorEastAsia" w:eastAsiaTheme="minorEastAsia"/>
          <w:lang w:val="en-US" w:eastAsia="zh-CN"/>
        </w:rPr>
        <w:t>9</w:t>
      </w:r>
      <w:r>
        <w:rPr>
          <w:rFonts w:asciiTheme="minorEastAsia" w:hAnsiTheme="minorEastAsia" w:eastAsiaTheme="minorEastAsia"/>
          <w:b/>
          <w:szCs w:val="24"/>
        </w:rPr>
        <w:t>.</w:t>
      </w:r>
      <w:r>
        <w:rPr>
          <w:rFonts w:hint="eastAsia" w:asciiTheme="minorEastAsia" w:hAnsiTheme="minorEastAsia" w:eastAsiaTheme="minorEastAsia"/>
          <w:b/>
          <w:szCs w:val="24"/>
        </w:rPr>
        <w:t>3、中标人由于履行义务的能力或信用有严重缺陷，招标人有权取消其中标资格，招标人将从中标候选单位中依序重新确定中标人，或重新组织招标。</w:t>
      </w:r>
    </w:p>
    <w:p w14:paraId="79E0161F">
      <w:pPr>
        <w:pStyle w:val="56"/>
        <w:ind w:firstLine="480"/>
        <w:rPr>
          <w:rFonts w:asciiTheme="minorEastAsia" w:hAnsiTheme="minorEastAsia" w:eastAsiaTheme="minorEastAsia"/>
        </w:rPr>
      </w:pPr>
      <w:r>
        <w:rPr>
          <w:rFonts w:hint="eastAsia" w:asciiTheme="minorEastAsia" w:hAnsiTheme="minorEastAsia" w:eastAsiaTheme="minorEastAsia"/>
          <w:lang w:val="en-US" w:eastAsia="zh-CN"/>
        </w:rPr>
        <w:t>9</w:t>
      </w:r>
      <w:r>
        <w:rPr>
          <w:rFonts w:asciiTheme="minorEastAsia" w:hAnsiTheme="minorEastAsia" w:eastAsiaTheme="minorEastAsia"/>
        </w:rPr>
        <w:t>.</w:t>
      </w:r>
      <w:r>
        <w:rPr>
          <w:rFonts w:hint="eastAsia" w:asciiTheme="minorEastAsia" w:hAnsiTheme="minorEastAsia" w:eastAsiaTheme="minorEastAsia"/>
        </w:rPr>
        <w:t>4、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15242399">
      <w:pPr>
        <w:pStyle w:val="56"/>
        <w:ind w:firstLine="480"/>
        <w:rPr>
          <w:rFonts w:asciiTheme="minorEastAsia" w:hAnsiTheme="minorEastAsia" w:eastAsiaTheme="minorEastAsia"/>
        </w:rPr>
      </w:pPr>
      <w:r>
        <w:rPr>
          <w:rFonts w:hint="eastAsia" w:asciiTheme="minorEastAsia" w:hAnsiTheme="minorEastAsia" w:eastAsiaTheme="minorEastAsia"/>
        </w:rPr>
        <w:t>（1）有效投标不足三家；</w:t>
      </w:r>
    </w:p>
    <w:p w14:paraId="25675F68">
      <w:pPr>
        <w:pStyle w:val="56"/>
        <w:ind w:firstLine="480"/>
        <w:rPr>
          <w:rFonts w:asciiTheme="minorEastAsia" w:hAnsiTheme="minorEastAsia" w:eastAsiaTheme="minorEastAsia"/>
        </w:rPr>
      </w:pPr>
      <w:r>
        <w:rPr>
          <w:rFonts w:hint="eastAsia" w:asciiTheme="minorEastAsia" w:hAnsiTheme="minorEastAsia" w:eastAsiaTheme="minorEastAsia"/>
        </w:rPr>
        <w:t>（2）投标人提供的有关资格、资质证明文件不合格、不真实或提供虚假投标材料；</w:t>
      </w:r>
    </w:p>
    <w:p w14:paraId="5610CD40">
      <w:pPr>
        <w:pStyle w:val="56"/>
        <w:ind w:firstLine="480"/>
        <w:rPr>
          <w:rFonts w:asciiTheme="minorEastAsia" w:hAnsiTheme="minorEastAsia" w:eastAsiaTheme="minorEastAsia"/>
        </w:rPr>
      </w:pPr>
      <w:r>
        <w:rPr>
          <w:rFonts w:hint="eastAsia" w:asciiTheme="minorEastAsia" w:hAnsiTheme="minorEastAsia" w:eastAsiaTheme="minorEastAsia"/>
        </w:rPr>
        <w:t>（3）投标人在报价有效期内撤回投标；</w:t>
      </w:r>
    </w:p>
    <w:p w14:paraId="6E4BA07F">
      <w:pPr>
        <w:pStyle w:val="56"/>
        <w:ind w:firstLine="480"/>
        <w:rPr>
          <w:rFonts w:asciiTheme="minorEastAsia" w:hAnsiTheme="minorEastAsia" w:eastAsiaTheme="minorEastAsia"/>
        </w:rPr>
      </w:pPr>
      <w:r>
        <w:rPr>
          <w:rFonts w:hint="eastAsia" w:asciiTheme="minorEastAsia" w:hAnsiTheme="minorEastAsia" w:eastAsiaTheme="minorEastAsia"/>
        </w:rPr>
        <w:t>（4）在整个评标过程中，投标人有企图影响评标结果公正性的任何活动；</w:t>
      </w:r>
    </w:p>
    <w:p w14:paraId="28ED4D9F">
      <w:pPr>
        <w:pStyle w:val="56"/>
        <w:ind w:firstLine="480"/>
        <w:rPr>
          <w:rFonts w:asciiTheme="minorEastAsia" w:hAnsiTheme="minorEastAsia" w:eastAsiaTheme="minorEastAsia"/>
        </w:rPr>
      </w:pPr>
      <w:r>
        <w:rPr>
          <w:rFonts w:hint="eastAsia" w:asciiTheme="minorEastAsia" w:hAnsiTheme="minorEastAsia" w:eastAsiaTheme="minorEastAsia"/>
        </w:rPr>
        <w:t>（5）投标人以任何方式诋毁其他投标人；</w:t>
      </w:r>
    </w:p>
    <w:p w14:paraId="0D485AB3">
      <w:pPr>
        <w:pStyle w:val="56"/>
        <w:ind w:firstLine="480"/>
        <w:rPr>
          <w:rFonts w:asciiTheme="minorEastAsia" w:hAnsiTheme="minorEastAsia" w:eastAsiaTheme="minorEastAsia"/>
        </w:rPr>
      </w:pPr>
      <w:r>
        <w:rPr>
          <w:rFonts w:hint="eastAsia" w:asciiTheme="minorEastAsia" w:hAnsiTheme="minorEastAsia" w:eastAsiaTheme="minorEastAsia"/>
        </w:rPr>
        <w:t>（6）投标人串通投标；</w:t>
      </w:r>
    </w:p>
    <w:p w14:paraId="7F64517A">
      <w:pPr>
        <w:pStyle w:val="56"/>
        <w:ind w:firstLine="480"/>
        <w:rPr>
          <w:rFonts w:asciiTheme="minorEastAsia" w:hAnsiTheme="minorEastAsia" w:eastAsiaTheme="minorEastAsia"/>
        </w:rPr>
      </w:pPr>
      <w:r>
        <w:rPr>
          <w:rFonts w:hint="eastAsia" w:asciiTheme="minorEastAsia" w:hAnsiTheme="minorEastAsia" w:eastAsiaTheme="minorEastAsia"/>
        </w:rPr>
        <w:t>（7）以他人名义投标或者以其他方式弄虚作假，骗取中标的；</w:t>
      </w:r>
    </w:p>
    <w:p w14:paraId="0465C4CF">
      <w:pPr>
        <w:pStyle w:val="56"/>
        <w:ind w:firstLine="480"/>
        <w:rPr>
          <w:rFonts w:asciiTheme="minorEastAsia" w:hAnsiTheme="minorEastAsia" w:eastAsiaTheme="minorEastAsia"/>
        </w:rPr>
      </w:pPr>
      <w:r>
        <w:rPr>
          <w:rFonts w:hint="eastAsia" w:asciiTheme="minorEastAsia" w:hAnsiTheme="minorEastAsia" w:eastAsiaTheme="minorEastAsia"/>
        </w:rPr>
        <w:t>（8）投标人负责人为同一人或者存在控股、管理关系的不同单位；</w:t>
      </w:r>
    </w:p>
    <w:p w14:paraId="3940C227">
      <w:pPr>
        <w:pStyle w:val="56"/>
        <w:ind w:firstLine="480"/>
        <w:rPr>
          <w:rFonts w:asciiTheme="minorEastAsia" w:hAnsiTheme="minorEastAsia" w:eastAsiaTheme="minorEastAsia"/>
        </w:rPr>
      </w:pPr>
      <w:r>
        <w:rPr>
          <w:rFonts w:hint="eastAsia" w:asciiTheme="minorEastAsia" w:hAnsiTheme="minorEastAsia" w:eastAsiaTheme="minorEastAsia"/>
        </w:rPr>
        <w:t>（9）投标人被举报、检举，并经招标方查实无误的；</w:t>
      </w:r>
    </w:p>
    <w:p w14:paraId="58778857">
      <w:pPr>
        <w:pStyle w:val="56"/>
        <w:ind w:firstLine="48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10</w:t>
      </w:r>
      <w:r>
        <w:rPr>
          <w:rFonts w:hint="eastAsia" w:asciiTheme="minorEastAsia" w:hAnsiTheme="minorEastAsia" w:eastAsiaTheme="minorEastAsia"/>
        </w:rPr>
        <w:t>）法律、法规规定的其他情况。</w:t>
      </w:r>
    </w:p>
    <w:p w14:paraId="4463425E">
      <w:pPr>
        <w:pStyle w:val="56"/>
        <w:ind w:firstLine="480"/>
        <w:rPr>
          <w:rFonts w:asciiTheme="minorEastAsia" w:hAnsiTheme="minorEastAsia" w:eastAsiaTheme="minorEastAsia"/>
        </w:rPr>
      </w:pPr>
      <w:r>
        <w:rPr>
          <w:rFonts w:hint="eastAsia" w:asciiTheme="minorEastAsia" w:hAnsiTheme="minorEastAsia" w:eastAsiaTheme="minorEastAsia"/>
          <w:lang w:val="en-US" w:eastAsia="zh-CN"/>
        </w:rPr>
        <w:t>9</w:t>
      </w:r>
      <w:r>
        <w:rPr>
          <w:rFonts w:asciiTheme="minorEastAsia" w:hAnsiTheme="minorEastAsia" w:eastAsiaTheme="minorEastAsia"/>
        </w:rPr>
        <w:t>.</w:t>
      </w:r>
      <w:r>
        <w:rPr>
          <w:rFonts w:hint="eastAsia" w:asciiTheme="minorEastAsia" w:hAnsiTheme="minorEastAsia" w:eastAsiaTheme="minorEastAsia"/>
        </w:rPr>
        <w:t>5、出现下列情形之一，招标人有权否决所有投标人的投标，并终止招标</w:t>
      </w:r>
    </w:p>
    <w:p w14:paraId="30B7D2CF">
      <w:pPr>
        <w:pStyle w:val="56"/>
        <w:ind w:firstLine="480"/>
        <w:rPr>
          <w:rFonts w:asciiTheme="minorEastAsia" w:hAnsiTheme="minorEastAsia" w:eastAsiaTheme="minorEastAsia"/>
          <w:b/>
        </w:rPr>
      </w:pPr>
      <w:r>
        <w:rPr>
          <w:rFonts w:hint="eastAsia" w:asciiTheme="minorEastAsia" w:hAnsiTheme="minorEastAsia" w:eastAsiaTheme="minorEastAsia"/>
        </w:rPr>
        <w:t>（1）符合条件的投标人或者对招标文件做实质响应的投标人不足三家的；</w:t>
      </w:r>
    </w:p>
    <w:p w14:paraId="66C572CD">
      <w:pPr>
        <w:pStyle w:val="56"/>
        <w:ind w:firstLine="480"/>
        <w:rPr>
          <w:rFonts w:asciiTheme="minorEastAsia" w:hAnsiTheme="minorEastAsia" w:eastAsiaTheme="minorEastAsia"/>
        </w:rPr>
      </w:pPr>
      <w:r>
        <w:rPr>
          <w:rFonts w:hint="eastAsia" w:asciiTheme="minorEastAsia" w:hAnsiTheme="minorEastAsia" w:eastAsiaTheme="minorEastAsia"/>
        </w:rPr>
        <w:t>（2）出现影响采购公正的违法、违规行为的；</w:t>
      </w:r>
    </w:p>
    <w:p w14:paraId="211A1703">
      <w:pPr>
        <w:pStyle w:val="56"/>
        <w:ind w:firstLine="480"/>
        <w:rPr>
          <w:rFonts w:asciiTheme="minorEastAsia" w:hAnsiTheme="minorEastAsia" w:eastAsiaTheme="minorEastAsia"/>
        </w:rPr>
      </w:pPr>
      <w:r>
        <w:rPr>
          <w:rFonts w:hint="eastAsia" w:asciiTheme="minorEastAsia" w:hAnsiTheme="minorEastAsia" w:eastAsiaTheme="minorEastAsia"/>
        </w:rPr>
        <w:t>（3）评标委员会经评审，认为所有投标都不符合招标文件要求的；</w:t>
      </w:r>
    </w:p>
    <w:p w14:paraId="3EE8C78F">
      <w:pPr>
        <w:pStyle w:val="56"/>
        <w:ind w:firstLine="480"/>
        <w:rPr>
          <w:rFonts w:asciiTheme="minorEastAsia" w:hAnsiTheme="minorEastAsia" w:eastAsiaTheme="minorEastAsia"/>
        </w:rPr>
      </w:pPr>
      <w:r>
        <w:rPr>
          <w:rFonts w:hint="eastAsia" w:asciiTheme="minorEastAsia" w:hAnsiTheme="minorEastAsia" w:eastAsiaTheme="minorEastAsia"/>
        </w:rPr>
        <w:t>（4）因重大变故，采购任务取消的。</w:t>
      </w:r>
    </w:p>
    <w:p w14:paraId="24C6BCE6">
      <w:pPr>
        <w:pStyle w:val="56"/>
        <w:ind w:firstLine="482"/>
        <w:rPr>
          <w:rFonts w:asciiTheme="minorEastAsia" w:hAnsiTheme="minorEastAsia" w:eastAsiaTheme="minorEastAsia"/>
          <w:b/>
        </w:rPr>
      </w:pPr>
      <w:r>
        <w:rPr>
          <w:rFonts w:hint="eastAsia" w:asciiTheme="minorEastAsia" w:hAnsiTheme="minorEastAsia" w:eastAsiaTheme="minorEastAsia"/>
          <w:b/>
          <w:lang w:val="en-US" w:eastAsia="zh-CN"/>
        </w:rPr>
        <w:t>10</w:t>
      </w:r>
      <w:r>
        <w:rPr>
          <w:rFonts w:hint="eastAsia" w:asciiTheme="minorEastAsia" w:hAnsiTheme="minorEastAsia" w:eastAsiaTheme="minorEastAsia"/>
          <w:b/>
        </w:rPr>
        <w:t>、其他</w:t>
      </w:r>
    </w:p>
    <w:p w14:paraId="766680A5">
      <w:pPr>
        <w:spacing w:line="360" w:lineRule="auto"/>
        <w:ind w:right="2" w:firstLine="480" w:firstLineChars="200"/>
        <w:rPr>
          <w:rFonts w:asciiTheme="minorEastAsia" w:hAnsiTheme="minorEastAsia" w:eastAsiaTheme="minorEastAsia"/>
          <w:color w:val="000000"/>
          <w:szCs w:val="24"/>
        </w:rPr>
      </w:pPr>
      <w:r>
        <w:rPr>
          <w:rFonts w:hint="eastAsia" w:asciiTheme="minorEastAsia" w:hAnsiTheme="minorEastAsia" w:eastAsiaTheme="minorEastAsia"/>
          <w:b w:val="0"/>
          <w:bCs/>
          <w:lang w:val="en-US" w:eastAsia="zh-CN"/>
        </w:rPr>
        <w:t>10</w:t>
      </w:r>
      <w:r>
        <w:rPr>
          <w:rFonts w:asciiTheme="minorEastAsia" w:hAnsiTheme="minorEastAsia" w:eastAsiaTheme="minorEastAsia"/>
          <w:b w:val="0"/>
          <w:bCs/>
          <w:color w:val="000000"/>
          <w:szCs w:val="24"/>
        </w:rPr>
        <w:t>.</w:t>
      </w:r>
      <w:r>
        <w:rPr>
          <w:rFonts w:hint="eastAsia" w:asciiTheme="minorEastAsia" w:hAnsiTheme="minorEastAsia" w:eastAsiaTheme="minorEastAsia"/>
          <w:color w:val="000000"/>
          <w:szCs w:val="24"/>
        </w:rPr>
        <w:t>1、其余未尽事宜均以最终签署的协议（或合同）约定为准。</w:t>
      </w:r>
    </w:p>
    <w:p w14:paraId="05D1ABCA">
      <w:pPr>
        <w:spacing w:line="360" w:lineRule="auto"/>
        <w:ind w:right="2" w:firstLine="480" w:firstLineChars="200"/>
        <w:rPr>
          <w:rFonts w:asciiTheme="minorEastAsia" w:hAnsiTheme="minorEastAsia" w:eastAsiaTheme="minorEastAsia"/>
          <w:color w:val="000000"/>
          <w:szCs w:val="24"/>
        </w:rPr>
      </w:pPr>
      <w:r>
        <w:rPr>
          <w:rFonts w:hint="eastAsia" w:asciiTheme="minorEastAsia" w:hAnsiTheme="minorEastAsia" w:eastAsiaTheme="minorEastAsia"/>
          <w:b w:val="0"/>
          <w:bCs/>
          <w:lang w:val="en-US" w:eastAsia="zh-CN"/>
        </w:rPr>
        <w:t>10</w:t>
      </w:r>
      <w:r>
        <w:rPr>
          <w:rFonts w:asciiTheme="minorEastAsia" w:hAnsiTheme="minorEastAsia" w:eastAsiaTheme="minorEastAsia"/>
          <w:color w:val="000000"/>
          <w:szCs w:val="24"/>
        </w:rPr>
        <w:t>.</w:t>
      </w:r>
      <w:r>
        <w:rPr>
          <w:rFonts w:hint="eastAsia" w:asciiTheme="minorEastAsia" w:hAnsiTheme="minorEastAsia" w:eastAsiaTheme="minorEastAsia"/>
          <w:color w:val="000000"/>
          <w:szCs w:val="24"/>
        </w:rPr>
        <w:t>2、要求招标人或相关合同签订单位提供的配合，在标书文件中说明。</w:t>
      </w:r>
    </w:p>
    <w:p w14:paraId="01CB43ED">
      <w:pPr>
        <w:spacing w:line="360" w:lineRule="auto"/>
        <w:ind w:right="2" w:firstLine="480" w:firstLineChars="200"/>
        <w:rPr>
          <w:rFonts w:asciiTheme="minorEastAsia" w:hAnsiTheme="minorEastAsia" w:eastAsiaTheme="minorEastAsia"/>
          <w:color w:val="000000"/>
          <w:szCs w:val="24"/>
        </w:rPr>
      </w:pPr>
      <w:r>
        <w:rPr>
          <w:rFonts w:hint="eastAsia" w:asciiTheme="minorEastAsia" w:hAnsiTheme="minorEastAsia" w:eastAsiaTheme="minorEastAsia"/>
          <w:b w:val="0"/>
          <w:bCs/>
          <w:lang w:val="en-US" w:eastAsia="zh-CN"/>
        </w:rPr>
        <w:t>10</w:t>
      </w:r>
      <w:r>
        <w:rPr>
          <w:rFonts w:asciiTheme="minorEastAsia" w:hAnsiTheme="minorEastAsia" w:eastAsiaTheme="minorEastAsia"/>
          <w:color w:val="000000"/>
          <w:szCs w:val="24"/>
        </w:rPr>
        <w:t>.</w:t>
      </w:r>
      <w:r>
        <w:rPr>
          <w:rFonts w:hint="eastAsia" w:asciiTheme="minorEastAsia" w:hAnsiTheme="minorEastAsia" w:eastAsiaTheme="minorEastAsia"/>
          <w:color w:val="000000"/>
          <w:szCs w:val="24"/>
        </w:rPr>
        <w:t>3、凡对本次招标提出的问询，均以招标人的书面答复为准。招标人的任何工作人员对投标人所作的任何口头解释、介绍、答复，对招标人和投标人均无任何约束力。</w:t>
      </w:r>
    </w:p>
    <w:p w14:paraId="0C121499">
      <w:pPr>
        <w:spacing w:line="360" w:lineRule="auto"/>
        <w:ind w:right="2" w:firstLine="480" w:firstLineChars="200"/>
        <w:rPr>
          <w:rFonts w:asciiTheme="minorEastAsia" w:hAnsiTheme="minorEastAsia" w:eastAsiaTheme="minorEastAsia"/>
          <w:color w:val="000000"/>
          <w:szCs w:val="24"/>
        </w:rPr>
      </w:pPr>
      <w:r>
        <w:rPr>
          <w:rFonts w:hint="eastAsia" w:asciiTheme="minorEastAsia" w:hAnsiTheme="minorEastAsia" w:eastAsiaTheme="minorEastAsia"/>
          <w:b w:val="0"/>
          <w:bCs/>
          <w:lang w:val="en-US" w:eastAsia="zh-CN"/>
        </w:rPr>
        <w:t>10</w:t>
      </w:r>
      <w:r>
        <w:rPr>
          <w:rFonts w:asciiTheme="minorEastAsia" w:hAnsiTheme="minorEastAsia" w:eastAsiaTheme="minorEastAsia"/>
          <w:color w:val="000000"/>
          <w:szCs w:val="24"/>
        </w:rPr>
        <w:t>.</w:t>
      </w:r>
      <w:r>
        <w:rPr>
          <w:rFonts w:hint="eastAsia" w:asciiTheme="minorEastAsia" w:hAnsiTheme="minorEastAsia" w:eastAsiaTheme="minorEastAsia"/>
          <w:color w:val="000000"/>
          <w:szCs w:val="24"/>
        </w:rPr>
        <w:t>4、投标人应承担所有与准备和参加投标有关的全部费用，招标人在任何情况下均无义务和责任承担此费用。</w:t>
      </w:r>
    </w:p>
    <w:p w14:paraId="4A2BD67E">
      <w:pPr>
        <w:spacing w:line="360" w:lineRule="auto"/>
        <w:ind w:right="2" w:firstLine="480" w:firstLineChars="200"/>
        <w:rPr>
          <w:rFonts w:asciiTheme="minorEastAsia" w:hAnsiTheme="minorEastAsia" w:eastAsiaTheme="minorEastAsia"/>
          <w:color w:val="000000"/>
          <w:szCs w:val="24"/>
        </w:rPr>
      </w:pPr>
      <w:r>
        <w:rPr>
          <w:rFonts w:hint="eastAsia" w:asciiTheme="minorEastAsia" w:hAnsiTheme="minorEastAsia" w:eastAsiaTheme="minorEastAsia"/>
          <w:b w:val="0"/>
          <w:bCs/>
          <w:lang w:val="en-US" w:eastAsia="zh-CN"/>
        </w:rPr>
        <w:t>10</w:t>
      </w:r>
      <w:r>
        <w:rPr>
          <w:rFonts w:asciiTheme="minorEastAsia" w:hAnsiTheme="minorEastAsia" w:eastAsiaTheme="minorEastAsia"/>
          <w:color w:val="000000"/>
          <w:szCs w:val="24"/>
        </w:rPr>
        <w:t>.</w:t>
      </w:r>
      <w:r>
        <w:rPr>
          <w:rFonts w:hint="eastAsia" w:asciiTheme="minorEastAsia" w:hAnsiTheme="minorEastAsia" w:eastAsiaTheme="minorEastAsia"/>
          <w:color w:val="000000"/>
          <w:szCs w:val="24"/>
        </w:rPr>
        <w:t>5、中标人瑕疵滞后发现的处理原则：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14:paraId="6E8039DD">
      <w:pPr>
        <w:pStyle w:val="54"/>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1</w:t>
      </w:r>
      <w:r>
        <w:rPr>
          <w:rFonts w:hint="eastAsia" w:asciiTheme="minorEastAsia" w:hAnsiTheme="minorEastAsia" w:eastAsiaTheme="minorEastAsia"/>
          <w:b/>
          <w:sz w:val="24"/>
          <w:szCs w:val="24"/>
          <w:lang w:val="en-US" w:eastAsia="zh-CN"/>
        </w:rPr>
        <w:t>1</w:t>
      </w:r>
      <w:r>
        <w:rPr>
          <w:rFonts w:hint="eastAsia" w:asciiTheme="minorEastAsia" w:hAnsiTheme="minorEastAsia" w:eastAsiaTheme="minorEastAsia"/>
          <w:b/>
          <w:sz w:val="24"/>
          <w:szCs w:val="24"/>
        </w:rPr>
        <w:t>、招标解释权</w:t>
      </w:r>
    </w:p>
    <w:p w14:paraId="3BFCE137">
      <w:pPr>
        <w:pStyle w:val="56"/>
        <w:ind w:firstLine="480"/>
        <w:rPr>
          <w:rFonts w:asciiTheme="minorEastAsia" w:hAnsiTheme="minorEastAsia" w:eastAsiaTheme="minorEastAsia"/>
        </w:rPr>
      </w:pPr>
      <w:r>
        <w:rPr>
          <w:rFonts w:hint="eastAsia" w:asciiTheme="minorEastAsia" w:hAnsiTheme="minorEastAsia" w:eastAsiaTheme="minorEastAsia"/>
        </w:rPr>
        <w:t>本次招标最终解释权归中国</w:t>
      </w:r>
      <w:r>
        <w:rPr>
          <w:rFonts w:hint="eastAsia" w:asciiTheme="minorEastAsia" w:hAnsiTheme="minorEastAsia" w:eastAsiaTheme="minorEastAsia"/>
          <w:lang w:val="en-US" w:eastAsia="zh-CN"/>
        </w:rPr>
        <w:t>重型汽车集团</w:t>
      </w:r>
      <w:r>
        <w:rPr>
          <w:rFonts w:hint="eastAsia" w:asciiTheme="minorEastAsia" w:hAnsiTheme="minorEastAsia" w:eastAsiaTheme="minorEastAsia"/>
        </w:rPr>
        <w:t>有限公司。</w:t>
      </w:r>
    </w:p>
    <w:p w14:paraId="194D17DE">
      <w:pPr>
        <w:pStyle w:val="15"/>
        <w:spacing w:line="360" w:lineRule="auto"/>
        <w:ind w:left="2160" w:hanging="2160" w:hangingChars="900"/>
        <w:rPr>
          <w:rFonts w:ascii="Times New Roman" w:hAnsi="Times New Roman" w:cs="宋体"/>
          <w:color w:val="000000"/>
          <w:szCs w:val="24"/>
        </w:rPr>
      </w:pPr>
      <w:bookmarkStart w:id="7" w:name="_GoBack"/>
      <w:bookmarkEnd w:id="7"/>
    </w:p>
    <w:sectPr>
      <w:headerReference r:id="rId3" w:type="default"/>
      <w:footerReference r:id="rId4" w:type="default"/>
      <w:pgSz w:w="11906" w:h="16838"/>
      <w:pgMar w:top="1440" w:right="1800" w:bottom="1440" w:left="180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A1558">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7CFAD">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B34AC7"/>
    <w:multiLevelType w:val="multilevel"/>
    <w:tmpl w:val="48B34AC7"/>
    <w:lvl w:ilvl="0" w:tentative="0">
      <w:start w:val="4"/>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3592597"/>
    <w:multiLevelType w:val="multilevel"/>
    <w:tmpl w:val="63592597"/>
    <w:lvl w:ilvl="0" w:tentative="0">
      <w:start w:val="1"/>
      <w:numFmt w:val="chineseCountingThousand"/>
      <w:lvlText w:val="第%1章"/>
      <w:lvlJc w:val="left"/>
      <w:pPr>
        <w:tabs>
          <w:tab w:val="left" w:pos="0"/>
        </w:tabs>
        <w:ind w:left="425" w:hanging="425"/>
      </w:pPr>
      <w:rPr>
        <w:rFonts w:hint="eastAsia"/>
      </w:rPr>
    </w:lvl>
    <w:lvl w:ilvl="1" w:tentative="0">
      <w:start w:val="1"/>
      <w:numFmt w:val="chineseCountingThousand"/>
      <w:lvlText w:val="第%2节"/>
      <w:lvlJc w:val="left"/>
      <w:pPr>
        <w:tabs>
          <w:tab w:val="left" w:pos="0"/>
        </w:tabs>
        <w:ind w:left="567" w:hanging="567"/>
      </w:pPr>
      <w:rPr>
        <w:rFonts w:hint="eastAsia"/>
      </w:rPr>
    </w:lvl>
    <w:lvl w:ilvl="2" w:tentative="0">
      <w:start w:val="1"/>
      <w:numFmt w:val="chineseCountingThousand"/>
      <w:lvlText w:val="%3"/>
      <w:lvlJc w:val="left"/>
      <w:pPr>
        <w:tabs>
          <w:tab w:val="left" w:pos="0"/>
        </w:tabs>
        <w:ind w:left="1418" w:hanging="567"/>
      </w:pPr>
      <w:rPr>
        <w:rFonts w:hint="eastAsia"/>
      </w:rPr>
    </w:lvl>
    <w:lvl w:ilvl="3" w:tentative="0">
      <w:start w:val="1"/>
      <w:numFmt w:val="decimal"/>
      <w:pStyle w:val="5"/>
      <w:lvlText w:val="%4"/>
      <w:lvlJc w:val="left"/>
      <w:pPr>
        <w:tabs>
          <w:tab w:val="left" w:pos="0"/>
        </w:tabs>
        <w:ind w:left="1984" w:hanging="708"/>
      </w:pPr>
      <w:rPr>
        <w:rFonts w:hint="eastAsia"/>
      </w:rPr>
    </w:lvl>
    <w:lvl w:ilvl="4" w:tentative="0">
      <w:start w:val="1"/>
      <w:numFmt w:val="decimal"/>
      <w:pStyle w:val="6"/>
      <w:lvlText w:val="%4.%5"/>
      <w:lvlJc w:val="left"/>
      <w:pPr>
        <w:tabs>
          <w:tab w:val="left" w:pos="0"/>
        </w:tabs>
        <w:ind w:left="2551" w:hanging="850"/>
      </w:pPr>
      <w:rPr>
        <w:rFonts w:hint="eastAsia"/>
      </w:rPr>
    </w:lvl>
    <w:lvl w:ilvl="5" w:tentative="0">
      <w:start w:val="1"/>
      <w:numFmt w:val="decimal"/>
      <w:lvlText w:val="%1.%2.%3.%4.%5.%6"/>
      <w:lvlJc w:val="left"/>
      <w:pPr>
        <w:tabs>
          <w:tab w:val="left" w:pos="0"/>
        </w:tabs>
        <w:ind w:left="3260" w:hanging="1134"/>
      </w:pPr>
      <w:rPr>
        <w:rFonts w:hint="eastAsia"/>
      </w:rPr>
    </w:lvl>
    <w:lvl w:ilvl="6" w:tentative="0">
      <w:start w:val="1"/>
      <w:numFmt w:val="decimal"/>
      <w:lvlText w:val="%1.%2.%3.%4.%5.%6.%7"/>
      <w:lvlJc w:val="left"/>
      <w:pPr>
        <w:tabs>
          <w:tab w:val="left" w:pos="0"/>
        </w:tabs>
        <w:ind w:left="3827" w:hanging="1276"/>
      </w:pPr>
      <w:rPr>
        <w:rFonts w:hint="eastAsia"/>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abstractNum w:abstractNumId="2">
    <w:nsid w:val="657C136C"/>
    <w:multiLevelType w:val="multilevel"/>
    <w:tmpl w:val="657C136C"/>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hZjU4NzNjZjQ5YjcwMmQ0MGQ2N2QwNGM3MDQzYjYifQ=="/>
    <w:docVar w:name="KSO_WPS_MARK_KEY" w:val="97fed177-cc98-4fde-8e10-71fab9729464"/>
  </w:docVars>
  <w:rsids>
    <w:rsidRoot w:val="00B22107"/>
    <w:rsid w:val="000003F1"/>
    <w:rsid w:val="00035BFF"/>
    <w:rsid w:val="000377F7"/>
    <w:rsid w:val="000930A7"/>
    <w:rsid w:val="000B46A0"/>
    <w:rsid w:val="000C10EF"/>
    <w:rsid w:val="000D101E"/>
    <w:rsid w:val="000E358E"/>
    <w:rsid w:val="000F0DE9"/>
    <w:rsid w:val="000F787E"/>
    <w:rsid w:val="001132D9"/>
    <w:rsid w:val="00117404"/>
    <w:rsid w:val="001364E1"/>
    <w:rsid w:val="00136B71"/>
    <w:rsid w:val="001407B8"/>
    <w:rsid w:val="0015084F"/>
    <w:rsid w:val="00183831"/>
    <w:rsid w:val="00184ACE"/>
    <w:rsid w:val="0019198A"/>
    <w:rsid w:val="001966B7"/>
    <w:rsid w:val="001C77FB"/>
    <w:rsid w:val="001E7239"/>
    <w:rsid w:val="002216C4"/>
    <w:rsid w:val="002230E3"/>
    <w:rsid w:val="0023657D"/>
    <w:rsid w:val="0024519F"/>
    <w:rsid w:val="002479B1"/>
    <w:rsid w:val="00267EE7"/>
    <w:rsid w:val="00291222"/>
    <w:rsid w:val="002B004D"/>
    <w:rsid w:val="002B0DEB"/>
    <w:rsid w:val="002B15A2"/>
    <w:rsid w:val="002B25D8"/>
    <w:rsid w:val="002C4EFA"/>
    <w:rsid w:val="002F7709"/>
    <w:rsid w:val="0031163B"/>
    <w:rsid w:val="00314C17"/>
    <w:rsid w:val="00315A4D"/>
    <w:rsid w:val="0032045E"/>
    <w:rsid w:val="003512AD"/>
    <w:rsid w:val="00380130"/>
    <w:rsid w:val="00383700"/>
    <w:rsid w:val="0038452D"/>
    <w:rsid w:val="0039036F"/>
    <w:rsid w:val="00390F18"/>
    <w:rsid w:val="003922A9"/>
    <w:rsid w:val="00397C70"/>
    <w:rsid w:val="003B78A2"/>
    <w:rsid w:val="003D2A44"/>
    <w:rsid w:val="00404899"/>
    <w:rsid w:val="00407A9B"/>
    <w:rsid w:val="004246FC"/>
    <w:rsid w:val="00430FFB"/>
    <w:rsid w:val="00437F3B"/>
    <w:rsid w:val="0044084F"/>
    <w:rsid w:val="00440DA4"/>
    <w:rsid w:val="004419EC"/>
    <w:rsid w:val="0044252C"/>
    <w:rsid w:val="00443DD7"/>
    <w:rsid w:val="004456B7"/>
    <w:rsid w:val="0044716B"/>
    <w:rsid w:val="0045631E"/>
    <w:rsid w:val="0046663C"/>
    <w:rsid w:val="00476E78"/>
    <w:rsid w:val="00481292"/>
    <w:rsid w:val="004814B8"/>
    <w:rsid w:val="00483344"/>
    <w:rsid w:val="0049185F"/>
    <w:rsid w:val="00495CE1"/>
    <w:rsid w:val="004B6C3E"/>
    <w:rsid w:val="004C59D3"/>
    <w:rsid w:val="004F0DD1"/>
    <w:rsid w:val="00513E81"/>
    <w:rsid w:val="005248DA"/>
    <w:rsid w:val="00525A42"/>
    <w:rsid w:val="005367E1"/>
    <w:rsid w:val="00547480"/>
    <w:rsid w:val="00561FE2"/>
    <w:rsid w:val="005664F0"/>
    <w:rsid w:val="00571F3F"/>
    <w:rsid w:val="005722D8"/>
    <w:rsid w:val="00586967"/>
    <w:rsid w:val="005C4410"/>
    <w:rsid w:val="005C5FBC"/>
    <w:rsid w:val="005D1C20"/>
    <w:rsid w:val="005D7067"/>
    <w:rsid w:val="005E4DFF"/>
    <w:rsid w:val="00635124"/>
    <w:rsid w:val="00643FE6"/>
    <w:rsid w:val="006448C9"/>
    <w:rsid w:val="006541DB"/>
    <w:rsid w:val="006650C6"/>
    <w:rsid w:val="006669AA"/>
    <w:rsid w:val="006734E5"/>
    <w:rsid w:val="00694795"/>
    <w:rsid w:val="00695673"/>
    <w:rsid w:val="006A0FAF"/>
    <w:rsid w:val="006A7A7A"/>
    <w:rsid w:val="006C37F6"/>
    <w:rsid w:val="006C5096"/>
    <w:rsid w:val="006E74EE"/>
    <w:rsid w:val="0072026D"/>
    <w:rsid w:val="00731B43"/>
    <w:rsid w:val="00747CC6"/>
    <w:rsid w:val="007B14DC"/>
    <w:rsid w:val="007D04E6"/>
    <w:rsid w:val="007D07DA"/>
    <w:rsid w:val="007F3A54"/>
    <w:rsid w:val="008519AE"/>
    <w:rsid w:val="00881811"/>
    <w:rsid w:val="00897CA8"/>
    <w:rsid w:val="008A4EE3"/>
    <w:rsid w:val="008D0A94"/>
    <w:rsid w:val="008D57B4"/>
    <w:rsid w:val="008E5375"/>
    <w:rsid w:val="008F4B59"/>
    <w:rsid w:val="009006C1"/>
    <w:rsid w:val="00921D46"/>
    <w:rsid w:val="00933BF2"/>
    <w:rsid w:val="00946DD1"/>
    <w:rsid w:val="00973225"/>
    <w:rsid w:val="0097380F"/>
    <w:rsid w:val="00976C8B"/>
    <w:rsid w:val="009842A5"/>
    <w:rsid w:val="00987054"/>
    <w:rsid w:val="00990482"/>
    <w:rsid w:val="0099621C"/>
    <w:rsid w:val="009A5DB7"/>
    <w:rsid w:val="009C5874"/>
    <w:rsid w:val="009D30D3"/>
    <w:rsid w:val="009E3B73"/>
    <w:rsid w:val="00A44958"/>
    <w:rsid w:val="00A469AE"/>
    <w:rsid w:val="00A638E7"/>
    <w:rsid w:val="00A70D1E"/>
    <w:rsid w:val="00A72A9E"/>
    <w:rsid w:val="00A76DB1"/>
    <w:rsid w:val="00AA62BA"/>
    <w:rsid w:val="00AB6686"/>
    <w:rsid w:val="00AE3EDC"/>
    <w:rsid w:val="00AF1197"/>
    <w:rsid w:val="00B0785B"/>
    <w:rsid w:val="00B116DA"/>
    <w:rsid w:val="00B16A6E"/>
    <w:rsid w:val="00B22107"/>
    <w:rsid w:val="00B233FC"/>
    <w:rsid w:val="00B242C8"/>
    <w:rsid w:val="00B30AFC"/>
    <w:rsid w:val="00B41B19"/>
    <w:rsid w:val="00B5297E"/>
    <w:rsid w:val="00B532C0"/>
    <w:rsid w:val="00B54D67"/>
    <w:rsid w:val="00B6054A"/>
    <w:rsid w:val="00B6650C"/>
    <w:rsid w:val="00B71DC8"/>
    <w:rsid w:val="00B933F2"/>
    <w:rsid w:val="00B95616"/>
    <w:rsid w:val="00BA2CE7"/>
    <w:rsid w:val="00BC22EC"/>
    <w:rsid w:val="00BC2C4B"/>
    <w:rsid w:val="00BD7293"/>
    <w:rsid w:val="00C15624"/>
    <w:rsid w:val="00C34A05"/>
    <w:rsid w:val="00C550C7"/>
    <w:rsid w:val="00C57933"/>
    <w:rsid w:val="00C81CC7"/>
    <w:rsid w:val="00C932FB"/>
    <w:rsid w:val="00CB36CA"/>
    <w:rsid w:val="00CB7821"/>
    <w:rsid w:val="00CD357B"/>
    <w:rsid w:val="00CE711D"/>
    <w:rsid w:val="00D03EF0"/>
    <w:rsid w:val="00D07E09"/>
    <w:rsid w:val="00D25CB4"/>
    <w:rsid w:val="00D34F2C"/>
    <w:rsid w:val="00D36187"/>
    <w:rsid w:val="00D4761F"/>
    <w:rsid w:val="00D54490"/>
    <w:rsid w:val="00D64BAA"/>
    <w:rsid w:val="00D80F82"/>
    <w:rsid w:val="00D82ACD"/>
    <w:rsid w:val="00D917EE"/>
    <w:rsid w:val="00D94EF5"/>
    <w:rsid w:val="00D952BF"/>
    <w:rsid w:val="00DB0653"/>
    <w:rsid w:val="00DB53EB"/>
    <w:rsid w:val="00DE3309"/>
    <w:rsid w:val="00DE7112"/>
    <w:rsid w:val="00E44C87"/>
    <w:rsid w:val="00E51384"/>
    <w:rsid w:val="00E65C45"/>
    <w:rsid w:val="00E666C0"/>
    <w:rsid w:val="00E67C33"/>
    <w:rsid w:val="00E73EF3"/>
    <w:rsid w:val="00E813F4"/>
    <w:rsid w:val="00E93084"/>
    <w:rsid w:val="00EB04FB"/>
    <w:rsid w:val="00EC57F0"/>
    <w:rsid w:val="00EE5625"/>
    <w:rsid w:val="00F12E74"/>
    <w:rsid w:val="00F15AB2"/>
    <w:rsid w:val="00F22909"/>
    <w:rsid w:val="00F35AA1"/>
    <w:rsid w:val="00F478B4"/>
    <w:rsid w:val="00F60912"/>
    <w:rsid w:val="00F66014"/>
    <w:rsid w:val="00F66EC1"/>
    <w:rsid w:val="00F87FC7"/>
    <w:rsid w:val="00F90BCC"/>
    <w:rsid w:val="00F978AE"/>
    <w:rsid w:val="00FA6604"/>
    <w:rsid w:val="00FD05FC"/>
    <w:rsid w:val="00FE068C"/>
    <w:rsid w:val="00FF0158"/>
    <w:rsid w:val="00FF31C9"/>
    <w:rsid w:val="00FF3A4D"/>
    <w:rsid w:val="022655F4"/>
    <w:rsid w:val="029C01B3"/>
    <w:rsid w:val="03664E4D"/>
    <w:rsid w:val="03B576BD"/>
    <w:rsid w:val="03B84E50"/>
    <w:rsid w:val="04090D29"/>
    <w:rsid w:val="057C1848"/>
    <w:rsid w:val="058370FA"/>
    <w:rsid w:val="061A5470"/>
    <w:rsid w:val="07996F7E"/>
    <w:rsid w:val="07C744BD"/>
    <w:rsid w:val="08004D3F"/>
    <w:rsid w:val="09075A53"/>
    <w:rsid w:val="09475379"/>
    <w:rsid w:val="0B446C7B"/>
    <w:rsid w:val="0B7E024F"/>
    <w:rsid w:val="0F7F42B4"/>
    <w:rsid w:val="1346145D"/>
    <w:rsid w:val="13702B73"/>
    <w:rsid w:val="1429542C"/>
    <w:rsid w:val="145F634E"/>
    <w:rsid w:val="156903B6"/>
    <w:rsid w:val="166D277A"/>
    <w:rsid w:val="17251F02"/>
    <w:rsid w:val="1A09162B"/>
    <w:rsid w:val="1AA03F68"/>
    <w:rsid w:val="1B1F6C2C"/>
    <w:rsid w:val="1C84369A"/>
    <w:rsid w:val="1CD35F20"/>
    <w:rsid w:val="1D632B53"/>
    <w:rsid w:val="1E024363"/>
    <w:rsid w:val="1E026F32"/>
    <w:rsid w:val="1E915E5E"/>
    <w:rsid w:val="1F0F7E17"/>
    <w:rsid w:val="1F3A2287"/>
    <w:rsid w:val="1F9A5406"/>
    <w:rsid w:val="20AA51EA"/>
    <w:rsid w:val="213F05C7"/>
    <w:rsid w:val="227706B8"/>
    <w:rsid w:val="246F652F"/>
    <w:rsid w:val="253B09C0"/>
    <w:rsid w:val="25BF3CA7"/>
    <w:rsid w:val="289C7B0E"/>
    <w:rsid w:val="29491A44"/>
    <w:rsid w:val="296A3769"/>
    <w:rsid w:val="2AAF138F"/>
    <w:rsid w:val="2C9C0EB8"/>
    <w:rsid w:val="2D8868B3"/>
    <w:rsid w:val="2DDE3E08"/>
    <w:rsid w:val="2F851CB8"/>
    <w:rsid w:val="2FE07C71"/>
    <w:rsid w:val="305303D5"/>
    <w:rsid w:val="3098058D"/>
    <w:rsid w:val="31D84088"/>
    <w:rsid w:val="32C04AAD"/>
    <w:rsid w:val="37461371"/>
    <w:rsid w:val="37FE0BD5"/>
    <w:rsid w:val="381309F8"/>
    <w:rsid w:val="387E0FDF"/>
    <w:rsid w:val="390D5C80"/>
    <w:rsid w:val="3AD66EB0"/>
    <w:rsid w:val="3BA1358C"/>
    <w:rsid w:val="3C1B334F"/>
    <w:rsid w:val="3C3055A4"/>
    <w:rsid w:val="3D136199"/>
    <w:rsid w:val="3F473ED8"/>
    <w:rsid w:val="3FA54EFD"/>
    <w:rsid w:val="416A0352"/>
    <w:rsid w:val="4236529B"/>
    <w:rsid w:val="42DE0FF8"/>
    <w:rsid w:val="43632CE3"/>
    <w:rsid w:val="43A84D55"/>
    <w:rsid w:val="4617247E"/>
    <w:rsid w:val="465A2DAC"/>
    <w:rsid w:val="466B0DF4"/>
    <w:rsid w:val="475A3B70"/>
    <w:rsid w:val="480E2066"/>
    <w:rsid w:val="4ABA7A6E"/>
    <w:rsid w:val="4B1135EE"/>
    <w:rsid w:val="4B8F345E"/>
    <w:rsid w:val="4BF337C9"/>
    <w:rsid w:val="4C880D85"/>
    <w:rsid w:val="4D3D002B"/>
    <w:rsid w:val="4E094A4F"/>
    <w:rsid w:val="4F304989"/>
    <w:rsid w:val="4FDF6E4F"/>
    <w:rsid w:val="510B04A7"/>
    <w:rsid w:val="516805D0"/>
    <w:rsid w:val="51DB6515"/>
    <w:rsid w:val="53F02945"/>
    <w:rsid w:val="54700EAA"/>
    <w:rsid w:val="553B58E4"/>
    <w:rsid w:val="56226FF5"/>
    <w:rsid w:val="56745EC9"/>
    <w:rsid w:val="567F7FA4"/>
    <w:rsid w:val="573C40E7"/>
    <w:rsid w:val="57E427B4"/>
    <w:rsid w:val="5AF05812"/>
    <w:rsid w:val="5B871DD5"/>
    <w:rsid w:val="5B892FE3"/>
    <w:rsid w:val="5C0E2541"/>
    <w:rsid w:val="5D78354A"/>
    <w:rsid w:val="5E6F6EE3"/>
    <w:rsid w:val="5F1D47FE"/>
    <w:rsid w:val="60912DAE"/>
    <w:rsid w:val="61F555BE"/>
    <w:rsid w:val="64B0133E"/>
    <w:rsid w:val="64FC7645"/>
    <w:rsid w:val="653071A0"/>
    <w:rsid w:val="67A3527B"/>
    <w:rsid w:val="6A876FCF"/>
    <w:rsid w:val="6BCA58C6"/>
    <w:rsid w:val="6BF15048"/>
    <w:rsid w:val="6BF568E7"/>
    <w:rsid w:val="6D266F73"/>
    <w:rsid w:val="6D881356"/>
    <w:rsid w:val="6F173018"/>
    <w:rsid w:val="701B2694"/>
    <w:rsid w:val="725F0F5E"/>
    <w:rsid w:val="72FB055A"/>
    <w:rsid w:val="73A56E44"/>
    <w:rsid w:val="7645046A"/>
    <w:rsid w:val="76C1214F"/>
    <w:rsid w:val="770245AD"/>
    <w:rsid w:val="77FE6B23"/>
    <w:rsid w:val="7C2F62EF"/>
    <w:rsid w:val="7C5A239C"/>
    <w:rsid w:val="7E8F2BCB"/>
    <w:rsid w:val="A397D43A"/>
    <w:rsid w:val="FFEF28D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4"/>
      <w:szCs w:val="22"/>
      <w:lang w:val="en-US" w:eastAsia="zh-CN" w:bidi="ar-SA"/>
    </w:rPr>
  </w:style>
  <w:style w:type="paragraph" w:styleId="2">
    <w:name w:val="heading 1"/>
    <w:basedOn w:val="1"/>
    <w:next w:val="1"/>
    <w:link w:val="78"/>
    <w:qFormat/>
    <w:uiPriority w:val="9"/>
    <w:pPr>
      <w:keepNext/>
      <w:keepLines/>
      <w:spacing w:before="340" w:after="330" w:line="578" w:lineRule="auto"/>
      <w:outlineLvl w:val="0"/>
    </w:pPr>
    <w:rPr>
      <w:rFonts w:cs="Times New Roman"/>
      <w:b/>
      <w:bCs/>
      <w:kern w:val="44"/>
      <w:sz w:val="44"/>
      <w:szCs w:val="44"/>
    </w:rPr>
  </w:style>
  <w:style w:type="paragraph" w:styleId="3">
    <w:name w:val="heading 2"/>
    <w:basedOn w:val="1"/>
    <w:next w:val="1"/>
    <w:link w:val="34"/>
    <w:qFormat/>
    <w:uiPriority w:val="9"/>
    <w:pPr>
      <w:keepNext/>
      <w:keepLines/>
      <w:spacing w:before="260" w:after="260" w:line="415" w:lineRule="auto"/>
      <w:outlineLvl w:val="1"/>
    </w:pPr>
    <w:rPr>
      <w:rFonts w:ascii="Cambria" w:hAnsi="Cambria" w:cs="Times New Roman"/>
      <w:b/>
      <w:bCs/>
      <w:sz w:val="32"/>
      <w:szCs w:val="32"/>
    </w:rPr>
  </w:style>
  <w:style w:type="paragraph" w:styleId="4">
    <w:name w:val="heading 3"/>
    <w:basedOn w:val="1"/>
    <w:next w:val="1"/>
    <w:link w:val="74"/>
    <w:qFormat/>
    <w:uiPriority w:val="9"/>
    <w:pPr>
      <w:keepNext/>
      <w:keepLines/>
      <w:spacing w:before="260" w:after="260" w:line="415" w:lineRule="auto"/>
      <w:outlineLvl w:val="2"/>
    </w:pPr>
    <w:rPr>
      <w:rFonts w:cs="Times New Roman"/>
      <w:b/>
      <w:bCs/>
      <w:sz w:val="32"/>
      <w:szCs w:val="32"/>
    </w:rPr>
  </w:style>
  <w:style w:type="paragraph" w:styleId="5">
    <w:name w:val="heading 4"/>
    <w:basedOn w:val="1"/>
    <w:next w:val="1"/>
    <w:autoRedefine/>
    <w:qFormat/>
    <w:uiPriority w:val="0"/>
    <w:pPr>
      <w:keepNext/>
      <w:keepLines/>
      <w:numPr>
        <w:ilvl w:val="3"/>
        <w:numId w:val="1"/>
      </w:numPr>
      <w:spacing w:before="280" w:after="290" w:line="376" w:lineRule="atLeast"/>
      <w:outlineLvl w:val="3"/>
    </w:pPr>
    <w:rPr>
      <w:rFonts w:ascii="Calibri Light" w:hAnsi="Calibri Light"/>
      <w:b/>
      <w:bCs/>
      <w:sz w:val="28"/>
      <w:szCs w:val="28"/>
    </w:rPr>
  </w:style>
  <w:style w:type="paragraph" w:styleId="6">
    <w:name w:val="heading 5"/>
    <w:basedOn w:val="1"/>
    <w:next w:val="1"/>
    <w:link w:val="85"/>
    <w:autoRedefine/>
    <w:qFormat/>
    <w:uiPriority w:val="0"/>
    <w:pPr>
      <w:keepNext/>
      <w:keepLines/>
      <w:numPr>
        <w:ilvl w:val="4"/>
        <w:numId w:val="1"/>
      </w:numPr>
      <w:spacing w:line="372" w:lineRule="auto"/>
      <w:ind w:left="991" w:hanging="991"/>
      <w:outlineLvl w:val="4"/>
    </w:pPr>
    <w:rPr>
      <w:b/>
      <w:sz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rFonts w:ascii="Times New Roman" w:hAnsi="Times New Roman" w:eastAsia="仿宋_GB2312" w:cs="Times New Roman"/>
      <w:szCs w:val="20"/>
    </w:rPr>
  </w:style>
  <w:style w:type="paragraph" w:styleId="8">
    <w:name w:val="Document Map"/>
    <w:basedOn w:val="1"/>
    <w:link w:val="73"/>
    <w:autoRedefine/>
    <w:qFormat/>
    <w:uiPriority w:val="99"/>
    <w:rPr>
      <w:rFonts w:ascii="宋体" w:cs="Times New Roman"/>
      <w:sz w:val="18"/>
      <w:szCs w:val="18"/>
    </w:rPr>
  </w:style>
  <w:style w:type="paragraph" w:styleId="9">
    <w:name w:val="toa heading"/>
    <w:basedOn w:val="1"/>
    <w:next w:val="1"/>
    <w:autoRedefine/>
    <w:qFormat/>
    <w:uiPriority w:val="0"/>
    <w:pPr>
      <w:spacing w:before="120"/>
    </w:pPr>
    <w:rPr>
      <w:rFonts w:ascii="Arial" w:hAnsi="Arial" w:cs="Times New Roman"/>
      <w:szCs w:val="20"/>
    </w:rPr>
  </w:style>
  <w:style w:type="paragraph" w:styleId="10">
    <w:name w:val="annotation text"/>
    <w:basedOn w:val="1"/>
    <w:link w:val="51"/>
    <w:autoRedefine/>
    <w:qFormat/>
    <w:uiPriority w:val="99"/>
    <w:pPr>
      <w:jc w:val="left"/>
    </w:pPr>
  </w:style>
  <w:style w:type="paragraph" w:styleId="11">
    <w:name w:val="Body Text"/>
    <w:basedOn w:val="1"/>
    <w:link w:val="71"/>
    <w:autoRedefine/>
    <w:qFormat/>
    <w:uiPriority w:val="0"/>
    <w:pPr>
      <w:spacing w:after="120"/>
    </w:pPr>
    <w:rPr>
      <w:rFonts w:ascii="Times New Roman" w:hAnsi="Times New Roman" w:cs="Times New Roman"/>
      <w:szCs w:val="24"/>
    </w:rPr>
  </w:style>
  <w:style w:type="paragraph" w:styleId="12">
    <w:name w:val="Body Text Indent"/>
    <w:basedOn w:val="1"/>
    <w:link w:val="70"/>
    <w:autoRedefine/>
    <w:qFormat/>
    <w:uiPriority w:val="99"/>
    <w:pPr>
      <w:spacing w:after="120"/>
      <w:ind w:left="200" w:leftChars="200"/>
    </w:pPr>
    <w:rPr>
      <w:rFonts w:ascii="Times New Roman" w:hAnsi="Times New Roman" w:cs="Times New Roman"/>
      <w:szCs w:val="20"/>
    </w:rPr>
  </w:style>
  <w:style w:type="paragraph" w:styleId="13">
    <w:name w:val="List 2"/>
    <w:basedOn w:val="1"/>
    <w:autoRedefine/>
    <w:qFormat/>
    <w:uiPriority w:val="0"/>
    <w:pPr>
      <w:ind w:left="400" w:leftChars="200" w:hanging="200" w:hangingChars="200"/>
    </w:pPr>
    <w:rPr>
      <w:rFonts w:ascii="Times New Roman" w:hAnsi="Times New Roman" w:cs="Times New Roman"/>
      <w:szCs w:val="24"/>
    </w:rPr>
  </w:style>
  <w:style w:type="paragraph" w:styleId="14">
    <w:name w:val="toc 3"/>
    <w:basedOn w:val="1"/>
    <w:next w:val="1"/>
    <w:autoRedefine/>
    <w:qFormat/>
    <w:uiPriority w:val="0"/>
    <w:pPr>
      <w:ind w:left="400" w:leftChars="400"/>
    </w:pPr>
    <w:rPr>
      <w:rFonts w:cs="Times New Roman"/>
    </w:rPr>
  </w:style>
  <w:style w:type="paragraph" w:styleId="15">
    <w:name w:val="Plain Text"/>
    <w:basedOn w:val="1"/>
    <w:link w:val="53"/>
    <w:autoRedefine/>
    <w:qFormat/>
    <w:uiPriority w:val="0"/>
    <w:rPr>
      <w:rFonts w:ascii="宋体" w:cs="Times New Roman"/>
      <w:szCs w:val="20"/>
    </w:rPr>
  </w:style>
  <w:style w:type="paragraph" w:styleId="16">
    <w:name w:val="Date"/>
    <w:basedOn w:val="1"/>
    <w:next w:val="1"/>
    <w:link w:val="75"/>
    <w:autoRedefine/>
    <w:qFormat/>
    <w:uiPriority w:val="99"/>
    <w:pPr>
      <w:ind w:left="2500" w:leftChars="2500"/>
    </w:pPr>
    <w:rPr>
      <w:rFonts w:cs="Times New Roman"/>
    </w:rPr>
  </w:style>
  <w:style w:type="paragraph" w:styleId="17">
    <w:name w:val="Balloon Text"/>
    <w:basedOn w:val="1"/>
    <w:link w:val="68"/>
    <w:autoRedefine/>
    <w:qFormat/>
    <w:uiPriority w:val="99"/>
    <w:rPr>
      <w:rFonts w:cs="Times New Roman"/>
      <w:sz w:val="18"/>
      <w:szCs w:val="18"/>
    </w:rPr>
  </w:style>
  <w:style w:type="paragraph" w:styleId="18">
    <w:name w:val="footer"/>
    <w:basedOn w:val="1"/>
    <w:link w:val="69"/>
    <w:autoRedefine/>
    <w:qFormat/>
    <w:uiPriority w:val="0"/>
    <w:pPr>
      <w:tabs>
        <w:tab w:val="center" w:pos="4153"/>
        <w:tab w:val="right" w:pos="8306"/>
      </w:tabs>
      <w:snapToGrid w:val="0"/>
      <w:jc w:val="left"/>
    </w:pPr>
    <w:rPr>
      <w:sz w:val="18"/>
      <w:szCs w:val="18"/>
    </w:rPr>
  </w:style>
  <w:style w:type="paragraph" w:styleId="19">
    <w:name w:val="header"/>
    <w:basedOn w:val="1"/>
    <w:link w:val="72"/>
    <w:autoRedefine/>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0"/>
    <w:rPr>
      <w:rFonts w:cs="Times New Roman"/>
    </w:rPr>
  </w:style>
  <w:style w:type="paragraph" w:styleId="21">
    <w:name w:val="Subtitle"/>
    <w:basedOn w:val="1"/>
    <w:next w:val="1"/>
    <w:autoRedefine/>
    <w:qFormat/>
    <w:uiPriority w:val="0"/>
    <w:pPr>
      <w:spacing w:before="240" w:after="60" w:line="312" w:lineRule="auto"/>
      <w:jc w:val="center"/>
      <w:outlineLvl w:val="1"/>
    </w:pPr>
    <w:rPr>
      <w:rFonts w:ascii="Cambria" w:hAnsi="Cambria" w:cs="Times New Roman"/>
      <w:b/>
      <w:bCs/>
      <w:kern w:val="28"/>
      <w:sz w:val="32"/>
      <w:szCs w:val="32"/>
    </w:rPr>
  </w:style>
  <w:style w:type="paragraph" w:styleId="22">
    <w:name w:val="List"/>
    <w:basedOn w:val="1"/>
    <w:autoRedefine/>
    <w:qFormat/>
    <w:uiPriority w:val="0"/>
    <w:pPr>
      <w:ind w:left="200" w:hanging="200" w:hangingChars="200"/>
      <w:contextualSpacing/>
    </w:pPr>
  </w:style>
  <w:style w:type="paragraph" w:styleId="23">
    <w:name w:val="toc 2"/>
    <w:basedOn w:val="1"/>
    <w:next w:val="1"/>
    <w:autoRedefine/>
    <w:qFormat/>
    <w:uiPriority w:val="0"/>
    <w:pPr>
      <w:ind w:left="200" w:leftChars="200"/>
    </w:pPr>
    <w:rPr>
      <w:rFonts w:cs="Times New Roman"/>
    </w:rPr>
  </w:style>
  <w:style w:type="paragraph" w:styleId="24">
    <w:name w:val="Normal (Web)"/>
    <w:basedOn w:val="1"/>
    <w:autoRedefine/>
    <w:qFormat/>
    <w:uiPriority w:val="0"/>
    <w:pPr>
      <w:widowControl/>
      <w:spacing w:before="100" w:beforeAutospacing="1" w:after="100" w:afterAutospacing="1"/>
      <w:jc w:val="left"/>
    </w:pPr>
    <w:rPr>
      <w:rFonts w:ascii="宋体" w:cs="宋体"/>
      <w:kern w:val="0"/>
      <w:szCs w:val="24"/>
    </w:rPr>
  </w:style>
  <w:style w:type="paragraph" w:styleId="25">
    <w:name w:val="annotation subject"/>
    <w:basedOn w:val="10"/>
    <w:next w:val="10"/>
    <w:link w:val="52"/>
    <w:autoRedefine/>
    <w:qFormat/>
    <w:uiPriority w:val="0"/>
    <w:rPr>
      <w:b/>
      <w:bCs/>
    </w:rPr>
  </w:style>
  <w:style w:type="paragraph" w:styleId="26">
    <w:name w:val="Body Text First Indent 2"/>
    <w:basedOn w:val="12"/>
    <w:next w:val="1"/>
    <w:autoRedefine/>
    <w:qFormat/>
    <w:uiPriority w:val="0"/>
    <w:pPr>
      <w:spacing w:after="120" w:line="240" w:lineRule="auto"/>
      <w:ind w:left="420" w:leftChars="200" w:firstLine="420"/>
    </w:pPr>
    <w:rPr>
      <w:rFonts w:ascii="Times New Roman" w:eastAsia="宋体"/>
      <w:sz w:val="21"/>
    </w:rPr>
  </w:style>
  <w:style w:type="table" w:styleId="28">
    <w:name w:val="Table Grid"/>
    <w:basedOn w:val="27"/>
    <w:autoRedefine/>
    <w:qFormat/>
    <w:uiPriority w:val="99"/>
    <w:rPr>
      <w:rFonts w:hint="eastAsia" w:ascii="等线" w:hAnsi="等线" w:eastAsia="等线" w:cs="等线"/>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0">
    <w:name w:val="page number"/>
    <w:basedOn w:val="29"/>
    <w:autoRedefine/>
    <w:qFormat/>
    <w:uiPriority w:val="0"/>
  </w:style>
  <w:style w:type="character" w:styleId="31">
    <w:name w:val="FollowedHyperlink"/>
    <w:autoRedefine/>
    <w:unhideWhenUsed/>
    <w:qFormat/>
    <w:uiPriority w:val="99"/>
    <w:rPr>
      <w:color w:val="954F72"/>
      <w:u w:val="single"/>
    </w:rPr>
  </w:style>
  <w:style w:type="character" w:styleId="32">
    <w:name w:val="Hyperlink"/>
    <w:basedOn w:val="29"/>
    <w:autoRedefine/>
    <w:qFormat/>
    <w:uiPriority w:val="99"/>
    <w:rPr>
      <w:color w:val="0000FF"/>
      <w:u w:val="single"/>
    </w:rPr>
  </w:style>
  <w:style w:type="character" w:styleId="33">
    <w:name w:val="annotation reference"/>
    <w:basedOn w:val="29"/>
    <w:autoRedefine/>
    <w:qFormat/>
    <w:uiPriority w:val="0"/>
    <w:rPr>
      <w:sz w:val="21"/>
      <w:szCs w:val="21"/>
    </w:rPr>
  </w:style>
  <w:style w:type="character" w:customStyle="1" w:styleId="34">
    <w:name w:val="标题 2 字符"/>
    <w:basedOn w:val="29"/>
    <w:link w:val="3"/>
    <w:autoRedefine/>
    <w:qFormat/>
    <w:uiPriority w:val="9"/>
    <w:rPr>
      <w:rFonts w:ascii="Cambria" w:hAnsi="Cambria" w:eastAsia="宋体" w:cs="Times New Roman"/>
      <w:b/>
      <w:bCs/>
      <w:kern w:val="2"/>
      <w:sz w:val="32"/>
      <w:szCs w:val="32"/>
      <w:lang w:val="en-US" w:eastAsia="zh-CN" w:bidi="ar-SA"/>
    </w:rPr>
  </w:style>
  <w:style w:type="paragraph" w:customStyle="1" w:styleId="35">
    <w:name w:val="列表段落1"/>
    <w:basedOn w:val="1"/>
    <w:autoRedefine/>
    <w:qFormat/>
    <w:uiPriority w:val="0"/>
    <w:pPr>
      <w:ind w:firstLine="200" w:firstLineChars="200"/>
    </w:pPr>
  </w:style>
  <w:style w:type="paragraph" w:customStyle="1" w:styleId="36">
    <w:name w:val="列出段落1"/>
    <w:basedOn w:val="1"/>
    <w:autoRedefine/>
    <w:qFormat/>
    <w:uiPriority w:val="34"/>
    <w:pPr>
      <w:ind w:firstLine="200" w:firstLineChars="200"/>
    </w:pPr>
    <w:rPr>
      <w:rFonts w:cs="Times New Roman"/>
    </w:rPr>
  </w:style>
  <w:style w:type="paragraph" w:customStyle="1" w:styleId="37">
    <w:name w:val="TOC 标题1"/>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38">
    <w:name w:val="15"/>
    <w:basedOn w:val="29"/>
    <w:autoRedefine/>
    <w:qFormat/>
    <w:uiPriority w:val="0"/>
  </w:style>
  <w:style w:type="paragraph" w:customStyle="1" w:styleId="39">
    <w:name w:val="TOC 标题2"/>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1">
    <w:name w:val="font61"/>
    <w:basedOn w:val="29"/>
    <w:autoRedefine/>
    <w:qFormat/>
    <w:uiPriority w:val="0"/>
    <w:rPr>
      <w:rFonts w:ascii="宋体" w:eastAsia="宋体" w:cs="宋体"/>
      <w:color w:val="000000"/>
      <w:sz w:val="24"/>
      <w:szCs w:val="24"/>
      <w:u w:val="none"/>
    </w:rPr>
  </w:style>
  <w:style w:type="character" w:customStyle="1" w:styleId="42">
    <w:name w:val="font51"/>
    <w:basedOn w:val="29"/>
    <w:autoRedefine/>
    <w:qFormat/>
    <w:uiPriority w:val="0"/>
    <w:rPr>
      <w:rFonts w:ascii="Times New Roman" w:hAnsi="Times New Roman" w:cs="Times New Roman"/>
      <w:color w:val="000000"/>
      <w:sz w:val="24"/>
      <w:szCs w:val="24"/>
      <w:u w:val="none"/>
    </w:rPr>
  </w:style>
  <w:style w:type="character" w:customStyle="1" w:styleId="43">
    <w:name w:val="font11"/>
    <w:basedOn w:val="29"/>
    <w:autoRedefine/>
    <w:qFormat/>
    <w:uiPriority w:val="0"/>
    <w:rPr>
      <w:rFonts w:ascii="宋体" w:eastAsia="宋体" w:cs="宋体"/>
      <w:b/>
      <w:color w:val="000000"/>
      <w:sz w:val="24"/>
      <w:szCs w:val="24"/>
      <w:u w:val="none"/>
    </w:rPr>
  </w:style>
  <w:style w:type="paragraph" w:customStyle="1" w:styleId="44">
    <w:name w:val="reader-word-layer"/>
    <w:basedOn w:val="1"/>
    <w:autoRedefine/>
    <w:qFormat/>
    <w:uiPriority w:val="0"/>
    <w:pPr>
      <w:spacing w:before="100" w:beforeAutospacing="1" w:after="100" w:afterAutospacing="1"/>
    </w:pPr>
    <w:rPr>
      <w:rFonts w:ascii="宋体" w:cs="宋体"/>
      <w:szCs w:val="24"/>
    </w:rPr>
  </w:style>
  <w:style w:type="paragraph" w:customStyle="1" w:styleId="45">
    <w:name w:val="列出段落4"/>
    <w:basedOn w:val="1"/>
    <w:autoRedefine/>
    <w:qFormat/>
    <w:uiPriority w:val="99"/>
    <w:pPr>
      <w:ind w:firstLine="200" w:firstLineChars="200"/>
    </w:pPr>
    <w:rPr>
      <w:rFonts w:cs="Times New Roman"/>
      <w:sz w:val="21"/>
      <w:szCs w:val="24"/>
    </w:rPr>
  </w:style>
  <w:style w:type="paragraph" w:customStyle="1" w:styleId="46">
    <w:name w:val="居中表格"/>
    <w:basedOn w:val="1"/>
    <w:autoRedefine/>
    <w:qFormat/>
    <w:uiPriority w:val="0"/>
    <w:pPr>
      <w:jc w:val="center"/>
    </w:pPr>
    <w:rPr>
      <w:sz w:val="18"/>
    </w:rPr>
  </w:style>
  <w:style w:type="paragraph" w:customStyle="1" w:styleId="47">
    <w:name w:val="图片"/>
    <w:basedOn w:val="1"/>
    <w:autoRedefine/>
    <w:qFormat/>
    <w:uiPriority w:val="0"/>
    <w:pPr>
      <w:jc w:val="center"/>
    </w:pPr>
  </w:style>
  <w:style w:type="paragraph" w:customStyle="1" w:styleId="48">
    <w:name w:val="左对齐表格"/>
    <w:basedOn w:val="47"/>
    <w:autoRedefine/>
    <w:qFormat/>
    <w:uiPriority w:val="0"/>
    <w:pPr>
      <w:jc w:val="left"/>
    </w:pPr>
  </w:style>
  <w:style w:type="paragraph" w:customStyle="1" w:styleId="49">
    <w:name w:val="招标标题3"/>
    <w:basedOn w:val="4"/>
    <w:autoRedefine/>
    <w:qFormat/>
    <w:uiPriority w:val="0"/>
    <w:pPr>
      <w:spacing w:before="0" w:after="0" w:line="520" w:lineRule="exact"/>
      <w:ind w:firstLine="6"/>
      <w:outlineLvl w:val="9"/>
    </w:pPr>
    <w:rPr>
      <w:rFonts w:ascii="宋体" w:hAnsi="宋体" w:eastAsia="仿宋_GB2312" w:cs="宋体"/>
      <w:b w:val="0"/>
      <w:kern w:val="0"/>
      <w:sz w:val="21"/>
      <w:szCs w:val="21"/>
    </w:rPr>
  </w:style>
  <w:style w:type="character" w:customStyle="1" w:styleId="50">
    <w:name w:val="font21"/>
    <w:basedOn w:val="29"/>
    <w:autoRedefine/>
    <w:qFormat/>
    <w:uiPriority w:val="0"/>
    <w:rPr>
      <w:rFonts w:ascii="Times New Roman" w:hAnsi="Times New Roman" w:cs="Times New Roman"/>
      <w:color w:val="000000"/>
      <w:sz w:val="22"/>
      <w:szCs w:val="22"/>
      <w:u w:val="none"/>
      <w:lang w:bidi="ar-SA"/>
    </w:rPr>
  </w:style>
  <w:style w:type="character" w:customStyle="1" w:styleId="51">
    <w:name w:val="批注文字 字符"/>
    <w:basedOn w:val="29"/>
    <w:link w:val="10"/>
    <w:autoRedefine/>
    <w:qFormat/>
    <w:uiPriority w:val="0"/>
    <w:rPr>
      <w:rFonts w:ascii="Calibri" w:hAnsi="Calibri" w:cs="Arial"/>
      <w:kern w:val="2"/>
      <w:sz w:val="24"/>
      <w:szCs w:val="22"/>
    </w:rPr>
  </w:style>
  <w:style w:type="character" w:customStyle="1" w:styleId="52">
    <w:name w:val="批注主题 字符"/>
    <w:basedOn w:val="51"/>
    <w:link w:val="25"/>
    <w:autoRedefine/>
    <w:qFormat/>
    <w:uiPriority w:val="0"/>
    <w:rPr>
      <w:rFonts w:ascii="Calibri" w:hAnsi="Calibri" w:cs="Arial"/>
      <w:b/>
      <w:bCs/>
      <w:kern w:val="2"/>
      <w:sz w:val="24"/>
      <w:szCs w:val="22"/>
    </w:rPr>
  </w:style>
  <w:style w:type="character" w:customStyle="1" w:styleId="53">
    <w:name w:val="纯文本 字符"/>
    <w:link w:val="15"/>
    <w:autoRedefine/>
    <w:qFormat/>
    <w:uiPriority w:val="0"/>
    <w:rPr>
      <w:rFonts w:ascii="宋体" w:hAnsi="Calibri"/>
      <w:kern w:val="2"/>
      <w:sz w:val="24"/>
    </w:rPr>
  </w:style>
  <w:style w:type="paragraph" w:customStyle="1" w:styleId="54">
    <w:name w:val="标书二级标题"/>
    <w:basedOn w:val="3"/>
    <w:link w:val="63"/>
    <w:autoRedefine/>
    <w:qFormat/>
    <w:uiPriority w:val="0"/>
    <w:pPr>
      <w:spacing w:before="0" w:after="0" w:line="240" w:lineRule="auto"/>
      <w:jc w:val="left"/>
    </w:pPr>
    <w:rPr>
      <w:rFonts w:ascii="宋体" w:hAnsi="宋体"/>
      <w:b w:val="0"/>
      <w:sz w:val="28"/>
      <w:szCs w:val="30"/>
    </w:rPr>
  </w:style>
  <w:style w:type="paragraph" w:styleId="55">
    <w:name w:val="List Paragraph"/>
    <w:basedOn w:val="1"/>
    <w:autoRedefine/>
    <w:qFormat/>
    <w:uiPriority w:val="99"/>
    <w:pPr>
      <w:ind w:firstLine="420" w:firstLineChars="200"/>
    </w:pPr>
  </w:style>
  <w:style w:type="paragraph" w:customStyle="1" w:styleId="56">
    <w:name w:val="标书正文格式"/>
    <w:basedOn w:val="15"/>
    <w:link w:val="57"/>
    <w:autoRedefine/>
    <w:qFormat/>
    <w:uiPriority w:val="0"/>
    <w:pPr>
      <w:spacing w:line="360" w:lineRule="auto"/>
      <w:ind w:firstLine="200" w:firstLineChars="200"/>
    </w:pPr>
    <w:rPr>
      <w:rFonts w:hAnsi="宋体"/>
      <w:color w:val="000000"/>
      <w:kern w:val="0"/>
      <w:szCs w:val="24"/>
      <w:lang w:val="zh-CN"/>
    </w:rPr>
  </w:style>
  <w:style w:type="character" w:customStyle="1" w:styleId="57">
    <w:name w:val="标书正文格式 字符"/>
    <w:link w:val="56"/>
    <w:autoRedefine/>
    <w:qFormat/>
    <w:uiPriority w:val="0"/>
    <w:rPr>
      <w:rFonts w:ascii="宋体" w:hAnsi="宋体"/>
      <w:color w:val="000000"/>
      <w:sz w:val="24"/>
      <w:szCs w:val="24"/>
      <w:lang w:val="zh-CN" w:eastAsia="zh-CN"/>
    </w:rPr>
  </w:style>
  <w:style w:type="paragraph" w:customStyle="1" w:styleId="58">
    <w:name w:val="标书三级标题"/>
    <w:basedOn w:val="4"/>
    <w:link w:val="62"/>
    <w:autoRedefine/>
    <w:qFormat/>
    <w:uiPriority w:val="0"/>
    <w:pPr>
      <w:spacing w:before="0" w:after="0" w:line="240" w:lineRule="auto"/>
      <w:ind w:firstLine="482" w:firstLineChars="200"/>
    </w:pPr>
    <w:rPr>
      <w:rFonts w:ascii="Times New Roman" w:hAnsi="Times New Roman"/>
      <w:color w:val="000000"/>
      <w:sz w:val="24"/>
      <w:szCs w:val="24"/>
      <w:lang w:val="zh-CN" w:eastAsia="en-US"/>
    </w:rPr>
  </w:style>
  <w:style w:type="character" w:customStyle="1" w:styleId="59">
    <w:name w:val="纯文本 字符1"/>
    <w:autoRedefine/>
    <w:qFormat/>
    <w:uiPriority w:val="0"/>
    <w:rPr>
      <w:rFonts w:ascii="宋体" w:hAnsi="Courier New" w:eastAsia="宋体"/>
      <w:kern w:val="2"/>
      <w:sz w:val="21"/>
      <w:lang w:val="en-US" w:eastAsia="zh-CN" w:bidi="ar-SA"/>
    </w:rPr>
  </w:style>
  <w:style w:type="character" w:customStyle="1" w:styleId="60">
    <w:name w:val="标正文 字符"/>
    <w:link w:val="61"/>
    <w:autoRedefine/>
    <w:qFormat/>
    <w:uiPriority w:val="0"/>
    <w:rPr>
      <w:rFonts w:ascii="宋体" w:hAnsi="宋体"/>
      <w:color w:val="000000"/>
      <w:kern w:val="2"/>
      <w:sz w:val="24"/>
      <w:szCs w:val="24"/>
    </w:rPr>
  </w:style>
  <w:style w:type="paragraph" w:customStyle="1" w:styleId="61">
    <w:name w:val="标正文"/>
    <w:basedOn w:val="56"/>
    <w:link w:val="60"/>
    <w:autoRedefine/>
    <w:qFormat/>
    <w:uiPriority w:val="0"/>
    <w:rPr>
      <w:kern w:val="2"/>
      <w:lang w:val="en-US"/>
    </w:rPr>
  </w:style>
  <w:style w:type="character" w:customStyle="1" w:styleId="62">
    <w:name w:val="标书三级标题 字符"/>
    <w:link w:val="58"/>
    <w:autoRedefine/>
    <w:qFormat/>
    <w:uiPriority w:val="0"/>
    <w:rPr>
      <w:b/>
      <w:bCs/>
      <w:color w:val="000000"/>
      <w:kern w:val="2"/>
      <w:sz w:val="24"/>
      <w:szCs w:val="24"/>
      <w:lang w:val="zh-CN" w:eastAsia="en-US"/>
    </w:rPr>
  </w:style>
  <w:style w:type="character" w:customStyle="1" w:styleId="63">
    <w:name w:val="标书二级标题 字符"/>
    <w:link w:val="54"/>
    <w:autoRedefine/>
    <w:qFormat/>
    <w:uiPriority w:val="0"/>
    <w:rPr>
      <w:rFonts w:ascii="宋体" w:hAnsi="宋体"/>
      <w:bCs/>
      <w:kern w:val="2"/>
      <w:sz w:val="28"/>
      <w:szCs w:val="30"/>
    </w:rPr>
  </w:style>
  <w:style w:type="character" w:customStyle="1" w:styleId="64">
    <w:name w:val="标书表格 字符"/>
    <w:link w:val="65"/>
    <w:autoRedefine/>
    <w:qFormat/>
    <w:uiPriority w:val="0"/>
    <w:rPr>
      <w:b/>
      <w:kern w:val="2"/>
      <w:sz w:val="21"/>
    </w:rPr>
  </w:style>
  <w:style w:type="paragraph" w:customStyle="1" w:styleId="65">
    <w:name w:val="标书表格"/>
    <w:basedOn w:val="1"/>
    <w:link w:val="64"/>
    <w:autoRedefine/>
    <w:qFormat/>
    <w:uiPriority w:val="0"/>
    <w:pPr>
      <w:jc w:val="center"/>
    </w:pPr>
    <w:rPr>
      <w:rFonts w:ascii="Times New Roman" w:hAnsi="Times New Roman" w:cs="Times New Roman"/>
      <w:b/>
      <w:sz w:val="21"/>
      <w:szCs w:val="20"/>
    </w:rPr>
  </w:style>
  <w:style w:type="paragraph" w:customStyle="1" w:styleId="66">
    <w:name w:val="_Style 62"/>
    <w:basedOn w:val="1"/>
    <w:next w:val="55"/>
    <w:autoRedefine/>
    <w:qFormat/>
    <w:uiPriority w:val="34"/>
    <w:pPr>
      <w:ind w:firstLine="420" w:firstLineChars="200"/>
    </w:pPr>
    <w:rPr>
      <w:rFonts w:ascii="Times New Roman" w:hAnsi="Times New Roman" w:cs="Times New Roman"/>
      <w:sz w:val="21"/>
    </w:rPr>
  </w:style>
  <w:style w:type="character" w:customStyle="1" w:styleId="67">
    <w:name w:val="标题 2 Char"/>
    <w:autoRedefine/>
    <w:qFormat/>
    <w:uiPriority w:val="9"/>
    <w:rPr>
      <w:rFonts w:ascii="Cambria" w:hAnsi="Cambria" w:eastAsia="宋体" w:cs="Times New Roman"/>
      <w:b/>
      <w:bCs/>
      <w:sz w:val="32"/>
      <w:szCs w:val="32"/>
    </w:rPr>
  </w:style>
  <w:style w:type="character" w:customStyle="1" w:styleId="68">
    <w:name w:val="批注框文本 字符"/>
    <w:link w:val="17"/>
    <w:autoRedefine/>
    <w:qFormat/>
    <w:uiPriority w:val="99"/>
    <w:rPr>
      <w:rFonts w:ascii="Calibri" w:hAnsi="Calibri"/>
      <w:kern w:val="2"/>
      <w:sz w:val="18"/>
      <w:szCs w:val="18"/>
    </w:rPr>
  </w:style>
  <w:style w:type="character" w:customStyle="1" w:styleId="69">
    <w:name w:val="页脚 字符"/>
    <w:link w:val="18"/>
    <w:autoRedefine/>
    <w:qFormat/>
    <w:uiPriority w:val="0"/>
    <w:rPr>
      <w:rFonts w:ascii="Calibri" w:hAnsi="Calibri" w:cs="Arial"/>
      <w:kern w:val="2"/>
      <w:sz w:val="18"/>
      <w:szCs w:val="18"/>
    </w:rPr>
  </w:style>
  <w:style w:type="character" w:customStyle="1" w:styleId="70">
    <w:name w:val="正文文本缩进 字符"/>
    <w:link w:val="12"/>
    <w:autoRedefine/>
    <w:qFormat/>
    <w:uiPriority w:val="99"/>
    <w:rPr>
      <w:kern w:val="2"/>
      <w:sz w:val="24"/>
    </w:rPr>
  </w:style>
  <w:style w:type="character" w:customStyle="1" w:styleId="71">
    <w:name w:val="正文文本 字符1"/>
    <w:link w:val="11"/>
    <w:autoRedefine/>
    <w:qFormat/>
    <w:uiPriority w:val="0"/>
    <w:rPr>
      <w:kern w:val="2"/>
      <w:sz w:val="24"/>
      <w:szCs w:val="24"/>
    </w:rPr>
  </w:style>
  <w:style w:type="character" w:customStyle="1" w:styleId="72">
    <w:name w:val="页眉 字符"/>
    <w:link w:val="19"/>
    <w:autoRedefine/>
    <w:qFormat/>
    <w:uiPriority w:val="99"/>
    <w:rPr>
      <w:rFonts w:ascii="Calibri" w:hAnsi="Calibri" w:cs="Arial"/>
      <w:kern w:val="2"/>
      <w:sz w:val="18"/>
      <w:szCs w:val="18"/>
    </w:rPr>
  </w:style>
  <w:style w:type="character" w:customStyle="1" w:styleId="73">
    <w:name w:val="文档结构图 字符"/>
    <w:link w:val="8"/>
    <w:autoRedefine/>
    <w:qFormat/>
    <w:uiPriority w:val="99"/>
    <w:rPr>
      <w:rFonts w:ascii="宋体" w:hAnsi="Calibri"/>
      <w:kern w:val="2"/>
      <w:sz w:val="18"/>
      <w:szCs w:val="18"/>
    </w:rPr>
  </w:style>
  <w:style w:type="character" w:customStyle="1" w:styleId="74">
    <w:name w:val="标题 3 字符"/>
    <w:link w:val="4"/>
    <w:autoRedefine/>
    <w:qFormat/>
    <w:uiPriority w:val="9"/>
    <w:rPr>
      <w:rFonts w:ascii="Calibri" w:hAnsi="Calibri"/>
      <w:b/>
      <w:bCs/>
      <w:kern w:val="2"/>
      <w:sz w:val="32"/>
      <w:szCs w:val="32"/>
    </w:rPr>
  </w:style>
  <w:style w:type="character" w:customStyle="1" w:styleId="75">
    <w:name w:val="日期 字符"/>
    <w:link w:val="16"/>
    <w:autoRedefine/>
    <w:qFormat/>
    <w:uiPriority w:val="99"/>
    <w:rPr>
      <w:rFonts w:ascii="Calibri" w:hAnsi="Calibri"/>
      <w:kern w:val="2"/>
      <w:sz w:val="24"/>
      <w:szCs w:val="22"/>
    </w:rPr>
  </w:style>
  <w:style w:type="character" w:customStyle="1" w:styleId="76">
    <w:name w:val="页眉 Char"/>
    <w:autoRedefine/>
    <w:semiHidden/>
    <w:qFormat/>
    <w:uiPriority w:val="99"/>
    <w:rPr>
      <w:sz w:val="18"/>
      <w:szCs w:val="18"/>
    </w:rPr>
  </w:style>
  <w:style w:type="character" w:customStyle="1" w:styleId="77">
    <w:name w:val="页脚 Char"/>
    <w:autoRedefine/>
    <w:semiHidden/>
    <w:qFormat/>
    <w:uiPriority w:val="99"/>
    <w:rPr>
      <w:sz w:val="18"/>
      <w:szCs w:val="18"/>
    </w:rPr>
  </w:style>
  <w:style w:type="character" w:customStyle="1" w:styleId="78">
    <w:name w:val="标题 1 字符"/>
    <w:link w:val="2"/>
    <w:autoRedefine/>
    <w:qFormat/>
    <w:uiPriority w:val="9"/>
    <w:rPr>
      <w:rFonts w:ascii="Calibri" w:hAnsi="Calibri"/>
      <w:b/>
      <w:bCs/>
      <w:kern w:val="44"/>
      <w:sz w:val="44"/>
      <w:szCs w:val="44"/>
    </w:rPr>
  </w:style>
  <w:style w:type="character" w:customStyle="1" w:styleId="79">
    <w:name w:val="正文文本 字符"/>
    <w:autoRedefine/>
    <w:qFormat/>
    <w:uiPriority w:val="0"/>
    <w:rPr>
      <w:rFonts w:hint="eastAsia" w:ascii="仿宋_GB2312" w:hAnsi="Times New Roman" w:eastAsia="仿宋_GB2312" w:cs="Times New Roman"/>
      <w:bCs/>
      <w:sz w:val="24"/>
      <w:szCs w:val="24"/>
    </w:rPr>
  </w:style>
  <w:style w:type="paragraph" w:customStyle="1" w:styleId="80">
    <w:name w:val="标题4"/>
    <w:basedOn w:val="5"/>
    <w:autoRedefine/>
    <w:qFormat/>
    <w:uiPriority w:val="0"/>
    <w:pPr>
      <w:keepLines w:val="0"/>
      <w:numPr>
        <w:ilvl w:val="0"/>
        <w:numId w:val="0"/>
      </w:numPr>
      <w:tabs>
        <w:tab w:val="clear" w:pos="0"/>
      </w:tabs>
      <w:spacing w:before="240" w:after="60" w:line="240" w:lineRule="auto"/>
    </w:pPr>
    <w:rPr>
      <w:rFonts w:ascii="Times New Roman" w:hAnsi="Times New Roman" w:cs="Times New Roman"/>
    </w:rPr>
  </w:style>
  <w:style w:type="paragraph" w:customStyle="1" w:styleId="81">
    <w:name w:val="TOC 标题3"/>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2">
    <w:name w:val="标书一级标题"/>
    <w:basedOn w:val="2"/>
    <w:autoRedefine/>
    <w:qFormat/>
    <w:uiPriority w:val="0"/>
    <w:pPr>
      <w:spacing w:before="0" w:after="0" w:line="240" w:lineRule="auto"/>
      <w:jc w:val="center"/>
    </w:pPr>
    <w:rPr>
      <w:rFonts w:eastAsia="黑体"/>
      <w:b w:val="0"/>
      <w:color w:val="000000"/>
      <w:sz w:val="30"/>
      <w:szCs w:val="24"/>
    </w:rPr>
  </w:style>
  <w:style w:type="paragraph" w:customStyle="1" w:styleId="83">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84">
    <w:name w:val="标三级标题"/>
    <w:basedOn w:val="58"/>
    <w:autoRedefine/>
    <w:qFormat/>
    <w:uiPriority w:val="0"/>
    <w:pPr>
      <w:spacing w:line="416" w:lineRule="auto"/>
    </w:pPr>
    <w:rPr>
      <w:lang w:val="en-US" w:eastAsia="zh-CN"/>
    </w:rPr>
  </w:style>
  <w:style w:type="character" w:customStyle="1" w:styleId="85">
    <w:name w:val="标题 5 字符"/>
    <w:link w:val="6"/>
    <w:autoRedefine/>
    <w:qFormat/>
    <w:uiPriority w:val="0"/>
    <w:rPr>
      <w:rFonts w:ascii="Calibri" w:hAnsi="Calibri" w:cs="Arial"/>
      <w:b/>
      <w:kern w:val="2"/>
      <w:sz w:val="28"/>
      <w:szCs w:val="22"/>
    </w:rPr>
  </w:style>
  <w:style w:type="paragraph" w:customStyle="1" w:styleId="86">
    <w:name w:val="副标题1"/>
    <w:basedOn w:val="1"/>
    <w:next w:val="1"/>
    <w:autoRedefine/>
    <w:qFormat/>
    <w:uiPriority w:val="11"/>
    <w:pPr>
      <w:spacing w:before="240" w:after="60" w:line="312" w:lineRule="auto"/>
      <w:jc w:val="center"/>
      <w:outlineLvl w:val="1"/>
    </w:pPr>
    <w:rPr>
      <w:rFonts w:ascii="Cambria" w:hAnsi="Cambria" w:cs="Times New Roman"/>
      <w:b/>
      <w:bCs/>
      <w:kern w:val="28"/>
      <w:sz w:val="32"/>
      <w:szCs w:val="32"/>
    </w:rPr>
  </w:style>
  <w:style w:type="table" w:customStyle="1" w:styleId="87">
    <w:name w:val="网格型1"/>
    <w:basedOn w:val="27"/>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8">
    <w:name w:val="网格型2"/>
    <w:basedOn w:val="27"/>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9">
    <w:name w:val="msonormal"/>
    <w:basedOn w:val="1"/>
    <w:autoRedefine/>
    <w:qFormat/>
    <w:uiPriority w:val="0"/>
    <w:pPr>
      <w:widowControl/>
      <w:spacing w:before="100" w:beforeAutospacing="1" w:after="100" w:afterAutospacing="1"/>
      <w:jc w:val="left"/>
    </w:pPr>
    <w:rPr>
      <w:rFonts w:ascii="宋体" w:hAnsi="宋体" w:cs="宋体"/>
      <w:kern w:val="0"/>
      <w:szCs w:val="24"/>
    </w:rPr>
  </w:style>
  <w:style w:type="paragraph" w:customStyle="1" w:styleId="90">
    <w:name w:val="xl63"/>
    <w:basedOn w:val="1"/>
    <w:autoRedefine/>
    <w:qFormat/>
    <w:uiPriority w:val="0"/>
    <w:pPr>
      <w:widowControl/>
      <w:spacing w:before="100" w:beforeAutospacing="1" w:after="100" w:afterAutospacing="1"/>
      <w:jc w:val="left"/>
    </w:pPr>
    <w:rPr>
      <w:rFonts w:ascii="黑体" w:hAnsi="黑体" w:eastAsia="黑体" w:cs="宋体"/>
      <w:kern w:val="0"/>
      <w:sz w:val="28"/>
      <w:szCs w:val="28"/>
    </w:rPr>
  </w:style>
  <w:style w:type="paragraph" w:customStyle="1" w:styleId="91">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Cs w:val="24"/>
    </w:rPr>
  </w:style>
  <w:style w:type="paragraph" w:customStyle="1" w:styleId="92">
    <w:name w:val="xl6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Cs w:val="24"/>
    </w:rPr>
  </w:style>
  <w:style w:type="paragraph" w:customStyle="1" w:styleId="93">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Cs w:val="24"/>
    </w:rPr>
  </w:style>
  <w:style w:type="paragraph" w:customStyle="1" w:styleId="94">
    <w:name w:val="xl6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微软雅黑" w:hAnsi="微软雅黑" w:eastAsia="微软雅黑" w:cs="宋体"/>
      <w:kern w:val="0"/>
      <w:szCs w:val="24"/>
    </w:rPr>
  </w:style>
  <w:style w:type="paragraph" w:customStyle="1" w:styleId="95">
    <w:name w:val="xl6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kern w:val="0"/>
      <w:szCs w:val="24"/>
    </w:rPr>
  </w:style>
  <w:style w:type="paragraph" w:customStyle="1" w:styleId="96">
    <w:name w:val="xl69"/>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微软雅黑" w:hAnsi="微软雅黑" w:eastAsia="微软雅黑" w:cs="宋体"/>
      <w:kern w:val="0"/>
      <w:szCs w:val="24"/>
    </w:rPr>
  </w:style>
  <w:style w:type="paragraph" w:customStyle="1" w:styleId="97">
    <w:name w:val="xl70"/>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微软雅黑" w:hAnsi="微软雅黑" w:eastAsia="微软雅黑" w:cs="宋体"/>
      <w:kern w:val="0"/>
      <w:szCs w:val="24"/>
    </w:rPr>
  </w:style>
  <w:style w:type="paragraph" w:customStyle="1" w:styleId="98">
    <w:name w:val="xl71"/>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微软雅黑" w:hAnsi="微软雅黑" w:eastAsia="微软雅黑" w:cs="宋体"/>
      <w:kern w:val="0"/>
      <w:szCs w:val="24"/>
    </w:rPr>
  </w:style>
  <w:style w:type="paragraph" w:customStyle="1" w:styleId="99">
    <w:name w:val="xl72"/>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Cs w:val="24"/>
    </w:rPr>
  </w:style>
  <w:style w:type="paragraph" w:customStyle="1" w:styleId="100">
    <w:name w:val="xl73"/>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微软雅黑" w:hAnsi="微软雅黑" w:eastAsia="微软雅黑" w:cs="宋体"/>
      <w:kern w:val="0"/>
      <w:szCs w:val="24"/>
    </w:rPr>
  </w:style>
  <w:style w:type="paragraph" w:customStyle="1" w:styleId="101">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Cs w:val="24"/>
    </w:rPr>
  </w:style>
  <w:style w:type="paragraph" w:customStyle="1" w:styleId="102">
    <w:name w:val="xl75"/>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微软雅黑" w:hAnsi="微软雅黑" w:eastAsia="微软雅黑" w:cs="宋体"/>
      <w:kern w:val="0"/>
      <w:szCs w:val="24"/>
    </w:rPr>
  </w:style>
  <w:style w:type="paragraph" w:customStyle="1" w:styleId="103">
    <w:name w:val="xl76"/>
    <w:basedOn w:val="1"/>
    <w:autoRedefine/>
    <w:qFormat/>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center"/>
    </w:pPr>
    <w:rPr>
      <w:rFonts w:ascii="微软雅黑" w:hAnsi="微软雅黑" w:eastAsia="微软雅黑" w:cs="宋体"/>
      <w:kern w:val="0"/>
      <w:szCs w:val="24"/>
    </w:rPr>
  </w:style>
  <w:style w:type="paragraph" w:customStyle="1" w:styleId="104">
    <w:name w:val="xl77"/>
    <w:basedOn w:val="1"/>
    <w:autoRedefine/>
    <w:qFormat/>
    <w:uiPriority w:val="0"/>
    <w:pPr>
      <w:widowControl/>
      <w:pBdr>
        <w:left w:val="single" w:color="auto" w:sz="4" w:space="0"/>
        <w:bottom w:val="single" w:color="auto" w:sz="8" w:space="0"/>
        <w:right w:val="single" w:color="auto" w:sz="4" w:space="0"/>
      </w:pBdr>
      <w:spacing w:before="100" w:beforeAutospacing="1" w:after="100" w:afterAutospacing="1"/>
      <w:jc w:val="center"/>
    </w:pPr>
    <w:rPr>
      <w:rFonts w:ascii="微软雅黑" w:hAnsi="微软雅黑" w:eastAsia="微软雅黑" w:cs="宋体"/>
      <w:kern w:val="0"/>
      <w:szCs w:val="24"/>
    </w:rPr>
  </w:style>
  <w:style w:type="paragraph" w:customStyle="1" w:styleId="105">
    <w:name w:val="xl78"/>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kern w:val="0"/>
      <w:szCs w:val="24"/>
    </w:rPr>
  </w:style>
  <w:style w:type="paragraph" w:customStyle="1" w:styleId="106">
    <w:name w:val="xl79"/>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微软雅黑" w:hAnsi="微软雅黑" w:eastAsia="微软雅黑" w:cs="宋体"/>
      <w:kern w:val="0"/>
      <w:szCs w:val="24"/>
    </w:rPr>
  </w:style>
  <w:style w:type="paragraph" w:customStyle="1" w:styleId="107">
    <w:name w:val="xl80"/>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微软雅黑" w:hAnsi="微软雅黑" w:eastAsia="微软雅黑" w:cs="宋体"/>
      <w:kern w:val="0"/>
      <w:szCs w:val="24"/>
    </w:rPr>
  </w:style>
  <w:style w:type="paragraph" w:customStyle="1" w:styleId="108">
    <w:name w:val="xl81"/>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微软雅黑" w:hAnsi="微软雅黑" w:eastAsia="微软雅黑" w:cs="宋体"/>
      <w:kern w:val="0"/>
      <w:szCs w:val="24"/>
    </w:rPr>
  </w:style>
  <w:style w:type="paragraph" w:customStyle="1" w:styleId="109">
    <w:name w:val="xl82"/>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Cs w:val="24"/>
    </w:rPr>
  </w:style>
  <w:style w:type="paragraph" w:customStyle="1" w:styleId="110">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Cs w:val="24"/>
    </w:rPr>
  </w:style>
  <w:style w:type="paragraph" w:customStyle="1" w:styleId="111">
    <w:name w:val="xl84"/>
    <w:basedOn w:val="1"/>
    <w:autoRedefine/>
    <w:qFormat/>
    <w:uiPriority w:val="0"/>
    <w:pPr>
      <w:widowControl/>
      <w:pBdr>
        <w:left w:val="single" w:color="auto" w:sz="4" w:space="0"/>
        <w:bottom w:val="single" w:color="auto" w:sz="8" w:space="0"/>
        <w:right w:val="single" w:color="auto" w:sz="4" w:space="0"/>
      </w:pBdr>
      <w:spacing w:before="100" w:beforeAutospacing="1" w:after="100" w:afterAutospacing="1"/>
      <w:jc w:val="center"/>
    </w:pPr>
    <w:rPr>
      <w:rFonts w:ascii="微软雅黑" w:hAnsi="微软雅黑" w:eastAsia="微软雅黑" w:cs="宋体"/>
      <w:b/>
      <w:bCs/>
      <w:kern w:val="0"/>
      <w:szCs w:val="24"/>
    </w:rPr>
  </w:style>
  <w:style w:type="paragraph" w:customStyle="1" w:styleId="112">
    <w:name w:val="xl85"/>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Cs w:val="24"/>
    </w:rPr>
  </w:style>
  <w:style w:type="paragraph" w:customStyle="1" w:styleId="113">
    <w:name w:val="xl86"/>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Cs w:val="24"/>
    </w:rPr>
  </w:style>
  <w:style w:type="paragraph" w:customStyle="1" w:styleId="114">
    <w:name w:val="xl87"/>
    <w:basedOn w:val="1"/>
    <w:autoRedefine/>
    <w:qFormat/>
    <w:uiPriority w:val="0"/>
    <w:pPr>
      <w:widowControl/>
      <w:pBdr>
        <w:left w:val="single" w:color="auto" w:sz="4" w:space="0"/>
        <w:bottom w:val="single" w:color="auto" w:sz="8" w:space="0"/>
        <w:right w:val="single" w:color="auto" w:sz="4" w:space="0"/>
      </w:pBdr>
      <w:spacing w:before="100" w:beforeAutospacing="1" w:after="100" w:afterAutospacing="1"/>
      <w:jc w:val="center"/>
    </w:pPr>
    <w:rPr>
      <w:rFonts w:ascii="微软雅黑" w:hAnsi="微软雅黑" w:eastAsia="微软雅黑" w:cs="宋体"/>
      <w:b/>
      <w:bCs/>
      <w:kern w:val="0"/>
      <w:szCs w:val="24"/>
    </w:rPr>
  </w:style>
  <w:style w:type="paragraph" w:customStyle="1" w:styleId="115">
    <w:name w:val="xl88"/>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微软雅黑" w:hAnsi="微软雅黑" w:eastAsia="微软雅黑" w:cs="宋体"/>
      <w:kern w:val="0"/>
      <w:szCs w:val="24"/>
    </w:rPr>
  </w:style>
  <w:style w:type="paragraph" w:customStyle="1" w:styleId="116">
    <w:name w:val="xl89"/>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Cs w:val="24"/>
    </w:rPr>
  </w:style>
  <w:style w:type="paragraph" w:customStyle="1" w:styleId="117">
    <w:name w:val="列出段落11"/>
    <w:basedOn w:val="1"/>
    <w:autoRedefine/>
    <w:qFormat/>
    <w:uiPriority w:val="34"/>
    <w:pPr>
      <w:ind w:firstLine="420" w:firstLineChars="200"/>
    </w:pPr>
    <w:rPr>
      <w:rFonts w:ascii="Times New Roman" w:hAnsi="Times New Roman" w:cs="Times New Roman"/>
      <w:sz w:val="21"/>
      <w:szCs w:val="20"/>
    </w:rPr>
  </w:style>
  <w:style w:type="character" w:customStyle="1" w:styleId="118">
    <w:name w:val="未处理的提及1"/>
    <w:basedOn w:val="29"/>
    <w:autoRedefine/>
    <w:semiHidden/>
    <w:unhideWhenUsed/>
    <w:qFormat/>
    <w:uiPriority w:val="99"/>
    <w:rPr>
      <w:color w:val="605E5C"/>
      <w:shd w:val="clear" w:color="auto" w:fill="E1DFDD"/>
    </w:rPr>
  </w:style>
  <w:style w:type="table" w:customStyle="1" w:styleId="119">
    <w:name w:val="Table Normal"/>
    <w:semiHidden/>
    <w:unhideWhenUsed/>
    <w:qFormat/>
    <w:uiPriority w:val="0"/>
    <w:tblPr>
      <w:tblCellMar>
        <w:top w:w="0" w:type="dxa"/>
        <w:left w:w="0" w:type="dxa"/>
        <w:bottom w:w="0" w:type="dxa"/>
        <w:right w:w="0" w:type="dxa"/>
      </w:tblCellMar>
    </w:tblPr>
  </w:style>
  <w:style w:type="paragraph" w:customStyle="1" w:styleId="120">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10</Pages>
  <Words>11154</Words>
  <Characters>11776</Characters>
  <Lines>315</Lines>
  <Paragraphs>88</Paragraphs>
  <TotalTime>20</TotalTime>
  <ScaleCrop>false</ScaleCrop>
  <LinksUpToDate>false</LinksUpToDate>
  <CharactersWithSpaces>13605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2023-02-28T00:00:00Z</dcterms:created>
  <dc:creator>China</dc:creator>
  <cp:lastModifiedBy>乖，摸摸头</cp:lastModifiedBy>
  <cp:lastPrinted>2015-08-06T17:08:00Z</cp:lastPrinted>
  <dcterms:modified xsi:type="dcterms:W3CDTF">2025-04-28T05:56:35Z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64539EBCB7F74883A7C0426B497A89A3_13</vt:lpwstr>
  </property>
  <property fmtid="{D5CDD505-2E9C-101B-9397-08002B2CF9AE}" pid="4" name="KSOTemplateDocerSaveRecord">
    <vt:lpwstr>eyJoZGlkIjoiOWY1ODQyNDlmODNmNzBjMmRmZWVjY2QwYTQ5NzdmMDQiLCJ1c2VySWQiOiIyNTI3NDU1ODIifQ==</vt:lpwstr>
  </property>
</Properties>
</file>