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E87D2F">
      <w:pPr>
        <w:spacing w:line="276" w:lineRule="auto"/>
        <w:jc w:val="center"/>
        <w:rPr>
          <w:rFonts w:ascii="Calibri" w:hAnsi="宋体" w:eastAsia="宋体" w:cs="Times New Roman"/>
          <w:b/>
          <w:bCs/>
          <w:color w:val="000000"/>
          <w:spacing w:val="-8"/>
          <w:sz w:val="48"/>
          <w:szCs w:val="44"/>
        </w:rPr>
      </w:pPr>
      <w:bookmarkStart w:id="0" w:name="OLE_LINK31"/>
      <w:bookmarkStart w:id="1" w:name="OLE_LINK30"/>
      <w:r>
        <w:rPr>
          <w:rFonts w:hint="eastAsia" w:ascii="Calibri" w:hAnsi="宋体" w:eastAsia="宋体" w:cs="Times New Roman"/>
          <w:b/>
          <w:bCs/>
          <w:color w:val="000000"/>
          <w:spacing w:val="-8"/>
          <w:sz w:val="48"/>
          <w:szCs w:val="44"/>
        </w:rPr>
        <w:t>中国重汽集团济南动力有限公司</w:t>
      </w:r>
    </w:p>
    <w:p w14:paraId="7759CB56">
      <w:pPr>
        <w:spacing w:line="276" w:lineRule="auto"/>
        <w:jc w:val="center"/>
        <w:rPr>
          <w:rFonts w:hint="eastAsia" w:ascii="Calibri" w:hAnsi="宋体" w:eastAsia="宋体" w:cs="Times New Roman"/>
          <w:b/>
          <w:bCs/>
          <w:spacing w:val="-8"/>
          <w:sz w:val="48"/>
          <w:szCs w:val="44"/>
          <w:lang w:eastAsia="zh-CN"/>
        </w:rPr>
      </w:pPr>
      <w:r>
        <w:rPr>
          <w:rFonts w:hint="eastAsia" w:ascii="Calibri" w:hAnsi="宋体" w:eastAsia="宋体" w:cs="Times New Roman"/>
          <w:b/>
          <w:bCs/>
          <w:color w:val="000000"/>
          <w:spacing w:val="-8"/>
          <w:sz w:val="48"/>
          <w:szCs w:val="44"/>
          <w:lang w:eastAsia="zh-CN"/>
        </w:rPr>
        <w:t>AMT变速箱疲劳寿命试验台项目</w:t>
      </w:r>
    </w:p>
    <w:p w14:paraId="07FD260A">
      <w:pPr>
        <w:spacing w:line="276" w:lineRule="auto"/>
        <w:jc w:val="center"/>
        <w:rPr>
          <w:rFonts w:ascii="Calibri" w:hAnsi="Calibri" w:eastAsia="宋体" w:cs="Times New Roman"/>
          <w:b/>
          <w:bCs/>
          <w:spacing w:val="-8"/>
          <w:sz w:val="48"/>
          <w:szCs w:val="44"/>
        </w:rPr>
      </w:pPr>
      <w:r>
        <w:rPr>
          <w:rFonts w:hint="eastAsia" w:ascii="Calibri" w:hAnsi="宋体" w:eastAsia="宋体" w:cs="Times New Roman"/>
          <w:b/>
          <w:bCs/>
          <w:spacing w:val="-8"/>
          <w:sz w:val="48"/>
          <w:szCs w:val="44"/>
        </w:rPr>
        <w:t xml:space="preserve">招标项目 </w:t>
      </w:r>
      <w:r>
        <w:rPr>
          <w:rFonts w:ascii="Calibri" w:hAnsi="Calibri" w:eastAsia="宋体" w:cs="Times New Roman"/>
          <w:b/>
          <w:bCs/>
          <w:spacing w:val="-8"/>
          <w:sz w:val="48"/>
          <w:szCs w:val="44"/>
        </w:rPr>
        <w:t xml:space="preserve"> </w:t>
      </w:r>
    </w:p>
    <w:p w14:paraId="0612C694">
      <w:pPr>
        <w:jc w:val="center"/>
        <w:rPr>
          <w:rFonts w:ascii="Calibri" w:hAnsi="Calibri" w:eastAsia="宋体" w:cs="Times New Roman"/>
          <w:color w:val="000000"/>
          <w:sz w:val="28"/>
          <w:szCs w:val="28"/>
        </w:rPr>
      </w:pPr>
    </w:p>
    <w:p w14:paraId="2C51458E">
      <w:pPr>
        <w:pStyle w:val="17"/>
        <w:jc w:val="center"/>
      </w:pPr>
    </w:p>
    <w:p w14:paraId="48F3FE04">
      <w:pPr>
        <w:jc w:val="center"/>
        <w:rPr>
          <w:rFonts w:ascii="Calibri" w:hAnsi="Calibri" w:eastAsia="宋体" w:cs="Times New Roman"/>
          <w:color w:val="000000"/>
          <w:sz w:val="28"/>
          <w:szCs w:val="28"/>
        </w:rPr>
      </w:pPr>
    </w:p>
    <w:p w14:paraId="40AB830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B607074">
      <w:pPr>
        <w:jc w:val="center"/>
        <w:rPr>
          <w:rFonts w:ascii="黑体" w:hAnsi="宋体" w:eastAsia="黑体" w:cs="Times New Roman"/>
          <w:color w:val="000000"/>
          <w:sz w:val="72"/>
          <w:szCs w:val="72"/>
        </w:rPr>
      </w:pPr>
    </w:p>
    <w:p w14:paraId="3D03887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F13CE2">
      <w:pPr>
        <w:jc w:val="center"/>
        <w:rPr>
          <w:rFonts w:ascii="黑体" w:hAnsi="宋体" w:eastAsia="黑体" w:cs="Times New Roman"/>
          <w:color w:val="000000"/>
          <w:sz w:val="72"/>
          <w:szCs w:val="72"/>
        </w:rPr>
      </w:pPr>
    </w:p>
    <w:p w14:paraId="73409DC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7D7221E8">
      <w:pPr>
        <w:pStyle w:val="17"/>
        <w:jc w:val="center"/>
        <w:rPr>
          <w:rFonts w:ascii="黑体" w:hAnsi="宋体" w:eastAsia="黑体" w:cs="Times New Roman"/>
          <w:color w:val="000000"/>
          <w:sz w:val="72"/>
          <w:szCs w:val="72"/>
        </w:rPr>
      </w:pPr>
    </w:p>
    <w:p w14:paraId="61893365">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14:paraId="6CBC6385">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审核：</w:t>
      </w:r>
    </w:p>
    <w:p w14:paraId="06B13DA3">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批准：</w:t>
      </w:r>
    </w:p>
    <w:p w14:paraId="32A27838">
      <w:pPr>
        <w:pStyle w:val="17"/>
        <w:jc w:val="center"/>
        <w:rPr>
          <w:b/>
          <w:bCs/>
        </w:rPr>
      </w:pPr>
    </w:p>
    <w:p w14:paraId="09FB80B9">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20B80A48">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14:paraId="2F3DEBCC">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auto"/>
          <w:sz w:val="48"/>
          <w:szCs w:val="48"/>
        </w:rPr>
        <w:id w:val="147459055"/>
        <w15:color w:val="DBDBDB"/>
        <w:docPartObj>
          <w:docPartGallery w:val="Table of Contents"/>
          <w:docPartUnique/>
        </w:docPartObj>
      </w:sdtPr>
      <w:sdtEndPr>
        <w:rPr>
          <w:rFonts w:hint="eastAsia" w:ascii="Calibri" w:hAnsi="Calibri" w:eastAsia="宋体" w:cs="Times New Roman"/>
          <w:b/>
          <w:bCs/>
          <w:color w:val="auto"/>
          <w:kern w:val="44"/>
          <w:sz w:val="21"/>
          <w:szCs w:val="44"/>
        </w:rPr>
      </w:sdtEndPr>
      <w:sdtContent>
        <w:p w14:paraId="5D46B93A">
          <w:pPr>
            <w:spacing w:line="480" w:lineRule="auto"/>
            <w:jc w:val="center"/>
            <w:rPr>
              <w:rFonts w:cs="宋体"/>
              <w:b/>
              <w:bCs/>
              <w:color w:val="auto"/>
              <w:sz w:val="48"/>
              <w:szCs w:val="48"/>
            </w:rPr>
          </w:pPr>
          <w:r>
            <w:rPr>
              <w:rFonts w:ascii="宋体" w:hAnsi="宋体" w:eastAsia="宋体" w:cs="宋体"/>
              <w:b/>
              <w:bCs/>
              <w:color w:val="auto"/>
              <w:sz w:val="48"/>
              <w:szCs w:val="48"/>
            </w:rPr>
            <w:t>目录</w:t>
          </w:r>
        </w:p>
        <w:p w14:paraId="078BCB4D">
          <w:pPr>
            <w:pStyle w:val="24"/>
            <w:tabs>
              <w:tab w:val="right" w:leader="dot" w:pos="9071"/>
            </w:tabs>
            <w:rPr>
              <w:rFonts w:hint="eastAsia" w:ascii="黑体" w:hAnsi="黑体" w:eastAsia="黑体" w:cs="黑体"/>
              <w:color w:val="auto"/>
              <w:sz w:val="28"/>
              <w:szCs w:val="28"/>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_Toc28281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第一部分 投标须知前附表</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3</w:t>
          </w:r>
          <w:r>
            <w:rPr>
              <w:rFonts w:hint="eastAsia" w:ascii="黑体" w:hAnsi="黑体" w:eastAsia="黑体" w:cs="黑体"/>
              <w:bCs/>
              <w:color w:val="auto"/>
              <w:kern w:val="44"/>
              <w:sz w:val="28"/>
              <w:szCs w:val="56"/>
            </w:rPr>
            <w:fldChar w:fldCharType="end"/>
          </w:r>
        </w:p>
        <w:p w14:paraId="482B4993">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_Toc29337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第二部分 投标须知</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9</w:t>
          </w:r>
          <w:r>
            <w:rPr>
              <w:rFonts w:hint="eastAsia" w:ascii="黑体" w:hAnsi="黑体" w:eastAsia="黑体" w:cs="黑体"/>
              <w:bCs/>
              <w:color w:val="auto"/>
              <w:kern w:val="44"/>
              <w:sz w:val="28"/>
              <w:szCs w:val="56"/>
            </w:rPr>
            <w:fldChar w:fldCharType="end"/>
          </w:r>
        </w:p>
        <w:p w14:paraId="20BA0BE7">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_Toc217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第三部分 投标文件编制</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1</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5</w:t>
          </w:r>
        </w:p>
        <w:p w14:paraId="2BAAE52D">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_Toc20786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第四部分 技术标书</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1</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8</w:t>
          </w:r>
        </w:p>
        <w:p w14:paraId="1EE7C7CF">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_Toc24206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第一章  采购货物概况</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1</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9</w:t>
          </w:r>
        </w:p>
        <w:p w14:paraId="775167D4">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_Toc11315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第二章  技术要求</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2</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1</w:t>
          </w:r>
        </w:p>
        <w:p w14:paraId="7C8BEFD4">
          <w:pPr>
            <w:pStyle w:val="24"/>
            <w:tabs>
              <w:tab w:val="right" w:leader="dot" w:pos="9071"/>
            </w:tabs>
            <w:rPr>
              <w:rFonts w:hint="default"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_Toc20295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第三章  供货范围及供货方式</w:t>
          </w:r>
          <w:r>
            <w:rPr>
              <w:rFonts w:hint="eastAsia" w:ascii="黑体" w:hAnsi="黑体" w:eastAsia="黑体" w:cs="黑体"/>
              <w:color w:val="auto"/>
              <w:sz w:val="28"/>
              <w:szCs w:val="28"/>
            </w:rPr>
            <w:tab/>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52</w:t>
          </w:r>
        </w:p>
        <w:p w14:paraId="5DF10ACC">
          <w:pPr>
            <w:pStyle w:val="24"/>
            <w:tabs>
              <w:tab w:val="right" w:leader="dot" w:pos="9071"/>
            </w:tabs>
            <w:rPr>
              <w:rFonts w:hint="default"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_Toc14961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第四章  质保期及售后服务</w:t>
          </w:r>
          <w:r>
            <w:rPr>
              <w:rFonts w:hint="eastAsia" w:ascii="黑体" w:hAnsi="黑体" w:eastAsia="黑体" w:cs="黑体"/>
              <w:color w:val="auto"/>
              <w:sz w:val="28"/>
              <w:szCs w:val="28"/>
            </w:rPr>
            <w:tab/>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58</w:t>
          </w:r>
        </w:p>
        <w:p w14:paraId="531537F3">
          <w:pPr>
            <w:pStyle w:val="24"/>
            <w:tabs>
              <w:tab w:val="right" w:leader="dot" w:pos="9071"/>
            </w:tabs>
            <w:rPr>
              <w:rFonts w:hint="default"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_Toc21107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第五章  预验收和终验收</w:t>
          </w:r>
          <w:r>
            <w:rPr>
              <w:rFonts w:hint="eastAsia" w:ascii="黑体" w:hAnsi="黑体" w:eastAsia="黑体" w:cs="黑体"/>
              <w:color w:val="auto"/>
              <w:sz w:val="28"/>
              <w:szCs w:val="28"/>
            </w:rPr>
            <w:tab/>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61</w:t>
          </w:r>
        </w:p>
        <w:p w14:paraId="034FC3F3">
          <w:pPr>
            <w:pStyle w:val="24"/>
            <w:tabs>
              <w:tab w:val="right" w:leader="dot" w:pos="9071"/>
            </w:tabs>
            <w:rPr>
              <w:rFonts w:hint="default"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_Toc14818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第六章  投标技术文件一般要求</w:t>
          </w:r>
          <w:r>
            <w:rPr>
              <w:rFonts w:hint="eastAsia" w:ascii="黑体" w:hAnsi="黑体" w:eastAsia="黑体" w:cs="黑体"/>
              <w:color w:val="auto"/>
              <w:sz w:val="28"/>
              <w:szCs w:val="28"/>
            </w:rPr>
            <w:tab/>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65</w:t>
          </w:r>
        </w:p>
        <w:p w14:paraId="0F8367B7">
          <w:pPr>
            <w:pStyle w:val="24"/>
            <w:tabs>
              <w:tab w:val="right" w:leader="dot" w:pos="9071"/>
            </w:tabs>
            <w:rPr>
              <w:rFonts w:hint="default"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_Toc355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32"/>
            </w:rPr>
            <w:t>第七章  其它要求及说明</w:t>
          </w:r>
          <w:r>
            <w:rPr>
              <w:rFonts w:hint="eastAsia" w:ascii="黑体" w:hAnsi="黑体" w:eastAsia="黑体" w:cs="黑体"/>
              <w:color w:val="auto"/>
              <w:sz w:val="28"/>
              <w:szCs w:val="28"/>
            </w:rPr>
            <w:tab/>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67</w:t>
          </w:r>
        </w:p>
        <w:p w14:paraId="69E51035">
          <w:pPr>
            <w:pStyle w:val="24"/>
            <w:tabs>
              <w:tab w:val="right" w:leader="dot" w:pos="9071"/>
            </w:tabs>
            <w:rPr>
              <w:rFonts w:hint="default"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_Toc19679 </w:instrText>
          </w:r>
          <w:r>
            <w:rPr>
              <w:rFonts w:hint="eastAsia" w:ascii="黑体" w:hAnsi="黑体" w:eastAsia="黑体" w:cs="黑体"/>
              <w:bCs/>
              <w:color w:val="auto"/>
              <w:kern w:val="44"/>
              <w:sz w:val="28"/>
              <w:szCs w:val="56"/>
            </w:rPr>
            <w:fldChar w:fldCharType="separate"/>
          </w:r>
          <w:r>
            <w:rPr>
              <w:rFonts w:hint="eastAsia" w:ascii="黑体" w:hAnsi="黑体" w:eastAsia="黑体" w:cs="黑体"/>
              <w:color w:val="auto"/>
              <w:sz w:val="28"/>
              <w:szCs w:val="48"/>
            </w:rPr>
            <w:t>第五部分 设备采购合同</w:t>
          </w:r>
          <w:r>
            <w:rPr>
              <w:rFonts w:hint="eastAsia" w:ascii="黑体" w:hAnsi="黑体" w:eastAsia="黑体" w:cs="黑体"/>
              <w:color w:val="auto"/>
              <w:sz w:val="28"/>
              <w:szCs w:val="28"/>
            </w:rPr>
            <w:tab/>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69</w:t>
          </w:r>
        </w:p>
        <w:p w14:paraId="4B5A3AF7">
          <w:pPr>
            <w:pStyle w:val="24"/>
            <w:tabs>
              <w:tab w:val="right" w:leader="dot" w:pos="9071"/>
            </w:tabs>
            <w:rPr>
              <w:rFonts w:hint="default" w:eastAsia="黑体"/>
              <w:color w:val="auto"/>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_Toc29213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第六部分 投标文件附件</w:t>
          </w:r>
          <w:r>
            <w:rPr>
              <w:rFonts w:hint="eastAsia" w:ascii="黑体" w:hAnsi="黑体" w:eastAsia="黑体" w:cs="黑体"/>
              <w:color w:val="auto"/>
              <w:sz w:val="28"/>
              <w:szCs w:val="28"/>
            </w:rPr>
            <w:tab/>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110</w:t>
          </w:r>
        </w:p>
        <w:p w14:paraId="06210120">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auto"/>
              <w:kern w:val="44"/>
              <w:szCs w:val="44"/>
            </w:rPr>
            <w:fldChar w:fldCharType="end"/>
          </w:r>
        </w:p>
      </w:sdtContent>
    </w:sdt>
    <w:p w14:paraId="522C9572">
      <w:pPr>
        <w:pStyle w:val="17"/>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281"/>
      <w:r>
        <w:rPr>
          <w:rFonts w:hint="eastAsia" w:ascii="Calibri" w:hAnsi="Calibri" w:eastAsia="宋体" w:cs="Times New Roman"/>
          <w:b/>
          <w:bCs/>
          <w:kern w:val="44"/>
          <w:sz w:val="36"/>
          <w:szCs w:val="44"/>
        </w:rPr>
        <w:t>投标须知前附表</w:t>
      </w:r>
      <w:bookmarkEnd w:id="2"/>
    </w:p>
    <w:p w14:paraId="3C716E79">
      <w:pPr>
        <w:pStyle w:val="17"/>
        <w:jc w:val="center"/>
        <w:rPr>
          <w:rFonts w:ascii="Calibri" w:hAnsi="Calibri" w:eastAsia="宋体" w:cs="Times New Roman"/>
          <w:b/>
          <w:bCs/>
          <w:kern w:val="44"/>
          <w:sz w:val="36"/>
          <w:szCs w:val="44"/>
        </w:rPr>
      </w:pPr>
    </w:p>
    <w:p w14:paraId="1AF7956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本表是对“投标须知”正文的具体补充和修改，如有不一致，以“前附表”为准。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F4E0E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71082D4">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359DEC0">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13E9F9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211C9FF">
            <w:pPr>
              <w:jc w:val="center"/>
              <w:rPr>
                <w:rFonts w:hAnsi="宋体"/>
                <w:b/>
                <w:bCs/>
                <w:sz w:val="24"/>
                <w:szCs w:val="24"/>
              </w:rPr>
            </w:pPr>
            <w:r>
              <w:rPr>
                <w:rFonts w:hint="eastAsia" w:ascii="宋体" w:hAnsi="宋体" w:eastAsia="宋体" w:cs="宋体"/>
                <w:b/>
                <w:bCs/>
                <w:sz w:val="24"/>
                <w:szCs w:val="24"/>
              </w:rPr>
              <w:t>1.项目说明</w:t>
            </w:r>
          </w:p>
        </w:tc>
      </w:tr>
      <w:tr w14:paraId="28AE5D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15ED20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489C23F">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b/>
                <w:bCs/>
                <w:sz w:val="24"/>
                <w:szCs w:val="24"/>
                <w:lang w:eastAsia="zh-CN"/>
              </w:rPr>
              <w:t>AMT变速箱疲劳寿命试验台项目</w:t>
            </w:r>
          </w:p>
        </w:tc>
      </w:tr>
      <w:tr w14:paraId="73E38F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35AEA4C">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1DA321A">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采购形式编号：</w:t>
            </w:r>
            <w:r>
              <w:rPr>
                <w:rFonts w:hint="eastAsia" w:ascii="宋体" w:hAnsi="宋体" w:eastAsia="宋体" w:cs="宋体"/>
                <w:b/>
                <w:bCs/>
                <w:sz w:val="24"/>
                <w:szCs w:val="24"/>
                <w:lang w:eastAsia="zh-CN"/>
              </w:rPr>
              <w:t>CGZX2025040095</w:t>
            </w:r>
          </w:p>
        </w:tc>
      </w:tr>
      <w:tr w14:paraId="0C1F4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794CF2C8">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97AB16F">
            <w:pPr>
              <w:ind w:firstLine="482" w:firstLineChars="200"/>
              <w:rPr>
                <w:rFonts w:hint="eastAsia" w:ascii="宋体" w:hAnsi="宋体" w:eastAsia="宋体" w:cs="宋体"/>
                <w:color w:val="000000"/>
                <w:sz w:val="24"/>
                <w:szCs w:val="24"/>
                <w:u w:val="single"/>
                <w:lang w:eastAsia="zh-CN"/>
              </w:rPr>
            </w:pPr>
            <w:r>
              <w:rPr>
                <w:rFonts w:hint="eastAsia" w:ascii="宋体" w:hAnsi="宋体" w:eastAsia="宋体" w:cs="宋体"/>
                <w:b/>
                <w:bCs/>
                <w:sz w:val="24"/>
                <w:szCs w:val="24"/>
              </w:rPr>
              <w:t>招标内容：</w:t>
            </w:r>
            <w:r>
              <w:rPr>
                <w:rFonts w:hint="eastAsia" w:ascii="宋体" w:hAnsi="宋体" w:eastAsia="宋体" w:cs="宋体"/>
                <w:sz w:val="24"/>
                <w:szCs w:val="24"/>
                <w:highlight w:val="none"/>
                <w:u w:val="single"/>
                <w:shd w:val="pct10" w:color="auto" w:fill="FFFFFF"/>
                <w:lang w:val="en-US" w:eastAsia="zh-CN"/>
              </w:rPr>
              <w:t>动态翻转试验台</w:t>
            </w:r>
          </w:p>
          <w:p w14:paraId="312377D8">
            <w:pPr>
              <w:ind w:firstLine="482" w:firstLineChars="200"/>
              <w:rPr>
                <w:rFonts w:ascii="宋体" w:hAnsi="宋体" w:eastAsia="宋体" w:cs="宋体"/>
                <w:sz w:val="24"/>
                <w:szCs w:val="24"/>
              </w:rPr>
            </w:pPr>
            <w:r>
              <w:rPr>
                <w:rFonts w:hint="eastAsia" w:ascii="宋体" w:hAnsi="宋体" w:eastAsia="宋体" w:cs="宋体"/>
                <w:b/>
                <w:bCs/>
                <w:color w:val="000000"/>
                <w:sz w:val="24"/>
                <w:szCs w:val="24"/>
                <w:u w:val="single"/>
                <w:lang w:val="en-US" w:eastAsia="zh-CN"/>
              </w:rPr>
              <w:t>分投分中：</w:t>
            </w:r>
            <w:r>
              <w:rPr>
                <w:rFonts w:hint="eastAsia" w:ascii="宋体" w:hAnsi="宋体" w:eastAsia="宋体" w:cs="宋体"/>
                <w:color w:val="000000"/>
                <w:sz w:val="24"/>
                <w:szCs w:val="24"/>
                <w:u w:val="single"/>
                <w:lang w:val="en-US" w:eastAsia="zh-CN"/>
              </w:rPr>
              <w:t>不允许</w:t>
            </w:r>
          </w:p>
        </w:tc>
      </w:tr>
      <w:tr w14:paraId="3F76BC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BC2B06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A4DC99F">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招标形式：</w:t>
            </w:r>
            <w:r>
              <w:rPr>
                <w:rFonts w:hint="eastAsia" w:ascii="宋体" w:hAnsi="宋体" w:eastAsia="宋体" w:cs="宋体"/>
                <w:color w:val="auto"/>
                <w:sz w:val="24"/>
                <w:szCs w:val="24"/>
                <w:highlight w:val="yellow"/>
                <w:lang w:val="en-US" w:eastAsia="zh-CN"/>
              </w:rPr>
              <w:t>公开招标</w:t>
            </w:r>
          </w:p>
        </w:tc>
      </w:tr>
      <w:tr w14:paraId="62594E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77" w:hRule="atLeast"/>
        </w:trPr>
        <w:tc>
          <w:tcPr>
            <w:tcW w:w="595" w:type="dxa"/>
            <w:tcBorders>
              <w:top w:val="single" w:color="auto" w:sz="2" w:space="0"/>
              <w:left w:val="single" w:color="auto" w:sz="2" w:space="0"/>
              <w:bottom w:val="single" w:color="auto" w:sz="2" w:space="0"/>
              <w:right w:val="single" w:color="auto" w:sz="2" w:space="0"/>
            </w:tcBorders>
            <w:vAlign w:val="center"/>
          </w:tcPr>
          <w:p w14:paraId="27C9F5E9">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3FBBDC0E">
            <w:pPr>
              <w:ind w:firstLine="482" w:firstLineChars="200"/>
              <w:rPr>
                <w:rFonts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2346D669">
            <w:pPr>
              <w:ind w:firstLine="482" w:firstLineChars="200"/>
              <w:rPr>
                <w:rFonts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济南市高新区华奥路777号 </w:t>
            </w:r>
          </w:p>
          <w:p w14:paraId="3A920B47">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商务</w:t>
            </w:r>
            <w:r>
              <w:rPr>
                <w:rFonts w:hint="eastAsia" w:ascii="宋体" w:hAnsi="宋体" w:eastAsia="宋体" w:cs="宋体"/>
                <w:b/>
                <w:bCs/>
                <w:sz w:val="24"/>
                <w:szCs w:val="24"/>
              </w:rPr>
              <w:t>联系人：</w:t>
            </w:r>
            <w:r>
              <w:rPr>
                <w:rFonts w:hint="eastAsia" w:ascii="宋体" w:hAnsi="宋体" w:eastAsia="宋体" w:cs="宋体"/>
                <w:sz w:val="24"/>
                <w:szCs w:val="24"/>
                <w:lang w:val="en-US" w:eastAsia="zh-CN"/>
              </w:rPr>
              <w:t>孔明伟</w:t>
            </w:r>
          </w:p>
          <w:p w14:paraId="1876B970">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sz w:val="24"/>
                <w:szCs w:val="24"/>
                <w:lang w:eastAsia="zh-CN"/>
              </w:rPr>
              <w:t>1786060</w:t>
            </w:r>
            <w:r>
              <w:rPr>
                <w:rFonts w:hint="eastAsia" w:ascii="宋体" w:hAnsi="宋体" w:eastAsia="宋体" w:cs="宋体"/>
                <w:sz w:val="24"/>
                <w:szCs w:val="24"/>
                <w:lang w:val="en-US" w:eastAsia="zh-CN"/>
              </w:rPr>
              <w:t>9557</w:t>
            </w:r>
          </w:p>
          <w:p w14:paraId="39EFB22D">
            <w:pPr>
              <w:ind w:firstLine="482" w:firstLineChars="200"/>
            </w:pPr>
            <w:r>
              <w:rPr>
                <w:rFonts w:hint="eastAsia" w:ascii="宋体" w:hAnsi="宋体" w:eastAsia="宋体" w:cs="宋体"/>
                <w:b/>
                <w:bCs/>
                <w:sz w:val="24"/>
                <w:szCs w:val="24"/>
              </w:rPr>
              <w:t>邮箱：</w:t>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"mailto:linbl@sinotruk.com"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kongmingwei</w:t>
            </w:r>
            <w:r>
              <w:rPr>
                <w:rFonts w:hint="eastAsia" w:ascii="宋体" w:hAnsi="宋体" w:eastAsia="宋体" w:cs="宋体"/>
                <w:b w:val="0"/>
                <w:bCs w:val="0"/>
                <w:sz w:val="24"/>
                <w:szCs w:val="24"/>
              </w:rPr>
              <w:t>@sinotruk.com</w:t>
            </w:r>
            <w:r>
              <w:rPr>
                <w:rFonts w:hint="eastAsia" w:ascii="宋体" w:hAnsi="宋体" w:eastAsia="宋体" w:cs="宋体"/>
                <w:b w:val="0"/>
                <w:bCs w:val="0"/>
                <w:sz w:val="24"/>
                <w:szCs w:val="24"/>
              </w:rPr>
              <w:fldChar w:fldCharType="end"/>
            </w:r>
          </w:p>
        </w:tc>
      </w:tr>
      <w:tr w14:paraId="00F15B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4EC8255">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36B13AB1">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662FB7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E4E0399">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9A456E6">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53F5AF6E">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）或外</w:t>
            </w:r>
            <w:r>
              <w:rPr>
                <w:rFonts w:hint="eastAsia" w:ascii="宋体" w:hAnsi="宋体" w:eastAsia="宋体" w:cs="Times New Roman"/>
                <w:color w:val="000000"/>
                <w:sz w:val="24"/>
                <w:szCs w:val="24"/>
                <w:highlight w:val="none"/>
              </w:rPr>
              <w:t>币</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外币应折算为人民币：外币金额*发标日期汇率中间价</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w:t>
            </w:r>
          </w:p>
          <w:p w14:paraId="2505CB17">
            <w:pPr>
              <w:pStyle w:val="17"/>
              <w:tabs>
                <w:tab w:val="left" w:pos="1117"/>
              </w:tabs>
              <w:ind w:firstLine="482" w:firstLineChars="200"/>
              <w:rPr>
                <w:rFonts w:hint="default"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 xml:space="preserve"> </w:t>
            </w:r>
            <w:r>
              <w:rPr>
                <w:rFonts w:hint="eastAsia" w:hAnsi="宋体" w:eastAsia="宋体" w:cs="Times New Roman"/>
                <w:color w:val="000000"/>
                <w:sz w:val="24"/>
                <w:szCs w:val="24"/>
                <w:highlight w:val="yellow"/>
                <w:lang w:val="en-US" w:eastAsia="zh-CN"/>
              </w:rPr>
              <w:t xml:space="preserve">人民币 </w:t>
            </w:r>
            <w:r>
              <w:rPr>
                <w:rFonts w:hint="eastAsia" w:hAnsi="宋体" w:eastAsia="宋体" w:cs="Times New Roman"/>
                <w:b/>
                <w:bCs/>
                <w:color w:val="000000"/>
                <w:sz w:val="24"/>
                <w:szCs w:val="24"/>
                <w:highlight w:val="yellow"/>
                <w:lang w:val="en-US" w:eastAsia="zh-CN"/>
              </w:rPr>
              <w:t>3173万元，含税</w:t>
            </w:r>
            <w:r>
              <w:rPr>
                <w:rFonts w:hint="eastAsia" w:hAnsi="宋体" w:eastAsia="宋体" w:cs="Times New Roman"/>
                <w:color w:val="000000"/>
                <w:sz w:val="24"/>
                <w:szCs w:val="24"/>
                <w:highlight w:val="yellow"/>
                <w:lang w:val="en-US" w:eastAsia="zh-CN"/>
              </w:rPr>
              <w:t>，超过投标限价无法投标。</w:t>
            </w:r>
          </w:p>
        </w:tc>
      </w:tr>
      <w:tr w14:paraId="2567D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9CBC085">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71C1248">
            <w:pPr>
              <w:pStyle w:val="17"/>
              <w:ind w:firstLine="482" w:firstLineChars="200"/>
              <w:rPr>
                <w:rFonts w:hAnsi="宋体" w:eastAsia="宋体" w:cs="宋体"/>
                <w:b/>
                <w:bCs/>
                <w:color w:val="000000"/>
                <w:sz w:val="24"/>
                <w:szCs w:val="24"/>
              </w:rPr>
            </w:pPr>
            <w:r>
              <w:rPr>
                <w:rFonts w:hint="eastAsia" w:hAnsi="宋体" w:eastAsia="宋体" w:cs="宋体"/>
                <w:b/>
                <w:bCs/>
                <w:sz w:val="24"/>
                <w:szCs w:val="24"/>
                <w:highlight w:val="yellow"/>
              </w:rPr>
              <w:t>投标人条件：</w:t>
            </w:r>
          </w:p>
          <w:p w14:paraId="02D986BE">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hAnsi="宋体" w:eastAsia="宋体" w:cs="宋体"/>
                <w:sz w:val="24"/>
                <w:szCs w:val="24"/>
                <w:lang w:val="en-US" w:eastAsia="zh-CN"/>
              </w:rPr>
              <w:t>.</w:t>
            </w:r>
            <w:r>
              <w:rPr>
                <w:rFonts w:hint="eastAsia" w:ascii="宋体" w:hAnsi="宋体" w:eastAsia="宋体" w:cs="宋体"/>
                <w:sz w:val="24"/>
                <w:szCs w:val="24"/>
              </w:rPr>
              <w:t>拟标投人</w:t>
            </w:r>
            <w:r>
              <w:rPr>
                <w:rFonts w:hint="eastAsia" w:hAnsi="宋体" w:eastAsia="宋体" w:cs="宋体"/>
                <w:sz w:val="24"/>
                <w:szCs w:val="24"/>
                <w:lang w:val="en-US" w:eastAsia="zh-CN"/>
              </w:rPr>
              <w:t>须为境外生厂商，成立年限三年及以上，并提供</w:t>
            </w:r>
            <w:r>
              <w:rPr>
                <w:rFonts w:hint="eastAsia" w:ascii="宋体" w:hAnsi="宋体" w:eastAsia="宋体" w:cs="宋体"/>
                <w:sz w:val="24"/>
                <w:szCs w:val="24"/>
              </w:rPr>
              <w:t>设立的证明文件。</w:t>
            </w:r>
          </w:p>
          <w:p w14:paraId="518F0C33">
            <w:pPr>
              <w:pStyle w:val="17"/>
              <w:spacing w:line="320" w:lineRule="exact"/>
              <w:ind w:firstLine="480" w:firstLineChars="200"/>
              <w:rPr>
                <w:rFonts w:hint="eastAsia" w:ascii="宋体" w:hAnsi="宋体" w:eastAsia="宋体" w:cs="宋体"/>
                <w:sz w:val="24"/>
                <w:szCs w:val="24"/>
              </w:rPr>
            </w:pPr>
            <w:r>
              <w:rPr>
                <w:rFonts w:hint="eastAsia" w:hAnsi="宋体" w:eastAsia="宋体" w:cs="宋体"/>
                <w:sz w:val="24"/>
                <w:szCs w:val="24"/>
                <w:lang w:val="en-US" w:eastAsia="zh-CN"/>
              </w:rPr>
              <w:t>2.</w:t>
            </w:r>
            <w:r>
              <w:rPr>
                <w:rFonts w:hint="eastAsia" w:ascii="宋体" w:hAnsi="宋体" w:eastAsia="宋体" w:cs="宋体"/>
                <w:sz w:val="24"/>
                <w:szCs w:val="24"/>
              </w:rPr>
              <w:t>拟投标人对授权代表出具的可参加中国境内投标并签署合同的授权书。</w:t>
            </w:r>
          </w:p>
          <w:p w14:paraId="5FC8C166">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hAnsi="宋体" w:eastAsia="宋体" w:cs="宋体"/>
                <w:sz w:val="24"/>
                <w:szCs w:val="24"/>
                <w:lang w:val="en-US" w:eastAsia="zh-CN"/>
              </w:rPr>
              <w:t>.</w:t>
            </w:r>
            <w:r>
              <w:rPr>
                <w:rFonts w:hint="eastAsia" w:ascii="宋体" w:hAnsi="宋体" w:eastAsia="宋体" w:cs="宋体"/>
                <w:sz w:val="24"/>
                <w:szCs w:val="24"/>
              </w:rPr>
              <w:t>请提供护照原件或者身份证原件以备现场核验，并</w:t>
            </w:r>
            <w:r>
              <w:rPr>
                <w:rFonts w:hint="eastAsia" w:hAnsi="宋体" w:eastAsia="宋体" w:cs="宋体"/>
                <w:sz w:val="24"/>
                <w:szCs w:val="24"/>
                <w:lang w:val="en-US" w:eastAsia="zh-CN"/>
              </w:rPr>
              <w:t>准备复印件以备现场核验</w:t>
            </w:r>
            <w:r>
              <w:rPr>
                <w:rFonts w:hint="eastAsia" w:ascii="宋体" w:hAnsi="宋体" w:eastAsia="宋体" w:cs="宋体"/>
                <w:sz w:val="24"/>
                <w:szCs w:val="24"/>
              </w:rPr>
              <w:t>。</w:t>
            </w:r>
          </w:p>
          <w:p w14:paraId="085AE5D9">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hAnsi="宋体" w:eastAsia="宋体" w:cs="宋体"/>
                <w:sz w:val="24"/>
                <w:szCs w:val="24"/>
                <w:lang w:val="en-US" w:eastAsia="zh-CN"/>
              </w:rPr>
              <w:t>.</w:t>
            </w:r>
            <w:r>
              <w:rPr>
                <w:rFonts w:hint="eastAsia" w:ascii="宋体" w:hAnsi="宋体" w:eastAsia="宋体" w:cs="宋体"/>
                <w:sz w:val="24"/>
                <w:szCs w:val="24"/>
              </w:rPr>
              <w:t>拟投标人202</w:t>
            </w:r>
            <w:r>
              <w:rPr>
                <w:rFonts w:hint="eastAsia" w:hAnsi="宋体" w:eastAsia="宋体" w:cs="宋体"/>
                <w:sz w:val="24"/>
                <w:szCs w:val="24"/>
                <w:lang w:val="en-US" w:eastAsia="zh-CN"/>
              </w:rPr>
              <w:t>1</w:t>
            </w:r>
            <w:r>
              <w:rPr>
                <w:rFonts w:hint="eastAsia" w:ascii="宋体" w:hAnsi="宋体" w:eastAsia="宋体" w:cs="宋体"/>
                <w:sz w:val="24"/>
                <w:szCs w:val="24"/>
              </w:rPr>
              <w:t>年1月1日至今经第三方审计的公司财务报表（资产负债表、损益表、现金流量表）未显示异常。若没有财务审计报告，需提供资产负债表、利润表、现金流量表（加盖公章版）未显示异常。</w:t>
            </w:r>
          </w:p>
          <w:p w14:paraId="56175C63">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hAnsi="宋体" w:eastAsia="宋体" w:cs="宋体"/>
                <w:sz w:val="24"/>
                <w:szCs w:val="24"/>
                <w:lang w:val="en-US" w:eastAsia="zh-CN"/>
              </w:rPr>
              <w:t>.</w:t>
            </w:r>
            <w:r>
              <w:rPr>
                <w:rFonts w:hint="eastAsia" w:ascii="宋体" w:hAnsi="宋体" w:eastAsia="宋体" w:cs="宋体"/>
                <w:sz w:val="24"/>
                <w:szCs w:val="24"/>
              </w:rPr>
              <w:t>拟投标人具有给世界头部商用车企业供应与本次招标同类设备的成功案例</w:t>
            </w:r>
            <w:r>
              <w:rPr>
                <w:rFonts w:hint="eastAsia" w:ascii="宋体" w:hAnsi="宋体" w:eastAsia="宋体" w:cs="宋体"/>
                <w:sz w:val="24"/>
                <w:szCs w:val="24"/>
                <w:lang w:val="en-US" w:eastAsia="zh-CN"/>
              </w:rPr>
              <w:t>,</w:t>
            </w:r>
            <w:r>
              <w:rPr>
                <w:rFonts w:hint="eastAsia" w:ascii="宋体" w:hAnsi="宋体" w:eastAsia="宋体" w:cs="宋体"/>
                <w:sz w:val="24"/>
                <w:szCs w:val="24"/>
              </w:rPr>
              <w:t>同时需提供用户合同复印件、准备合同和技术协议原件及相关证明材料备查。</w:t>
            </w:r>
          </w:p>
          <w:p w14:paraId="64099054">
            <w:pPr>
              <w:pStyle w:val="17"/>
              <w:spacing w:line="320" w:lineRule="exact"/>
              <w:ind w:firstLine="480" w:firstLineChars="200"/>
              <w:rPr>
                <w:rFonts w:hint="eastAsia" w:ascii="宋体" w:hAnsi="宋体" w:eastAsia="宋体" w:cs="宋体"/>
                <w:sz w:val="24"/>
                <w:szCs w:val="24"/>
                <w:lang w:val="en-US" w:eastAsia="zh-CN"/>
              </w:rPr>
            </w:pPr>
            <w:r>
              <w:rPr>
                <w:rFonts w:hint="eastAsia" w:hAnsi="宋体" w:eastAsia="宋体" w:cs="宋体"/>
                <w:sz w:val="24"/>
                <w:szCs w:val="24"/>
                <w:lang w:val="en-US" w:eastAsia="zh-CN"/>
              </w:rPr>
              <w:t>*</w:t>
            </w:r>
            <w:r>
              <w:rPr>
                <w:rFonts w:hint="eastAsia" w:ascii="宋体" w:hAnsi="宋体" w:eastAsia="宋体" w:cs="宋体"/>
                <w:sz w:val="24"/>
                <w:szCs w:val="24"/>
                <w:lang w:val="en-US" w:eastAsia="zh-CN"/>
              </w:rPr>
              <w:t>6</w:t>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设备的系统设计、专利技术及生产制造原产地为欧盟、北美或日本</w:t>
            </w:r>
            <w:r>
              <w:rPr>
                <w:rFonts w:hint="eastAsia" w:hAnsi="宋体" w:eastAsia="宋体" w:cs="宋体"/>
                <w:sz w:val="24"/>
                <w:szCs w:val="24"/>
                <w:lang w:val="en-US" w:eastAsia="zh-CN"/>
              </w:rPr>
              <w:t>。</w:t>
            </w:r>
          </w:p>
          <w:p w14:paraId="5762891A">
            <w:pPr>
              <w:pStyle w:val="17"/>
              <w:spacing w:line="320" w:lineRule="exact"/>
              <w:ind w:firstLine="480" w:firstLineChars="200"/>
              <w:rPr>
                <w:rFonts w:hAnsi="宋体" w:eastAsia="宋体" w:cs="宋体"/>
                <w:sz w:val="24"/>
                <w:szCs w:val="24"/>
              </w:rPr>
            </w:pPr>
            <w:r>
              <w:rPr>
                <w:rFonts w:hint="eastAsia" w:hAnsi="宋体" w:eastAsia="宋体" w:cs="宋体"/>
                <w:sz w:val="24"/>
                <w:szCs w:val="24"/>
                <w:lang w:val="en-US" w:eastAsia="zh-CN"/>
              </w:rPr>
              <w:t>7.</w:t>
            </w:r>
            <w:r>
              <w:rPr>
                <w:rFonts w:hint="eastAsia" w:ascii="宋体" w:hAnsi="宋体" w:eastAsia="宋体" w:cs="宋体"/>
                <w:sz w:val="24"/>
                <w:szCs w:val="24"/>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tc>
      </w:tr>
      <w:tr w14:paraId="3C70A5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1860EFE">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246852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5CE6205">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0B76B29">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FF0000"/>
                <w:sz w:val="24"/>
                <w:szCs w:val="24"/>
                <w:highlight w:val="yellow"/>
              </w:rPr>
              <w:t>202</w:t>
            </w:r>
            <w:r>
              <w:rPr>
                <w:rFonts w:hint="eastAsia" w:ascii="宋体" w:hAnsi="宋体" w:eastAsia="宋体" w:cs="宋体"/>
                <w:bCs/>
                <w:color w:val="FF0000"/>
                <w:sz w:val="24"/>
                <w:szCs w:val="24"/>
                <w:highlight w:val="yellow"/>
                <w:lang w:val="en-US" w:eastAsia="zh-CN"/>
              </w:rPr>
              <w:t>5</w:t>
            </w:r>
            <w:r>
              <w:rPr>
                <w:rFonts w:hint="eastAsia" w:ascii="宋体" w:hAnsi="宋体" w:eastAsia="宋体" w:cs="宋体"/>
                <w:bCs/>
                <w:color w:val="FF0000"/>
                <w:sz w:val="24"/>
                <w:szCs w:val="24"/>
                <w:highlight w:val="yellow"/>
              </w:rPr>
              <w:t>年</w:t>
            </w:r>
            <w:r>
              <w:rPr>
                <w:rFonts w:hint="eastAsia" w:ascii="宋体" w:hAnsi="宋体" w:eastAsia="宋体" w:cs="宋体"/>
                <w:bCs/>
                <w:color w:val="FF0000"/>
                <w:sz w:val="24"/>
                <w:szCs w:val="24"/>
                <w:highlight w:val="yellow"/>
                <w:u w:val="single"/>
                <w:lang w:val="en-US" w:eastAsia="zh-CN"/>
              </w:rPr>
              <w:t>4</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u w:val="single"/>
                <w:lang w:val="en-US" w:eastAsia="zh-CN"/>
              </w:rPr>
              <w:t>18</w:t>
            </w:r>
            <w:r>
              <w:rPr>
                <w:rFonts w:hint="eastAsia" w:ascii="宋体" w:hAnsi="宋体" w:eastAsia="宋体" w:cs="宋体"/>
                <w:bCs/>
                <w:color w:val="FF0000"/>
                <w:sz w:val="24"/>
                <w:szCs w:val="24"/>
                <w:highlight w:val="yellow"/>
              </w:rPr>
              <w:t>日</w:t>
            </w:r>
            <w:r>
              <w:rPr>
                <w:rFonts w:hint="eastAsia" w:ascii="宋体" w:hAnsi="宋体" w:eastAsia="宋体" w:cs="宋体"/>
                <w:bCs/>
                <w:sz w:val="24"/>
                <w:szCs w:val="24"/>
                <w:highlight w:val="yellow"/>
              </w:rPr>
              <w:t>；</w:t>
            </w:r>
          </w:p>
        </w:tc>
      </w:tr>
      <w:tr w14:paraId="7E2BD9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DB431FA">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EAC487D">
            <w:pPr>
              <w:spacing w:line="420" w:lineRule="exact"/>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发标方式：</w:t>
            </w:r>
            <w:bookmarkStart w:id="4" w:name="OLE_LINK13"/>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bookmarkEnd w:id="4"/>
          </w:p>
        </w:tc>
      </w:tr>
      <w:tr w14:paraId="019A5B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45" w:hRule="atLeast"/>
        </w:trPr>
        <w:tc>
          <w:tcPr>
            <w:tcW w:w="595" w:type="dxa"/>
            <w:vMerge w:val="continue"/>
            <w:tcBorders>
              <w:left w:val="single" w:color="auto" w:sz="2" w:space="0"/>
              <w:bottom w:val="single" w:color="auto" w:sz="2" w:space="0"/>
              <w:right w:val="single" w:color="auto" w:sz="2" w:space="0"/>
            </w:tcBorders>
            <w:vAlign w:val="center"/>
          </w:tcPr>
          <w:p w14:paraId="4453B7C9">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AF9A346">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如果投标人对招标文件商务、技术部分有疑问，请各投标人在本答疑环节提出。</w:t>
            </w:r>
          </w:p>
          <w:p w14:paraId="002F4C0B">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color w:val="FF0000"/>
                <w:sz w:val="24"/>
                <w:szCs w:val="24"/>
                <w:highlight w:val="yellow"/>
              </w:rPr>
              <w:t>202</w:t>
            </w:r>
            <w:r>
              <w:rPr>
                <w:rFonts w:hint="eastAsia" w:ascii="宋体" w:hAnsi="宋体" w:eastAsia="宋体" w:cs="宋体"/>
                <w:bCs/>
                <w:color w:val="FF0000"/>
                <w:sz w:val="24"/>
                <w:szCs w:val="24"/>
                <w:highlight w:val="yellow"/>
                <w:lang w:val="en-US" w:eastAsia="zh-CN"/>
              </w:rPr>
              <w:t>5</w:t>
            </w:r>
            <w:r>
              <w:rPr>
                <w:rFonts w:hint="eastAsia" w:ascii="宋体" w:hAnsi="宋体" w:eastAsia="宋体" w:cs="宋体"/>
                <w:bCs/>
                <w:color w:val="FF0000"/>
                <w:sz w:val="24"/>
                <w:szCs w:val="24"/>
                <w:highlight w:val="yellow"/>
              </w:rPr>
              <w:t>年</w:t>
            </w:r>
            <w:r>
              <w:rPr>
                <w:rFonts w:hint="eastAsia" w:ascii="宋体" w:hAnsi="宋体" w:eastAsia="宋体" w:cs="宋体"/>
                <w:bCs/>
                <w:color w:val="FF0000"/>
                <w:sz w:val="24"/>
                <w:szCs w:val="24"/>
                <w:highlight w:val="yellow"/>
                <w:u w:val="single"/>
                <w:lang w:val="en-US" w:eastAsia="zh-CN"/>
              </w:rPr>
              <w:t>4</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u w:val="single"/>
                <w:lang w:val="en-US" w:eastAsia="zh-CN"/>
              </w:rPr>
              <w:t>30</w:t>
            </w:r>
            <w:r>
              <w:rPr>
                <w:rFonts w:hint="eastAsia" w:ascii="宋体" w:hAnsi="宋体" w:eastAsia="宋体" w:cs="宋体"/>
                <w:bCs/>
                <w:color w:val="FF0000"/>
                <w:sz w:val="24"/>
                <w:szCs w:val="24"/>
                <w:highlight w:val="yellow"/>
              </w:rPr>
              <w:t>日1</w:t>
            </w:r>
            <w:r>
              <w:rPr>
                <w:rFonts w:hint="eastAsia" w:ascii="宋体" w:hAnsi="宋体" w:eastAsia="宋体" w:cs="宋体"/>
                <w:bCs/>
                <w:color w:val="FF0000"/>
                <w:sz w:val="24"/>
                <w:szCs w:val="24"/>
                <w:highlight w:val="yellow"/>
                <w:lang w:val="en-US" w:eastAsia="zh-CN"/>
              </w:rPr>
              <w:t>2</w:t>
            </w:r>
            <w:r>
              <w:rPr>
                <w:rFonts w:hint="eastAsia" w:ascii="宋体" w:hAnsi="宋体" w:eastAsia="宋体" w:cs="宋体"/>
                <w:bCs/>
                <w:color w:val="FF0000"/>
                <w:sz w:val="24"/>
                <w:szCs w:val="24"/>
                <w:highlight w:val="yellow"/>
              </w:rPr>
              <w:t>:00前；</w:t>
            </w:r>
          </w:p>
          <w:p w14:paraId="19786AE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rPr>
              <w:t>提交疑问方式</w:t>
            </w:r>
            <w:r>
              <w:rPr>
                <w:rFonts w:hint="eastAsia" w:ascii="宋体" w:hAnsi="宋体" w:eastAsia="宋体" w:cs="宋体"/>
                <w:sz w:val="24"/>
                <w:szCs w:val="24"/>
              </w:rPr>
              <w:t>：</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24CC07EC">
            <w:pPr>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680F10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0A6AF082">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1E380B96">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0669DE1">
            <w:pPr>
              <w:shd w:val="clear" w:color="auto" w:fill="FFFFFF" w:themeFill="background1"/>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B56D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37491D21">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32F0171">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w:t>
            </w:r>
            <w:r>
              <w:rPr>
                <w:rFonts w:hint="eastAsia" w:eastAsia="宋体" w:cs="宋体"/>
                <w:lang w:val="en-US" w:eastAsia="zh-CN"/>
              </w:rPr>
              <w:t>邀请报名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3E170B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0E1EFBB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158ABE80">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u w:val="single"/>
                <w:lang w:val="en-US" w:eastAsia="zh-CN"/>
              </w:rPr>
              <w:t>4</w:t>
            </w:r>
            <w:r>
              <w:rPr>
                <w:rFonts w:hint="eastAsia" w:eastAsia="宋体" w:cs="宋体"/>
                <w:highlight w:val="yellow"/>
              </w:rPr>
              <w:t>月</w:t>
            </w:r>
            <w:r>
              <w:rPr>
                <w:rFonts w:hint="eastAsia" w:eastAsia="宋体" w:cs="宋体"/>
                <w:highlight w:val="yellow"/>
                <w:u w:val="single"/>
                <w:lang w:val="en-US" w:eastAsia="zh-CN"/>
              </w:rPr>
              <w:t>30</w:t>
            </w:r>
            <w:r>
              <w:rPr>
                <w:rFonts w:hint="eastAsia" w:eastAsia="宋体" w:cs="宋体"/>
                <w:highlight w:val="yellow"/>
              </w:rPr>
              <w:t>日17时00分00秒</w:t>
            </w:r>
          </w:p>
          <w:p w14:paraId="3BF5343F">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A657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BA83AF6">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1F5156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76E53C4">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651EE005">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投标文件，均由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5449DABC">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48AAC8CB">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DA46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88" w:hRule="atLeast"/>
        </w:trPr>
        <w:tc>
          <w:tcPr>
            <w:tcW w:w="595" w:type="dxa"/>
            <w:tcBorders>
              <w:top w:val="single" w:color="auto" w:sz="2" w:space="0"/>
              <w:left w:val="single" w:color="auto" w:sz="2" w:space="0"/>
              <w:bottom w:val="single" w:color="auto" w:sz="2" w:space="0"/>
              <w:right w:val="single" w:color="auto" w:sz="2" w:space="0"/>
            </w:tcBorders>
            <w:vAlign w:val="center"/>
          </w:tcPr>
          <w:p w14:paraId="1CA6B399">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35FAEB89">
            <w:pPr>
              <w:pStyle w:val="17"/>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538C793F">
            <w:pPr>
              <w:pStyle w:val="17"/>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w:t>
            </w:r>
            <w:r>
              <w:rPr>
                <w:rFonts w:hint="eastAsia" w:hAnsi="宋体" w:eastAsia="宋体" w:cs="宋体"/>
                <w:b/>
                <w:sz w:val="24"/>
                <w:szCs w:val="24"/>
                <w:highlight w:val="yellow"/>
                <w:lang w:val="en-US" w:eastAsia="zh-CN"/>
              </w:rPr>
              <w:t>一</w:t>
            </w:r>
            <w:r>
              <w:rPr>
                <w:rFonts w:hint="eastAsia" w:ascii="宋体" w:hAnsi="宋体" w:eastAsia="宋体" w:cs="宋体"/>
                <w:b/>
                <w:sz w:val="24"/>
                <w:szCs w:val="24"/>
                <w:highlight w:val="yellow"/>
              </w:rPr>
              <w:t>份</w:t>
            </w:r>
            <w:r>
              <w:rPr>
                <w:rFonts w:hint="eastAsia" w:hAnsi="宋体" w:eastAsia="宋体" w:cs="宋体"/>
                <w:b/>
                <w:sz w:val="24"/>
                <w:szCs w:val="24"/>
                <w:highlight w:val="yellow"/>
                <w:lang w:val="en-US" w:eastAsia="zh-CN"/>
              </w:rPr>
              <w:t>,副本四份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r>
              <w:rPr>
                <w:rFonts w:hint="eastAsia" w:eastAsia="宋体" w:cs="宋体"/>
                <w:b w:val="0"/>
                <w:bCs/>
                <w:color w:val="auto"/>
                <w:kern w:val="2"/>
                <w:sz w:val="24"/>
                <w:szCs w:val="24"/>
                <w:highlight w:val="yellow"/>
                <w:lang w:val="en-US" w:eastAsia="zh-CN" w:bidi="ar-SA"/>
              </w:rPr>
              <w:t>开标一览表需单独</w:t>
            </w:r>
            <w:r>
              <w:rPr>
                <w:rFonts w:hint="eastAsia" w:eastAsia="宋体" w:cs="宋体"/>
                <w:b/>
                <w:bCs w:val="0"/>
                <w:color w:val="auto"/>
                <w:kern w:val="2"/>
                <w:sz w:val="24"/>
                <w:szCs w:val="24"/>
                <w:highlight w:val="yellow"/>
                <w:lang w:val="en-US" w:eastAsia="zh-CN" w:bidi="ar-SA"/>
              </w:rPr>
              <w:t>封装一份</w:t>
            </w:r>
            <w:r>
              <w:rPr>
                <w:rFonts w:hint="eastAsia" w:eastAsia="宋体" w:cs="宋体"/>
                <w:b w:val="0"/>
                <w:bCs/>
                <w:color w:val="auto"/>
                <w:kern w:val="2"/>
                <w:sz w:val="24"/>
                <w:szCs w:val="24"/>
                <w:highlight w:val="yellow"/>
                <w:lang w:val="en-US" w:eastAsia="zh-CN" w:bidi="ar-SA"/>
              </w:rPr>
              <w:t>，以便于唱标。</w:t>
            </w:r>
          </w:p>
          <w:p w14:paraId="7949BD38">
            <w:pPr>
              <w:pStyle w:val="17"/>
              <w:ind w:firstLine="480" w:firstLineChars="200"/>
              <w:rPr>
                <w:rFonts w:hint="default" w:hAnsi="宋体" w:eastAsia="宋体" w:cs="Times New Roman"/>
                <w:color w:val="000000"/>
                <w:sz w:val="24"/>
                <w:szCs w:val="24"/>
                <w:lang w:val="en-US" w:eastAsia="zh-CN"/>
              </w:rPr>
            </w:pPr>
            <w:r>
              <w:rPr>
                <w:rFonts w:hint="eastAsia" w:eastAsia="宋体" w:cs="宋体" w:asciiTheme="minorHAnsi" w:hAnsiTheme="minorHAnsi"/>
                <w:bCs/>
                <w:sz w:val="24"/>
                <w:szCs w:val="24"/>
                <w:lang w:val="en-US" w:eastAsia="zh-CN"/>
              </w:rPr>
              <w:t>本项目</w:t>
            </w:r>
            <w:r>
              <w:rPr>
                <w:rFonts w:hint="eastAsia" w:eastAsia="宋体" w:cs="宋体" w:asciiTheme="minorHAnsi" w:hAnsiTheme="minorHAnsi"/>
                <w:b/>
                <w:bCs w:val="0"/>
                <w:sz w:val="24"/>
                <w:szCs w:val="24"/>
                <w:highlight w:val="yellow"/>
                <w:lang w:val="en-US" w:eastAsia="zh-CN"/>
              </w:rPr>
              <w:t>须</w:t>
            </w:r>
            <w:r>
              <w:rPr>
                <w:rFonts w:hint="eastAsia" w:eastAsia="宋体" w:cs="宋体" w:asciiTheme="minorHAnsi" w:hAnsiTheme="minorHAnsi"/>
                <w:b/>
                <w:bCs w:val="0"/>
                <w:sz w:val="24"/>
                <w:szCs w:val="24"/>
                <w:highlight w:val="yellow"/>
              </w:rPr>
              <w:t>到场参与开标</w:t>
            </w:r>
            <w:r>
              <w:rPr>
                <w:rFonts w:hint="eastAsia" w:eastAsia="宋体" w:cs="宋体" w:asciiTheme="minorHAnsi" w:hAnsiTheme="minorHAnsi"/>
                <w:bCs/>
                <w:sz w:val="24"/>
                <w:szCs w:val="24"/>
              </w:rPr>
              <w:t>，自行携带纸质投标文件于开标前至开标地点即可。</w:t>
            </w:r>
          </w:p>
        </w:tc>
      </w:tr>
      <w:tr w14:paraId="6634A1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5" w:hRule="atLeast"/>
        </w:trPr>
        <w:tc>
          <w:tcPr>
            <w:tcW w:w="595" w:type="dxa"/>
            <w:tcBorders>
              <w:top w:val="single" w:color="auto" w:sz="2" w:space="0"/>
              <w:left w:val="single" w:color="auto" w:sz="2" w:space="0"/>
              <w:bottom w:val="single" w:color="auto" w:sz="2" w:space="0"/>
              <w:right w:val="single" w:color="auto" w:sz="2" w:space="0"/>
            </w:tcBorders>
            <w:vAlign w:val="center"/>
          </w:tcPr>
          <w:p w14:paraId="7501B7EA">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40ED0A0C">
            <w:pPr>
              <w:pStyle w:val="17"/>
              <w:ind w:firstLine="482" w:firstLineChars="200"/>
              <w:rPr>
                <w:rFonts w:eastAsia="宋体" w:cs="宋体" w:asciiTheme="minorHAnsi" w:hAnsiTheme="minorHAnsi"/>
                <w:b/>
                <w:sz w:val="24"/>
                <w:szCs w:val="24"/>
              </w:rPr>
            </w:pPr>
            <w:r>
              <w:rPr>
                <w:rFonts w:hint="eastAsia" w:hAnsi="宋体" w:eastAsia="宋体" w:cs="宋体"/>
                <w:b/>
                <w:bCs/>
                <w:sz w:val="24"/>
              </w:rPr>
              <w:t>纸质版投标文件和电子版投标文件必须保证内容一致；如确实存在不一致的，以电子标书为准，</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7F3712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3A7383D">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B68F2CD">
            <w:pPr>
              <w:pStyle w:val="12"/>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67980280">
            <w:pPr>
              <w:pStyle w:val="17"/>
              <w:ind w:firstLine="482" w:firstLineChars="200"/>
              <w:rPr>
                <w:rFonts w:hAnsi="宋体" w:eastAsia="宋体" w:cs="宋体"/>
                <w:sz w:val="24"/>
                <w:szCs w:val="24"/>
                <w:highlight w:val="yellow"/>
              </w:rPr>
            </w:pPr>
            <w:r>
              <w:rPr>
                <w:rFonts w:hint="eastAsia" w:hAnsi="宋体" w:eastAsia="宋体" w:cs="宋体"/>
                <w:b/>
                <w:bCs/>
                <w:sz w:val="24"/>
                <w:szCs w:val="24"/>
              </w:rPr>
              <w:t>技术标书和商务标书不单独装订的，投标文件做无效标处理。</w:t>
            </w:r>
          </w:p>
        </w:tc>
      </w:tr>
      <w:tr w14:paraId="67E5AF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10ABE99">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2D4CA9E">
            <w:pPr>
              <w:pStyle w:val="17"/>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7</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79A8DDE2">
            <w:pPr>
              <w:ind w:firstLine="482" w:firstLineChars="200"/>
              <w:rPr>
                <w:rFonts w:ascii="宋体" w:hAnsi="宋体" w:eastAsia="宋体" w:cs="宋体"/>
                <w:sz w:val="24"/>
                <w:szCs w:val="24"/>
              </w:rPr>
            </w:pPr>
            <w:r>
              <w:rPr>
                <w:rFonts w:hint="eastAsia" w:eastAsia="宋体" w:cs="宋体"/>
                <w:b/>
                <w:bCs/>
                <w:sz w:val="24"/>
                <w:szCs w:val="28"/>
              </w:rPr>
              <w:t>注：请务必在</w:t>
            </w:r>
            <w:r>
              <w:rPr>
                <w:rFonts w:hint="eastAsia" w:hAnsi="宋体" w:eastAsia="宋体" w:cs="宋体"/>
                <w:b/>
                <w:bCs/>
                <w:sz w:val="24"/>
                <w:szCs w:val="24"/>
              </w:rPr>
              <w:t>投标文件递交</w:t>
            </w:r>
            <w:r>
              <w:rPr>
                <w:rFonts w:hint="eastAsia" w:eastAsia="宋体" w:cs="宋体"/>
                <w:b/>
                <w:bCs/>
                <w:sz w:val="24"/>
                <w:szCs w:val="28"/>
              </w:rPr>
              <w:t>截止时间前完成投标文件的递交操作，投标截止时间精确到秒，逾期将无法投标。请自行掌握时间安排，避免无法投标。</w:t>
            </w:r>
          </w:p>
        </w:tc>
      </w:tr>
      <w:tr w14:paraId="38A807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C9B6CFC">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7B83BE25">
            <w:pPr>
              <w:ind w:firstLine="482" w:firstLineChars="200"/>
              <w:rPr>
                <w:rFonts w:ascii="宋体" w:hAnsi="宋体" w:eastAsia="宋体" w:cs="宋体"/>
                <w:b/>
                <w:bCs/>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自开标之日起90日历天</w:t>
            </w:r>
          </w:p>
        </w:tc>
      </w:tr>
      <w:tr w14:paraId="7E05DA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2F17530">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26F532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F78A44D">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92F9F73">
            <w:pPr>
              <w:ind w:firstLine="482" w:firstLineChars="200"/>
              <w:rPr>
                <w:rFonts w:hint="eastAsia" w:ascii="宋体" w:hAnsi="宋体" w:eastAsia="宋体" w:cs="宋体"/>
                <w:b/>
                <w:bCs/>
                <w:sz w:val="24"/>
                <w:szCs w:val="24"/>
                <w:highlight w:val="red"/>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rPr>
              <w:t>电汇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境内</w:t>
            </w:r>
            <w:r>
              <w:rPr>
                <w:rFonts w:hint="eastAsia" w:ascii="宋体" w:hAnsi="宋体" w:eastAsia="宋体" w:cs="宋体"/>
                <w:sz w:val="24"/>
                <w:szCs w:val="24"/>
                <w:lang w:eastAsia="zh-CN"/>
              </w:rPr>
              <w:t>）、</w:t>
            </w:r>
            <w:r>
              <w:rPr>
                <w:rFonts w:hint="eastAsia" w:ascii="宋体" w:hAnsi="宋体" w:eastAsia="宋体" w:cs="宋体"/>
                <w:sz w:val="24"/>
                <w:szCs w:val="24"/>
                <w:highlight w:val="none"/>
                <w:u w:val="single"/>
              </w:rPr>
              <w:t>电开保函</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境外</w:t>
            </w:r>
            <w:r>
              <w:rPr>
                <w:rFonts w:hint="eastAsia" w:ascii="宋体" w:hAnsi="宋体" w:eastAsia="宋体" w:cs="宋体"/>
                <w:sz w:val="24"/>
                <w:szCs w:val="24"/>
                <w:highlight w:val="none"/>
                <w:u w:val="single"/>
                <w:lang w:eastAsia="zh-CN"/>
              </w:rPr>
              <w:t>）</w:t>
            </w:r>
          </w:p>
        </w:tc>
      </w:tr>
      <w:tr w14:paraId="2627A1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C11291B">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BC06B9D">
            <w:pPr>
              <w:pStyle w:val="36"/>
              <w:spacing w:after="0" w:line="240" w:lineRule="auto"/>
              <w:ind w:left="0" w:leftChars="0" w:firstLine="480"/>
              <w:rPr>
                <w:rFonts w:hint="eastAsia" w:ascii="宋体" w:hAnsi="宋体" w:eastAsia="宋体" w:cs="宋体"/>
                <w:sz w:val="24"/>
                <w:szCs w:val="24"/>
                <w:highlight w:val="none"/>
                <w:u w:val="single"/>
                <w:lang w:val="en-US" w:eastAsia="zh-CN"/>
              </w:rPr>
            </w:pPr>
            <w:r>
              <w:rPr>
                <w:rFonts w:hint="eastAsia" w:ascii="宋体" w:hAnsi="宋体" w:cs="宋体"/>
                <w:sz w:val="24"/>
                <w:szCs w:val="24"/>
                <w:highlight w:val="none"/>
                <w:lang w:val="en-US" w:eastAsia="zh-CN"/>
              </w:rPr>
              <w:t>Ⅰ.</w:t>
            </w:r>
            <w:r>
              <w:rPr>
                <w:rFonts w:hint="eastAsia" w:ascii="宋体" w:hAnsi="宋体" w:cs="宋体"/>
                <w:sz w:val="24"/>
                <w:szCs w:val="24"/>
                <w:highlight w:val="none"/>
              </w:rPr>
              <w:t>缴纳投标保证金</w:t>
            </w:r>
            <w:r>
              <w:rPr>
                <w:rFonts w:hint="eastAsia" w:ascii="宋体" w:hAnsi="宋体" w:cs="宋体"/>
                <w:sz w:val="24"/>
                <w:szCs w:val="24"/>
                <w:highlight w:val="none"/>
                <w:lang w:val="en-US" w:eastAsia="zh-CN"/>
              </w:rPr>
              <w:t>信息</w:t>
            </w:r>
            <w:r>
              <w:rPr>
                <w:rFonts w:hint="eastAsia" w:ascii="宋体" w:hAnsi="宋体" w:cs="宋体"/>
                <w:sz w:val="24"/>
                <w:szCs w:val="24"/>
                <w:highlight w:val="none"/>
                <w:lang w:eastAsia="zh-CN"/>
              </w:rPr>
              <w:t>：</w:t>
            </w:r>
          </w:p>
          <w:p w14:paraId="2547AE64">
            <w:pPr>
              <w:pStyle w:val="36"/>
              <w:spacing w:after="0" w:line="240" w:lineRule="auto"/>
              <w:ind w:left="0" w:leftChars="0" w:firstLine="480"/>
              <w:rPr>
                <w:rFonts w:hint="default" w:ascii="宋体" w:hAnsi="宋体" w:cs="宋体"/>
                <w:sz w:val="24"/>
                <w:szCs w:val="24"/>
                <w:highlight w:val="yellow"/>
              </w:rPr>
            </w:pPr>
            <w:r>
              <w:rPr>
                <w:rFonts w:hint="eastAsia" w:ascii="宋体" w:hAnsi="宋体" w:cs="宋体"/>
                <w:sz w:val="24"/>
                <w:szCs w:val="24"/>
                <w:highlight w:val="yellow"/>
              </w:rPr>
              <w:t>投标保证金的金额：人民币</w:t>
            </w:r>
            <w:r>
              <w:rPr>
                <w:rFonts w:hint="eastAsia" w:ascii="宋体" w:hAnsi="宋体" w:cs="宋体"/>
                <w:sz w:val="24"/>
                <w:szCs w:val="24"/>
                <w:highlight w:val="yellow"/>
                <w:lang w:val="en-US" w:eastAsia="zh-CN"/>
              </w:rPr>
              <w:t>200000.00</w:t>
            </w:r>
            <w:r>
              <w:rPr>
                <w:rFonts w:hint="eastAsia" w:ascii="宋体" w:hAnsi="宋体" w:cs="宋体"/>
                <w:sz w:val="24"/>
                <w:szCs w:val="24"/>
                <w:highlight w:val="yellow"/>
              </w:rPr>
              <w:t>元</w:t>
            </w:r>
          </w:p>
          <w:p w14:paraId="2F48C423">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17DF2687">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51445FC6">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61279FD3">
            <w:pPr>
              <w:ind w:left="479" w:leftChars="228" w:firstLine="0" w:firstLineChars="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61289A6">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SWIFT CODE</w:t>
            </w:r>
            <w:r>
              <w:rPr>
                <w:rFonts w:ascii="宋体" w:hAnsi="宋体" w:eastAsia="宋体" w:cs="宋体"/>
                <w:sz w:val="24"/>
                <w:szCs w:val="24"/>
                <w:highlight w:val="yellow"/>
              </w:rPr>
              <w:t>:PCBCCNBJSDX</w:t>
            </w:r>
          </w:p>
          <w:p w14:paraId="750F5320">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银行名称</w:t>
            </w:r>
            <w:r>
              <w:rPr>
                <w:rFonts w:ascii="宋体" w:hAnsi="宋体" w:eastAsia="宋体" w:cs="宋体"/>
                <w:sz w:val="24"/>
                <w:szCs w:val="24"/>
                <w:highlight w:val="yellow"/>
              </w:rPr>
              <w:t>：CHINA CONSTRUCTION BANK JINAN TIANQIAO BRANCH</w:t>
            </w:r>
          </w:p>
          <w:p w14:paraId="3F0A56AC">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银行地址</w:t>
            </w:r>
            <w:r>
              <w:rPr>
                <w:rFonts w:ascii="宋体" w:hAnsi="宋体" w:eastAsia="宋体" w:cs="宋体"/>
                <w:sz w:val="24"/>
                <w:szCs w:val="24"/>
                <w:highlight w:val="yellow"/>
              </w:rPr>
              <w:t xml:space="preserve">：127 JILUO ROAD, TIANQIAO DISTRICT, JINAN, SHANDONG, CHINA </w:t>
            </w:r>
          </w:p>
          <w:p w14:paraId="31EAA325">
            <w:pPr>
              <w:ind w:left="479" w:leftChars="228" w:firstLine="0" w:firstLineChars="0"/>
              <w:rPr>
                <w:rFonts w:hint="eastAsia"/>
                <w:highlight w:val="yellow"/>
              </w:rPr>
            </w:pPr>
            <w:r>
              <w:rPr>
                <w:rFonts w:ascii="宋体" w:hAnsi="宋体" w:eastAsia="宋体" w:cs="宋体"/>
                <w:sz w:val="24"/>
                <w:szCs w:val="24"/>
                <w:highlight w:val="yellow"/>
              </w:rPr>
              <w:t>山东省济南市天桥区济洛路127号</w:t>
            </w:r>
          </w:p>
          <w:p w14:paraId="77739C86">
            <w:pPr>
              <w:pStyle w:val="36"/>
              <w:spacing w:after="0" w:line="240" w:lineRule="auto"/>
              <w:ind w:left="0" w:leftChars="0" w:firstLine="480"/>
              <w:rPr>
                <w:rFonts w:hint="eastAsia" w:ascii="宋体" w:hAnsi="宋体" w:cs="宋体"/>
                <w:sz w:val="24"/>
                <w:szCs w:val="24"/>
                <w:highlight w:val="none"/>
                <w:lang w:eastAsia="zh-CN"/>
              </w:rPr>
            </w:pPr>
            <w:r>
              <w:rPr>
                <w:rFonts w:hint="eastAsia" w:ascii="宋体" w:hAnsi="宋体" w:cs="宋体"/>
                <w:sz w:val="24"/>
                <w:szCs w:val="24"/>
                <w:highlight w:val="none"/>
              </w:rPr>
              <w:t>投标保证金应从投标人基本账户转出至上述账户并到账，否则视为无效投标。</w:t>
            </w:r>
          </w:p>
          <w:p w14:paraId="69366E55">
            <w:pPr>
              <w:pStyle w:val="36"/>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Ⅱ.</w:t>
            </w:r>
            <w:r>
              <w:rPr>
                <w:rFonts w:hint="eastAsia" w:ascii="宋体" w:hAnsi="宋体" w:cs="宋体"/>
                <w:sz w:val="24"/>
                <w:szCs w:val="24"/>
                <w:highlight w:val="none"/>
              </w:rPr>
              <w:t>境外</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缴纳投标保证金形式应采用</w:t>
            </w:r>
            <w:r>
              <w:rPr>
                <w:rFonts w:hint="eastAsia" w:ascii="宋体" w:hAnsi="宋体" w:cs="宋体"/>
                <w:sz w:val="24"/>
                <w:szCs w:val="24"/>
                <w:highlight w:val="none"/>
                <w:u w:val="single"/>
              </w:rPr>
              <w:t>电开保函形式</w:t>
            </w:r>
            <w:r>
              <w:rPr>
                <w:rFonts w:hint="eastAsia" w:ascii="宋体" w:hAnsi="宋体" w:cs="宋体"/>
                <w:sz w:val="24"/>
                <w:szCs w:val="24"/>
                <w:highlight w:val="none"/>
              </w:rPr>
              <w:t>。</w:t>
            </w:r>
          </w:p>
          <w:p w14:paraId="3C2796A2">
            <w:pPr>
              <w:pStyle w:val="36"/>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Ⅲ.</w:t>
            </w:r>
            <w:r>
              <w:rPr>
                <w:rFonts w:hint="eastAsia" w:ascii="宋体" w:hAnsi="宋体" w:cs="宋体"/>
                <w:sz w:val="24"/>
                <w:szCs w:val="24"/>
                <w:highlight w:val="none"/>
              </w:rPr>
              <w:t>若有其他特殊情况，请提前与</w:t>
            </w:r>
            <w:r>
              <w:rPr>
                <w:rFonts w:hint="eastAsia" w:ascii="宋体" w:hAnsi="宋体" w:cs="宋体"/>
                <w:sz w:val="24"/>
                <w:szCs w:val="24"/>
                <w:highlight w:val="none"/>
                <w:lang w:val="en-US" w:eastAsia="zh-CN"/>
              </w:rPr>
              <w:t>招标人</w:t>
            </w:r>
            <w:r>
              <w:rPr>
                <w:rFonts w:hint="eastAsia" w:ascii="宋体" w:hAnsi="宋体" w:cs="宋体"/>
                <w:sz w:val="24"/>
                <w:szCs w:val="24"/>
                <w:highlight w:val="none"/>
              </w:rPr>
              <w:t>沟通，做好转账信息备注工作。</w:t>
            </w:r>
          </w:p>
          <w:p w14:paraId="6FE04A33">
            <w:pPr>
              <w:ind w:firstLine="480" w:firstLineChars="200"/>
              <w:rPr>
                <w:rFonts w:ascii="宋体" w:hAnsi="宋体" w:eastAsia="宋体" w:cs="宋体"/>
                <w:strike/>
                <w:dstrike w:val="0"/>
                <w:sz w:val="24"/>
                <w:szCs w:val="24"/>
                <w:highlight w:val="red"/>
              </w:rPr>
            </w:pPr>
            <w:r>
              <w:rPr>
                <w:rFonts w:hint="eastAsia" w:ascii="宋体" w:hAnsi="宋体" w:eastAsia="宋体" w:cs="宋体"/>
                <w:sz w:val="24"/>
                <w:szCs w:val="24"/>
                <w:highlight w:val="none"/>
                <w:lang w:val="en-US" w:eastAsia="zh-CN"/>
              </w:rPr>
              <w:t>Ⅳ.</w:t>
            </w:r>
            <w:r>
              <w:rPr>
                <w:rFonts w:hint="eastAsia" w:ascii="宋体" w:hAnsi="宋体" w:eastAsia="宋体" w:cs="宋体"/>
                <w:sz w:val="24"/>
                <w:szCs w:val="24"/>
                <w:highlight w:val="none"/>
              </w:rPr>
              <w:t>转账附言：公司名称+项目名称+投标保证金</w:t>
            </w:r>
            <w:r>
              <w:rPr>
                <w:rFonts w:hint="eastAsia" w:ascii="宋体" w:hAnsi="宋体" w:eastAsia="宋体" w:cs="宋体"/>
                <w:sz w:val="24"/>
                <w:szCs w:val="24"/>
                <w:highlight w:val="none"/>
                <w:lang w:eastAsia="zh-CN"/>
              </w:rPr>
              <w:t>（方便后期核对退款）</w:t>
            </w:r>
          </w:p>
        </w:tc>
      </w:tr>
      <w:tr w14:paraId="4F9809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C6B2AB1">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D128489">
            <w:pPr>
              <w:pStyle w:val="36"/>
              <w:spacing w:after="0" w:line="240" w:lineRule="auto"/>
              <w:ind w:left="0" w:leftChars="0" w:firstLine="482" w:firstLineChars="200"/>
              <w:rPr>
                <w:rFonts w:hint="eastAsia" w:ascii="宋体" w:hAnsi="宋体" w:eastAsia="宋体" w:cs="宋体"/>
                <w:b/>
                <w:bCs/>
                <w:sz w:val="24"/>
                <w:szCs w:val="24"/>
                <w:highlight w:val="red"/>
              </w:rPr>
            </w:pPr>
            <w:r>
              <w:rPr>
                <w:rFonts w:hint="eastAsia" w:ascii="宋体" w:hAnsi="宋体" w:cs="宋体"/>
                <w:b/>
                <w:bCs/>
                <w:sz w:val="24"/>
                <w:szCs w:val="24"/>
                <w:highlight w:val="none"/>
              </w:rPr>
              <w:t>保证金缴纳截止时间：</w:t>
            </w:r>
            <w:r>
              <w:rPr>
                <w:rFonts w:hint="eastAsia" w:hAnsi="宋体" w:eastAsia="宋体" w:cs="宋体" w:asciiTheme="minorHAnsi"/>
                <w:kern w:val="2"/>
                <w:sz w:val="24"/>
                <w:szCs w:val="24"/>
                <w:highlight w:val="yellow"/>
                <w:u w:val="single"/>
                <w:lang w:val="en-US" w:eastAsia="zh-CN" w:bidi="ar-SA"/>
              </w:rPr>
              <w:t>202</w:t>
            </w:r>
            <w:r>
              <w:rPr>
                <w:rFonts w:hint="eastAsia" w:hAnsi="宋体" w:cs="宋体" w:asciiTheme="minorHAnsi"/>
                <w:kern w:val="2"/>
                <w:sz w:val="24"/>
                <w:szCs w:val="24"/>
                <w:highlight w:val="yellow"/>
                <w:u w:val="single"/>
                <w:lang w:val="en-US" w:eastAsia="zh-CN" w:bidi="ar-SA"/>
              </w:rPr>
              <w:t>5</w:t>
            </w:r>
            <w:r>
              <w:rPr>
                <w:rFonts w:hint="eastAsia" w:hAnsi="宋体" w:eastAsia="宋体" w:cs="宋体" w:asciiTheme="minorHAnsi"/>
                <w:kern w:val="2"/>
                <w:sz w:val="24"/>
                <w:szCs w:val="24"/>
                <w:highlight w:val="yellow"/>
                <w:u w:val="single"/>
                <w:lang w:val="en-US" w:eastAsia="zh-CN" w:bidi="ar-SA"/>
              </w:rPr>
              <w:t>年</w:t>
            </w:r>
            <w:r>
              <w:rPr>
                <w:rFonts w:hint="eastAsia" w:hAnsi="宋体" w:cs="宋体" w:asciiTheme="minorHAnsi"/>
                <w:kern w:val="2"/>
                <w:sz w:val="24"/>
                <w:szCs w:val="24"/>
                <w:highlight w:val="yellow"/>
                <w:u w:val="single"/>
                <w:lang w:val="en-US" w:eastAsia="zh-CN" w:bidi="ar-SA"/>
              </w:rPr>
              <w:t>4</w:t>
            </w:r>
            <w:r>
              <w:rPr>
                <w:rFonts w:hint="eastAsia" w:hAnsi="宋体" w:eastAsia="宋体" w:cs="宋体" w:asciiTheme="minorHAnsi"/>
                <w:kern w:val="2"/>
                <w:sz w:val="24"/>
                <w:szCs w:val="24"/>
                <w:highlight w:val="yellow"/>
                <w:u w:val="single"/>
                <w:lang w:val="en-US" w:eastAsia="zh-CN" w:bidi="ar-SA"/>
              </w:rPr>
              <w:t>月</w:t>
            </w:r>
            <w:r>
              <w:rPr>
                <w:rFonts w:hint="eastAsia" w:hAnsi="宋体" w:cs="宋体" w:asciiTheme="minorHAnsi"/>
                <w:kern w:val="2"/>
                <w:sz w:val="24"/>
                <w:szCs w:val="24"/>
                <w:highlight w:val="yellow"/>
                <w:u w:val="single"/>
                <w:lang w:val="en-US" w:eastAsia="zh-CN" w:bidi="ar-SA"/>
              </w:rPr>
              <w:t>30</w:t>
            </w:r>
            <w:r>
              <w:rPr>
                <w:rFonts w:hint="eastAsia" w:hAnsi="宋体" w:eastAsia="宋体" w:cs="宋体" w:asciiTheme="minorHAnsi"/>
                <w:kern w:val="2"/>
                <w:sz w:val="24"/>
                <w:szCs w:val="24"/>
                <w:highlight w:val="yellow"/>
                <w:u w:val="single"/>
                <w:lang w:val="en-US" w:eastAsia="zh-CN" w:bidi="ar-SA"/>
              </w:rPr>
              <w:t>日17时</w:t>
            </w:r>
          </w:p>
        </w:tc>
      </w:tr>
      <w:tr w14:paraId="1263F4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389FD50">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435935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0AE91F58">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77CE2CEC">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7</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r>
              <w:rPr>
                <w:rFonts w:hint="eastAsia" w:hAnsi="宋体" w:eastAsia="宋体" w:cs="宋体"/>
                <w:sz w:val="24"/>
                <w:szCs w:val="24"/>
                <w:highlight w:val="yellow"/>
                <w:lang w:eastAsia="zh-CN"/>
              </w:rPr>
              <w:t>）</w:t>
            </w:r>
            <w:r>
              <w:rPr>
                <w:rFonts w:hint="eastAsia" w:ascii="宋体" w:hAnsi="宋体" w:eastAsia="宋体" w:cs="宋体"/>
                <w:kern w:val="0"/>
                <w:sz w:val="24"/>
                <w:szCs w:val="24"/>
                <w:highlight w:val="yellow"/>
              </w:rPr>
              <w:t>。</w:t>
            </w:r>
          </w:p>
          <w:p w14:paraId="58D0401E">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济南市高新区华奥路777号重汽科技大厦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17D1F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8" w:hRule="atLeast"/>
        </w:trPr>
        <w:tc>
          <w:tcPr>
            <w:tcW w:w="595" w:type="dxa"/>
            <w:tcBorders>
              <w:top w:val="single" w:color="auto" w:sz="2" w:space="0"/>
              <w:left w:val="single" w:color="auto" w:sz="2" w:space="0"/>
              <w:bottom w:val="single" w:color="auto" w:sz="2" w:space="0"/>
              <w:right w:val="single" w:color="auto" w:sz="2" w:space="0"/>
            </w:tcBorders>
            <w:vAlign w:val="center"/>
          </w:tcPr>
          <w:p w14:paraId="12E98A93">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07FDA121">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w:t>
            </w:r>
            <w:r>
              <w:rPr>
                <w:rFonts w:hint="eastAsia" w:ascii="宋体" w:hAnsi="宋体" w:eastAsia="宋体" w:cs="宋体"/>
                <w:b/>
                <w:bCs/>
                <w:sz w:val="24"/>
                <w:szCs w:val="24"/>
                <w:highlight w:val="none"/>
              </w:rPr>
              <w:t>法：</w:t>
            </w:r>
            <w:r>
              <w:rPr>
                <w:rFonts w:hint="eastAsia" w:ascii="宋体" w:hAnsi="宋体" w:eastAsia="宋体" w:cs="宋体"/>
                <w:b/>
                <w:bCs/>
                <w:sz w:val="24"/>
                <w:szCs w:val="24"/>
                <w:highlight w:val="none"/>
                <w:lang w:val="en-US" w:eastAsia="zh-CN"/>
              </w:rPr>
              <w:t>开标→资质</w:t>
            </w:r>
            <w:bookmarkStart w:id="5" w:name="OLE_LINK2"/>
            <w:r>
              <w:rPr>
                <w:rFonts w:hint="eastAsia" w:ascii="宋体" w:hAnsi="宋体" w:eastAsia="宋体" w:cs="宋体"/>
                <w:b/>
                <w:bCs/>
                <w:sz w:val="24"/>
                <w:szCs w:val="24"/>
                <w:highlight w:val="none"/>
                <w:lang w:val="en-US" w:eastAsia="zh-CN"/>
              </w:rPr>
              <w:t>复审→</w:t>
            </w:r>
            <w:bookmarkEnd w:id="5"/>
            <w:r>
              <w:rPr>
                <w:rFonts w:hint="eastAsia" w:ascii="宋体" w:hAnsi="宋体" w:eastAsia="宋体" w:cs="宋体"/>
                <w:b/>
                <w:bCs/>
                <w:sz w:val="24"/>
                <w:szCs w:val="24"/>
                <w:highlight w:val="none"/>
                <w:lang w:val="en-US" w:eastAsia="zh-CN"/>
              </w:rPr>
              <w:t>唱标→技术标评审→商务标评审。综合评分最高</w:t>
            </w:r>
            <w:r>
              <w:rPr>
                <w:rFonts w:hint="eastAsia" w:ascii="宋体" w:hAnsi="宋体" w:eastAsia="宋体" w:cs="Times New Roman"/>
                <w:b/>
                <w:bCs/>
                <w:color w:val="000000"/>
                <w:sz w:val="24"/>
                <w:szCs w:val="24"/>
                <w:highlight w:val="none"/>
              </w:rPr>
              <w:t>中标</w:t>
            </w:r>
            <w:r>
              <w:rPr>
                <w:rFonts w:hint="eastAsia" w:ascii="宋体" w:hAnsi="宋体" w:eastAsia="宋体" w:cs="宋体"/>
                <w:sz w:val="24"/>
                <w:szCs w:val="24"/>
                <w:highlight w:val="none"/>
              </w:rPr>
              <w:t>。具体详见“第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p>
        </w:tc>
      </w:tr>
      <w:tr w14:paraId="7A2031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D4471F0">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754194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FE3C35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C76DC6E">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69527B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69364FE">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87F2C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51C1FD3">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2814FB0A">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1AA6E2E">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420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14:paraId="21ABF0D4">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49335E44">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60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14:paraId="3A502E68">
            <w:pPr>
              <w:pStyle w:val="17"/>
              <w:ind w:firstLine="480" w:firstLineChars="200"/>
              <w:rPr>
                <w:rFonts w:hAnsi="宋体" w:eastAsia="宋体" w:cs="宋体"/>
                <w:color w:val="000000"/>
                <w:sz w:val="24"/>
                <w:szCs w:val="24"/>
              </w:rPr>
            </w:pPr>
            <w:r>
              <w:rPr>
                <w:rFonts w:hint="eastAsia" w:hAnsi="宋体" w:eastAsia="宋体" w:cs="宋体"/>
                <w:sz w:val="24"/>
                <w:szCs w:val="24"/>
                <w:highlight w:val="yellow"/>
              </w:rPr>
              <w:t>安装调试时间或终验收时间超过规定时间</w:t>
            </w:r>
            <w:r>
              <w:rPr>
                <w:rFonts w:hint="eastAsia" w:hAnsi="宋体" w:eastAsia="宋体" w:cs="宋体"/>
                <w:color w:val="000000"/>
                <w:sz w:val="24"/>
                <w:szCs w:val="24"/>
              </w:rPr>
              <w:t>的，投标人应当随标书提供详细的工期计划。</w:t>
            </w:r>
          </w:p>
        </w:tc>
      </w:tr>
      <w:tr w14:paraId="334EA8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726A0DB">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273FCAAF">
            <w:pPr>
              <w:pStyle w:val="17"/>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进口货物</w:t>
            </w:r>
            <w:r>
              <w:rPr>
                <w:rFonts w:hint="eastAsia" w:hAnsi="宋体" w:eastAsia="宋体" w:cs="宋体"/>
                <w:b/>
                <w:bCs/>
                <w:color w:val="000000"/>
                <w:sz w:val="24"/>
                <w:szCs w:val="24"/>
                <w:highlight w:val="none"/>
                <w:lang w:eastAsia="zh-CN"/>
              </w:rPr>
              <w:t>到货方式</w:t>
            </w:r>
            <w:r>
              <w:rPr>
                <w:rFonts w:hint="eastAsia" w:hAnsi="宋体" w:eastAsia="宋体" w:cs="宋体"/>
                <w:b/>
                <w:bCs/>
                <w:color w:val="000000"/>
                <w:sz w:val="24"/>
                <w:szCs w:val="24"/>
                <w:highlight w:val="none"/>
              </w:rPr>
              <w:t xml:space="preserve">：CIF青岛。 </w:t>
            </w:r>
          </w:p>
          <w:p w14:paraId="0B9EA60C">
            <w:pPr>
              <w:pStyle w:val="17"/>
              <w:ind w:firstLine="482" w:firstLineChars="200"/>
              <w:rPr>
                <w:rFonts w:hint="eastAsia" w:hAnsi="宋体" w:eastAsiaTheme="minorEastAsia" w:cstheme="minorBidi"/>
                <w:color w:val="000000" w:themeColor="text1"/>
                <w:sz w:val="24"/>
                <w:szCs w:val="24"/>
                <w:highlight w:val="none"/>
                <w:u w:val="single"/>
                <w14:textFill>
                  <w14:solidFill>
                    <w14:schemeClr w14:val="tx1"/>
                  </w14:solidFill>
                </w14:textFill>
              </w:rPr>
            </w:pPr>
            <w:r>
              <w:rPr>
                <w:rFonts w:hint="eastAsia" w:hAnsi="宋体" w:eastAsia="宋体" w:cs="宋体"/>
                <w:b/>
                <w:bCs/>
                <w:color w:val="000000"/>
                <w:sz w:val="24"/>
                <w:szCs w:val="24"/>
                <w:highlight w:val="none"/>
              </w:rPr>
              <w:t>国内货物交货地点：</w:t>
            </w:r>
            <w:r>
              <w:rPr>
                <w:rFonts w:hint="eastAsia" w:ascii="宋体" w:hAnsi="宋体" w:eastAsia="宋体" w:cs="宋体"/>
                <w:color w:val="000000"/>
                <w:sz w:val="24"/>
                <w:szCs w:val="24"/>
                <w:highlight w:val="none"/>
                <w:u w:val="single"/>
                <w:lang w:val="en-US" w:eastAsia="zh-CN"/>
              </w:rPr>
              <w:t>济南市莱芜区莱城大道与银安街交叉口</w:t>
            </w:r>
            <w:r>
              <w:rPr>
                <w:rFonts w:hint="eastAsia" w:hAnsi="宋体" w:eastAsia="宋体" w:cs="宋体"/>
                <w:color w:val="000000"/>
                <w:sz w:val="24"/>
                <w:szCs w:val="24"/>
                <w:highlight w:val="none"/>
                <w:u w:val="single"/>
              </w:rPr>
              <w:t>重汽新能源产品试验检测中心。</w:t>
            </w:r>
          </w:p>
          <w:p w14:paraId="4113AC64">
            <w:pPr>
              <w:pStyle w:val="17"/>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整体项目：</w:t>
            </w:r>
            <w:r>
              <w:rPr>
                <w:rFonts w:hint="eastAsia" w:hAnsi="宋体" w:eastAsia="宋体" w:cs="宋体"/>
                <w:color w:val="000000"/>
                <w:sz w:val="24"/>
                <w:szCs w:val="24"/>
                <w:highlight w:val="none"/>
              </w:rPr>
              <w:t>交钥匙方式。</w:t>
            </w:r>
          </w:p>
          <w:p w14:paraId="6A984089">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highlight w:val="none"/>
              </w:rPr>
              <w:t>项目建设地点：</w:t>
            </w:r>
            <w:r>
              <w:rPr>
                <w:rFonts w:hint="eastAsia" w:ascii="宋体" w:hAnsi="宋体" w:eastAsia="宋体" w:cs="宋体"/>
                <w:color w:val="000000"/>
                <w:sz w:val="24"/>
                <w:szCs w:val="24"/>
                <w:highlight w:val="none"/>
                <w:u w:val="single"/>
                <w:lang w:val="en-US" w:eastAsia="zh-CN"/>
              </w:rPr>
              <w:t>济南市莱芜区莱城大道与银安街交叉口</w:t>
            </w:r>
            <w:r>
              <w:rPr>
                <w:rFonts w:hint="eastAsia" w:hAnsi="宋体" w:eastAsia="宋体" w:cs="宋体"/>
                <w:color w:val="000000"/>
                <w:sz w:val="24"/>
                <w:szCs w:val="24"/>
                <w:highlight w:val="none"/>
                <w:u w:val="single"/>
              </w:rPr>
              <w:t>重汽新能源产品试验检测中心。</w:t>
            </w:r>
          </w:p>
        </w:tc>
      </w:tr>
      <w:tr w14:paraId="3A0A03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20DB1AB">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4D53114">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08D840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8" w:hRule="atLeast"/>
        </w:trPr>
        <w:tc>
          <w:tcPr>
            <w:tcW w:w="595" w:type="dxa"/>
            <w:tcBorders>
              <w:top w:val="single" w:color="auto" w:sz="2" w:space="0"/>
              <w:left w:val="single" w:color="auto" w:sz="2" w:space="0"/>
              <w:bottom w:val="single" w:color="auto" w:sz="2" w:space="0"/>
              <w:right w:val="single" w:color="auto" w:sz="4" w:space="0"/>
            </w:tcBorders>
            <w:vAlign w:val="center"/>
          </w:tcPr>
          <w:p w14:paraId="2BCFF548">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5136D27E">
            <w:pPr>
              <w:pStyle w:val="36"/>
              <w:spacing w:after="0" w:line="240" w:lineRule="auto"/>
              <w:ind w:left="0" w:leftChars="0" w:firstLine="482"/>
              <w:rPr>
                <w:rFonts w:ascii="宋体" w:hAnsi="宋体" w:cs="宋体"/>
                <w:sz w:val="24"/>
                <w:szCs w:val="24"/>
                <w:highlight w:val="yellow"/>
              </w:rPr>
            </w:pPr>
            <w:r>
              <w:rPr>
                <w:rFonts w:hint="eastAsia" w:ascii="宋体" w:hAnsi="宋体" w:cs="宋体"/>
                <w:b/>
                <w:bCs/>
                <w:sz w:val="24"/>
                <w:szCs w:val="24"/>
                <w:highlight w:val="yellow"/>
                <w:u w:val="single"/>
              </w:rPr>
              <w:t>Ⅰ.付款方式：电汇</w:t>
            </w:r>
            <w:r>
              <w:rPr>
                <w:rFonts w:hint="eastAsia" w:ascii="宋体" w:hAnsi="宋体" w:cs="宋体"/>
                <w:sz w:val="24"/>
                <w:szCs w:val="24"/>
                <w:highlight w:val="yellow"/>
              </w:rPr>
              <w:t xml:space="preserve">  </w:t>
            </w:r>
          </w:p>
          <w:p w14:paraId="1488E8D9">
            <w:pPr>
              <w:pStyle w:val="36"/>
              <w:spacing w:after="0" w:line="240" w:lineRule="auto"/>
              <w:ind w:left="0" w:leftChars="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1.1 预付款。</w:t>
            </w:r>
          </w:p>
          <w:p w14:paraId="1B8CE7F8">
            <w:pPr>
              <w:pStyle w:val="36"/>
              <w:spacing w:after="0" w:line="240" w:lineRule="auto"/>
              <w:ind w:left="0" w:leftChars="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买方在收到一份卖方出具的适用于国际商会见索即付保函统一规则（URDG758）的，以买方为受益人的无条件不可撤销银行预付款保函（合同总额的30%）后45天内，通过电汇方式将合同总额的30%（下称“预付款”）作为预付款支付给卖方。</w:t>
            </w:r>
          </w:p>
          <w:p w14:paraId="5A278C22">
            <w:pPr>
              <w:pStyle w:val="36"/>
              <w:spacing w:after="0" w:line="240" w:lineRule="auto"/>
              <w:ind w:left="0" w:leftChars="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预付款银行保函草稿应由买方收到后5天内确认完毕，该银行保函须满足：(i)卖方应确保买方于合同签订后30天内收到银行保函，和(ii)有效期截止装船日期之后的30天，若交货延期，卖方应相应延长保函的有效期。</w:t>
            </w:r>
          </w:p>
          <w:p w14:paraId="62CA5726">
            <w:pPr>
              <w:pStyle w:val="36"/>
              <w:spacing w:after="0" w:line="240" w:lineRule="auto"/>
              <w:ind w:left="0" w:leftChars="0"/>
              <w:rPr>
                <w:rFonts w:hint="default" w:ascii="宋体" w:hAnsi="宋体" w:cs="宋体"/>
                <w:sz w:val="24"/>
                <w:szCs w:val="24"/>
                <w:highlight w:val="yellow"/>
                <w:lang w:val="en-US" w:eastAsia="zh-CN"/>
              </w:rPr>
            </w:pPr>
            <w:r>
              <w:rPr>
                <w:rFonts w:hint="eastAsia" w:ascii="宋体" w:hAnsi="宋体" w:cs="宋体"/>
                <w:sz w:val="24"/>
                <w:szCs w:val="24"/>
                <w:highlight w:val="yellow"/>
                <w:lang w:val="en-US" w:eastAsia="zh-CN"/>
              </w:rPr>
              <w:t>1.2 货款</w:t>
            </w:r>
          </w:p>
          <w:p w14:paraId="06F55BF9">
            <w:pPr>
              <w:pStyle w:val="36"/>
              <w:spacing w:after="0" w:line="240" w:lineRule="auto"/>
              <w:ind w:left="0" w:leftChars="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买方应在发货前45个日历日前在中国境内的一家一流银行开立一个以卖方为受益人的不可撤销信用证，开证金额为合同全部金额的70%，信用证有效期为最终验收日期后45天。信用证草稿应在开证前7天发送给卖方。</w:t>
            </w:r>
          </w:p>
          <w:p w14:paraId="30FB72C0">
            <w:pPr>
              <w:pStyle w:val="36"/>
              <w:spacing w:after="0" w:line="240" w:lineRule="auto"/>
              <w:ind w:left="0" w:leftChars="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合同金额的60%由买方收到如下单据后支付给卖方(i)卖方与最终用户授权签字人依法签署的预验收报告；(ii)卖方通过向开证行提交发票金额60%的即期汇票；(iii)装船单据。</w:t>
            </w:r>
          </w:p>
          <w:p w14:paraId="0004406B">
            <w:pPr>
              <w:pStyle w:val="36"/>
              <w:spacing w:after="0" w:line="240" w:lineRule="auto"/>
              <w:ind w:left="0" w:leftChars="0"/>
              <w:rPr>
                <w:rFonts w:hint="default" w:ascii="宋体" w:hAnsi="宋体" w:cs="宋体"/>
                <w:sz w:val="24"/>
                <w:szCs w:val="24"/>
                <w:highlight w:val="yellow"/>
                <w:lang w:val="en-US" w:eastAsia="zh-CN"/>
              </w:rPr>
            </w:pPr>
            <w:r>
              <w:rPr>
                <w:rFonts w:hint="eastAsia" w:ascii="宋体" w:hAnsi="宋体" w:cs="宋体"/>
                <w:sz w:val="24"/>
                <w:szCs w:val="24"/>
                <w:highlight w:val="yellow"/>
                <w:lang w:val="en-US" w:eastAsia="zh-CN"/>
              </w:rPr>
              <w:t>1.3 质保金</w:t>
            </w:r>
          </w:p>
          <w:p w14:paraId="30C0633F">
            <w:pPr>
              <w:pStyle w:val="36"/>
              <w:spacing w:after="0" w:line="240" w:lineRule="auto"/>
              <w:ind w:left="0" w:leftChars="0"/>
              <w:rPr>
                <w:rFonts w:hint="eastAsia" w:ascii="宋体" w:hAnsi="宋体" w:eastAsia="宋体" w:cs="宋体"/>
                <w:kern w:val="2"/>
                <w:sz w:val="24"/>
                <w:szCs w:val="24"/>
                <w:highlight w:val="yellow"/>
                <w:lang w:val="en-US" w:eastAsia="zh-CN" w:bidi="ar-SA"/>
              </w:rPr>
            </w:pPr>
            <w:r>
              <w:rPr>
                <w:rFonts w:hint="eastAsia" w:ascii="宋体" w:hAnsi="宋体" w:eastAsia="宋体" w:cs="宋体"/>
                <w:kern w:val="2"/>
                <w:sz w:val="24"/>
                <w:szCs w:val="24"/>
                <w:highlight w:val="yellow"/>
                <w:lang w:val="en-US" w:eastAsia="zh-CN" w:bidi="ar-SA"/>
              </w:rPr>
              <w:t>合同金额的10%由买方收到如下单据后支付卖方：(i)卖方与最终用户授权签字人依法签署的最终验收报告；(ii)合同总金额10%的形式发票一式五份，应载明（包括但不限于）合同号码；(iii)终验收合格后卖方在指定的一级银行开立一份以买方为受益人的无条件的不可撤销银行保函；保函有效期截止到质保期结束</w:t>
            </w:r>
          </w:p>
          <w:p w14:paraId="7F8BB73C">
            <w:pPr>
              <w:pStyle w:val="36"/>
              <w:spacing w:after="0" w:line="240" w:lineRule="auto"/>
              <w:ind w:left="0" w:leftChars="0"/>
              <w:rPr>
                <w:rFonts w:hint="eastAsia" w:ascii="宋体" w:hAnsi="宋体" w:cs="宋体"/>
                <w:sz w:val="24"/>
                <w:szCs w:val="24"/>
                <w:highlight w:val="yellow"/>
              </w:rPr>
            </w:pPr>
            <w:r>
              <w:rPr>
                <w:rFonts w:hint="eastAsia" w:ascii="宋体" w:hAnsi="宋体" w:cs="宋体"/>
                <w:sz w:val="24"/>
                <w:szCs w:val="24"/>
                <w:highlight w:val="yellow"/>
                <w:lang w:val="en-US" w:eastAsia="zh-CN"/>
              </w:rPr>
              <w:t>2</w:t>
            </w:r>
            <w:r>
              <w:rPr>
                <w:rFonts w:hint="eastAsia" w:ascii="宋体" w:hAnsi="宋体" w:cs="宋体"/>
                <w:sz w:val="24"/>
                <w:szCs w:val="24"/>
                <w:highlight w:val="yellow"/>
                <w:lang w:eastAsia="zh-TW"/>
              </w:rPr>
              <w:t>.</w:t>
            </w:r>
            <w:r>
              <w:rPr>
                <w:rFonts w:hint="eastAsia" w:ascii="宋体" w:hAnsi="宋体" w:cs="宋体"/>
                <w:sz w:val="24"/>
                <w:szCs w:val="24"/>
                <w:highlight w:val="yellow"/>
              </w:rPr>
              <w:t>买方银行及其代理行的银行费用、佣金等相关费用由买方承担。卖方银行及其代理行的费用、佣金等相关费用由卖方承担。</w:t>
            </w:r>
          </w:p>
          <w:p w14:paraId="587FC056">
            <w:pPr>
              <w:pStyle w:val="36"/>
              <w:spacing w:after="0" w:line="240" w:lineRule="auto"/>
              <w:ind w:left="0" w:leftChars="0" w:firstLine="480"/>
              <w:rPr>
                <w:rFonts w:hint="eastAsia" w:hAnsi="宋体" w:cs="宋体" w:eastAsiaTheme="minorEastAsia"/>
                <w:color w:val="000000"/>
                <w:sz w:val="24"/>
                <w:szCs w:val="24"/>
                <w:highlight w:val="yellow"/>
                <w:lang w:eastAsia="zh-CN"/>
              </w:rPr>
            </w:pPr>
            <w:r>
              <w:rPr>
                <w:rFonts w:hint="eastAsia" w:ascii="宋体" w:hAnsi="宋体" w:cs="宋体"/>
                <w:sz w:val="24"/>
                <w:szCs w:val="24"/>
                <w:highlight w:val="yellow"/>
                <w:lang w:val="en-US" w:eastAsia="zh-CN"/>
              </w:rPr>
              <w:t>3.</w:t>
            </w:r>
            <w:r>
              <w:rPr>
                <w:rFonts w:hint="eastAsia" w:ascii="宋体" w:hAnsi="宋体" w:cs="宋体"/>
                <w:sz w:val="24"/>
                <w:szCs w:val="24"/>
                <w:highlight w:val="yellow"/>
              </w:rPr>
              <w:t>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tc>
      </w:tr>
      <w:tr w14:paraId="2B0FD7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EB5E160">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C4379C1">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683ADD62">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14:paraId="5655EF93">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14:paraId="5A357A78">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14:paraId="0A9D2D72">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14:paraId="11F861EF">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14:paraId="333476CB">
            <w:pPr>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账号：2377 0557 4474</w:t>
            </w:r>
          </w:p>
        </w:tc>
      </w:tr>
      <w:tr w14:paraId="20253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EFC7C01">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1BF762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DEFE529">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D0EAD31">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31EC71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3BA6D9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ADBBE96">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7A924A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48D883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B6E9A1D">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w:t>
            </w:r>
            <w:r>
              <w:rPr>
                <w:rFonts w:ascii="宋体" w:hAnsi="宋体" w:eastAsia="宋体" w:cs="宋体"/>
                <w:sz w:val="24"/>
                <w:szCs w:val="24"/>
                <w:highlight w:val="yellow"/>
              </w:rPr>
              <w:t>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4"/>
                <w:rFonts w:hint="eastAsia" w:ascii="宋体" w:hAnsi="宋体" w:eastAsia="宋体" w:cs="宋体"/>
                <w:sz w:val="24"/>
                <w:szCs w:val="24"/>
              </w:rPr>
              <w:t>提资</w:t>
            </w:r>
            <w:r>
              <w:rPr>
                <w:rFonts w:hint="eastAsia" w:ascii="宋体" w:hAnsi="宋体" w:eastAsia="宋体" w:cs="宋体"/>
                <w:sz w:val="24"/>
                <w:szCs w:val="24"/>
              </w:rPr>
              <w:t>要求提供详细的</w:t>
            </w:r>
            <w:r>
              <w:rPr>
                <w:rStyle w:val="44"/>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4"/>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4"/>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2011D1B">
      <w:pPr>
        <w:pStyle w:val="17"/>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1"/>
          <w:cols w:space="720" w:num="1"/>
          <w:docGrid w:linePitch="290" w:charSpace="-3931"/>
        </w:sectPr>
      </w:pPr>
    </w:p>
    <w:p w14:paraId="127A0F63">
      <w:pPr>
        <w:pStyle w:val="17"/>
        <w:pageBreakBefore w:val="0"/>
        <w:kinsoku/>
        <w:wordWrap/>
        <w:overflowPunct/>
        <w:topLinePunct w:val="0"/>
        <w:autoSpaceDE/>
        <w:autoSpaceDN/>
        <w:bidi w:val="0"/>
        <w:spacing w:line="360" w:lineRule="auto"/>
        <w:jc w:val="center"/>
        <w:outlineLvl w:val="0"/>
        <w:rPr>
          <w:rFonts w:ascii="Calibri" w:hAnsi="Calibri" w:eastAsia="宋体" w:cs="Times New Roman"/>
          <w:b/>
          <w:bCs/>
          <w:kern w:val="44"/>
          <w:sz w:val="36"/>
          <w:szCs w:val="44"/>
        </w:rPr>
      </w:pPr>
      <w:bookmarkStart w:id="6" w:name="_Toc29337"/>
      <w:r>
        <w:rPr>
          <w:rFonts w:hint="eastAsia" w:ascii="Calibri" w:hAnsi="Calibri" w:eastAsia="宋体" w:cs="Times New Roman"/>
          <w:b/>
          <w:bCs/>
          <w:kern w:val="44"/>
          <w:sz w:val="36"/>
          <w:szCs w:val="44"/>
        </w:rPr>
        <w:t>第二部分 投标须知</w:t>
      </w:r>
      <w:bookmarkEnd w:id="6"/>
    </w:p>
    <w:p w14:paraId="4A41E14B">
      <w:pPr>
        <w:keepNext/>
        <w:keepLines/>
        <w:pageBreakBefore w:val="0"/>
        <w:kinsoku/>
        <w:wordWrap/>
        <w:overflowPunct/>
        <w:topLinePunct w:val="0"/>
        <w:autoSpaceDE/>
        <w:autoSpaceDN/>
        <w:bidi w:val="0"/>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14:paraId="179A7284">
      <w:pPr>
        <w:pageBreakBefore w:val="0"/>
        <w:widowControl w:val="0"/>
        <w:kinsoku/>
        <w:wordWrap/>
        <w:overflowPunct/>
        <w:topLinePunct w:val="0"/>
        <w:autoSpaceDE/>
        <w:autoSpaceDN/>
        <w:bidi w:val="0"/>
        <w:adjustRightInd/>
        <w:snapToGrid/>
        <w:spacing w:line="360" w:lineRule="auto"/>
        <w:ind w:left="1679" w:leftChars="228" w:hanging="1200" w:hangingChars="500"/>
        <w:textAlignment w:val="auto"/>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7" w:name="OLE_LINK1"/>
      <w:r>
        <w:rPr>
          <w:rFonts w:hint="eastAsia" w:ascii="宋体" w:hAnsi="宋体" w:eastAsia="宋体" w:cs="Times New Roman"/>
          <w:color w:val="000000"/>
          <w:sz w:val="24"/>
          <w:szCs w:val="24"/>
        </w:rPr>
        <w:t>见《投标须知前附表》。</w:t>
      </w:r>
    </w:p>
    <w:bookmarkEnd w:id="7"/>
    <w:p w14:paraId="1FB681BD">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14:paraId="644295CA">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hAnsi="宋体" w:eastAsia="宋体" w:cs="Times New Roman"/>
          <w:color w:val="000000"/>
          <w:sz w:val="24"/>
          <w:szCs w:val="24"/>
        </w:rPr>
        <w:t>见《投标须知前附表》。</w:t>
      </w:r>
    </w:p>
    <w:p w14:paraId="29EE9459">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对于本项目需着重介绍的注意事项已经通过以下带颜色文档进行标记。</w:t>
      </w:r>
    </w:p>
    <w:p w14:paraId="788378B9">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14:paraId="514D3C91">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14:paraId="0BF9BCB4">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14:paraId="74B33885">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14:paraId="00FF24B6">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14:paraId="3FE4FACD">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1814D656">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F550B34">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5C1F8561">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2.投标条件</w:t>
      </w:r>
    </w:p>
    <w:p w14:paraId="48E05994">
      <w:pPr>
        <w:pStyle w:val="17"/>
        <w:pageBreakBefore w:val="0"/>
        <w:kinsoku/>
        <w:wordWrap/>
        <w:overflowPunct/>
        <w:topLinePunct w:val="0"/>
        <w:autoSpaceDE/>
        <w:autoSpaceDN/>
        <w:bidi w:val="0"/>
        <w:spacing w:line="360" w:lineRule="auto"/>
        <w:ind w:firstLine="482" w:firstLineChars="200"/>
        <w:rPr>
          <w:rFonts w:hAnsi="宋体" w:eastAsia="宋体"/>
          <w:color w:val="000000"/>
          <w:sz w:val="24"/>
          <w:szCs w:val="24"/>
        </w:rPr>
      </w:pPr>
      <w:r>
        <w:rPr>
          <w:rFonts w:hint="eastAsia" w:eastAsia="宋体" w:cs="Times New Roman"/>
          <w:b/>
          <w:bCs/>
          <w:color w:val="000000"/>
          <w:sz w:val="24"/>
          <w:szCs w:val="24"/>
          <w:highlight w:val="yellow"/>
        </w:rPr>
        <w:t>对于投标条件详见招标文件“第一部分投标须知前附表1.6”。</w:t>
      </w:r>
    </w:p>
    <w:p w14:paraId="1EB8DD2A">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14:paraId="6979FAF4">
      <w:pPr>
        <w:pStyle w:val="17"/>
        <w:pageBreakBefore w:val="0"/>
        <w:kinsoku/>
        <w:wordWrap/>
        <w:overflowPunct/>
        <w:topLinePunct w:val="0"/>
        <w:autoSpaceDE/>
        <w:autoSpaceDN/>
        <w:bidi w:val="0"/>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lang w:val="en-US" w:eastAsia="zh-CN"/>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14:paraId="0471D98C">
      <w:pPr>
        <w:pageBreakBefore w:val="0"/>
        <w:kinsoku/>
        <w:wordWrap/>
        <w:overflowPunct/>
        <w:topLinePunct w:val="0"/>
        <w:autoSpaceDE/>
        <w:autoSpaceDN/>
        <w:bidi w:val="0"/>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EE30A67">
      <w:pPr>
        <w:pageBreakBefore w:val="0"/>
        <w:kinsoku/>
        <w:wordWrap/>
        <w:overflowPunct/>
        <w:topLinePunct w:val="0"/>
        <w:autoSpaceDE/>
        <w:autoSpaceDN/>
        <w:bidi w:val="0"/>
        <w:spacing w:line="360" w:lineRule="auto"/>
        <w:ind w:firstLine="480" w:firstLineChars="200"/>
        <w:rPr>
          <w:rFonts w:hint="eastAsia" w:ascii="宋体" w:hAnsi="宋体" w:eastAsia="宋体" w:cs="Times New Roman"/>
          <w:b/>
          <w:bCs/>
          <w:color w:val="000000"/>
          <w:sz w:val="24"/>
          <w:szCs w:val="24"/>
          <w:highlight w:val="none"/>
        </w:rPr>
      </w:pPr>
      <w:r>
        <w:rPr>
          <w:rFonts w:hint="eastAsia" w:ascii="宋体" w:hAnsi="宋体" w:eastAsia="宋体" w:cs="Times New Roman"/>
          <w:color w:val="000000"/>
          <w:sz w:val="24"/>
          <w:szCs w:val="24"/>
          <w:highlight w:val="none"/>
        </w:rPr>
        <w:t>3.2</w:t>
      </w:r>
      <w:r>
        <w:rPr>
          <w:rFonts w:hint="eastAsia" w:ascii="宋体" w:hAnsi="宋体" w:eastAsia="宋体" w:cs="Times New Roman"/>
          <w:b/>
          <w:bCs/>
          <w:color w:val="000000"/>
          <w:sz w:val="24"/>
          <w:szCs w:val="24"/>
          <w:highlight w:val="none"/>
        </w:rPr>
        <w:t>所有设备的报价货币单位为：</w:t>
      </w:r>
      <w:r>
        <w:rPr>
          <w:rFonts w:hint="eastAsia"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rPr>
        <w:t>元【人民币（应同时报含税价和不含税价并写明税率）】。</w:t>
      </w:r>
    </w:p>
    <w:p w14:paraId="78ADBB6F">
      <w:pPr>
        <w:spacing w:line="360" w:lineRule="auto"/>
        <w:ind w:firstLine="480" w:firstLineChars="200"/>
        <w:rPr>
          <w:rFonts w:hint="eastAsia" w:ascii="宋体" w:hAnsi="宋体" w:eastAsia="宋体" w:cs="Times New Roman"/>
          <w:b w:val="0"/>
          <w:bCs w:val="0"/>
          <w:color w:val="000000"/>
          <w:sz w:val="24"/>
          <w:szCs w:val="24"/>
          <w:highlight w:val="yellow"/>
        </w:rPr>
      </w:pPr>
      <w:r>
        <w:rPr>
          <w:rFonts w:hint="eastAsia" w:ascii="宋体" w:hAnsi="宋体" w:eastAsia="宋体" w:cs="Times New Roman"/>
          <w:b w:val="0"/>
          <w:bCs w:val="0"/>
          <w:color w:val="000000"/>
          <w:sz w:val="24"/>
          <w:szCs w:val="24"/>
          <w:highlight w:val="yellow"/>
        </w:rPr>
        <w:t>总报价</w:t>
      </w:r>
      <w:r>
        <w:rPr>
          <w:rFonts w:hint="eastAsia" w:ascii="宋体" w:hAnsi="宋体" w:eastAsia="宋体" w:cs="Times New Roman"/>
          <w:b w:val="0"/>
          <w:bCs w:val="0"/>
          <w:color w:val="000000"/>
          <w:sz w:val="24"/>
          <w:szCs w:val="24"/>
          <w:highlight w:val="yellow"/>
          <w:lang w:eastAsia="zh-CN"/>
        </w:rPr>
        <w:t>包含</w:t>
      </w:r>
      <w:r>
        <w:rPr>
          <w:rFonts w:hint="eastAsia" w:ascii="宋体" w:hAnsi="宋体" w:eastAsia="宋体" w:cs="Times New Roman"/>
          <w:b w:val="0"/>
          <w:bCs w:val="0"/>
          <w:color w:val="000000"/>
          <w:sz w:val="24"/>
          <w:szCs w:val="24"/>
          <w:highlight w:val="yellow"/>
        </w:rPr>
        <w:t>进口货物报价与国内货物报价。</w:t>
      </w:r>
    </w:p>
    <w:p w14:paraId="46E26317">
      <w:pPr>
        <w:spacing w:line="360" w:lineRule="auto"/>
        <w:ind w:firstLine="480" w:firstLineChars="200"/>
        <w:rPr>
          <w:rFonts w:hint="eastAsia" w:ascii="宋体" w:hAnsi="宋体" w:eastAsia="宋体" w:cs="Times New Roman"/>
          <w:b w:val="0"/>
          <w:bCs w:val="0"/>
          <w:color w:val="000000"/>
          <w:sz w:val="24"/>
          <w:szCs w:val="24"/>
          <w:highlight w:val="yellow"/>
          <w:lang w:val="en-US" w:eastAsia="zh-CN"/>
        </w:rPr>
      </w:pPr>
      <w:r>
        <w:rPr>
          <w:rFonts w:hint="eastAsia" w:ascii="宋体" w:hAnsi="宋体" w:eastAsia="宋体" w:cs="Times New Roman"/>
          <w:b w:val="0"/>
          <w:bCs w:val="0"/>
          <w:color w:val="000000"/>
          <w:sz w:val="24"/>
          <w:szCs w:val="24"/>
          <w:highlight w:val="yellow"/>
          <w:lang w:val="en-US" w:eastAsia="zh-CN"/>
        </w:rPr>
        <w:t>3.2.1在“中国重汽e采通平台”报价说明：因该平台仅支持填报人民币报价：</w:t>
      </w:r>
    </w:p>
    <w:p w14:paraId="425A7A48">
      <w:pPr>
        <w:spacing w:line="360" w:lineRule="auto"/>
        <w:ind w:firstLine="480" w:firstLineChars="200"/>
        <w:rPr>
          <w:rFonts w:hint="default" w:ascii="宋体" w:hAnsi="宋体" w:eastAsia="宋体" w:cs="Times New Roman"/>
          <w:color w:val="000000"/>
          <w:sz w:val="24"/>
          <w:szCs w:val="24"/>
          <w:highlight w:val="yellow"/>
          <w:lang w:val="en-US" w:eastAsia="zh-CN"/>
        </w:rPr>
      </w:pPr>
      <w:r>
        <w:rPr>
          <w:rFonts w:hint="eastAsia" w:ascii="宋体" w:hAnsi="宋体" w:eastAsia="宋体" w:cs="Times New Roman"/>
          <w:b w:val="0"/>
          <w:bCs w:val="0"/>
          <w:color w:val="000000"/>
          <w:sz w:val="24"/>
          <w:szCs w:val="24"/>
          <w:highlight w:val="yellow"/>
          <w:lang w:val="en-US" w:eastAsia="zh-CN"/>
        </w:rPr>
        <w:t>A）对于全部为</w:t>
      </w:r>
      <w:r>
        <w:rPr>
          <w:rFonts w:hint="eastAsia" w:ascii="宋体" w:hAnsi="宋体" w:eastAsia="宋体" w:cs="Times New Roman"/>
          <w:color w:val="000000"/>
          <w:sz w:val="24"/>
          <w:szCs w:val="24"/>
          <w:highlight w:val="yellow"/>
        </w:rPr>
        <w:t>进口货物</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签署外币合同，CIF青岛</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w:t>
      </w:r>
      <w:r>
        <w:rPr>
          <w:rFonts w:hint="eastAsia" w:ascii="宋体" w:hAnsi="宋体" w:eastAsia="宋体" w:cs="Times New Roman"/>
          <w:color w:val="000000"/>
          <w:sz w:val="24"/>
          <w:szCs w:val="24"/>
          <w:highlight w:val="yellow"/>
        </w:rPr>
        <w:t>报价为外币（实际支付货币为外币），</w:t>
      </w:r>
      <w:r>
        <w:rPr>
          <w:rFonts w:hint="eastAsia" w:ascii="宋体" w:hAnsi="宋体" w:eastAsia="宋体" w:cs="Times New Roman"/>
          <w:b/>
          <w:bCs/>
          <w:color w:val="000000"/>
          <w:sz w:val="24"/>
          <w:szCs w:val="24"/>
          <w:highlight w:val="yellow"/>
          <w:lang w:val="en-US" w:eastAsia="zh-CN"/>
        </w:rPr>
        <w:t>首次投标报价</w:t>
      </w:r>
      <w:r>
        <w:rPr>
          <w:rFonts w:hint="eastAsia" w:ascii="宋体" w:hAnsi="宋体" w:eastAsia="宋体" w:cs="Times New Roman"/>
          <w:color w:val="000000"/>
          <w:sz w:val="24"/>
          <w:szCs w:val="24"/>
          <w:highlight w:val="yellow"/>
        </w:rPr>
        <w:t>需按照</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rPr>
        <w:t>发标日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color w:val="000000"/>
          <w:sz w:val="24"/>
          <w:szCs w:val="24"/>
          <w:highlight w:val="yellow"/>
        </w:rPr>
        <w:t>中国人民银行公示的汇率中间价折算成人民币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填报到e采通平台内</w:t>
      </w:r>
      <w:r>
        <w:rPr>
          <w:rFonts w:hint="eastAsia" w:ascii="宋体" w:hAnsi="宋体" w:eastAsia="宋体" w:cs="Times New Roman"/>
          <w:color w:val="000000"/>
          <w:sz w:val="24"/>
          <w:szCs w:val="24"/>
          <w:highlight w:val="yellow"/>
        </w:rPr>
        <w:t>；</w:t>
      </w:r>
      <w:r>
        <w:rPr>
          <w:rFonts w:hint="eastAsia" w:ascii="宋体" w:hAnsi="宋体" w:eastAsia="宋体" w:cs="Times New Roman"/>
          <w:b/>
          <w:bCs/>
          <w:color w:val="000000"/>
          <w:sz w:val="24"/>
          <w:szCs w:val="24"/>
          <w:highlight w:val="yellow"/>
          <w:lang w:val="en-US" w:eastAsia="zh-CN"/>
        </w:rPr>
        <w:t>商务标澄清报价阶段</w:t>
      </w:r>
      <w:r>
        <w:rPr>
          <w:rFonts w:hint="eastAsia" w:ascii="宋体" w:hAnsi="宋体" w:eastAsia="宋体" w:cs="Times New Roman"/>
          <w:color w:val="000000"/>
          <w:sz w:val="24"/>
          <w:szCs w:val="24"/>
          <w:highlight w:val="yellow"/>
          <w:lang w:val="en-US" w:eastAsia="zh-CN"/>
        </w:rPr>
        <w:t>需按照“</w:t>
      </w:r>
      <w:r>
        <w:rPr>
          <w:rFonts w:hint="eastAsia" w:ascii="宋体" w:hAnsi="宋体" w:eastAsia="宋体" w:cs="Times New Roman"/>
          <w:b/>
          <w:bCs/>
          <w:color w:val="000000"/>
          <w:sz w:val="24"/>
          <w:szCs w:val="24"/>
          <w:highlight w:val="yellow"/>
          <w:lang w:val="en-US" w:eastAsia="zh-CN"/>
        </w:rPr>
        <w:t>商务标开标日前一天”</w:t>
      </w:r>
      <w:r>
        <w:rPr>
          <w:rFonts w:hint="eastAsia" w:ascii="宋体" w:hAnsi="宋体" w:eastAsia="宋体" w:cs="Times New Roman"/>
          <w:color w:val="000000"/>
          <w:sz w:val="24"/>
          <w:szCs w:val="24"/>
          <w:highlight w:val="yellow"/>
        </w:rPr>
        <w:t>中国人民银行公示的汇率中间价折算成人民币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填报到e采通平台内</w:t>
      </w:r>
      <w:r>
        <w:rPr>
          <w:rFonts w:hint="eastAsia" w:ascii="宋体" w:hAnsi="宋体" w:eastAsia="宋体" w:cs="Times New Roman"/>
          <w:b/>
          <w:bCs/>
          <w:color w:val="000000"/>
          <w:sz w:val="24"/>
          <w:szCs w:val="24"/>
          <w:highlight w:val="yellow"/>
          <w:lang w:val="en-US" w:eastAsia="zh-CN"/>
        </w:rPr>
        <w:t>，并在澄清函内明确总报价的构成及汇率</w:t>
      </w:r>
      <w:r>
        <w:rPr>
          <w:rFonts w:hint="eastAsia" w:ascii="宋体" w:hAnsi="宋体" w:eastAsia="宋体" w:cs="Times New Roman"/>
          <w:color w:val="000000"/>
          <w:sz w:val="24"/>
          <w:szCs w:val="24"/>
          <w:highlight w:val="yellow"/>
        </w:rPr>
        <w:t>；</w:t>
      </w:r>
    </w:p>
    <w:p w14:paraId="4A7F43B5">
      <w:pPr>
        <w:pStyle w:val="3"/>
        <w:ind w:firstLine="480" w:firstLineChars="200"/>
        <w:rPr>
          <w:rFonts w:hint="default" w:eastAsia="宋体"/>
          <w:b w:val="0"/>
          <w:bCs w:val="0"/>
          <w:highlight w:val="yellow"/>
          <w:lang w:val="en-US" w:eastAsia="zh-CN"/>
        </w:rPr>
      </w:pPr>
      <w:r>
        <w:rPr>
          <w:rFonts w:hint="eastAsia" w:ascii="宋体" w:hAnsi="宋体" w:eastAsia="宋体" w:cs="Times New Roman"/>
          <w:b w:val="0"/>
          <w:bCs w:val="0"/>
          <w:color w:val="000000"/>
          <w:sz w:val="24"/>
          <w:szCs w:val="24"/>
          <w:highlight w:val="yellow"/>
          <w:lang w:val="en-US" w:eastAsia="zh-CN"/>
        </w:rPr>
        <w:t>B）对于既包含进口货物（签署外币合同，CIF青岛），又包含国内货物（签署人民币合同，含税价格）的，</w:t>
      </w:r>
      <w:r>
        <w:rPr>
          <w:rFonts w:hint="eastAsia" w:ascii="宋体" w:hAnsi="宋体" w:eastAsia="宋体" w:cs="Times New Roman"/>
          <w:b/>
          <w:bCs/>
          <w:color w:val="000000"/>
          <w:sz w:val="24"/>
          <w:szCs w:val="24"/>
          <w:highlight w:val="yellow"/>
          <w:lang w:val="en-US" w:eastAsia="zh-CN"/>
        </w:rPr>
        <w:t>首次投标报价</w:t>
      </w:r>
      <w:r>
        <w:rPr>
          <w:rFonts w:hint="eastAsia" w:ascii="宋体" w:hAnsi="宋体" w:eastAsia="宋体" w:cs="Times New Roman"/>
          <w:b w:val="0"/>
          <w:bCs w:val="0"/>
          <w:color w:val="000000"/>
          <w:sz w:val="24"/>
          <w:szCs w:val="24"/>
          <w:highlight w:val="yellow"/>
          <w:lang w:val="en-US" w:eastAsia="zh-CN"/>
        </w:rPr>
        <w:t>需将外币</w:t>
      </w:r>
      <w:r>
        <w:rPr>
          <w:rFonts w:hint="eastAsia" w:ascii="宋体" w:hAnsi="宋体" w:cs="Times New Roman"/>
          <w:b w:val="0"/>
          <w:bCs w:val="0"/>
          <w:color w:val="000000"/>
          <w:sz w:val="24"/>
          <w:szCs w:val="24"/>
          <w:highlight w:val="yellow"/>
          <w:lang w:val="en-US" w:eastAsia="zh-CN"/>
        </w:rPr>
        <w:t>部分</w:t>
      </w:r>
      <w:r>
        <w:rPr>
          <w:rFonts w:hint="eastAsia" w:ascii="宋体" w:hAnsi="宋体" w:eastAsia="宋体" w:cs="Times New Roman"/>
          <w:b w:val="0"/>
          <w:bCs w:val="0"/>
          <w:color w:val="000000"/>
          <w:sz w:val="24"/>
          <w:szCs w:val="24"/>
          <w:highlight w:val="yellow"/>
        </w:rPr>
        <w:t>按照</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rPr>
        <w:t>发标日</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b w:val="0"/>
          <w:bCs w:val="0"/>
          <w:color w:val="000000"/>
          <w:sz w:val="24"/>
          <w:szCs w:val="24"/>
          <w:highlight w:val="yellow"/>
        </w:rPr>
        <w:t>中国人民银行公示的汇率中间价折算成人民币</w:t>
      </w:r>
      <w:r>
        <w:rPr>
          <w:rFonts w:hint="eastAsia" w:ascii="宋体" w:hAnsi="宋体" w:eastAsia="宋体" w:cs="Times New Roman"/>
          <w:b w:val="0"/>
          <w:bCs w:val="0"/>
          <w:color w:val="000000"/>
          <w:sz w:val="24"/>
          <w:szCs w:val="24"/>
          <w:highlight w:val="yellow"/>
          <w:lang w:val="en-US" w:eastAsia="zh-CN"/>
        </w:rPr>
        <w:t>后，与国内货物的人民报价求和后报到e采通平台内；</w:t>
      </w:r>
      <w:r>
        <w:rPr>
          <w:rFonts w:hint="eastAsia" w:ascii="宋体" w:hAnsi="宋体" w:eastAsia="宋体" w:cs="Times New Roman"/>
          <w:b/>
          <w:bCs/>
          <w:color w:val="000000"/>
          <w:sz w:val="24"/>
          <w:szCs w:val="24"/>
          <w:highlight w:val="yellow"/>
          <w:lang w:val="en-US" w:eastAsia="zh-CN"/>
        </w:rPr>
        <w:t>商务标澄清报价阶段</w:t>
      </w:r>
      <w:r>
        <w:rPr>
          <w:rFonts w:hint="eastAsia" w:ascii="宋体" w:hAnsi="宋体" w:eastAsia="宋体" w:cs="Times New Roman"/>
          <w:b w:val="0"/>
          <w:bCs w:val="0"/>
          <w:color w:val="000000"/>
          <w:sz w:val="24"/>
          <w:szCs w:val="24"/>
          <w:highlight w:val="yellow"/>
          <w:lang w:val="en-US" w:eastAsia="zh-CN"/>
        </w:rPr>
        <w:t>需将外币</w:t>
      </w:r>
      <w:r>
        <w:rPr>
          <w:rFonts w:hint="eastAsia" w:ascii="宋体" w:hAnsi="宋体" w:cs="Times New Roman"/>
          <w:b w:val="0"/>
          <w:bCs w:val="0"/>
          <w:color w:val="000000"/>
          <w:sz w:val="24"/>
          <w:szCs w:val="24"/>
          <w:highlight w:val="yellow"/>
          <w:lang w:val="en-US" w:eastAsia="zh-CN"/>
        </w:rPr>
        <w:t>部分</w:t>
      </w:r>
      <w:r>
        <w:rPr>
          <w:rFonts w:hint="eastAsia" w:ascii="宋体" w:hAnsi="宋体" w:eastAsia="宋体" w:cs="Times New Roman"/>
          <w:b w:val="0"/>
          <w:bCs w:val="0"/>
          <w:color w:val="000000"/>
          <w:sz w:val="24"/>
          <w:szCs w:val="24"/>
          <w:highlight w:val="yellow"/>
        </w:rPr>
        <w:t>按照</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b/>
          <w:bCs/>
          <w:color w:val="000000"/>
          <w:sz w:val="24"/>
          <w:szCs w:val="24"/>
          <w:highlight w:val="yellow"/>
          <w:lang w:val="en-US" w:eastAsia="zh-CN"/>
        </w:rPr>
        <w:t>商务标开标日前一天</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b w:val="0"/>
          <w:bCs w:val="0"/>
          <w:color w:val="000000"/>
          <w:sz w:val="24"/>
          <w:szCs w:val="24"/>
          <w:highlight w:val="yellow"/>
        </w:rPr>
        <w:t>中国人民银行公示的汇率中间价折算成人民币</w:t>
      </w:r>
      <w:r>
        <w:rPr>
          <w:rFonts w:hint="eastAsia" w:ascii="宋体" w:hAnsi="宋体" w:eastAsia="宋体" w:cs="Times New Roman"/>
          <w:b w:val="0"/>
          <w:bCs w:val="0"/>
          <w:color w:val="000000"/>
          <w:sz w:val="24"/>
          <w:szCs w:val="24"/>
          <w:highlight w:val="yellow"/>
          <w:lang w:val="en-US" w:eastAsia="zh-CN"/>
        </w:rPr>
        <w:t>后，与国内货物的人民报价求和后报到e采通平台内</w:t>
      </w:r>
      <w:r>
        <w:rPr>
          <w:rFonts w:hint="eastAsia" w:ascii="宋体" w:hAnsi="宋体" w:eastAsia="宋体" w:cs="Times New Roman"/>
          <w:color w:val="000000"/>
          <w:sz w:val="24"/>
          <w:szCs w:val="24"/>
          <w:highlight w:val="yellow"/>
          <w:lang w:val="en-US" w:eastAsia="zh-CN"/>
        </w:rPr>
        <w:t>，并在澄清函内明确总报价的构成及汇率</w:t>
      </w:r>
      <w:r>
        <w:rPr>
          <w:rFonts w:hint="eastAsia" w:ascii="宋体" w:hAnsi="宋体" w:eastAsia="宋体" w:cs="Times New Roman"/>
          <w:b w:val="0"/>
          <w:bCs w:val="0"/>
          <w:color w:val="000000"/>
          <w:sz w:val="24"/>
          <w:szCs w:val="24"/>
          <w:highlight w:val="yellow"/>
          <w:lang w:val="en-US" w:eastAsia="zh-CN"/>
        </w:rPr>
        <w:t>；</w:t>
      </w:r>
    </w:p>
    <w:p w14:paraId="514AC7B3">
      <w:pPr>
        <w:spacing w:line="360" w:lineRule="auto"/>
        <w:ind w:firstLine="480" w:firstLineChars="200"/>
        <w:rPr>
          <w:rFonts w:hint="eastAsia" w:ascii="宋体" w:hAnsi="宋体" w:eastAsia="宋体" w:cs="宋体"/>
          <w:b/>
          <w:bCs/>
          <w:color w:val="000000"/>
          <w:sz w:val="24"/>
          <w:szCs w:val="24"/>
          <w:highlight w:val="yellow"/>
        </w:rPr>
      </w:pPr>
      <w:r>
        <w:rPr>
          <w:rFonts w:hint="eastAsia" w:ascii="宋体" w:hAnsi="宋体" w:eastAsia="宋体" w:cs="Times New Roman"/>
          <w:color w:val="000000"/>
          <w:sz w:val="24"/>
          <w:szCs w:val="24"/>
          <w:highlight w:val="yellow"/>
          <w:lang w:val="en-US" w:eastAsia="zh-CN"/>
        </w:rPr>
        <w:t>C）对于全部为</w:t>
      </w:r>
      <w:r>
        <w:rPr>
          <w:rFonts w:hint="eastAsia" w:ascii="宋体" w:hAnsi="宋体" w:eastAsia="宋体" w:cs="Times New Roman"/>
          <w:color w:val="000000"/>
          <w:sz w:val="24"/>
          <w:szCs w:val="24"/>
          <w:highlight w:val="yellow"/>
        </w:rPr>
        <w:t>国内货物</w:t>
      </w:r>
      <w:r>
        <w:rPr>
          <w:rFonts w:hint="eastAsia" w:ascii="宋体" w:hAnsi="宋体" w:eastAsia="宋体" w:cs="Times New Roman"/>
          <w:color w:val="000000"/>
          <w:sz w:val="24"/>
          <w:szCs w:val="24"/>
          <w:highlight w:val="yellow"/>
          <w:lang w:val="en-US" w:eastAsia="zh-CN"/>
        </w:rPr>
        <w:t>的（签署人民币合同），</w:t>
      </w:r>
      <w:r>
        <w:rPr>
          <w:rFonts w:hint="eastAsia" w:ascii="宋体" w:hAnsi="宋体" w:eastAsia="宋体" w:cs="Times New Roman"/>
          <w:color w:val="000000"/>
          <w:sz w:val="24"/>
          <w:szCs w:val="24"/>
          <w:highlight w:val="yellow"/>
        </w:rPr>
        <w:t>报价为人民币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rPr>
        <w:t>含税价</w:t>
      </w:r>
      <w:r>
        <w:rPr>
          <w:rFonts w:hint="eastAsia" w:ascii="宋体" w:hAnsi="宋体" w:eastAsia="宋体" w:cs="Times New Roman"/>
          <w:color w:val="000000"/>
          <w:sz w:val="24"/>
          <w:szCs w:val="24"/>
          <w:highlight w:val="yellow"/>
          <w:lang w:eastAsia="zh-CN"/>
        </w:rPr>
        <w:t>）</w:t>
      </w:r>
      <w:r>
        <w:rPr>
          <w:rFonts w:hint="eastAsia" w:ascii="宋体" w:hAnsi="宋体" w:eastAsia="宋体" w:cs="宋体"/>
          <w:b/>
          <w:bCs/>
          <w:color w:val="000000"/>
          <w:sz w:val="24"/>
          <w:szCs w:val="24"/>
          <w:highlight w:val="yellow"/>
        </w:rPr>
        <w:t>。</w:t>
      </w:r>
    </w:p>
    <w:p w14:paraId="068E2942">
      <w:pPr>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3.2.2纸质报价说明：</w:t>
      </w:r>
    </w:p>
    <w:p w14:paraId="082F29DD">
      <w:pPr>
        <w:pageBreakBefore w:val="0"/>
        <w:kinsoku/>
        <w:wordWrap/>
        <w:overflowPunct/>
        <w:topLinePunct w:val="0"/>
        <w:autoSpaceDE/>
        <w:autoSpaceDN/>
        <w:bidi w:val="0"/>
        <w:spacing w:line="360" w:lineRule="auto"/>
        <w:ind w:firstLine="480" w:firstLineChars="200"/>
        <w:rPr>
          <w:rFonts w:hint="eastAsia" w:ascii="宋体" w:hAnsi="宋体" w:eastAsia="宋体" w:cs="Times New Roman"/>
          <w:b/>
          <w:bCs/>
          <w:color w:val="000000"/>
          <w:sz w:val="24"/>
          <w:szCs w:val="24"/>
          <w:highlight w:val="yellow"/>
          <w:lang w:eastAsia="zh-CN"/>
        </w:rPr>
      </w:pPr>
      <w:r>
        <w:rPr>
          <w:rFonts w:hint="eastAsia" w:ascii="宋体" w:hAnsi="宋体" w:eastAsia="宋体" w:cs="宋体"/>
          <w:color w:val="000000"/>
          <w:sz w:val="24"/>
          <w:szCs w:val="24"/>
          <w:highlight w:val="yellow"/>
          <w:lang w:val="en-US" w:eastAsia="zh-CN"/>
        </w:rPr>
        <w:t>按照既定报价单格式报价即可</w:t>
      </w:r>
      <w:r>
        <w:rPr>
          <w:rFonts w:hint="eastAsia" w:ascii="宋体" w:hAnsi="宋体" w:eastAsia="宋体" w:cs="Times New Roman"/>
          <w:color w:val="000000"/>
          <w:sz w:val="24"/>
          <w:szCs w:val="24"/>
          <w:highlight w:val="yellow"/>
        </w:rPr>
        <w:t>（应同时报含税价和不含税价并写明税率）；并</w:t>
      </w:r>
      <w:r>
        <w:rPr>
          <w:rFonts w:hint="eastAsia" w:ascii="宋体" w:hAnsi="宋体" w:eastAsia="宋体" w:cs="Times New Roman"/>
          <w:b/>
          <w:bCs/>
          <w:color w:val="000000"/>
          <w:sz w:val="24"/>
          <w:szCs w:val="24"/>
          <w:highlight w:val="yellow"/>
        </w:rPr>
        <w:t>分别注明应实际支付货币币种和金额</w:t>
      </w:r>
      <w:r>
        <w:rPr>
          <w:rFonts w:hint="eastAsia" w:ascii="宋体" w:hAnsi="宋体" w:eastAsia="宋体" w:cs="Times New Roman"/>
          <w:color w:val="000000"/>
          <w:sz w:val="24"/>
          <w:szCs w:val="24"/>
          <w:highlight w:val="yellow"/>
          <w:lang w:eastAsia="zh-CN"/>
        </w:rPr>
        <w:t>。</w:t>
      </w:r>
    </w:p>
    <w:p w14:paraId="02DAC494">
      <w:pPr>
        <w:pageBreakBefore w:val="0"/>
        <w:kinsoku/>
        <w:wordWrap/>
        <w:overflowPunct/>
        <w:topLinePunct w:val="0"/>
        <w:autoSpaceDE/>
        <w:autoSpaceDN/>
        <w:bidi w:val="0"/>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14:paraId="59A3D03A">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14:paraId="2F0647BB">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14:paraId="293EA5CE">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14:paraId="3285D73C">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14:paraId="4C291783">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4.5投标企业按技术规范书提报设备详细技术资料；</w:t>
      </w:r>
    </w:p>
    <w:p w14:paraId="1631F2F7">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14:paraId="3FB73D85">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14:paraId="7A5F681C">
      <w:pPr>
        <w:pStyle w:val="17"/>
        <w:pageBreakBefore w:val="0"/>
        <w:widowControl w:val="0"/>
        <w:kinsoku/>
        <w:wordWrap/>
        <w:overflowPunct/>
        <w:topLinePunct w:val="0"/>
        <w:autoSpaceDE/>
        <w:autoSpaceDN/>
        <w:bidi w:val="0"/>
        <w:adjustRightInd/>
        <w:snapToGrid/>
        <w:spacing w:line="360" w:lineRule="auto"/>
        <w:textAlignment w:val="auto"/>
        <w:rPr>
          <w:rFonts w:hAnsi="宋体" w:eastAsia="宋体"/>
          <w:color w:val="000000"/>
          <w:sz w:val="24"/>
          <w:szCs w:val="24"/>
        </w:rPr>
      </w:pPr>
      <w:r>
        <w:rPr>
          <w:rFonts w:hAnsi="宋体" w:eastAsia="宋体"/>
          <w:color w:val="000000"/>
          <w:sz w:val="24"/>
          <w:szCs w:val="24"/>
        </w:rPr>
        <w:t>—2020）。</w:t>
      </w:r>
    </w:p>
    <w:p w14:paraId="235F6F48">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14:paraId="0A64CC4F">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14:paraId="2F6DFCD6">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14:paraId="789CE1EE">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14:paraId="07867858">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14:paraId="6C6916EA">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14:paraId="1FF72597">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14:paraId="224D716F">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14:paraId="1421C8D9">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ascii="宋体" w:hAnsi="宋体" w:eastAsia="宋体" w:cs="Times New Roman"/>
          <w:b/>
          <w:bCs/>
          <w:color w:val="000000"/>
          <w:sz w:val="24"/>
          <w:szCs w:val="24"/>
          <w:highlight w:val="yellow"/>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yellow"/>
        </w:rPr>
        <w:t>。</w:t>
      </w:r>
    </w:p>
    <w:p w14:paraId="7313F5F1">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14:paraId="200685CD">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14:paraId="083C9809">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14:paraId="347A8004">
      <w:pPr>
        <w:keepNext/>
        <w:keepLines/>
        <w:pageBreakBefore w:val="0"/>
        <w:widowControl w:val="0"/>
        <w:kinsoku/>
        <w:wordWrap/>
        <w:overflowPunct/>
        <w:topLinePunct w:val="0"/>
        <w:autoSpaceDE/>
        <w:autoSpaceDN/>
        <w:bidi w:val="0"/>
        <w:adjustRightInd/>
        <w:snapToGrid/>
        <w:spacing w:line="360" w:lineRule="auto"/>
        <w:ind w:firstLine="482"/>
        <w:textAlignment w:val="auto"/>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14:paraId="064C7751">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4.2招标人银行账户信息详</w:t>
      </w:r>
      <w:r>
        <w:rPr>
          <w:rFonts w:hint="eastAsia" w:eastAsia="宋体" w:cs="宋体"/>
        </w:rPr>
        <w:t>见《投标须知前附表》4.2</w:t>
      </w:r>
      <w:r>
        <w:rPr>
          <w:rFonts w:hint="eastAsia" w:eastAsia="宋体" w:cs="Times New Roman"/>
        </w:rPr>
        <w:t>：</w:t>
      </w:r>
    </w:p>
    <w:p w14:paraId="5AC97E3B">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转账附言：公司名称+项目名称+投标保证金；</w:t>
      </w:r>
    </w:p>
    <w:p w14:paraId="45E24470">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对于未中标的投标人，投标保证金将于招标人内部完成中标人评审并确认最终中标人后在30个工作日内予以原路返还（无息）；对于中标方，投标保证金将在签订合同后30个工作日内原路返还（无息）。</w:t>
      </w:r>
    </w:p>
    <w:p w14:paraId="2D35A031">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4.3说明</w:t>
      </w:r>
    </w:p>
    <w:p w14:paraId="6A443DB2">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4.3.1 投标人在向招标人出示《投标保证金缴纳凭证》后方可进行投标；</w:t>
      </w:r>
    </w:p>
    <w:p w14:paraId="14F4DED5">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 发生以下情况时，招标人有权没收保证金：</w:t>
      </w:r>
    </w:p>
    <w:p w14:paraId="70ACEE84">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14:paraId="574DD623">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4.3.2.2 投标人递送投标文件后，无正当理由放弃投标的；</w:t>
      </w:r>
    </w:p>
    <w:p w14:paraId="58347208">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4.3.2.3若为视频开标，招标过程中澄清函等资料原件未按要求提交的；</w:t>
      </w:r>
    </w:p>
    <w:p w14:paraId="3DF30617">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4.3.2.4自中标通知书发出之日起30日内，中标人无正当理由不签订合同的；</w:t>
      </w:r>
    </w:p>
    <w:p w14:paraId="13F5A8E7">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4.3.2.5投标人在投标过程中被查实有串标、围标、陪标等违规违纪行为的；</w:t>
      </w:r>
    </w:p>
    <w:p w14:paraId="46106458">
      <w:pPr>
        <w:pageBreakBefore w:val="0"/>
        <w:kinsoku/>
        <w:wordWrap/>
        <w:overflowPunct/>
        <w:topLinePunct w:val="0"/>
        <w:autoSpaceDE/>
        <w:autoSpaceDN/>
        <w:bidi w:val="0"/>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14:paraId="5A40633B">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4.4投标报名截止时间</w:t>
      </w:r>
    </w:p>
    <w:p w14:paraId="317AFA00">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14:paraId="1F0849CC">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报名提交资料：均为盖章电子扫描版，</w:t>
      </w:r>
      <w:r>
        <w:rPr>
          <w:rFonts w:hint="eastAsia" w:eastAsia="宋体" w:cs="Times New Roman"/>
          <w:highlight w:val="yellow"/>
        </w:rPr>
        <w:t>用公司名称+文件名称命名</w:t>
      </w:r>
      <w:r>
        <w:rPr>
          <w:rFonts w:hint="eastAsia" w:eastAsia="宋体" w:cs="Times New Roman"/>
          <w:highlight w:val="none"/>
        </w:rPr>
        <w:t>。</w:t>
      </w:r>
    </w:p>
    <w:p w14:paraId="3984DC47">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14:paraId="7FC23121">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14:paraId="70A460B3">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14:paraId="78A0CA1E">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14:paraId="384F3E8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14:paraId="7D61C1DA">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14:paraId="5DA6EE7B">
      <w:pPr>
        <w:spacing w:line="360" w:lineRule="auto"/>
        <w:ind w:firstLine="480" w:firstLineChars="200"/>
        <w:rPr>
          <w:rFonts w:hint="eastAsia" w:ascii="宋体" w:hAnsi="宋体" w:eastAsia="宋体" w:cs="宋体"/>
          <w:color w:val="000000"/>
          <w:sz w:val="24"/>
          <w:szCs w:val="24"/>
          <w:highlight w:val="yellow"/>
        </w:rPr>
      </w:pPr>
      <w:bookmarkStart w:id="8" w:name="_Toc33266914"/>
      <w:bookmarkStart w:id="9" w:name="_Toc33267001"/>
      <w:bookmarkStart w:id="10" w:name="_Toc33285487"/>
      <w:bookmarkStart w:id="11" w:name="_Toc33265653"/>
      <w:bookmarkStart w:id="12" w:name="_Toc33265752"/>
      <w:bookmarkStart w:id="13" w:name="_Toc33266950"/>
      <w:bookmarkStart w:id="14" w:name="_Toc33266627"/>
      <w:r>
        <w:rPr>
          <w:rFonts w:hint="eastAsia" w:ascii="宋体" w:hAnsi="宋体" w:eastAsia="宋体" w:cs="宋体"/>
          <w:color w:val="000000"/>
          <w:sz w:val="24"/>
          <w:szCs w:val="24"/>
          <w:highlight w:val="yellow"/>
          <w:lang w:val="en-US" w:eastAsia="zh-CN"/>
        </w:rPr>
        <w:t>本项目采取现场开标模式</w:t>
      </w:r>
      <w:r>
        <w:rPr>
          <w:rFonts w:hint="eastAsia" w:ascii="宋体" w:hAnsi="宋体" w:eastAsia="宋体" w:cs="宋体"/>
          <w:color w:val="000000"/>
          <w:sz w:val="24"/>
          <w:szCs w:val="24"/>
          <w:highlight w:val="yellow"/>
        </w:rPr>
        <w:t>。</w:t>
      </w:r>
    </w:p>
    <w:p w14:paraId="09A73494">
      <w:pPr>
        <w:keepNext/>
        <w:keepLines/>
        <w:pageBreakBefore w:val="0"/>
        <w:widowControl w:val="0"/>
        <w:kinsoku/>
        <w:wordWrap/>
        <w:overflowPunct/>
        <w:topLinePunct w:val="0"/>
        <w:autoSpaceDE/>
        <w:autoSpaceDN/>
        <w:bidi w:val="0"/>
        <w:adjustRightInd/>
        <w:snapToGrid/>
        <w:spacing w:line="360" w:lineRule="auto"/>
        <w:jc w:val="left"/>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六、评标原则</w:t>
      </w:r>
      <w:bookmarkEnd w:id="8"/>
      <w:bookmarkEnd w:id="9"/>
      <w:bookmarkEnd w:id="10"/>
      <w:bookmarkEnd w:id="11"/>
      <w:bookmarkEnd w:id="12"/>
      <w:bookmarkEnd w:id="13"/>
      <w:bookmarkEnd w:id="14"/>
      <w:bookmarkStart w:id="15" w:name="_Toc395116633"/>
    </w:p>
    <w:bookmarkEnd w:id="15"/>
    <w:p w14:paraId="2F42898C">
      <w:pPr>
        <w:pageBreakBefore w:val="0"/>
        <w:widowControl w:val="0"/>
        <w:kinsoku/>
        <w:wordWrap/>
        <w:overflowPunct/>
        <w:topLinePunct w:val="0"/>
        <w:autoSpaceDE/>
        <w:autoSpaceDN/>
        <w:bidi w:val="0"/>
        <w:spacing w:line="360" w:lineRule="auto"/>
        <w:ind w:firstLine="482" w:firstLineChars="200"/>
        <w:textAlignment w:val="auto"/>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14:paraId="158A6D56">
      <w:pPr>
        <w:pageBreakBefore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b/>
          <w:color w:val="000000"/>
          <w:sz w:val="24"/>
          <w:szCs w:val="24"/>
        </w:rPr>
      </w:pPr>
      <w:bookmarkStart w:id="16" w:name="_Toc33265753"/>
      <w:bookmarkStart w:id="17" w:name="_Toc33266915"/>
      <w:bookmarkStart w:id="18" w:name="_Toc33266628"/>
      <w:bookmarkStart w:id="19" w:name="_Toc395116634"/>
      <w:bookmarkStart w:id="20" w:name="_Toc33266951"/>
      <w:bookmarkStart w:id="21" w:name="_Toc33285489"/>
      <w:bookmarkStart w:id="22" w:name="_Toc33265654"/>
      <w:bookmarkStart w:id="23" w:name="_Toc33267002"/>
      <w:r>
        <w:rPr>
          <w:rFonts w:hint="eastAsia" w:ascii="宋体" w:hAnsi="宋体" w:eastAsia="宋体" w:cs="宋体"/>
          <w:sz w:val="24"/>
          <w:szCs w:val="24"/>
        </w:rPr>
        <w:t>本次招标采用</w:t>
      </w:r>
      <w:r>
        <w:rPr>
          <w:rFonts w:hint="eastAsia" w:ascii="宋体" w:hAnsi="宋体" w:eastAsia="宋体" w:cs="Times New Roman"/>
          <w:b/>
          <w:bCs/>
          <w:sz w:val="24"/>
          <w:szCs w:val="24"/>
        </w:rPr>
        <w:t>综合评价法</w:t>
      </w:r>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w:t>
      </w:r>
      <w:r>
        <w:rPr>
          <w:rFonts w:hint="eastAsia" w:ascii="宋体" w:hAnsi="宋体" w:eastAsia="宋体" w:cs="宋体"/>
          <w:b/>
          <w:color w:val="000000"/>
          <w:sz w:val="24"/>
          <w:szCs w:val="24"/>
          <w:highlight w:val="yellow"/>
        </w:rPr>
        <w:t>对未中标单位不做任何解释。</w:t>
      </w:r>
    </w:p>
    <w:bookmarkEnd w:id="16"/>
    <w:bookmarkEnd w:id="17"/>
    <w:bookmarkEnd w:id="18"/>
    <w:bookmarkEnd w:id="19"/>
    <w:bookmarkEnd w:id="20"/>
    <w:bookmarkEnd w:id="21"/>
    <w:bookmarkEnd w:id="22"/>
    <w:bookmarkEnd w:id="23"/>
    <w:p w14:paraId="7B4E16A1">
      <w:pPr>
        <w:pageBreakBefore w:val="0"/>
        <w:kinsoku/>
        <w:wordWrap/>
        <w:overflowPunct/>
        <w:topLinePunct w:val="0"/>
        <w:autoSpaceDE/>
        <w:autoSpaceDN/>
        <w:bidi w:val="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80CA169">
      <w:pPr>
        <w:pStyle w:val="17"/>
        <w:pageBreakBefore w:val="0"/>
        <w:kinsoku/>
        <w:wordWrap/>
        <w:overflowPunct/>
        <w:topLinePunct w:val="0"/>
        <w:autoSpaceDE/>
        <w:autoSpaceDN/>
        <w:bidi w:val="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40300126">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14:paraId="7DC80CC1">
      <w:pPr>
        <w:pageBreakBefore w:val="0"/>
        <w:numPr>
          <w:ilvl w:val="0"/>
          <w:numId w:val="6"/>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6D449C8F">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资质标评审：资质标审核通过的单位，可以进入公开唱标环节；</w:t>
      </w:r>
    </w:p>
    <w:p w14:paraId="38463A3C">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lang w:val="en-US"/>
        </w:rPr>
      </w:pPr>
      <w:r>
        <w:rPr>
          <w:rFonts w:hint="eastAsia" w:ascii="宋体" w:hAnsi="宋体" w:eastAsia="宋体" w:cs="宋体"/>
          <w:b/>
          <w:color w:val="000000"/>
          <w:sz w:val="24"/>
          <w:szCs w:val="24"/>
          <w:highlight w:val="yellow"/>
          <w:lang w:val="en-US" w:eastAsia="zh-CN"/>
        </w:rPr>
        <w:t>公开</w:t>
      </w:r>
      <w:r>
        <w:rPr>
          <w:rFonts w:hint="eastAsia" w:ascii="宋体" w:hAnsi="宋体" w:eastAsia="宋体" w:cs="宋体"/>
          <w:b/>
          <w:color w:val="000000"/>
          <w:sz w:val="24"/>
          <w:szCs w:val="24"/>
          <w:highlight w:val="none"/>
          <w:lang w:val="en-US" w:eastAsia="zh-CN"/>
        </w:rPr>
        <w:t>唱标：公示资质标入围单位的开标价格及商务条款响应情况；</w:t>
      </w:r>
    </w:p>
    <w:p w14:paraId="66702689">
      <w:pPr>
        <w:pageBreakBefore w:val="0"/>
        <w:numPr>
          <w:ilvl w:val="0"/>
          <w:numId w:val="7"/>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w:t>
      </w:r>
      <w:r>
        <w:rPr>
          <w:rFonts w:hint="eastAsia" w:ascii="宋体" w:hAnsi="宋体" w:eastAsia="宋体" w:cs="宋体"/>
          <w:b/>
          <w:bCs/>
          <w:color w:val="000000"/>
          <w:sz w:val="24"/>
          <w:szCs w:val="24"/>
          <w:highlight w:val="yellow"/>
          <w:u w:val="single"/>
          <w:lang w:val="en-US" w:eastAsia="zh-CN"/>
        </w:rPr>
        <w:t>附件14</w:t>
      </w:r>
      <w:r>
        <w:rPr>
          <w:rFonts w:hint="eastAsia" w:ascii="宋体" w:hAnsi="宋体" w:eastAsia="宋体" w:cs="宋体"/>
          <w:b/>
          <w:bCs/>
          <w:color w:val="000000"/>
          <w:sz w:val="24"/>
          <w:szCs w:val="24"/>
          <w:highlight w:val="none"/>
          <w:lang w:val="en-US" w:eastAsia="zh-CN"/>
        </w:rPr>
        <w:t>；</w:t>
      </w:r>
    </w:p>
    <w:p w14:paraId="5A4A8BA3">
      <w:pPr>
        <w:pageBreakBefore w:val="0"/>
        <w:numPr>
          <w:ilvl w:val="0"/>
          <w:numId w:val="8"/>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7A60F059">
      <w:pPr>
        <w:pageBreakBefore w:val="0"/>
        <w:numPr>
          <w:ilvl w:val="-1"/>
          <w:numId w:val="0"/>
        </w:numPr>
        <w:kinsoku/>
        <w:wordWrap/>
        <w:overflowPunct/>
        <w:topLinePunct w:val="0"/>
        <w:autoSpaceDE/>
        <w:autoSpaceDN/>
        <w:bidi w:val="0"/>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C35DC18">
      <w:pPr>
        <w:pageBreakBefore w:val="0"/>
        <w:numPr>
          <w:ilvl w:val="0"/>
          <w:numId w:val="9"/>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Times New Roman"/>
          <w:b/>
          <w:color w:val="000000"/>
          <w:sz w:val="24"/>
          <w:szCs w:val="24"/>
          <w:highlight w:val="yellow"/>
        </w:rPr>
        <w:t>综合评价</w:t>
      </w:r>
      <w:r>
        <w:rPr>
          <w:rFonts w:hint="eastAsia" w:ascii="宋体" w:hAnsi="宋体" w:eastAsia="宋体" w:cs="宋体"/>
          <w:b/>
          <w:sz w:val="24"/>
          <w:szCs w:val="24"/>
          <w:highlight w:val="yellow"/>
        </w:rPr>
        <w:t>：</w:t>
      </w:r>
      <w:r>
        <w:rPr>
          <w:rFonts w:hint="eastAsia" w:ascii="宋体" w:hAnsi="宋体" w:eastAsia="宋体" w:cs="Times New Roman"/>
          <w:b/>
          <w:color w:val="000000"/>
          <w:sz w:val="24"/>
          <w:szCs w:val="24"/>
          <w:highlight w:val="yellow"/>
        </w:rPr>
        <w:t>根据技术</w:t>
      </w:r>
      <w:r>
        <w:rPr>
          <w:rFonts w:hint="eastAsia" w:ascii="宋体" w:hAnsi="宋体" w:eastAsia="宋体" w:cs="Times New Roman"/>
          <w:b/>
          <w:color w:val="000000"/>
          <w:sz w:val="24"/>
          <w:szCs w:val="24"/>
          <w:highlight w:val="yellow"/>
          <w:lang w:val="en-US" w:eastAsia="zh-CN"/>
        </w:rPr>
        <w:t>标</w:t>
      </w:r>
      <w:r>
        <w:rPr>
          <w:rFonts w:hint="eastAsia" w:ascii="宋体" w:hAnsi="宋体" w:eastAsia="宋体" w:cs="Times New Roman"/>
          <w:b/>
          <w:color w:val="000000"/>
          <w:sz w:val="24"/>
          <w:szCs w:val="24"/>
          <w:highlight w:val="yellow"/>
        </w:rPr>
        <w:t>和</w:t>
      </w:r>
      <w:r>
        <w:rPr>
          <w:rFonts w:hint="eastAsia" w:ascii="宋体" w:hAnsi="宋体" w:eastAsia="宋体" w:cs="Times New Roman"/>
          <w:b/>
          <w:color w:val="000000"/>
          <w:sz w:val="24"/>
          <w:szCs w:val="24"/>
          <w:highlight w:val="yellow"/>
          <w:lang w:val="en-US" w:eastAsia="zh-CN"/>
        </w:rPr>
        <w:t>商务标</w:t>
      </w:r>
      <w:r>
        <w:rPr>
          <w:rFonts w:hint="eastAsia" w:ascii="宋体" w:hAnsi="宋体" w:eastAsia="宋体" w:cs="Times New Roman"/>
          <w:b/>
          <w:color w:val="000000"/>
          <w:sz w:val="24"/>
          <w:szCs w:val="24"/>
          <w:highlight w:val="yellow"/>
        </w:rPr>
        <w:t>综合得分，择优选择供应商。</w:t>
      </w:r>
      <w:r>
        <w:rPr>
          <w:rFonts w:hint="eastAsia" w:ascii="宋体" w:hAnsi="宋体" w:eastAsia="宋体" w:cs="Times New Roman"/>
          <w:b/>
          <w:color w:val="000000"/>
          <w:sz w:val="24"/>
          <w:szCs w:val="24"/>
          <w:highlight w:val="yellow"/>
          <w:lang w:val="en-US" w:eastAsia="zh-CN"/>
        </w:rPr>
        <w:t>综合得分中技术标得分占比30%，商务标得分占比70%</w:t>
      </w:r>
      <w:r>
        <w:rPr>
          <w:rFonts w:hint="eastAsia" w:ascii="宋体" w:hAnsi="宋体" w:eastAsia="宋体" w:cs="宋体"/>
          <w:b/>
          <w:color w:val="auto"/>
          <w:sz w:val="24"/>
          <w:szCs w:val="24"/>
        </w:rPr>
        <w:t>。</w:t>
      </w:r>
    </w:p>
    <w:p w14:paraId="61806E91">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82729AE">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七、合同签订</w:t>
      </w:r>
    </w:p>
    <w:p w14:paraId="12FCE418">
      <w:pPr>
        <w:pageBreakBefore w:val="0"/>
        <w:kinsoku/>
        <w:wordWrap/>
        <w:overflowPunct/>
        <w:topLinePunct w:val="0"/>
        <w:autoSpaceDE/>
        <w:autoSpaceDN/>
        <w:bidi w:val="0"/>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14:paraId="2E8395D7">
      <w:pPr>
        <w:pageBreakBefore w:val="0"/>
        <w:kinsoku/>
        <w:wordWrap/>
        <w:overflowPunct/>
        <w:topLinePunct w:val="0"/>
        <w:autoSpaceDE/>
        <w:autoSpaceDN/>
        <w:bidi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14:paraId="37209187">
      <w:pPr>
        <w:pageBreakBefore w:val="0"/>
        <w:kinsoku/>
        <w:wordWrap/>
        <w:overflowPunct/>
        <w:topLinePunct w:val="0"/>
        <w:autoSpaceDE/>
        <w:autoSpaceDN/>
        <w:bidi w:val="0"/>
        <w:spacing w:line="360" w:lineRule="auto"/>
        <w:ind w:firstLine="480" w:firstLineChars="200"/>
        <w:rPr>
          <w:rFonts w:ascii="宋体" w:hAnsi="Courier New" w:eastAsia="宋体" w:cs="Times New Roman"/>
          <w:b/>
          <w:sz w:val="24"/>
          <w:szCs w:val="20"/>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14:paraId="73129112">
      <w:pPr>
        <w:pageBreakBefore w:val="0"/>
        <w:kinsoku/>
        <w:wordWrap/>
        <w:overflowPunct/>
        <w:topLinePunct w:val="0"/>
        <w:autoSpaceDE/>
        <w:autoSpaceDN/>
        <w:bidi w:val="0"/>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14:paraId="6D8D9BE5">
      <w:pPr>
        <w:pStyle w:val="12"/>
        <w:pageBreakBefore w:val="0"/>
        <w:kinsoku/>
        <w:wordWrap/>
        <w:overflowPunct/>
        <w:topLinePunct w:val="0"/>
        <w:autoSpaceDE/>
        <w:autoSpaceDN/>
        <w:bidi w:val="0"/>
        <w:spacing w:line="360" w:lineRule="auto"/>
        <w:ind w:firstLine="482" w:firstLineChars="200"/>
      </w:pPr>
      <w:r>
        <w:rPr>
          <w:rFonts w:hint="eastAsia" w:ascii="宋体" w:hAnsi="Courier New" w:eastAsia="宋体"/>
          <w:b/>
          <w:sz w:val="24"/>
          <w:szCs w:val="20"/>
        </w:rPr>
        <w:t>5.</w:t>
      </w:r>
      <w:r>
        <w:rPr>
          <w:rFonts w:hint="eastAsia" w:ascii="宋体" w:hAnsi="宋体" w:eastAsia="宋体" w:cs="宋体"/>
          <w:b/>
          <w:sz w:val="24"/>
          <w:szCs w:val="24"/>
        </w:rPr>
        <w:t>合同以双方最终签署的版本为准。</w:t>
      </w:r>
    </w:p>
    <w:p w14:paraId="48DA27CF">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14:paraId="48E276B5">
      <w:pPr>
        <w:pageBreakBefore w:val="0"/>
        <w:kinsoku/>
        <w:wordWrap/>
        <w:overflowPunct/>
        <w:topLinePunct w:val="0"/>
        <w:autoSpaceDE/>
        <w:autoSpaceDN/>
        <w:bidi w:val="0"/>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F218391">
      <w:pPr>
        <w:spacing w:line="360" w:lineRule="auto"/>
        <w:ind w:right="0"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14:paraId="7C1D9FE9">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14:paraId="68B49C87">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14:paraId="65B2E990">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14:paraId="1E21BB9A">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14:paraId="04F1FAE6">
      <w:pPr>
        <w:pStyle w:val="17"/>
        <w:spacing w:line="360" w:lineRule="auto"/>
        <w:ind w:firstLine="480" w:firstLineChars="200"/>
        <w:rPr>
          <w:rFonts w:eastAsia="宋体"/>
        </w:rPr>
      </w:pPr>
      <w:r>
        <w:rPr>
          <w:rFonts w:hint="eastAsia" w:eastAsia="宋体" w:cs="Times New Roman"/>
          <w:color w:val="000000"/>
          <w:sz w:val="24"/>
          <w:szCs w:val="24"/>
        </w:rPr>
        <w:t>（</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14:paraId="69AF1709">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14:paraId="41E73E10">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14:paraId="416580C5">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w:t>
      </w:r>
      <w:r>
        <w:rPr>
          <w:rFonts w:hint="eastAsia" w:ascii="宋体" w:hAnsi="Courier New" w:eastAsia="宋体" w:cs="Times New Roman"/>
          <w:sz w:val="24"/>
          <w:szCs w:val="24"/>
          <w:highlight w:val="yellow"/>
          <w:lang w:val="en-US" w:eastAsia="zh-CN"/>
        </w:rPr>
        <w:t>三</w:t>
      </w:r>
      <w:r>
        <w:rPr>
          <w:rFonts w:hint="eastAsia" w:ascii="宋体" w:hAnsi="Courier New" w:eastAsia="宋体" w:cs="Times New Roman"/>
          <w:sz w:val="24"/>
          <w:szCs w:val="24"/>
        </w:rPr>
        <w:t>家；</w:t>
      </w:r>
    </w:p>
    <w:p w14:paraId="41FA2490">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14:paraId="7E972908">
      <w:pPr>
        <w:spacing w:line="360" w:lineRule="auto"/>
        <w:ind w:right="2" w:firstLine="480" w:firstLineChars="200"/>
        <w:rPr>
          <w:rFonts w:hint="eastAsia" w:ascii="宋体" w:hAnsi="Courier New" w:eastAsia="宋体" w:cs="Times New Roman"/>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14:paraId="596950F0">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12</w:t>
      </w:r>
      <w:r>
        <w:rPr>
          <w:rFonts w:hint="eastAsia" w:hAnsi="宋体" w:eastAsia="宋体" w:cs="宋体"/>
          <w:color w:val="000000"/>
          <w:sz w:val="24"/>
          <w:szCs w:val="24"/>
          <w:lang w:eastAsia="zh-CN"/>
        </w:rPr>
        <w:t>）</w:t>
      </w:r>
      <w:r>
        <w:rPr>
          <w:rFonts w:hint="eastAsia" w:hAnsi="宋体" w:eastAsia="宋体" w:cs="宋体"/>
          <w:color w:val="000000"/>
          <w:sz w:val="24"/>
          <w:szCs w:val="24"/>
        </w:rPr>
        <w:t>不同投标人的投标文件异常一致</w:t>
      </w:r>
      <w:r>
        <w:rPr>
          <w:rFonts w:hint="eastAsia" w:hAnsi="宋体" w:eastAsia="宋体" w:cs="宋体"/>
          <w:color w:val="000000"/>
          <w:sz w:val="24"/>
          <w:szCs w:val="24"/>
          <w:lang w:eastAsia="zh-CN"/>
        </w:rPr>
        <w:t>；</w:t>
      </w:r>
    </w:p>
    <w:p w14:paraId="07971090">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13</w:t>
      </w:r>
      <w:r>
        <w:rPr>
          <w:rFonts w:hint="eastAsia" w:hAnsi="宋体" w:eastAsia="宋体" w:cs="宋体"/>
          <w:color w:val="000000"/>
          <w:sz w:val="24"/>
          <w:szCs w:val="24"/>
          <w:lang w:eastAsia="zh-CN"/>
        </w:rPr>
        <w:t>）投标报价呈规律性差异的；</w:t>
      </w:r>
    </w:p>
    <w:p w14:paraId="1E72C4DF">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14</w:t>
      </w:r>
      <w:r>
        <w:rPr>
          <w:rFonts w:hint="eastAsia"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hAnsi="宋体" w:eastAsia="宋体" w:cs="宋体"/>
          <w:color w:val="000000"/>
          <w:sz w:val="24"/>
          <w:szCs w:val="24"/>
          <w:lang w:eastAsia="zh-CN"/>
        </w:rPr>
        <w:t>的；</w:t>
      </w:r>
    </w:p>
    <w:p w14:paraId="41CA7011">
      <w:pPr>
        <w:pageBreakBefore w:val="0"/>
        <w:kinsoku/>
        <w:wordWrap/>
        <w:overflowPunct/>
        <w:topLinePunct w:val="0"/>
        <w:autoSpaceDE/>
        <w:autoSpaceDN/>
        <w:bidi w:val="0"/>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宋体" w:hAnsi="Courier New" w:eastAsia="宋体" w:cs="Times New Roman"/>
          <w:color w:val="000000"/>
          <w:sz w:val="24"/>
          <w:szCs w:val="24"/>
          <w:lang w:val="en-US" w:eastAsia="zh-CN"/>
        </w:rPr>
        <w:t>15</w:t>
      </w:r>
      <w:r>
        <w:rPr>
          <w:rFonts w:hint="eastAsia" w:ascii="宋体" w:hAnsi="Courier New" w:eastAsia="宋体" w:cs="Times New Roman"/>
          <w:color w:val="000000"/>
          <w:sz w:val="24"/>
          <w:szCs w:val="24"/>
        </w:rPr>
        <w:t>）法律、法规规定的其他情况。</w:t>
      </w:r>
    </w:p>
    <w:p w14:paraId="7814B75A">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14:paraId="45617CA8">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w:t>
      </w:r>
      <w:r>
        <w:rPr>
          <w:rFonts w:hint="eastAsia" w:ascii="宋体" w:hAnsi="Courier New" w:eastAsia="宋体" w:cs="Times New Roman"/>
          <w:sz w:val="24"/>
          <w:szCs w:val="24"/>
          <w:highlight w:val="none"/>
        </w:rPr>
        <w:t>足</w:t>
      </w:r>
      <w:r>
        <w:rPr>
          <w:rFonts w:hint="eastAsia" w:ascii="宋体" w:hAnsi="Courier New" w:eastAsia="宋体" w:cs="Times New Roman"/>
          <w:sz w:val="24"/>
          <w:szCs w:val="24"/>
          <w:highlight w:val="yellow"/>
          <w:lang w:val="en-US" w:eastAsia="zh-CN"/>
        </w:rPr>
        <w:t>三</w:t>
      </w:r>
      <w:r>
        <w:rPr>
          <w:rFonts w:hint="eastAsia" w:ascii="宋体" w:hAnsi="Courier New" w:eastAsia="宋体" w:cs="Times New Roman"/>
          <w:sz w:val="24"/>
          <w:szCs w:val="24"/>
          <w:highlight w:val="none"/>
        </w:rPr>
        <w:t>家的</w:t>
      </w:r>
      <w:r>
        <w:rPr>
          <w:rFonts w:hint="eastAsia" w:ascii="宋体" w:hAnsi="Courier New" w:eastAsia="宋体" w:cs="Times New Roman"/>
          <w:sz w:val="24"/>
          <w:szCs w:val="24"/>
        </w:rPr>
        <w:t>；</w:t>
      </w:r>
    </w:p>
    <w:p w14:paraId="7CBDECCB">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14:paraId="0E8716CB">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14:paraId="2756F1E9">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14:paraId="15954E96">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14:paraId="50E36F66">
      <w:pPr>
        <w:pStyle w:val="17"/>
        <w:pageBreakBefore w:val="0"/>
        <w:kinsoku/>
        <w:wordWrap/>
        <w:overflowPunct/>
        <w:topLinePunct w:val="0"/>
        <w:autoSpaceDE/>
        <w:autoSpaceDN/>
        <w:bidi w:val="0"/>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14:paraId="69A506BD">
      <w:pPr>
        <w:pageBreakBefore w:val="0"/>
        <w:kinsoku/>
        <w:wordWrap/>
        <w:overflowPunct/>
        <w:topLinePunct w:val="0"/>
        <w:autoSpaceDE/>
        <w:autoSpaceDN/>
        <w:bidi w:val="0"/>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D65E537">
      <w:pPr>
        <w:pageBreakBefore w:val="0"/>
        <w:kinsoku/>
        <w:wordWrap/>
        <w:overflowPunct/>
        <w:topLinePunct w:val="0"/>
        <w:autoSpaceDE/>
        <w:autoSpaceDN/>
        <w:bidi w:val="0"/>
        <w:spacing w:line="360" w:lineRule="auto"/>
        <w:ind w:right="2" w:firstLine="482" w:firstLineChars="200"/>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14:paraId="00092650">
      <w:pPr>
        <w:pStyle w:val="17"/>
        <w:jc w:val="center"/>
        <w:rPr>
          <w:rFonts w:ascii="Calibri" w:hAnsi="Calibri" w:eastAsia="宋体" w:cs="Times New Roman"/>
          <w:b/>
          <w:bCs/>
          <w:kern w:val="44"/>
          <w:sz w:val="36"/>
          <w:szCs w:val="44"/>
        </w:rPr>
        <w:sectPr>
          <w:footerReference r:id="rId9" w:type="default"/>
          <w:pgSz w:w="11907" w:h="16840"/>
          <w:pgMar w:top="1304" w:right="1418" w:bottom="1304" w:left="1418" w:header="724" w:footer="851" w:gutter="0"/>
          <w:pgNumType w:start="7"/>
          <w:cols w:space="720" w:num="1"/>
          <w:docGrid w:linePitch="290" w:charSpace="-3931"/>
        </w:sectPr>
      </w:pPr>
    </w:p>
    <w:p w14:paraId="6DCBF1CB">
      <w:pPr>
        <w:pStyle w:val="17"/>
        <w:numPr>
          <w:ilvl w:val="255"/>
          <w:numId w:val="0"/>
        </w:numPr>
        <w:jc w:val="center"/>
        <w:outlineLvl w:val="0"/>
        <w:rPr>
          <w:rFonts w:ascii="Calibri" w:hAnsi="Calibri" w:eastAsia="宋体" w:cs="Times New Roman"/>
          <w:b/>
          <w:bCs/>
          <w:kern w:val="44"/>
          <w:sz w:val="36"/>
          <w:szCs w:val="44"/>
        </w:rPr>
      </w:pPr>
      <w:bookmarkStart w:id="24" w:name="_Toc217"/>
      <w:r>
        <w:rPr>
          <w:rFonts w:hint="eastAsia" w:ascii="Calibri" w:hAnsi="Calibri" w:eastAsia="宋体" w:cs="Times New Roman"/>
          <w:b/>
          <w:bCs/>
          <w:kern w:val="44"/>
          <w:sz w:val="36"/>
          <w:szCs w:val="44"/>
        </w:rPr>
        <w:t>第三部分 投标文件编制</w:t>
      </w:r>
      <w:bookmarkEnd w:id="24"/>
    </w:p>
    <w:p w14:paraId="4BE1422E">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14:paraId="1FB39F9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785D56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14:paraId="72B077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14:paraId="618914AE">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14:paraId="6D323FA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1投标人所投标设备详细技术资料清单，在标书中列示说明；</w:t>
      </w:r>
    </w:p>
    <w:p w14:paraId="63824D66">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2投标人完整的技术支持与售后服务实施方案，在标书中列示说明，包含但不</w:t>
      </w:r>
      <w:r>
        <w:rPr>
          <w:rFonts w:hint="eastAsia" w:ascii="宋体" w:hAnsi="Courier New" w:eastAsia="宋体" w:cs="Times New Roman"/>
          <w:color w:val="000000"/>
          <w:sz w:val="24"/>
          <w:szCs w:val="24"/>
        </w:rPr>
        <w:t>限于以下内容：</w:t>
      </w:r>
    </w:p>
    <w:p w14:paraId="6530D151">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1E4A471E">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14:paraId="3C31907D">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14:paraId="3B005CD5">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14:paraId="594D6AC1">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3投标人关于包装、运输、检验、交付、安装、调试、培训等方案，均需在标</w:t>
      </w:r>
      <w:r>
        <w:rPr>
          <w:rFonts w:hint="eastAsia" w:ascii="宋体" w:hAnsi="Courier New" w:eastAsia="宋体" w:cs="Times New Roman"/>
          <w:color w:val="000000"/>
          <w:sz w:val="24"/>
          <w:szCs w:val="24"/>
        </w:rPr>
        <w:t>书中列示说明。</w:t>
      </w:r>
    </w:p>
    <w:p w14:paraId="5BC21E12">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14:paraId="40AB9F9E">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eastAsia="宋体" w:cs="宋体"/>
          <w:bCs/>
          <w:sz w:val="24"/>
          <w:szCs w:val="24"/>
          <w:lang w:eastAsia="zh-CN"/>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14:paraId="07E669CE">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14:paraId="716C0F34">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w:t>
      </w:r>
      <w:r>
        <w:rPr>
          <w:rFonts w:hint="eastAsia" w:ascii="宋体" w:hAnsi="Courier New" w:eastAsia="宋体" w:cs="Times New Roman"/>
          <w:bCs/>
          <w:color w:val="000000"/>
          <w:sz w:val="24"/>
          <w:szCs w:val="24"/>
          <w:lang w:val="en-US" w:eastAsia="zh-CN"/>
        </w:rPr>
        <w:t>3</w:t>
      </w:r>
      <w:r>
        <w:rPr>
          <w:rFonts w:hint="eastAsia" w:ascii="宋体" w:hAnsi="Courier New" w:eastAsia="宋体" w:cs="Times New Roman"/>
          <w:bCs/>
          <w:color w:val="000000"/>
          <w:sz w:val="24"/>
          <w:szCs w:val="24"/>
        </w:rPr>
        <w:t>，其余未尽事宜请按各单位习惯制定即可。</w:t>
      </w:r>
    </w:p>
    <w:p w14:paraId="0E2619C8">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14:paraId="2E1634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rPr>
        <w:t>；</w:t>
      </w:r>
    </w:p>
    <w:p w14:paraId="35F4AE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14:paraId="080039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b/>
          <w:bCs/>
          <w:sz w:val="24"/>
          <w:szCs w:val="24"/>
        </w:rPr>
        <w:t>被授权人</w:t>
      </w:r>
      <w:r>
        <w:rPr>
          <w:rFonts w:hint="eastAsia" w:ascii="宋体" w:hAnsi="宋体" w:eastAsia="宋体" w:cs="宋体"/>
          <w:b/>
          <w:bCs/>
          <w:kern w:val="0"/>
          <w:sz w:val="24"/>
          <w:szCs w:val="21"/>
          <w:lang w:bidi="en-US"/>
        </w:rPr>
        <w:t>近</w:t>
      </w:r>
      <w:r>
        <w:rPr>
          <w:rFonts w:hint="eastAsia" w:ascii="宋体" w:hAnsi="宋体" w:eastAsia="宋体" w:cs="宋体"/>
          <w:b/>
          <w:bCs/>
          <w:kern w:val="0"/>
          <w:sz w:val="24"/>
          <w:szCs w:val="21"/>
          <w:highlight w:val="yellow"/>
          <w:u w:val="single"/>
          <w:lang w:bidi="en-US"/>
        </w:rPr>
        <w:t>6个月及以上</w:t>
      </w:r>
      <w:r>
        <w:rPr>
          <w:rFonts w:hint="eastAsia" w:ascii="宋体" w:hAnsi="宋体" w:eastAsia="宋体" w:cs="宋体"/>
          <w:b/>
          <w:bCs/>
          <w:kern w:val="0"/>
          <w:sz w:val="24"/>
          <w:szCs w:val="24"/>
          <w:highlight w:val="yellow"/>
          <w:lang w:val="en-US" w:eastAsia="zh-CN" w:bidi="en-US"/>
        </w:rPr>
        <w:t>在授权单位的</w:t>
      </w:r>
      <w:r>
        <w:rPr>
          <w:rFonts w:hint="eastAsia" w:ascii="宋体" w:hAnsi="宋体" w:eastAsia="宋体" w:cs="宋体"/>
          <w:b/>
          <w:bCs/>
          <w:kern w:val="0"/>
          <w:sz w:val="24"/>
          <w:szCs w:val="21"/>
          <w:lang w:bidi="en-US"/>
        </w:rPr>
        <w:t>社保缴纳证明</w:t>
      </w:r>
      <w:r>
        <w:rPr>
          <w:rFonts w:hint="eastAsia" w:ascii="宋体" w:hAnsi="宋体" w:eastAsia="宋体" w:cs="宋体"/>
          <w:b/>
          <w:color w:val="000000"/>
          <w:sz w:val="24"/>
          <w:szCs w:val="24"/>
        </w:rPr>
        <w:t>；</w:t>
      </w:r>
    </w:p>
    <w:p w14:paraId="1A604E2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1.4近三年经第三方机构审计的财务报表（资产负债表、损益表、现金流量表）复印件，必须连续，同时填写投标人基本情况及资产情况汇总表（附件3）</w:t>
      </w:r>
      <w:r>
        <w:rPr>
          <w:rFonts w:hint="eastAsia" w:ascii="宋体" w:hAnsi="宋体" w:eastAsia="宋体" w:cs="Times New Roman"/>
          <w:color w:val="000000"/>
          <w:sz w:val="24"/>
          <w:szCs w:val="24"/>
          <w:highlight w:val="none"/>
        </w:rPr>
        <w:t>；对于境外投标人，若没有财务审计报告，需提供资产负债表、利润表、现金流量表（加盖公章版），且未显示异常；</w:t>
      </w:r>
    </w:p>
    <w:p w14:paraId="6003BBC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Times New Roman"/>
          <w:color w:val="000000"/>
          <w:sz w:val="24"/>
          <w:szCs w:val="24"/>
          <w:highlight w:val="none"/>
        </w:rPr>
        <w:t>行为的声明；</w:t>
      </w:r>
    </w:p>
    <w:p w14:paraId="02BABEE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1.6投标单位在国家企业信用信息公示系统中无与本项目有关的行政处罚、经营异常和失信信息的声明；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43CCF54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1.7企业信用证明材料（征信报告）；</w:t>
      </w:r>
    </w:p>
    <w:p w14:paraId="49F03F2C">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1.8代理商投标要携带生产商的授权书、原厂售后服务承诺书，</w:t>
      </w:r>
      <w:r>
        <w:rPr>
          <w:rFonts w:hint="eastAsia" w:ascii="宋体" w:hAnsi="宋体" w:eastAsia="宋体" w:cs="Times New Roman"/>
          <w:b/>
          <w:color w:val="000000"/>
          <w:sz w:val="24"/>
          <w:szCs w:val="24"/>
          <w:highlight w:val="none"/>
        </w:rPr>
        <w:t>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Times New Roman"/>
          <w:b w:val="0"/>
          <w:bCs/>
          <w:color w:val="000000"/>
          <w:sz w:val="24"/>
          <w:szCs w:val="24"/>
          <w:highlight w:val="none"/>
        </w:rPr>
        <w:t>；</w:t>
      </w:r>
    </w:p>
    <w:p w14:paraId="11E18869">
      <w:pPr>
        <w:spacing w:line="360" w:lineRule="auto"/>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1.9企业最近半年的完税证明</w:t>
      </w:r>
      <w:r>
        <w:rPr>
          <w:rFonts w:hint="eastAsia" w:ascii="宋体" w:hAnsi="宋体" w:eastAsia="宋体" w:cs="Times New Roman"/>
          <w:color w:val="000000"/>
          <w:sz w:val="24"/>
          <w:szCs w:val="24"/>
          <w:highlight w:val="none"/>
          <w:lang w:eastAsia="zh-CN"/>
        </w:rPr>
        <w:t>，年度纳税信用评价信息（可从电子税务局查询截图，</w:t>
      </w:r>
    </w:p>
    <w:p w14:paraId="1B41C201">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需加盖公章）</w:t>
      </w:r>
      <w:r>
        <w:rPr>
          <w:rFonts w:hint="eastAsia" w:ascii="宋体" w:hAnsi="宋体" w:eastAsia="宋体" w:cs="Times New Roman"/>
          <w:color w:val="000000"/>
          <w:sz w:val="24"/>
          <w:szCs w:val="24"/>
          <w:highlight w:val="none"/>
        </w:rPr>
        <w:t>；</w:t>
      </w:r>
    </w:p>
    <w:p w14:paraId="4139CB15">
      <w:pPr>
        <w:widowControl/>
        <w:spacing w:line="360" w:lineRule="auto"/>
        <w:ind w:firstLine="480" w:firstLineChars="200"/>
        <w:jc w:val="left"/>
      </w:pPr>
      <w:r>
        <w:rPr>
          <w:rFonts w:hint="eastAsia" w:ascii="宋体" w:hAnsi="宋体" w:eastAsia="宋体" w:cs="Times New Roman"/>
          <w:b w:val="0"/>
          <w:bCs w:val="0"/>
          <w:color w:val="000000"/>
          <w:kern w:val="2"/>
          <w:sz w:val="24"/>
          <w:szCs w:val="24"/>
          <w:highlight w:val="none"/>
          <w:lang w:val="en-US" w:eastAsia="zh-CN" w:bidi="ar"/>
        </w:rPr>
        <w:t>1.10企业对外担保说明</w:t>
      </w:r>
      <w:r>
        <w:rPr>
          <w:rFonts w:hint="eastAsia" w:ascii="宋体" w:hAnsi="宋体" w:eastAsia="宋体" w:cs="Times New Roman"/>
          <w:color w:val="000000"/>
          <w:kern w:val="2"/>
          <w:sz w:val="24"/>
          <w:szCs w:val="24"/>
          <w:highlight w:val="none"/>
          <w:lang w:val="en-US" w:eastAsia="zh-CN" w:bidi="ar"/>
        </w:rPr>
        <w:t>（写明贵单位对外有无对外担保和 质押业务，需加盖公章）</w:t>
      </w:r>
    </w:p>
    <w:p w14:paraId="71CB3E6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1.1</w:t>
      </w:r>
      <w:r>
        <w:rPr>
          <w:rFonts w:hint="eastAsia" w:ascii="宋体" w:hAnsi="宋体" w:eastAsia="宋体" w:cs="Times New Roman"/>
          <w:color w:val="000000"/>
          <w:sz w:val="24"/>
          <w:szCs w:val="24"/>
          <w:highlight w:val="none"/>
          <w:lang w:val="en-US" w:eastAsia="zh-CN"/>
        </w:rPr>
        <w:t>1</w:t>
      </w:r>
      <w:r>
        <w:rPr>
          <w:rFonts w:hint="eastAsia" w:ascii="宋体" w:hAnsi="宋体" w:eastAsia="宋体" w:cs="Times New Roman"/>
          <w:color w:val="000000"/>
          <w:sz w:val="24"/>
          <w:szCs w:val="24"/>
          <w:highlight w:val="none"/>
        </w:rPr>
        <w:t>保密承诺函（附件4）；</w:t>
      </w:r>
    </w:p>
    <w:p w14:paraId="5201026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1.1</w:t>
      </w:r>
      <w:r>
        <w:rPr>
          <w:rFonts w:hint="eastAsia" w:ascii="宋体" w:hAnsi="宋体" w:eastAsia="宋体" w:cs="Times New Roman"/>
          <w:color w:val="000000"/>
          <w:sz w:val="24"/>
          <w:szCs w:val="24"/>
          <w:highlight w:val="none"/>
          <w:lang w:val="en-US" w:eastAsia="zh-CN"/>
        </w:rPr>
        <w:t>2</w:t>
      </w:r>
      <w:r>
        <w:rPr>
          <w:rFonts w:hint="eastAsia" w:ascii="宋体" w:hAnsi="宋体" w:eastAsia="宋体" w:cs="Times New Roman"/>
          <w:color w:val="000000"/>
          <w:sz w:val="24"/>
          <w:szCs w:val="24"/>
          <w:highlight w:val="none"/>
        </w:rPr>
        <w:t>企业同类项目业绩证明；</w:t>
      </w:r>
    </w:p>
    <w:p w14:paraId="280347B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1.1</w:t>
      </w:r>
      <w:r>
        <w:rPr>
          <w:rFonts w:hint="eastAsia" w:ascii="宋体" w:hAnsi="宋体" w:eastAsia="宋体" w:cs="Times New Roman"/>
          <w:color w:val="000000"/>
          <w:sz w:val="24"/>
          <w:szCs w:val="24"/>
          <w:highlight w:val="none"/>
          <w:lang w:val="en-US" w:eastAsia="zh-CN"/>
        </w:rPr>
        <w:t>3</w:t>
      </w:r>
      <w:r>
        <w:rPr>
          <w:rFonts w:hint="eastAsia" w:ascii="宋体" w:hAnsi="宋体" w:eastAsia="宋体" w:cs="Times New Roman"/>
          <w:color w:val="000000"/>
          <w:sz w:val="24"/>
          <w:szCs w:val="24"/>
          <w:highlight w:val="none"/>
        </w:rPr>
        <w:t>投标保证金缴纳凭证</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Times New Roman"/>
          <w:color w:val="000000"/>
          <w:sz w:val="24"/>
          <w:szCs w:val="24"/>
          <w:highlight w:val="none"/>
        </w:rPr>
        <w:t>。</w:t>
      </w:r>
    </w:p>
    <w:p w14:paraId="5C5AC84A">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p>
    <w:p w14:paraId="3B0855AC">
      <w:pPr>
        <w:spacing w:line="360" w:lineRule="auto"/>
        <w:ind w:firstLine="480" w:firstLineChars="200"/>
        <w:rPr>
          <w:rFonts w:hint="eastAsia"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2.1技术规格偏离表（附件5</w:t>
      </w:r>
      <w:r>
        <w:rPr>
          <w:rFonts w:hint="eastAsia" w:ascii="宋体" w:hAnsi="宋体" w:eastAsia="宋体" w:cs="Times New Roman"/>
          <w:color w:val="000000"/>
          <w:sz w:val="24"/>
          <w:szCs w:val="24"/>
          <w:highlight w:val="none"/>
          <w:lang w:val="en-US" w:eastAsia="zh-CN"/>
        </w:rPr>
        <w:t>-1</w:t>
      </w:r>
      <w:r>
        <w:rPr>
          <w:rFonts w:hint="eastAsia" w:ascii="宋体" w:hAnsi="宋体" w:eastAsia="宋体" w:cs="Times New Roman"/>
          <w:color w:val="000000"/>
          <w:sz w:val="24"/>
          <w:szCs w:val="24"/>
          <w:highlight w:val="none"/>
        </w:rPr>
        <w:t>），</w:t>
      </w:r>
      <w:r>
        <w:rPr>
          <w:rFonts w:hint="eastAsia" w:ascii="宋体" w:hAnsi="宋体" w:eastAsia="宋体" w:cs="Times New Roman"/>
          <w:b/>
          <w:color w:val="000000"/>
          <w:sz w:val="24"/>
          <w:szCs w:val="24"/>
          <w:highlight w:val="none"/>
        </w:rPr>
        <w:t>必须先进行两列要求一一对照，不允许直接写无偏离；</w:t>
      </w:r>
    </w:p>
    <w:p w14:paraId="6CA1DECE">
      <w:pPr>
        <w:pStyle w:val="17"/>
        <w:spacing w:line="360" w:lineRule="auto"/>
        <w:ind w:firstLine="480"/>
        <w:rPr>
          <w:rFonts w:hint="default" w:eastAsia="宋体"/>
          <w:highlight w:val="yellow"/>
          <w:lang w:val="en-US" w:eastAsia="zh-CN"/>
        </w:rPr>
      </w:pPr>
      <w:r>
        <w:rPr>
          <w:rFonts w:hint="eastAsia" w:ascii="宋体" w:hAnsi="宋体" w:eastAsia="宋体" w:cs="宋体"/>
          <w:color w:val="000000"/>
          <w:kern w:val="2"/>
          <w:sz w:val="24"/>
          <w:szCs w:val="24"/>
          <w:highlight w:val="yellow"/>
          <w:lang w:val="en-US" w:eastAsia="zh-CN" w:bidi="ar-SA"/>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FE73CE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val="en-US" w:eastAsia="zh-CN"/>
        </w:rPr>
        <w:t>3</w:t>
      </w:r>
      <w:r>
        <w:rPr>
          <w:rFonts w:hint="eastAsia" w:ascii="宋体" w:hAnsi="宋体" w:eastAsia="宋体" w:cs="宋体"/>
          <w:color w:val="000000"/>
          <w:sz w:val="24"/>
          <w:szCs w:val="24"/>
        </w:rPr>
        <w:t>提供同类产品的制造销售业绩（用户名单、联系方式），并附合同复印件。该同类项目业绩一览表必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71F7319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lang w:val="en-US" w:eastAsia="zh-CN"/>
        </w:rPr>
        <w:t>4</w:t>
      </w:r>
      <w:r>
        <w:rPr>
          <w:rFonts w:hint="eastAsia" w:ascii="宋体" w:hAnsi="宋体" w:eastAsia="宋体" w:cs="Times New Roman"/>
          <w:color w:val="000000"/>
          <w:sz w:val="24"/>
          <w:szCs w:val="24"/>
          <w:highlight w:val="none"/>
        </w:rPr>
        <w:t>供货期及保证措施；</w:t>
      </w:r>
    </w:p>
    <w:p w14:paraId="0E6963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5</w:t>
      </w:r>
      <w:r>
        <w:rPr>
          <w:rFonts w:hint="eastAsia" w:ascii="宋体" w:hAnsi="宋体" w:eastAsia="宋体" w:cs="Times New Roman"/>
          <w:color w:val="000000"/>
          <w:sz w:val="24"/>
          <w:szCs w:val="24"/>
        </w:rPr>
        <w:t>产品的技术服务和售后服务内容及措施；</w:t>
      </w:r>
    </w:p>
    <w:p w14:paraId="56FAFE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6</w:t>
      </w:r>
      <w:r>
        <w:rPr>
          <w:rFonts w:hint="eastAsia" w:ascii="宋体" w:hAnsi="宋体" w:eastAsia="宋体" w:cs="Times New Roman"/>
          <w:color w:val="000000"/>
          <w:sz w:val="24"/>
          <w:szCs w:val="24"/>
        </w:rPr>
        <w:t>交货进度及计划；</w:t>
      </w:r>
    </w:p>
    <w:p w14:paraId="2EE60CBE">
      <w:pPr>
        <w:spacing w:line="360" w:lineRule="auto"/>
        <w:ind w:firstLine="480" w:firstLineChars="200"/>
        <w:rPr>
          <w:rFonts w:ascii="宋体" w:hAnsi="宋体" w:eastAsia="宋体" w:cs="Times New Roman"/>
          <w:color w:val="000000"/>
          <w:sz w:val="24"/>
          <w:szCs w:val="24"/>
        </w:rPr>
      </w:pPr>
      <w:bookmarkStart w:id="25" w:name="_Toc536542319"/>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7</w:t>
      </w:r>
      <w:r>
        <w:rPr>
          <w:rFonts w:hint="eastAsia" w:ascii="宋体" w:hAnsi="宋体" w:eastAsia="宋体" w:cs="Times New Roman"/>
          <w:color w:val="000000"/>
          <w:sz w:val="24"/>
          <w:szCs w:val="24"/>
        </w:rPr>
        <w:t>投标产品技术支持材料</w:t>
      </w:r>
      <w:bookmarkEnd w:id="25"/>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投标人所投标设备详细技术资料清单；</w:t>
      </w:r>
    </w:p>
    <w:p w14:paraId="7AA668B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8</w:t>
      </w:r>
      <w:r>
        <w:rPr>
          <w:rFonts w:hint="eastAsia" w:ascii="宋体" w:hAnsi="宋体" w:eastAsia="宋体" w:cs="Times New Roman"/>
          <w:color w:val="000000"/>
          <w:sz w:val="24"/>
          <w:szCs w:val="24"/>
        </w:rPr>
        <w:t>设备质量承诺函（附件7）；</w:t>
      </w:r>
    </w:p>
    <w:p w14:paraId="30FA22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9</w:t>
      </w:r>
      <w:r>
        <w:rPr>
          <w:rFonts w:hint="eastAsia" w:ascii="宋体" w:hAnsi="宋体" w:eastAsia="宋体" w:cs="Times New Roman"/>
          <w:color w:val="000000"/>
          <w:sz w:val="24"/>
          <w:szCs w:val="24"/>
        </w:rPr>
        <w:t>投标人需提交的其它资料。</w:t>
      </w:r>
    </w:p>
    <w:p w14:paraId="273629F9">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14:paraId="5D43D7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14:paraId="6ADA3A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14:paraId="0F7198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r>
        <w:rPr>
          <w:rFonts w:hint="eastAsia" w:ascii="宋体" w:hAnsi="宋体" w:eastAsia="宋体" w:cs="Times New Roman"/>
          <w:b/>
          <w:color w:val="000000"/>
          <w:sz w:val="24"/>
          <w:szCs w:val="24"/>
        </w:rPr>
        <w:t>；</w:t>
      </w:r>
      <w:r>
        <w:rPr>
          <w:rFonts w:ascii="宋体" w:hAnsi="宋体" w:eastAsia="宋体" w:cs="Times New Roman"/>
          <w:color w:val="000000"/>
          <w:sz w:val="24"/>
          <w:szCs w:val="24"/>
        </w:rPr>
        <w:t xml:space="preserve"> </w:t>
      </w:r>
    </w:p>
    <w:p w14:paraId="4A2C4BF5">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b/>
          <w:color w:val="000000"/>
          <w:sz w:val="24"/>
          <w:szCs w:val="24"/>
        </w:rPr>
        <w:t>；</w:t>
      </w:r>
    </w:p>
    <w:p w14:paraId="7464B8B9">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r>
        <w:rPr>
          <w:rFonts w:hint="eastAsia" w:ascii="宋体" w:hAnsi="宋体" w:eastAsia="宋体" w:cs="Times New Roman"/>
          <w:b/>
          <w:color w:val="000000"/>
          <w:sz w:val="24"/>
          <w:szCs w:val="24"/>
        </w:rPr>
        <w:t>需写明质保期以外服务费用情况</w:t>
      </w:r>
      <w:r>
        <w:rPr>
          <w:rFonts w:hint="eastAsia" w:ascii="宋体" w:hAnsi="宋体" w:eastAsia="宋体" w:cs="Times New Roman"/>
          <w:color w:val="000000"/>
          <w:sz w:val="24"/>
          <w:szCs w:val="24"/>
        </w:rPr>
        <w:t>；</w:t>
      </w:r>
    </w:p>
    <w:p w14:paraId="38F909C4">
      <w:pPr>
        <w:keepNext/>
        <w:keepLines/>
        <w:spacing w:line="360" w:lineRule="auto"/>
        <w:ind w:firstLine="480" w:firstLineChars="200"/>
        <w:outlineLvl w:val="1"/>
        <w:rPr>
          <w:rFonts w:ascii="Arial" w:hAnsi="Arial" w:eastAsia="宋体" w:cs="Times New Roman"/>
          <w:b/>
          <w:bCs/>
          <w:sz w:val="24"/>
          <w:szCs w:val="24"/>
        </w:rPr>
      </w:pPr>
      <w:r>
        <w:rPr>
          <w:rFonts w:hint="eastAsia" w:ascii="宋体" w:hAnsi="宋体" w:eastAsia="宋体" w:cs="Times New Roman"/>
          <w:color w:val="000000"/>
          <w:sz w:val="24"/>
          <w:szCs w:val="24"/>
        </w:rPr>
        <w:t>3.6按招标文件投标人须知和技术规格书中要求提供的有关文件。</w:t>
      </w:r>
    </w:p>
    <w:p w14:paraId="524BFA98">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14:paraId="4CB3BE0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lang w:val="en-US" w:eastAsia="zh-CN"/>
        </w:rPr>
        <w:t>3</w:t>
      </w:r>
      <w:r>
        <w:rPr>
          <w:rFonts w:hint="eastAsia" w:ascii="宋体" w:hAnsi="宋体" w:eastAsia="宋体" w:cs="Times New Roman"/>
          <w:color w:val="000000"/>
          <w:sz w:val="24"/>
          <w:szCs w:val="24"/>
        </w:rPr>
        <w:t>，其余未尽事宜请按各单位习惯制定即可。</w:t>
      </w:r>
    </w:p>
    <w:p w14:paraId="37B8E224">
      <w:pPr>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br w:type="page"/>
      </w:r>
    </w:p>
    <w:p w14:paraId="7559E996">
      <w:pPr>
        <w:rPr>
          <w:rFonts w:ascii="宋体" w:hAnsi="Calibri" w:eastAsia="宋体" w:cs="Times New Roman"/>
          <w:color w:val="000000"/>
          <w:sz w:val="30"/>
          <w:szCs w:val="30"/>
        </w:rPr>
      </w:pPr>
    </w:p>
    <w:p w14:paraId="10DA7E5A">
      <w:pPr>
        <w:rPr>
          <w:rFonts w:ascii="宋体" w:hAnsi="Calibri" w:eastAsia="宋体" w:cs="Times New Roman"/>
          <w:color w:val="000000"/>
          <w:sz w:val="30"/>
          <w:szCs w:val="30"/>
        </w:rPr>
      </w:pPr>
      <w:bookmarkStart w:id="26" w:name="_Toc9849"/>
    </w:p>
    <w:bookmarkEnd w:id="0"/>
    <w:bookmarkEnd w:id="1"/>
    <w:bookmarkEnd w:id="26"/>
    <w:p w14:paraId="2130695A">
      <w:pPr>
        <w:rPr>
          <w:rFonts w:ascii="宋体" w:hAnsi="Calibri" w:eastAsia="宋体" w:cs="Times New Roman"/>
          <w:color w:val="000000"/>
          <w:sz w:val="30"/>
          <w:szCs w:val="30"/>
        </w:rPr>
      </w:pPr>
      <w:bookmarkStart w:id="27" w:name="_Toc28859"/>
    </w:p>
    <w:p w14:paraId="624D7178">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66ADEEE">
      <w:pPr>
        <w:pStyle w:val="17"/>
      </w:pPr>
    </w:p>
    <w:p w14:paraId="151E2DCE">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5C4C0FD">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AMT变速箱疲劳寿命试验台项目</w:t>
      </w:r>
    </w:p>
    <w:p w14:paraId="5A2EB7AC">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1695E420">
      <w:pPr>
        <w:jc w:val="right"/>
        <w:rPr>
          <w:rFonts w:ascii="Calibri" w:hAnsi="Calibri" w:eastAsia="宋体" w:cs="Times New Roman"/>
          <w:color w:val="000000"/>
          <w:sz w:val="28"/>
          <w:szCs w:val="28"/>
        </w:rPr>
      </w:pPr>
    </w:p>
    <w:p w14:paraId="1D99DCA6">
      <w:pPr>
        <w:pStyle w:val="17"/>
      </w:pPr>
    </w:p>
    <w:p w14:paraId="3E15C4E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24956E6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16E6D55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64E099C">
      <w:pPr>
        <w:jc w:val="center"/>
        <w:rPr>
          <w:rFonts w:ascii="黑体" w:hAnsi="宋体" w:eastAsia="黑体" w:cs="Times New Roman"/>
          <w:color w:val="000000"/>
          <w:sz w:val="84"/>
          <w:szCs w:val="84"/>
        </w:rPr>
      </w:pPr>
      <w:r>
        <w:rPr>
          <w:rFonts w:hint="eastAsia" w:ascii="黑体" w:hAnsi="宋体" w:eastAsia="黑体" w:cs="Times New Roman"/>
          <w:color w:val="000000"/>
          <w:sz w:val="72"/>
          <w:szCs w:val="72"/>
        </w:rPr>
        <w:t>书</w:t>
      </w:r>
    </w:p>
    <w:p w14:paraId="1F868407">
      <w:pPr>
        <w:pStyle w:val="17"/>
      </w:pPr>
    </w:p>
    <w:p w14:paraId="53BBA820">
      <w:pPr>
        <w:pStyle w:val="17"/>
        <w:rPr>
          <w:rFonts w:ascii="黑体" w:hAnsi="宋体" w:eastAsia="黑体" w:cs="Times New Roman"/>
          <w:color w:val="000000"/>
          <w:sz w:val="72"/>
          <w:szCs w:val="72"/>
        </w:rPr>
      </w:pPr>
    </w:p>
    <w:p w14:paraId="24E41CD4">
      <w:pPr>
        <w:pStyle w:val="17"/>
        <w:rPr>
          <w:rFonts w:ascii="黑体" w:hAnsi="宋体" w:eastAsia="黑体" w:cs="Times New Roman"/>
          <w:color w:val="000000"/>
          <w:sz w:val="72"/>
          <w:szCs w:val="72"/>
        </w:rPr>
      </w:pPr>
    </w:p>
    <w:p w14:paraId="00F87B65">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832263E">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83A26F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561EAD2A">
      <w:pPr>
        <w:pStyle w:val="17"/>
        <w:rPr>
          <w:b/>
          <w:bCs/>
        </w:rPr>
      </w:pPr>
    </w:p>
    <w:p w14:paraId="74595E89">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F87162C">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4月</w:t>
      </w:r>
    </w:p>
    <w:p w14:paraId="2275ACA3">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3FC18F57">
      <w:pPr>
        <w:keepNext/>
        <w:keepLines/>
        <w:spacing w:before="120" w:after="120" w:line="480" w:lineRule="exact"/>
        <w:jc w:val="center"/>
        <w:outlineLvl w:val="1"/>
        <w:rPr>
          <w:rFonts w:ascii="宋体" w:hAnsi="Calibri" w:eastAsia="宋体" w:cs="Times New Roman"/>
          <w:b/>
          <w:bCs/>
          <w:kern w:val="44"/>
          <w:sz w:val="28"/>
          <w:szCs w:val="28"/>
        </w:rPr>
      </w:pPr>
      <w:bookmarkStart w:id="28"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28"/>
    </w:p>
    <w:p w14:paraId="203A16DF">
      <w:pPr>
        <w:keepNext/>
        <w:keepLines/>
        <w:spacing w:before="120" w:after="120" w:line="480" w:lineRule="exact"/>
        <w:jc w:val="center"/>
        <w:outlineLvl w:val="2"/>
        <w:rPr>
          <w:rFonts w:ascii="Arial" w:hAnsi="Arial" w:eastAsia="宋体" w:cs="Times New Roman"/>
          <w:b/>
          <w:bCs/>
          <w:sz w:val="24"/>
          <w:szCs w:val="24"/>
        </w:rPr>
      </w:pPr>
      <w:bookmarkStart w:id="29"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29"/>
    </w:p>
    <w:p w14:paraId="7C8320F6">
      <w:pPr>
        <w:spacing w:line="360" w:lineRule="auto"/>
        <w:outlineLvl w:val="3"/>
        <w:rPr>
          <w:rFonts w:ascii="宋体" w:hAnsi="宋体" w:eastAsia="宋体" w:cs="宋体"/>
          <w:color w:val="000000" w:themeColor="text1"/>
          <w:sz w:val="24"/>
          <w:szCs w:val="24"/>
          <w:u w:val="single"/>
          <w:shd w:val="pct10" w:color="auto" w:fill="FFFFFF"/>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一、项目名称：</w:t>
      </w:r>
      <w:r>
        <w:rPr>
          <w:rFonts w:hint="eastAsia" w:ascii="宋体" w:hAnsi="宋体" w:eastAsia="宋体" w:cs="宋体"/>
          <w:sz w:val="24"/>
          <w:szCs w:val="24"/>
          <w:highlight w:val="none"/>
          <w:u w:val="single"/>
          <w:shd w:val="pct10" w:color="auto" w:fill="FFFFFF"/>
          <w:lang w:val="en-US" w:eastAsia="zh-CN"/>
        </w:rPr>
        <w:t>动态翻转试验台</w:t>
      </w:r>
    </w:p>
    <w:p w14:paraId="2F90589D">
      <w:pPr>
        <w:spacing w:line="360" w:lineRule="auto"/>
        <w:outlineLvl w:val="3"/>
        <w:rPr>
          <w:rFonts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二、建设地点：</w:t>
      </w:r>
      <w:r>
        <w:rPr>
          <w:rFonts w:hint="eastAsia" w:ascii="宋体" w:hAnsi="宋体" w:eastAsia="宋体" w:cs="宋体"/>
          <w:sz w:val="24"/>
          <w:szCs w:val="24"/>
          <w:highlight w:val="none"/>
          <w:u w:val="single"/>
          <w:shd w:val="pct10" w:color="auto" w:fill="FFFFFF"/>
        </w:rPr>
        <w:t>中国重汽集团</w:t>
      </w:r>
      <w:r>
        <w:rPr>
          <w:rFonts w:hint="eastAsia" w:ascii="宋体" w:hAnsi="宋体" w:eastAsia="宋体" w:cs="宋体"/>
          <w:sz w:val="24"/>
          <w:szCs w:val="24"/>
          <w:highlight w:val="none"/>
          <w:u w:val="single"/>
          <w:shd w:val="pct10" w:color="auto" w:fill="FFFFFF"/>
          <w:lang w:val="en-US" w:eastAsia="zh-CN"/>
        </w:rPr>
        <w:t>莱芜二期3#动力总成试验室</w:t>
      </w:r>
    </w:p>
    <w:p w14:paraId="0250B4C2">
      <w:pPr>
        <w:spacing w:line="360" w:lineRule="auto"/>
        <w:outlineLvl w:val="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三、使用地点：</w:t>
      </w:r>
      <w:r>
        <w:rPr>
          <w:rFonts w:hint="eastAsia" w:ascii="宋体" w:hAnsi="宋体" w:eastAsia="宋体" w:cs="宋体"/>
          <w:sz w:val="24"/>
          <w:szCs w:val="24"/>
          <w:highlight w:val="none"/>
          <w:u w:val="single"/>
          <w:shd w:val="pct10" w:color="auto" w:fill="FFFFFF"/>
        </w:rPr>
        <w:t>中国重汽集团</w:t>
      </w:r>
      <w:r>
        <w:rPr>
          <w:rFonts w:hint="eastAsia" w:ascii="宋体" w:hAnsi="宋体" w:eastAsia="宋体" w:cs="宋体"/>
          <w:sz w:val="24"/>
          <w:szCs w:val="24"/>
          <w:highlight w:val="none"/>
          <w:u w:val="single"/>
          <w:shd w:val="pct10" w:color="auto" w:fill="FFFFFF"/>
          <w:lang w:val="en-US" w:eastAsia="zh-CN"/>
        </w:rPr>
        <w:t>莱芜二期3#动力总成试验室</w:t>
      </w:r>
    </w:p>
    <w:p w14:paraId="07129E5B">
      <w:pPr>
        <w:spacing w:line="360" w:lineRule="auto"/>
        <w:outlineLvl w:val="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四、工作制度：全年工作</w:t>
      </w:r>
      <w:r>
        <w:rPr>
          <w:rFonts w:ascii="宋体" w:hAnsi="宋体" w:eastAsia="宋体" w:cs="宋体"/>
          <w:color w:val="000000" w:themeColor="text1"/>
          <w:sz w:val="24"/>
          <w:szCs w:val="24"/>
          <w:u w:val="single"/>
          <w:shd w:val="pct10" w:color="auto" w:fill="FFFFFF"/>
          <w14:textFill>
            <w14:solidFill>
              <w14:schemeClr w14:val="tx1"/>
            </w14:solidFill>
          </w14:textFill>
        </w:rPr>
        <w:t>365</w:t>
      </w:r>
      <w:r>
        <w:rPr>
          <w:rFonts w:hint="eastAsia" w:ascii="宋体" w:hAnsi="宋体" w:eastAsia="宋体" w:cs="宋体"/>
          <w:color w:val="000000" w:themeColor="text1"/>
          <w:sz w:val="24"/>
          <w:szCs w:val="24"/>
          <w14:textFill>
            <w14:solidFill>
              <w14:schemeClr w14:val="tx1"/>
            </w14:solidFill>
          </w14:textFill>
        </w:rPr>
        <w:t>天、</w:t>
      </w:r>
      <w:r>
        <w:rPr>
          <w:rFonts w:hint="eastAsia" w:ascii="宋体" w:hAnsi="宋体" w:eastAsia="宋体" w:cs="宋体"/>
          <w:color w:val="000000" w:themeColor="text1"/>
          <w:sz w:val="24"/>
          <w:szCs w:val="24"/>
          <w:u w:val="single"/>
          <w:shd w:val="pct10" w:color="auto" w:fill="FFFFFF"/>
          <w14:textFill>
            <w14:solidFill>
              <w14:schemeClr w14:val="tx1"/>
            </w14:solidFill>
          </w14:textFill>
        </w:rPr>
        <w:t xml:space="preserve"> </w:t>
      </w:r>
      <w:r>
        <w:rPr>
          <w:rFonts w:hint="eastAsia" w:ascii="宋体" w:hAnsi="宋体" w:eastAsia="宋体" w:cs="宋体"/>
          <w:color w:val="000000" w:themeColor="text1"/>
          <w:sz w:val="24"/>
          <w:szCs w:val="24"/>
          <w:u w:val="single"/>
          <w:shd w:val="pct10" w:color="auto" w:fill="FFFFFF"/>
          <w:lang w:val="en-US" w:eastAsia="zh-CN"/>
          <w14:textFill>
            <w14:solidFill>
              <w14:schemeClr w14:val="tx1"/>
            </w14:solidFill>
          </w14:textFill>
        </w:rPr>
        <w:t>两</w:t>
      </w:r>
      <w:r>
        <w:rPr>
          <w:rFonts w:hint="eastAsia" w:ascii="宋体" w:hAnsi="宋体" w:eastAsia="宋体" w:cs="宋体"/>
          <w:color w:val="000000" w:themeColor="text1"/>
          <w:sz w:val="24"/>
          <w:szCs w:val="24"/>
          <w:u w:val="single"/>
          <w:shd w:val="pct10" w:color="auto" w:fill="FFFFFF"/>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班制、设备年时基数</w:t>
      </w:r>
      <w:r>
        <w:rPr>
          <w:rFonts w:hint="eastAsia" w:ascii="宋体" w:hAnsi="宋体" w:eastAsia="宋体" w:cs="宋体"/>
          <w:color w:val="000000" w:themeColor="text1"/>
          <w:sz w:val="24"/>
          <w:szCs w:val="24"/>
          <w:u w:val="single"/>
          <w:shd w:val="pct10" w:color="auto" w:fill="FFFFFF"/>
          <w:lang w:val="en-US" w:eastAsia="zh-CN"/>
          <w14:textFill>
            <w14:solidFill>
              <w14:schemeClr w14:val="tx1"/>
            </w14:solidFill>
          </w14:textFill>
        </w:rPr>
        <w:t>438</w:t>
      </w:r>
      <w:r>
        <w:rPr>
          <w:rFonts w:ascii="宋体" w:hAnsi="宋体" w:eastAsia="宋体" w:cs="宋体"/>
          <w:color w:val="000000" w:themeColor="text1"/>
          <w:sz w:val="24"/>
          <w:szCs w:val="24"/>
          <w:u w:val="single"/>
          <w:shd w:val="pct10" w:color="auto" w:fill="FFFFFF"/>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小时</w:t>
      </w:r>
    </w:p>
    <w:p w14:paraId="592ED4E8">
      <w:pPr>
        <w:spacing w:line="360" w:lineRule="auto"/>
        <w:outlineLvl w:val="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五、使用地点区域自然环境：</w:t>
      </w:r>
    </w:p>
    <w:p w14:paraId="1A5BC9C5">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海拔高度：20～60m。</w:t>
      </w:r>
    </w:p>
    <w:p w14:paraId="6E04829E">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环境温度：室外极端最低温度-</w:t>
      </w:r>
      <w:r>
        <w:rPr>
          <w:rFonts w:hint="eastAsia" w:ascii="宋体" w:hAnsi="宋体" w:eastAsia="宋体" w:cs="宋体"/>
          <w:bCs/>
          <w:sz w:val="24"/>
          <w:szCs w:val="24"/>
          <w:highlight w:val="none"/>
          <w:lang w:val="en-US" w:eastAsia="zh-CN"/>
        </w:rPr>
        <w:t>18</w:t>
      </w:r>
      <w:r>
        <w:rPr>
          <w:rFonts w:hint="eastAsia" w:ascii="宋体" w:hAnsi="宋体" w:eastAsia="宋体" w:cs="宋体"/>
          <w:bCs/>
          <w:sz w:val="24"/>
          <w:szCs w:val="24"/>
          <w:highlight w:val="none"/>
        </w:rPr>
        <w:t>℃、极端最高温度45℃，昼夜最大温差15℃；室内温度5～</w:t>
      </w:r>
      <w:r>
        <w:rPr>
          <w:rFonts w:hint="eastAsia" w:ascii="宋体" w:hAnsi="宋体" w:eastAsia="宋体" w:cs="宋体"/>
          <w:bCs/>
          <w:sz w:val="24"/>
          <w:szCs w:val="24"/>
          <w:highlight w:val="none"/>
          <w:lang w:val="en-US" w:eastAsia="zh-CN"/>
        </w:rPr>
        <w:t>40</w:t>
      </w:r>
      <w:r>
        <w:rPr>
          <w:rFonts w:hint="eastAsia" w:ascii="宋体" w:hAnsi="宋体" w:eastAsia="宋体" w:cs="宋体"/>
          <w:bCs/>
          <w:sz w:val="24"/>
          <w:szCs w:val="24"/>
          <w:highlight w:val="none"/>
        </w:rPr>
        <w:t>℃。</w:t>
      </w:r>
    </w:p>
    <w:p w14:paraId="7E4F67E7">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相对湿度：</w:t>
      </w:r>
      <w:r>
        <w:rPr>
          <w:rFonts w:hint="eastAsia" w:ascii="宋体" w:hAnsi="宋体" w:eastAsia="宋体" w:cs="宋体"/>
          <w:sz w:val="24"/>
          <w:szCs w:val="24"/>
          <w:highlight w:val="none"/>
        </w:rPr>
        <w:t>年平均67%，</w:t>
      </w:r>
      <w:r>
        <w:rPr>
          <w:rFonts w:hint="eastAsia" w:ascii="宋体" w:hAnsi="宋体" w:eastAsia="宋体" w:cs="宋体"/>
          <w:bCs/>
          <w:sz w:val="24"/>
          <w:szCs w:val="24"/>
          <w:highlight w:val="none"/>
        </w:rPr>
        <w:t>最大98%、最小25%。</w:t>
      </w:r>
    </w:p>
    <w:p w14:paraId="22477A6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4、地震设防</w:t>
      </w:r>
      <w:r>
        <w:rPr>
          <w:rFonts w:hint="eastAsia" w:ascii="宋体" w:hAnsi="宋体" w:eastAsia="宋体" w:cs="宋体"/>
          <w:sz w:val="24"/>
          <w:szCs w:val="24"/>
          <w:highlight w:val="none"/>
          <w:lang w:val="en-US" w:eastAsia="zh-CN"/>
        </w:rPr>
        <w:t>烈</w:t>
      </w:r>
      <w:r>
        <w:rPr>
          <w:rFonts w:hint="eastAsia" w:ascii="宋体" w:hAnsi="宋体" w:eastAsia="宋体" w:cs="宋体"/>
          <w:sz w:val="24"/>
          <w:szCs w:val="24"/>
          <w:highlight w:val="none"/>
        </w:rPr>
        <w:t>度：七度。</w:t>
      </w:r>
    </w:p>
    <w:p w14:paraId="2411AC01">
      <w:pPr>
        <w:spacing w:line="360" w:lineRule="auto"/>
        <w:outlineLvl w:val="3"/>
        <w:rPr>
          <w:rFonts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14:paraId="4B228A28">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1、电力：中国制式，供电电压</w:t>
      </w:r>
      <w:r>
        <w:rPr>
          <w:rFonts w:hint="eastAsia" w:ascii="宋体" w:hAnsi="宋体" w:eastAsia="宋体" w:cs="宋体"/>
          <w:bCs/>
          <w:sz w:val="24"/>
          <w:szCs w:val="24"/>
          <w:highlight w:val="none"/>
          <w:lang w:val="en-US" w:eastAsia="zh-CN"/>
        </w:rPr>
        <w:t>690V和</w:t>
      </w:r>
      <w:r>
        <w:rPr>
          <w:rFonts w:hint="eastAsia" w:ascii="宋体" w:hAnsi="宋体" w:eastAsia="宋体" w:cs="宋体"/>
          <w:bCs/>
          <w:sz w:val="24"/>
          <w:szCs w:val="24"/>
          <w:highlight w:val="none"/>
        </w:rPr>
        <w:t>380V±1</w:t>
      </w:r>
      <w:r>
        <w:rPr>
          <w:rFonts w:hint="eastAsia" w:ascii="宋体" w:hAnsi="宋体" w:eastAsia="宋体" w:cs="宋体"/>
          <w:bCs/>
          <w:sz w:val="24"/>
          <w:szCs w:val="24"/>
          <w:highlight w:val="none"/>
          <w:lang w:val="en-US" w:eastAsia="zh-CN"/>
        </w:rPr>
        <w:t>0</w:t>
      </w:r>
      <w:r>
        <w:rPr>
          <w:rFonts w:hint="eastAsia" w:ascii="宋体" w:hAnsi="宋体" w:eastAsia="宋体" w:cs="宋体"/>
          <w:bCs/>
          <w:sz w:val="24"/>
          <w:szCs w:val="24"/>
          <w:highlight w:val="none"/>
        </w:rPr>
        <w:t>%，供电频率50Hz±2%。</w:t>
      </w:r>
    </w:p>
    <w:p w14:paraId="4A615ECF">
      <w:pPr>
        <w:spacing w:line="360" w:lineRule="auto"/>
        <w:ind w:firstLine="480" w:firstLineChars="200"/>
        <w:rPr>
          <w:rFonts w:hint="default" w:ascii="宋体" w:hAnsi="宋体" w:eastAsia="宋体" w:cs="宋体"/>
          <w:bCs/>
          <w:sz w:val="24"/>
          <w:szCs w:val="24"/>
          <w:highlight w:val="none"/>
          <w:lang w:val="en-US" w:eastAsia="zh-CN"/>
        </w:rPr>
      </w:pPr>
      <w:r>
        <w:rPr>
          <w:rFonts w:hint="default" w:ascii="宋体" w:hAnsi="宋体" w:eastAsia="宋体" w:cs="宋体"/>
          <w:bCs/>
          <w:sz w:val="24"/>
          <w:szCs w:val="24"/>
          <w:highlight w:val="none"/>
          <w:lang w:val="en-US" w:eastAsia="zh-CN"/>
        </w:rPr>
        <w:t>2、给水：冷却水：</w:t>
      </w:r>
      <w:r>
        <w:rPr>
          <w:rFonts w:hint="eastAsia" w:ascii="宋体" w:hAnsi="宋体" w:eastAsia="宋体" w:cs="宋体"/>
          <w:bCs/>
          <w:sz w:val="24"/>
          <w:szCs w:val="24"/>
          <w:highlight w:val="none"/>
          <w:lang w:val="en-US" w:eastAsia="zh-CN"/>
        </w:rPr>
        <w:t>25±3</w:t>
      </w:r>
      <w:r>
        <w:rPr>
          <w:rFonts w:hint="default" w:ascii="宋体" w:hAnsi="宋体" w:eastAsia="宋体" w:cs="宋体"/>
          <w:bCs/>
          <w:sz w:val="24"/>
          <w:szCs w:val="24"/>
          <w:highlight w:val="none"/>
          <w:lang w:val="en-US" w:eastAsia="zh-CN"/>
        </w:rPr>
        <w:t>℃，</w:t>
      </w:r>
      <w:r>
        <w:rPr>
          <w:rFonts w:hint="eastAsia" w:hAnsi="宋体" w:eastAsia="宋体" w:cs="宋体"/>
          <w:bCs/>
          <w:color w:val="auto"/>
          <w:sz w:val="24"/>
          <w:szCs w:val="24"/>
          <w:highlight w:val="none"/>
          <w:lang w:val="en-US" w:eastAsia="zh-CN"/>
        </w:rPr>
        <w:t>1</w:t>
      </w:r>
      <w:r>
        <w:rPr>
          <w:rFonts w:hint="default" w:hAnsi="宋体" w:eastAsia="宋体" w:cs="宋体"/>
          <w:bCs/>
          <w:color w:val="auto"/>
          <w:sz w:val="24"/>
          <w:szCs w:val="24"/>
          <w:highlight w:val="none"/>
          <w:lang w:val="en-US" w:eastAsia="zh-CN"/>
        </w:rPr>
        <w:t>m</w:t>
      </w:r>
      <w:r>
        <w:rPr>
          <w:rFonts w:hint="eastAsia" w:hAnsi="宋体" w:eastAsia="宋体" w:cs="宋体"/>
          <w:bCs/>
          <w:color w:val="auto"/>
          <w:sz w:val="24"/>
          <w:szCs w:val="24"/>
          <w:highlight w:val="none"/>
          <w:vertAlign w:val="superscript"/>
          <w:lang w:val="en-US" w:eastAsia="zh-CN"/>
        </w:rPr>
        <w:t>3</w:t>
      </w:r>
      <w:r>
        <w:rPr>
          <w:rFonts w:hint="default" w:hAnsi="宋体" w:eastAsia="宋体" w:cs="宋体"/>
          <w:bCs/>
          <w:color w:val="auto"/>
          <w:sz w:val="24"/>
          <w:szCs w:val="24"/>
          <w:highlight w:val="none"/>
          <w:lang w:val="en-US" w:eastAsia="zh-CN"/>
        </w:rPr>
        <w:t>/min</w:t>
      </w:r>
      <w:r>
        <w:rPr>
          <w:rFonts w:hint="default" w:ascii="宋体" w:hAnsi="宋体" w:eastAsia="宋体" w:cs="宋体"/>
          <w:bCs/>
          <w:sz w:val="24"/>
          <w:szCs w:val="24"/>
          <w:highlight w:val="none"/>
          <w:lang w:val="en-US" w:eastAsia="zh-CN"/>
        </w:rPr>
        <w:t>。</w:t>
      </w:r>
    </w:p>
    <w:p w14:paraId="4CC0066F">
      <w:pPr>
        <w:spacing w:line="360" w:lineRule="auto"/>
        <w:ind w:firstLine="480" w:firstLineChars="200"/>
        <w:rPr>
          <w:rFonts w:hint="eastAsia" w:ascii="宋体" w:hAnsi="宋体" w:eastAsia="宋体" w:cs="宋体"/>
          <w:bCs/>
          <w:sz w:val="24"/>
          <w:szCs w:val="24"/>
          <w:highlight w:val="none"/>
        </w:rPr>
      </w:pPr>
      <w:r>
        <w:rPr>
          <w:rFonts w:hint="default" w:ascii="宋体" w:hAnsi="宋体" w:eastAsia="宋体" w:cs="宋体"/>
          <w:bCs/>
          <w:sz w:val="24"/>
          <w:szCs w:val="24"/>
          <w:highlight w:val="none"/>
          <w:lang w:val="en-US" w:eastAsia="zh-CN"/>
        </w:rPr>
        <w:t>3、压缩空气：空压机产的压缩空气</w:t>
      </w:r>
      <w:r>
        <w:rPr>
          <w:rFonts w:hint="eastAsia" w:ascii="宋体" w:hAnsi="宋体" w:eastAsia="宋体" w:cs="宋体"/>
          <w:bCs/>
          <w:sz w:val="24"/>
          <w:szCs w:val="24"/>
          <w:highlight w:val="none"/>
          <w:lang w:val="en-US" w:eastAsia="zh-CN"/>
        </w:rPr>
        <w:t>1MPa</w:t>
      </w:r>
      <w:r>
        <w:rPr>
          <w:rFonts w:hint="default" w:ascii="宋体" w:hAnsi="宋体" w:eastAsia="宋体" w:cs="宋体"/>
          <w:bCs/>
          <w:sz w:val="24"/>
          <w:szCs w:val="24"/>
          <w:highlight w:val="none"/>
          <w:lang w:val="en-US" w:eastAsia="zh-CN"/>
        </w:rPr>
        <w:t>,经除水、油处理</w:t>
      </w:r>
      <w:r>
        <w:rPr>
          <w:rFonts w:hint="eastAsia" w:ascii="宋体" w:hAnsi="宋体" w:eastAsia="宋体" w:cs="宋体"/>
          <w:bCs/>
          <w:sz w:val="24"/>
          <w:szCs w:val="24"/>
          <w:highlight w:val="none"/>
        </w:rPr>
        <w:t>。</w:t>
      </w:r>
    </w:p>
    <w:p w14:paraId="1E06F600">
      <w:pPr>
        <w:spacing w:line="360" w:lineRule="auto"/>
        <w:ind w:firstLine="480" w:firstLineChars="200"/>
        <w:rPr>
          <w:rFonts w:ascii="宋体" w:hAnsi="宋体" w:eastAsia="宋体" w:cs="宋体"/>
          <w:bCs/>
          <w:color w:val="000000" w:themeColor="text1"/>
          <w:sz w:val="24"/>
          <w:szCs w:val="24"/>
          <w14:textFill>
            <w14:solidFill>
              <w14:schemeClr w14:val="tx1"/>
            </w14:solidFill>
          </w14:textFill>
        </w:rPr>
      </w:pPr>
    </w:p>
    <w:p w14:paraId="41D40429">
      <w:pPr>
        <w:keepNext/>
        <w:keepLines/>
        <w:spacing w:before="120" w:after="120" w:line="360" w:lineRule="auto"/>
        <w:jc w:val="center"/>
        <w:outlineLvl w:val="2"/>
        <w:rPr>
          <w:rFonts w:ascii="宋体" w:hAnsi="Arial" w:eastAsia="宋体" w:cs="Times New Roman"/>
          <w:b/>
          <w:bCs/>
          <w:color w:val="000000" w:themeColor="text1"/>
          <w:sz w:val="24"/>
          <w:szCs w:val="24"/>
          <w14:textFill>
            <w14:solidFill>
              <w14:schemeClr w14:val="tx1"/>
            </w14:solidFill>
          </w14:textFill>
        </w:rPr>
      </w:pPr>
      <w:r>
        <w:rPr>
          <w:rFonts w:hint="eastAsia" w:ascii="宋体" w:hAnsi="宋体" w:eastAsia="宋体" w:cs="Times New Roman"/>
          <w:b/>
          <w:bCs/>
          <w:color w:val="000000" w:themeColor="text1"/>
          <w:sz w:val="24"/>
          <w:szCs w:val="24"/>
          <w14:textFill>
            <w14:solidFill>
              <w14:schemeClr w14:val="tx1"/>
            </w14:solidFill>
          </w14:textFill>
        </w:rPr>
        <w:t>第二节</w:t>
      </w:r>
      <w:r>
        <w:rPr>
          <w:rFonts w:ascii="宋体" w:hAnsi="宋体" w:eastAsia="宋体" w:cs="Times New Roman"/>
          <w:b/>
          <w:bCs/>
          <w:color w:val="000000" w:themeColor="text1"/>
          <w:sz w:val="24"/>
          <w:szCs w:val="24"/>
          <w14:textFill>
            <w14:solidFill>
              <w14:schemeClr w14:val="tx1"/>
            </w14:solidFill>
          </w14:textFill>
        </w:rPr>
        <w:t xml:space="preserve">  </w:t>
      </w:r>
      <w:r>
        <w:rPr>
          <w:rFonts w:hint="eastAsia" w:ascii="宋体" w:hAnsi="宋体" w:eastAsia="宋体" w:cs="Times New Roman"/>
          <w:b/>
          <w:bCs/>
          <w:color w:val="000000" w:themeColor="text1"/>
          <w:sz w:val="24"/>
          <w:szCs w:val="24"/>
          <w14:textFill>
            <w14:solidFill>
              <w14:schemeClr w14:val="tx1"/>
            </w14:solidFill>
          </w14:textFill>
        </w:rPr>
        <w:t>采购货物概况</w:t>
      </w:r>
    </w:p>
    <w:p w14:paraId="549B6506">
      <w:pPr>
        <w:spacing w:line="420" w:lineRule="exact"/>
        <w:outlineLvl w:val="3"/>
        <w:rPr>
          <w:rFonts w:ascii="宋体" w:hAnsi="宋体" w:eastAsia="宋体" w:cs="宋体"/>
          <w:color w:val="000000" w:themeColor="text1"/>
          <w:sz w:val="24"/>
          <w:szCs w:val="24"/>
          <w:u w:val="single"/>
          <w:shd w:val="pct10" w:color="auto" w:fill="FFFFFF"/>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一、货物名称：</w:t>
      </w:r>
      <w:r>
        <w:rPr>
          <w:rFonts w:hint="eastAsia" w:ascii="宋体" w:hAnsi="宋体" w:eastAsia="宋体" w:cs="宋体"/>
          <w:color w:val="auto"/>
          <w:sz w:val="24"/>
          <w:szCs w:val="24"/>
          <w:highlight w:val="none"/>
          <w:u w:val="single"/>
          <w:shd w:val="pct10" w:color="auto" w:fill="FFFFFF"/>
          <w:lang w:val="en-US" w:eastAsia="zh-CN"/>
        </w:rPr>
        <w:t>动态翻转试验台</w:t>
      </w:r>
      <w:r>
        <w:rPr>
          <w:rFonts w:hint="eastAsia" w:ascii="宋体" w:hAnsi="宋体" w:eastAsia="宋体" w:cs="宋体"/>
          <w:color w:val="000000" w:themeColor="text1"/>
          <w:sz w:val="24"/>
          <w:szCs w:val="24"/>
          <w14:textFill>
            <w14:solidFill>
              <w14:schemeClr w14:val="tx1"/>
            </w14:solidFill>
          </w14:textFill>
        </w:rPr>
        <w:t>（详见下表）</w:t>
      </w:r>
    </w:p>
    <w:p w14:paraId="12BF4BF5">
      <w:pPr>
        <w:spacing w:line="420" w:lineRule="exact"/>
        <w:outlineLvl w:val="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二、货物数量：</w:t>
      </w:r>
      <w:r>
        <w:rPr>
          <w:rFonts w:hint="eastAsia" w:ascii="宋体" w:hAnsi="宋体" w:eastAsia="宋体" w:cs="宋体"/>
          <w:color w:val="000000" w:themeColor="text1"/>
          <w:sz w:val="24"/>
          <w:szCs w:val="24"/>
          <w:u w:val="single"/>
          <w:shd w:val="pct10" w:color="auto" w:fill="FFFFFF"/>
          <w14:textFill>
            <w14:solidFill>
              <w14:schemeClr w14:val="tx1"/>
            </w14:solidFill>
          </w14:textFill>
        </w:rPr>
        <w:t>1套</w:t>
      </w:r>
      <w:r>
        <w:rPr>
          <w:rFonts w:hint="eastAsia" w:ascii="宋体" w:hAnsi="宋体" w:eastAsia="宋体" w:cs="宋体"/>
          <w:color w:val="000000" w:themeColor="text1"/>
          <w:sz w:val="24"/>
          <w:szCs w:val="24"/>
          <w14:textFill>
            <w14:solidFill>
              <w14:schemeClr w14:val="tx1"/>
            </w14:solidFill>
          </w14:textFill>
        </w:rPr>
        <w:t>（详见下表）</w:t>
      </w:r>
    </w:p>
    <w:p w14:paraId="7ED2413A">
      <w:pPr>
        <w:spacing w:line="420" w:lineRule="exact"/>
        <w:outlineLvl w:val="3"/>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三、分投分中：不允许</w:t>
      </w:r>
    </w:p>
    <w:p w14:paraId="55E7FC21">
      <w:pPr>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采购货物主要构成一览表：</w:t>
      </w:r>
    </w:p>
    <w:tbl>
      <w:tblPr>
        <w:tblStyle w:val="3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848"/>
        <w:gridCol w:w="1031"/>
        <w:gridCol w:w="923"/>
        <w:gridCol w:w="1215"/>
        <w:gridCol w:w="1846"/>
        <w:gridCol w:w="1675"/>
      </w:tblGrid>
      <w:tr w14:paraId="4BB4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99" w:type="pct"/>
            <w:vAlign w:val="center"/>
          </w:tcPr>
          <w:p w14:paraId="184712FC">
            <w:pPr>
              <w:spacing w:line="360" w:lineRule="exact"/>
              <w:jc w:val="center"/>
              <w:rPr>
                <w:rFonts w:ascii="宋体" w:hAnsi="宋体" w:eastAsia="宋体" w:cs="宋体"/>
                <w:sz w:val="24"/>
                <w:szCs w:val="24"/>
                <w:highlight w:val="none"/>
              </w:rPr>
            </w:pPr>
            <w:bookmarkStart w:id="30" w:name="_Hlk182916563"/>
            <w:r>
              <w:rPr>
                <w:rFonts w:hint="eastAsia" w:ascii="宋体" w:hAnsi="宋体" w:eastAsia="宋体" w:cs="宋体"/>
                <w:sz w:val="24"/>
                <w:szCs w:val="24"/>
                <w:highlight w:val="none"/>
              </w:rPr>
              <w:t>序号</w:t>
            </w:r>
          </w:p>
        </w:tc>
        <w:tc>
          <w:tcPr>
            <w:tcW w:w="995" w:type="pct"/>
            <w:vAlign w:val="center"/>
          </w:tcPr>
          <w:p w14:paraId="4075901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名称</w:t>
            </w:r>
          </w:p>
        </w:tc>
        <w:tc>
          <w:tcPr>
            <w:tcW w:w="555" w:type="pct"/>
            <w:vAlign w:val="center"/>
          </w:tcPr>
          <w:p w14:paraId="58506366">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子项</w:t>
            </w:r>
          </w:p>
        </w:tc>
        <w:tc>
          <w:tcPr>
            <w:tcW w:w="497" w:type="pct"/>
            <w:vAlign w:val="center"/>
          </w:tcPr>
          <w:p w14:paraId="53D430D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单位</w:t>
            </w:r>
          </w:p>
        </w:tc>
        <w:tc>
          <w:tcPr>
            <w:tcW w:w="654" w:type="pct"/>
            <w:vAlign w:val="center"/>
          </w:tcPr>
          <w:p w14:paraId="03E369D8">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数量</w:t>
            </w:r>
          </w:p>
        </w:tc>
        <w:tc>
          <w:tcPr>
            <w:tcW w:w="994" w:type="pct"/>
            <w:vAlign w:val="center"/>
          </w:tcPr>
          <w:p w14:paraId="507DA2CC">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供货方式</w:t>
            </w:r>
          </w:p>
        </w:tc>
        <w:tc>
          <w:tcPr>
            <w:tcW w:w="902" w:type="pct"/>
            <w:vAlign w:val="center"/>
          </w:tcPr>
          <w:p w14:paraId="2AA5A1D8">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w:t>
            </w:r>
          </w:p>
        </w:tc>
      </w:tr>
      <w:tr w14:paraId="30BE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99" w:type="pct"/>
            <w:vAlign w:val="center"/>
          </w:tcPr>
          <w:p w14:paraId="109063C5">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995" w:type="pct"/>
            <w:vAlign w:val="center"/>
          </w:tcPr>
          <w:p w14:paraId="4B2D6E92">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动态翻转试验台</w:t>
            </w:r>
          </w:p>
        </w:tc>
        <w:tc>
          <w:tcPr>
            <w:tcW w:w="555" w:type="pct"/>
            <w:vAlign w:val="center"/>
          </w:tcPr>
          <w:p w14:paraId="66684BC6">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497" w:type="pct"/>
            <w:vAlign w:val="center"/>
          </w:tcPr>
          <w:p w14:paraId="064B12BD">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套</w:t>
            </w:r>
          </w:p>
        </w:tc>
        <w:tc>
          <w:tcPr>
            <w:tcW w:w="654" w:type="pct"/>
            <w:vAlign w:val="center"/>
          </w:tcPr>
          <w:p w14:paraId="2A5DE9B9">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994" w:type="pct"/>
            <w:vAlign w:val="center"/>
          </w:tcPr>
          <w:p w14:paraId="321C0800">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交钥匙方式</w:t>
            </w:r>
          </w:p>
        </w:tc>
        <w:tc>
          <w:tcPr>
            <w:tcW w:w="902" w:type="pct"/>
            <w:vAlign w:val="center"/>
          </w:tcPr>
          <w:p w14:paraId="0E0F1883">
            <w:pPr>
              <w:spacing w:line="360" w:lineRule="exact"/>
              <w:jc w:val="center"/>
              <w:rPr>
                <w:rFonts w:hint="default" w:ascii="宋体" w:hAnsi="宋体" w:eastAsia="宋体" w:cs="宋体"/>
                <w:sz w:val="21"/>
                <w:szCs w:val="21"/>
                <w:highlight w:val="none"/>
                <w:lang w:val="en-US" w:eastAsia="zh-CN"/>
              </w:rPr>
            </w:pPr>
          </w:p>
        </w:tc>
      </w:tr>
      <w:bookmarkEnd w:id="30"/>
    </w:tbl>
    <w:p w14:paraId="41566AA4">
      <w:pPr>
        <w:spacing w:line="360" w:lineRule="auto"/>
        <w:ind w:firstLine="480" w:firstLineChars="20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70AB6B3C">
      <w:pPr>
        <w:numPr>
          <w:ilvl w:val="0"/>
          <w:numId w:val="0"/>
        </w:numPr>
        <w:spacing w:line="360" w:lineRule="auto"/>
        <w:ind w:firstLine="480" w:firstLineChars="20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2.</w:t>
      </w:r>
      <w:r>
        <w:rPr>
          <w:rFonts w:hint="eastAsia" w:ascii="宋体" w:hAnsi="宋体" w:eastAsia="宋体" w:cs="宋体"/>
          <w:bCs/>
          <w:color w:val="000000" w:themeColor="text1"/>
          <w:sz w:val="24"/>
          <w:szCs w:val="24"/>
          <w14:textFill>
            <w14:solidFill>
              <w14:schemeClr w14:val="tx1"/>
            </w14:solidFill>
          </w14:textFill>
        </w:rPr>
        <w:t>本表“供货方式”指：交钥匙方式——包括制造、运输、定点卸货、安装、调试和协助验收以及约定培训等。</w:t>
      </w:r>
    </w:p>
    <w:p w14:paraId="3CBE9633">
      <w:pPr>
        <w:spacing w:line="360" w:lineRule="auto"/>
        <w:ind w:firstLine="480" w:firstLineChars="200"/>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主要器件品牌表（可选同等或更</w:t>
      </w:r>
      <w:r>
        <w:rPr>
          <w:rFonts w:hint="eastAsia" w:ascii="宋体" w:hAnsi="宋体" w:eastAsia="宋体" w:cs="宋体"/>
          <w:bCs/>
          <w:color w:val="auto"/>
          <w:sz w:val="24"/>
          <w:szCs w:val="24"/>
          <w:highlight w:val="none"/>
          <w:lang w:val="en-US" w:eastAsia="zh-CN"/>
        </w:rPr>
        <w:t>高</w:t>
      </w:r>
      <w:r>
        <w:rPr>
          <w:rFonts w:hint="eastAsia" w:ascii="宋体" w:hAnsi="宋体" w:eastAsia="宋体" w:cs="宋体"/>
          <w:bCs/>
          <w:color w:val="auto"/>
          <w:sz w:val="24"/>
          <w:szCs w:val="24"/>
          <w:highlight w:val="none"/>
        </w:rPr>
        <w:t>质量品牌）</w:t>
      </w:r>
    </w:p>
    <w:tbl>
      <w:tblPr>
        <w:tblStyle w:val="38"/>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2467"/>
        <w:gridCol w:w="4011"/>
        <w:gridCol w:w="2356"/>
      </w:tblGrid>
      <w:tr w14:paraId="11E8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4E54C1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bCs/>
                <w:sz w:val="24"/>
                <w:szCs w:val="24"/>
                <w:highlight w:val="none"/>
              </w:rPr>
            </w:pPr>
            <w:r>
              <w:rPr>
                <w:rFonts w:hint="eastAsia" w:ascii="宋体" w:hAnsi="宋体" w:eastAsia="宋体" w:cs="宋体"/>
                <w:bCs/>
                <w:sz w:val="24"/>
                <w:szCs w:val="24"/>
                <w:highlight w:val="none"/>
              </w:rPr>
              <w:t>序号</w:t>
            </w:r>
          </w:p>
        </w:tc>
        <w:tc>
          <w:tcPr>
            <w:tcW w:w="2467" w:type="dxa"/>
            <w:vAlign w:val="center"/>
          </w:tcPr>
          <w:p w14:paraId="30A570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bCs/>
                <w:sz w:val="24"/>
                <w:szCs w:val="24"/>
                <w:highlight w:val="none"/>
              </w:rPr>
            </w:pPr>
            <w:r>
              <w:rPr>
                <w:rFonts w:hint="eastAsia" w:ascii="宋体" w:hAnsi="宋体" w:eastAsia="宋体" w:cs="宋体"/>
                <w:bCs/>
                <w:sz w:val="24"/>
                <w:szCs w:val="24"/>
                <w:highlight w:val="none"/>
              </w:rPr>
              <w:t>器件名称</w:t>
            </w:r>
          </w:p>
        </w:tc>
        <w:tc>
          <w:tcPr>
            <w:tcW w:w="4011" w:type="dxa"/>
            <w:vAlign w:val="center"/>
          </w:tcPr>
          <w:p w14:paraId="20DE9E3C">
            <w:pPr>
              <w:spacing w:line="240" w:lineRule="auto"/>
              <w:jc w:val="center"/>
              <w:rPr>
                <w:rFonts w:ascii="宋体" w:hAnsi="宋体" w:eastAsia="宋体" w:cs="宋体"/>
                <w:bCs/>
                <w:sz w:val="24"/>
                <w:szCs w:val="24"/>
                <w:highlight w:val="none"/>
              </w:rPr>
            </w:pPr>
            <w:r>
              <w:rPr>
                <w:rFonts w:hint="eastAsia" w:ascii="宋体" w:hAnsi="宋体" w:eastAsia="宋体" w:cs="宋体"/>
                <w:bCs/>
                <w:sz w:val="24"/>
                <w:szCs w:val="24"/>
                <w:highlight w:val="none"/>
              </w:rPr>
              <w:t>品牌</w:t>
            </w:r>
          </w:p>
        </w:tc>
        <w:tc>
          <w:tcPr>
            <w:tcW w:w="2356" w:type="dxa"/>
            <w:vAlign w:val="center"/>
          </w:tcPr>
          <w:p w14:paraId="5A5A10BE">
            <w:pPr>
              <w:spacing w:line="240" w:lineRule="auto"/>
              <w:jc w:val="center"/>
              <w:rPr>
                <w:rFonts w:ascii="宋体" w:hAnsi="宋体" w:eastAsia="宋体" w:cs="宋体"/>
                <w:bCs/>
                <w:sz w:val="24"/>
                <w:szCs w:val="24"/>
                <w:highlight w:val="none"/>
              </w:rPr>
            </w:pPr>
            <w:r>
              <w:rPr>
                <w:rFonts w:hint="eastAsia" w:ascii="宋体" w:hAnsi="宋体" w:eastAsia="宋体" w:cs="宋体"/>
                <w:bCs/>
                <w:sz w:val="24"/>
                <w:szCs w:val="24"/>
                <w:highlight w:val="none"/>
              </w:rPr>
              <w:t>品牌原产地</w:t>
            </w:r>
          </w:p>
        </w:tc>
      </w:tr>
      <w:tr w14:paraId="7DF9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6E23A6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宋体"/>
                <w:bCs/>
                <w:sz w:val="24"/>
                <w:szCs w:val="24"/>
                <w:highlight w:val="none"/>
              </w:rPr>
            </w:pPr>
            <w:r>
              <w:rPr>
                <w:rFonts w:hint="eastAsia" w:ascii="宋体" w:hAnsi="宋体" w:eastAsia="宋体" w:cs="宋体"/>
                <w:b w:val="0"/>
                <w:bCs w:val="0"/>
                <w:sz w:val="24"/>
                <w:szCs w:val="24"/>
                <w:highlight w:val="none"/>
                <w:vertAlign w:val="baseline"/>
                <w:lang w:val="en-US" w:eastAsia="zh-CN"/>
              </w:rPr>
              <w:t>1</w:t>
            </w:r>
          </w:p>
        </w:tc>
        <w:tc>
          <w:tcPr>
            <w:tcW w:w="2467" w:type="dxa"/>
            <w:vAlign w:val="center"/>
          </w:tcPr>
          <w:p w14:paraId="179055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 w:val="0"/>
                <w:bCs w:val="0"/>
                <w:sz w:val="24"/>
                <w:szCs w:val="24"/>
                <w:highlight w:val="none"/>
                <w:vertAlign w:val="baseline"/>
                <w:lang w:val="en-US" w:eastAsia="zh-CN"/>
              </w:rPr>
              <w:t>测功机</w:t>
            </w:r>
          </w:p>
        </w:tc>
        <w:tc>
          <w:tcPr>
            <w:tcW w:w="4011" w:type="dxa"/>
            <w:vAlign w:val="center"/>
          </w:tcPr>
          <w:p w14:paraId="3ABB6954">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ABB/西门子/Elin/其他国际一流品牌</w:t>
            </w:r>
          </w:p>
        </w:tc>
        <w:tc>
          <w:tcPr>
            <w:tcW w:w="2356" w:type="dxa"/>
            <w:vAlign w:val="center"/>
          </w:tcPr>
          <w:p w14:paraId="6277593B">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欧盟/其他</w:t>
            </w:r>
          </w:p>
        </w:tc>
      </w:tr>
      <w:tr w14:paraId="3969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74E627F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宋体"/>
                <w:bCs/>
                <w:sz w:val="24"/>
                <w:szCs w:val="24"/>
                <w:highlight w:val="none"/>
              </w:rPr>
            </w:pPr>
            <w:r>
              <w:rPr>
                <w:rFonts w:hint="eastAsia" w:ascii="宋体" w:hAnsi="宋体" w:eastAsia="宋体" w:cs="宋体"/>
                <w:b w:val="0"/>
                <w:bCs w:val="0"/>
                <w:sz w:val="24"/>
                <w:szCs w:val="24"/>
                <w:highlight w:val="none"/>
                <w:vertAlign w:val="baseline"/>
                <w:lang w:val="en-US" w:eastAsia="zh-CN"/>
              </w:rPr>
              <w:t>2</w:t>
            </w:r>
          </w:p>
        </w:tc>
        <w:tc>
          <w:tcPr>
            <w:tcW w:w="2467" w:type="dxa"/>
            <w:vAlign w:val="center"/>
          </w:tcPr>
          <w:p w14:paraId="326072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 w:val="0"/>
                <w:bCs w:val="0"/>
                <w:sz w:val="24"/>
                <w:szCs w:val="24"/>
                <w:highlight w:val="none"/>
                <w:vertAlign w:val="baseline"/>
                <w:lang w:val="en-US" w:eastAsia="zh-CN"/>
              </w:rPr>
              <w:t>变频器</w:t>
            </w:r>
          </w:p>
        </w:tc>
        <w:tc>
          <w:tcPr>
            <w:tcW w:w="4011" w:type="dxa"/>
            <w:vAlign w:val="center"/>
          </w:tcPr>
          <w:p w14:paraId="5EB485C4">
            <w:pPr>
              <w:spacing w:line="240" w:lineRule="auto"/>
              <w:jc w:val="center"/>
              <w:rPr>
                <w:rFonts w:hint="default" w:ascii="宋体" w:hAnsi="宋体" w:eastAsia="宋体" w:cs="宋体"/>
                <w:bCs/>
                <w:sz w:val="24"/>
                <w:szCs w:val="24"/>
                <w:highlight w:val="none"/>
                <w:lang w:val="en-US"/>
              </w:rPr>
            </w:pPr>
            <w:r>
              <w:rPr>
                <w:rFonts w:hint="eastAsia" w:ascii="宋体" w:hAnsi="宋体" w:eastAsia="宋体" w:cs="宋体"/>
                <w:bCs/>
                <w:sz w:val="24"/>
                <w:szCs w:val="24"/>
                <w:highlight w:val="none"/>
                <w:lang w:val="en-US" w:eastAsia="zh-CN"/>
              </w:rPr>
              <w:t>ABB/西门子/GE/其他国际一流品牌</w:t>
            </w:r>
          </w:p>
        </w:tc>
        <w:tc>
          <w:tcPr>
            <w:tcW w:w="2356" w:type="dxa"/>
            <w:vAlign w:val="center"/>
          </w:tcPr>
          <w:p w14:paraId="326E5C35">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欧盟/其他</w:t>
            </w:r>
          </w:p>
        </w:tc>
      </w:tr>
      <w:tr w14:paraId="2A3B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7A61EC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3</w:t>
            </w:r>
          </w:p>
        </w:tc>
        <w:tc>
          <w:tcPr>
            <w:tcW w:w="2467" w:type="dxa"/>
            <w:vAlign w:val="center"/>
          </w:tcPr>
          <w:p w14:paraId="509252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 w:val="0"/>
                <w:bCs w:val="0"/>
                <w:sz w:val="24"/>
                <w:szCs w:val="24"/>
                <w:highlight w:val="none"/>
                <w:vertAlign w:val="baseline"/>
                <w:lang w:val="en-US" w:eastAsia="zh-CN"/>
              </w:rPr>
              <w:t>动态翻转平台</w:t>
            </w:r>
          </w:p>
        </w:tc>
        <w:tc>
          <w:tcPr>
            <w:tcW w:w="4011" w:type="dxa"/>
            <w:vAlign w:val="center"/>
          </w:tcPr>
          <w:p w14:paraId="74AD0D44">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c>
          <w:tcPr>
            <w:tcW w:w="2356" w:type="dxa"/>
            <w:vAlign w:val="center"/>
          </w:tcPr>
          <w:p w14:paraId="67E824E5">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1FC6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5E34FD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4</w:t>
            </w:r>
          </w:p>
        </w:tc>
        <w:tc>
          <w:tcPr>
            <w:tcW w:w="2467" w:type="dxa"/>
            <w:vAlign w:val="center"/>
          </w:tcPr>
          <w:p w14:paraId="4A505D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sz w:val="24"/>
                <w:szCs w:val="24"/>
                <w:highlight w:val="none"/>
                <w:lang w:val="en-US" w:eastAsia="zh-CN"/>
              </w:rPr>
              <w:t>电池模拟器</w:t>
            </w:r>
          </w:p>
        </w:tc>
        <w:tc>
          <w:tcPr>
            <w:tcW w:w="4011" w:type="dxa"/>
            <w:vAlign w:val="center"/>
          </w:tcPr>
          <w:p w14:paraId="703C3CB0">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一流品牌</w:t>
            </w:r>
          </w:p>
        </w:tc>
        <w:tc>
          <w:tcPr>
            <w:tcW w:w="2356" w:type="dxa"/>
            <w:vAlign w:val="center"/>
          </w:tcPr>
          <w:p w14:paraId="130A6DDA">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66A6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16D109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5</w:t>
            </w:r>
          </w:p>
        </w:tc>
        <w:tc>
          <w:tcPr>
            <w:tcW w:w="2467" w:type="dxa"/>
            <w:vAlign w:val="center"/>
          </w:tcPr>
          <w:p w14:paraId="44A7B1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功率分析仪</w:t>
            </w:r>
          </w:p>
        </w:tc>
        <w:tc>
          <w:tcPr>
            <w:tcW w:w="4011" w:type="dxa"/>
            <w:vAlign w:val="center"/>
          </w:tcPr>
          <w:p w14:paraId="038F825E">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横河/其他国际一流品牌</w:t>
            </w:r>
          </w:p>
        </w:tc>
        <w:tc>
          <w:tcPr>
            <w:tcW w:w="2356" w:type="dxa"/>
            <w:vAlign w:val="center"/>
          </w:tcPr>
          <w:p w14:paraId="11992B27">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日本/其他</w:t>
            </w:r>
          </w:p>
        </w:tc>
      </w:tr>
      <w:tr w14:paraId="1DA9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534225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6</w:t>
            </w:r>
          </w:p>
        </w:tc>
        <w:tc>
          <w:tcPr>
            <w:tcW w:w="2467" w:type="dxa"/>
            <w:vAlign w:val="center"/>
          </w:tcPr>
          <w:p w14:paraId="45380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w:t>
            </w:r>
          </w:p>
        </w:tc>
        <w:tc>
          <w:tcPr>
            <w:tcW w:w="4011" w:type="dxa"/>
            <w:vAlign w:val="center"/>
          </w:tcPr>
          <w:p w14:paraId="71FF3225">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国际一流品牌</w:t>
            </w:r>
          </w:p>
        </w:tc>
        <w:tc>
          <w:tcPr>
            <w:tcW w:w="2356" w:type="dxa"/>
            <w:vAlign w:val="center"/>
          </w:tcPr>
          <w:p w14:paraId="206A21DF">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欧盟/其他</w:t>
            </w:r>
          </w:p>
        </w:tc>
      </w:tr>
      <w:tr w14:paraId="41C5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0F3EA9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7</w:t>
            </w:r>
          </w:p>
        </w:tc>
        <w:tc>
          <w:tcPr>
            <w:tcW w:w="2467" w:type="dxa"/>
            <w:vAlign w:val="center"/>
          </w:tcPr>
          <w:p w14:paraId="207973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数据采集及信号发生系统</w:t>
            </w:r>
          </w:p>
        </w:tc>
        <w:tc>
          <w:tcPr>
            <w:tcW w:w="4011" w:type="dxa"/>
            <w:vAlign w:val="center"/>
          </w:tcPr>
          <w:p w14:paraId="67A16FA9">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国际一流品牌</w:t>
            </w:r>
          </w:p>
        </w:tc>
        <w:tc>
          <w:tcPr>
            <w:tcW w:w="2356" w:type="dxa"/>
            <w:vAlign w:val="center"/>
          </w:tcPr>
          <w:p w14:paraId="572CA0EB">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欧盟/其他</w:t>
            </w:r>
          </w:p>
        </w:tc>
      </w:tr>
      <w:tr w14:paraId="79B7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7DC5B7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8</w:t>
            </w:r>
          </w:p>
        </w:tc>
        <w:tc>
          <w:tcPr>
            <w:tcW w:w="2467" w:type="dxa"/>
            <w:vAlign w:val="center"/>
          </w:tcPr>
          <w:p w14:paraId="3AB04F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扭矩/转速传感器</w:t>
            </w:r>
          </w:p>
        </w:tc>
        <w:tc>
          <w:tcPr>
            <w:tcW w:w="4011" w:type="dxa"/>
            <w:vAlign w:val="center"/>
          </w:tcPr>
          <w:p w14:paraId="365AA308">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HBM/其他国际一流品牌</w:t>
            </w:r>
          </w:p>
        </w:tc>
        <w:tc>
          <w:tcPr>
            <w:tcW w:w="2356" w:type="dxa"/>
            <w:vAlign w:val="center"/>
          </w:tcPr>
          <w:p w14:paraId="73FBB86B">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欧盟/其他</w:t>
            </w:r>
          </w:p>
        </w:tc>
      </w:tr>
      <w:tr w14:paraId="6AC1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00B477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9</w:t>
            </w:r>
          </w:p>
        </w:tc>
        <w:tc>
          <w:tcPr>
            <w:tcW w:w="2467" w:type="dxa"/>
            <w:vAlign w:val="center"/>
          </w:tcPr>
          <w:p w14:paraId="6CE356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温度传感器</w:t>
            </w:r>
          </w:p>
        </w:tc>
        <w:tc>
          <w:tcPr>
            <w:tcW w:w="4011" w:type="dxa"/>
            <w:vAlign w:val="center"/>
          </w:tcPr>
          <w:p w14:paraId="6C22593C">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一流品牌</w:t>
            </w:r>
          </w:p>
        </w:tc>
        <w:tc>
          <w:tcPr>
            <w:tcW w:w="2356" w:type="dxa"/>
            <w:vAlign w:val="center"/>
          </w:tcPr>
          <w:p w14:paraId="1724FD22">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6558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309CC3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10</w:t>
            </w:r>
          </w:p>
        </w:tc>
        <w:tc>
          <w:tcPr>
            <w:tcW w:w="2467" w:type="dxa"/>
            <w:vAlign w:val="center"/>
          </w:tcPr>
          <w:p w14:paraId="20063A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压力传感器</w:t>
            </w:r>
          </w:p>
        </w:tc>
        <w:tc>
          <w:tcPr>
            <w:tcW w:w="4011" w:type="dxa"/>
            <w:vAlign w:val="center"/>
          </w:tcPr>
          <w:p w14:paraId="3C1B4340">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一流品牌</w:t>
            </w:r>
          </w:p>
        </w:tc>
        <w:tc>
          <w:tcPr>
            <w:tcW w:w="2356" w:type="dxa"/>
            <w:vAlign w:val="center"/>
          </w:tcPr>
          <w:p w14:paraId="6CA63147">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7F05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246009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11</w:t>
            </w:r>
          </w:p>
        </w:tc>
        <w:tc>
          <w:tcPr>
            <w:tcW w:w="2467" w:type="dxa"/>
            <w:vAlign w:val="center"/>
          </w:tcPr>
          <w:p w14:paraId="4359BA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早期故障诊断分析仪</w:t>
            </w:r>
          </w:p>
        </w:tc>
        <w:tc>
          <w:tcPr>
            <w:tcW w:w="4011" w:type="dxa"/>
            <w:vAlign w:val="center"/>
          </w:tcPr>
          <w:p w14:paraId="3866B5B2">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Reilhofer/红蚂蚁/其他国际一流品牌</w:t>
            </w:r>
          </w:p>
        </w:tc>
        <w:tc>
          <w:tcPr>
            <w:tcW w:w="2356" w:type="dxa"/>
            <w:vAlign w:val="center"/>
          </w:tcPr>
          <w:p w14:paraId="5022FE24">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欧盟/其他</w:t>
            </w:r>
          </w:p>
        </w:tc>
      </w:tr>
      <w:tr w14:paraId="009A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2544D1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12</w:t>
            </w:r>
          </w:p>
        </w:tc>
        <w:tc>
          <w:tcPr>
            <w:tcW w:w="2467" w:type="dxa"/>
            <w:vAlign w:val="center"/>
          </w:tcPr>
          <w:p w14:paraId="1CCA46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被试件油温控制系统</w:t>
            </w:r>
          </w:p>
        </w:tc>
        <w:tc>
          <w:tcPr>
            <w:tcW w:w="4011" w:type="dxa"/>
            <w:vAlign w:val="center"/>
          </w:tcPr>
          <w:p w14:paraId="6FF4CC8D">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一流品牌</w:t>
            </w:r>
          </w:p>
        </w:tc>
        <w:tc>
          <w:tcPr>
            <w:tcW w:w="2356" w:type="dxa"/>
            <w:vAlign w:val="center"/>
          </w:tcPr>
          <w:p w14:paraId="174C14B9">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7F9C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2B61BE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13</w:t>
            </w:r>
          </w:p>
        </w:tc>
        <w:tc>
          <w:tcPr>
            <w:tcW w:w="2467" w:type="dxa"/>
            <w:vAlign w:val="center"/>
          </w:tcPr>
          <w:p w14:paraId="44DA24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被试件电机冷却系统</w:t>
            </w:r>
          </w:p>
        </w:tc>
        <w:tc>
          <w:tcPr>
            <w:tcW w:w="4011" w:type="dxa"/>
            <w:vAlign w:val="center"/>
          </w:tcPr>
          <w:p w14:paraId="0E75917D">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一流品牌</w:t>
            </w:r>
          </w:p>
        </w:tc>
        <w:tc>
          <w:tcPr>
            <w:tcW w:w="2356" w:type="dxa"/>
            <w:vAlign w:val="center"/>
          </w:tcPr>
          <w:p w14:paraId="68F4F335">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702E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145EE9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14</w:t>
            </w:r>
          </w:p>
        </w:tc>
        <w:tc>
          <w:tcPr>
            <w:tcW w:w="2467" w:type="dxa"/>
            <w:vAlign w:val="center"/>
          </w:tcPr>
          <w:p w14:paraId="11439E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color w:val="auto"/>
                <w:sz w:val="24"/>
                <w:szCs w:val="24"/>
                <w:highlight w:val="none"/>
                <w:lang w:val="en-US" w:eastAsia="zh-CN"/>
              </w:rPr>
              <w:t>冷却风扇</w:t>
            </w:r>
          </w:p>
        </w:tc>
        <w:tc>
          <w:tcPr>
            <w:tcW w:w="4011" w:type="dxa"/>
            <w:vAlign w:val="center"/>
          </w:tcPr>
          <w:p w14:paraId="46AC435D">
            <w:pPr>
              <w:spacing w:line="240" w:lineRule="auto"/>
              <w:jc w:val="center"/>
              <w:rPr>
                <w:rFonts w:hint="default" w:ascii="宋体" w:hAnsi="宋体" w:eastAsia="宋体" w:cs="宋体"/>
                <w:bCs/>
                <w:sz w:val="24"/>
                <w:szCs w:val="24"/>
                <w:highlight w:val="none"/>
                <w:lang w:val="en-US"/>
              </w:rPr>
            </w:pPr>
            <w:r>
              <w:rPr>
                <w:rFonts w:hint="eastAsia" w:ascii="宋体" w:hAnsi="宋体" w:eastAsia="宋体" w:cs="宋体"/>
                <w:bCs/>
                <w:sz w:val="24"/>
                <w:szCs w:val="24"/>
                <w:highlight w:val="none"/>
                <w:lang w:val="en-US" w:eastAsia="zh-CN"/>
              </w:rPr>
              <w:t>一流品牌</w:t>
            </w:r>
          </w:p>
        </w:tc>
        <w:tc>
          <w:tcPr>
            <w:tcW w:w="2356" w:type="dxa"/>
            <w:vAlign w:val="center"/>
          </w:tcPr>
          <w:p w14:paraId="61140874">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0E59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21F870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15</w:t>
            </w:r>
          </w:p>
        </w:tc>
        <w:tc>
          <w:tcPr>
            <w:tcW w:w="2467" w:type="dxa"/>
            <w:vAlign w:val="center"/>
          </w:tcPr>
          <w:p w14:paraId="4D737D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监控系统</w:t>
            </w:r>
          </w:p>
        </w:tc>
        <w:tc>
          <w:tcPr>
            <w:tcW w:w="4011" w:type="dxa"/>
            <w:vAlign w:val="center"/>
          </w:tcPr>
          <w:p w14:paraId="2035C7BC">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一流品牌</w:t>
            </w:r>
          </w:p>
        </w:tc>
        <w:tc>
          <w:tcPr>
            <w:tcW w:w="2356" w:type="dxa"/>
            <w:vAlign w:val="center"/>
          </w:tcPr>
          <w:p w14:paraId="0A78B4C8">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r w14:paraId="36A9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3F0691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16</w:t>
            </w:r>
          </w:p>
        </w:tc>
        <w:tc>
          <w:tcPr>
            <w:tcW w:w="2467" w:type="dxa"/>
            <w:vAlign w:val="center"/>
          </w:tcPr>
          <w:p w14:paraId="7A49FD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4"/>
                <w:szCs w:val="24"/>
                <w:highlight w:val="none"/>
                <w:lang w:val="en-US" w:eastAsia="zh-CN"/>
              </w:rPr>
            </w:pPr>
            <w:r>
              <w:rPr>
                <w:rFonts w:hint="eastAsia" w:ascii="宋体" w:hAnsi="宋体" w:eastAsia="宋体" w:cs="宋体"/>
                <w:sz w:val="24"/>
                <w:szCs w:val="24"/>
                <w:highlight w:val="none"/>
                <w:lang w:val="en-US" w:eastAsia="zh-CN"/>
              </w:rPr>
              <w:t>工装夹具</w:t>
            </w:r>
          </w:p>
        </w:tc>
        <w:tc>
          <w:tcPr>
            <w:tcW w:w="4011" w:type="dxa"/>
            <w:vAlign w:val="center"/>
          </w:tcPr>
          <w:p w14:paraId="0A7A184A">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c>
          <w:tcPr>
            <w:tcW w:w="2356" w:type="dxa"/>
            <w:vAlign w:val="center"/>
          </w:tcPr>
          <w:p w14:paraId="3E1B606B">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p>
        </w:tc>
      </w:tr>
    </w:tbl>
    <w:p w14:paraId="39FD8FF6">
      <w:pPr>
        <w:numPr>
          <w:ilvl w:val="0"/>
          <w:numId w:val="0"/>
        </w:numPr>
        <w:spacing w:line="360" w:lineRule="auto"/>
        <w:ind w:firstLine="480" w:firstLineChars="200"/>
        <w:rPr>
          <w:rFonts w:hint="eastAsia" w:ascii="宋体" w:hAnsi="宋体" w:eastAsia="宋体" w:cs="宋体"/>
          <w:bCs/>
          <w:color w:val="000000" w:themeColor="text1"/>
          <w:sz w:val="24"/>
          <w:szCs w:val="24"/>
          <w14:textFill>
            <w14:solidFill>
              <w14:schemeClr w14:val="tx1"/>
            </w14:solidFill>
          </w14:textFill>
        </w:rPr>
      </w:pPr>
    </w:p>
    <w:p w14:paraId="0A241857">
      <w:pPr>
        <w:spacing w:line="360" w:lineRule="auto"/>
        <w:outlineLvl w:val="3"/>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四、采购货物特别说明</w:t>
      </w:r>
    </w:p>
    <w:p w14:paraId="313E1EA4">
      <w:pPr>
        <w:spacing w:line="360" w:lineRule="auto"/>
        <w:ind w:firstLine="480" w:firstLineChars="200"/>
        <w:rPr>
          <w:rFonts w:ascii="宋体" w:hAnsi="宋体" w:eastAsia="宋体" w:cs="Times New Roman"/>
          <w:color w:val="000000" w:themeColor="text1"/>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color w:val="000000" w:themeColor="text1"/>
          <w:szCs w:val="20"/>
          <w14:textFill>
            <w14:solidFill>
              <w14:schemeClr w14:val="tx1"/>
            </w14:solidFill>
          </w14:textFill>
        </w:rPr>
        <w:t>。</w:t>
      </w:r>
    </w:p>
    <w:p w14:paraId="7BCCC948">
      <w:pPr>
        <w:widowControl/>
        <w:jc w:val="left"/>
        <w:rPr>
          <w:color w:val="000000" w:themeColor="text1"/>
          <w14:textFill>
            <w14:solidFill>
              <w14:schemeClr w14:val="tx1"/>
            </w14:solidFill>
          </w14:textFill>
        </w:rPr>
        <w:sectPr>
          <w:footerReference r:id="rId13" w:type="first"/>
          <w:footerReference r:id="rId12" w:type="default"/>
          <w:pgSz w:w="11906" w:h="16838"/>
          <w:pgMar w:top="1588" w:right="1418" w:bottom="1134" w:left="1418" w:header="851" w:footer="992" w:gutter="0"/>
          <w:cols w:space="720" w:num="1"/>
          <w:titlePg/>
          <w:docGrid w:linePitch="312" w:charSpace="0"/>
        </w:sectPr>
      </w:pPr>
    </w:p>
    <w:p w14:paraId="724B7381">
      <w:pPr>
        <w:keepNext/>
        <w:keepLines/>
        <w:spacing w:before="120" w:after="120" w:line="480" w:lineRule="exact"/>
        <w:jc w:val="center"/>
        <w:outlineLvl w:val="1"/>
        <w:rPr>
          <w:rFonts w:ascii="宋体" w:hAnsi="Calibri" w:eastAsia="宋体" w:cs="Times New Roman"/>
          <w:bCs/>
          <w:color w:val="000000" w:themeColor="text1"/>
          <w:kern w:val="44"/>
          <w:sz w:val="28"/>
          <w:szCs w:val="28"/>
          <w14:textFill>
            <w14:solidFill>
              <w14:schemeClr w14:val="tx1"/>
            </w14:solidFill>
          </w14:textFill>
        </w:rPr>
      </w:pPr>
      <w:bookmarkStart w:id="31" w:name="_Toc169605880"/>
      <w:r>
        <w:rPr>
          <w:rFonts w:hint="eastAsia" w:ascii="宋体" w:hAnsi="宋体" w:eastAsia="宋体" w:cs="Times New Roman"/>
          <w:b/>
          <w:bCs/>
          <w:color w:val="000000" w:themeColor="text1"/>
          <w:kern w:val="44"/>
          <w:sz w:val="28"/>
          <w:szCs w:val="28"/>
          <w14:textFill>
            <w14:solidFill>
              <w14:schemeClr w14:val="tx1"/>
            </w14:solidFill>
          </w14:textFill>
        </w:rPr>
        <w:t>第二章</w:t>
      </w:r>
      <w:r>
        <w:rPr>
          <w:rFonts w:ascii="宋体" w:hAnsi="宋体" w:eastAsia="宋体" w:cs="Times New Roman"/>
          <w:b/>
          <w:bCs/>
          <w:color w:val="000000" w:themeColor="text1"/>
          <w:kern w:val="44"/>
          <w:sz w:val="28"/>
          <w:szCs w:val="28"/>
          <w14:textFill>
            <w14:solidFill>
              <w14:schemeClr w14:val="tx1"/>
            </w14:solidFill>
          </w14:textFill>
        </w:rPr>
        <w:t xml:space="preserve">  </w:t>
      </w:r>
      <w:r>
        <w:rPr>
          <w:rFonts w:hint="eastAsia" w:ascii="宋体" w:hAnsi="宋体" w:eastAsia="宋体" w:cs="Times New Roman"/>
          <w:b/>
          <w:bCs/>
          <w:color w:val="000000" w:themeColor="text1"/>
          <w:kern w:val="44"/>
          <w:sz w:val="28"/>
          <w:szCs w:val="28"/>
          <w14:textFill>
            <w14:solidFill>
              <w14:schemeClr w14:val="tx1"/>
            </w14:solidFill>
          </w14:textFill>
        </w:rPr>
        <w:t>技术要求</w:t>
      </w:r>
      <w:bookmarkEnd w:id="31"/>
    </w:p>
    <w:p w14:paraId="0D0E37AB">
      <w:pPr>
        <w:pStyle w:val="116"/>
        <w:spacing w:line="360" w:lineRule="auto"/>
        <w:ind w:firstLine="482" w:firstLineChars="200"/>
        <w:outlineLvl w:val="2"/>
        <w:rPr>
          <w:rFonts w:eastAsia="宋体" w:cs="宋体"/>
          <w:b/>
          <w:bCs w:val="0"/>
          <w:color w:val="000000" w:themeColor="text1"/>
          <w:sz w:val="24"/>
          <w:szCs w:val="24"/>
          <w14:textFill>
            <w14:solidFill>
              <w14:schemeClr w14:val="tx1"/>
            </w14:solidFill>
          </w14:textFill>
        </w:rPr>
      </w:pPr>
      <w:r>
        <w:rPr>
          <w:rFonts w:hint="eastAsia" w:ascii="宋体" w:hAnsi="宋体" w:eastAsia="宋体" w:cs="Arial"/>
          <w:b/>
          <w:bCs/>
          <w:color w:val="000000" w:themeColor="text1"/>
          <w:sz w:val="24"/>
          <w:szCs w:val="24"/>
          <w:highlight w:val="yellow"/>
          <w14:textFill>
            <w14:solidFill>
              <w14:schemeClr w14:val="tx1"/>
            </w14:solidFill>
          </w14:textFill>
        </w:rPr>
        <w:t>（注：带</w:t>
      </w:r>
      <w:r>
        <w:rPr>
          <w:rFonts w:ascii="宋体" w:hAnsi="宋体" w:eastAsia="宋体" w:cs="Arial"/>
          <w:b/>
          <w:bCs/>
          <w:color w:val="000000" w:themeColor="text1"/>
          <w:sz w:val="24"/>
          <w:szCs w:val="24"/>
          <w:highlight w:val="yellow"/>
          <w14:textFill>
            <w14:solidFill>
              <w14:schemeClr w14:val="tx1"/>
            </w14:solidFill>
          </w14:textFill>
        </w:rPr>
        <w:t>*</w:t>
      </w:r>
      <w:r>
        <w:rPr>
          <w:rFonts w:hint="eastAsia" w:ascii="宋体" w:hAnsi="宋体" w:eastAsia="宋体" w:cs="Arial"/>
          <w:b/>
          <w:bCs/>
          <w:color w:val="000000" w:themeColor="text1"/>
          <w:sz w:val="24"/>
          <w:szCs w:val="24"/>
          <w:highlight w:val="yellow"/>
          <w14:textFill>
            <w14:solidFill>
              <w14:schemeClr w14:val="tx1"/>
            </w14:solidFill>
          </w14:textFill>
        </w:rPr>
        <w:t>的项目为</w:t>
      </w:r>
      <w:r>
        <w:rPr>
          <w:rFonts w:hint="eastAsia" w:ascii="宋体" w:hAnsi="宋体" w:eastAsia="宋体" w:cs="Arial"/>
          <w:b/>
          <w:bCs/>
          <w:color w:val="000000" w:themeColor="text1"/>
          <w:sz w:val="24"/>
          <w:szCs w:val="24"/>
          <w:highlight w:val="yellow"/>
          <w:lang w:val="en-US" w:eastAsia="zh-CN"/>
          <w14:textFill>
            <w14:solidFill>
              <w14:schemeClr w14:val="tx1"/>
            </w14:solidFill>
          </w14:textFill>
        </w:rPr>
        <w:t>淘汰</w:t>
      </w:r>
      <w:r>
        <w:rPr>
          <w:rFonts w:hint="eastAsia" w:ascii="宋体" w:hAnsi="宋体" w:eastAsia="宋体" w:cs="Arial"/>
          <w:b/>
          <w:bCs/>
          <w:color w:val="000000" w:themeColor="text1"/>
          <w:sz w:val="24"/>
          <w:szCs w:val="24"/>
          <w:highlight w:val="yellow"/>
          <w14:textFill>
            <w14:solidFill>
              <w14:schemeClr w14:val="tx1"/>
            </w14:solidFill>
          </w14:textFill>
        </w:rPr>
        <w:t>项目，如有一项不能满足即</w:t>
      </w:r>
      <w:r>
        <w:rPr>
          <w:rFonts w:hint="eastAsia" w:ascii="宋体" w:hAnsi="宋体" w:eastAsia="宋体" w:cs="Arial"/>
          <w:b/>
          <w:bCs/>
          <w:color w:val="000000" w:themeColor="text1"/>
          <w:sz w:val="24"/>
          <w:szCs w:val="24"/>
          <w:highlight w:val="yellow"/>
          <w:lang w:val="en-US" w:eastAsia="zh-CN"/>
          <w14:textFill>
            <w14:solidFill>
              <w14:schemeClr w14:val="tx1"/>
            </w14:solidFill>
          </w14:textFill>
        </w:rPr>
        <w:t>淘汰</w:t>
      </w:r>
      <w:r>
        <w:rPr>
          <w:rFonts w:hint="eastAsia" w:ascii="宋体" w:hAnsi="宋体" w:eastAsia="宋体" w:cs="Arial"/>
          <w:b/>
          <w:bCs/>
          <w:color w:val="000000" w:themeColor="text1"/>
          <w:sz w:val="24"/>
          <w:szCs w:val="24"/>
          <w:highlight w:val="yellow"/>
          <w14:textFill>
            <w14:solidFill>
              <w14:schemeClr w14:val="tx1"/>
            </w14:solidFill>
          </w14:textFill>
        </w:rPr>
        <w:t>；其余项目为一般项目。）</w:t>
      </w:r>
    </w:p>
    <w:p w14:paraId="2A9BD19E">
      <w:pPr>
        <w:pStyle w:val="116"/>
        <w:spacing w:line="360" w:lineRule="auto"/>
        <w:ind w:firstLine="482" w:firstLineChars="200"/>
        <w:outlineLvl w:val="2"/>
        <w:rPr>
          <w:rFonts w:eastAsia="宋体" w:cs="宋体"/>
          <w:b/>
          <w:bCs w:val="0"/>
          <w:color w:val="000000" w:themeColor="text1"/>
          <w:sz w:val="24"/>
          <w:szCs w:val="24"/>
          <w14:textFill>
            <w14:solidFill>
              <w14:schemeClr w14:val="tx1"/>
            </w14:solidFill>
          </w14:textFill>
        </w:rPr>
      </w:pPr>
      <w:r>
        <w:rPr>
          <w:rFonts w:hint="eastAsia" w:eastAsia="宋体" w:cs="宋体"/>
          <w:b/>
          <w:bCs w:val="0"/>
          <w:color w:val="000000" w:themeColor="text1"/>
          <w:sz w:val="24"/>
          <w:szCs w:val="24"/>
          <w14:textFill>
            <w14:solidFill>
              <w14:schemeClr w14:val="tx1"/>
            </w14:solidFill>
          </w14:textFill>
        </w:rPr>
        <w:t>一、特别提示</w:t>
      </w:r>
    </w:p>
    <w:p w14:paraId="57D2228C">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1.本章技术要求，仅对功能、设计、结构、性能、安装和试验检验等方面，提出了最低和一般性的技术要求，并未对一切技术细节作出规定。</w:t>
      </w:r>
    </w:p>
    <w:p w14:paraId="4D6A6D62">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2.本技术要求所使用的标准、规范等，如与投标人所执行的标准、规范不一致时，应按高于本技术要求所列的标准、规范执行。</w:t>
      </w:r>
    </w:p>
    <w:p w14:paraId="36CE48DE">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.投标人认为所供货物必需由招标人配备、解决或提供的其它要求，如设备基础隔振和减振设施、软化水、洁净气源等，均应在投标文件“技术偏离”中予以充分说明。</w:t>
      </w:r>
    </w:p>
    <w:p w14:paraId="408661B8">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bCs/>
          <w:sz w:val="24"/>
          <w:szCs w:val="24"/>
          <w:highlight w:val="none"/>
        </w:rPr>
        <w:t>4</w:t>
      </w:r>
      <w:r>
        <w:rPr>
          <w:rFonts w:hint="eastAsia" w:ascii="宋体" w:hAnsi="宋体" w:eastAsia="宋体" w:cs="Times New Roman"/>
          <w:bCs/>
          <w:sz w:val="24"/>
          <w:szCs w:val="24"/>
          <w:highlight w:val="none"/>
        </w:rPr>
        <w:t>.投标人应根据招投标货物具体要求，提出</w:t>
      </w:r>
      <w:r>
        <w:rPr>
          <w:rFonts w:hint="eastAsia" w:ascii="宋体" w:hAnsi="宋体" w:eastAsia="宋体" w:cs="Times New Roman"/>
          <w:sz w:val="24"/>
          <w:szCs w:val="24"/>
          <w:highlight w:val="none"/>
        </w:rPr>
        <w:t>对厂房、设备基础（或安装平台）、公用设施、消防、环保等超出招标文件、投标文件、答疑文件、技术交流文件、技术协议书和合同等规定的、有特殊需要的解释、说明和要求。</w:t>
      </w:r>
    </w:p>
    <w:p w14:paraId="560F14F5">
      <w:pPr>
        <w:spacing w:line="360" w:lineRule="auto"/>
        <w:rPr>
          <w:rFonts w:ascii="宋体" w:hAnsi="Calibri" w:eastAsia="宋体" w:cs="Times New Roman"/>
          <w:sz w:val="24"/>
          <w:szCs w:val="24"/>
          <w:highlight w:val="none"/>
        </w:rPr>
      </w:pPr>
      <w:r>
        <w:rPr>
          <w:rFonts w:hint="eastAsia" w:ascii="宋体" w:hAnsi="宋体" w:eastAsia="宋体" w:cs="Times New Roman"/>
          <w:sz w:val="24"/>
          <w:szCs w:val="24"/>
          <w:highlight w:val="none"/>
        </w:rPr>
        <w:t xml:space="preserve">    5.无论是否有技术偏离，投标人均应在投标文件“技术偏离”中明确作出有无说明。若有异议，不管是多么微小，投标人必须予以明确和详细的说明或澄清。</w:t>
      </w:r>
    </w:p>
    <w:p w14:paraId="56630587">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.为避免投标人优势在招标评审时漏项，质保期超出本技术标书要求的，应当在投标文件“技术偏离”中特别注明。</w:t>
      </w:r>
    </w:p>
    <w:p w14:paraId="156D1380">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sz w:val="24"/>
          <w:szCs w:val="24"/>
          <w:highlight w:val="none"/>
        </w:rPr>
        <w:t>7</w:t>
      </w:r>
      <w:r>
        <w:rPr>
          <w:rFonts w:hint="eastAsia" w:ascii="宋体" w:hAnsi="宋体" w:eastAsia="宋体" w:cs="Times New Roman"/>
          <w:sz w:val="24"/>
          <w:szCs w:val="24"/>
          <w:highlight w:val="none"/>
        </w:rPr>
        <w:t>.投标文件中，针对“特别提示”条款所做的回应，将作为投标人能否中标的重要依据之一</w:t>
      </w:r>
      <w:r>
        <w:rPr>
          <w:rFonts w:hint="eastAsia" w:ascii="宋体" w:hAnsi="宋体" w:eastAsia="宋体" w:cs="Times New Roman"/>
          <w:color w:val="000000" w:themeColor="text1"/>
          <w:sz w:val="24"/>
          <w:szCs w:val="24"/>
          <w14:textFill>
            <w14:solidFill>
              <w14:schemeClr w14:val="tx1"/>
            </w14:solidFill>
          </w14:textFill>
        </w:rPr>
        <w:t>。</w:t>
      </w:r>
    </w:p>
    <w:p w14:paraId="42542B65">
      <w:pPr>
        <w:spacing w:line="420" w:lineRule="exact"/>
        <w:ind w:firstLine="482" w:firstLineChars="200"/>
        <w:rPr>
          <w:rFonts w:ascii="宋体" w:hAnsi="宋体" w:eastAsia="宋体" w:cs="Arial"/>
          <w:b/>
          <w:bCs/>
          <w:color w:val="000000" w:themeColor="text1"/>
          <w:sz w:val="24"/>
          <w:szCs w:val="24"/>
          <w:highlight w:val="yellow"/>
          <w14:textFill>
            <w14:solidFill>
              <w14:schemeClr w14:val="tx1"/>
            </w14:solidFill>
          </w14:textFill>
        </w:rPr>
      </w:pPr>
      <w:r>
        <w:rPr>
          <w:rFonts w:hint="eastAsia" w:eastAsia="宋体" w:cs="宋体"/>
          <w:b/>
          <w:bCs w:val="0"/>
          <w:color w:val="000000" w:themeColor="text1"/>
          <w:sz w:val="24"/>
          <w:szCs w:val="24"/>
          <w14:textFill>
            <w14:solidFill>
              <w14:schemeClr w14:val="tx1"/>
            </w14:solidFill>
          </w14:textFill>
        </w:rPr>
        <w:t>二、基本要求</w:t>
      </w:r>
    </w:p>
    <w:p w14:paraId="162B0518">
      <w:pPr>
        <w:spacing w:line="360" w:lineRule="auto"/>
        <w:ind w:firstLine="480" w:firstLineChars="200"/>
        <w:rPr>
          <w:rFonts w:ascii="宋体" w:hAnsi="Times New Roman"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1</w:t>
      </w:r>
      <w:r>
        <w:rPr>
          <w:rFonts w:hint="eastAsia" w:ascii="宋体" w:hAnsi="宋体" w:eastAsia="宋体" w:cs="Times New Roman"/>
          <w:color w:val="000000" w:themeColor="text1"/>
          <w:sz w:val="24"/>
          <w:szCs w:val="24"/>
          <w14:textFill>
            <w14:solidFill>
              <w14:schemeClr w14:val="tx1"/>
            </w14:solidFill>
          </w14:textFill>
        </w:rPr>
        <w:t>、投标方所供的货物，必须符合中国最新版的法律、法规和相关标准、规范的要求，符合项目所在地政府有关特殊要求。</w:t>
      </w:r>
    </w:p>
    <w:p w14:paraId="50AA8C19">
      <w:pPr>
        <w:spacing w:line="360" w:lineRule="auto"/>
        <w:ind w:firstLine="480" w:firstLineChars="200"/>
        <w:rPr>
          <w:rFonts w:ascii="宋体" w:hAnsi="Times New Roman"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2</w:t>
      </w:r>
      <w:r>
        <w:rPr>
          <w:rFonts w:hint="eastAsia" w:ascii="宋体" w:hAnsi="宋体" w:eastAsia="宋体" w:cs="Times New Roman"/>
          <w:color w:val="000000" w:themeColor="text1"/>
          <w:sz w:val="24"/>
          <w:szCs w:val="24"/>
          <w14:textFill>
            <w14:solidFill>
              <w14:schemeClr w14:val="tx1"/>
            </w14:solidFill>
          </w14:textFill>
        </w:rPr>
        <w:t>、投标方所供货物涉及的专利权技术以及知识产权保护的其它技术等，应保证招标方不因此受到任何侵权指控以及实际损失。</w:t>
      </w:r>
    </w:p>
    <w:p w14:paraId="70026E96">
      <w:pPr>
        <w:spacing w:line="360" w:lineRule="auto"/>
        <w:ind w:firstLine="480" w:firstLineChars="200"/>
        <w:rPr>
          <w:rFonts w:ascii="宋体" w:hAnsi="Times New Roman"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3</w:t>
      </w:r>
      <w:r>
        <w:rPr>
          <w:rFonts w:hint="eastAsia" w:ascii="宋体" w:hAnsi="宋体" w:eastAsia="宋体" w:cs="Times New Roman"/>
          <w:color w:val="000000" w:themeColor="text1"/>
          <w:sz w:val="24"/>
          <w:szCs w:val="24"/>
          <w14:textFill>
            <w14:solidFill>
              <w14:schemeClr w14:val="tx1"/>
            </w14:solidFill>
          </w14:textFill>
        </w:rPr>
        <w:t>、投标方应保证所供货物的先进性、可靠性、经济性和实用性，并为全新货物（或设备）。</w:t>
      </w:r>
    </w:p>
    <w:p w14:paraId="3A120334">
      <w:pPr>
        <w:spacing w:line="360" w:lineRule="auto"/>
        <w:ind w:firstLine="480" w:firstLineChars="200"/>
        <w:rPr>
          <w:rFonts w:ascii="宋体" w:hAnsi="Times New Roman"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4</w:t>
      </w:r>
      <w:r>
        <w:rPr>
          <w:rFonts w:hint="eastAsia" w:ascii="宋体" w:hAnsi="宋体" w:eastAsia="宋体" w:cs="Times New Roman"/>
          <w:color w:val="000000" w:themeColor="text1"/>
          <w:sz w:val="24"/>
          <w:szCs w:val="24"/>
          <w14:textFill>
            <w14:solidFill>
              <w14:schemeClr w14:val="tx1"/>
            </w14:solidFill>
          </w14:textFill>
        </w:rPr>
        <w:t>、投标方应满足招标方提出的各项技术要求，必要时应当免费提供技术承诺或担保。</w:t>
      </w:r>
    </w:p>
    <w:p w14:paraId="7B08D130">
      <w:pPr>
        <w:spacing w:line="360" w:lineRule="auto"/>
        <w:ind w:firstLine="480" w:firstLineChars="200"/>
        <w:rPr>
          <w:rFonts w:ascii="宋体" w:hAnsi="Times New Roman"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5</w:t>
      </w:r>
      <w:r>
        <w:rPr>
          <w:rFonts w:hint="eastAsia" w:ascii="宋体" w:hAnsi="宋体" w:eastAsia="宋体" w:cs="Times New Roman"/>
          <w:color w:val="000000" w:themeColor="text1"/>
          <w:sz w:val="24"/>
          <w:szCs w:val="24"/>
          <w14:textFill>
            <w14:solidFill>
              <w14:schemeClr w14:val="tx1"/>
            </w14:solidFill>
          </w14:textFill>
        </w:rPr>
        <w:t>、投标方应保证所供货物（或设备）为中国政府指定或规定的主管部门公布的非淘汰货物（或设备），并尽力提供中国政府指定或规定的主管部门认可的环保型和节能型货物（或设备）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Times New Roman"/>
          <w:color w:val="000000" w:themeColor="text1"/>
          <w:sz w:val="24"/>
          <w:szCs w:val="24"/>
          <w:lang w:eastAsia="zh-CN"/>
          <w14:textFill>
            <w14:solidFill>
              <w14:schemeClr w14:val="tx1"/>
            </w14:solidFill>
          </w14:textFill>
        </w:rPr>
        <w:t>，</w:t>
      </w:r>
      <w:r>
        <w:rPr>
          <w:rFonts w:hint="eastAsia" w:ascii="宋体" w:hAnsi="宋体" w:eastAsia="宋体" w:cs="Times New Roman"/>
          <w:b/>
          <w:bCs/>
          <w:sz w:val="24"/>
          <w:szCs w:val="24"/>
          <w:highlight w:val="yellow"/>
          <w:lang w:val="en-US" w:eastAsia="zh-CN"/>
        </w:rPr>
        <w:t>电机功率≥7.5kw,必须选用一级能效</w:t>
      </w:r>
      <w:r>
        <w:rPr>
          <w:rFonts w:hint="eastAsia" w:ascii="宋体" w:hAnsi="宋体" w:eastAsia="宋体" w:cs="宋体"/>
          <w:color w:val="000000"/>
          <w:sz w:val="24"/>
          <w:szCs w:val="24"/>
          <w:highlight w:val="yellow"/>
        </w:rPr>
        <w:t>（按国标计算）</w:t>
      </w:r>
      <w:r>
        <w:rPr>
          <w:rFonts w:hint="eastAsia" w:ascii="宋体" w:hAnsi="宋体" w:eastAsia="宋体" w:cs="Times New Roman"/>
          <w:b/>
          <w:bCs/>
          <w:sz w:val="24"/>
          <w:szCs w:val="24"/>
          <w:highlight w:val="yellow"/>
          <w:lang w:val="en-US" w:eastAsia="zh-CN"/>
        </w:rPr>
        <w:t>，电机功率&lt;7.5kw，优先选用一级能效:其中能源供应设备及年运行时间≥2000h 工艺设备电机必须选用一级能效</w:t>
      </w:r>
      <w:r>
        <w:rPr>
          <w:rFonts w:hint="eastAsia" w:ascii="宋体" w:hAnsi="宋体" w:eastAsia="宋体" w:cs="Times New Roman"/>
          <w:color w:val="000000" w:themeColor="text1"/>
          <w:sz w:val="24"/>
          <w:szCs w:val="24"/>
          <w14:textFill>
            <w14:solidFill>
              <w14:schemeClr w14:val="tx1"/>
            </w14:solidFill>
          </w14:textFill>
        </w:rPr>
        <w:t>。</w:t>
      </w:r>
    </w:p>
    <w:p w14:paraId="38492F84">
      <w:pPr>
        <w:spacing w:line="360" w:lineRule="auto"/>
        <w:ind w:firstLine="480" w:firstLineChars="200"/>
        <w:rPr>
          <w:rFonts w:ascii="宋体" w:hAnsi="Times New Roman"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6</w:t>
      </w:r>
      <w:r>
        <w:rPr>
          <w:rFonts w:hint="eastAsia" w:ascii="宋体" w:hAnsi="宋体" w:eastAsia="宋体" w:cs="Times New Roman"/>
          <w:color w:val="000000" w:themeColor="text1"/>
          <w:sz w:val="24"/>
          <w:szCs w:val="24"/>
          <w14:textFill>
            <w14:solidFill>
              <w14:schemeClr w14:val="tx1"/>
            </w14:solidFill>
          </w14:textFill>
        </w:rPr>
        <w:t>、投标方应保证所供货物的完整性和成套性，能保证货物的正常运行、使用。</w:t>
      </w:r>
    </w:p>
    <w:p w14:paraId="067D0F55">
      <w:pPr>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7</w:t>
      </w:r>
      <w:r>
        <w:rPr>
          <w:rFonts w:hint="eastAsia" w:ascii="宋体" w:hAnsi="宋体" w:eastAsia="宋体" w:cs="Times New Roman"/>
          <w:color w:val="000000" w:themeColor="text1"/>
          <w:sz w:val="24"/>
          <w:szCs w:val="24"/>
          <w:highlight w:val="none"/>
          <w14:textFill>
            <w14:solidFill>
              <w14:schemeClr w14:val="tx1"/>
            </w14:solidFill>
          </w14:textFill>
        </w:rPr>
        <w:t>、投标方应对招标方采购的货物所涉及的技术、产能等信息负有保密义务，招标方拥有追究投标方泄密责任的权利；招标方如有需要，投标方应无条件签署保密协议。</w:t>
      </w:r>
    </w:p>
    <w:p w14:paraId="2D3A9691">
      <w:pPr>
        <w:spacing w:line="360" w:lineRule="auto"/>
        <w:ind w:firstLine="480" w:firstLineChars="200"/>
        <w:rPr>
          <w:rFonts w:hint="default" w:ascii="宋体" w:hAnsi="宋体" w:eastAsia="宋体" w:cs="Times New Roman"/>
          <w:sz w:val="24"/>
          <w:szCs w:val="24"/>
          <w:highlight w:val="yellow"/>
          <w:vertAlign w:val="baseline"/>
          <w:lang w:val="en-US" w:eastAsia="zh-CN"/>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.投标人应具有给世界头部商用车企业供应与本次招标同类设备的成功案例</w:t>
      </w:r>
      <w:r>
        <w:rPr>
          <w:rFonts w:hint="eastAsia" w:ascii="宋体" w:hAnsi="宋体" w:eastAsia="宋体" w:cs="Times New Roman"/>
          <w:sz w:val="24"/>
          <w:szCs w:val="24"/>
          <w:highlight w:val="yellow"/>
          <w:lang w:eastAsia="zh-CN"/>
        </w:rPr>
        <w:t>。</w:t>
      </w:r>
    </w:p>
    <w:p w14:paraId="32943B77">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.程序图纸要求</w:t>
      </w:r>
    </w:p>
    <w:p w14:paraId="2E93E022">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1</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必须提供所有设备程序的源代码，包括但不限于PLC程序、HMI程序、机器人程序、视觉程序、伺服、上位机(含SCADA、产线MES等)等，并根据</w:t>
      </w:r>
      <w:r>
        <w:rPr>
          <w:rFonts w:hint="eastAsia" w:ascii="宋体" w:hAnsi="宋体" w:eastAsia="宋体" w:cs="Times New Roman"/>
          <w:sz w:val="24"/>
          <w:szCs w:val="24"/>
          <w:highlight w:val="yellow"/>
          <w:lang w:eastAsia="zh-CN"/>
        </w:rPr>
        <w:t>买方</w:t>
      </w:r>
      <w:r>
        <w:rPr>
          <w:rFonts w:hint="eastAsia" w:ascii="宋体" w:hAnsi="宋体" w:eastAsia="宋体" w:cs="Times New Roman"/>
          <w:sz w:val="24"/>
          <w:szCs w:val="24"/>
          <w:highlight w:val="yellow"/>
        </w:rPr>
        <w:t>需求，免费提供相对应的参数点址 。</w:t>
      </w:r>
    </w:p>
    <w:p w14:paraId="4ACEFEB8">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2</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所提供的程序不得设置任何密码、保护等限制手段，PLC不得设置修改下载权限，功能块不得设置密码保护。</w:t>
      </w:r>
    </w:p>
    <w:p w14:paraId="1FF0BF96">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3</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rPr>
        <w:t>HMI界面等需要密码保护的程序，</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必须提供所有级别的用户名、密码。</w:t>
      </w:r>
    </w:p>
    <w:p w14:paraId="04C86665">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4</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需在设备入场前提供设备程序源码，HMI界面各级用户名和密码，并保证与现场程序一致。</w:t>
      </w:r>
    </w:p>
    <w:p w14:paraId="0E5D2283">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9.</w:t>
      </w:r>
      <w:r>
        <w:rPr>
          <w:rFonts w:hint="eastAsia" w:ascii="宋体" w:hAnsi="宋体" w:eastAsia="宋体" w:cs="Times New Roman"/>
          <w:sz w:val="24"/>
          <w:szCs w:val="24"/>
          <w:highlight w:val="yellow"/>
        </w:rPr>
        <w:t>5</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需在终验收前提供最新的设备程序源码和电气图纸，图纸要求为可编辑原格式（EPLAN、CAD格式）且与实际接线一致。</w:t>
      </w:r>
    </w:p>
    <w:p w14:paraId="7A0BA4F0">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.接口协议要求</w:t>
      </w:r>
    </w:p>
    <w:p w14:paraId="18DA7332">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1</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免费开放所有通讯接口，包括但不限于以太网、RS232、RS485、PROFIBUS、PROFINET、MODBUS等常见接口，以及设备特有的专用接口。</w:t>
      </w:r>
    </w:p>
    <w:p w14:paraId="4185E673">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2</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rPr>
        <w:t>设备及上位控制系统（工控机）应接入工厂工控网络，用于数据采集。</w:t>
      </w:r>
    </w:p>
    <w:p w14:paraId="7E4B561C">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3</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免费提供应用层面系统接口，包括但不限于WebAPI、MQTT、NCLink、OPCUA、OpenProtocol、Socket等，以及第三方接口开发包。</w:t>
      </w:r>
    </w:p>
    <w:p w14:paraId="2FE73B59">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4</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免费提供数据交互功能，交互数据包括但不限于实时数据、历史数据、报警信息等。</w:t>
      </w:r>
    </w:p>
    <w:p w14:paraId="62285AAC">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5</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rPr>
        <w:t>设备数据采集在设备上电状态下持续进行，不受设备待机、休眠等状态影响(主动上传设备除外)。</w:t>
      </w:r>
    </w:p>
    <w:p w14:paraId="5A4DB5BF">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6</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rPr>
        <w:t>所有上位机程序、专用软件、数据库等提供所有权限的用户名和密码。</w:t>
      </w:r>
    </w:p>
    <w:p w14:paraId="24DA28BC">
      <w:pPr>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7</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rPr>
        <w:t>设备使用周期内，</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免费派遣技术人员与</w:t>
      </w:r>
      <w:r>
        <w:rPr>
          <w:rFonts w:hint="eastAsia" w:ascii="宋体" w:hAnsi="宋体" w:eastAsia="宋体" w:cs="Times New Roman"/>
          <w:sz w:val="24"/>
          <w:szCs w:val="24"/>
          <w:highlight w:val="yellow"/>
          <w:lang w:eastAsia="zh-CN"/>
        </w:rPr>
        <w:t>买方</w:t>
      </w:r>
      <w:r>
        <w:rPr>
          <w:rFonts w:hint="eastAsia" w:ascii="宋体" w:hAnsi="宋体" w:eastAsia="宋体" w:cs="Times New Roman"/>
          <w:sz w:val="24"/>
          <w:szCs w:val="24"/>
          <w:highlight w:val="yellow"/>
        </w:rPr>
        <w:t>调试团队共同进行设备通讯接口的调试工作。</w:t>
      </w:r>
    </w:p>
    <w:p w14:paraId="7E8C63E5">
      <w:pPr>
        <w:pStyle w:val="121"/>
        <w:spacing w:line="360" w:lineRule="auto"/>
        <w:ind w:left="0" w:leftChars="0" w:firstLine="482" w:firstLineChars="200"/>
        <w:outlineLvl w:val="2"/>
        <w:rPr>
          <w:rFonts w:hint="eastAsia" w:ascii="宋体" w:hAnsi="宋体" w:eastAsia="宋体" w:cs="宋体"/>
          <w:color w:val="000000"/>
          <w:sz w:val="24"/>
          <w:szCs w:val="24"/>
          <w:highlight w:val="yellow"/>
          <w:lang w:eastAsia="zh-CN"/>
        </w:rPr>
      </w:pPr>
      <w:r>
        <w:rPr>
          <w:rFonts w:hint="eastAsia" w:ascii="宋体" w:hAnsi="宋体" w:eastAsia="宋体" w:cs="Times New Roman"/>
          <w:sz w:val="24"/>
          <w:szCs w:val="24"/>
          <w:highlight w:val="yellow"/>
          <w:lang w:val="en-US" w:eastAsia="zh-CN"/>
        </w:rPr>
        <w:t>10.</w:t>
      </w:r>
      <w:r>
        <w:rPr>
          <w:rFonts w:hint="eastAsia" w:ascii="宋体" w:hAnsi="宋体" w:eastAsia="宋体" w:cs="Times New Roman"/>
          <w:sz w:val="24"/>
          <w:szCs w:val="24"/>
          <w:highlight w:val="yellow"/>
        </w:rPr>
        <w:t>8</w:t>
      </w:r>
      <w:r>
        <w:rPr>
          <w:rFonts w:hint="eastAsia" w:ascii="宋体" w:hAnsi="宋体" w:eastAsia="宋体" w:cs="Times New Roman"/>
          <w:sz w:val="24"/>
          <w:szCs w:val="24"/>
          <w:highlight w:val="yellow"/>
          <w:lang w:val="en-US" w:eastAsia="zh-CN"/>
        </w:rPr>
        <w:t xml:space="preserve"> </w:t>
      </w:r>
      <w:r>
        <w:rPr>
          <w:rFonts w:hint="eastAsia" w:ascii="宋体" w:hAnsi="宋体" w:eastAsia="宋体" w:cs="Times New Roman"/>
          <w:sz w:val="24"/>
          <w:szCs w:val="24"/>
          <w:highlight w:val="yellow"/>
          <w:lang w:eastAsia="zh-CN"/>
        </w:rPr>
        <w:t>卖方</w:t>
      </w:r>
      <w:r>
        <w:rPr>
          <w:rFonts w:hint="eastAsia" w:ascii="宋体" w:hAnsi="宋体" w:eastAsia="宋体" w:cs="Times New Roman"/>
          <w:sz w:val="24"/>
          <w:szCs w:val="24"/>
          <w:highlight w:val="yellow"/>
        </w:rPr>
        <w:t>在设备入场前提供接口的技术文档和参数说明，包括但不限于接口协议、通讯速率、数据格式等</w:t>
      </w:r>
      <w:r>
        <w:rPr>
          <w:rFonts w:hint="eastAsia" w:ascii="宋体" w:hAnsi="宋体" w:eastAsia="宋体" w:cs="宋体"/>
          <w:color w:val="000000"/>
          <w:sz w:val="24"/>
          <w:szCs w:val="24"/>
          <w:highlight w:val="yellow"/>
          <w:lang w:eastAsia="zh-CN"/>
        </w:rPr>
        <w:t>。</w:t>
      </w:r>
    </w:p>
    <w:p w14:paraId="314EE57A">
      <w:pPr>
        <w:spacing w:line="360" w:lineRule="auto"/>
        <w:ind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sz w:val="24"/>
          <w:szCs w:val="24"/>
          <w:highlight w:val="yellow"/>
          <w:lang w:val="en-US" w:eastAsia="zh-CN"/>
        </w:rPr>
        <w:t>*11本次</w:t>
      </w:r>
      <w:bookmarkStart w:id="74" w:name="_GoBack"/>
      <w:bookmarkEnd w:id="74"/>
      <w:r>
        <w:rPr>
          <w:rFonts w:hint="eastAsia" w:ascii="宋体" w:hAnsi="宋体" w:eastAsia="宋体" w:cs="宋体"/>
          <w:b/>
          <w:bCs/>
          <w:sz w:val="24"/>
          <w:szCs w:val="24"/>
          <w:highlight w:val="yellow"/>
          <w:lang w:val="en-US" w:eastAsia="zh-CN"/>
        </w:rPr>
        <w:t>采购货物的</w:t>
      </w:r>
      <w:r>
        <w:rPr>
          <w:rFonts w:ascii="宋体" w:hAnsi="宋体" w:eastAsia="宋体" w:cs="宋体"/>
          <w:b/>
          <w:bCs/>
          <w:sz w:val="24"/>
          <w:szCs w:val="24"/>
          <w:highlight w:val="yellow"/>
        </w:rPr>
        <w:t>系统设计、专利技术及生产制造原产地</w:t>
      </w:r>
      <w:r>
        <w:rPr>
          <w:rFonts w:hint="eastAsia" w:ascii="宋体" w:hAnsi="宋体" w:eastAsia="宋体" w:cs="宋体"/>
          <w:b/>
          <w:bCs/>
          <w:sz w:val="24"/>
          <w:szCs w:val="24"/>
          <w:highlight w:val="yellow"/>
          <w:lang w:val="en-US" w:eastAsia="zh-CN"/>
        </w:rPr>
        <w:t>应</w:t>
      </w:r>
      <w:r>
        <w:rPr>
          <w:rFonts w:ascii="宋体" w:hAnsi="宋体" w:eastAsia="宋体" w:cs="宋体"/>
          <w:b/>
          <w:bCs/>
          <w:sz w:val="24"/>
          <w:szCs w:val="24"/>
          <w:highlight w:val="yellow"/>
        </w:rPr>
        <w:t>为</w:t>
      </w:r>
      <w:r>
        <w:rPr>
          <w:rFonts w:hint="eastAsia" w:ascii="宋体" w:hAnsi="宋体" w:eastAsia="宋体" w:cs="宋体"/>
          <w:b/>
          <w:bCs/>
          <w:sz w:val="24"/>
          <w:szCs w:val="24"/>
          <w:highlight w:val="yellow"/>
        </w:rPr>
        <w:t>欧盟、北美或日本</w:t>
      </w:r>
      <w:r>
        <w:rPr>
          <w:rFonts w:hint="eastAsia" w:ascii="宋体" w:hAnsi="宋体" w:eastAsia="宋体" w:cs="Times New Roman"/>
          <w:b/>
          <w:bCs/>
          <w:sz w:val="32"/>
          <w:szCs w:val="32"/>
          <w:highlight w:val="yellow"/>
          <w:vertAlign w:val="superscript"/>
          <w:lang w:val="en-US" w:eastAsia="zh-CN"/>
        </w:rPr>
        <w:t>。</w:t>
      </w:r>
    </w:p>
    <w:p w14:paraId="5D4B4310">
      <w:pPr>
        <w:pStyle w:val="121"/>
        <w:spacing w:line="360" w:lineRule="auto"/>
        <w:ind w:left="0" w:leftChars="0" w:firstLine="0" w:firstLineChars="0"/>
        <w:outlineLvl w:val="2"/>
        <w:rPr>
          <w:rFonts w:hint="eastAsia" w:eastAsia="宋体" w:cs="宋体"/>
          <w:b/>
          <w:bCs w:val="0"/>
          <w:color w:val="auto"/>
          <w:sz w:val="24"/>
          <w:szCs w:val="24"/>
          <w:highlight w:val="none"/>
        </w:rPr>
      </w:pPr>
      <w:r>
        <w:rPr>
          <w:rFonts w:hint="eastAsia" w:eastAsia="宋体" w:cs="宋体"/>
          <w:b/>
          <w:bCs w:val="0"/>
          <w:color w:val="auto"/>
          <w:sz w:val="24"/>
          <w:szCs w:val="24"/>
          <w:highlight w:val="none"/>
        </w:rPr>
        <w:t>三、技术要求</w:t>
      </w:r>
    </w:p>
    <w:p w14:paraId="0BC215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在基本要求和执行标准基础上，本技术标书对所采购的货物的技术及使用等方面作出如下要求： </w:t>
      </w:r>
    </w:p>
    <w:p w14:paraId="3F3279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1.功能用途</w:t>
      </w:r>
    </w:p>
    <w:p w14:paraId="4B23D7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试验台主要用于重型商用车用电驱桥总成翻转试验，兼顾变速器总成测试，覆盖重、中和轻型商用车电驱桥总成、变速器总成产品。按照国家、行业和企业有关标准或规范要求进行电驱桥总成翻转条件下的温升、效率、能耗等性能及可靠性测试，策略标定、道路模拟的动态功能测试；以及变速器总成翻转条件下温升、润滑、效率、可靠性测试。</w:t>
      </w:r>
    </w:p>
    <w:p w14:paraId="4D2819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本试验台应满足以下基本要求：</w:t>
      </w:r>
    </w:p>
    <w:p w14:paraId="6323B9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trike w:val="0"/>
          <w:dstrike w:val="0"/>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（1）电驱桥测试：轮端转速不低于1000r/min、单侧输出扭矩不低于35000Nm。</w:t>
      </w:r>
    </w:p>
    <w:p w14:paraId="71FC42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sz w:val="24"/>
          <w:szCs w:val="24"/>
          <w:highlight w:val="none"/>
          <w:lang w:val="en-US" w:eastAsia="zh-CN"/>
        </w:rPr>
        <w:t>变速器测试</w:t>
      </w:r>
      <w:r>
        <w:rPr>
          <w:rFonts w:hint="eastAsia" w:ascii="宋体" w:hAnsi="宋体" w:eastAsia="宋体" w:cs="宋体"/>
          <w:color w:val="auto"/>
          <w:sz w:val="24"/>
          <w:szCs w:val="24"/>
          <w:highlight w:val="none"/>
          <w:lang w:val="en-US" w:eastAsia="zh-CN"/>
        </w:rPr>
        <w:t>：输入转速不低于4000r/min、输入扭矩不低于4000Nm；输出转速不低于4000r/min、输出扭矩不低于35000Nm。</w:t>
      </w:r>
    </w:p>
    <w:p w14:paraId="4A5B5C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（3）角度调节：俯仰角度±30°、侧倾角度±30°，无级调节，</w:t>
      </w:r>
      <w:r>
        <w:rPr>
          <w:rFonts w:hint="eastAsia" w:ascii="宋体" w:hAnsi="宋体" w:eastAsia="宋体" w:cs="宋体"/>
          <w:strike w:val="0"/>
          <w:dstrike w:val="0"/>
          <w:color w:val="auto"/>
          <w:sz w:val="24"/>
          <w:szCs w:val="24"/>
          <w:highlight w:val="none"/>
          <w:lang w:val="en-US" w:eastAsia="zh-CN"/>
        </w:rPr>
        <w:t>最大速度不低于4°/s，控制精度不低于0.1°，</w:t>
      </w:r>
      <w:r>
        <w:rPr>
          <w:rFonts w:hint="eastAsia" w:ascii="宋体" w:hAnsi="宋体" w:eastAsia="宋体" w:cs="宋体"/>
          <w:color w:val="auto"/>
          <w:sz w:val="24"/>
          <w:szCs w:val="24"/>
          <w:highlight w:val="none"/>
          <w:lang w:val="en-US" w:eastAsia="zh-CN"/>
        </w:rPr>
        <w:t>俯仰角度</w:t>
      </w:r>
      <w:r>
        <w:rPr>
          <w:rFonts w:hint="eastAsia" w:ascii="宋体" w:hAnsi="宋体" w:eastAsia="宋体" w:cs="宋体"/>
          <w:strike w:val="0"/>
          <w:dstrike w:val="0"/>
          <w:color w:val="auto"/>
          <w:sz w:val="24"/>
          <w:szCs w:val="24"/>
          <w:highlight w:val="none"/>
          <w:lang w:val="en-US" w:eastAsia="zh-CN"/>
        </w:rPr>
        <w:t>和侧倾角度应可同时调节，运行满足稳态及动态加载试验要求</w:t>
      </w:r>
      <w:r>
        <w:rPr>
          <w:rFonts w:hint="eastAsia" w:ascii="宋体" w:hAnsi="宋体" w:eastAsia="宋体" w:cs="宋体"/>
          <w:color w:val="auto"/>
          <w:sz w:val="24"/>
          <w:szCs w:val="24"/>
          <w:highlight w:val="none"/>
          <w:lang w:val="en-US" w:eastAsia="zh-CN"/>
        </w:rPr>
        <w:t>。</w:t>
      </w:r>
    </w:p>
    <w:p w14:paraId="70E4C6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sz w:val="24"/>
          <w:szCs w:val="24"/>
          <w:highlight w:val="none"/>
          <w:lang w:val="en-US" w:eastAsia="zh-CN"/>
        </w:rPr>
        <w:t>试验台结构组成及电子测量控制系统的选型、设计以此为准。</w:t>
      </w:r>
    </w:p>
    <w:p w14:paraId="0CC82D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2.主要参数与技术性能指标</w:t>
      </w:r>
    </w:p>
    <w:p w14:paraId="78F5C4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 应覆盖的</w:t>
      </w:r>
      <w:r>
        <w:rPr>
          <w:rFonts w:hint="eastAsia" w:ascii="宋体" w:hAnsi="宋体" w:eastAsia="宋体" w:cs="宋体"/>
          <w:color w:val="auto"/>
          <w:sz w:val="24"/>
          <w:szCs w:val="24"/>
          <w:highlight w:val="none"/>
          <w:lang w:val="en-US" w:eastAsia="zh-CN"/>
        </w:rPr>
        <w:t>产品规格</w:t>
      </w:r>
    </w:p>
    <w:p w14:paraId="59A3F1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电驱桥总成：总长度1600mm～2500mm、端面距1500mm～1900mm、宽度约1100mm、重量约为1200kg</w:t>
      </w:r>
      <w:r>
        <w:rPr>
          <w:rFonts w:hint="eastAsia" w:ascii="宋体" w:hAnsi="宋体" w:eastAsia="宋体" w:cs="宋体"/>
          <w:strike w:val="0"/>
          <w:dstrike w:val="0"/>
          <w:color w:val="auto"/>
          <w:sz w:val="24"/>
          <w:szCs w:val="24"/>
          <w:highlight w:val="none"/>
          <w:lang w:val="en-US" w:eastAsia="zh-CN"/>
        </w:rPr>
        <w:t>。</w:t>
      </w:r>
    </w:p>
    <w:p w14:paraId="5E7FE1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 总体设计要求</w:t>
      </w:r>
    </w:p>
    <w:p w14:paraId="34CE1A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试验台布局应为两电机模式。电机和工业齿轮箱（如有配置）的冷却方式，应充分考虑试验室现场冷却条件。试验台方案应优先基于现有水、电、气等配套工艺设施条件设计，如有需要提升、改造或扩容，卖方应提供具体方案并列出可选项报价。</w:t>
      </w:r>
    </w:p>
    <w:p w14:paraId="1DF066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为满足俯仰角度、侧倾角度稳态及动态加载试验需要，试验台系统结构设计应科学合理，以保证试验过程中系统的稳定性和可靠性。</w:t>
      </w:r>
    </w:p>
    <w:p w14:paraId="5D0432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试验台所有的冷却水管路、气路、电缆、通讯控制线路等设计布局应美观整齐，且便于现场维护及整理，</w:t>
      </w:r>
      <w:r>
        <w:rPr>
          <w:rFonts w:hint="eastAsia" w:ascii="宋体" w:hAnsi="宋体" w:eastAsia="宋体" w:cs="宋体"/>
          <w:strike w:val="0"/>
          <w:dstrike w:val="0"/>
          <w:color w:val="auto"/>
          <w:sz w:val="24"/>
          <w:szCs w:val="24"/>
          <w:highlight w:val="none"/>
          <w:lang w:val="en-US" w:eastAsia="zh-CN"/>
        </w:rPr>
        <w:t>管、线路应张贴清晰的标识</w:t>
      </w:r>
      <w:r>
        <w:rPr>
          <w:rFonts w:hint="eastAsia" w:ascii="宋体" w:hAnsi="宋体" w:eastAsia="宋体" w:cs="宋体"/>
          <w:color w:val="auto"/>
          <w:sz w:val="24"/>
          <w:szCs w:val="24"/>
          <w:highlight w:val="none"/>
          <w:lang w:val="en-US" w:eastAsia="zh-CN"/>
        </w:rPr>
        <w:t>。</w:t>
      </w:r>
    </w:p>
    <w:p w14:paraId="701A2F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试验台机械传动系统的安全关键点应配备安全监测传感器并采取相应的保护措施。试验台还应配备与所有转动件相适应的可调节保护罩。</w:t>
      </w:r>
    </w:p>
    <w:p w14:paraId="3F5581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 测功机系统</w:t>
      </w:r>
    </w:p>
    <w:p w14:paraId="3029B0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2.3.1 测功机系统应可满足电驱桥测试需求</w:t>
      </w:r>
    </w:p>
    <w:p w14:paraId="6BB2FF57">
      <w:pPr>
        <w:keepNext w:val="0"/>
        <w:keepLines w:val="0"/>
        <w:pageBreakBefore w:val="0"/>
        <w:widowControl w:val="0"/>
        <w:numPr>
          <w:ilvl w:val="0"/>
          <w:numId w:val="10"/>
        </w:numPr>
        <w:kinsoku/>
        <w:wordWrap/>
        <w:overflowPunct/>
        <w:topLinePunct w:val="0"/>
        <w:autoSpaceDE w:val="0"/>
        <w:autoSpaceDN/>
        <w:bidi w:val="0"/>
        <w:adjustRightInd/>
        <w:snapToGrid/>
        <w:spacing w:line="360" w:lineRule="auto"/>
        <w:ind w:left="840" w:leftChars="200" w:hanging="420" w:firstLineChars="0"/>
        <w:textAlignment w:val="auto"/>
        <w:rPr>
          <w:rFonts w:hint="eastAsia" w:ascii="宋体" w:hAnsi="宋体" w:eastAsia="宋体" w:cs="宋体"/>
          <w:color w:val="auto"/>
          <w:sz w:val="24"/>
          <w:highlight w:val="none"/>
          <w:lang w:eastAsia="zh-CN" w:bidi="ar"/>
        </w:rPr>
      </w:pPr>
      <w:r>
        <w:rPr>
          <w:rFonts w:hint="eastAsia" w:ascii="宋体" w:hAnsi="宋体" w:eastAsia="宋体" w:cs="宋体"/>
          <w:color w:val="auto"/>
          <w:sz w:val="24"/>
          <w:highlight w:val="none"/>
          <w:lang w:val="en-US" w:eastAsia="zh-CN" w:bidi="ar"/>
        </w:rPr>
        <w:t>单侧连续工作扭矩0～35000Nm，连续工作转速0～650r/min，35000Nm时转速应不低于90r/min；</w:t>
      </w:r>
    </w:p>
    <w:p w14:paraId="592FF417">
      <w:pPr>
        <w:keepNext w:val="0"/>
        <w:keepLines w:val="0"/>
        <w:pageBreakBefore w:val="0"/>
        <w:widowControl w:val="0"/>
        <w:numPr>
          <w:ilvl w:val="0"/>
          <w:numId w:val="10"/>
        </w:numPr>
        <w:kinsoku/>
        <w:wordWrap/>
        <w:overflowPunct/>
        <w:topLinePunct w:val="0"/>
        <w:autoSpaceDE w:val="0"/>
        <w:autoSpaceDN/>
        <w:bidi w:val="0"/>
        <w:adjustRightInd/>
        <w:snapToGrid/>
        <w:spacing w:line="360" w:lineRule="auto"/>
        <w:ind w:left="840" w:leftChars="200" w:hanging="420" w:firstLineChars="0"/>
        <w:textAlignment w:val="auto"/>
        <w:rPr>
          <w:rFonts w:hint="eastAsia" w:ascii="宋体" w:hAnsi="宋体" w:eastAsia="宋体" w:cs="宋体"/>
          <w:color w:val="auto"/>
          <w:sz w:val="24"/>
          <w:highlight w:val="none"/>
          <w:lang w:eastAsia="zh-CN" w:bidi="ar"/>
        </w:rPr>
      </w:pPr>
      <w:r>
        <w:rPr>
          <w:rFonts w:hint="eastAsia" w:ascii="宋体" w:hAnsi="宋体" w:eastAsia="宋体" w:cs="宋体"/>
          <w:color w:val="auto"/>
          <w:sz w:val="24"/>
          <w:highlight w:val="none"/>
          <w:lang w:val="en-US" w:eastAsia="zh-CN" w:bidi="ar"/>
        </w:rPr>
        <w:t>单侧连续工作扭矩0～15000Nm，连续工作转速0～1000r/min，15000Nm时转速应不低于130r/min。</w:t>
      </w:r>
    </w:p>
    <w:p w14:paraId="500EA4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trike w:val="0"/>
          <w:dstrike w:val="0"/>
          <w:color w:val="auto"/>
          <w:sz w:val="24"/>
          <w:szCs w:val="24"/>
          <w:highlight w:val="none"/>
          <w:lang w:val="en-US" w:eastAsia="zh-CN"/>
        </w:rPr>
      </w:pPr>
      <w:r>
        <w:rPr>
          <w:rFonts w:hint="eastAsia" w:ascii="宋体" w:hAnsi="宋体" w:eastAsia="宋体" w:cs="宋体"/>
          <w:color w:val="auto"/>
          <w:sz w:val="24"/>
          <w:highlight w:val="none"/>
          <w:lang w:val="en-US" w:eastAsia="zh-CN" w:bidi="ar"/>
        </w:rPr>
        <w:t>2.3.2 扭矩</w:t>
      </w:r>
      <w:r>
        <w:rPr>
          <w:rFonts w:hint="eastAsia" w:ascii="宋体" w:hAnsi="宋体" w:eastAsia="宋体" w:cs="宋体"/>
          <w:color w:val="auto"/>
          <w:sz w:val="24"/>
          <w:highlight w:val="none"/>
          <w:lang w:bidi="ar"/>
        </w:rPr>
        <w:t>控制精度</w:t>
      </w:r>
      <w:r>
        <w:rPr>
          <w:rFonts w:hint="eastAsia" w:ascii="宋体" w:hAnsi="宋体" w:eastAsia="宋体" w:cs="宋体"/>
          <w:color w:val="auto"/>
          <w:sz w:val="24"/>
          <w:highlight w:val="none"/>
          <w:lang w:val="en-US" w:eastAsia="zh-CN" w:bidi="ar"/>
        </w:rPr>
        <w:t>应不低于</w:t>
      </w:r>
      <w:r>
        <w:rPr>
          <w:rFonts w:hint="eastAsia" w:ascii="宋体" w:hAnsi="宋体" w:eastAsia="宋体" w:cs="宋体"/>
          <w:color w:val="auto"/>
          <w:sz w:val="24"/>
          <w:highlight w:val="none"/>
          <w:lang w:bidi="ar"/>
        </w:rPr>
        <w:t>±0.5%</w:t>
      </w:r>
      <w:r>
        <w:rPr>
          <w:rFonts w:hint="eastAsia" w:ascii="宋体" w:hAnsi="宋体" w:eastAsia="宋体" w:cs="宋体"/>
          <w:color w:val="auto"/>
          <w:sz w:val="24"/>
          <w:highlight w:val="none"/>
          <w:lang w:eastAsia="zh-CN" w:bidi="ar"/>
        </w:rPr>
        <w:t>，</w:t>
      </w:r>
      <w:r>
        <w:rPr>
          <w:rFonts w:hint="eastAsia" w:ascii="宋体" w:hAnsi="宋体" w:eastAsia="宋体" w:cs="宋体"/>
          <w:color w:val="auto"/>
          <w:sz w:val="24"/>
          <w:highlight w:val="none"/>
          <w:lang w:val="en-US" w:eastAsia="zh-CN" w:bidi="ar"/>
        </w:rPr>
        <w:t>转速</w:t>
      </w:r>
      <w:r>
        <w:rPr>
          <w:rFonts w:hint="eastAsia" w:ascii="宋体" w:hAnsi="宋体" w:eastAsia="宋体" w:cs="宋体"/>
          <w:color w:val="auto"/>
          <w:sz w:val="24"/>
          <w:highlight w:val="none"/>
          <w:lang w:bidi="ar"/>
        </w:rPr>
        <w:t>控制精度</w:t>
      </w:r>
      <w:r>
        <w:rPr>
          <w:rFonts w:hint="eastAsia" w:ascii="宋体" w:hAnsi="宋体" w:eastAsia="宋体" w:cs="宋体"/>
          <w:color w:val="auto"/>
          <w:sz w:val="24"/>
          <w:highlight w:val="none"/>
          <w:lang w:val="en-US" w:eastAsia="zh-CN" w:bidi="ar"/>
        </w:rPr>
        <w:t>应不低于</w:t>
      </w:r>
      <w:r>
        <w:rPr>
          <w:rFonts w:hint="eastAsia" w:ascii="宋体" w:hAnsi="宋体" w:eastAsia="宋体" w:cs="宋体"/>
          <w:color w:val="auto"/>
          <w:sz w:val="24"/>
          <w:highlight w:val="none"/>
          <w:lang w:bidi="ar"/>
        </w:rPr>
        <w:t>±1 r/min。</w:t>
      </w:r>
    </w:p>
    <w:p w14:paraId="191BE2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color w:val="auto"/>
          <w:sz w:val="24"/>
          <w:szCs w:val="24"/>
          <w:highlight w:val="none"/>
          <w:lang w:val="en-US" w:eastAsia="zh-CN"/>
        </w:rPr>
        <w:t xml:space="preserve">2.3.3 </w:t>
      </w:r>
      <w:r>
        <w:rPr>
          <w:rFonts w:hint="eastAsia" w:ascii="宋体" w:hAnsi="宋体" w:eastAsia="宋体" w:cs="宋体"/>
          <w:strike w:val="0"/>
          <w:dstrike w:val="0"/>
          <w:sz w:val="24"/>
          <w:szCs w:val="24"/>
          <w:highlight w:val="none"/>
          <w:lang w:val="en-US" w:eastAsia="zh-CN"/>
        </w:rPr>
        <w:t>测功机系统应配备扭矩/转速传感器，精度等级应不低于0.1。</w:t>
      </w:r>
    </w:p>
    <w:p w14:paraId="5E4797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2.3.4 </w:t>
      </w:r>
      <w:r>
        <w:rPr>
          <w:rFonts w:hint="eastAsia" w:ascii="宋体" w:hAnsi="宋体" w:eastAsia="宋体" w:cs="宋体"/>
          <w:color w:val="auto"/>
          <w:sz w:val="24"/>
          <w:szCs w:val="24"/>
          <w:highlight w:val="none"/>
          <w:lang w:val="en-US" w:eastAsia="zh-CN"/>
        </w:rPr>
        <w:t>测功机单元应可根据试验台翻转基座尺寸、产品规格尺寸沿轴向、横向实现最大限度移动</w:t>
      </w:r>
      <w:r>
        <w:rPr>
          <w:rFonts w:hint="eastAsia" w:ascii="宋体" w:hAnsi="宋体" w:eastAsia="宋体" w:cs="宋体"/>
          <w:sz w:val="24"/>
          <w:szCs w:val="24"/>
          <w:highlight w:val="none"/>
          <w:lang w:val="en-US" w:eastAsia="zh-CN"/>
        </w:rPr>
        <w:t>。</w:t>
      </w:r>
    </w:p>
    <w:p w14:paraId="55F391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color w:val="auto"/>
          <w:sz w:val="24"/>
          <w:szCs w:val="24"/>
          <w:highlight w:val="none"/>
          <w:lang w:val="en-US" w:eastAsia="zh-CN"/>
        </w:rPr>
      </w:pPr>
      <w:r>
        <w:rPr>
          <w:rFonts w:hint="eastAsia" w:ascii="宋体" w:hAnsi="宋体" w:eastAsia="宋体" w:cs="宋体"/>
          <w:strike w:val="0"/>
          <w:dstrike w:val="0"/>
          <w:color w:val="auto"/>
          <w:sz w:val="24"/>
          <w:szCs w:val="24"/>
          <w:highlight w:val="none"/>
          <w:lang w:val="en-US" w:eastAsia="zh-CN"/>
        </w:rPr>
        <w:t>2.3.5 变频器</w:t>
      </w:r>
      <w:r>
        <w:rPr>
          <w:rFonts w:hint="eastAsia" w:ascii="宋体" w:hAnsi="宋体" w:eastAsia="宋体" w:cs="宋体"/>
          <w:color w:val="auto"/>
          <w:sz w:val="24"/>
          <w:szCs w:val="24"/>
          <w:highlight w:val="none"/>
          <w:lang w:val="en-US" w:eastAsia="zh-CN"/>
        </w:rPr>
        <w:t>散热方式应</w:t>
      </w:r>
      <w:r>
        <w:rPr>
          <w:rFonts w:hint="eastAsia" w:ascii="宋体" w:hAnsi="宋体" w:eastAsia="宋体" w:cs="宋体"/>
          <w:strike w:val="0"/>
          <w:dstrike w:val="0"/>
          <w:color w:val="auto"/>
          <w:sz w:val="24"/>
          <w:szCs w:val="24"/>
          <w:highlight w:val="none"/>
          <w:lang w:val="en-US" w:eastAsia="zh-CN"/>
        </w:rPr>
        <w:t>充分考虑试验室现场环境，安装位置有试验室集中通风散热，温度不高于40℃。变频器的进出线方式，应需及时与买方进行沟通。</w:t>
      </w:r>
    </w:p>
    <w:p w14:paraId="2CBCE0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2.3.6 工业齿轮箱（如有配备）应输出功率曲线平滑过渡，且应具备脱耦功能以减少转动惯量。</w:t>
      </w:r>
    </w:p>
    <w:p w14:paraId="72EB0E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2.3.7 试验台测功机应均具有直连输出功能。</w:t>
      </w:r>
    </w:p>
    <w:p w14:paraId="5976D7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 动态翻转平台</w:t>
      </w:r>
    </w:p>
    <w:p w14:paraId="3F46DC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trike w:val="0"/>
          <w:dstrike w:val="0"/>
          <w:color w:val="auto"/>
          <w:sz w:val="24"/>
          <w:szCs w:val="24"/>
          <w:highlight w:val="none"/>
          <w:lang w:val="en-US" w:eastAsia="zh-CN"/>
        </w:rPr>
        <w:t xml:space="preserve">2.4.1 </w:t>
      </w:r>
      <w:r>
        <w:rPr>
          <w:rFonts w:hint="eastAsia" w:ascii="宋体" w:hAnsi="宋体" w:eastAsia="宋体" w:cs="宋体"/>
          <w:color w:val="auto"/>
          <w:sz w:val="24"/>
          <w:szCs w:val="24"/>
          <w:highlight w:val="none"/>
          <w:lang w:val="en-US" w:eastAsia="zh-CN"/>
        </w:rPr>
        <w:t>平台俯仰角度应满足±30°、侧倾角度应满足±30°。</w:t>
      </w:r>
    </w:p>
    <w:p w14:paraId="685769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2.4.2 </w:t>
      </w:r>
      <w:r>
        <w:rPr>
          <w:rFonts w:hint="eastAsia" w:ascii="宋体" w:hAnsi="宋体" w:eastAsia="宋体" w:cs="宋体"/>
          <w:strike w:val="0"/>
          <w:dstrike w:val="0"/>
          <w:color w:val="auto"/>
          <w:sz w:val="24"/>
          <w:szCs w:val="24"/>
          <w:highlight w:val="none"/>
          <w:lang w:val="en-US" w:eastAsia="zh-CN"/>
        </w:rPr>
        <w:t>平台应可实现稳态及动态角度</w:t>
      </w:r>
      <w:r>
        <w:rPr>
          <w:rFonts w:hint="eastAsia" w:ascii="宋体" w:hAnsi="宋体" w:eastAsia="宋体" w:cs="宋体"/>
          <w:color w:val="auto"/>
          <w:sz w:val="24"/>
          <w:szCs w:val="24"/>
          <w:highlight w:val="none"/>
          <w:lang w:val="en-US" w:eastAsia="zh-CN"/>
        </w:rPr>
        <w:t>无级调节，俯仰角度</w:t>
      </w:r>
      <w:r>
        <w:rPr>
          <w:rFonts w:hint="eastAsia" w:ascii="宋体" w:hAnsi="宋体" w:eastAsia="宋体" w:cs="宋体"/>
          <w:strike w:val="0"/>
          <w:dstrike w:val="0"/>
          <w:color w:val="auto"/>
          <w:sz w:val="24"/>
          <w:szCs w:val="24"/>
          <w:highlight w:val="none"/>
          <w:lang w:val="en-US" w:eastAsia="zh-CN"/>
        </w:rPr>
        <w:t>和侧倾角度应可同时调节，最大调节速度应不低于4°/s，控制精度应不低于0.1°</w:t>
      </w:r>
      <w:r>
        <w:rPr>
          <w:rFonts w:hint="eastAsia" w:ascii="宋体" w:hAnsi="宋体" w:eastAsia="宋体" w:cs="宋体"/>
          <w:color w:val="auto"/>
          <w:sz w:val="24"/>
          <w:szCs w:val="24"/>
          <w:highlight w:val="none"/>
          <w:lang w:val="en-US" w:eastAsia="zh-CN"/>
        </w:rPr>
        <w:t>。</w:t>
      </w:r>
    </w:p>
    <w:p w14:paraId="5A33FA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2.4.3 平台角度调节应可与道路谱联动，角度需求值应可读取道路谱中的角度。</w:t>
      </w:r>
    </w:p>
    <w:p w14:paraId="2FBF44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2.4.4 平台应采取电伺服作动方式。</w:t>
      </w:r>
    </w:p>
    <w:p w14:paraId="1050CD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2.4.5 平台应具备足够承载能力。设计合理、操作便利，便于设备后期维护，并具有高可靠性。</w:t>
      </w:r>
    </w:p>
    <w:p w14:paraId="1A60DF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2.4.6 平台应具备防跌落、限位保护、联锁功能等安全防护功能。</w:t>
      </w:r>
    </w:p>
    <w:p w14:paraId="461E41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2.4.7 平台工作面应与试验室地面保持同一水平高度。</w:t>
      </w:r>
    </w:p>
    <w:p w14:paraId="338251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2.4.8 </w:t>
      </w:r>
      <w:r>
        <w:rPr>
          <w:rFonts w:ascii="宋体" w:hAnsi="宋体" w:eastAsia="宋体" w:cs="宋体"/>
          <w:sz w:val="24"/>
          <w:szCs w:val="24"/>
        </w:rPr>
        <w:t>平台应满足后期拓展被测件环境仓二次设计的机械结构安装连接需求，包括风管、水管及密封件等相关组件</w:t>
      </w:r>
      <w:r>
        <w:rPr>
          <w:rFonts w:hint="eastAsia" w:ascii="宋体" w:hAnsi="宋体" w:eastAsia="宋体" w:cs="宋体"/>
          <w:sz w:val="24"/>
          <w:szCs w:val="24"/>
          <w:lang w:eastAsia="zh-CN"/>
        </w:rPr>
        <w:t>。</w:t>
      </w:r>
    </w:p>
    <w:p w14:paraId="4FBA40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ascii="宋体" w:hAnsi="宋体" w:eastAsia="宋体" w:cs="宋体"/>
          <w:sz w:val="24"/>
          <w:szCs w:val="24"/>
        </w:rPr>
        <w:t>2.4.</w:t>
      </w:r>
      <w:r>
        <w:rPr>
          <w:rFonts w:hint="eastAsia" w:ascii="宋体" w:hAnsi="宋体" w:eastAsia="宋体" w:cs="宋体"/>
          <w:sz w:val="24"/>
          <w:szCs w:val="24"/>
          <w:lang w:val="en-US" w:eastAsia="zh-CN"/>
        </w:rPr>
        <w:t>9</w:t>
      </w:r>
      <w:r>
        <w:rPr>
          <w:rFonts w:ascii="宋体" w:hAnsi="宋体" w:eastAsia="宋体" w:cs="宋体"/>
          <w:sz w:val="24"/>
          <w:szCs w:val="24"/>
        </w:rPr>
        <w:t xml:space="preserve"> </w:t>
      </w:r>
      <w:r>
        <w:rPr>
          <w:rFonts w:hint="eastAsia" w:ascii="宋体" w:hAnsi="宋体" w:eastAsia="宋体" w:cs="宋体"/>
          <w:color w:val="auto"/>
          <w:sz w:val="24"/>
          <w:szCs w:val="24"/>
          <w:highlight w:val="none"/>
          <w:lang w:val="en-US" w:eastAsia="zh-CN"/>
        </w:rPr>
        <w:t>平台与试验室地面之间的间隙应具有合理的支承与防护装置，且平台翻转过程中不产生障碍干涉。</w:t>
      </w:r>
    </w:p>
    <w:p w14:paraId="380E43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 电池模拟器</w:t>
      </w:r>
    </w:p>
    <w:p w14:paraId="58833C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2.5.1 电池模拟器功率应不低于800kW，输出电压应</w:t>
      </w:r>
      <w:r>
        <w:rPr>
          <w:rFonts w:hint="eastAsia" w:ascii="宋体" w:hAnsi="宋体" w:eastAsia="宋体" w:cs="宋体"/>
          <w:color w:val="auto"/>
          <w:kern w:val="2"/>
          <w:sz w:val="24"/>
          <w:szCs w:val="24"/>
          <w:highlight w:val="none"/>
          <w:lang w:val="en-US" w:eastAsia="zh-CN" w:bidi="ar-SA"/>
        </w:rPr>
        <w:t>范围应满足24～</w:t>
      </w:r>
      <w:r>
        <w:rPr>
          <w:rFonts w:hint="default"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2</w:t>
      </w:r>
      <w:r>
        <w:rPr>
          <w:rFonts w:hint="default" w:ascii="宋体" w:hAnsi="宋体" w:eastAsia="宋体" w:cs="宋体"/>
          <w:color w:val="auto"/>
          <w:kern w:val="2"/>
          <w:sz w:val="24"/>
          <w:szCs w:val="24"/>
          <w:highlight w:val="none"/>
          <w:lang w:val="en-US" w:eastAsia="zh-CN" w:bidi="ar-SA"/>
        </w:rPr>
        <w:t>00V</w:t>
      </w:r>
      <w:r>
        <w:rPr>
          <w:rFonts w:hint="eastAsia" w:ascii="宋体" w:hAnsi="宋体" w:eastAsia="宋体" w:cs="宋体"/>
          <w:color w:val="auto"/>
          <w:sz w:val="24"/>
          <w:szCs w:val="24"/>
          <w:highlight w:val="none"/>
          <w:lang w:val="en-US" w:eastAsia="zh-CN"/>
        </w:rPr>
        <w:t>，输出电流应不低于1500A，输出精度应不低于0.1%FS。</w:t>
      </w:r>
    </w:p>
    <w:p w14:paraId="0F5DCF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2.5.2 应采用双通道输出，每通道可独立控制。</w:t>
      </w:r>
    </w:p>
    <w:p w14:paraId="450597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2.5.3 应具有固定电池类型模拟（锰酸锂、钴酸锂、磷酸铁锂、三元锂、铅酸电池等），可自定义电池类型模拟</w:t>
      </w:r>
      <w:r>
        <w:rPr>
          <w:rFonts w:hint="eastAsia" w:ascii="宋体" w:hAnsi="宋体" w:eastAsia="宋体" w:cs="宋体"/>
          <w:sz w:val="24"/>
          <w:szCs w:val="24"/>
          <w:highlight w:val="none"/>
          <w:lang w:val="en-US" w:eastAsia="zh-CN"/>
        </w:rPr>
        <w:t>。</w:t>
      </w:r>
    </w:p>
    <w:p w14:paraId="49548C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bidi="ar"/>
        </w:rPr>
      </w:pPr>
      <w:r>
        <w:rPr>
          <w:rFonts w:hint="eastAsia" w:ascii="宋体" w:hAnsi="宋体" w:eastAsia="宋体" w:cs="宋体"/>
          <w:color w:val="auto"/>
          <w:sz w:val="24"/>
          <w:highlight w:val="none"/>
          <w:lang w:val="en-US" w:eastAsia="zh-CN" w:bidi="ar"/>
        </w:rPr>
        <w:t>2.5.4 应具有高动态响应特性，输出响应时间应</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highlight w:val="none"/>
          <w:lang w:val="en-US" w:eastAsia="zh-CN" w:bidi="ar"/>
        </w:rPr>
        <w:t>1ms。</w:t>
      </w:r>
    </w:p>
    <w:p w14:paraId="31DE68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bidi="ar"/>
        </w:rPr>
      </w:pPr>
      <w:r>
        <w:rPr>
          <w:rFonts w:hint="eastAsia" w:ascii="宋体" w:hAnsi="宋体" w:eastAsia="宋体" w:cs="宋体"/>
          <w:color w:val="auto"/>
          <w:sz w:val="24"/>
          <w:highlight w:val="none"/>
          <w:lang w:val="en-US" w:eastAsia="zh-CN" w:bidi="ar"/>
        </w:rPr>
        <w:t>2.5.5 应具有恒压模式（CV）、恒流模式（CC）和恒功率模式（CP）运行模式，可以设置输出电压、电流、功率的运行参数。</w:t>
      </w:r>
    </w:p>
    <w:p w14:paraId="4D0EE9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eastAsia="zh-CN" w:bidi="ar"/>
        </w:rPr>
      </w:pPr>
      <w:r>
        <w:rPr>
          <w:rFonts w:hint="eastAsia" w:ascii="宋体" w:hAnsi="宋体" w:eastAsia="宋体" w:cs="宋体"/>
          <w:bCs/>
          <w:sz w:val="24"/>
          <w:highlight w:val="none"/>
          <w:lang w:val="en-US" w:eastAsia="zh-CN"/>
        </w:rPr>
        <w:t xml:space="preserve">2.5.6 </w:t>
      </w:r>
      <w:r>
        <w:rPr>
          <w:rFonts w:hint="eastAsia" w:ascii="宋体" w:hAnsi="宋体" w:eastAsia="宋体" w:cs="宋体"/>
          <w:color w:val="auto"/>
          <w:sz w:val="24"/>
          <w:highlight w:val="none"/>
          <w:lang w:val="en-US" w:eastAsia="zh-CN" w:bidi="ar"/>
        </w:rPr>
        <w:t>应</w:t>
      </w:r>
      <w:r>
        <w:rPr>
          <w:rFonts w:hint="eastAsia" w:ascii="宋体" w:hAnsi="宋体" w:eastAsia="宋体" w:cs="宋体"/>
          <w:color w:val="auto"/>
          <w:sz w:val="24"/>
          <w:highlight w:val="none"/>
          <w:lang w:bidi="ar"/>
        </w:rPr>
        <w:t>具有缺相</w:t>
      </w:r>
      <w:r>
        <w:rPr>
          <w:rFonts w:hint="eastAsia" w:ascii="宋体" w:hAnsi="宋体" w:eastAsia="宋体" w:cs="宋体"/>
          <w:color w:val="auto"/>
          <w:sz w:val="24"/>
          <w:highlight w:val="none"/>
          <w:lang w:val="en-US" w:eastAsia="zh-CN" w:bidi="ar"/>
        </w:rPr>
        <w:t>/过压/过流/漏电/</w:t>
      </w:r>
      <w:r>
        <w:rPr>
          <w:rFonts w:hint="eastAsia" w:ascii="宋体" w:hAnsi="宋体" w:eastAsia="宋体" w:cs="宋体"/>
          <w:color w:val="auto"/>
          <w:sz w:val="24"/>
          <w:highlight w:val="none"/>
          <w:lang w:bidi="ar"/>
        </w:rPr>
        <w:t>短路保护</w:t>
      </w:r>
      <w:r>
        <w:rPr>
          <w:rFonts w:hint="eastAsia" w:ascii="宋体" w:hAnsi="宋体" w:eastAsia="宋体" w:cs="宋体"/>
          <w:color w:val="auto"/>
          <w:sz w:val="24"/>
          <w:highlight w:val="none"/>
          <w:lang w:val="en-US" w:eastAsia="zh-CN" w:bidi="ar"/>
        </w:rPr>
        <w:t>、温控监测、主动放电</w:t>
      </w:r>
      <w:r>
        <w:rPr>
          <w:rFonts w:hint="eastAsia" w:ascii="宋体" w:hAnsi="宋体" w:eastAsia="宋体" w:cs="宋体"/>
          <w:color w:val="auto"/>
          <w:sz w:val="24"/>
          <w:highlight w:val="none"/>
          <w:lang w:bidi="ar"/>
        </w:rPr>
        <w:t>等自诊断和保护功能</w:t>
      </w:r>
      <w:r>
        <w:rPr>
          <w:rFonts w:hint="eastAsia" w:ascii="宋体" w:hAnsi="宋体" w:eastAsia="宋体" w:cs="宋体"/>
          <w:color w:val="auto"/>
          <w:sz w:val="24"/>
          <w:highlight w:val="none"/>
          <w:lang w:eastAsia="zh-CN" w:bidi="ar"/>
        </w:rPr>
        <w:t>，具备过温、急停等多种异常工况保护功能。</w:t>
      </w:r>
    </w:p>
    <w:p w14:paraId="509321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eastAsia="zh-CN" w:bidi="ar"/>
        </w:rPr>
      </w:pPr>
      <w:r>
        <w:rPr>
          <w:rFonts w:hint="eastAsia" w:ascii="宋体" w:hAnsi="宋体" w:eastAsia="宋体" w:cs="宋体"/>
          <w:color w:val="auto"/>
          <w:sz w:val="24"/>
          <w:highlight w:val="none"/>
          <w:lang w:val="en-US" w:eastAsia="zh-CN" w:bidi="ar"/>
        </w:rPr>
        <w:t>2.5.7 应</w:t>
      </w:r>
      <w:r>
        <w:rPr>
          <w:rFonts w:hint="eastAsia" w:ascii="宋体" w:hAnsi="宋体" w:eastAsia="宋体" w:cs="宋体"/>
          <w:color w:val="auto"/>
          <w:sz w:val="24"/>
          <w:highlight w:val="none"/>
          <w:lang w:eastAsia="zh-CN" w:bidi="ar"/>
        </w:rPr>
        <w:t>具有电压补偿功能，可自动补偿线损。</w:t>
      </w:r>
    </w:p>
    <w:p w14:paraId="08AF9E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highlight w:val="none"/>
          <w:lang w:val="en-US" w:eastAsia="zh-CN" w:bidi="ar"/>
        </w:rPr>
        <w:t xml:space="preserve">2.5.8 </w:t>
      </w:r>
      <w:r>
        <w:rPr>
          <w:rFonts w:hint="eastAsia" w:ascii="宋体" w:hAnsi="宋体" w:eastAsia="宋体" w:cs="宋体"/>
          <w:bCs/>
          <w:sz w:val="24"/>
          <w:highlight w:val="none"/>
          <w:lang w:val="en-US" w:eastAsia="zh-CN"/>
        </w:rPr>
        <w:t>应</w:t>
      </w:r>
      <w:r>
        <w:rPr>
          <w:rFonts w:hint="eastAsia" w:ascii="宋体" w:hAnsi="宋体" w:eastAsia="宋体" w:cs="宋体"/>
          <w:bCs/>
          <w:sz w:val="24"/>
          <w:highlight w:val="none"/>
        </w:rPr>
        <w:t>具</w:t>
      </w:r>
      <w:r>
        <w:rPr>
          <w:rFonts w:hint="eastAsia" w:ascii="宋体" w:hAnsi="宋体" w:eastAsia="宋体" w:cs="宋体"/>
          <w:bCs/>
          <w:sz w:val="24"/>
          <w:highlight w:val="none"/>
          <w:lang w:val="en-US" w:eastAsia="zh-CN"/>
        </w:rPr>
        <w:t>有</w:t>
      </w:r>
      <w:r>
        <w:rPr>
          <w:rFonts w:hint="eastAsia" w:ascii="宋体" w:hAnsi="宋体" w:eastAsia="宋体" w:cs="宋体"/>
          <w:bCs/>
          <w:sz w:val="24"/>
          <w:highlight w:val="none"/>
        </w:rPr>
        <w:t>能量回馈电网功能</w:t>
      </w:r>
      <w:r>
        <w:rPr>
          <w:rFonts w:hint="eastAsia" w:ascii="宋体" w:hAnsi="宋体" w:eastAsia="宋体" w:cs="宋体"/>
          <w:sz w:val="24"/>
          <w:szCs w:val="24"/>
          <w:highlight w:val="none"/>
          <w:lang w:val="en-US" w:eastAsia="zh-CN"/>
        </w:rPr>
        <w:t>。</w:t>
      </w:r>
    </w:p>
    <w:p w14:paraId="7D46FF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2.5.9 电池模拟器功率模板应采用SiC半导体器件。</w:t>
      </w:r>
    </w:p>
    <w:p w14:paraId="4761CB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2.5.10 规格型号由卖方提供，买方确认。</w:t>
      </w:r>
    </w:p>
    <w:p w14:paraId="09BC24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 功率分析仪</w:t>
      </w:r>
    </w:p>
    <w:p w14:paraId="5F65A1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2.6.1 分析仪电压测量应不低于1500V，电压测量精度应不低于±0.05%FS；电流测量应不低于2000A。</w:t>
      </w:r>
    </w:p>
    <w:p w14:paraId="44CDE6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2.6.2 分析仪测量带宽应满足0.1～1MHz，采样速率应不低于2Ms/s。</w:t>
      </w:r>
    </w:p>
    <w:p w14:paraId="693AA3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2.6.3 电流传感器</w:t>
      </w:r>
      <w:r>
        <w:rPr>
          <w:rFonts w:hint="eastAsia" w:ascii="宋体" w:hAnsi="宋体" w:eastAsia="宋体" w:cs="宋体"/>
          <w:sz w:val="24"/>
          <w:szCs w:val="24"/>
          <w:highlight w:val="none"/>
          <w:lang w:val="en-US" w:eastAsia="zh-CN"/>
        </w:rPr>
        <w:tab/>
      </w:r>
    </w:p>
    <w:p w14:paraId="746B2BED">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电流测量范围0～2000A；</w:t>
      </w:r>
    </w:p>
    <w:p w14:paraId="1CE0FCA5">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测量精度</w:t>
      </w:r>
      <w:r>
        <w:rPr>
          <w:rFonts w:hint="eastAsia" w:ascii="宋体" w:hAnsi="宋体" w:eastAsia="宋体" w:cs="宋体"/>
          <w:color w:val="auto"/>
          <w:sz w:val="24"/>
          <w:szCs w:val="24"/>
          <w:highlight w:val="none"/>
          <w:lang w:val="en-US" w:eastAsia="zh-CN"/>
        </w:rPr>
        <w:t>不低于</w:t>
      </w:r>
      <w:r>
        <w:rPr>
          <w:rFonts w:hint="eastAsia" w:ascii="宋体" w:hAnsi="宋体" w:eastAsia="宋体" w:cs="宋体"/>
          <w:sz w:val="24"/>
          <w:szCs w:val="24"/>
          <w:highlight w:val="none"/>
          <w:lang w:val="en-US" w:eastAsia="zh-CN"/>
        </w:rPr>
        <w:t>±0.005%FS；</w:t>
      </w:r>
    </w:p>
    <w:p w14:paraId="48308E2B">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数量不少于8个；</w:t>
      </w:r>
    </w:p>
    <w:p w14:paraId="2F3DE668">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配备相应线束；</w:t>
      </w:r>
    </w:p>
    <w:p w14:paraId="2C5D456C">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规格型号由卖方提供，买方确认。</w:t>
      </w:r>
    </w:p>
    <w:p w14:paraId="37B13D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2.6.4 电压钳</w:t>
      </w:r>
    </w:p>
    <w:p w14:paraId="6088EA34">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耐压值不低于1500V；</w:t>
      </w:r>
    </w:p>
    <w:p w14:paraId="5831478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电压钳数量不少于10个；</w:t>
      </w:r>
    </w:p>
    <w:p w14:paraId="071E31B9">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配备相应数量电压测试线；</w:t>
      </w:r>
    </w:p>
    <w:p w14:paraId="34D22F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2.6.5 具备VGA输出、D/A输出、USB端口、以太网、RS-232等输出通道。</w:t>
      </w:r>
    </w:p>
    <w:p w14:paraId="547C25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2.6.6 分析仪应可完成高动态测量分析。</w:t>
      </w:r>
    </w:p>
    <w:p w14:paraId="46C40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2.6.7 分析仪应可同时满足2台电机的功率、电压、电流等参数的测量和分析，每台电机需测量：3路交流电压和电流、1路直流电压和电流。</w:t>
      </w:r>
    </w:p>
    <w:p w14:paraId="5D0080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2.6.8 分析仪的规格型号由卖方提供，买方确认。</w:t>
      </w:r>
    </w:p>
    <w:p w14:paraId="2E7498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 控制系统</w:t>
      </w:r>
    </w:p>
    <w:p w14:paraId="4860C4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2.7.1 控制系统应可编译或配置电驱桥在实车环境中运行所需的通讯交互环境，包括但不限于试验台模拟整车控制器、ABS/EBS控制器、ECU控制器、缓速器控制器RCU、车身控制器等信号环境，通过脚本编译功能实现动力域或底盘域的控制器交互功能。</w:t>
      </w:r>
    </w:p>
    <w:p w14:paraId="4389AC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2.7.2 控制系统应可实现对数字量信号、模拟量信号、脉冲宽度调制（PWM）信号发生器、可编辑低压供电通道进行编辑定义。</w:t>
      </w:r>
    </w:p>
    <w:p w14:paraId="05B060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2.7.3 控制系统应具备CAN驱动软件及硬件配置，能够与买方电驱桥控制器通讯，进行电驱桥标定与测试，支持对CAN通道进行独立配置。</w:t>
      </w:r>
    </w:p>
    <w:p w14:paraId="521DA4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2.7.4 控制系统应可实现电驱桥道路模拟（道路载荷谱输入、道路数据谱输入），模拟实车COAST DOWN等。系统应可执行基于距离的道路数据谱，如实时坡度、曲率等，能够模拟车辆在可编辑的道路上随开随停，试验台角度执行机构实时联动；</w:t>
      </w:r>
      <w:r>
        <w:rPr>
          <w:rFonts w:hint="eastAsia" w:ascii="宋体" w:hAnsi="宋体" w:eastAsia="宋体" w:cs="宋体"/>
          <w:color w:val="auto"/>
          <w:sz w:val="24"/>
          <w:szCs w:val="24"/>
          <w:highlight w:val="none"/>
          <w:lang w:val="en-US" w:eastAsia="zh-CN"/>
        </w:rPr>
        <w:t>可实现恒扭矩/恒加速度的制动刹车、新能源整车能量回收</w:t>
      </w:r>
      <w:r>
        <w:rPr>
          <w:rFonts w:hint="eastAsia" w:ascii="宋体" w:hAnsi="宋体" w:eastAsia="宋体" w:cs="宋体"/>
          <w:sz w:val="24"/>
          <w:szCs w:val="24"/>
          <w:highlight w:val="none"/>
          <w:lang w:val="en-US" w:eastAsia="zh-CN"/>
        </w:rPr>
        <w:t>。</w:t>
      </w:r>
    </w:p>
    <w:p w14:paraId="4F3EE8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2.7.5 控制系统应支持 Hauβmann换挡执行器机构硬件的集成，可实现手动挡变速器的换挡控制功能。</w:t>
      </w:r>
    </w:p>
    <w:p w14:paraId="03E74D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2.7.6 控制系统的控制模式应包括但不限于N/T、T/N、T/T、N/N、RLS/V、RLS/Alpha、-/T、-/N、T/-、N/-。</w:t>
      </w:r>
    </w:p>
    <w:p w14:paraId="410EE4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2.7.7 控制系统应满足电驱桥温升、效率、差速、差扭、动态响应等性能及可靠性等试验。</w:t>
      </w:r>
    </w:p>
    <w:p w14:paraId="28D687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2.7.8 控制系统应可记录保存试验数据，可自动绘制/回放温升曲线、不同油温、扭矩、转速下传动效率关系曲线。</w:t>
      </w:r>
    </w:p>
    <w:p w14:paraId="04D44E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2.7.9 控制系统应保证测得效率值具有4位有效数，例如：测得效率值98.11%；试验过程中数据可按要求输出、保存、回溯，并方便查询。</w:t>
      </w:r>
    </w:p>
    <w:p w14:paraId="49C542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2.7.10 控制系统软件的操作界面应采用英文界面、布局友好，且为卖方最新版本。</w:t>
      </w:r>
    </w:p>
    <w:p w14:paraId="44C077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 数据采集及信号发生系统</w:t>
      </w:r>
    </w:p>
    <w:p w14:paraId="1F6CA6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2.8.1 系统应配备可拓展数据接口。</w:t>
      </w:r>
    </w:p>
    <w:p w14:paraId="74AE1F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2.8.2 系统应配备PT100/1000温度传感器、热电偶传感器数据采集通道，各类型通道数量不少于8个。</w:t>
      </w:r>
    </w:p>
    <w:p w14:paraId="11DF5E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2.8.3 系统应配备模拟量、数字量采集通道，各类型通道数量不少于8个。</w:t>
      </w:r>
    </w:p>
    <w:p w14:paraId="22DE5C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2.8.4 系统应配备以太网通道，通道数量不少于2个。</w:t>
      </w:r>
    </w:p>
    <w:p w14:paraId="64F55B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2.8.5 系统配备</w:t>
      </w:r>
      <w:r>
        <w:rPr>
          <w:rFonts w:hint="default" w:ascii="宋体" w:hAnsi="宋体" w:eastAsia="宋体" w:cs="宋体"/>
          <w:color w:val="auto"/>
          <w:sz w:val="24"/>
          <w:szCs w:val="24"/>
          <w:highlight w:val="none"/>
          <w:lang w:val="en-US" w:eastAsia="zh-CN"/>
        </w:rPr>
        <w:t>CAN接口</w:t>
      </w:r>
      <w:r>
        <w:rPr>
          <w:rFonts w:hint="eastAsia" w:ascii="宋体" w:hAnsi="宋体" w:eastAsia="宋体" w:cs="宋体"/>
          <w:color w:val="auto"/>
          <w:sz w:val="24"/>
          <w:szCs w:val="24"/>
          <w:highlight w:val="none"/>
          <w:lang w:val="en-US" w:eastAsia="zh-CN"/>
        </w:rPr>
        <w:t>通道与硬件工具且具备诊断分析功能</w:t>
      </w:r>
      <w:r>
        <w:rPr>
          <w:rFonts w:hint="default"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通道</w:t>
      </w:r>
      <w:r>
        <w:rPr>
          <w:rFonts w:hint="default" w:ascii="宋体" w:hAnsi="宋体" w:eastAsia="宋体" w:cs="宋体"/>
          <w:color w:val="auto"/>
          <w:sz w:val="24"/>
          <w:szCs w:val="24"/>
          <w:highlight w:val="none"/>
          <w:lang w:val="en-US" w:eastAsia="zh-CN"/>
        </w:rPr>
        <w:t>数量不少于6个</w:t>
      </w:r>
      <w:r>
        <w:rPr>
          <w:rFonts w:hint="eastAsia" w:ascii="宋体" w:hAnsi="宋体" w:eastAsia="宋体" w:cs="宋体"/>
          <w:color w:val="auto"/>
          <w:sz w:val="24"/>
          <w:szCs w:val="24"/>
          <w:highlight w:val="none"/>
          <w:lang w:val="en-US" w:eastAsia="zh-CN"/>
        </w:rPr>
        <w:t>，硬件工具品牌及型号规格应由买方确认。</w:t>
      </w:r>
    </w:p>
    <w:p w14:paraId="5B9314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2.8.6 </w:t>
      </w:r>
      <w:r>
        <w:rPr>
          <w:rFonts w:hint="eastAsia" w:ascii="宋体" w:hAnsi="宋体" w:eastAsia="宋体" w:cs="宋体"/>
          <w:sz w:val="24"/>
          <w:szCs w:val="24"/>
          <w:highlight w:val="none"/>
          <w:lang w:val="en-US" w:eastAsia="zh-CN"/>
        </w:rPr>
        <w:t>系统应配备</w:t>
      </w:r>
      <w:r>
        <w:rPr>
          <w:rFonts w:hint="default" w:ascii="宋体" w:hAnsi="宋体" w:eastAsia="宋体" w:cs="宋体"/>
          <w:color w:val="auto"/>
          <w:sz w:val="24"/>
          <w:szCs w:val="24"/>
          <w:highlight w:val="none"/>
          <w:lang w:val="en-US" w:eastAsia="zh-CN"/>
        </w:rPr>
        <w:t>ETHERCAT通道，</w:t>
      </w:r>
      <w:r>
        <w:rPr>
          <w:rFonts w:hint="eastAsia" w:ascii="宋体" w:hAnsi="宋体" w:eastAsia="宋体" w:cs="宋体"/>
          <w:color w:val="auto"/>
          <w:sz w:val="24"/>
          <w:szCs w:val="24"/>
          <w:highlight w:val="none"/>
          <w:lang w:val="en-US" w:eastAsia="zh-CN"/>
        </w:rPr>
        <w:t>通道</w:t>
      </w:r>
      <w:r>
        <w:rPr>
          <w:rFonts w:hint="default" w:ascii="宋体" w:hAnsi="宋体" w:eastAsia="宋体" w:cs="宋体"/>
          <w:color w:val="auto"/>
          <w:sz w:val="24"/>
          <w:szCs w:val="24"/>
          <w:highlight w:val="none"/>
          <w:lang w:val="en-US" w:eastAsia="zh-CN"/>
        </w:rPr>
        <w:t>数量2个。</w:t>
      </w:r>
    </w:p>
    <w:p w14:paraId="0CC3D4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2.8.7 系统应配备数字量信号发生通道、模拟量信号发生通道、脉冲宽度调制（PWM）信号发生通道，每种类型通道数量不少于8个。</w:t>
      </w:r>
    </w:p>
    <w:p w14:paraId="13913C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2.8.8 系统应配备可编辑低压供电通道，通道数量不少于8个，单通道电压范围应满足0～60V、电流范围应满足0～50A。</w:t>
      </w:r>
    </w:p>
    <w:p w14:paraId="44B18E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2.8.9 系统可集成无线遥感测温系统（品牌为：imc CAEMAX D</w:t>
      </w:r>
      <w:r>
        <w:rPr>
          <w:rFonts w:hint="eastAsia" w:ascii="宋体" w:hAnsi="宋体" w:eastAsia="宋体" w:cs="宋体"/>
          <w:color w:val="auto"/>
          <w:sz w:val="24"/>
          <w:szCs w:val="24"/>
          <w:highlight w:val="none"/>
          <w:vertAlign w:val="superscript"/>
          <w:lang w:val="en-US" w:eastAsia="zh-CN"/>
        </w:rPr>
        <w:t>X</w:t>
      </w:r>
      <w:r>
        <w:rPr>
          <w:rFonts w:hint="eastAsia" w:ascii="宋体" w:hAnsi="宋体" w:eastAsia="宋体" w:cs="宋体"/>
          <w:color w:val="auto"/>
          <w:sz w:val="24"/>
          <w:szCs w:val="24"/>
          <w:highlight w:val="none"/>
          <w:lang w:val="en-US" w:eastAsia="zh-CN"/>
        </w:rPr>
        <w:t xml:space="preserve"> 无线遥测）。</w:t>
      </w:r>
    </w:p>
    <w:p w14:paraId="19E19C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 传感器</w:t>
      </w:r>
    </w:p>
    <w:p w14:paraId="66EC70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2.9.1 扭矩/转速传感器</w:t>
      </w:r>
    </w:p>
    <w:p w14:paraId="03F1ABD3">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试验台应配备相应数量、相应规格的高精度扭矩/转速传感器，精度等级均应不低于0.1；</w:t>
      </w:r>
    </w:p>
    <w:p w14:paraId="6CD9171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扭矩传感器应保证传动效率测量精度；</w:t>
      </w:r>
    </w:p>
    <w:p w14:paraId="18146CFE">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试验台应配备扭矩传感器标定工具。</w:t>
      </w:r>
    </w:p>
    <w:p w14:paraId="67B1F7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2.9.2 温度传感器 </w:t>
      </w:r>
    </w:p>
    <w:p w14:paraId="4D59024D">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PT100/1000温度传感器，量程应满足0～150℃，精度应不低于±0.1℃，数量应不少于8个；</w:t>
      </w:r>
    </w:p>
    <w:p w14:paraId="61ABFA3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热电偶温度传感器，量程应满足0～150℃，精度应不低于±0.1℃，数量应不少于8个；</w:t>
      </w:r>
    </w:p>
    <w:p w14:paraId="2BD483AC">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红外探头温度传感器，量程应满足0～150℃，精度应不低于±0.1℃，数量应不少于8个；</w:t>
      </w:r>
    </w:p>
    <w:p w14:paraId="53421D46">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贴片式温度传感器，量程应满足0～150℃，精度应不低于±0.1℃，数量应不少于8个；</w:t>
      </w:r>
    </w:p>
    <w:p w14:paraId="3D0C171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温度传感器应可集成至数据采集及信号发生系统。</w:t>
      </w:r>
    </w:p>
    <w:p w14:paraId="23CE82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2.9.3 压力传感器</w:t>
      </w:r>
    </w:p>
    <w:p w14:paraId="61241FD3">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量程应满足0～1.0MPa，数量不少于8个;</w:t>
      </w:r>
    </w:p>
    <w:p w14:paraId="1F8C909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测量精度应不低于0.25级。</w:t>
      </w:r>
    </w:p>
    <w:p w14:paraId="7C93AC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2.10 早期故障诊断分析仪</w:t>
      </w:r>
    </w:p>
    <w:p w14:paraId="41555A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2.10.1 试验台应配备早期故障诊断分析仪1台，采用4通道。</w:t>
      </w:r>
    </w:p>
    <w:p w14:paraId="0A7F62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2.10.2 分析仪应能完成对试件早期故障的监测，如对齿面点蚀、断齿、轴承损坏等做出停机预报并做出故障分析。</w:t>
      </w:r>
    </w:p>
    <w:p w14:paraId="54ACAD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 被试件温控系统</w:t>
      </w:r>
    </w:p>
    <w:p w14:paraId="113456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2.11.1 被试件油温控制系统</w:t>
      </w:r>
    </w:p>
    <w:p w14:paraId="6E6D0BDA">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系统应自带外循环系统，包括相应的循环泵、压力流量控制系统、管接件等；</w:t>
      </w:r>
    </w:p>
    <w:p w14:paraId="348240C8">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系统温度控制范围应满足30～150℃，控制精度应不低于±1℃；</w:t>
      </w:r>
    </w:p>
    <w:p w14:paraId="5F7BCC78">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系统冷却功率应不低于50kW，冷却速率应可调节；</w:t>
      </w:r>
    </w:p>
    <w:p w14:paraId="663703B2">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系统加热功率应不低于10kW；</w:t>
      </w:r>
    </w:p>
    <w:p w14:paraId="5E9305FB">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系统应配备便于清洗或更换的过滤装置。</w:t>
      </w:r>
    </w:p>
    <w:p w14:paraId="12B21459">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被试件润滑油加油量约21L。</w:t>
      </w:r>
    </w:p>
    <w:p w14:paraId="26F6E9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2.11.2 被试件电机冷却系统</w:t>
      </w:r>
    </w:p>
    <w:p w14:paraId="62F32E7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系统应采用双通道输出，单通道应可独立控制流量、温度；</w:t>
      </w:r>
    </w:p>
    <w:p w14:paraId="726E89AF">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系统应支持流量或压力闭环控制两种工作模式的切换；</w:t>
      </w:r>
    </w:p>
    <w:p w14:paraId="5F982FD5">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系统温度控制范围应满足10～130℃，精度应不低于±1℃；</w:t>
      </w:r>
    </w:p>
    <w:p w14:paraId="00BCE919">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流量控制范围应满足5～50L/min（单通道），</w:t>
      </w:r>
      <w:r>
        <w:rPr>
          <w:rFonts w:hint="eastAsia" w:ascii="宋体" w:hAnsi="宋体" w:eastAsia="宋体" w:cs="宋体"/>
          <w:sz w:val="24"/>
          <w:szCs w:val="24"/>
          <w:highlight w:val="none"/>
          <w:lang w:val="en-US" w:eastAsia="zh-CN"/>
        </w:rPr>
        <w:t>精度应不低于0.1L/min；</w:t>
      </w:r>
    </w:p>
    <w:p w14:paraId="7ABB83F0">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系统冷却功率应不低于50kW（单通道）；</w:t>
      </w:r>
    </w:p>
    <w:p w14:paraId="1EDCFA30">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系统应配备便于清洗或更换的过滤装置；</w:t>
      </w:r>
    </w:p>
    <w:p w14:paraId="08BE52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2.11.3 冷却风扇</w:t>
      </w:r>
    </w:p>
    <w:p w14:paraId="5AAD193B">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试验台应配备4套冷却风扇，电驱桥主减2套、轮边2套；</w:t>
      </w:r>
    </w:p>
    <w:p w14:paraId="1E107757">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试验台被试件加油量：电驱桥主减约12L、单轮边2.5L；</w:t>
      </w:r>
    </w:p>
    <w:p w14:paraId="2AA9EDA7">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风扇额定功率应不低于2.2kW，空气流量应不低于41m</w:t>
      </w:r>
      <w:r>
        <w:rPr>
          <w:rFonts w:hint="eastAsia" w:ascii="宋体" w:hAnsi="宋体" w:eastAsia="宋体" w:cs="宋体"/>
          <w:sz w:val="24"/>
          <w:szCs w:val="24"/>
          <w:highlight w:val="none"/>
          <w:vertAlign w:val="superscript"/>
          <w:lang w:val="en-US" w:eastAsia="zh-CN"/>
        </w:rPr>
        <w:t>3</w:t>
      </w:r>
      <w:r>
        <w:rPr>
          <w:rFonts w:hint="eastAsia" w:ascii="宋体" w:hAnsi="宋体" w:eastAsia="宋体" w:cs="宋体"/>
          <w:sz w:val="24"/>
          <w:szCs w:val="24"/>
          <w:highlight w:val="none"/>
          <w:vertAlign w:val="baseline"/>
          <w:lang w:val="en-US" w:eastAsia="zh-CN"/>
        </w:rPr>
        <w:t>/min；</w:t>
      </w:r>
    </w:p>
    <w:p w14:paraId="73983627">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vertAlign w:val="baseline"/>
          <w:lang w:val="en-US" w:eastAsia="zh-CN"/>
        </w:rPr>
        <w:t>风扇应配备变频功能，且能够对风量进行连续调节；</w:t>
      </w:r>
    </w:p>
    <w:p w14:paraId="16B2271F">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风扇应能够按照实际使用需要，调整安装固定位置及出风口方向。</w:t>
      </w:r>
    </w:p>
    <w:p w14:paraId="38D572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 附加功能（兼顾变速器产品的测试）</w:t>
      </w:r>
    </w:p>
    <w:p w14:paraId="499F07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color w:val="auto"/>
          <w:sz w:val="24"/>
          <w:highlight w:val="none"/>
          <w:lang w:val="en-US" w:eastAsia="zh-CN" w:bidi="ar"/>
        </w:rPr>
        <w:t xml:space="preserve">2.12.1 </w:t>
      </w:r>
      <w:r>
        <w:rPr>
          <w:rFonts w:hint="eastAsia" w:ascii="宋体" w:hAnsi="宋体" w:eastAsia="宋体" w:cs="宋体"/>
          <w:sz w:val="24"/>
          <w:szCs w:val="24"/>
          <w:highlight w:val="none"/>
          <w:lang w:val="en-US" w:eastAsia="zh-CN"/>
        </w:rPr>
        <w:t>应覆盖的产品规格</w:t>
      </w:r>
    </w:p>
    <w:p w14:paraId="176333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变速器总成:长度为600mm～1500mm，宽度约为700mm、重量约为550kg。</w:t>
      </w:r>
    </w:p>
    <w:p w14:paraId="63F100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2.12.2 测功机系统应可用于变速器的输入、输出。系统整体设计应灵活、通用，满足电驱桥和变速器测试功能的便利切换。</w:t>
      </w:r>
    </w:p>
    <w:p w14:paraId="27A01FA8">
      <w:pPr>
        <w:keepNext w:val="0"/>
        <w:keepLines w:val="0"/>
        <w:pageBreakBefore w:val="0"/>
        <w:widowControl w:val="0"/>
        <w:kinsoku/>
        <w:wordWrap/>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bidi="ar"/>
        </w:rPr>
      </w:pPr>
      <w:r>
        <w:rPr>
          <w:rFonts w:hint="eastAsia" w:ascii="宋体" w:hAnsi="宋体" w:eastAsia="宋体" w:cs="宋体"/>
          <w:color w:val="auto"/>
          <w:sz w:val="24"/>
          <w:highlight w:val="none"/>
          <w:lang w:val="en-US" w:eastAsia="zh-CN" w:bidi="ar"/>
        </w:rPr>
        <w:t>2.12.3 测功机系统应可满足变速器</w:t>
      </w:r>
      <w:r>
        <w:rPr>
          <w:rFonts w:hint="eastAsia" w:ascii="宋体" w:hAnsi="宋体" w:eastAsia="宋体" w:cs="宋体"/>
          <w:sz w:val="24"/>
          <w:szCs w:val="24"/>
          <w:highlight w:val="none"/>
          <w:lang w:val="en-US" w:eastAsia="zh-CN"/>
        </w:rPr>
        <w:t>测试需求</w:t>
      </w:r>
    </w:p>
    <w:p w14:paraId="19967761">
      <w:pPr>
        <w:keepNext w:val="0"/>
        <w:keepLines w:val="0"/>
        <w:pageBreakBefore w:val="0"/>
        <w:widowControl w:val="0"/>
        <w:numPr>
          <w:ilvl w:val="0"/>
          <w:numId w:val="10"/>
        </w:numPr>
        <w:kinsoku/>
        <w:wordWrap/>
        <w:overflowPunct/>
        <w:topLinePunct w:val="0"/>
        <w:autoSpaceDE w:val="0"/>
        <w:autoSpaceDN/>
        <w:bidi w:val="0"/>
        <w:adjustRightInd/>
        <w:snapToGrid/>
        <w:spacing w:line="360" w:lineRule="auto"/>
        <w:ind w:left="840" w:leftChars="200" w:hanging="420" w:firstLineChars="0"/>
        <w:textAlignment w:val="auto"/>
        <w:rPr>
          <w:rFonts w:hint="default" w:ascii="宋体" w:hAnsi="宋体" w:eastAsia="宋体" w:cs="宋体"/>
          <w:color w:val="auto"/>
          <w:sz w:val="24"/>
          <w:highlight w:val="none"/>
          <w:lang w:val="en-US" w:eastAsia="zh-CN" w:bidi="ar"/>
        </w:rPr>
      </w:pPr>
      <w:r>
        <w:rPr>
          <w:rFonts w:hint="eastAsia" w:ascii="宋体" w:hAnsi="宋体" w:eastAsia="宋体" w:cs="宋体"/>
          <w:color w:val="auto"/>
          <w:sz w:val="24"/>
          <w:highlight w:val="none"/>
          <w:lang w:val="en-US" w:eastAsia="zh-CN" w:bidi="ar"/>
        </w:rPr>
        <w:t>连续输入扭矩0～4000Nm，连续输入转速0～4000r/min，输入扭矩在4000Nm时输入转速不低于1500r/min；</w:t>
      </w:r>
    </w:p>
    <w:p w14:paraId="3F39530F">
      <w:pPr>
        <w:keepNext w:val="0"/>
        <w:keepLines w:val="0"/>
        <w:pageBreakBefore w:val="0"/>
        <w:widowControl w:val="0"/>
        <w:numPr>
          <w:ilvl w:val="0"/>
          <w:numId w:val="10"/>
        </w:numPr>
        <w:kinsoku/>
        <w:wordWrap/>
        <w:overflowPunct/>
        <w:topLinePunct w:val="0"/>
        <w:autoSpaceDE w:val="0"/>
        <w:autoSpaceDN/>
        <w:bidi w:val="0"/>
        <w:adjustRightInd/>
        <w:snapToGrid/>
        <w:spacing w:line="360" w:lineRule="auto"/>
        <w:ind w:left="840" w:leftChars="200" w:hanging="420" w:firstLineChars="0"/>
        <w:textAlignment w:val="auto"/>
        <w:rPr>
          <w:rFonts w:hint="default" w:ascii="宋体" w:hAnsi="宋体" w:eastAsia="宋体" w:cs="宋体"/>
          <w:color w:val="auto"/>
          <w:sz w:val="24"/>
          <w:highlight w:val="none"/>
          <w:lang w:val="en-US" w:eastAsia="zh-CN" w:bidi="ar"/>
        </w:rPr>
      </w:pPr>
      <w:r>
        <w:rPr>
          <w:rFonts w:hint="eastAsia" w:ascii="宋体" w:hAnsi="宋体" w:eastAsia="宋体" w:cs="宋体"/>
          <w:color w:val="auto"/>
          <w:sz w:val="24"/>
          <w:highlight w:val="none"/>
          <w:lang w:val="en-US" w:eastAsia="zh-CN" w:bidi="ar"/>
        </w:rPr>
        <w:t>连续输出扭矩0～35000Nm，连续输出转速0～650r/min，输出扭矩35000Nm时输出转速不低于200r/min；</w:t>
      </w:r>
    </w:p>
    <w:p w14:paraId="593CF044">
      <w:pPr>
        <w:keepNext w:val="0"/>
        <w:keepLines w:val="0"/>
        <w:pageBreakBefore w:val="0"/>
        <w:widowControl w:val="0"/>
        <w:numPr>
          <w:ilvl w:val="0"/>
          <w:numId w:val="10"/>
        </w:numPr>
        <w:kinsoku/>
        <w:wordWrap/>
        <w:overflowPunct/>
        <w:topLinePunct w:val="0"/>
        <w:autoSpaceDE w:val="0"/>
        <w:autoSpaceDN/>
        <w:bidi w:val="0"/>
        <w:adjustRightInd/>
        <w:snapToGrid/>
        <w:spacing w:line="360" w:lineRule="auto"/>
        <w:ind w:left="840" w:leftChars="200" w:hanging="420" w:firstLineChars="0"/>
        <w:textAlignment w:val="auto"/>
        <w:rPr>
          <w:rFonts w:hint="default" w:ascii="宋体" w:hAnsi="宋体" w:eastAsia="宋体" w:cs="宋体"/>
          <w:color w:val="auto"/>
          <w:sz w:val="24"/>
          <w:highlight w:val="none"/>
          <w:lang w:val="en-US" w:eastAsia="zh-CN" w:bidi="ar"/>
        </w:rPr>
      </w:pPr>
      <w:r>
        <w:rPr>
          <w:rFonts w:hint="eastAsia" w:ascii="宋体" w:hAnsi="宋体" w:eastAsia="宋体" w:cs="宋体"/>
          <w:color w:val="auto"/>
          <w:sz w:val="24"/>
          <w:highlight w:val="none"/>
          <w:lang w:val="en-US" w:eastAsia="zh-CN" w:bidi="ar"/>
        </w:rPr>
        <w:t>输出转速应不低于4000r/min。</w:t>
      </w:r>
    </w:p>
    <w:p w14:paraId="0F2DED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2.12.4 测功机系统应可支持中央驱动类变速器产品（电驱动单元+变速箱）测试。</w:t>
      </w:r>
    </w:p>
    <w:p w14:paraId="5E579D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2.12.5 控制系统</w:t>
      </w:r>
    </w:p>
    <w:p w14:paraId="0FA7290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控制系统应可编译变速器在实车运行环境中的通讯交互环境；</w:t>
      </w:r>
    </w:p>
    <w:p w14:paraId="0DCB3A2B">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控制系统应满足变速器可靠性试验、效率试验、温升试验；</w:t>
      </w:r>
    </w:p>
    <w:p w14:paraId="1CF72E2C">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控制系统应可实现与变速器电控单元（TCU）的通讯；</w:t>
      </w:r>
    </w:p>
    <w:p w14:paraId="1F305BEC">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控制系统应满足中央驱动类变速器产品（电驱动单元+变速箱）的测试功能。</w:t>
      </w:r>
    </w:p>
    <w:p w14:paraId="76458A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 监控系统</w:t>
      </w:r>
    </w:p>
    <w:p w14:paraId="38CF96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2.13.1 试验台应配备带有云台控制的监控系统。</w:t>
      </w:r>
    </w:p>
    <w:p w14:paraId="7B2923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2.13.2 摄像头数量应不少于6个。</w:t>
      </w:r>
    </w:p>
    <w:p w14:paraId="7A42F1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2.13.3 录像保存时间不低于一个月。</w:t>
      </w:r>
    </w:p>
    <w:p w14:paraId="734653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2.14 工装夹具</w:t>
      </w:r>
    </w:p>
    <w:p w14:paraId="4435C3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2.14.1 试验台工装夹具设计应满足2.1、2.12.1规格产品的安装与固定。</w:t>
      </w:r>
    </w:p>
    <w:p w14:paraId="6B0FCD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2.14.2 试验台工装夹具应可满足中央驱动类变速器产品（电驱动单元+变速箱）安装与固定。</w:t>
      </w:r>
    </w:p>
    <w:p w14:paraId="01398A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2.14.3 试验台工装夹具应安装、拆卸便利且操作方便易行。</w:t>
      </w:r>
    </w:p>
    <w:p w14:paraId="250A4A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 油、水、电、气工作界面及现场安装要求</w:t>
      </w:r>
    </w:p>
    <w:p w14:paraId="266BA2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2.15.1 试验台应配备试验室供水法兰端面接口至设备端之间所用管路。</w:t>
      </w:r>
    </w:p>
    <w:p w14:paraId="3DA47B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2.15.2 试验台应配备试验室供气点至设备之间所用压缩空气管路。</w:t>
      </w:r>
    </w:p>
    <w:p w14:paraId="30F1A3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2.15.3 试验台应配备试验室配电柜到设备之间所用电缆。</w:t>
      </w:r>
    </w:p>
    <w:p w14:paraId="7E54DB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2.15.4 试验台应配备电池模拟器至功率分析仪之间所用电缆。</w:t>
      </w:r>
    </w:p>
    <w:p w14:paraId="1E988B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2.15.5 试验台应配备温控系统与被测样件之间所用管路、接口转接件。</w:t>
      </w:r>
    </w:p>
    <w:p w14:paraId="50E73A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2.15.6 在试验室现场安装条件下，所有与试验台现场安装相关的其他基础建设工作所需的材料、施工，均应由卖方负责，买方确认；</w:t>
      </w:r>
      <w:r>
        <w:rPr>
          <w:rFonts w:hint="eastAsia" w:ascii="宋体" w:hAnsi="宋体" w:eastAsia="宋体" w:cs="宋体"/>
          <w:strike w:val="0"/>
          <w:dstrike w:val="0"/>
          <w:color w:val="auto"/>
          <w:sz w:val="24"/>
          <w:szCs w:val="24"/>
          <w:highlight w:val="none"/>
          <w:lang w:val="en-US" w:eastAsia="zh-CN"/>
        </w:rPr>
        <w:t>其他需买方提供的基础设施要求，应需及时与买方进行沟通。</w:t>
      </w:r>
    </w:p>
    <w:p w14:paraId="62BCBE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2.16 对故障的响应</w:t>
      </w:r>
    </w:p>
    <w:p w14:paraId="69EBEE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验过程中，当出现传感器失效或过载，以及机械、电气系统故障等情况，程序可识别并给出提示，同时自动停机。如果通过程序人为退出或由于硬件故障退出试验过程，程序应自动记录当前试验状况及系统状况，故障修复后试验可以继续运行。</w:t>
      </w:r>
    </w:p>
    <w:p w14:paraId="6424FB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2.17 设备运行过程中应不受外部电网环境影响，且不对外部电网产生影响。</w:t>
      </w:r>
    </w:p>
    <w:p w14:paraId="17A87D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3.设计使用寿命</w:t>
      </w:r>
    </w:p>
    <w:p w14:paraId="22C758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按全年工作365天、两班制、设备年时基数4380小时计，设计使用寿命不少于十周年。</w:t>
      </w:r>
    </w:p>
    <w:p w14:paraId="4EA325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4.主要设备、零部件、元器件的选用和配置要求</w:t>
      </w:r>
    </w:p>
    <w:p w14:paraId="0D50D0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 电气系统</w:t>
      </w:r>
    </w:p>
    <w:p w14:paraId="3F3BE8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4.1.1 防护等级：电气柜、按钮箱、分线盒等防护等级IP65，台架上的电器防护等级IP67。</w:t>
      </w:r>
    </w:p>
    <w:p w14:paraId="2349AB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4.1.2 电气柜：独立落地型，散热及时，带照明和维修电源插座。</w:t>
      </w:r>
    </w:p>
    <w:p w14:paraId="475BFE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4.1.3 所有元件和管线必须有标识，走管、走线应整洁、规范，维修方便。</w:t>
      </w:r>
    </w:p>
    <w:p w14:paraId="74B06B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4.1.4 卖方推荐、提供详细的选用配置表，买方确认。</w:t>
      </w:r>
    </w:p>
    <w:p w14:paraId="72B902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 电器元件</w:t>
      </w:r>
    </w:p>
    <w:p w14:paraId="219918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4.2.1  控制系统采用国际知名品牌产品。</w:t>
      </w:r>
    </w:p>
    <w:p w14:paraId="7B11F6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4.2.2  低压元件采用国际知名品牌产品。</w:t>
      </w:r>
    </w:p>
    <w:p w14:paraId="308FC3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4.2.3  卖方推荐、提供详细的选用配置表，买方确认。</w:t>
      </w:r>
    </w:p>
    <w:p w14:paraId="7EABEF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4.3 气动、液压元器件</w:t>
      </w:r>
    </w:p>
    <w:p w14:paraId="074729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4.3.1 气动元件采用国际知名品牌产品产品。</w:t>
      </w:r>
    </w:p>
    <w:p w14:paraId="54F254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4.3.2 液压元器件采用国际知名品牌产品。</w:t>
      </w:r>
    </w:p>
    <w:p w14:paraId="735BEB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4.3.3 卖方推荐、提供详细的选用配置表，买方确认。</w:t>
      </w:r>
    </w:p>
    <w:p w14:paraId="3977F7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5.自动化、数控化以及仪器仪表要求</w:t>
      </w:r>
    </w:p>
    <w:p w14:paraId="530955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采用国际知名品牌产品，卖方推荐、提供详细的选用配置表，买方确认。</w:t>
      </w:r>
    </w:p>
    <w:p w14:paraId="5EBD70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6.材料选用及其材料处理要求</w:t>
      </w:r>
    </w:p>
    <w:p w14:paraId="3C98B6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满足防锈、防腐的要求（耐汽车用燃油、机油、制动液等），卖方推荐、提供详细的选用配置表，买方确认。</w:t>
      </w:r>
    </w:p>
    <w:p w14:paraId="67C540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7.结构要求</w:t>
      </w:r>
    </w:p>
    <w:p w14:paraId="7C4176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布局简洁，配有易于搬运的吊具。</w:t>
      </w:r>
    </w:p>
    <w:p w14:paraId="6C0273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8.保养、维修、使用方便性要求</w:t>
      </w:r>
    </w:p>
    <w:p w14:paraId="17BD12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卖方提供保养、维修、使用的说明，买方确认。</w:t>
      </w:r>
    </w:p>
    <w:p w14:paraId="49B8BA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9.安全防护、环境保护、节能要求</w:t>
      </w:r>
    </w:p>
    <w:p w14:paraId="76C8A6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必须符合中国有关标准要求。</w:t>
      </w:r>
    </w:p>
    <w:p w14:paraId="3983AB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10.其它配套供货要求</w:t>
      </w:r>
    </w:p>
    <w:p w14:paraId="4072D2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配套采购的工装、夹具、量具，必要的吊具、挂具等，卖方提供，买方确认。提供易损易坏备件清单及必要数量的备件。</w:t>
      </w:r>
    </w:p>
    <w:p w14:paraId="2E80EA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11.其它要求</w:t>
      </w:r>
    </w:p>
    <w:p w14:paraId="13B696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设备及设备所含测量元件必须经过省级或省级以上计量单位计量认证。</w:t>
      </w:r>
    </w:p>
    <w:p w14:paraId="2F736111">
      <w:pPr>
        <w:pStyle w:val="121"/>
        <w:spacing w:line="360" w:lineRule="auto"/>
        <w:outlineLvl w:val="2"/>
        <w:rPr>
          <w:rFonts w:hint="eastAsia" w:ascii="宋体" w:hAnsi="宋体" w:cs="宋体"/>
          <w:color w:val="auto"/>
          <w:highlight w:val="none"/>
        </w:rPr>
      </w:pPr>
      <w:r>
        <w:rPr>
          <w:rFonts w:hint="eastAsia" w:ascii="宋体" w:hAnsi="宋体" w:cs="宋体"/>
          <w:color w:val="auto"/>
          <w:highlight w:val="none"/>
        </w:rPr>
        <w:t>四、执行标准</w:t>
      </w:r>
    </w:p>
    <w:p w14:paraId="62E4000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此处所列标准仅为涉及的主要标准，而且不保证其为最新版执行标准；</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应当在投标文件中认真予以填写、补充和修改完善。</w:t>
      </w:r>
    </w:p>
    <w:p w14:paraId="2297DA7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需要执行的标准，应当采用所供货物通过买方组织的最终验收之日已经开始执行的最新标准。</w:t>
      </w:r>
    </w:p>
    <w:p w14:paraId="4B11D9A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采购货物的产品质量、技术标准如在招投标文件中无相应说明，则按中华人民共和国有关部门颁发的最新的国标或专业（部）标准执行及相应的国际标准。</w:t>
      </w:r>
    </w:p>
    <w:p w14:paraId="5C99D23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采购货物没有国家或专业（部）标准的，按企业标准执行时，</w:t>
      </w:r>
      <w:r>
        <w:rPr>
          <w:rFonts w:hint="eastAsia" w:ascii="宋体" w:hAnsi="宋体" w:eastAsia="宋体" w:cs="宋体"/>
          <w:sz w:val="24"/>
          <w:szCs w:val="24"/>
          <w:highlight w:val="none"/>
          <w:lang w:eastAsia="zh-CN"/>
        </w:rPr>
        <w:t>卖方</w:t>
      </w:r>
      <w:r>
        <w:rPr>
          <w:rFonts w:hint="eastAsia" w:ascii="宋体" w:hAnsi="宋体" w:eastAsia="宋体" w:cs="宋体"/>
          <w:sz w:val="24"/>
          <w:szCs w:val="24"/>
          <w:highlight w:val="none"/>
        </w:rPr>
        <w:t>应在合同签署之前，将所涉及的企业标准提供给买方确认。</w:t>
      </w:r>
    </w:p>
    <w:p w14:paraId="48A8BAE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采购货物如果采用国际标准，其执行标准由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提供、</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确认。</w:t>
      </w:r>
    </w:p>
    <w:p w14:paraId="5E9F697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采购货物所涉及的标准不统一时，原则上按照最严格标准执行。</w:t>
      </w:r>
    </w:p>
    <w:p w14:paraId="747164D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涉及的主要标准表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353"/>
        <w:gridCol w:w="2724"/>
        <w:gridCol w:w="1098"/>
      </w:tblGrid>
      <w:tr w14:paraId="6326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374869BA">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4353" w:type="dxa"/>
            <w:noWrap w:val="0"/>
            <w:vAlign w:val="center"/>
          </w:tcPr>
          <w:p w14:paraId="6459ED48">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标准名称</w:t>
            </w:r>
          </w:p>
        </w:tc>
        <w:tc>
          <w:tcPr>
            <w:tcW w:w="2724" w:type="dxa"/>
            <w:noWrap w:val="0"/>
            <w:vAlign w:val="center"/>
          </w:tcPr>
          <w:p w14:paraId="63A96CD4">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标准编号</w:t>
            </w:r>
          </w:p>
        </w:tc>
        <w:tc>
          <w:tcPr>
            <w:tcW w:w="1098" w:type="dxa"/>
            <w:noWrap w:val="0"/>
            <w:vAlign w:val="center"/>
          </w:tcPr>
          <w:p w14:paraId="70C5772E">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w:t>
            </w:r>
          </w:p>
        </w:tc>
      </w:tr>
      <w:tr w14:paraId="71C9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28" w:type="dxa"/>
            <w:noWrap w:val="0"/>
            <w:vAlign w:val="center"/>
          </w:tcPr>
          <w:p w14:paraId="4C5E71FA">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4353" w:type="dxa"/>
            <w:noWrap w:val="0"/>
            <w:vAlign w:val="center"/>
          </w:tcPr>
          <w:p w14:paraId="1854AC93">
            <w:pPr>
              <w:spacing w:line="240" w:lineRule="auto"/>
              <w:jc w:val="left"/>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两挡电驱桥总成</w:t>
            </w:r>
          </w:p>
        </w:tc>
        <w:tc>
          <w:tcPr>
            <w:tcW w:w="2724" w:type="dxa"/>
            <w:noWrap w:val="0"/>
            <w:vAlign w:val="center"/>
          </w:tcPr>
          <w:p w14:paraId="0D4BDFA2">
            <w:pPr>
              <w:spacing w:line="240" w:lineRule="auto"/>
              <w:jc w:val="center"/>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Q/ZZ 12005-2025</w:t>
            </w:r>
          </w:p>
        </w:tc>
        <w:tc>
          <w:tcPr>
            <w:tcW w:w="1098" w:type="dxa"/>
            <w:noWrap w:val="0"/>
            <w:vAlign w:val="center"/>
          </w:tcPr>
          <w:p w14:paraId="3D3E93B2">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r w14:paraId="4E90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28" w:type="dxa"/>
            <w:noWrap w:val="0"/>
            <w:vAlign w:val="center"/>
          </w:tcPr>
          <w:p w14:paraId="71BFB465">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4353" w:type="dxa"/>
            <w:noWrap w:val="0"/>
            <w:vAlign w:val="center"/>
          </w:tcPr>
          <w:p w14:paraId="69AA0A71">
            <w:pPr>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汽车机械式变速器总成技术条件及台架试验方法</w:t>
            </w:r>
          </w:p>
        </w:tc>
        <w:tc>
          <w:tcPr>
            <w:tcW w:w="2724" w:type="dxa"/>
            <w:noWrap w:val="0"/>
            <w:vAlign w:val="center"/>
          </w:tcPr>
          <w:p w14:paraId="158F9E4B">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QC/T 568—2019</w:t>
            </w:r>
          </w:p>
        </w:tc>
        <w:tc>
          <w:tcPr>
            <w:tcW w:w="1098" w:type="dxa"/>
            <w:noWrap w:val="0"/>
            <w:vAlign w:val="center"/>
          </w:tcPr>
          <w:p w14:paraId="703151BB">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r w14:paraId="696C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28" w:type="dxa"/>
            <w:noWrap w:val="0"/>
            <w:vAlign w:val="center"/>
          </w:tcPr>
          <w:p w14:paraId="70058D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4353" w:type="dxa"/>
            <w:noWrap w:val="0"/>
            <w:vAlign w:val="center"/>
          </w:tcPr>
          <w:p w14:paraId="51F51B1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highlight w:val="none"/>
                <w:lang w:val="en-US" w:eastAsia="zh-CN"/>
              </w:rPr>
            </w:pPr>
            <w:r>
              <w:rPr>
                <w:rFonts w:ascii="宋体" w:hAnsi="宋体" w:eastAsia="宋体" w:cs="宋体"/>
                <w:sz w:val="24"/>
                <w:szCs w:val="24"/>
                <w:highlight w:val="none"/>
              </w:rPr>
              <w:t>中重型汽车机械式变速器总成</w:t>
            </w:r>
          </w:p>
        </w:tc>
        <w:tc>
          <w:tcPr>
            <w:tcW w:w="2724" w:type="dxa"/>
            <w:noWrap w:val="0"/>
            <w:vAlign w:val="center"/>
          </w:tcPr>
          <w:p w14:paraId="434DFA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r>
              <w:rPr>
                <w:rFonts w:ascii="宋体" w:hAnsi="宋体" w:eastAsia="宋体" w:cs="宋体"/>
                <w:sz w:val="24"/>
                <w:szCs w:val="24"/>
                <w:highlight w:val="none"/>
              </w:rPr>
              <w:t>Q/ZZ 11630-2024</w:t>
            </w:r>
          </w:p>
        </w:tc>
        <w:tc>
          <w:tcPr>
            <w:tcW w:w="1098" w:type="dxa"/>
            <w:noWrap w:val="0"/>
            <w:vAlign w:val="center"/>
          </w:tcPr>
          <w:p w14:paraId="6FD78D11">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r w14:paraId="2737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28" w:type="dxa"/>
            <w:noWrap w:val="0"/>
            <w:vAlign w:val="center"/>
          </w:tcPr>
          <w:p w14:paraId="3B3C7D85">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4353" w:type="dxa"/>
            <w:noWrap w:val="0"/>
            <w:vAlign w:val="center"/>
          </w:tcPr>
          <w:p w14:paraId="6C31E940">
            <w:pPr>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工业企业厂界环境噪声排放标准</w:t>
            </w:r>
          </w:p>
        </w:tc>
        <w:tc>
          <w:tcPr>
            <w:tcW w:w="2724" w:type="dxa"/>
            <w:noWrap w:val="0"/>
            <w:vAlign w:val="center"/>
          </w:tcPr>
          <w:p w14:paraId="5BEB2EFA">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GB 12348-2008</w:t>
            </w:r>
          </w:p>
        </w:tc>
        <w:tc>
          <w:tcPr>
            <w:tcW w:w="1098" w:type="dxa"/>
            <w:noWrap w:val="0"/>
            <w:vAlign w:val="center"/>
          </w:tcPr>
          <w:p w14:paraId="4BB796A3">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bl>
    <w:p w14:paraId="7B277F54">
      <w:pPr>
        <w:rPr>
          <w:rFonts w:hint="eastAsia" w:ascii="Calibri" w:hAnsi="Calibri" w:eastAsia="宋体" w:cs="Times New Roman"/>
          <w:b/>
          <w:bCs/>
          <w:color w:val="000000" w:themeColor="text1"/>
          <w:kern w:val="44"/>
          <w:sz w:val="28"/>
          <w:szCs w:val="28"/>
          <w14:textFill>
            <w14:solidFill>
              <w14:schemeClr w14:val="tx1"/>
            </w14:solidFill>
          </w14:textFill>
        </w:rPr>
      </w:pPr>
      <w:bookmarkStart w:id="32" w:name="_Toc169605881"/>
      <w:r>
        <w:rPr>
          <w:rFonts w:hint="eastAsia" w:ascii="Calibri" w:hAnsi="Calibri" w:eastAsia="宋体" w:cs="Times New Roman"/>
          <w:b/>
          <w:bCs/>
          <w:color w:val="000000" w:themeColor="text1"/>
          <w:kern w:val="44"/>
          <w:sz w:val="28"/>
          <w:szCs w:val="28"/>
          <w14:textFill>
            <w14:solidFill>
              <w14:schemeClr w14:val="tx1"/>
            </w14:solidFill>
          </w14:textFill>
        </w:rPr>
        <w:br w:type="page"/>
      </w:r>
    </w:p>
    <w:p w14:paraId="298C1E41">
      <w:pPr>
        <w:keepNext/>
        <w:keepLines/>
        <w:jc w:val="center"/>
        <w:outlineLvl w:val="1"/>
        <w:rPr>
          <w:rFonts w:ascii="Calibri" w:hAnsi="Calibri" w:eastAsia="宋体" w:cs="Times New Roman"/>
          <w:b/>
          <w:bCs/>
          <w:color w:val="000000" w:themeColor="text1"/>
          <w:kern w:val="44"/>
          <w:sz w:val="28"/>
          <w:szCs w:val="28"/>
          <w14:textFill>
            <w14:solidFill>
              <w14:schemeClr w14:val="tx1"/>
            </w14:solidFill>
          </w14:textFill>
        </w:rPr>
      </w:pPr>
      <w:r>
        <w:rPr>
          <w:rFonts w:hint="eastAsia" w:ascii="Calibri" w:hAnsi="Calibri" w:eastAsia="宋体" w:cs="Times New Roman"/>
          <w:b/>
          <w:bCs/>
          <w:color w:val="000000" w:themeColor="text1"/>
          <w:kern w:val="44"/>
          <w:sz w:val="28"/>
          <w:szCs w:val="28"/>
          <w14:textFill>
            <w14:solidFill>
              <w14:schemeClr w14:val="tx1"/>
            </w14:solidFill>
          </w14:textFill>
        </w:rPr>
        <w:t>第三章</w:t>
      </w:r>
      <w:r>
        <w:rPr>
          <w:rFonts w:ascii="Calibri" w:hAnsi="Calibri" w:eastAsia="宋体" w:cs="Times New Roman"/>
          <w:b/>
          <w:bCs/>
          <w:color w:val="000000" w:themeColor="text1"/>
          <w:kern w:val="44"/>
          <w:sz w:val="28"/>
          <w:szCs w:val="28"/>
          <w14:textFill>
            <w14:solidFill>
              <w14:schemeClr w14:val="tx1"/>
            </w14:solidFill>
          </w14:textFill>
        </w:rPr>
        <w:t xml:space="preserve">  </w:t>
      </w:r>
      <w:r>
        <w:rPr>
          <w:rFonts w:hint="eastAsia" w:ascii="Calibri" w:hAnsi="Calibri" w:eastAsia="宋体" w:cs="Times New Roman"/>
          <w:b/>
          <w:bCs/>
          <w:color w:val="000000" w:themeColor="text1"/>
          <w:kern w:val="44"/>
          <w:sz w:val="28"/>
          <w:szCs w:val="28"/>
          <w14:textFill>
            <w14:solidFill>
              <w14:schemeClr w14:val="tx1"/>
            </w14:solidFill>
          </w14:textFill>
        </w:rPr>
        <w:t>供货范围及供货方式</w:t>
      </w:r>
      <w:bookmarkEnd w:id="32"/>
    </w:p>
    <w:p w14:paraId="7C97F2D6">
      <w:pPr>
        <w:rPr>
          <w:color w:val="000000" w:themeColor="text1"/>
          <w14:textFill>
            <w14:solidFill>
              <w14:schemeClr w14:val="tx1"/>
            </w14:solidFill>
          </w14:textFill>
        </w:rPr>
      </w:pPr>
    </w:p>
    <w:p w14:paraId="336A3D5E">
      <w:pPr>
        <w:keepNext/>
        <w:keepLines/>
        <w:spacing w:line="360" w:lineRule="auto"/>
        <w:jc w:val="center"/>
        <w:outlineLvl w:val="2"/>
        <w:rPr>
          <w:rFonts w:ascii="宋体" w:hAnsi="宋体" w:eastAsia="宋体" w:cs="宋体"/>
          <w:b/>
          <w:bCs/>
          <w:color w:val="000000" w:themeColor="text1"/>
          <w:sz w:val="24"/>
          <w:szCs w:val="32"/>
          <w14:textFill>
            <w14:solidFill>
              <w14:schemeClr w14:val="tx1"/>
            </w14:solidFill>
          </w14:textFill>
        </w:rPr>
      </w:pPr>
      <w:bookmarkStart w:id="33" w:name="_Toc169605882"/>
      <w:r>
        <w:rPr>
          <w:rFonts w:hint="eastAsia" w:ascii="宋体" w:hAnsi="宋体" w:eastAsia="宋体" w:cs="宋体"/>
          <w:b/>
          <w:bCs/>
          <w:color w:val="000000" w:themeColor="text1"/>
          <w:sz w:val="24"/>
          <w:szCs w:val="32"/>
          <w14:textFill>
            <w14:solidFill>
              <w14:schemeClr w14:val="tx1"/>
            </w14:solidFill>
          </w14:textFill>
        </w:rPr>
        <w:t>第一节  供货范围</w:t>
      </w:r>
      <w:bookmarkEnd w:id="33"/>
    </w:p>
    <w:p w14:paraId="5542EF80">
      <w:pPr>
        <w:spacing w:line="420" w:lineRule="exact"/>
        <w:ind w:firstLine="482" w:firstLineChars="200"/>
        <w:outlineLvl w:val="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一、供货范围（按照组成项目主要构成一览表的所有最小单元逐一列示，要涵盖培训等内容）</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3814"/>
        <w:gridCol w:w="1681"/>
        <w:gridCol w:w="1566"/>
      </w:tblGrid>
      <w:tr w14:paraId="15EA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1" w:type="dxa"/>
            <w:vAlign w:val="center"/>
          </w:tcPr>
          <w:p w14:paraId="285A57F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序号</w:t>
            </w:r>
          </w:p>
        </w:tc>
        <w:tc>
          <w:tcPr>
            <w:tcW w:w="3814" w:type="dxa"/>
            <w:vAlign w:val="center"/>
          </w:tcPr>
          <w:p w14:paraId="05444A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名称</w:t>
            </w:r>
          </w:p>
        </w:tc>
        <w:tc>
          <w:tcPr>
            <w:tcW w:w="1681" w:type="dxa"/>
            <w:vAlign w:val="center"/>
          </w:tcPr>
          <w:p w14:paraId="540FE2A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单位</w:t>
            </w:r>
          </w:p>
        </w:tc>
        <w:tc>
          <w:tcPr>
            <w:tcW w:w="1566" w:type="dxa"/>
            <w:vAlign w:val="center"/>
          </w:tcPr>
          <w:p w14:paraId="163185C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数量</w:t>
            </w:r>
          </w:p>
        </w:tc>
      </w:tr>
      <w:tr w14:paraId="7EC4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1" w:type="dxa"/>
            <w:vAlign w:val="center"/>
          </w:tcPr>
          <w:p w14:paraId="5DC9F37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w:t>
            </w:r>
          </w:p>
        </w:tc>
        <w:tc>
          <w:tcPr>
            <w:tcW w:w="3814" w:type="dxa"/>
            <w:vAlign w:val="center"/>
          </w:tcPr>
          <w:p w14:paraId="7EA7DB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测功机</w:t>
            </w:r>
          </w:p>
        </w:tc>
        <w:tc>
          <w:tcPr>
            <w:tcW w:w="1681" w:type="dxa"/>
            <w:vAlign w:val="center"/>
          </w:tcPr>
          <w:p w14:paraId="44F6ED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套</w:t>
            </w:r>
          </w:p>
        </w:tc>
        <w:tc>
          <w:tcPr>
            <w:tcW w:w="1566" w:type="dxa"/>
            <w:vAlign w:val="center"/>
          </w:tcPr>
          <w:p w14:paraId="0D51B6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w:t>
            </w:r>
          </w:p>
        </w:tc>
      </w:tr>
      <w:tr w14:paraId="49A1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1" w:type="dxa"/>
            <w:vAlign w:val="center"/>
          </w:tcPr>
          <w:p w14:paraId="3BF427F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2</w:t>
            </w:r>
          </w:p>
        </w:tc>
        <w:tc>
          <w:tcPr>
            <w:tcW w:w="3814" w:type="dxa"/>
            <w:vAlign w:val="center"/>
          </w:tcPr>
          <w:p w14:paraId="4A0A1A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变频器</w:t>
            </w:r>
          </w:p>
        </w:tc>
        <w:tc>
          <w:tcPr>
            <w:tcW w:w="1681" w:type="dxa"/>
            <w:vAlign w:val="center"/>
          </w:tcPr>
          <w:p w14:paraId="4485AC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套</w:t>
            </w:r>
          </w:p>
        </w:tc>
        <w:tc>
          <w:tcPr>
            <w:tcW w:w="1566" w:type="dxa"/>
            <w:vAlign w:val="center"/>
          </w:tcPr>
          <w:p w14:paraId="3E95B9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w:t>
            </w:r>
          </w:p>
        </w:tc>
      </w:tr>
      <w:tr w14:paraId="2138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1" w:type="dxa"/>
            <w:vAlign w:val="center"/>
          </w:tcPr>
          <w:p w14:paraId="6B8785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3</w:t>
            </w:r>
          </w:p>
        </w:tc>
        <w:tc>
          <w:tcPr>
            <w:tcW w:w="3814" w:type="dxa"/>
            <w:vAlign w:val="center"/>
          </w:tcPr>
          <w:p w14:paraId="13C75C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动态翻转平台</w:t>
            </w:r>
          </w:p>
        </w:tc>
        <w:tc>
          <w:tcPr>
            <w:tcW w:w="1681" w:type="dxa"/>
            <w:vAlign w:val="center"/>
          </w:tcPr>
          <w:p w14:paraId="0EAE4E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套</w:t>
            </w:r>
          </w:p>
        </w:tc>
        <w:tc>
          <w:tcPr>
            <w:tcW w:w="1566" w:type="dxa"/>
            <w:vAlign w:val="center"/>
          </w:tcPr>
          <w:p w14:paraId="22C29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w:t>
            </w:r>
          </w:p>
        </w:tc>
      </w:tr>
      <w:tr w14:paraId="0351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16CABE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4</w:t>
            </w:r>
          </w:p>
        </w:tc>
        <w:tc>
          <w:tcPr>
            <w:tcW w:w="3814" w:type="dxa"/>
            <w:vAlign w:val="center"/>
          </w:tcPr>
          <w:p w14:paraId="519871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电池模拟器</w:t>
            </w:r>
          </w:p>
        </w:tc>
        <w:tc>
          <w:tcPr>
            <w:tcW w:w="1681" w:type="dxa"/>
            <w:vAlign w:val="center"/>
          </w:tcPr>
          <w:p w14:paraId="699C72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kern w:val="2"/>
                <w:sz w:val="24"/>
                <w:szCs w:val="24"/>
                <w:highlight w:val="none"/>
                <w:vertAlign w:val="baseline"/>
                <w:lang w:val="en-US" w:eastAsia="zh-CN" w:bidi="ar-SA"/>
              </w:rPr>
              <w:t>套</w:t>
            </w:r>
          </w:p>
        </w:tc>
        <w:tc>
          <w:tcPr>
            <w:tcW w:w="1566" w:type="dxa"/>
            <w:vAlign w:val="center"/>
          </w:tcPr>
          <w:p w14:paraId="04B47C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kern w:val="2"/>
                <w:sz w:val="24"/>
                <w:szCs w:val="24"/>
                <w:highlight w:val="none"/>
                <w:vertAlign w:val="baseline"/>
                <w:lang w:val="en-US" w:eastAsia="zh-CN" w:bidi="ar-SA"/>
              </w:rPr>
              <w:t>1</w:t>
            </w:r>
          </w:p>
        </w:tc>
      </w:tr>
      <w:tr w14:paraId="25EC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322756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5</w:t>
            </w:r>
          </w:p>
        </w:tc>
        <w:tc>
          <w:tcPr>
            <w:tcW w:w="3814" w:type="dxa"/>
            <w:shd w:val="clear" w:color="auto" w:fill="auto"/>
            <w:vAlign w:val="center"/>
          </w:tcPr>
          <w:p w14:paraId="2EA20F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sz w:val="24"/>
                <w:szCs w:val="24"/>
                <w:highlight w:val="none"/>
                <w:lang w:val="en-US" w:eastAsia="zh-CN"/>
              </w:rPr>
              <w:t>功率分析仪</w:t>
            </w:r>
          </w:p>
        </w:tc>
        <w:tc>
          <w:tcPr>
            <w:tcW w:w="1681" w:type="dxa"/>
            <w:shd w:val="clear" w:color="auto" w:fill="auto"/>
            <w:vAlign w:val="center"/>
          </w:tcPr>
          <w:p w14:paraId="0FC719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kern w:val="2"/>
                <w:sz w:val="24"/>
                <w:szCs w:val="24"/>
                <w:highlight w:val="none"/>
                <w:vertAlign w:val="baseline"/>
                <w:lang w:val="en-US" w:eastAsia="zh-CN" w:bidi="ar-SA"/>
              </w:rPr>
              <w:t>套</w:t>
            </w:r>
          </w:p>
        </w:tc>
        <w:tc>
          <w:tcPr>
            <w:tcW w:w="1566" w:type="dxa"/>
            <w:shd w:val="clear" w:color="auto" w:fill="auto"/>
            <w:vAlign w:val="center"/>
          </w:tcPr>
          <w:p w14:paraId="465296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kern w:val="2"/>
                <w:sz w:val="24"/>
                <w:szCs w:val="24"/>
                <w:highlight w:val="none"/>
                <w:vertAlign w:val="baseline"/>
                <w:lang w:val="en-US" w:eastAsia="zh-CN" w:bidi="ar-SA"/>
              </w:rPr>
              <w:t>1</w:t>
            </w:r>
          </w:p>
        </w:tc>
      </w:tr>
      <w:tr w14:paraId="7F8A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388032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6</w:t>
            </w:r>
          </w:p>
        </w:tc>
        <w:tc>
          <w:tcPr>
            <w:tcW w:w="3814" w:type="dxa"/>
            <w:shd w:val="clear" w:color="auto" w:fill="auto"/>
            <w:vAlign w:val="center"/>
          </w:tcPr>
          <w:p w14:paraId="41B022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控制系统</w:t>
            </w:r>
          </w:p>
        </w:tc>
        <w:tc>
          <w:tcPr>
            <w:tcW w:w="1681" w:type="dxa"/>
            <w:shd w:val="clear" w:color="auto" w:fill="auto"/>
            <w:vAlign w:val="center"/>
          </w:tcPr>
          <w:p w14:paraId="1F7A4E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kern w:val="2"/>
                <w:sz w:val="24"/>
                <w:szCs w:val="24"/>
                <w:highlight w:val="none"/>
                <w:vertAlign w:val="baseline"/>
                <w:lang w:val="en-US" w:eastAsia="zh-CN" w:bidi="ar-SA"/>
              </w:rPr>
              <w:t>套</w:t>
            </w:r>
          </w:p>
        </w:tc>
        <w:tc>
          <w:tcPr>
            <w:tcW w:w="1566" w:type="dxa"/>
            <w:shd w:val="clear" w:color="auto" w:fill="auto"/>
            <w:vAlign w:val="center"/>
          </w:tcPr>
          <w:p w14:paraId="4EF483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1</w:t>
            </w:r>
          </w:p>
        </w:tc>
      </w:tr>
      <w:tr w14:paraId="2222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14C678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7</w:t>
            </w:r>
          </w:p>
        </w:tc>
        <w:tc>
          <w:tcPr>
            <w:tcW w:w="3814" w:type="dxa"/>
            <w:shd w:val="clear" w:color="auto" w:fill="auto"/>
            <w:vAlign w:val="center"/>
          </w:tcPr>
          <w:p w14:paraId="13C107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color w:val="auto"/>
                <w:sz w:val="24"/>
                <w:szCs w:val="24"/>
                <w:highlight w:val="none"/>
                <w:lang w:val="en-US" w:eastAsia="zh-CN"/>
              </w:rPr>
              <w:t>数据采集及信号发生系统</w:t>
            </w:r>
          </w:p>
        </w:tc>
        <w:tc>
          <w:tcPr>
            <w:tcW w:w="1681" w:type="dxa"/>
            <w:shd w:val="clear" w:color="auto" w:fill="auto"/>
            <w:vAlign w:val="center"/>
          </w:tcPr>
          <w:p w14:paraId="0E927D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00B26A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按需提供</w:t>
            </w:r>
          </w:p>
        </w:tc>
      </w:tr>
      <w:tr w14:paraId="0E5B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6A8F8D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8</w:t>
            </w:r>
          </w:p>
        </w:tc>
        <w:tc>
          <w:tcPr>
            <w:tcW w:w="3814" w:type="dxa"/>
            <w:shd w:val="clear" w:color="auto" w:fill="auto"/>
            <w:vAlign w:val="center"/>
          </w:tcPr>
          <w:p w14:paraId="7A4C97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扭矩/转速传感器</w:t>
            </w:r>
          </w:p>
        </w:tc>
        <w:tc>
          <w:tcPr>
            <w:tcW w:w="1681" w:type="dxa"/>
            <w:shd w:val="clear" w:color="auto" w:fill="auto"/>
            <w:vAlign w:val="center"/>
          </w:tcPr>
          <w:p w14:paraId="162EA4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22E9FD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按需提供</w:t>
            </w:r>
          </w:p>
        </w:tc>
      </w:tr>
      <w:tr w14:paraId="2625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64101C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9</w:t>
            </w:r>
          </w:p>
        </w:tc>
        <w:tc>
          <w:tcPr>
            <w:tcW w:w="3814" w:type="dxa"/>
            <w:shd w:val="clear" w:color="auto" w:fill="auto"/>
            <w:vAlign w:val="center"/>
          </w:tcPr>
          <w:p w14:paraId="0D24E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温度传感器</w:t>
            </w:r>
          </w:p>
        </w:tc>
        <w:tc>
          <w:tcPr>
            <w:tcW w:w="1681" w:type="dxa"/>
            <w:shd w:val="clear" w:color="auto" w:fill="auto"/>
            <w:vAlign w:val="center"/>
          </w:tcPr>
          <w:p w14:paraId="3F4529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72DB28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按需提供</w:t>
            </w:r>
          </w:p>
        </w:tc>
      </w:tr>
      <w:tr w14:paraId="589B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4BAC40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10</w:t>
            </w:r>
          </w:p>
        </w:tc>
        <w:tc>
          <w:tcPr>
            <w:tcW w:w="3814" w:type="dxa"/>
            <w:shd w:val="clear" w:color="auto" w:fill="auto"/>
            <w:vAlign w:val="center"/>
          </w:tcPr>
          <w:p w14:paraId="049147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压力传感器</w:t>
            </w:r>
          </w:p>
        </w:tc>
        <w:tc>
          <w:tcPr>
            <w:tcW w:w="1681" w:type="dxa"/>
            <w:shd w:val="clear" w:color="auto" w:fill="auto"/>
            <w:vAlign w:val="center"/>
          </w:tcPr>
          <w:p w14:paraId="1B030E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7CE8C6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按需提供</w:t>
            </w:r>
          </w:p>
        </w:tc>
      </w:tr>
      <w:tr w14:paraId="39DC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040E23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11</w:t>
            </w:r>
          </w:p>
        </w:tc>
        <w:tc>
          <w:tcPr>
            <w:tcW w:w="3814" w:type="dxa"/>
            <w:shd w:val="clear" w:color="auto" w:fill="auto"/>
            <w:vAlign w:val="center"/>
          </w:tcPr>
          <w:p w14:paraId="79DAB7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早期故障诊断分析仪</w:t>
            </w:r>
          </w:p>
        </w:tc>
        <w:tc>
          <w:tcPr>
            <w:tcW w:w="1681" w:type="dxa"/>
            <w:shd w:val="clear" w:color="auto" w:fill="auto"/>
            <w:vAlign w:val="center"/>
          </w:tcPr>
          <w:p w14:paraId="54E69B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5F94E8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1</w:t>
            </w:r>
          </w:p>
        </w:tc>
      </w:tr>
      <w:tr w14:paraId="4B4C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769AC6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12</w:t>
            </w:r>
          </w:p>
        </w:tc>
        <w:tc>
          <w:tcPr>
            <w:tcW w:w="3814" w:type="dxa"/>
            <w:shd w:val="clear" w:color="auto" w:fill="auto"/>
            <w:vAlign w:val="center"/>
          </w:tcPr>
          <w:p w14:paraId="0598AF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被试件油温控制系统</w:t>
            </w:r>
          </w:p>
        </w:tc>
        <w:tc>
          <w:tcPr>
            <w:tcW w:w="1681" w:type="dxa"/>
            <w:shd w:val="clear" w:color="auto" w:fill="auto"/>
            <w:vAlign w:val="center"/>
          </w:tcPr>
          <w:p w14:paraId="6DE607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66DAAF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1</w:t>
            </w:r>
          </w:p>
        </w:tc>
      </w:tr>
      <w:tr w14:paraId="7B1D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451291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13</w:t>
            </w:r>
          </w:p>
        </w:tc>
        <w:tc>
          <w:tcPr>
            <w:tcW w:w="3814" w:type="dxa"/>
            <w:shd w:val="clear" w:color="auto" w:fill="auto"/>
            <w:vAlign w:val="center"/>
          </w:tcPr>
          <w:p w14:paraId="41CB4E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被试件电机冷却系统</w:t>
            </w:r>
          </w:p>
        </w:tc>
        <w:tc>
          <w:tcPr>
            <w:tcW w:w="1681" w:type="dxa"/>
            <w:shd w:val="clear" w:color="auto" w:fill="auto"/>
            <w:vAlign w:val="center"/>
          </w:tcPr>
          <w:p w14:paraId="25C9A3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3848FF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1</w:t>
            </w:r>
          </w:p>
        </w:tc>
      </w:tr>
      <w:tr w14:paraId="6305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22659D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14</w:t>
            </w:r>
          </w:p>
        </w:tc>
        <w:tc>
          <w:tcPr>
            <w:tcW w:w="3814" w:type="dxa"/>
            <w:shd w:val="clear" w:color="auto" w:fill="auto"/>
            <w:vAlign w:val="center"/>
          </w:tcPr>
          <w:p w14:paraId="4486A1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color w:val="auto"/>
                <w:sz w:val="24"/>
                <w:szCs w:val="24"/>
                <w:highlight w:val="none"/>
                <w:lang w:val="en-US" w:eastAsia="zh-CN"/>
              </w:rPr>
              <w:t>冷却风扇</w:t>
            </w:r>
          </w:p>
        </w:tc>
        <w:tc>
          <w:tcPr>
            <w:tcW w:w="1681" w:type="dxa"/>
            <w:shd w:val="clear" w:color="auto" w:fill="auto"/>
            <w:vAlign w:val="center"/>
          </w:tcPr>
          <w:p w14:paraId="691AB7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703AE7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按需提供</w:t>
            </w:r>
          </w:p>
        </w:tc>
      </w:tr>
      <w:tr w14:paraId="134C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189F92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15</w:t>
            </w:r>
          </w:p>
        </w:tc>
        <w:tc>
          <w:tcPr>
            <w:tcW w:w="3814" w:type="dxa"/>
            <w:shd w:val="clear" w:color="auto" w:fill="auto"/>
            <w:vAlign w:val="center"/>
          </w:tcPr>
          <w:p w14:paraId="698A8E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sz w:val="24"/>
                <w:szCs w:val="24"/>
                <w:highlight w:val="none"/>
                <w:lang w:val="en-US" w:eastAsia="zh-CN"/>
              </w:rPr>
              <w:t>监控系统</w:t>
            </w:r>
          </w:p>
        </w:tc>
        <w:tc>
          <w:tcPr>
            <w:tcW w:w="1681" w:type="dxa"/>
            <w:shd w:val="clear" w:color="auto" w:fill="auto"/>
            <w:vAlign w:val="center"/>
          </w:tcPr>
          <w:p w14:paraId="1711E6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3EED1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sz w:val="24"/>
                <w:szCs w:val="24"/>
                <w:highlight w:val="none"/>
                <w:vertAlign w:val="baseline"/>
                <w:lang w:val="en-US" w:eastAsia="zh-CN"/>
              </w:rPr>
              <w:t>1</w:t>
            </w:r>
          </w:p>
        </w:tc>
      </w:tr>
      <w:tr w14:paraId="504D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1" w:type="dxa"/>
            <w:vAlign w:val="center"/>
          </w:tcPr>
          <w:p w14:paraId="453D4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16</w:t>
            </w:r>
          </w:p>
        </w:tc>
        <w:tc>
          <w:tcPr>
            <w:tcW w:w="3814" w:type="dxa"/>
            <w:shd w:val="clear" w:color="auto" w:fill="auto"/>
            <w:vAlign w:val="center"/>
          </w:tcPr>
          <w:p w14:paraId="42D7CB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工装夹具</w:t>
            </w:r>
          </w:p>
        </w:tc>
        <w:tc>
          <w:tcPr>
            <w:tcW w:w="1681" w:type="dxa"/>
            <w:shd w:val="clear" w:color="auto" w:fill="auto"/>
            <w:vAlign w:val="center"/>
          </w:tcPr>
          <w:p w14:paraId="621AA0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套</w:t>
            </w:r>
          </w:p>
        </w:tc>
        <w:tc>
          <w:tcPr>
            <w:tcW w:w="1566" w:type="dxa"/>
            <w:shd w:val="clear" w:color="auto" w:fill="auto"/>
            <w:vAlign w:val="center"/>
          </w:tcPr>
          <w:p w14:paraId="1B254C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按需提供</w:t>
            </w:r>
          </w:p>
        </w:tc>
      </w:tr>
    </w:tbl>
    <w:p w14:paraId="15AD21B2">
      <w:pPr>
        <w:spacing w:line="360" w:lineRule="auto"/>
        <w:ind w:firstLine="482"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（一）一般界定</w:t>
      </w:r>
    </w:p>
    <w:p w14:paraId="2E54C1C3">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1.包括本技术标书所列明的主要货物以及货物正常运行所必需的全套连线设备、材料等。如货物端联接法兰外端面之内的、电气系统接口压线板（插座等）之内的设备、材料、联接螺栓、垫片等。</w:t>
      </w:r>
    </w:p>
    <w:p w14:paraId="1F7A7C92">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2.包括为保证货物正常安装、调试和验收完成及以前所必需的整套配件、附件及材料、油料、控制软件及程序或指令等。</w:t>
      </w:r>
    </w:p>
    <w:p w14:paraId="0228FE91">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如果终验收完成后，投标人有需要收回的配件、附件、材料、油料等，应当在投标文件的技术偏离条款中，予以详细说明；否则视同包括在供货范围之内。</w:t>
      </w:r>
    </w:p>
    <w:p w14:paraId="3F8911F1">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3.包括货物维护维修所必需的专用工具。</w:t>
      </w:r>
    </w:p>
    <w:p w14:paraId="4BE0B514">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4732401">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包括为保证货物自身正常运行所必需的、满足使用地点环境条件的通风、冷却、降温等必需设施。</w:t>
      </w:r>
    </w:p>
    <w:p w14:paraId="167ED78E">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如投标人难以提供或无优势提供以及属于选用配置的，则应当在投标文件的技术偏离条款中，予以详细说明并注明投标报价未包含该部分的货值。</w:t>
      </w:r>
    </w:p>
    <w:p w14:paraId="65C180C2">
      <w:pPr>
        <w:spacing w:line="360" w:lineRule="auto"/>
        <w:ind w:firstLine="482" w:firstLineChars="200"/>
        <w:rPr>
          <w:rFonts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（二）供货范围边界界定</w:t>
      </w:r>
    </w:p>
    <w:p w14:paraId="75CC35BA">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1.买方提供货物所需的建筑物（如厂房等）和构筑物（如混凝土池、砼基础等），包含正常安装施工所需的预埋件（如穿管、预埋螺栓、螺母及垫片）。</w:t>
      </w:r>
    </w:p>
    <w:p w14:paraId="2ACD397B">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买方提供符合本技术标书中“采购货物概况”和“使用环境”章节所列明品质的电力、自来水、压缩空气、蒸汽、天然气（或煤气）管线至系统接口，如：系统电力接口的接线端，水、气、汽等外围管线端联接法兰外端面。</w:t>
      </w:r>
    </w:p>
    <w:p w14:paraId="53A01003">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如果投标人认为能源系统接口地点以及操控地点之间的货物数量不清或难以界定，应当以书面方式询标或以单价方式报价；否则视同满足招标人要求。</w:t>
      </w:r>
    </w:p>
    <w:p w14:paraId="124AFF85">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3.对于招标文件中无明确具体要求而投标人认为必须具备的其它货物，投标人必须将该部分货物单独报价（该报价含运杂费及税费等其它费用，而且不再作为其它报价涉及的其它费用的计算基数）。</w:t>
      </w:r>
    </w:p>
    <w:p w14:paraId="4396FD2B">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4.以“交钥匙”方式采购的货物，在满足技术标书本节上述要求之外，同时包括货物正常运行、使用所需要的过桥、护栏、防护网、盖板等辅助设施。</w:t>
      </w:r>
    </w:p>
    <w:p w14:paraId="09BF17DF">
      <w:pPr>
        <w:spacing w:line="360" w:lineRule="auto"/>
        <w:ind w:firstLine="482" w:firstLineChars="200"/>
        <w:outlineLvl w:val="3"/>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二、备品备件、易损件和专用耗材供货范围</w:t>
      </w:r>
    </w:p>
    <w:p w14:paraId="49529E4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1.备品备件、易损件和专用耗材是招标人为保证货物质保期之后正常运行一年所自备自用的备品备件、易损件和专用耗材。</w:t>
      </w:r>
    </w:p>
    <w:p w14:paraId="65AE1C9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14:paraId="2BF9C716">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r>
        <w:rPr>
          <w:rFonts w:hint="eastAsia" w:ascii="宋体" w:hAnsi="宋体" w:eastAsia="宋体" w:cs="宋体"/>
          <w:color w:val="000000" w:themeColor="text1"/>
          <w:sz w:val="24"/>
          <w:szCs w:val="24"/>
          <w14:textFill>
            <w14:solidFill>
              <w14:schemeClr w14:val="tx1"/>
            </w14:solidFill>
          </w14:textFill>
        </w:rPr>
        <w:t>。</w:t>
      </w:r>
    </w:p>
    <w:p w14:paraId="4ABF96ED">
      <w:pPr>
        <w:spacing w:line="360" w:lineRule="auto"/>
        <w:ind w:firstLine="482" w:firstLineChars="200"/>
        <w:outlineLvl w:val="3"/>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三、技术资料供货范围</w:t>
      </w:r>
    </w:p>
    <w:p w14:paraId="70E28771">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技术资料供货范围包括：</w:t>
      </w:r>
    </w:p>
    <w:p w14:paraId="2E364416">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u w:val="single"/>
          <w:shd w:val="pct10" w:color="auto" w:fill="FFFFFF"/>
          <w:lang w:val="en-US" w:eastAsia="zh-CN"/>
        </w:rPr>
        <w:t>30</w:t>
      </w:r>
      <w:r>
        <w:rPr>
          <w:rFonts w:hint="eastAsia" w:ascii="宋体" w:hAnsi="宋体" w:eastAsia="宋体" w:cs="宋体"/>
          <w:bCs/>
          <w:sz w:val="24"/>
          <w:szCs w:val="24"/>
          <w:highlight w:val="none"/>
        </w:rPr>
        <w:t>个日历日内，提供货物基础及相关的设计、制作所需的纸质及电子版资料；电子版文件应当能够使用常用版本软件可以阅读甚至使用，进口货物、设备应有中外文对照。</w:t>
      </w:r>
    </w:p>
    <w:p w14:paraId="73FE345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2.在预验收前，</w:t>
      </w:r>
      <w:r>
        <w:rPr>
          <w:rFonts w:hint="eastAsia" w:ascii="宋体" w:hAnsi="宋体" w:eastAsia="宋体" w:cs="宋体"/>
          <w:bCs w:val="0"/>
          <w:sz w:val="24"/>
          <w:szCs w:val="24"/>
          <w:highlight w:val="none"/>
        </w:rPr>
        <w:t>提供货物各部分的功能描述文件、图片、影像等资料（进口、设备应有中外文对照）。</w:t>
      </w:r>
    </w:p>
    <w:p w14:paraId="61A7E76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在终验收前，提供货物各部分的功能描述文件、图片、影像等资料（进口、设备应有中外文对照），提供为保证货物后续正常运行所需的工装、吊（挂）具明细及其图纸、具体技术要求等资料（如果供货范围包含该部分实物）。</w:t>
      </w:r>
    </w:p>
    <w:p w14:paraId="11F5DDB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.在终验收前，提供确定的维修所需要且买方可以自行采购的外购件、外协件、电气元件及主要原材料的供货厂家明细表。</w:t>
      </w:r>
    </w:p>
    <w:p w14:paraId="0C9665C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.在终验收后的第一笔货款支付日之前，提供包括货物的备品备件、易损件和专用耗材的图纸及技术参数、技术要求等资料。</w:t>
      </w:r>
    </w:p>
    <w:p w14:paraId="6FB0A4D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72613C6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5245DB89">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.本条款所列的技术资料、图片、影像等，投标人应各提供5套，其中2套为电子</w:t>
      </w:r>
      <w:r>
        <w:rPr>
          <w:rFonts w:hint="eastAsia" w:ascii="宋体" w:hAnsi="宋体" w:eastAsia="宋体" w:cs="宋体"/>
          <w:sz w:val="24"/>
          <w:szCs w:val="24"/>
          <w:highlight w:val="none"/>
          <w:lang w:val="en-US" w:eastAsia="zh-CN"/>
        </w:rPr>
        <w:t>版光盘；每份技术文件应装有目录清单。</w:t>
      </w:r>
    </w:p>
    <w:p w14:paraId="61A63A14">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9.本条款所列要求，如招标人认为投标人提供的资料不能满足要求时，有权要求投标人免费补充或增加。</w:t>
      </w:r>
    </w:p>
    <w:p w14:paraId="118727FE">
      <w:pPr>
        <w:spacing w:line="360" w:lineRule="auto"/>
        <w:ind w:firstLine="482" w:firstLineChars="200"/>
        <w:outlineLvl w:val="3"/>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四、供货范围特别提示</w:t>
      </w:r>
    </w:p>
    <w:p w14:paraId="4BE6601A">
      <w:pPr>
        <w:spacing w:line="360" w:lineRule="auto"/>
        <w:ind w:firstLine="480" w:firstLineChars="20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如果投标人认为本节所列的供货范围难以满足，则仍需要按照本要求提供，但该部分货物应当在投标报价中单独列明货物名称及品质、货值。</w:t>
      </w:r>
      <w:bookmarkStart w:id="34" w:name="_Toc169605883"/>
    </w:p>
    <w:p w14:paraId="44EE3650">
      <w:pPr>
        <w:pStyle w:val="17"/>
        <w:spacing w:line="360" w:lineRule="auto"/>
        <w:rPr>
          <w:color w:val="000000" w:themeColor="text1"/>
          <w14:textFill>
            <w14:solidFill>
              <w14:schemeClr w14:val="tx1"/>
            </w14:solidFill>
          </w14:textFill>
        </w:rPr>
      </w:pPr>
    </w:p>
    <w:p w14:paraId="4A30CE13">
      <w:pPr>
        <w:keepNext/>
        <w:keepLines/>
        <w:spacing w:line="360" w:lineRule="auto"/>
        <w:jc w:val="center"/>
        <w:outlineLvl w:val="2"/>
        <w:rPr>
          <w:rFonts w:ascii="宋体" w:hAnsi="宋体" w:eastAsia="宋体" w:cs="宋体"/>
          <w:b/>
          <w:bCs/>
          <w:color w:val="000000" w:themeColor="text1"/>
          <w:sz w:val="24"/>
          <w:szCs w:val="32"/>
          <w14:textFill>
            <w14:solidFill>
              <w14:schemeClr w14:val="tx1"/>
            </w14:solidFill>
          </w14:textFill>
        </w:rPr>
      </w:pPr>
      <w:r>
        <w:rPr>
          <w:rFonts w:hint="eastAsia" w:ascii="宋体" w:hAnsi="宋体" w:eastAsia="宋体" w:cs="宋体"/>
          <w:b/>
          <w:bCs/>
          <w:color w:val="000000" w:themeColor="text1"/>
          <w:sz w:val="24"/>
          <w:szCs w:val="32"/>
          <w14:textFill>
            <w14:solidFill>
              <w14:schemeClr w14:val="tx1"/>
            </w14:solidFill>
          </w14:textFill>
        </w:rPr>
        <w:t>第二节  供货方式</w:t>
      </w:r>
      <w:bookmarkEnd w:id="34"/>
    </w:p>
    <w:p w14:paraId="061AC822">
      <w:pPr>
        <w:spacing w:line="360" w:lineRule="auto"/>
        <w:ind w:firstLine="482" w:firstLineChars="200"/>
        <w:outlineLvl w:val="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一、供货方式</w:t>
      </w:r>
    </w:p>
    <w:p w14:paraId="60D9AF1A">
      <w:pPr>
        <w:spacing w:line="360" w:lineRule="auto"/>
        <w:ind w:firstLine="480" w:firstLineChars="200"/>
        <w:rPr>
          <w:rFonts w:ascii="宋体" w:hAnsi="宋体" w:eastAsia="宋体" w:cs="宋体"/>
          <w:b/>
          <w:i/>
          <w:color w:val="000000" w:themeColor="text1"/>
          <w:sz w:val="24"/>
          <w:szCs w:val="24"/>
          <w14:textFill>
            <w14:solidFill>
              <w14:schemeClr w14:val="tx1"/>
            </w14:solidFill>
          </w14:textFill>
        </w:rPr>
      </w:pPr>
      <w:r>
        <w:rPr>
          <w:rFonts w:hint="eastAsia" w:ascii="宋体" w:hAnsi="宋体" w:eastAsia="宋体" w:cs="宋体"/>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r>
        <w:rPr>
          <w:rFonts w:hint="eastAsia" w:ascii="宋体" w:hAnsi="宋体" w:eastAsia="宋体" w:cs="宋体"/>
          <w:color w:val="000000" w:themeColor="text1"/>
          <w:sz w:val="24"/>
          <w:szCs w:val="24"/>
          <w14:textFill>
            <w14:solidFill>
              <w14:schemeClr w14:val="tx1"/>
            </w14:solidFill>
          </w14:textFill>
        </w:rPr>
        <w:t>。</w:t>
      </w:r>
    </w:p>
    <w:p w14:paraId="6136C5B4">
      <w:pPr>
        <w:spacing w:line="360" w:lineRule="auto"/>
        <w:ind w:firstLine="482" w:firstLineChars="200"/>
        <w:outlineLvl w:val="3"/>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二、供货地点：</w:t>
      </w:r>
      <w:r>
        <w:rPr>
          <w:rFonts w:ascii="宋体" w:hAnsi="宋体" w:eastAsia="宋体" w:cs="宋体"/>
          <w:b/>
          <w:bCs/>
          <w:color w:val="000000" w:themeColor="text1"/>
          <w:sz w:val="24"/>
          <w:szCs w:val="24"/>
          <w14:textFill>
            <w14:solidFill>
              <w14:schemeClr w14:val="tx1"/>
            </w14:solidFill>
          </w14:textFill>
        </w:rPr>
        <w:t>本项目建设工地</w:t>
      </w:r>
      <w:r>
        <w:rPr>
          <w:rFonts w:hint="eastAsia" w:ascii="宋体" w:hAnsi="宋体" w:eastAsia="宋体" w:cs="宋体"/>
          <w:b/>
          <w:bCs/>
          <w:color w:val="000000" w:themeColor="text1"/>
          <w:sz w:val="24"/>
          <w:szCs w:val="24"/>
          <w14:textFill>
            <w14:solidFill>
              <w14:schemeClr w14:val="tx1"/>
            </w14:solidFill>
          </w14:textFill>
        </w:rPr>
        <w:t>。</w:t>
      </w:r>
    </w:p>
    <w:p w14:paraId="461DB7F3">
      <w:pPr>
        <w:spacing w:line="360" w:lineRule="auto"/>
        <w:ind w:firstLine="482" w:firstLineChars="200"/>
        <w:jc w:val="left"/>
        <w:outlineLvl w:val="3"/>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三、供货时间</w:t>
      </w:r>
    </w:p>
    <w:p w14:paraId="68293BCD">
      <w:pPr>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1.自合同生效后</w:t>
      </w:r>
      <w:r>
        <w:rPr>
          <w:rFonts w:ascii="宋体" w:hAnsi="宋体" w:eastAsia="宋体" w:cs="宋体"/>
          <w:color w:val="000000" w:themeColor="text1"/>
          <w:sz w:val="24"/>
          <w:szCs w:val="24"/>
          <w:u w:val="single"/>
          <w14:textFill>
            <w14:solidFill>
              <w14:schemeClr w14:val="tx1"/>
            </w14:solidFill>
          </w14:textFill>
        </w:rPr>
        <w:t>4</w:t>
      </w:r>
      <w:r>
        <w:rPr>
          <w:rFonts w:hint="eastAsia" w:ascii="宋体" w:hAnsi="宋体" w:eastAsia="宋体" w:cs="宋体"/>
          <w:color w:val="000000" w:themeColor="text1"/>
          <w:sz w:val="24"/>
          <w:szCs w:val="24"/>
          <w:u w:val="single"/>
          <w:lang w:val="en-US" w:eastAsia="zh-CN"/>
          <w14:textFill>
            <w14:solidFill>
              <w14:schemeClr w14:val="tx1"/>
            </w14:solidFill>
          </w14:textFill>
        </w:rPr>
        <w:t>2</w:t>
      </w:r>
      <w:r>
        <w:rPr>
          <w:rFonts w:ascii="宋体" w:hAnsi="宋体" w:eastAsia="宋体" w:cs="宋体"/>
          <w:color w:val="000000" w:themeColor="text1"/>
          <w:sz w:val="24"/>
          <w:szCs w:val="24"/>
          <w:u w:val="single"/>
          <w14:textFill>
            <w14:solidFill>
              <w14:schemeClr w14:val="tx1"/>
            </w14:solidFill>
          </w14:textFill>
        </w:rPr>
        <w:t>0</w:t>
      </w:r>
      <w:r>
        <w:rPr>
          <w:rFonts w:ascii="宋体" w:hAnsi="宋体" w:eastAsia="宋体" w:cs="宋体"/>
          <w:color w:val="000000" w:themeColor="text1"/>
          <w:sz w:val="24"/>
          <w:szCs w:val="24"/>
          <w14:textFill>
            <w14:solidFill>
              <w14:schemeClr w14:val="tx1"/>
            </w14:solidFill>
          </w14:textFill>
        </w:rPr>
        <w:t>个</w:t>
      </w:r>
      <w:r>
        <w:rPr>
          <w:rFonts w:hint="eastAsia" w:ascii="宋体" w:hAnsi="宋体" w:eastAsia="宋体" w:cs="宋体"/>
          <w:color w:val="000000" w:themeColor="text1"/>
          <w:sz w:val="24"/>
          <w:szCs w:val="24"/>
          <w14:textFill>
            <w14:solidFill>
              <w14:schemeClr w14:val="tx1"/>
            </w14:solidFill>
          </w14:textFill>
        </w:rPr>
        <w:t>日历日</w:t>
      </w:r>
      <w:r>
        <w:rPr>
          <w:rFonts w:ascii="宋体" w:hAnsi="宋体" w:eastAsia="宋体" w:cs="宋体"/>
          <w:color w:val="000000" w:themeColor="text1"/>
          <w:sz w:val="24"/>
          <w:szCs w:val="24"/>
          <w14:textFill>
            <w14:solidFill>
              <w14:schemeClr w14:val="tx1"/>
            </w14:solidFill>
          </w14:textFill>
        </w:rPr>
        <w:t>内，中标人须交付设备到招标人指定的安装和使用的现场。</w:t>
      </w:r>
    </w:p>
    <w:p w14:paraId="10E81206">
      <w:pPr>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2.接续</w:t>
      </w:r>
      <w:r>
        <w:rPr>
          <w:rFonts w:hint="eastAsia" w:ascii="宋体" w:hAnsi="宋体" w:eastAsia="宋体" w:cs="宋体"/>
          <w:color w:val="000000" w:themeColor="text1"/>
          <w:sz w:val="24"/>
          <w:szCs w:val="24"/>
          <w:u w:val="single"/>
          <w14:textFill>
            <w14:solidFill>
              <w14:schemeClr w14:val="tx1"/>
            </w14:solidFill>
          </w14:textFill>
        </w:rPr>
        <w:t>90</w:t>
      </w:r>
      <w:r>
        <w:rPr>
          <w:rFonts w:hint="eastAsia" w:ascii="宋体" w:hAnsi="宋体" w:eastAsia="宋体" w:cs="宋体"/>
          <w:color w:val="000000" w:themeColor="text1"/>
          <w:sz w:val="24"/>
          <w:szCs w:val="24"/>
          <w14:textFill>
            <w14:solidFill>
              <w14:schemeClr w14:val="tx1"/>
            </w14:solidFill>
          </w14:textFill>
        </w:rPr>
        <w:t>个日历日之内安装调试完毕。</w:t>
      </w:r>
    </w:p>
    <w:p w14:paraId="32082EE5">
      <w:pPr>
        <w:spacing w:line="36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3.接续</w:t>
      </w:r>
      <w:r>
        <w:rPr>
          <w:rFonts w:hint="eastAsia" w:ascii="宋体" w:hAnsi="宋体" w:eastAsia="宋体" w:cs="宋体"/>
          <w:color w:val="000000" w:themeColor="text1"/>
          <w:sz w:val="24"/>
          <w:szCs w:val="24"/>
          <w:u w:val="single"/>
          <w:lang w:val="en-US" w:eastAsia="zh-CN"/>
          <w14:textFill>
            <w14:solidFill>
              <w14:schemeClr w14:val="tx1"/>
            </w14:solidFill>
          </w14:textFill>
        </w:rPr>
        <w:t>6</w:t>
      </w:r>
      <w:r>
        <w:rPr>
          <w:rFonts w:ascii="宋体" w:hAnsi="宋体" w:eastAsia="宋体" w:cs="宋体"/>
          <w:color w:val="000000" w:themeColor="text1"/>
          <w:sz w:val="24"/>
          <w:szCs w:val="24"/>
          <w:u w:val="single"/>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个日历日之内完成终验收。</w:t>
      </w:r>
    </w:p>
    <w:p w14:paraId="49A1B21A">
      <w:pPr>
        <w:spacing w:line="360" w:lineRule="auto"/>
        <w:ind w:firstLine="480" w:firstLineChars="200"/>
        <w:outlineLvl w:val="3"/>
        <w:rPr>
          <w:rFonts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安装调试时间或终验收时间超过规定时间</w:t>
      </w:r>
      <w:r>
        <w:rPr>
          <w:rFonts w:hint="eastAsia" w:hAnsi="宋体" w:eastAsia="宋体" w:cs="宋体"/>
          <w:color w:val="000000" w:themeColor="text1"/>
          <w:sz w:val="24"/>
          <w:szCs w:val="24"/>
          <w14:textFill>
            <w14:solidFill>
              <w14:schemeClr w14:val="tx1"/>
            </w14:solidFill>
          </w14:textFill>
        </w:rPr>
        <w:t>的，投标人应当随标书提供详细的工期计划。</w:t>
      </w:r>
    </w:p>
    <w:p w14:paraId="7D24A1DF">
      <w:pPr>
        <w:spacing w:line="360" w:lineRule="auto"/>
        <w:ind w:firstLine="482" w:firstLineChars="200"/>
        <w:outlineLvl w:val="3"/>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四、包装</w:t>
      </w:r>
    </w:p>
    <w:p w14:paraId="2BA0A2A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1.所提供货物（或设备）的包装，应遵照国家标准和有关包装、包皮的技术条件，或按照最好的商业惯例进行包装。</w:t>
      </w:r>
    </w:p>
    <w:p w14:paraId="3142FEF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03D0584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3.所提供货物（或设备）的包装，应能防止其一般性被窃或受外力破坏；一般不得采用有大缝隙的板条包装。</w:t>
      </w:r>
    </w:p>
    <w:p w14:paraId="6AC545C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14:paraId="3689E86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5.每个包装件应有装箱单，并至少标明名称、型号规格、数量、净重和毛重、投标人（或供货商）名称和制造日期等相关内容。</w:t>
      </w:r>
    </w:p>
    <w:p w14:paraId="5B67365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6.每个包装箱应有明显标志，并具有中文书写的合同号、装运标志、发货和到货地点名称、发货人和收货人名称、货物名称和项目号、箱号和外型尺寸等内容。</w:t>
      </w:r>
    </w:p>
    <w:p w14:paraId="0BBE1FC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14:paraId="5FE7129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14:paraId="1D09D9BB">
      <w:pPr>
        <w:adjustRightInd w:val="0"/>
        <w:snapToGrid w:val="0"/>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highlight w:val="none"/>
        </w:rPr>
        <w:t>9.在不受到外界破坏情况下，包装应保证自交货日起一年内货物（或设备）完好无损</w:t>
      </w:r>
      <w:r>
        <w:rPr>
          <w:rFonts w:hint="eastAsia" w:ascii="宋体" w:hAnsi="宋体" w:eastAsia="宋体" w:cs="宋体"/>
          <w:color w:val="000000" w:themeColor="text1"/>
          <w:sz w:val="24"/>
          <w:szCs w:val="24"/>
          <w14:textFill>
            <w14:solidFill>
              <w14:schemeClr w14:val="tx1"/>
            </w14:solidFill>
          </w14:textFill>
        </w:rPr>
        <w:t>。</w:t>
      </w:r>
    </w:p>
    <w:p w14:paraId="654748B2">
      <w:pPr>
        <w:adjustRightInd w:val="0"/>
        <w:snapToGrid w:val="0"/>
        <w:spacing w:line="360" w:lineRule="auto"/>
        <w:ind w:firstLine="482" w:firstLineChars="200"/>
        <w:outlineLvl w:val="3"/>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五、运输</w:t>
      </w:r>
    </w:p>
    <w:p w14:paraId="69DBF2A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1.应负责将货物（或设备）运到目的地，并必须做到货物（或设备）在任何运输过程中不受损坏和遗失。</w:t>
      </w:r>
    </w:p>
    <w:p w14:paraId="08AE78DC">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2.同批货物（或设备）应统一包装、编号运输。</w:t>
      </w:r>
    </w:p>
    <w:p w14:paraId="0EA22F5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14:paraId="1605336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4.在每批货物（或设备）发出后，应立即通知买方；通知中应指明：合同号、货运单号、件数、重量和货物（或设备）发出日期等相关内容。</w:t>
      </w:r>
    </w:p>
    <w:p w14:paraId="5E131A48">
      <w:pPr>
        <w:adjustRightInd w:val="0"/>
        <w:snapToGrid w:val="0"/>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highlight w:val="none"/>
        </w:rPr>
        <w:t>5.货物（或设备）运抵交货地点后，应负责货物（或设备）的卸货、搬运、保管等事宜，或按照合同约定</w:t>
      </w:r>
      <w:r>
        <w:rPr>
          <w:rFonts w:hint="eastAsia" w:ascii="宋体" w:hAnsi="宋体" w:eastAsia="宋体" w:cs="宋体"/>
          <w:color w:val="000000" w:themeColor="text1"/>
          <w:sz w:val="24"/>
          <w:szCs w:val="24"/>
          <w14:textFill>
            <w14:solidFill>
              <w14:schemeClr w14:val="tx1"/>
            </w14:solidFill>
          </w14:textFill>
        </w:rPr>
        <w:t>。</w:t>
      </w:r>
    </w:p>
    <w:p w14:paraId="48F5E1B5">
      <w:pPr>
        <w:widowControl/>
        <w:jc w:val="left"/>
        <w:rPr>
          <w:rFonts w:ascii="宋体" w:hAnsi="Calibri" w:eastAsia="宋体" w:cs="Times New Roman"/>
          <w:color w:val="000000" w:themeColor="text1"/>
          <w:szCs w:val="20"/>
          <w14:textFill>
            <w14:solidFill>
              <w14:schemeClr w14:val="tx1"/>
            </w14:solidFill>
          </w14:textFill>
        </w:rPr>
      </w:pPr>
      <w:r>
        <w:rPr>
          <w:rFonts w:ascii="宋体" w:hAnsi="Calibri" w:eastAsia="宋体" w:cs="Times New Roman"/>
          <w:color w:val="000000" w:themeColor="text1"/>
          <w:szCs w:val="20"/>
          <w14:textFill>
            <w14:solidFill>
              <w14:schemeClr w14:val="tx1"/>
            </w14:solidFill>
          </w14:textFill>
        </w:rPr>
        <w:br w:type="page"/>
      </w:r>
    </w:p>
    <w:p w14:paraId="0CD03AAA">
      <w:pPr>
        <w:keepNext/>
        <w:keepLines/>
        <w:spacing w:line="360" w:lineRule="auto"/>
        <w:jc w:val="center"/>
        <w:outlineLvl w:val="1"/>
        <w:rPr>
          <w:rFonts w:ascii="Calibri" w:hAnsi="Calibri" w:eastAsia="宋体" w:cs="Times New Roman"/>
          <w:b/>
          <w:bCs/>
          <w:color w:val="000000" w:themeColor="text1"/>
          <w:kern w:val="44"/>
          <w:sz w:val="28"/>
          <w:szCs w:val="28"/>
          <w14:textFill>
            <w14:solidFill>
              <w14:schemeClr w14:val="tx1"/>
            </w14:solidFill>
          </w14:textFill>
        </w:rPr>
      </w:pPr>
      <w:bookmarkStart w:id="35" w:name="_Toc169605884"/>
      <w:r>
        <w:rPr>
          <w:rFonts w:hint="eastAsia" w:ascii="Calibri" w:hAnsi="Calibri" w:eastAsia="宋体" w:cs="Times New Roman"/>
          <w:b/>
          <w:bCs/>
          <w:color w:val="000000" w:themeColor="text1"/>
          <w:kern w:val="44"/>
          <w:sz w:val="28"/>
          <w:szCs w:val="28"/>
          <w14:textFill>
            <w14:solidFill>
              <w14:schemeClr w14:val="tx1"/>
            </w14:solidFill>
          </w14:textFill>
        </w:rPr>
        <w:t>第四章</w:t>
      </w:r>
      <w:r>
        <w:rPr>
          <w:rFonts w:ascii="Calibri" w:hAnsi="Calibri" w:eastAsia="宋体" w:cs="Times New Roman"/>
          <w:b/>
          <w:bCs/>
          <w:color w:val="000000" w:themeColor="text1"/>
          <w:kern w:val="44"/>
          <w:sz w:val="28"/>
          <w:szCs w:val="28"/>
          <w14:textFill>
            <w14:solidFill>
              <w14:schemeClr w14:val="tx1"/>
            </w14:solidFill>
          </w14:textFill>
        </w:rPr>
        <w:t xml:space="preserve">  </w:t>
      </w:r>
      <w:r>
        <w:rPr>
          <w:rFonts w:hint="eastAsia" w:ascii="Calibri" w:hAnsi="Calibri" w:eastAsia="宋体" w:cs="Times New Roman"/>
          <w:b/>
          <w:bCs/>
          <w:color w:val="000000" w:themeColor="text1"/>
          <w:kern w:val="44"/>
          <w:sz w:val="28"/>
          <w:szCs w:val="28"/>
          <w14:textFill>
            <w14:solidFill>
              <w14:schemeClr w14:val="tx1"/>
            </w14:solidFill>
          </w14:textFill>
        </w:rPr>
        <w:t>质保期及售后服务</w:t>
      </w:r>
      <w:bookmarkEnd w:id="35"/>
    </w:p>
    <w:p w14:paraId="687F50E7">
      <w:pPr>
        <w:pStyle w:val="121"/>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一、质保期及质保要求</w:t>
      </w:r>
    </w:p>
    <w:p w14:paraId="3D4FDD8D">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12</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w:t>
      </w:r>
    </w:p>
    <w:p w14:paraId="31AA5BB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14:paraId="6436D2B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64C833E4">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14:paraId="2D4C3137">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w:t>
      </w:r>
      <w:r>
        <w:rPr>
          <w:rFonts w:hint="eastAsia" w:ascii="宋体" w:hAnsi="宋体" w:eastAsia="宋体" w:cs="宋体"/>
          <w:sz w:val="24"/>
          <w:szCs w:val="24"/>
          <w:highlight w:val="none"/>
          <w:lang w:eastAsia="zh-CN"/>
        </w:rPr>
        <w:t>卖方</w:t>
      </w:r>
      <w:r>
        <w:rPr>
          <w:rFonts w:hint="eastAsia" w:ascii="宋体" w:hAnsi="宋体" w:eastAsia="宋体" w:cs="宋体"/>
          <w:sz w:val="24"/>
          <w:szCs w:val="24"/>
          <w:highlight w:val="none"/>
        </w:rPr>
        <w:t>应负责免费维修和服务。</w:t>
      </w:r>
    </w:p>
    <w:p w14:paraId="51E11BB8">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重复出现的质保期之内出现的故障，仍属质保范围而且应当免费</w:t>
      </w:r>
      <w:r>
        <w:rPr>
          <w:rFonts w:hint="eastAsia" w:ascii="宋体" w:hAnsi="宋体" w:eastAsia="宋体" w:cs="宋体"/>
          <w:color w:val="000000" w:themeColor="text1"/>
          <w:sz w:val="24"/>
          <w:szCs w:val="24"/>
          <w14:textFill>
            <w14:solidFill>
              <w14:schemeClr w14:val="tx1"/>
            </w14:solidFill>
          </w14:textFill>
        </w:rPr>
        <w:t>。</w:t>
      </w:r>
    </w:p>
    <w:p w14:paraId="3793526F">
      <w:pPr>
        <w:pStyle w:val="121"/>
        <w:spacing w:line="360" w:lineRule="auto"/>
        <w:rPr>
          <w:rFonts w:ascii="宋体" w:hAnsi="宋体" w:cs="宋体"/>
          <w:highlight w:val="none"/>
        </w:rPr>
      </w:pPr>
      <w:r>
        <w:rPr>
          <w:rFonts w:hint="eastAsia" w:ascii="宋体" w:hAnsi="宋体" w:cs="宋体"/>
          <w:highlight w:val="none"/>
        </w:rPr>
        <w:t>二、技术及培训服务</w:t>
      </w:r>
    </w:p>
    <w:p w14:paraId="42ABBAE2">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none"/>
          <w:u w:val="single"/>
          <w:shd w:val="pct10" w:color="auto" w:fill="FFFFFF"/>
          <w:lang w:val="en-US" w:eastAsia="zh-CN"/>
        </w:rPr>
        <w:t>7</w:t>
      </w:r>
      <w:r>
        <w:rPr>
          <w:rFonts w:hint="eastAsia" w:ascii="宋体" w:hAnsi="宋体" w:eastAsia="宋体" w:cs="宋体"/>
          <w:color w:val="000000"/>
          <w:sz w:val="24"/>
          <w:szCs w:val="24"/>
          <w:highlight w:val="none"/>
        </w:rPr>
        <w:t>个日历日。</w:t>
      </w:r>
    </w:p>
    <w:p w14:paraId="2575B0C5">
      <w:pPr>
        <w:adjustRightInd w:val="0"/>
        <w:snapToGrid w:val="0"/>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卖方应当为项目在设备制造现场的设计评审及预验收提供所需支持。其中，卖方在完成方案设计后，组织进行制造现场的方案评审，买方派出4名人员，不少于5个工作日；卖方完成生产制造后，在制造现场组织项目的预验收，买方派出4名人员，不少于5个工作日。</w:t>
      </w:r>
    </w:p>
    <w:p w14:paraId="3F6F5E62">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.应免费提供一定数量的培训资料。</w:t>
      </w:r>
    </w:p>
    <w:p w14:paraId="03F03A0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.应按要求免费积极协助和提供买方以及买方所委托的工程设计单位有关人员所需要的、与货物有关的工程设计资料、技术咨询等。</w:t>
      </w:r>
    </w:p>
    <w:p w14:paraId="0C49D18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.若</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提供货物涉及到外购外协货物、而且该货物的技术质量等较为关键时，</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应能保证得到配套厂家的技术支持，并免费为买方提供技术服务。</w:t>
      </w:r>
    </w:p>
    <w:p w14:paraId="5666ACA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9878B3B">
      <w:pPr>
        <w:pStyle w:val="121"/>
        <w:spacing w:line="360" w:lineRule="auto"/>
        <w:rPr>
          <w:rFonts w:ascii="宋体" w:hAnsi="宋体" w:cs="宋体"/>
          <w:highlight w:val="none"/>
        </w:rPr>
      </w:pPr>
      <w:r>
        <w:rPr>
          <w:rFonts w:hint="eastAsia" w:ascii="宋体" w:hAnsi="宋体" w:cs="宋体"/>
          <w:highlight w:val="none"/>
        </w:rPr>
        <w:t>三、安装调试及验收服务</w:t>
      </w:r>
    </w:p>
    <w:p w14:paraId="20AE2FB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1.指导安装调试或负责安装调试以及协助验收，</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均应在投标文件中明确其收费额或免费约定，否则视同免费；安装调试及验收服务均应按照合同约定或协议、通知及时组织并完成。因</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原因造成的延期，所发生的费用全部由</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承担。</w:t>
      </w:r>
    </w:p>
    <w:p w14:paraId="620EF11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2.若</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提供的货物涉及到外购外协货物、而且该货物的技术质量等较为关键时，应保证能得到供应商的技术支持，并免费为买方提供安装使用现场的指导与培训。</w:t>
      </w:r>
    </w:p>
    <w:p w14:paraId="1FDF660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3.根据货物的要求，调试及验收可分空载和负载两个阶段进行；买方将积极协助</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达到货物的各项技术指标和性能要求。</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在买方现场进行的货物的安装、调试和试运行，买方有权参与，</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应无条件向买方提供现场记录和试运行数据及报告。</w:t>
      </w:r>
    </w:p>
    <w:p w14:paraId="09A2C2B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4.在</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所提供货物需要得到买方建设项目所在地政府或行业主管部门的查验、试验、验收时，</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应当免费完成或协助</w:t>
      </w:r>
      <w:r>
        <w:rPr>
          <w:rFonts w:hint="eastAsia" w:ascii="宋体" w:hAnsi="宋体" w:eastAsia="宋体" w:cs="宋体"/>
          <w:color w:val="000000"/>
          <w:sz w:val="24"/>
          <w:szCs w:val="24"/>
          <w:highlight w:val="none"/>
          <w:lang w:eastAsia="zh-CN"/>
        </w:rPr>
        <w:t>招标人</w:t>
      </w:r>
      <w:r>
        <w:rPr>
          <w:rFonts w:hint="eastAsia" w:ascii="宋体" w:hAnsi="宋体" w:eastAsia="宋体" w:cs="宋体"/>
          <w:color w:val="000000"/>
          <w:sz w:val="24"/>
          <w:szCs w:val="24"/>
          <w:highlight w:val="none"/>
        </w:rPr>
        <w:t>完成所需要的工作、材料和服务等。协助完成的，应当在投标文件报价内容中予以说明，否则视同免费。</w:t>
      </w:r>
    </w:p>
    <w:p w14:paraId="0C49EEF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应当向买方提供货物试验、验收的有关标准、规范和方法，同时提供货物涉及并使用的软件合法性证明。</w:t>
      </w:r>
    </w:p>
    <w:p w14:paraId="28EAEE2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6.服务缺陷视同货物缺陷和履约延期。</w:t>
      </w:r>
    </w:p>
    <w:p w14:paraId="4033A9B3">
      <w:pPr>
        <w:pStyle w:val="121"/>
        <w:spacing w:line="360" w:lineRule="auto"/>
        <w:rPr>
          <w:rFonts w:ascii="宋体" w:hAnsi="宋体" w:cs="宋体"/>
          <w:highlight w:val="none"/>
        </w:rPr>
      </w:pPr>
      <w:r>
        <w:rPr>
          <w:rFonts w:hint="eastAsia" w:ascii="宋体" w:hAnsi="宋体" w:cs="宋体"/>
          <w:highlight w:val="none"/>
        </w:rPr>
        <w:t>四、售后服务</w:t>
      </w:r>
    </w:p>
    <w:p w14:paraId="0B592B6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提供的货物涉及的所有售后服务均由</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负责。如果发生问题并且收到通知，</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应当在2</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小时内予以答复。</w:t>
      </w:r>
    </w:p>
    <w:p w14:paraId="39BDA92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2.如发现所提供的货物存在问题，需要</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解决或配合解决时：在质保期之内，应在接到通知后</w:t>
      </w:r>
      <w:r>
        <w:rPr>
          <w:rFonts w:hint="eastAsia" w:ascii="宋体" w:hAnsi="宋体" w:eastAsia="宋体" w:cs="宋体"/>
          <w:color w:val="000000"/>
          <w:sz w:val="24"/>
          <w:szCs w:val="24"/>
          <w:highlight w:val="none"/>
          <w:u w:val="single"/>
          <w:shd w:val="pct10" w:color="auto" w:fill="FFFFFF"/>
          <w:lang w:val="en-US" w:eastAsia="zh-CN"/>
        </w:rPr>
        <w:t>72</w:t>
      </w:r>
      <w:r>
        <w:rPr>
          <w:rFonts w:hint="eastAsia" w:ascii="宋体" w:hAnsi="宋体" w:eastAsia="宋体" w:cs="宋体"/>
          <w:color w:val="000000"/>
          <w:sz w:val="24"/>
          <w:szCs w:val="24"/>
          <w:highlight w:val="none"/>
        </w:rPr>
        <w:t>小时内派有关人员到达现场；在质保期之外，应在接到通知后</w:t>
      </w:r>
      <w:r>
        <w:rPr>
          <w:rFonts w:hint="eastAsia" w:ascii="宋体" w:hAnsi="宋体" w:eastAsia="宋体" w:cs="宋体"/>
          <w:color w:val="000000"/>
          <w:sz w:val="24"/>
          <w:szCs w:val="24"/>
          <w:highlight w:val="none"/>
          <w:u w:val="single"/>
          <w:shd w:val="pct10" w:color="auto" w:fill="FFFFFF"/>
          <w:lang w:val="en-US" w:eastAsia="zh-CN"/>
        </w:rPr>
        <w:t>120</w:t>
      </w:r>
      <w:r>
        <w:rPr>
          <w:rFonts w:hint="eastAsia" w:ascii="宋体" w:hAnsi="宋体" w:eastAsia="宋体" w:cs="宋体"/>
          <w:color w:val="000000"/>
          <w:sz w:val="24"/>
          <w:szCs w:val="24"/>
          <w:highlight w:val="none"/>
        </w:rPr>
        <w:t>小时内派有关人员到达现场。</w:t>
      </w:r>
    </w:p>
    <w:p w14:paraId="3E8B5B57">
      <w:pPr>
        <w:adjustRightInd w:val="0"/>
        <w:snapToGrid w:val="0"/>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派往买方使用现场的人员，应具有较高的业务素质；现场解决问题时，不得无故拖延或推迟，应为买方提供最佳的服务</w:t>
      </w:r>
      <w:r>
        <w:rPr>
          <w:rFonts w:hint="eastAsia" w:ascii="宋体" w:hAnsi="宋体" w:eastAsia="宋体" w:cs="宋体"/>
          <w:color w:val="000000" w:themeColor="text1"/>
          <w:sz w:val="24"/>
          <w:szCs w:val="24"/>
          <w14:textFill>
            <w14:solidFill>
              <w14:schemeClr w14:val="tx1"/>
            </w14:solidFill>
          </w14:textFill>
        </w:rPr>
        <w:t>。</w:t>
      </w:r>
    </w:p>
    <w:p w14:paraId="65E844B1">
      <w:pPr>
        <w:pStyle w:val="121"/>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五、其它服务</w:t>
      </w:r>
    </w:p>
    <w:p w14:paraId="60B4DE59">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1.若</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所提供货物有需要进口的，</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一般应自行、自费办理；必要时，买卖双方共同办理。</w:t>
      </w:r>
    </w:p>
    <w:p w14:paraId="3CF4128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2.除招标文件、投标文件、答疑文件、技术标书、合同等约定之外，</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应免费负责必要的或强制性的货物的检验、试验、化验等直接费用。</w:t>
      </w:r>
    </w:p>
    <w:p w14:paraId="316B47AB">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highlight w:val="none"/>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不可另行收取的费用</w:t>
      </w:r>
      <w:r>
        <w:rPr>
          <w:rFonts w:hint="eastAsia" w:ascii="宋体" w:hAnsi="宋体" w:eastAsia="宋体" w:cs="宋体"/>
          <w:color w:val="000000" w:themeColor="text1"/>
          <w:sz w:val="24"/>
          <w:szCs w:val="24"/>
          <w14:textFill>
            <w14:solidFill>
              <w14:schemeClr w14:val="tx1"/>
            </w14:solidFill>
          </w14:textFill>
        </w:rPr>
        <w:t>。</w:t>
      </w:r>
    </w:p>
    <w:p w14:paraId="47082713">
      <w:pPr>
        <w:pStyle w:val="17"/>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br w:type="page"/>
      </w:r>
    </w:p>
    <w:p w14:paraId="7B2D230E">
      <w:pPr>
        <w:keepNext/>
        <w:keepLines/>
        <w:spacing w:line="360" w:lineRule="auto"/>
        <w:jc w:val="center"/>
        <w:outlineLvl w:val="1"/>
        <w:rPr>
          <w:rFonts w:ascii="Calibri" w:hAnsi="Calibri" w:eastAsia="宋体" w:cs="Times New Roman"/>
          <w:b/>
          <w:bCs/>
          <w:color w:val="000000" w:themeColor="text1"/>
          <w:kern w:val="44"/>
          <w:sz w:val="28"/>
          <w:szCs w:val="28"/>
          <w14:textFill>
            <w14:solidFill>
              <w14:schemeClr w14:val="tx1"/>
            </w14:solidFill>
          </w14:textFill>
        </w:rPr>
      </w:pPr>
      <w:bookmarkStart w:id="36" w:name="_Toc465187646"/>
      <w:bookmarkStart w:id="37" w:name="_Toc465187647"/>
      <w:r>
        <w:rPr>
          <w:rFonts w:hint="eastAsia" w:ascii="Calibri" w:hAnsi="Calibri" w:eastAsia="宋体" w:cs="Times New Roman"/>
          <w:b/>
          <w:bCs/>
          <w:color w:val="000000" w:themeColor="text1"/>
          <w:kern w:val="44"/>
          <w:sz w:val="28"/>
          <w:szCs w:val="28"/>
          <w14:textFill>
            <w14:solidFill>
              <w14:schemeClr w14:val="tx1"/>
            </w14:solidFill>
          </w14:textFill>
        </w:rPr>
        <w:t>第五章  预验收和终验收</w:t>
      </w:r>
      <w:bookmarkEnd w:id="36"/>
    </w:p>
    <w:p w14:paraId="7E4141B6">
      <w:pPr>
        <w:pStyle w:val="121"/>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一、验收依据和验收标准</w:t>
      </w:r>
    </w:p>
    <w:p w14:paraId="0C9802D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1.验收标准一般以技术标书和合同规定验收。无论技术标书和合同，是否全部并准确列明验收所涉及的相关标准，均作为验收标准之一。</w:t>
      </w:r>
    </w:p>
    <w:p w14:paraId="166187F9">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2.如果验收过程中，发现招标文件、投标文件、答疑文件、技术交流文件等与技术标书、合同存在差异，原则上以涉及条款中对买方最有利条款为验收依据。</w:t>
      </w:r>
    </w:p>
    <w:p w14:paraId="7EB9B151">
      <w:pPr>
        <w:pStyle w:val="121"/>
        <w:spacing w:line="360" w:lineRule="auto"/>
        <w:rPr>
          <w:rFonts w:ascii="宋体" w:hAnsi="宋体" w:cs="宋体"/>
          <w:highlight w:val="none"/>
        </w:rPr>
      </w:pPr>
      <w:r>
        <w:rPr>
          <w:rFonts w:hint="eastAsia" w:ascii="宋体" w:hAnsi="宋体" w:cs="宋体"/>
          <w:highlight w:val="none"/>
        </w:rPr>
        <w:t>二、检验</w:t>
      </w:r>
    </w:p>
    <w:p w14:paraId="289D2ED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如果采购货物涉及必要的或必需的检验，</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应当在投标文件中明确可能涉及的检验费用，并将该费用包含在投标总报价之内；不作针对性澄清或说明的，视同包含在投标总价之内。基本约定如下：</w:t>
      </w:r>
    </w:p>
    <w:p w14:paraId="1C41C032">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1.国产货物的检验一般由买卖双方共同进行或按照合同要求进行。</w:t>
      </w:r>
    </w:p>
    <w:p w14:paraId="755BC95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2.进口货物的检验，</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需要按照下述要求进行：</w:t>
      </w:r>
    </w:p>
    <w:p w14:paraId="40E94802">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进口货物发货前，应对货物的质量、型号、规格、性能和数量/重量作精密、全面的检验，并出具证明书，证明所供货物符合合同规定。</w:t>
      </w:r>
    </w:p>
    <w:p w14:paraId="7A0A883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应依据合同规定的要求，提供买卖双方达成一致的货物的验收标准和装箱单，作为买方检验的依据。</w:t>
      </w:r>
    </w:p>
    <w:p w14:paraId="4E7CFE48">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提出索赔，因索赔所发生的一切费用(包括检验检疫费等)均由</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承担。</w:t>
      </w:r>
    </w:p>
    <w:p w14:paraId="6F641CE8">
      <w:pPr>
        <w:pStyle w:val="121"/>
        <w:spacing w:line="360" w:lineRule="auto"/>
        <w:rPr>
          <w:rFonts w:ascii="宋体" w:hAnsi="宋体" w:cs="宋体"/>
          <w:highlight w:val="none"/>
        </w:rPr>
      </w:pPr>
      <w:r>
        <w:rPr>
          <w:rFonts w:hint="eastAsia" w:ascii="宋体" w:hAnsi="宋体" w:cs="宋体"/>
          <w:highlight w:val="none"/>
        </w:rPr>
        <w:t>三、验收基本条件</w:t>
      </w:r>
    </w:p>
    <w:p w14:paraId="6DAB5D1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验收一般分预验收和终验收两部分。预验收一般在</w:t>
      </w:r>
      <w:r>
        <w:rPr>
          <w:rFonts w:hint="eastAsia" w:ascii="宋体" w:hAnsi="宋体" w:eastAsia="宋体" w:cs="宋体"/>
          <w:color w:val="000000"/>
          <w:sz w:val="24"/>
          <w:szCs w:val="24"/>
          <w:highlight w:val="none"/>
          <w:lang w:val="en-US" w:eastAsia="zh-CN"/>
        </w:rPr>
        <w:t>卖</w:t>
      </w:r>
      <w:r>
        <w:rPr>
          <w:rFonts w:hint="eastAsia" w:ascii="宋体" w:hAnsi="宋体" w:eastAsia="宋体" w:cs="宋体"/>
          <w:color w:val="000000"/>
          <w:sz w:val="24"/>
          <w:szCs w:val="24"/>
          <w:highlight w:val="none"/>
          <w:lang w:eastAsia="zh-CN"/>
        </w:rPr>
        <w:t>方</w:t>
      </w:r>
      <w:r>
        <w:rPr>
          <w:rFonts w:hint="eastAsia" w:ascii="宋体" w:hAnsi="宋体" w:eastAsia="宋体" w:cs="宋体"/>
          <w:color w:val="000000"/>
          <w:sz w:val="24"/>
          <w:szCs w:val="24"/>
          <w:highlight w:val="none"/>
          <w:lang w:val="en-US" w:eastAsia="zh-CN"/>
        </w:rPr>
        <w:t>生产</w:t>
      </w:r>
      <w:r>
        <w:rPr>
          <w:rFonts w:hint="eastAsia" w:ascii="宋体" w:hAnsi="宋体" w:eastAsia="宋体" w:cs="宋体"/>
          <w:color w:val="000000"/>
          <w:sz w:val="24"/>
          <w:szCs w:val="24"/>
          <w:highlight w:val="none"/>
        </w:rPr>
        <w:t>现场进行，终验收在安装调试完成及试运行后的买方现场进行。但是所有的项目，包括不能预验收的项目和预验收通过的项目都在终验收时重新检验，最终只以终验收为准。</w:t>
      </w:r>
    </w:p>
    <w:p w14:paraId="5F4440D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买卖双方按照合同约定执行了合同，同时货物完成了试运行并经检验合格，则具备验收条件。</w:t>
      </w:r>
    </w:p>
    <w:p w14:paraId="2AE6093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14:paraId="3A93DF9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1.1 </w:t>
      </w:r>
      <w:r>
        <w:rPr>
          <w:rFonts w:hint="eastAsia" w:ascii="宋体" w:hAnsi="宋体" w:eastAsia="宋体" w:cs="宋体"/>
          <w:color w:val="000000"/>
          <w:sz w:val="24"/>
          <w:szCs w:val="24"/>
          <w:highlight w:val="none"/>
          <w:lang w:eastAsia="zh-CN"/>
        </w:rPr>
        <w:t>卖方</w:t>
      </w:r>
      <w:r>
        <w:rPr>
          <w:rFonts w:hint="eastAsia" w:ascii="宋体" w:hAnsi="宋体" w:eastAsia="宋体" w:cs="宋体"/>
          <w:color w:val="000000"/>
          <w:sz w:val="24"/>
          <w:szCs w:val="24"/>
          <w:highlight w:val="none"/>
        </w:rPr>
        <w:t>已经按照“供货范围”要求提供了预验收资料，并且资料齐全、完整和有效。</w:t>
      </w:r>
    </w:p>
    <w:p w14:paraId="2394A9F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 货物应完整且所有的零部件应该安装牢固，外观无损伤，所有的焊缝饱满、无残渣等缺陷。</w:t>
      </w:r>
    </w:p>
    <w:p w14:paraId="25D31949">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 xml:space="preserve"> 货物的油漆质量应饱满、有光泽，无掉漆、无色差、无“桔皮”等不良现象（特殊标志除外）。</w:t>
      </w:r>
    </w:p>
    <w:p w14:paraId="7F68DBD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rPr>
        <w:t>一般情况下，所有的管路和线缆等，接头应完全正确、可靠地联接；应排列有序（正确、牢固、整齐），有必要的防护，无皱褶、收缩和裂缝等不良现象。</w:t>
      </w:r>
    </w:p>
    <w:p w14:paraId="14C06216">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使用的压力容器、电气等应具备合格证（如果有压力容器）。</w:t>
      </w:r>
    </w:p>
    <w:p w14:paraId="5001F249">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 xml:space="preserve"> 货物标牌完整、清晰、明确。</w:t>
      </w:r>
    </w:p>
    <w:p w14:paraId="54734C02">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lang w:val="en-US" w:eastAsia="zh-CN"/>
        </w:rPr>
        <w:t>1.7</w:t>
      </w:r>
      <w:r>
        <w:rPr>
          <w:rFonts w:hint="eastAsia" w:ascii="宋体" w:hAnsi="宋体" w:eastAsia="宋体" w:cs="宋体"/>
          <w:sz w:val="24"/>
          <w:szCs w:val="24"/>
          <w:highlight w:val="none"/>
        </w:rPr>
        <w:t>地线联接和地极符合国际（ISO/IEC）标准规范。</w:t>
      </w:r>
    </w:p>
    <w:p w14:paraId="6D5CFDDE">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 xml:space="preserve"> 货物的安全要求符合中国最新的相关法律、法规、标准和规范以及合同要求。</w:t>
      </w:r>
    </w:p>
    <w:p w14:paraId="1047F0FB">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2.终验收一般条件</w:t>
      </w:r>
    </w:p>
    <w:p w14:paraId="03B3F76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14:paraId="53682AA9">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14:paraId="050AE75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14:paraId="6878A84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提供合格证或第三方鉴定文件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6037346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试运行期间或之后无维修、调整等行为（特殊情况除外）。</w:t>
      </w:r>
    </w:p>
    <w:p w14:paraId="2B0CB35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 货物质量、技术性能等，达到签定的技术标书和合同规定的终验收标准。</w:t>
      </w:r>
    </w:p>
    <w:p w14:paraId="2698414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3.终验收基本要求</w:t>
      </w:r>
    </w:p>
    <w:p w14:paraId="15D8E23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 xml:space="preserve"> </w:t>
      </w:r>
      <w:r>
        <w:rPr>
          <w:rFonts w:hint="eastAsia" w:ascii="宋体" w:hAnsi="宋体" w:eastAsia="宋体" w:cs="宋体"/>
          <w:strike w:val="0"/>
          <w:dstrike w:val="0"/>
          <w:color w:val="auto"/>
          <w:sz w:val="24"/>
          <w:szCs w:val="24"/>
          <w:highlight w:val="none"/>
        </w:rPr>
        <w:t>货物允许情况下，</w:t>
      </w:r>
      <w:r>
        <w:rPr>
          <w:rFonts w:hint="eastAsia" w:ascii="宋体" w:hAnsi="宋体" w:eastAsia="宋体" w:cs="宋体"/>
          <w:sz w:val="24"/>
          <w:szCs w:val="24"/>
          <w:highlight w:val="none"/>
        </w:rPr>
        <w:t>连续</w:t>
      </w:r>
      <w:r>
        <w:rPr>
          <w:rFonts w:hint="eastAsia" w:ascii="宋体" w:hAnsi="宋体" w:eastAsia="宋体" w:cs="宋体"/>
          <w:sz w:val="24"/>
          <w:szCs w:val="24"/>
          <w:highlight w:val="none"/>
          <w:lang w:val="en-US" w:eastAsia="zh-CN"/>
        </w:rPr>
        <w:t>空</w:t>
      </w:r>
      <w:r>
        <w:rPr>
          <w:rFonts w:hint="eastAsia" w:ascii="宋体" w:hAnsi="宋体" w:eastAsia="宋体" w:cs="宋体"/>
          <w:sz w:val="24"/>
          <w:szCs w:val="24"/>
          <w:highlight w:val="none"/>
        </w:rPr>
        <w:t>运转</w:t>
      </w:r>
      <w:r>
        <w:rPr>
          <w:rFonts w:hint="eastAsia" w:ascii="宋体" w:hAnsi="宋体" w:eastAsia="宋体" w:cs="宋体"/>
          <w:sz w:val="24"/>
          <w:szCs w:val="24"/>
          <w:highlight w:val="none"/>
          <w:u w:val="none"/>
          <w:shd w:val="pct10" w:color="auto" w:fill="FFFFFF"/>
        </w:rPr>
        <w:t xml:space="preserve">  8  </w:t>
      </w:r>
      <w:r>
        <w:rPr>
          <w:rFonts w:hint="eastAsia" w:ascii="宋体" w:hAnsi="宋体" w:eastAsia="宋体" w:cs="宋体"/>
          <w:sz w:val="24"/>
          <w:szCs w:val="24"/>
          <w:highlight w:val="none"/>
        </w:rPr>
        <w:t>小时，然后再进行负荷运行。负荷运行时，货物应连续运行</w:t>
      </w:r>
      <w:r>
        <w:rPr>
          <w:rFonts w:hint="eastAsia" w:ascii="宋体" w:hAnsi="宋体" w:eastAsia="宋体" w:cs="宋体"/>
          <w:sz w:val="24"/>
          <w:szCs w:val="24"/>
          <w:highlight w:val="none"/>
          <w:u w:val="none"/>
          <w:shd w:val="pct10" w:color="auto" w:fill="FFFFFF"/>
        </w:rPr>
        <w:t xml:space="preserve"> </w:t>
      </w:r>
      <w:r>
        <w:rPr>
          <w:rFonts w:hint="eastAsia" w:ascii="宋体" w:hAnsi="宋体" w:eastAsia="宋体" w:cs="宋体"/>
          <w:sz w:val="24"/>
          <w:szCs w:val="24"/>
          <w:highlight w:val="none"/>
          <w:u w:val="none"/>
          <w:shd w:val="pct10" w:color="auto" w:fill="FFFFFF"/>
          <w:lang w:val="en-US" w:eastAsia="zh-CN"/>
        </w:rPr>
        <w:t xml:space="preserve">30 </w:t>
      </w:r>
      <w:r>
        <w:rPr>
          <w:rFonts w:hint="eastAsia" w:ascii="宋体" w:hAnsi="宋体" w:eastAsia="宋体" w:cs="宋体"/>
          <w:sz w:val="24"/>
          <w:szCs w:val="24"/>
          <w:highlight w:val="none"/>
        </w:rPr>
        <w:t>天，每天连续</w:t>
      </w:r>
      <w:r>
        <w:rPr>
          <w:rFonts w:hint="eastAsia" w:ascii="宋体" w:hAnsi="宋体" w:eastAsia="宋体" w:cs="宋体"/>
          <w:sz w:val="24"/>
          <w:szCs w:val="24"/>
          <w:highlight w:val="none"/>
          <w:u w:val="none"/>
          <w:shd w:val="pct10" w:color="auto" w:fill="FFFFFF"/>
        </w:rPr>
        <w:t xml:space="preserve">  </w:t>
      </w:r>
      <w:r>
        <w:rPr>
          <w:rFonts w:hint="eastAsia" w:ascii="宋体" w:hAnsi="宋体" w:eastAsia="宋体" w:cs="宋体"/>
          <w:sz w:val="24"/>
          <w:szCs w:val="24"/>
          <w:highlight w:val="none"/>
          <w:u w:val="none"/>
          <w:shd w:val="pct10" w:color="auto" w:fill="FFFFFF"/>
          <w:lang w:val="en-US" w:eastAsia="zh-CN"/>
        </w:rPr>
        <w:t>8</w:t>
      </w:r>
      <w:r>
        <w:rPr>
          <w:rFonts w:hint="eastAsia" w:ascii="宋体" w:hAnsi="宋体" w:eastAsia="宋体" w:cs="宋体"/>
          <w:sz w:val="24"/>
          <w:szCs w:val="24"/>
          <w:highlight w:val="none"/>
          <w:u w:val="none"/>
          <w:shd w:val="pct10" w:color="auto" w:fill="FFFFFF"/>
        </w:rPr>
        <w:t xml:space="preserve">  </w:t>
      </w:r>
      <w:r>
        <w:rPr>
          <w:rFonts w:hint="eastAsia" w:ascii="宋体" w:hAnsi="宋体" w:eastAsia="宋体" w:cs="宋体"/>
          <w:sz w:val="24"/>
          <w:szCs w:val="24"/>
          <w:highlight w:val="none"/>
        </w:rPr>
        <w:t>小时或长时间连续运行</w:t>
      </w:r>
      <w:r>
        <w:rPr>
          <w:rFonts w:hint="eastAsia" w:ascii="宋体" w:hAnsi="宋体" w:eastAsia="宋体" w:cs="宋体"/>
          <w:sz w:val="24"/>
          <w:szCs w:val="24"/>
          <w:highlight w:val="none"/>
          <w:lang w:val="en-US" w:eastAsia="zh-CN"/>
        </w:rPr>
        <w:t>不少于</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240</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小时。</w:t>
      </w:r>
    </w:p>
    <w:p w14:paraId="086C76E4">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 xml:space="preserve">  出现下列问题之一，视作验收失败：</w:t>
      </w:r>
    </w:p>
    <w:p w14:paraId="0DC640CF">
      <w:pPr>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 xml:space="preserve"> </w:t>
      </w:r>
      <w:r>
        <w:rPr>
          <w:rFonts w:hint="eastAsia" w:ascii="宋体" w:hAnsi="宋体" w:eastAsia="宋体" w:cs="宋体"/>
          <w:color w:val="000000"/>
          <w:sz w:val="24"/>
          <w:szCs w:val="24"/>
          <w:highlight w:val="none"/>
        </w:rPr>
        <w:t>验收时，其参数</w:t>
      </w:r>
      <w:r>
        <w:rPr>
          <w:rFonts w:hint="eastAsia" w:ascii="宋体" w:hAnsi="宋体" w:eastAsia="宋体" w:cs="宋体"/>
          <w:color w:val="000000"/>
          <w:sz w:val="24"/>
          <w:szCs w:val="24"/>
          <w:highlight w:val="none"/>
          <w:lang w:val="en-US" w:eastAsia="zh-CN"/>
        </w:rPr>
        <w:t>和性能指标</w:t>
      </w:r>
      <w:r>
        <w:rPr>
          <w:rFonts w:hint="eastAsia" w:ascii="宋体" w:hAnsi="宋体" w:eastAsia="宋体" w:cs="宋体"/>
          <w:color w:val="000000"/>
          <w:sz w:val="24"/>
          <w:szCs w:val="24"/>
          <w:highlight w:val="none"/>
        </w:rPr>
        <w:t>无法满足招标书中的技术要求</w:t>
      </w:r>
      <w:r>
        <w:rPr>
          <w:rFonts w:hint="eastAsia" w:ascii="宋体" w:hAnsi="宋体" w:eastAsia="宋体" w:cs="宋体"/>
          <w:color w:val="000000"/>
          <w:sz w:val="24"/>
          <w:szCs w:val="24"/>
          <w:highlight w:val="none"/>
          <w:lang w:eastAsia="zh-CN"/>
        </w:rPr>
        <w:t>。</w:t>
      </w:r>
    </w:p>
    <w:p w14:paraId="399E7861">
      <w:pPr>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3.2.2 </w:t>
      </w:r>
      <w:r>
        <w:rPr>
          <w:rFonts w:hint="eastAsia" w:ascii="宋体" w:hAnsi="宋体" w:eastAsia="宋体" w:cs="宋体"/>
          <w:sz w:val="24"/>
          <w:szCs w:val="24"/>
          <w:highlight w:val="none"/>
        </w:rPr>
        <w:t>在整个验收过程中发生关键零部件损坏或重大故障。</w:t>
      </w:r>
    </w:p>
    <w:p w14:paraId="6C483449">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3 </w:t>
      </w:r>
      <w:r>
        <w:rPr>
          <w:rFonts w:hint="eastAsia" w:ascii="宋体" w:hAnsi="宋体" w:eastAsia="宋体" w:cs="宋体"/>
          <w:sz w:val="24"/>
          <w:szCs w:val="24"/>
          <w:highlight w:val="none"/>
        </w:rPr>
        <w:t>一般性故障超过</w:t>
      </w:r>
      <w:r>
        <w:rPr>
          <w:rFonts w:hint="eastAsia" w:ascii="宋体" w:hAnsi="宋体" w:eastAsia="宋体" w:cs="宋体"/>
          <w:sz w:val="24"/>
          <w:szCs w:val="24"/>
          <w:highlight w:val="none"/>
          <w:u w:val="none"/>
          <w:shd w:val="pct10" w:color="auto" w:fill="FFFFFF"/>
        </w:rPr>
        <w:t xml:space="preserve">   2   </w:t>
      </w:r>
      <w:r>
        <w:rPr>
          <w:rFonts w:hint="eastAsia" w:ascii="宋体" w:hAnsi="宋体" w:eastAsia="宋体" w:cs="宋体"/>
          <w:sz w:val="24"/>
          <w:szCs w:val="24"/>
          <w:highlight w:val="none"/>
        </w:rPr>
        <w:t>次。</w:t>
      </w:r>
    </w:p>
    <w:p w14:paraId="69E3E95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4 </w:t>
      </w:r>
      <w:r>
        <w:rPr>
          <w:rFonts w:hint="eastAsia" w:ascii="宋体" w:hAnsi="宋体" w:eastAsia="宋体" w:cs="宋体"/>
          <w:sz w:val="24"/>
          <w:szCs w:val="24"/>
          <w:highlight w:val="none"/>
        </w:rPr>
        <w:t>所有出现的维修调整，每次时间均不超过</w:t>
      </w:r>
      <w:r>
        <w:rPr>
          <w:rFonts w:hint="eastAsia" w:ascii="宋体" w:hAnsi="宋体" w:eastAsia="宋体" w:cs="宋体"/>
          <w:sz w:val="24"/>
          <w:szCs w:val="24"/>
          <w:highlight w:val="none"/>
          <w:u w:val="none"/>
          <w:shd w:val="pct10" w:color="auto" w:fill="FFFFFF"/>
        </w:rPr>
        <w:t xml:space="preserve">  90  </w:t>
      </w:r>
      <w:r>
        <w:rPr>
          <w:rFonts w:hint="eastAsia" w:ascii="宋体" w:hAnsi="宋体" w:eastAsia="宋体" w:cs="宋体"/>
          <w:sz w:val="24"/>
          <w:szCs w:val="24"/>
          <w:highlight w:val="none"/>
        </w:rPr>
        <w:t>分钟；所有维修调整时间的总和不超过总运行时间的</w:t>
      </w:r>
      <w:r>
        <w:rPr>
          <w:rFonts w:hint="eastAsia" w:ascii="宋体" w:hAnsi="宋体" w:eastAsia="宋体" w:cs="宋体"/>
          <w:sz w:val="24"/>
          <w:szCs w:val="24"/>
          <w:highlight w:val="none"/>
          <w:u w:val="none"/>
          <w:shd w:val="pct10" w:color="auto" w:fill="FFFFFF"/>
        </w:rPr>
        <w:t xml:space="preserve">   5   </w:t>
      </w:r>
      <w:r>
        <w:rPr>
          <w:rFonts w:hint="eastAsia" w:ascii="宋体" w:hAnsi="宋体" w:eastAsia="宋体" w:cs="宋体"/>
          <w:sz w:val="24"/>
          <w:szCs w:val="24"/>
          <w:highlight w:val="none"/>
        </w:rPr>
        <w:t>%。</w:t>
      </w:r>
    </w:p>
    <w:p w14:paraId="153900D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5 </w:t>
      </w:r>
      <w:r>
        <w:rPr>
          <w:rFonts w:hint="eastAsia" w:ascii="宋体" w:hAnsi="宋体" w:eastAsia="宋体" w:cs="宋体"/>
          <w:sz w:val="24"/>
          <w:szCs w:val="24"/>
          <w:highlight w:val="none"/>
        </w:rPr>
        <w:t>更换的零部件货值不超过总货值的</w:t>
      </w:r>
      <w:r>
        <w:rPr>
          <w:rFonts w:hint="eastAsia" w:ascii="宋体" w:hAnsi="宋体" w:eastAsia="宋体" w:cs="宋体"/>
          <w:sz w:val="24"/>
          <w:szCs w:val="24"/>
          <w:highlight w:val="none"/>
          <w:u w:val="none"/>
          <w:shd w:val="pct10" w:color="auto" w:fill="FFFFFF"/>
        </w:rPr>
        <w:t xml:space="preserve">  3  </w:t>
      </w:r>
      <w:r>
        <w:rPr>
          <w:rFonts w:hint="eastAsia" w:ascii="宋体" w:hAnsi="宋体" w:eastAsia="宋体" w:cs="宋体"/>
          <w:sz w:val="24"/>
          <w:szCs w:val="24"/>
          <w:highlight w:val="none"/>
        </w:rPr>
        <w:t>%。</w:t>
      </w:r>
    </w:p>
    <w:p w14:paraId="7ECBC57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 xml:space="preserve">2.6 </w:t>
      </w:r>
      <w:r>
        <w:rPr>
          <w:rFonts w:hint="eastAsia" w:ascii="宋体" w:hAnsi="宋体" w:eastAsia="宋体" w:cs="宋体"/>
          <w:color w:val="000000"/>
          <w:sz w:val="24"/>
          <w:szCs w:val="24"/>
          <w:highlight w:val="none"/>
        </w:rPr>
        <w:t>累计负载运行实际性能（或生产率）达不到合同规定；</w:t>
      </w:r>
    </w:p>
    <w:p w14:paraId="7F53A5E7">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 xml:space="preserve"> 终验收原则上要求一次完成。若一次验收不成功，最多允许两次；如果出现第三次验收失败，退货并赔偿</w:t>
      </w:r>
      <w:r>
        <w:rPr>
          <w:rFonts w:hint="eastAsia" w:ascii="宋体" w:hAnsi="宋体" w:eastAsia="宋体" w:cs="宋体"/>
          <w:color w:val="000000"/>
          <w:sz w:val="24"/>
          <w:szCs w:val="24"/>
          <w:highlight w:val="none"/>
          <w:lang w:eastAsia="zh-CN"/>
        </w:rPr>
        <w:t>买方</w:t>
      </w:r>
      <w:r>
        <w:rPr>
          <w:rFonts w:hint="eastAsia" w:ascii="宋体" w:hAnsi="宋体" w:eastAsia="宋体" w:cs="宋体"/>
          <w:color w:val="000000"/>
          <w:sz w:val="24"/>
          <w:szCs w:val="24"/>
          <w:highlight w:val="none"/>
        </w:rPr>
        <w:t>全部损失；</w:t>
      </w:r>
    </w:p>
    <w:p w14:paraId="37DCBED2">
      <w:pPr>
        <w:spacing w:line="360" w:lineRule="auto"/>
        <w:ind w:firstLine="453" w:firstLineChars="189"/>
        <w:rPr>
          <w:rFonts w:ascii="宋体" w:hAnsi="宋体" w:eastAsia="宋体" w:cs="宋体"/>
          <w:color w:val="000000"/>
          <w:sz w:val="24"/>
          <w:szCs w:val="24"/>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 xml:space="preserve"> 终验收通过后买卖双方共同签署终验收报告，并移交、核对全部供货范围内物品</w:t>
      </w:r>
      <w:r>
        <w:rPr>
          <w:rFonts w:ascii="宋体" w:hAnsi="宋体" w:eastAsia="宋体" w:cs="宋体"/>
          <w:b/>
          <w:bCs/>
          <w:color w:val="000000" w:themeColor="text1"/>
          <w:sz w:val="24"/>
          <w:szCs w:val="24"/>
          <w:highlight w:val="yellow"/>
          <w14:textFill>
            <w14:solidFill>
              <w14:schemeClr w14:val="tx1"/>
            </w14:solidFill>
          </w14:textFill>
        </w:rPr>
        <w:t>。</w:t>
      </w:r>
    </w:p>
    <w:p w14:paraId="5BC8472C">
      <w:pPr>
        <w:adjustRightInd w:val="0"/>
        <w:snapToGrid w:val="0"/>
        <w:spacing w:line="360" w:lineRule="auto"/>
        <w:ind w:firstLine="480" w:firstLineChars="200"/>
        <w:rPr>
          <w:rFonts w:ascii="宋体" w:hAnsi="宋体" w:eastAsia="宋体" w:cs="宋体"/>
          <w:color w:val="000000"/>
          <w:sz w:val="24"/>
          <w:szCs w:val="24"/>
        </w:rPr>
      </w:pPr>
    </w:p>
    <w:p w14:paraId="7EF9B37B">
      <w:pPr>
        <w:sectPr>
          <w:pgSz w:w="11906" w:h="16838"/>
          <w:pgMar w:top="1588" w:right="1418" w:bottom="1134" w:left="1418" w:header="851" w:footer="992" w:gutter="0"/>
          <w:cols w:space="720" w:num="1"/>
          <w:titlePg/>
          <w:docGrid w:linePitch="312" w:charSpace="0"/>
        </w:sectPr>
      </w:pPr>
    </w:p>
    <w:p w14:paraId="52884AC7">
      <w:pPr>
        <w:pStyle w:val="17"/>
        <w:rPr>
          <w:rFonts w:hAnsi="宋体" w:eastAsia="宋体" w:cs="宋体"/>
          <w:color w:val="000000" w:themeColor="text1"/>
          <w:sz w:val="24"/>
          <w:szCs w:val="24"/>
          <w14:textFill>
            <w14:solidFill>
              <w14:schemeClr w14:val="tx1"/>
            </w14:solidFill>
          </w14:textFill>
        </w:rPr>
      </w:pPr>
    </w:p>
    <w:p w14:paraId="4233D3CE">
      <w:pPr>
        <w:pStyle w:val="134"/>
        <w:spacing w:line="360" w:lineRule="auto"/>
        <w:outlineLvl w:val="1"/>
        <w:rPr>
          <w:rFonts w:eastAsia="宋体"/>
          <w:b/>
          <w:bCs w:val="0"/>
          <w:iCs/>
          <w:color w:val="000000" w:themeColor="text1"/>
          <w:sz w:val="28"/>
          <w14:textFill>
            <w14:solidFill>
              <w14:schemeClr w14:val="tx1"/>
            </w14:solidFill>
          </w14:textFill>
        </w:rPr>
      </w:pPr>
      <w:r>
        <w:rPr>
          <w:rFonts w:eastAsia="宋体"/>
          <w:b/>
          <w:bCs w:val="0"/>
          <w:iCs/>
          <w:color w:val="000000" w:themeColor="text1"/>
          <w:sz w:val="28"/>
          <w14:textFill>
            <w14:solidFill>
              <w14:schemeClr w14:val="tx1"/>
            </w14:solidFill>
          </w14:textFill>
        </w:rPr>
        <w:t>第六章  投标技术文件一般要求</w:t>
      </w:r>
      <w:bookmarkEnd w:id="37"/>
    </w:p>
    <w:p w14:paraId="3B61B777">
      <w:pPr>
        <w:pStyle w:val="121"/>
        <w:spacing w:line="360" w:lineRule="auto"/>
        <w:rPr>
          <w:color w:val="000000" w:themeColor="text1"/>
          <w14:textFill>
            <w14:solidFill>
              <w14:schemeClr w14:val="tx1"/>
            </w14:solidFill>
          </w14:textFill>
        </w:rPr>
      </w:pPr>
      <w:r>
        <w:rPr>
          <w:color w:val="000000" w:themeColor="text1"/>
          <w14:textFill>
            <w14:solidFill>
              <w14:schemeClr w14:val="tx1"/>
            </w14:solidFill>
          </w14:textFill>
        </w:rPr>
        <w:t>一、技术文件一般内容要求</w:t>
      </w:r>
    </w:p>
    <w:p w14:paraId="7D522DA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应认真阅读招标文件和本技术标书，并按要求编写投标技术文件。</w:t>
      </w:r>
    </w:p>
    <w:p w14:paraId="117FC24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投标技术文件至少应对投标货物的功能用途、技术性能、质量标准、技术参数等作出详细说明。</w:t>
      </w:r>
    </w:p>
    <w:p w14:paraId="3B6972A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投标技术文件至少应根据投标货物的关键设备、总成、零部件或系统作出满足或优于招标文件要求的详细说明。</w:t>
      </w:r>
    </w:p>
    <w:p w14:paraId="68BA826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投标技术文件至少应按照招标文件要求（或</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建议）列明备品备件、易损件和专用耗材明细。</w:t>
      </w:r>
    </w:p>
    <w:p w14:paraId="7E4EEEE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应当而且必须分别说明所列备品备件、易损件和专用耗材的使用寿命（以有效工作小时数说明）。</w:t>
      </w:r>
    </w:p>
    <w:p w14:paraId="0A411BC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投标的货物，应当根据其配置和备品备件、易损件、专用耗材情况，尽可能详细且分类填入下表：</w:t>
      </w:r>
    </w:p>
    <w:p w14:paraId="1CB6E046">
      <w:pPr>
        <w:adjustRightInd w:val="0"/>
        <w:snapToGrid w:val="0"/>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rPr>
        <w:t>6.1备品备件、易损件和专用耗材明细表：</w:t>
      </w:r>
    </w:p>
    <w:p w14:paraId="51F04B7D">
      <w:pPr>
        <w:adjustRightInd w:val="0"/>
        <w:snapToGrid w:val="0"/>
        <w:spacing w:line="360" w:lineRule="auto"/>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必须提供本项目所涉及到所有备品备件、易损件和专用耗材明细表，以便于质保期外，招标人能够根据清单快速找到同规格产品。</w:t>
      </w:r>
    </w:p>
    <w:p w14:paraId="0520340F">
      <w:pPr>
        <w:adjustRightInd w:val="0"/>
        <w:snapToGrid w:val="0"/>
        <w:spacing w:line="420" w:lineRule="exact"/>
        <w:ind w:firstLine="1890" w:firstLineChars="900"/>
        <w:rPr>
          <w:rFonts w:hint="eastAsia"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37"/>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119"/>
        <w:gridCol w:w="1361"/>
        <w:gridCol w:w="793"/>
        <w:gridCol w:w="793"/>
        <w:gridCol w:w="793"/>
        <w:gridCol w:w="2461"/>
      </w:tblGrid>
      <w:tr w14:paraId="6679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076F224D">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序号</w:t>
            </w:r>
          </w:p>
        </w:tc>
        <w:tc>
          <w:tcPr>
            <w:tcW w:w="2119" w:type="dxa"/>
          </w:tcPr>
          <w:p w14:paraId="444BDDC5">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名称</w:t>
            </w:r>
          </w:p>
        </w:tc>
        <w:tc>
          <w:tcPr>
            <w:tcW w:w="1361" w:type="dxa"/>
          </w:tcPr>
          <w:p w14:paraId="10AB4568">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型号规格</w:t>
            </w:r>
          </w:p>
        </w:tc>
        <w:tc>
          <w:tcPr>
            <w:tcW w:w="793" w:type="dxa"/>
          </w:tcPr>
          <w:p w14:paraId="18441086">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单位</w:t>
            </w:r>
          </w:p>
        </w:tc>
        <w:tc>
          <w:tcPr>
            <w:tcW w:w="793" w:type="dxa"/>
          </w:tcPr>
          <w:p w14:paraId="4C9AEC39">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数量</w:t>
            </w:r>
          </w:p>
        </w:tc>
        <w:tc>
          <w:tcPr>
            <w:tcW w:w="793" w:type="dxa"/>
          </w:tcPr>
          <w:p w14:paraId="67FEE773">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lang w:val="en-US" w:eastAsia="zh-CN"/>
              </w:rPr>
              <w:t>单</w:t>
            </w:r>
            <w:r>
              <w:rPr>
                <w:rFonts w:hint="eastAsia" w:ascii="宋体" w:hAnsi="宋体" w:eastAsia="宋体" w:cs="宋体"/>
                <w:highlight w:val="none"/>
              </w:rPr>
              <w:t>价</w:t>
            </w:r>
          </w:p>
        </w:tc>
        <w:tc>
          <w:tcPr>
            <w:tcW w:w="2461" w:type="dxa"/>
          </w:tcPr>
          <w:p w14:paraId="24D28EDD">
            <w:pPr>
              <w:adjustRightInd w:val="0"/>
              <w:snapToGrid w:val="0"/>
              <w:spacing w:line="360" w:lineRule="exact"/>
              <w:jc w:val="center"/>
              <w:rPr>
                <w:rFonts w:hint="eastAsia" w:ascii="宋体" w:hAnsi="宋体" w:eastAsia="宋体" w:cs="宋体"/>
                <w:highlight w:val="none"/>
              </w:rPr>
            </w:pPr>
            <w:r>
              <w:rPr>
                <w:rFonts w:hint="eastAsia" w:ascii="宋体" w:hAnsi="宋体" w:eastAsia="宋体" w:cs="宋体"/>
                <w:highlight w:val="none"/>
              </w:rPr>
              <w:t>制造商</w:t>
            </w:r>
          </w:p>
        </w:tc>
      </w:tr>
      <w:tr w14:paraId="3270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41E58FA">
            <w:pPr>
              <w:adjustRightInd w:val="0"/>
              <w:snapToGrid w:val="0"/>
              <w:spacing w:line="360" w:lineRule="exact"/>
              <w:jc w:val="center"/>
              <w:rPr>
                <w:rFonts w:hint="eastAsia" w:ascii="宋体" w:hAnsi="宋体" w:eastAsia="宋体" w:cs="宋体"/>
                <w:highlight w:val="none"/>
              </w:rPr>
            </w:pPr>
          </w:p>
        </w:tc>
        <w:tc>
          <w:tcPr>
            <w:tcW w:w="2119" w:type="dxa"/>
          </w:tcPr>
          <w:p w14:paraId="63F94955">
            <w:pPr>
              <w:adjustRightInd w:val="0"/>
              <w:snapToGrid w:val="0"/>
              <w:spacing w:line="360" w:lineRule="exact"/>
              <w:rPr>
                <w:rFonts w:hint="eastAsia" w:ascii="宋体" w:hAnsi="宋体" w:eastAsia="宋体" w:cs="宋体"/>
                <w:highlight w:val="none"/>
              </w:rPr>
            </w:pPr>
          </w:p>
        </w:tc>
        <w:tc>
          <w:tcPr>
            <w:tcW w:w="1361" w:type="dxa"/>
          </w:tcPr>
          <w:p w14:paraId="587C42CB">
            <w:pPr>
              <w:adjustRightInd w:val="0"/>
              <w:snapToGrid w:val="0"/>
              <w:spacing w:line="360" w:lineRule="exact"/>
              <w:rPr>
                <w:rFonts w:hint="eastAsia" w:ascii="宋体" w:hAnsi="宋体" w:eastAsia="宋体" w:cs="宋体"/>
                <w:highlight w:val="none"/>
              </w:rPr>
            </w:pPr>
          </w:p>
        </w:tc>
        <w:tc>
          <w:tcPr>
            <w:tcW w:w="793" w:type="dxa"/>
          </w:tcPr>
          <w:p w14:paraId="02027203">
            <w:pPr>
              <w:adjustRightInd w:val="0"/>
              <w:snapToGrid w:val="0"/>
              <w:spacing w:line="360" w:lineRule="exact"/>
              <w:jc w:val="center"/>
              <w:rPr>
                <w:rFonts w:hint="eastAsia" w:ascii="宋体" w:hAnsi="宋体" w:eastAsia="宋体" w:cs="宋体"/>
                <w:highlight w:val="none"/>
              </w:rPr>
            </w:pPr>
          </w:p>
        </w:tc>
        <w:tc>
          <w:tcPr>
            <w:tcW w:w="793" w:type="dxa"/>
          </w:tcPr>
          <w:p w14:paraId="10A8D081">
            <w:pPr>
              <w:adjustRightInd w:val="0"/>
              <w:snapToGrid w:val="0"/>
              <w:spacing w:line="360" w:lineRule="exact"/>
              <w:jc w:val="center"/>
              <w:rPr>
                <w:rFonts w:hint="eastAsia" w:ascii="宋体" w:hAnsi="宋体" w:eastAsia="宋体" w:cs="宋体"/>
                <w:highlight w:val="none"/>
              </w:rPr>
            </w:pPr>
          </w:p>
        </w:tc>
        <w:tc>
          <w:tcPr>
            <w:tcW w:w="793" w:type="dxa"/>
          </w:tcPr>
          <w:p w14:paraId="103BDB6D">
            <w:pPr>
              <w:adjustRightInd w:val="0"/>
              <w:snapToGrid w:val="0"/>
              <w:spacing w:line="360" w:lineRule="exact"/>
              <w:jc w:val="center"/>
              <w:rPr>
                <w:rFonts w:hint="eastAsia" w:ascii="宋体" w:hAnsi="宋体" w:eastAsia="宋体" w:cs="宋体"/>
                <w:highlight w:val="none"/>
              </w:rPr>
            </w:pPr>
          </w:p>
        </w:tc>
        <w:tc>
          <w:tcPr>
            <w:tcW w:w="2461" w:type="dxa"/>
          </w:tcPr>
          <w:p w14:paraId="403CE030">
            <w:pPr>
              <w:adjustRightInd w:val="0"/>
              <w:snapToGrid w:val="0"/>
              <w:spacing w:line="360" w:lineRule="exact"/>
              <w:rPr>
                <w:rFonts w:hint="eastAsia" w:ascii="宋体" w:hAnsi="宋体" w:eastAsia="宋体" w:cs="宋体"/>
                <w:highlight w:val="none"/>
              </w:rPr>
            </w:pPr>
          </w:p>
        </w:tc>
      </w:tr>
      <w:tr w14:paraId="21E5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78FA999">
            <w:pPr>
              <w:adjustRightInd w:val="0"/>
              <w:snapToGrid w:val="0"/>
              <w:spacing w:line="360" w:lineRule="exact"/>
              <w:jc w:val="center"/>
              <w:rPr>
                <w:rFonts w:hint="eastAsia" w:ascii="宋体" w:hAnsi="宋体" w:eastAsia="宋体" w:cs="宋体"/>
                <w:highlight w:val="none"/>
              </w:rPr>
            </w:pPr>
          </w:p>
        </w:tc>
        <w:tc>
          <w:tcPr>
            <w:tcW w:w="2119" w:type="dxa"/>
          </w:tcPr>
          <w:p w14:paraId="70495422">
            <w:pPr>
              <w:adjustRightInd w:val="0"/>
              <w:snapToGrid w:val="0"/>
              <w:spacing w:line="360" w:lineRule="exact"/>
              <w:rPr>
                <w:rFonts w:hint="eastAsia" w:ascii="宋体" w:hAnsi="宋体" w:eastAsia="宋体" w:cs="宋体"/>
                <w:highlight w:val="none"/>
              </w:rPr>
            </w:pPr>
          </w:p>
        </w:tc>
        <w:tc>
          <w:tcPr>
            <w:tcW w:w="1361" w:type="dxa"/>
          </w:tcPr>
          <w:p w14:paraId="0CCCDF50">
            <w:pPr>
              <w:adjustRightInd w:val="0"/>
              <w:snapToGrid w:val="0"/>
              <w:spacing w:line="360" w:lineRule="exact"/>
              <w:rPr>
                <w:rFonts w:hint="eastAsia" w:ascii="宋体" w:hAnsi="宋体" w:eastAsia="宋体" w:cs="宋体"/>
                <w:highlight w:val="none"/>
              </w:rPr>
            </w:pPr>
          </w:p>
        </w:tc>
        <w:tc>
          <w:tcPr>
            <w:tcW w:w="793" w:type="dxa"/>
          </w:tcPr>
          <w:p w14:paraId="0DB3ADA1">
            <w:pPr>
              <w:adjustRightInd w:val="0"/>
              <w:snapToGrid w:val="0"/>
              <w:spacing w:line="360" w:lineRule="exact"/>
              <w:jc w:val="center"/>
              <w:rPr>
                <w:rFonts w:hint="eastAsia" w:ascii="宋体" w:hAnsi="宋体" w:eastAsia="宋体" w:cs="宋体"/>
                <w:highlight w:val="none"/>
              </w:rPr>
            </w:pPr>
          </w:p>
        </w:tc>
        <w:tc>
          <w:tcPr>
            <w:tcW w:w="793" w:type="dxa"/>
          </w:tcPr>
          <w:p w14:paraId="33BCBA93">
            <w:pPr>
              <w:adjustRightInd w:val="0"/>
              <w:snapToGrid w:val="0"/>
              <w:spacing w:line="360" w:lineRule="exact"/>
              <w:jc w:val="center"/>
              <w:rPr>
                <w:rFonts w:hint="eastAsia" w:ascii="宋体" w:hAnsi="宋体" w:eastAsia="宋体" w:cs="宋体"/>
                <w:highlight w:val="none"/>
              </w:rPr>
            </w:pPr>
          </w:p>
        </w:tc>
        <w:tc>
          <w:tcPr>
            <w:tcW w:w="793" w:type="dxa"/>
          </w:tcPr>
          <w:p w14:paraId="60D97529">
            <w:pPr>
              <w:adjustRightInd w:val="0"/>
              <w:snapToGrid w:val="0"/>
              <w:spacing w:line="360" w:lineRule="exact"/>
              <w:jc w:val="center"/>
              <w:rPr>
                <w:rFonts w:hint="eastAsia" w:ascii="宋体" w:hAnsi="宋体" w:eastAsia="宋体" w:cs="宋体"/>
                <w:highlight w:val="none"/>
              </w:rPr>
            </w:pPr>
          </w:p>
        </w:tc>
        <w:tc>
          <w:tcPr>
            <w:tcW w:w="2461" w:type="dxa"/>
          </w:tcPr>
          <w:p w14:paraId="33615CA0">
            <w:pPr>
              <w:adjustRightInd w:val="0"/>
              <w:snapToGrid w:val="0"/>
              <w:spacing w:line="360" w:lineRule="exact"/>
              <w:rPr>
                <w:rFonts w:hint="eastAsia" w:ascii="宋体" w:hAnsi="宋体" w:eastAsia="宋体" w:cs="宋体"/>
                <w:highlight w:val="none"/>
              </w:rPr>
            </w:pPr>
          </w:p>
        </w:tc>
      </w:tr>
      <w:tr w14:paraId="65C5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00A20BD">
            <w:pPr>
              <w:adjustRightInd w:val="0"/>
              <w:snapToGrid w:val="0"/>
              <w:spacing w:line="360" w:lineRule="exact"/>
              <w:jc w:val="center"/>
              <w:rPr>
                <w:rFonts w:hint="eastAsia" w:ascii="宋体" w:hAnsi="宋体" w:eastAsia="宋体" w:cs="宋体"/>
                <w:highlight w:val="none"/>
              </w:rPr>
            </w:pPr>
          </w:p>
        </w:tc>
        <w:tc>
          <w:tcPr>
            <w:tcW w:w="2119" w:type="dxa"/>
          </w:tcPr>
          <w:p w14:paraId="05E8C4BF">
            <w:pPr>
              <w:adjustRightInd w:val="0"/>
              <w:snapToGrid w:val="0"/>
              <w:spacing w:line="360" w:lineRule="exact"/>
              <w:rPr>
                <w:rFonts w:hint="eastAsia" w:ascii="宋体" w:hAnsi="宋体" w:eastAsia="宋体" w:cs="宋体"/>
                <w:highlight w:val="none"/>
              </w:rPr>
            </w:pPr>
          </w:p>
        </w:tc>
        <w:tc>
          <w:tcPr>
            <w:tcW w:w="1361" w:type="dxa"/>
          </w:tcPr>
          <w:p w14:paraId="7791D02B">
            <w:pPr>
              <w:adjustRightInd w:val="0"/>
              <w:snapToGrid w:val="0"/>
              <w:spacing w:line="360" w:lineRule="exact"/>
              <w:rPr>
                <w:rFonts w:hint="eastAsia" w:ascii="宋体" w:hAnsi="宋体" w:eastAsia="宋体" w:cs="宋体"/>
                <w:highlight w:val="none"/>
              </w:rPr>
            </w:pPr>
          </w:p>
        </w:tc>
        <w:tc>
          <w:tcPr>
            <w:tcW w:w="793" w:type="dxa"/>
          </w:tcPr>
          <w:p w14:paraId="6B499C85">
            <w:pPr>
              <w:adjustRightInd w:val="0"/>
              <w:snapToGrid w:val="0"/>
              <w:spacing w:line="360" w:lineRule="exact"/>
              <w:jc w:val="center"/>
              <w:rPr>
                <w:rFonts w:hint="eastAsia" w:ascii="宋体" w:hAnsi="宋体" w:eastAsia="宋体" w:cs="宋体"/>
                <w:highlight w:val="none"/>
              </w:rPr>
            </w:pPr>
          </w:p>
        </w:tc>
        <w:tc>
          <w:tcPr>
            <w:tcW w:w="793" w:type="dxa"/>
          </w:tcPr>
          <w:p w14:paraId="3AE1FB8A">
            <w:pPr>
              <w:adjustRightInd w:val="0"/>
              <w:snapToGrid w:val="0"/>
              <w:spacing w:line="360" w:lineRule="exact"/>
              <w:jc w:val="center"/>
              <w:rPr>
                <w:rFonts w:hint="eastAsia" w:ascii="宋体" w:hAnsi="宋体" w:eastAsia="宋体" w:cs="宋体"/>
                <w:highlight w:val="none"/>
              </w:rPr>
            </w:pPr>
          </w:p>
        </w:tc>
        <w:tc>
          <w:tcPr>
            <w:tcW w:w="793" w:type="dxa"/>
          </w:tcPr>
          <w:p w14:paraId="5B0EB51E">
            <w:pPr>
              <w:adjustRightInd w:val="0"/>
              <w:snapToGrid w:val="0"/>
              <w:spacing w:line="360" w:lineRule="exact"/>
              <w:jc w:val="center"/>
              <w:rPr>
                <w:rFonts w:hint="eastAsia" w:ascii="宋体" w:hAnsi="宋体" w:eastAsia="宋体" w:cs="宋体"/>
                <w:highlight w:val="none"/>
              </w:rPr>
            </w:pPr>
          </w:p>
        </w:tc>
        <w:tc>
          <w:tcPr>
            <w:tcW w:w="2461" w:type="dxa"/>
          </w:tcPr>
          <w:p w14:paraId="25415010">
            <w:pPr>
              <w:adjustRightInd w:val="0"/>
              <w:snapToGrid w:val="0"/>
              <w:spacing w:line="360" w:lineRule="exact"/>
              <w:rPr>
                <w:rFonts w:hint="eastAsia" w:ascii="宋体" w:hAnsi="宋体" w:eastAsia="宋体" w:cs="宋体"/>
                <w:highlight w:val="none"/>
              </w:rPr>
            </w:pPr>
          </w:p>
        </w:tc>
      </w:tr>
      <w:tr w14:paraId="231B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73331F6">
            <w:pPr>
              <w:adjustRightInd w:val="0"/>
              <w:snapToGrid w:val="0"/>
              <w:spacing w:line="360" w:lineRule="exact"/>
              <w:jc w:val="center"/>
              <w:rPr>
                <w:rFonts w:hint="eastAsia" w:ascii="宋体" w:hAnsi="宋体" w:eastAsia="宋体" w:cs="宋体"/>
                <w:highlight w:val="none"/>
              </w:rPr>
            </w:pPr>
          </w:p>
        </w:tc>
        <w:tc>
          <w:tcPr>
            <w:tcW w:w="2119" w:type="dxa"/>
          </w:tcPr>
          <w:p w14:paraId="0215148D">
            <w:pPr>
              <w:adjustRightInd w:val="0"/>
              <w:snapToGrid w:val="0"/>
              <w:spacing w:line="360" w:lineRule="exact"/>
              <w:rPr>
                <w:rFonts w:hint="eastAsia" w:ascii="宋体" w:hAnsi="宋体" w:eastAsia="宋体" w:cs="宋体"/>
                <w:highlight w:val="none"/>
              </w:rPr>
            </w:pPr>
          </w:p>
        </w:tc>
        <w:tc>
          <w:tcPr>
            <w:tcW w:w="1361" w:type="dxa"/>
          </w:tcPr>
          <w:p w14:paraId="04E5F041">
            <w:pPr>
              <w:adjustRightInd w:val="0"/>
              <w:snapToGrid w:val="0"/>
              <w:spacing w:line="360" w:lineRule="exact"/>
              <w:rPr>
                <w:rFonts w:hint="eastAsia" w:ascii="宋体" w:hAnsi="宋体" w:eastAsia="宋体" w:cs="宋体"/>
                <w:highlight w:val="none"/>
              </w:rPr>
            </w:pPr>
          </w:p>
        </w:tc>
        <w:tc>
          <w:tcPr>
            <w:tcW w:w="793" w:type="dxa"/>
          </w:tcPr>
          <w:p w14:paraId="0B32EE05">
            <w:pPr>
              <w:adjustRightInd w:val="0"/>
              <w:snapToGrid w:val="0"/>
              <w:spacing w:line="360" w:lineRule="exact"/>
              <w:jc w:val="center"/>
              <w:rPr>
                <w:rFonts w:hint="eastAsia" w:ascii="宋体" w:hAnsi="宋体" w:eastAsia="宋体" w:cs="宋体"/>
                <w:highlight w:val="none"/>
              </w:rPr>
            </w:pPr>
          </w:p>
        </w:tc>
        <w:tc>
          <w:tcPr>
            <w:tcW w:w="793" w:type="dxa"/>
          </w:tcPr>
          <w:p w14:paraId="42118F49">
            <w:pPr>
              <w:adjustRightInd w:val="0"/>
              <w:snapToGrid w:val="0"/>
              <w:spacing w:line="360" w:lineRule="exact"/>
              <w:jc w:val="center"/>
              <w:rPr>
                <w:rFonts w:hint="eastAsia" w:ascii="宋体" w:hAnsi="宋体" w:eastAsia="宋体" w:cs="宋体"/>
                <w:highlight w:val="none"/>
              </w:rPr>
            </w:pPr>
          </w:p>
        </w:tc>
        <w:tc>
          <w:tcPr>
            <w:tcW w:w="793" w:type="dxa"/>
          </w:tcPr>
          <w:p w14:paraId="36A432DA">
            <w:pPr>
              <w:adjustRightInd w:val="0"/>
              <w:snapToGrid w:val="0"/>
              <w:spacing w:line="360" w:lineRule="exact"/>
              <w:jc w:val="center"/>
              <w:rPr>
                <w:rFonts w:hint="eastAsia" w:ascii="宋体" w:hAnsi="宋体" w:eastAsia="宋体" w:cs="宋体"/>
                <w:highlight w:val="none"/>
              </w:rPr>
            </w:pPr>
          </w:p>
        </w:tc>
        <w:tc>
          <w:tcPr>
            <w:tcW w:w="2461" w:type="dxa"/>
          </w:tcPr>
          <w:p w14:paraId="5080CF2B">
            <w:pPr>
              <w:adjustRightInd w:val="0"/>
              <w:snapToGrid w:val="0"/>
              <w:spacing w:line="360" w:lineRule="exact"/>
              <w:rPr>
                <w:rFonts w:hint="eastAsia" w:ascii="宋体" w:hAnsi="宋体" w:eastAsia="宋体" w:cs="宋体"/>
                <w:highlight w:val="none"/>
              </w:rPr>
            </w:pPr>
          </w:p>
        </w:tc>
      </w:tr>
      <w:tr w14:paraId="0E30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00DDBA9">
            <w:pPr>
              <w:adjustRightInd w:val="0"/>
              <w:snapToGrid w:val="0"/>
              <w:spacing w:line="360" w:lineRule="exact"/>
              <w:jc w:val="center"/>
              <w:rPr>
                <w:rFonts w:hint="eastAsia" w:ascii="宋体" w:hAnsi="宋体" w:eastAsia="宋体" w:cs="宋体"/>
                <w:highlight w:val="none"/>
              </w:rPr>
            </w:pPr>
          </w:p>
        </w:tc>
        <w:tc>
          <w:tcPr>
            <w:tcW w:w="2119" w:type="dxa"/>
          </w:tcPr>
          <w:p w14:paraId="360C61B1">
            <w:pPr>
              <w:adjustRightInd w:val="0"/>
              <w:snapToGrid w:val="0"/>
              <w:spacing w:line="360" w:lineRule="exact"/>
              <w:rPr>
                <w:rFonts w:hint="eastAsia" w:ascii="宋体" w:hAnsi="宋体" w:eastAsia="宋体" w:cs="宋体"/>
                <w:highlight w:val="none"/>
              </w:rPr>
            </w:pPr>
          </w:p>
        </w:tc>
        <w:tc>
          <w:tcPr>
            <w:tcW w:w="1361" w:type="dxa"/>
          </w:tcPr>
          <w:p w14:paraId="4507E57F">
            <w:pPr>
              <w:adjustRightInd w:val="0"/>
              <w:snapToGrid w:val="0"/>
              <w:spacing w:line="360" w:lineRule="exact"/>
              <w:rPr>
                <w:rFonts w:hint="eastAsia" w:ascii="宋体" w:hAnsi="宋体" w:eastAsia="宋体" w:cs="宋体"/>
                <w:highlight w:val="none"/>
              </w:rPr>
            </w:pPr>
          </w:p>
        </w:tc>
        <w:tc>
          <w:tcPr>
            <w:tcW w:w="793" w:type="dxa"/>
          </w:tcPr>
          <w:p w14:paraId="373BB500">
            <w:pPr>
              <w:adjustRightInd w:val="0"/>
              <w:snapToGrid w:val="0"/>
              <w:spacing w:line="360" w:lineRule="exact"/>
              <w:jc w:val="center"/>
              <w:rPr>
                <w:rFonts w:hint="eastAsia" w:ascii="宋体" w:hAnsi="宋体" w:eastAsia="宋体" w:cs="宋体"/>
                <w:highlight w:val="none"/>
              </w:rPr>
            </w:pPr>
          </w:p>
        </w:tc>
        <w:tc>
          <w:tcPr>
            <w:tcW w:w="793" w:type="dxa"/>
          </w:tcPr>
          <w:p w14:paraId="286DA5D6">
            <w:pPr>
              <w:adjustRightInd w:val="0"/>
              <w:snapToGrid w:val="0"/>
              <w:spacing w:line="360" w:lineRule="exact"/>
              <w:jc w:val="center"/>
              <w:rPr>
                <w:rFonts w:hint="eastAsia" w:ascii="宋体" w:hAnsi="宋体" w:eastAsia="宋体" w:cs="宋体"/>
                <w:highlight w:val="none"/>
              </w:rPr>
            </w:pPr>
          </w:p>
        </w:tc>
        <w:tc>
          <w:tcPr>
            <w:tcW w:w="793" w:type="dxa"/>
          </w:tcPr>
          <w:p w14:paraId="1D8A75AB">
            <w:pPr>
              <w:adjustRightInd w:val="0"/>
              <w:snapToGrid w:val="0"/>
              <w:spacing w:line="360" w:lineRule="exact"/>
              <w:jc w:val="center"/>
              <w:rPr>
                <w:rFonts w:hint="eastAsia" w:ascii="宋体" w:hAnsi="宋体" w:eastAsia="宋体" w:cs="宋体"/>
                <w:highlight w:val="none"/>
              </w:rPr>
            </w:pPr>
          </w:p>
        </w:tc>
        <w:tc>
          <w:tcPr>
            <w:tcW w:w="2461" w:type="dxa"/>
          </w:tcPr>
          <w:p w14:paraId="718D55B8">
            <w:pPr>
              <w:adjustRightInd w:val="0"/>
              <w:snapToGrid w:val="0"/>
              <w:spacing w:line="360" w:lineRule="exact"/>
              <w:rPr>
                <w:rFonts w:hint="eastAsia" w:ascii="宋体" w:hAnsi="宋体" w:eastAsia="宋体" w:cs="宋体"/>
                <w:highlight w:val="none"/>
              </w:rPr>
            </w:pPr>
          </w:p>
        </w:tc>
      </w:tr>
      <w:tr w14:paraId="18EA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659F3ECE">
            <w:pPr>
              <w:adjustRightInd w:val="0"/>
              <w:snapToGrid w:val="0"/>
              <w:spacing w:line="360" w:lineRule="exact"/>
              <w:jc w:val="center"/>
              <w:rPr>
                <w:rFonts w:hint="eastAsia" w:ascii="宋体" w:hAnsi="宋体" w:eastAsia="宋体" w:cs="宋体"/>
                <w:highlight w:val="none"/>
              </w:rPr>
            </w:pPr>
          </w:p>
        </w:tc>
        <w:tc>
          <w:tcPr>
            <w:tcW w:w="2119" w:type="dxa"/>
          </w:tcPr>
          <w:p w14:paraId="62C5ACA4">
            <w:pPr>
              <w:adjustRightInd w:val="0"/>
              <w:snapToGrid w:val="0"/>
              <w:spacing w:line="360" w:lineRule="exact"/>
              <w:rPr>
                <w:rFonts w:hint="eastAsia" w:ascii="宋体" w:hAnsi="宋体" w:eastAsia="宋体" w:cs="宋体"/>
                <w:highlight w:val="none"/>
              </w:rPr>
            </w:pPr>
          </w:p>
        </w:tc>
        <w:tc>
          <w:tcPr>
            <w:tcW w:w="1361" w:type="dxa"/>
          </w:tcPr>
          <w:p w14:paraId="1EDC8643">
            <w:pPr>
              <w:adjustRightInd w:val="0"/>
              <w:snapToGrid w:val="0"/>
              <w:spacing w:line="360" w:lineRule="exact"/>
              <w:rPr>
                <w:rFonts w:hint="eastAsia" w:ascii="宋体" w:hAnsi="宋体" w:eastAsia="宋体" w:cs="宋体"/>
                <w:highlight w:val="none"/>
              </w:rPr>
            </w:pPr>
          </w:p>
        </w:tc>
        <w:tc>
          <w:tcPr>
            <w:tcW w:w="793" w:type="dxa"/>
          </w:tcPr>
          <w:p w14:paraId="078B0322">
            <w:pPr>
              <w:adjustRightInd w:val="0"/>
              <w:snapToGrid w:val="0"/>
              <w:spacing w:line="360" w:lineRule="exact"/>
              <w:jc w:val="center"/>
              <w:rPr>
                <w:rFonts w:hint="eastAsia" w:ascii="宋体" w:hAnsi="宋体" w:eastAsia="宋体" w:cs="宋体"/>
                <w:highlight w:val="none"/>
              </w:rPr>
            </w:pPr>
          </w:p>
        </w:tc>
        <w:tc>
          <w:tcPr>
            <w:tcW w:w="793" w:type="dxa"/>
          </w:tcPr>
          <w:p w14:paraId="34D5457B">
            <w:pPr>
              <w:adjustRightInd w:val="0"/>
              <w:snapToGrid w:val="0"/>
              <w:spacing w:line="360" w:lineRule="exact"/>
              <w:jc w:val="center"/>
              <w:rPr>
                <w:rFonts w:hint="eastAsia" w:ascii="宋体" w:hAnsi="宋体" w:eastAsia="宋体" w:cs="宋体"/>
                <w:highlight w:val="none"/>
              </w:rPr>
            </w:pPr>
          </w:p>
        </w:tc>
        <w:tc>
          <w:tcPr>
            <w:tcW w:w="793" w:type="dxa"/>
          </w:tcPr>
          <w:p w14:paraId="6028B34F">
            <w:pPr>
              <w:adjustRightInd w:val="0"/>
              <w:snapToGrid w:val="0"/>
              <w:spacing w:line="360" w:lineRule="exact"/>
              <w:jc w:val="center"/>
              <w:rPr>
                <w:rFonts w:hint="eastAsia" w:ascii="宋体" w:hAnsi="宋体" w:eastAsia="宋体" w:cs="宋体"/>
                <w:highlight w:val="none"/>
              </w:rPr>
            </w:pPr>
          </w:p>
        </w:tc>
        <w:tc>
          <w:tcPr>
            <w:tcW w:w="2461" w:type="dxa"/>
          </w:tcPr>
          <w:p w14:paraId="3DC1BB85">
            <w:pPr>
              <w:adjustRightInd w:val="0"/>
              <w:snapToGrid w:val="0"/>
              <w:spacing w:line="360" w:lineRule="exact"/>
              <w:rPr>
                <w:rFonts w:hint="eastAsia" w:ascii="宋体" w:hAnsi="宋体" w:eastAsia="宋体" w:cs="宋体"/>
                <w:highlight w:val="none"/>
              </w:rPr>
            </w:pPr>
          </w:p>
        </w:tc>
      </w:tr>
    </w:tbl>
    <w:p w14:paraId="0BC9134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6.2“开标一览表”和“明细表”仅作为</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编制投标技术文件的一般格式。其中序号编写应当便于</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了解分类或分项货物之间的所属关系，如1、1.1、1.2</w:t>
      </w:r>
      <w:r>
        <w:rPr>
          <w:rFonts w:hint="eastAsia" w:ascii="宋体" w:hAnsi="宋体" w:eastAsia="宋体" w:cs="宋体"/>
          <w:sz w:val="24"/>
          <w:szCs w:val="24"/>
          <w:highlight w:val="none"/>
          <w:lang w:eastAsia="zh-CN"/>
        </w:rPr>
        <w:t>；</w:t>
      </w:r>
    </w:p>
    <w:p w14:paraId="3502C46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6.3应当尽可能将货物的配置列全、列细，这将有助于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胜出</w:t>
      </w:r>
      <w:r>
        <w:rPr>
          <w:rFonts w:hint="eastAsia" w:ascii="宋体" w:hAnsi="宋体" w:eastAsia="宋体" w:cs="宋体"/>
          <w:sz w:val="24"/>
          <w:szCs w:val="24"/>
          <w:highlight w:val="none"/>
          <w:lang w:eastAsia="zh-CN"/>
        </w:rPr>
        <w:t>；</w:t>
      </w:r>
    </w:p>
    <w:p w14:paraId="3479B1D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6.4单价与总价之间、总价与分类小计价之间、分类小计价与合计价之间数据应当齐全而且准确</w:t>
      </w:r>
      <w:r>
        <w:rPr>
          <w:rFonts w:hint="eastAsia" w:ascii="宋体" w:hAnsi="宋体" w:eastAsia="宋体" w:cs="宋体"/>
          <w:sz w:val="24"/>
          <w:szCs w:val="24"/>
          <w:highlight w:val="none"/>
          <w:lang w:eastAsia="zh-CN"/>
        </w:rPr>
        <w:t>；</w:t>
      </w:r>
    </w:p>
    <w:p w14:paraId="7B235E3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6.5  本条款表格中的制造商，应当为全称或公认的简称。</w:t>
      </w:r>
    </w:p>
    <w:p w14:paraId="0D444778">
      <w:pPr>
        <w:pStyle w:val="121"/>
        <w:spacing w:line="360" w:lineRule="auto"/>
        <w:rPr>
          <w:rFonts w:hint="eastAsia" w:ascii="宋体" w:hAnsi="宋体" w:cs="宋体"/>
          <w:color w:val="auto"/>
          <w:highlight w:val="none"/>
        </w:rPr>
      </w:pPr>
      <w:r>
        <w:rPr>
          <w:rFonts w:hint="eastAsia" w:ascii="宋体" w:hAnsi="宋体" w:cs="宋体"/>
          <w:color w:val="auto"/>
          <w:highlight w:val="none"/>
        </w:rPr>
        <w:t>二、技术文件中货物报价格式要求</w:t>
      </w:r>
    </w:p>
    <w:p w14:paraId="2A0B27C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投标技术文件中，如未按照要求编写、或者存在漏项和缺项，将有可能造成对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不必要的误解；必要时，漏项和缺项涉及的费用，将有可能以其它</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中，相同或相似项目的最高价，计入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的投标总报价之内，作为评标的依据之一。</w:t>
      </w:r>
    </w:p>
    <w:p w14:paraId="3C354D6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如果投标总报价与其它价格出现错误或不一致，将有可能导致废标。</w:t>
      </w:r>
    </w:p>
    <w:p w14:paraId="56D7719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投标总报价为自合同签定生效至合同无异议执行完毕涉及的买方需要支付的全部费用。如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认为本招标及投标货物涉及特需或专门的设计，应当单独列明设计费。</w:t>
      </w:r>
    </w:p>
    <w:p w14:paraId="7FE6CC3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备品备件、易损件和专用耗材，</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将可能与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按照投标价格另行签署供货合同。</w:t>
      </w:r>
    </w:p>
    <w:p w14:paraId="2E6A6AA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要求投标总报价、分项报价、明细报价之间应当具有相互间对应关系以及填报分项和明细报价，仅为便于评标而不妨碍投标人以最合适的形式签署合同。</w:t>
      </w:r>
    </w:p>
    <w:p w14:paraId="4C0C0FA7">
      <w:pPr>
        <w:pStyle w:val="121"/>
        <w:spacing w:line="360" w:lineRule="auto"/>
        <w:rPr>
          <w:rFonts w:hint="eastAsia" w:ascii="宋体" w:hAnsi="宋体" w:cs="宋体"/>
          <w:color w:val="auto"/>
          <w:highlight w:val="none"/>
        </w:rPr>
      </w:pPr>
      <w:r>
        <w:rPr>
          <w:rFonts w:hint="eastAsia" w:ascii="宋体" w:hAnsi="宋体" w:cs="宋体"/>
          <w:color w:val="auto"/>
          <w:highlight w:val="none"/>
        </w:rPr>
        <w:t>三、验收标准及内容要求</w:t>
      </w:r>
    </w:p>
    <w:p w14:paraId="3CC8F2E0">
      <w:pPr>
        <w:adjustRightInd w:val="0"/>
        <w:snapToGrid w:val="0"/>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highlight w:val="none"/>
        </w:rPr>
        <w:t>除招标文件明确的验收标准或内容之外，</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应当在投标文件中提供预验收（必要时）和终验收的标准以及规程；在合同签定之前，经</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和</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双方洽谈确认并签署，以作为验收标准执行</w:t>
      </w:r>
      <w:r>
        <w:rPr>
          <w:rFonts w:hint="eastAsia" w:ascii="宋体" w:hAnsi="宋体" w:eastAsia="宋体" w:cs="宋体"/>
          <w:color w:val="000000" w:themeColor="text1"/>
          <w:sz w:val="24"/>
          <w:szCs w:val="24"/>
          <w14:textFill>
            <w14:solidFill>
              <w14:schemeClr w14:val="tx1"/>
            </w14:solidFill>
          </w14:textFill>
        </w:rPr>
        <w:t>。</w:t>
      </w:r>
    </w:p>
    <w:p w14:paraId="460B2DE4">
      <w:pPr>
        <w:pStyle w:val="2"/>
        <w:spacing w:before="120" w:after="120" w:line="360" w:lineRule="auto"/>
        <w:rPr>
          <w:rFonts w:ascii="宋体" w:hAnsi="宋体" w:eastAsia="宋体" w:cs="宋体"/>
          <w:b w:val="0"/>
          <w:color w:val="000000" w:themeColor="text1"/>
          <w:sz w:val="24"/>
          <w:szCs w:val="24"/>
          <w14:textFill>
            <w14:solidFill>
              <w14:schemeClr w14:val="tx1"/>
            </w14:solidFill>
          </w14:textFill>
        </w:rPr>
        <w:sectPr>
          <w:pgSz w:w="11906" w:h="16838"/>
          <w:pgMar w:top="1588" w:right="1418" w:bottom="1134" w:left="1418" w:header="851" w:footer="992" w:gutter="0"/>
          <w:cols w:space="720" w:num="1"/>
          <w:titlePg/>
          <w:docGrid w:linePitch="312" w:charSpace="0"/>
        </w:sectPr>
      </w:pPr>
      <w:bookmarkStart w:id="38" w:name="_Toc465187648"/>
    </w:p>
    <w:p w14:paraId="584E4783">
      <w:pPr>
        <w:pStyle w:val="134"/>
        <w:outlineLvl w:val="1"/>
        <w:rPr>
          <w:rFonts w:ascii="宋体" w:hAnsi="宋体" w:eastAsia="宋体" w:cs="宋体"/>
          <w:b/>
          <w:bCs w:val="0"/>
          <w:iCs/>
          <w:color w:val="000000" w:themeColor="text1"/>
          <w:sz w:val="28"/>
          <w:szCs w:val="22"/>
          <w14:textFill>
            <w14:solidFill>
              <w14:schemeClr w14:val="tx1"/>
            </w14:solidFill>
          </w14:textFill>
        </w:rPr>
      </w:pPr>
      <w:r>
        <w:rPr>
          <w:rFonts w:hint="eastAsia" w:ascii="宋体" w:hAnsi="宋体" w:eastAsia="宋体" w:cs="宋体"/>
          <w:b/>
          <w:bCs w:val="0"/>
          <w:iCs/>
          <w:color w:val="000000" w:themeColor="text1"/>
          <w:sz w:val="28"/>
          <w:szCs w:val="22"/>
          <w14:textFill>
            <w14:solidFill>
              <w14:schemeClr w14:val="tx1"/>
            </w14:solidFill>
          </w14:textFill>
        </w:rPr>
        <w:t>第七章  其它要求及说明</w:t>
      </w:r>
      <w:bookmarkEnd w:id="38"/>
    </w:p>
    <w:p w14:paraId="554F4127">
      <w:pPr>
        <w:pStyle w:val="121"/>
        <w:spacing w:line="360" w:lineRule="auto"/>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一、要求</w:t>
      </w:r>
    </w:p>
    <w:p w14:paraId="4E0413BE">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为保证本技术标书所列采购货物的质量以及先进性、可靠性、经济性和实用性，要求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在投标文件中，至少应具备以下资格证明文件或资料：</w:t>
      </w:r>
    </w:p>
    <w:p w14:paraId="2DE28D98">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应是独立法人或得到法人授权的机构。应当在投标文件中提供法人营业执照（复印件）、税务登记证以及组织机构代码证（国际供应商参考该要求提供有效证明文件），并保证其真实性和有效性。</w:t>
      </w:r>
    </w:p>
    <w:p w14:paraId="0CEEB7C6">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应当是通过有关资格认证的法人。应当在投标文件中提供有效期内的资格认证证书，如：ISO9001、VDA6.1、QS9000等。</w:t>
      </w:r>
    </w:p>
    <w:p w14:paraId="457F7948">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国产设备应附有采购货物（或设备）涉及的由“中国质量认证中心”颁发的《中国国家强制性产品认证证书》（CCC证书）。</w:t>
      </w:r>
    </w:p>
    <w:p w14:paraId="42188069">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应附有其它与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、采购货物有关的荣誉证书或资料。</w:t>
      </w:r>
    </w:p>
    <w:p w14:paraId="17964618">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必须附有投标货物涉及产品要求的、国家或行业管理规定要求的、或者</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认为能够体现其投标货物合法性及先进性的最高级别的证明材料（投标货物不涉及的除外）：</w:t>
      </w:r>
    </w:p>
    <w:p w14:paraId="58959CBB">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5.1国家相关机构颁发的有效期之内所必需的《生产许可证》</w:t>
      </w:r>
      <w:r>
        <w:rPr>
          <w:rFonts w:hint="eastAsia" w:ascii="宋体" w:hAnsi="宋体" w:eastAsia="宋体" w:cs="宋体"/>
          <w:sz w:val="24"/>
          <w:szCs w:val="24"/>
          <w:highlight w:val="none"/>
          <w:lang w:eastAsia="zh-CN"/>
        </w:rPr>
        <w:t>；</w:t>
      </w:r>
    </w:p>
    <w:p w14:paraId="2C243E09">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5.2产品（或技术）鉴定报告/证书、专利证书或专利许可证书、新技术成果证书等</w:t>
      </w:r>
      <w:r>
        <w:rPr>
          <w:rFonts w:hint="eastAsia" w:ascii="宋体" w:hAnsi="宋体" w:eastAsia="宋体" w:cs="宋体"/>
          <w:sz w:val="24"/>
          <w:szCs w:val="24"/>
          <w:highlight w:val="none"/>
          <w:lang w:eastAsia="zh-CN"/>
        </w:rPr>
        <w:t>；</w:t>
      </w:r>
    </w:p>
    <w:p w14:paraId="5775B554">
      <w:pPr>
        <w:spacing w:line="360" w:lineRule="auto"/>
        <w:ind w:firstLine="477" w:firstLineChars="19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5.3产品相关检验、试验报告，如：型式试验检验报告、安全试验检验报告、电弧效应试验报告、噪声检测报告等</w:t>
      </w:r>
      <w:r>
        <w:rPr>
          <w:rFonts w:hint="eastAsia" w:ascii="宋体" w:hAnsi="宋体" w:eastAsia="宋体" w:cs="宋体"/>
          <w:sz w:val="24"/>
          <w:szCs w:val="24"/>
          <w:highlight w:val="none"/>
          <w:lang w:eastAsia="zh-CN"/>
        </w:rPr>
        <w:t>；</w:t>
      </w:r>
    </w:p>
    <w:p w14:paraId="09439609">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5.4其它能够证明所供货物的质量水平、技术水平、安全性水平、节能性水平、环保性水平等相关的其它证明文件或资料、报告等</w:t>
      </w:r>
      <w:r>
        <w:rPr>
          <w:rFonts w:hint="eastAsia" w:ascii="宋体" w:hAnsi="宋体" w:eastAsia="宋体" w:cs="宋体"/>
          <w:sz w:val="24"/>
          <w:szCs w:val="24"/>
          <w:highlight w:val="none"/>
          <w:lang w:eastAsia="zh-CN"/>
        </w:rPr>
        <w:t>；</w:t>
      </w:r>
    </w:p>
    <w:p w14:paraId="660D763B">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5.5该类报告或证明材料对于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胜出乃至中标极为重要！</w:t>
      </w:r>
    </w:p>
    <w:p w14:paraId="1DD1C340">
      <w:pPr>
        <w:numPr>
          <w:ilvl w:val="-1"/>
          <w:numId w:val="0"/>
        </w:num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lang w:val="en-US" w:eastAsia="zh-CN"/>
        </w:rPr>
        <w:t>6.</w:t>
      </w:r>
      <w:r>
        <w:rPr>
          <w:rFonts w:hint="eastAsia" w:ascii="宋体" w:hAnsi="宋体" w:eastAsia="宋体" w:cs="宋体"/>
          <w:b/>
          <w:sz w:val="24"/>
          <w:szCs w:val="24"/>
          <w:highlight w:val="none"/>
        </w:rPr>
        <w:t>必须附有：</w:t>
      </w:r>
      <w:r>
        <w:rPr>
          <w:rFonts w:hint="eastAsia" w:ascii="宋体" w:hAnsi="宋体" w:eastAsia="宋体" w:cs="宋体"/>
          <w:sz w:val="24"/>
          <w:szCs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应当保证其业绩的真实性，否则将影响投标或中标资格。</w:t>
      </w:r>
    </w:p>
    <w:p w14:paraId="1169C797">
      <w:pPr>
        <w:pStyle w:val="121"/>
        <w:spacing w:line="360" w:lineRule="auto"/>
        <w:rPr>
          <w:rFonts w:hint="eastAsia"/>
          <w:sz w:val="24"/>
          <w:szCs w:val="24"/>
          <w:highlight w:val="none"/>
        </w:rPr>
      </w:pPr>
      <w:r>
        <w:rPr>
          <w:rFonts w:hint="eastAsia" w:ascii="宋体" w:hAnsi="宋体" w:cs="宋体"/>
          <w:color w:val="auto"/>
          <w:sz w:val="24"/>
          <w:szCs w:val="24"/>
          <w:highlight w:val="none"/>
          <w:lang w:val="en-US" w:eastAsia="zh-CN"/>
        </w:rPr>
        <w:t>二</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其他</w:t>
      </w:r>
    </w:p>
    <w:p w14:paraId="253196A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可以根据自身的技术、经验等优势以及对招标文件和本技术标书的理解，写明对</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所采购货物的优化方案或建议意见。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的这些努力，</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表示感谢，并将有助于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优先胜出。</w:t>
      </w:r>
    </w:p>
    <w:p w14:paraId="029E4D6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即使有建议意见或建议方案，仍应依据招标文件和本技术标书要求，编写符合要求的投标文件。建议方案或建议意见，应以单独篇章或文件，予以说明和报价。</w:t>
      </w:r>
    </w:p>
    <w:p w14:paraId="449EE4A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请</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仔细阅读“采购货物概况”章节内说明，针对允许分投分中的货物，</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有权利选择其中优秀设备或服务，作为</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合同供货范围中的指定选用设备或服务（替代</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分投而未中标部分）。</w:t>
      </w:r>
    </w:p>
    <w:p w14:paraId="06D70C0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招标文件、投标文件、答疑文件、技术交流文件、技术标书等，在采购过程全部为有效文件，如有差异，以对</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最有利的条款为准。</w:t>
      </w:r>
    </w:p>
    <w:p w14:paraId="09585202">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为避免</w:t>
      </w:r>
      <w:r>
        <w:rPr>
          <w:rFonts w:hint="eastAsia" w:ascii="宋体" w:hAnsi="宋体" w:eastAsia="宋体" w:cs="宋体"/>
          <w:sz w:val="24"/>
          <w:szCs w:val="24"/>
          <w:highlight w:val="none"/>
          <w:lang w:val="en-US" w:eastAsia="zh-CN"/>
        </w:rPr>
        <w:t>歧义</w:t>
      </w:r>
      <w:r>
        <w:rPr>
          <w:rFonts w:hint="eastAsia" w:ascii="宋体" w:hAnsi="宋体" w:eastAsia="宋体" w:cs="宋体"/>
          <w:sz w:val="24"/>
          <w:szCs w:val="24"/>
          <w:highlight w:val="none"/>
        </w:rPr>
        <w:t>，本技术标书涉及招投标环节的条款，均将潜在的</w:t>
      </w:r>
      <w:r>
        <w:rPr>
          <w:rFonts w:hint="eastAsia" w:ascii="宋体" w:hAnsi="宋体" w:eastAsia="宋体" w:cs="宋体"/>
          <w:sz w:val="24"/>
          <w:szCs w:val="24"/>
          <w:highlight w:val="none"/>
          <w:lang w:eastAsia="zh-CN"/>
        </w:rPr>
        <w:t>卖方</w:t>
      </w:r>
      <w:r>
        <w:rPr>
          <w:rFonts w:hint="eastAsia" w:ascii="宋体" w:hAnsi="宋体" w:eastAsia="宋体" w:cs="宋体"/>
          <w:sz w:val="24"/>
          <w:szCs w:val="24"/>
          <w:highlight w:val="none"/>
        </w:rPr>
        <w:t>称为</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、将买方称为</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；定标后合同签署环节以及后续的合同执行环节条款，</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称为买方、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中的中标方称为</w:t>
      </w:r>
      <w:r>
        <w:rPr>
          <w:rFonts w:hint="eastAsia" w:ascii="宋体" w:hAnsi="宋体" w:eastAsia="宋体" w:cs="宋体"/>
          <w:sz w:val="24"/>
          <w:szCs w:val="24"/>
          <w:highlight w:val="none"/>
          <w:lang w:eastAsia="zh-CN"/>
        </w:rPr>
        <w:t>卖方</w:t>
      </w:r>
      <w:r>
        <w:rPr>
          <w:rFonts w:hint="eastAsia" w:ascii="宋体" w:hAnsi="宋体" w:eastAsia="宋体" w:cs="宋体"/>
          <w:color w:val="000000" w:themeColor="text1"/>
          <w:sz w:val="24"/>
          <w:szCs w:val="24"/>
          <w14:textFill>
            <w14:solidFill>
              <w14:schemeClr w14:val="tx1"/>
            </w14:solidFill>
          </w14:textFill>
        </w:rPr>
        <w:t>。</w:t>
      </w:r>
    </w:p>
    <w:p w14:paraId="0D32A435">
      <w:pPr>
        <w:pStyle w:val="17"/>
        <w:spacing w:line="360" w:lineRule="auto"/>
        <w:rPr>
          <w:rFonts w:hAnsi="宋体" w:eastAsia="宋体" w:cs="宋体"/>
        </w:rPr>
        <w:sectPr>
          <w:pgSz w:w="11907" w:h="16840"/>
          <w:pgMar w:top="1304" w:right="1418" w:bottom="1304" w:left="1418" w:header="724" w:footer="851" w:gutter="0"/>
          <w:cols w:space="720" w:num="1"/>
          <w:docGrid w:linePitch="290" w:charSpace="-3931"/>
        </w:sectPr>
      </w:pPr>
    </w:p>
    <w:p w14:paraId="53F62FDA">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27"/>
    </w:p>
    <w:p w14:paraId="7552B7E7">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27B1600">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6A87A0C5">
      <w:pPr>
        <w:adjustRightInd w:val="0"/>
        <w:snapToGrid w:val="0"/>
        <w:spacing w:line="360" w:lineRule="auto"/>
        <w:jc w:val="left"/>
        <w:rPr>
          <w:rFonts w:ascii="宋体" w:hAnsi="宋体"/>
          <w:sz w:val="20"/>
          <w:szCs w:val="20"/>
        </w:rPr>
      </w:pPr>
    </w:p>
    <w:p w14:paraId="2773C57C">
      <w:pPr>
        <w:adjustRightInd w:val="0"/>
        <w:snapToGrid w:val="0"/>
        <w:spacing w:line="360" w:lineRule="auto"/>
        <w:jc w:val="center"/>
        <w:rPr>
          <w:rFonts w:ascii="方正小标宋简体" w:hAnsi="宋体" w:eastAsia="方正小标宋简体"/>
          <w:bCs/>
          <w:sz w:val="52"/>
          <w:szCs w:val="36"/>
        </w:rPr>
      </w:pPr>
    </w:p>
    <w:p w14:paraId="3EE1C2F6">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r>
        <w:rPr>
          <w:rFonts w:hint="eastAsia" w:ascii="方正小标宋简体" w:hAnsi="宋体" w:eastAsia="方正小标宋简体"/>
          <w:bCs/>
          <w:sz w:val="52"/>
          <w:szCs w:val="36"/>
          <w:lang w:val="en-US" w:eastAsia="zh-CN"/>
        </w:rPr>
        <w:t>1</w:t>
      </w:r>
      <w:r>
        <w:rPr>
          <w:rFonts w:hint="eastAsia" w:ascii="方正小标宋简体" w:hAnsi="宋体" w:eastAsia="方正小标宋简体"/>
          <w:bCs/>
          <w:sz w:val="52"/>
          <w:szCs w:val="36"/>
        </w:rPr>
        <w:t>）</w:t>
      </w:r>
    </w:p>
    <w:p w14:paraId="61EA253B">
      <w:pPr>
        <w:jc w:val="center"/>
        <w:outlineLvl w:val="9"/>
        <w:rPr>
          <w:sz w:val="11"/>
          <w:szCs w:val="15"/>
        </w:rPr>
      </w:pPr>
      <w:r>
        <w:rPr>
          <w:rFonts w:hint="eastAsia" w:ascii="方正小标宋简体" w:hAnsi="宋体" w:eastAsia="方正小标宋简体"/>
          <w:sz w:val="22"/>
          <w:szCs w:val="16"/>
        </w:rPr>
        <w:t>(合同以双方最终签署的版本为准)</w:t>
      </w:r>
    </w:p>
    <w:p w14:paraId="4AE07C19">
      <w:pPr>
        <w:adjustRightInd w:val="0"/>
        <w:snapToGrid w:val="0"/>
        <w:spacing w:line="360" w:lineRule="auto"/>
        <w:jc w:val="left"/>
        <w:rPr>
          <w:rFonts w:ascii="宋体" w:hAnsi="宋体"/>
          <w:b/>
          <w:sz w:val="36"/>
          <w:szCs w:val="36"/>
        </w:rPr>
      </w:pPr>
    </w:p>
    <w:p w14:paraId="7DEC8660">
      <w:pPr>
        <w:adjustRightInd w:val="0"/>
        <w:snapToGrid w:val="0"/>
        <w:spacing w:line="360" w:lineRule="auto"/>
        <w:jc w:val="left"/>
        <w:rPr>
          <w:rFonts w:ascii="宋体" w:hAnsi="宋体"/>
          <w:b/>
          <w:sz w:val="36"/>
          <w:szCs w:val="36"/>
        </w:rPr>
      </w:pPr>
    </w:p>
    <w:p w14:paraId="4824F656">
      <w:pPr>
        <w:adjustRightInd w:val="0"/>
        <w:snapToGrid w:val="0"/>
        <w:spacing w:line="360" w:lineRule="auto"/>
        <w:jc w:val="left"/>
        <w:rPr>
          <w:rFonts w:ascii="宋体" w:hAnsi="宋体"/>
          <w:b/>
          <w:sz w:val="36"/>
          <w:szCs w:val="36"/>
        </w:rPr>
      </w:pPr>
    </w:p>
    <w:p w14:paraId="71FE1903">
      <w:pPr>
        <w:adjustRightInd w:val="0"/>
        <w:snapToGrid w:val="0"/>
        <w:spacing w:line="360" w:lineRule="auto"/>
        <w:jc w:val="left"/>
        <w:rPr>
          <w:rFonts w:ascii="宋体" w:hAnsi="宋体"/>
          <w:b/>
          <w:sz w:val="36"/>
          <w:szCs w:val="36"/>
        </w:rPr>
      </w:pPr>
    </w:p>
    <w:p w14:paraId="0FA19857">
      <w:pPr>
        <w:adjustRightInd w:val="0"/>
        <w:snapToGrid w:val="0"/>
        <w:spacing w:line="360" w:lineRule="auto"/>
        <w:jc w:val="left"/>
        <w:rPr>
          <w:rFonts w:ascii="宋体" w:hAnsi="宋体"/>
          <w:b/>
          <w:sz w:val="36"/>
          <w:szCs w:val="36"/>
        </w:rPr>
      </w:pPr>
    </w:p>
    <w:p w14:paraId="557AD584">
      <w:pPr>
        <w:adjustRightInd w:val="0"/>
        <w:snapToGrid w:val="0"/>
        <w:spacing w:line="360" w:lineRule="auto"/>
        <w:jc w:val="left"/>
        <w:rPr>
          <w:rFonts w:ascii="宋体" w:hAnsi="宋体"/>
          <w:b/>
          <w:sz w:val="36"/>
          <w:szCs w:val="36"/>
        </w:rPr>
      </w:pPr>
    </w:p>
    <w:p w14:paraId="2672C7A0">
      <w:pPr>
        <w:adjustRightInd w:val="0"/>
        <w:snapToGrid w:val="0"/>
        <w:spacing w:line="360" w:lineRule="auto"/>
        <w:jc w:val="left"/>
        <w:rPr>
          <w:rFonts w:ascii="宋体" w:hAnsi="宋体"/>
          <w:b/>
          <w:sz w:val="36"/>
          <w:szCs w:val="36"/>
        </w:rPr>
      </w:pPr>
    </w:p>
    <w:p w14:paraId="35FAE8E9">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B042328">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16659D44">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43622D76">
      <w:pPr>
        <w:spacing w:line="360" w:lineRule="auto"/>
        <w:ind w:right="480"/>
        <w:sectPr>
          <w:footerReference r:id="rId14" w:type="default"/>
          <w:pgSz w:w="11907" w:h="16840"/>
          <w:pgMar w:top="1304" w:right="1418" w:bottom="1304" w:left="1418" w:header="724" w:footer="851" w:gutter="0"/>
          <w:cols w:space="720" w:num="1"/>
          <w:docGrid w:linePitch="290" w:charSpace="-3931"/>
        </w:sectPr>
      </w:pPr>
    </w:p>
    <w:p w14:paraId="1BF75296">
      <w:pPr>
        <w:spacing w:line="360" w:lineRule="auto"/>
        <w:ind w:right="480"/>
        <w:rPr>
          <w:rFonts w:ascii="宋体" w:hAnsi="宋体" w:cs="宋体"/>
          <w:bCs/>
          <w:sz w:val="24"/>
          <w:u w:val="single"/>
        </w:rPr>
      </w:pPr>
      <w:r>
        <w:rPr>
          <w:rFonts w:hint="eastAsia" w:ascii="宋体" w:hAnsi="宋体" w:cs="宋体"/>
          <w:bCs/>
          <w:sz w:val="22"/>
        </w:rPr>
        <w:t xml:space="preserve"> </w:t>
      </w:r>
      <w:bookmarkStart w:id="39" w:name="_Toc283814116"/>
      <w:r>
        <w:rPr>
          <w:rFonts w:hint="eastAsia" w:ascii="宋体" w:hAnsi="宋体" w:cs="宋体"/>
          <w:bCs/>
          <w:sz w:val="24"/>
        </w:rPr>
        <w:t xml:space="preserve"> </w:t>
      </w:r>
    </w:p>
    <w:p w14:paraId="20941E6E">
      <w:pPr>
        <w:spacing w:line="360" w:lineRule="auto"/>
        <w:rPr>
          <w:rFonts w:ascii="仿宋_GB2312" w:hAnsi="宋体" w:eastAsia="仿宋_GB2312" w:cs="宋体"/>
          <w:bCs/>
          <w:sz w:val="24"/>
          <w:szCs w:val="24"/>
        </w:rPr>
      </w:pPr>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04C7A005">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4139C1A2">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78C0D1A4">
      <w:pPr>
        <w:spacing w:line="360" w:lineRule="auto"/>
        <w:ind w:right="-189" w:rightChars="-90"/>
        <w:jc w:val="left"/>
        <w:rPr>
          <w:rFonts w:ascii="仿宋_GB2312" w:hAnsi="宋体" w:eastAsia="仿宋_GB2312" w:cs="宋体"/>
          <w:b/>
          <w:bCs/>
          <w:sz w:val="24"/>
          <w:szCs w:val="24"/>
          <w:u w:val="single"/>
        </w:rPr>
      </w:pPr>
    </w:p>
    <w:p w14:paraId="6C8AC023">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207C63A">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44FAAAD3">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3E2211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5DFA08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343847D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19E60D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17292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59B04EA">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1D34231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030346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62923D99">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1AD8762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7EAA17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2EAFD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63FFE8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F93DE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549865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4253B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450D501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141DD08">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0E8061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84AA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A566410">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070B873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F188B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1D58095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55174B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5D6E08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DEAE4F0">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48ED710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8556B7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4E3945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3E2E73F">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1079CF4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1AEE90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CF43B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24A0583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4E130F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70EFF01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782D1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D4DB9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4CAB4378">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CDBDCF9">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12245B35">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3905E9C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9140D2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F00EF4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3B4E014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7D36E668">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642971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373757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4AAAC6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1A4D999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4461DC32">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6E0C9A9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D75E72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DCE4C42">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360D09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AC89D4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3572D0D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2825C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7D2506E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EF396E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28450BE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4DF1A1A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C0F8A53">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4B7291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67115BD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EC1B1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26B84A9">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09CF218F">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2C04D09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0EDD34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1739B2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177EFFA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ACCEA1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2A627EE3">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6DACD204">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772E05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5C2230E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01E9236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3CEF74E9">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6625E53B">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6F8BEF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2A673C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49D5A5E">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148E36D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02D32ABE">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690B8240">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391872E2">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FEA2D4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6AEE6D3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6E56DD9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385E9D9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20D66D7D">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7CF25B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C894D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1A9D236D">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36D1C3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5443D89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0C7566A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5EABF5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53D7F0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5921FFD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32EC882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7FEE9EA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29324F6C">
      <w:pPr>
        <w:pStyle w:val="3"/>
        <w:tabs>
          <w:tab w:val="right" w:leader="dot" w:pos="9061"/>
        </w:tabs>
        <w:spacing w:before="240" w:beforeLines="100"/>
        <w:ind w:firstLine="560" w:firstLineChars="200"/>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308EB1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055DC0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7FA1168">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55965EC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168001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DB9C6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56212B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54DBA2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1053CD4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45B837A2">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040A0C4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19782B4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0DF1431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8C9848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1B09C96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8943CBF">
      <w:pPr>
        <w:pStyle w:val="3"/>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2364531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3A0C9417">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72B1A6B">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669995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4F48DCF7">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4AA5D6BF">
      <w:pPr>
        <w:spacing w:line="360" w:lineRule="auto"/>
        <w:rPr>
          <w:rFonts w:ascii="宋体" w:hAnsi="宋体"/>
          <w:snapToGrid w:val="0"/>
          <w:kern w:val="0"/>
          <w:sz w:val="20"/>
          <w:szCs w:val="20"/>
          <w:lang w:eastAsia="zh-Hans"/>
        </w:rPr>
      </w:pPr>
    </w:p>
    <w:p w14:paraId="5651AF9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25B0A2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2932EAA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71A526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0514CF04">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54B5507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48EF2593">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8001AB8">
      <w:pPr>
        <w:spacing w:line="360" w:lineRule="auto"/>
        <w:rPr>
          <w:rFonts w:ascii="仿宋_GB2312" w:eastAsia="仿宋_GB2312"/>
          <w:sz w:val="24"/>
          <w:szCs w:val="24"/>
        </w:rPr>
      </w:pPr>
    </w:p>
    <w:p w14:paraId="683DF153">
      <w:pPr>
        <w:pStyle w:val="3"/>
        <w:tabs>
          <w:tab w:val="right" w:leader="dot" w:pos="9061"/>
        </w:tabs>
        <w:ind w:left="0"/>
        <w:jc w:val="both"/>
        <w:outlineLvl w:val="1"/>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71584B13"/>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1D6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2308B21">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54183AD4">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845ADC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061FA43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3FD57D3B">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2244A67A">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6D7BE6B3">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24C385B3">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2ABEE65D">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F73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043A81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1F5A2C39">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FF24BBE">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96F1D8E">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7DA5994">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1C4550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A78A18B">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F899CDF">
            <w:pPr>
              <w:pStyle w:val="26"/>
              <w:spacing w:line="360" w:lineRule="auto"/>
              <w:ind w:left="480" w:hanging="480"/>
              <w:jc w:val="center"/>
              <w:rPr>
                <w:rFonts w:ascii="仿宋_GB2312" w:eastAsia="仿宋_GB2312" w:hAnsiTheme="minorEastAsia" w:cstheme="minorEastAsia"/>
                <w:sz w:val="24"/>
                <w:szCs w:val="24"/>
              </w:rPr>
            </w:pPr>
          </w:p>
        </w:tc>
      </w:tr>
      <w:tr w14:paraId="38AC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9EB7AB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1E0B284">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B3F3553">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25ED88D">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0B0D0B6">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61DF192">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7385D2A">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07F4A7">
            <w:pPr>
              <w:pStyle w:val="26"/>
              <w:spacing w:line="360" w:lineRule="auto"/>
              <w:ind w:left="480" w:hanging="480"/>
              <w:jc w:val="center"/>
              <w:rPr>
                <w:rFonts w:ascii="仿宋_GB2312" w:eastAsia="仿宋_GB2312" w:hAnsiTheme="minorEastAsia" w:cstheme="minorEastAsia"/>
                <w:sz w:val="24"/>
                <w:szCs w:val="24"/>
              </w:rPr>
            </w:pPr>
          </w:p>
        </w:tc>
      </w:tr>
      <w:tr w14:paraId="7AE3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6B35467">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FCFB9C7">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8D12F7C">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CA4ECDA">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A0AAF1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E5C6EA4">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F63C4ED">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6CA5E80">
            <w:pPr>
              <w:pStyle w:val="26"/>
              <w:spacing w:line="360" w:lineRule="auto"/>
              <w:ind w:left="480" w:hanging="480"/>
              <w:jc w:val="center"/>
              <w:rPr>
                <w:rFonts w:ascii="仿宋_GB2312" w:eastAsia="仿宋_GB2312" w:hAnsiTheme="minorEastAsia" w:cstheme="minorEastAsia"/>
                <w:sz w:val="24"/>
                <w:szCs w:val="24"/>
              </w:rPr>
            </w:pPr>
          </w:p>
        </w:tc>
      </w:tr>
      <w:tr w14:paraId="3EE6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602E0F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58019217">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84910A2">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A9767AE">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4E6E2F1">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E97C671">
            <w:pPr>
              <w:spacing w:line="360" w:lineRule="auto"/>
              <w:jc w:val="center"/>
              <w:rPr>
                <w:rFonts w:ascii="仿宋_GB2312" w:eastAsia="仿宋_GB2312" w:hAnsiTheme="minorEastAsia" w:cstheme="minorEastAsia"/>
                <w:sz w:val="24"/>
                <w:szCs w:val="24"/>
              </w:rPr>
            </w:pPr>
          </w:p>
        </w:tc>
        <w:tc>
          <w:tcPr>
            <w:tcW w:w="708" w:type="dxa"/>
            <w:vAlign w:val="center"/>
          </w:tcPr>
          <w:p w14:paraId="4F76F5DE">
            <w:pPr>
              <w:spacing w:line="360" w:lineRule="auto"/>
              <w:jc w:val="center"/>
              <w:rPr>
                <w:rFonts w:ascii="仿宋_GB2312" w:eastAsia="仿宋_GB2312" w:hAnsiTheme="minorEastAsia" w:cstheme="minorEastAsia"/>
                <w:sz w:val="24"/>
                <w:szCs w:val="24"/>
              </w:rPr>
            </w:pPr>
          </w:p>
        </w:tc>
        <w:tc>
          <w:tcPr>
            <w:tcW w:w="708" w:type="dxa"/>
            <w:vAlign w:val="center"/>
          </w:tcPr>
          <w:p w14:paraId="0C0F5CE5">
            <w:pPr>
              <w:spacing w:line="360" w:lineRule="auto"/>
              <w:jc w:val="center"/>
              <w:rPr>
                <w:rFonts w:ascii="仿宋_GB2312" w:eastAsia="仿宋_GB2312" w:hAnsiTheme="minorEastAsia" w:cstheme="minorEastAsia"/>
                <w:sz w:val="24"/>
                <w:szCs w:val="24"/>
              </w:rPr>
            </w:pPr>
          </w:p>
        </w:tc>
      </w:tr>
    </w:tbl>
    <w:p w14:paraId="3C4F452D">
      <w:pPr>
        <w:rPr>
          <w:rFonts w:asciiTheme="minorEastAsia" w:hAnsiTheme="minorEastAsia" w:eastAsiaTheme="minorEastAsia" w:cstheme="minorEastAsia"/>
          <w:sz w:val="20"/>
          <w:szCs w:val="20"/>
        </w:rPr>
      </w:pPr>
      <w:bookmarkStart w:id="40" w:name="_Toc24623"/>
      <w:bookmarkStart w:id="41" w:name="_Toc3778"/>
      <w:bookmarkStart w:id="42" w:name="_Toc16330037"/>
      <w:bookmarkStart w:id="43" w:name="_Toc5379"/>
      <w:bookmarkStart w:id="44" w:name="_Toc25120"/>
      <w:r>
        <w:rPr>
          <w:rFonts w:hint="eastAsia" w:asciiTheme="minorEastAsia" w:hAnsiTheme="minorEastAsia" w:eastAsiaTheme="minorEastAsia" w:cstheme="minorEastAsia"/>
          <w:sz w:val="20"/>
          <w:szCs w:val="20"/>
        </w:rPr>
        <w:br w:type="page"/>
      </w:r>
    </w:p>
    <w:p w14:paraId="4E4FA508">
      <w:pPr>
        <w:pStyle w:val="3"/>
        <w:tabs>
          <w:tab w:val="right" w:leader="dot" w:pos="9061"/>
        </w:tabs>
        <w:ind w:left="0"/>
        <w:jc w:val="both"/>
        <w:outlineLvl w:val="1"/>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40"/>
      <w:bookmarkEnd w:id="41"/>
      <w:bookmarkEnd w:id="42"/>
      <w:bookmarkEnd w:id="43"/>
      <w:bookmarkEnd w:id="44"/>
      <w:r>
        <w:rPr>
          <w:rFonts w:hint="eastAsia" w:ascii="黑体" w:hAnsi="黑体" w:eastAsia="黑体" w:cstheme="minorEastAsia"/>
          <w:b w:val="0"/>
          <w:sz w:val="28"/>
          <w:szCs w:val="28"/>
        </w:rPr>
        <w:t>技术协议书</w:t>
      </w:r>
    </w:p>
    <w:p w14:paraId="4BDEFD73">
      <w:pPr>
        <w:ind w:right="360"/>
        <w:rPr>
          <w:rFonts w:asciiTheme="minorEastAsia" w:hAnsiTheme="minorEastAsia" w:eastAsiaTheme="minorEastAsia" w:cstheme="minorEastAsia"/>
          <w:sz w:val="20"/>
          <w:szCs w:val="20"/>
        </w:rPr>
      </w:pPr>
    </w:p>
    <w:p w14:paraId="40B5E0F2">
      <w:pPr>
        <w:jc w:val="right"/>
        <w:rPr>
          <w:rFonts w:asciiTheme="minorEastAsia" w:hAnsiTheme="minorEastAsia" w:eastAsiaTheme="minorEastAsia" w:cstheme="minorEastAsia"/>
          <w:sz w:val="20"/>
          <w:szCs w:val="20"/>
        </w:rPr>
      </w:pPr>
    </w:p>
    <w:p w14:paraId="5B1CEBA9">
      <w:pPr>
        <w:jc w:val="right"/>
        <w:rPr>
          <w:rFonts w:asciiTheme="minorEastAsia" w:hAnsiTheme="minorEastAsia" w:eastAsiaTheme="minorEastAsia" w:cstheme="minorEastAsia"/>
          <w:sz w:val="20"/>
          <w:szCs w:val="20"/>
        </w:rPr>
      </w:pPr>
    </w:p>
    <w:p w14:paraId="661F6080">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28C5F286">
      <w:pPr>
        <w:jc w:val="right"/>
        <w:rPr>
          <w:rFonts w:asciiTheme="minorEastAsia" w:hAnsiTheme="minorEastAsia" w:eastAsiaTheme="minorEastAsia" w:cstheme="minorEastAsia"/>
          <w:sz w:val="20"/>
          <w:szCs w:val="20"/>
        </w:rPr>
      </w:pPr>
    </w:p>
    <w:p w14:paraId="395E1761">
      <w:pPr>
        <w:wordWrap w:val="0"/>
        <w:ind w:right="480"/>
        <w:rPr>
          <w:rFonts w:asciiTheme="minorEastAsia" w:hAnsiTheme="minorEastAsia" w:eastAsiaTheme="minorEastAsia" w:cstheme="minorEastAsia"/>
          <w:sz w:val="20"/>
          <w:szCs w:val="20"/>
        </w:rPr>
      </w:pPr>
    </w:p>
    <w:p w14:paraId="20F6DB15">
      <w:pPr>
        <w:jc w:val="right"/>
        <w:rPr>
          <w:rFonts w:ascii="楷体_GB2312" w:hAnsi="宋体" w:eastAsia="楷体_GB2312"/>
          <w:sz w:val="24"/>
        </w:rPr>
      </w:pPr>
    </w:p>
    <w:p w14:paraId="5BBE7A96">
      <w:pPr>
        <w:ind w:right="480"/>
        <w:jc w:val="center"/>
        <w:rPr>
          <w:sz w:val="24"/>
          <w:szCs w:val="24"/>
        </w:rPr>
      </w:pPr>
      <w:r>
        <w:rPr>
          <w:rFonts w:hint="eastAsia" w:ascii="楷体_GB2312" w:hAnsi="宋体" w:eastAsia="楷体_GB2312"/>
          <w:sz w:val="24"/>
        </w:rPr>
        <w:t xml:space="preserve">                                    </w:t>
      </w:r>
    </w:p>
    <w:bookmarkEnd w:id="39"/>
    <w:p w14:paraId="18E849F9">
      <w:pPr>
        <w:adjustRightInd/>
        <w:snapToGrid/>
        <w:spacing w:line="240" w:lineRule="auto"/>
        <w:jc w:val="left"/>
        <w:outlineLvl w:val="9"/>
        <w:rPr>
          <w:rFonts w:hint="eastAsia" w:ascii="方正小标宋简体" w:hAnsi="宋体" w:eastAsia="方正小标宋简体"/>
          <w:bCs/>
          <w:sz w:val="52"/>
          <w:szCs w:val="36"/>
        </w:rPr>
      </w:pPr>
      <w:bookmarkStart w:id="45" w:name="_Toc14341849"/>
      <w:r>
        <w:rPr>
          <w:rFonts w:hint="eastAsia" w:ascii="方正小标宋简体" w:hAnsi="宋体" w:eastAsia="方正小标宋简体"/>
          <w:bCs/>
          <w:sz w:val="52"/>
          <w:szCs w:val="36"/>
        </w:rPr>
        <w:br w:type="page"/>
      </w:r>
    </w:p>
    <w:p w14:paraId="110A3BB0">
      <w:pPr>
        <w:adjustRightInd w:val="0"/>
        <w:snapToGrid w:val="0"/>
        <w:spacing w:line="360" w:lineRule="auto"/>
        <w:jc w:val="center"/>
        <w:outlineLvl w:val="0"/>
        <w:rPr>
          <w:rFonts w:ascii="方正小标宋简体" w:hAnsi="宋体" w:eastAsia="方正小标宋简体"/>
          <w:sz w:val="52"/>
          <w:szCs w:val="36"/>
        </w:rPr>
      </w:pPr>
      <w:r>
        <w:rPr>
          <w:rFonts w:hint="eastAsia" w:ascii="方正小标宋简体" w:hAnsi="宋体" w:eastAsia="方正小标宋简体"/>
          <w:bCs/>
          <w:sz w:val="52"/>
          <w:szCs w:val="36"/>
        </w:rPr>
        <w:t>货物买卖合同（模板</w:t>
      </w:r>
      <w:r>
        <w:rPr>
          <w:rFonts w:hint="eastAsia" w:ascii="方正小标宋简体" w:hAnsi="宋体" w:eastAsia="方正小标宋简体"/>
          <w:bCs/>
          <w:sz w:val="52"/>
          <w:szCs w:val="36"/>
          <w:lang w:val="en-US" w:eastAsia="zh-CN"/>
        </w:rPr>
        <w:t>2</w:t>
      </w:r>
      <w:r>
        <w:rPr>
          <w:rFonts w:hint="eastAsia" w:ascii="方正小标宋简体" w:hAnsi="宋体" w:eastAsia="方正小标宋简体"/>
          <w:bCs/>
          <w:sz w:val="52"/>
          <w:szCs w:val="36"/>
        </w:rPr>
        <w:t>）</w:t>
      </w:r>
    </w:p>
    <w:p w14:paraId="5C7151A4">
      <w:pPr>
        <w:jc w:val="center"/>
        <w:outlineLvl w:val="9"/>
        <w:rPr>
          <w:sz w:val="11"/>
          <w:szCs w:val="15"/>
        </w:rPr>
      </w:pPr>
      <w:r>
        <w:rPr>
          <w:rFonts w:hint="eastAsia" w:ascii="方正小标宋简体" w:hAnsi="宋体" w:eastAsia="方正小标宋简体"/>
          <w:sz w:val="22"/>
          <w:szCs w:val="16"/>
        </w:rPr>
        <w:t>(合同以双方最终签署的版本为准)</w:t>
      </w:r>
    </w:p>
    <w:p w14:paraId="1405DC3A">
      <w:pPr>
        <w:pStyle w:val="34"/>
        <w:spacing w:line="240" w:lineRule="auto"/>
        <w:ind w:right="-290" w:rightChars="-138"/>
        <w:outlineLvl w:val="9"/>
        <w:rPr>
          <w:rFonts w:eastAsia="仿宋" w:cs="Arial"/>
        </w:rPr>
      </w:pPr>
      <w:r>
        <w:rPr>
          <w:rFonts w:eastAsia="仿宋" w:cs="Arial"/>
        </w:rPr>
        <w:t>Contract for Sale and Purchase of Commodities</w:t>
      </w:r>
    </w:p>
    <w:p w14:paraId="2930840C">
      <w:pPr>
        <w:pStyle w:val="34"/>
        <w:spacing w:line="240" w:lineRule="auto"/>
        <w:outlineLvl w:val="9"/>
        <w:rPr>
          <w:rFonts w:eastAsia="仿宋" w:cs="Arial"/>
        </w:rPr>
      </w:pPr>
      <w:r>
        <w:rPr>
          <w:rFonts w:eastAsia="仿宋" w:cs="Arial"/>
        </w:rPr>
        <w:t>货物买卖合同</w:t>
      </w:r>
    </w:p>
    <w:p w14:paraId="692B07E1">
      <w:pPr>
        <w:ind w:left="360" w:hanging="360"/>
        <w:rPr>
          <w:rFonts w:ascii="Arial" w:hAnsi="Arial" w:eastAsia="仿宋" w:cs="Arial"/>
          <w:szCs w:val="21"/>
        </w:rPr>
      </w:pPr>
    </w:p>
    <w:p w14:paraId="4A55C1DA">
      <w:pPr>
        <w:ind w:left="360" w:right="964" w:hanging="360"/>
        <w:jc w:val="center"/>
        <w:rPr>
          <w:rFonts w:ascii="Arial" w:hAnsi="Arial" w:eastAsia="仿宋" w:cs="Arial"/>
          <w:b/>
          <w:sz w:val="24"/>
          <w:szCs w:val="24"/>
        </w:rPr>
      </w:pPr>
      <w:r>
        <w:rPr>
          <w:rFonts w:ascii="Arial" w:hAnsi="Arial" w:eastAsia="仿宋" w:cs="Arial"/>
          <w:b/>
          <w:sz w:val="24"/>
          <w:szCs w:val="24"/>
        </w:rPr>
        <w:t xml:space="preserve">                                               Contract No:           </w:t>
      </w:r>
    </w:p>
    <w:p w14:paraId="6E02F92D">
      <w:pPr>
        <w:ind w:left="210" w:leftChars="100" w:right="964" w:firstLine="5542" w:firstLineChars="2300"/>
        <w:rPr>
          <w:rFonts w:ascii="Arial" w:hAnsi="Arial" w:eastAsia="仿宋" w:cs="Arial"/>
          <w:b/>
          <w:sz w:val="24"/>
          <w:szCs w:val="24"/>
        </w:rPr>
      </w:pPr>
      <w:r>
        <w:rPr>
          <w:rFonts w:ascii="Arial" w:hAnsi="Arial" w:eastAsia="仿宋" w:cs="Arial"/>
          <w:b/>
          <w:sz w:val="24"/>
          <w:szCs w:val="24"/>
        </w:rPr>
        <w:t xml:space="preserve">合同号：        </w:t>
      </w:r>
    </w:p>
    <w:p w14:paraId="5DEE5AED">
      <w:pPr>
        <w:ind w:left="360" w:hanging="360"/>
        <w:jc w:val="right"/>
        <w:rPr>
          <w:rFonts w:ascii="Arial" w:hAnsi="Arial" w:eastAsia="仿宋" w:cs="Arial"/>
          <w:sz w:val="24"/>
          <w:szCs w:val="24"/>
        </w:rPr>
      </w:pPr>
    </w:p>
    <w:p w14:paraId="43CFAA67">
      <w:pPr>
        <w:ind w:left="360" w:hanging="360"/>
        <w:jc w:val="right"/>
        <w:rPr>
          <w:rFonts w:ascii="Arial" w:hAnsi="Arial" w:cs="Arial"/>
          <w:sz w:val="24"/>
          <w:szCs w:val="24"/>
        </w:rPr>
      </w:pPr>
    </w:p>
    <w:p w14:paraId="726699A6">
      <w:pPr>
        <w:spacing w:line="240" w:lineRule="auto"/>
        <w:rPr>
          <w:rFonts w:eastAsia="仿宋" w:cs="Times New Roman"/>
          <w:szCs w:val="21"/>
        </w:rPr>
      </w:pPr>
      <w:r>
        <w:rPr>
          <w:rFonts w:hint="eastAsia" w:eastAsia="仿宋" w:cs="Times New Roman"/>
          <w:szCs w:val="21"/>
        </w:rPr>
        <w:t xml:space="preserve">This </w:t>
      </w:r>
      <w:r>
        <w:rPr>
          <w:rFonts w:eastAsia="仿宋" w:cs="Times New Roman"/>
          <w:szCs w:val="21"/>
        </w:rPr>
        <w:t>Contract for the Sale and Purchase of Commodities (this “</w:t>
      </w:r>
      <w:r>
        <w:rPr>
          <w:rFonts w:hint="eastAsia" w:eastAsia="仿宋" w:cs="Times New Roman"/>
          <w:szCs w:val="21"/>
        </w:rPr>
        <w:t>Contract</w:t>
      </w:r>
      <w:r>
        <w:rPr>
          <w:rFonts w:eastAsia="仿宋" w:cs="Times New Roman"/>
          <w:szCs w:val="21"/>
        </w:rPr>
        <w:t>”)</w:t>
      </w:r>
      <w:r>
        <w:rPr>
          <w:rFonts w:hint="eastAsia" w:eastAsia="仿宋" w:cs="Times New Roman"/>
          <w:szCs w:val="21"/>
        </w:rPr>
        <w:t xml:space="preserve"> is made and entered into in [place] as of the date [DD][MM][YY] by and between</w:t>
      </w:r>
    </w:p>
    <w:p w14:paraId="7BB69A80">
      <w:pPr>
        <w:spacing w:line="240" w:lineRule="auto"/>
        <w:ind w:left="360" w:hanging="360"/>
        <w:rPr>
          <w:rFonts w:eastAsia="仿宋" w:cs="Times New Roman"/>
          <w:szCs w:val="21"/>
        </w:rPr>
      </w:pPr>
      <w:r>
        <w:rPr>
          <w:rFonts w:hint="eastAsia" w:eastAsia="仿宋" w:cs="Times New Roman"/>
          <w:szCs w:val="21"/>
        </w:rPr>
        <w:t>本货物买卖合同（以下简称“本合同”）由以下各方于【】年【】月【】日在【地点】签署</w:t>
      </w:r>
    </w:p>
    <w:p w14:paraId="36CEA0BC">
      <w:pPr>
        <w:spacing w:line="240" w:lineRule="auto"/>
        <w:rPr>
          <w:rFonts w:eastAsia="仿宋" w:cs="Times New Roman"/>
          <w:szCs w:val="21"/>
        </w:rPr>
      </w:pPr>
    </w:p>
    <w:p w14:paraId="7C2DE93E">
      <w:pPr>
        <w:spacing w:line="240" w:lineRule="auto"/>
        <w:rPr>
          <w:rFonts w:eastAsia="仿宋" w:cs="Times New Roman"/>
          <w:szCs w:val="21"/>
        </w:rPr>
      </w:pPr>
      <w:r>
        <w:rPr>
          <w:rFonts w:eastAsia="仿宋" w:cs="Times New Roman"/>
          <w:szCs w:val="21"/>
        </w:rPr>
        <w:t>The Buyer:</w:t>
      </w:r>
    </w:p>
    <w:p w14:paraId="0AFFF4C2">
      <w:pPr>
        <w:spacing w:line="240" w:lineRule="auto"/>
        <w:rPr>
          <w:rFonts w:eastAsia="仿宋" w:cs="Times New Roman"/>
          <w:szCs w:val="21"/>
        </w:rPr>
      </w:pPr>
      <w:r>
        <w:rPr>
          <w:rFonts w:eastAsia="仿宋" w:cs="Times New Roman"/>
          <w:szCs w:val="21"/>
        </w:rPr>
        <w:t>买方：</w:t>
      </w:r>
      <w:r>
        <w:rPr>
          <w:rFonts w:eastAsia="仿宋" w:cs="Times New Roman"/>
          <w:szCs w:val="21"/>
        </w:rPr>
        <w:tab/>
      </w:r>
      <w:r>
        <w:rPr>
          <w:rFonts w:eastAsia="仿宋" w:cs="Times New Roman"/>
          <w:szCs w:val="21"/>
        </w:rPr>
        <w:tab/>
      </w:r>
    </w:p>
    <w:p w14:paraId="0C68E0FD">
      <w:pPr>
        <w:spacing w:line="240" w:lineRule="auto"/>
        <w:rPr>
          <w:rFonts w:eastAsia="仿宋" w:cs="Times New Roman"/>
          <w:szCs w:val="21"/>
        </w:rPr>
      </w:pPr>
      <w:r>
        <w:rPr>
          <w:rFonts w:eastAsia="仿宋" w:cs="Times New Roman"/>
          <w:szCs w:val="21"/>
        </w:rPr>
        <w:t xml:space="preserve">Address: </w:t>
      </w:r>
    </w:p>
    <w:p w14:paraId="2604FA25">
      <w:pPr>
        <w:spacing w:line="240" w:lineRule="auto"/>
        <w:rPr>
          <w:rFonts w:eastAsia="仿宋" w:cs="Times New Roman"/>
          <w:szCs w:val="21"/>
        </w:rPr>
      </w:pPr>
      <w:r>
        <w:rPr>
          <w:rFonts w:eastAsia="仿宋" w:cs="Times New Roman"/>
          <w:szCs w:val="21"/>
        </w:rPr>
        <w:t>地址：</w:t>
      </w:r>
    </w:p>
    <w:p w14:paraId="5960E50E">
      <w:pPr>
        <w:spacing w:line="240" w:lineRule="auto"/>
        <w:rPr>
          <w:rFonts w:eastAsia="仿宋" w:cs="Times New Roman"/>
          <w:szCs w:val="21"/>
          <w:lang w:val="fr-FR"/>
        </w:rPr>
      </w:pPr>
      <w:r>
        <w:rPr>
          <w:rFonts w:eastAsia="仿宋" w:cs="Times New Roman"/>
          <w:szCs w:val="21"/>
          <w:lang w:val="fr-FR"/>
        </w:rPr>
        <w:t>Tel:</w:t>
      </w:r>
      <w:r>
        <w:rPr>
          <w:rFonts w:eastAsia="仿宋" w:cs="Times New Roman"/>
          <w:szCs w:val="21"/>
          <w:lang w:val="fr-FR"/>
        </w:rPr>
        <w:tab/>
      </w:r>
      <w:r>
        <w:rPr>
          <w:rFonts w:eastAsia="仿宋" w:cs="Times New Roman"/>
          <w:szCs w:val="21"/>
          <w:lang w:val="fr-FR"/>
        </w:rPr>
        <w:tab/>
      </w:r>
    </w:p>
    <w:p w14:paraId="51B4936F">
      <w:pPr>
        <w:spacing w:line="240" w:lineRule="auto"/>
        <w:rPr>
          <w:rFonts w:eastAsia="仿宋" w:cs="Times New Roman"/>
          <w:szCs w:val="21"/>
          <w:lang w:val="fr-FR"/>
        </w:rPr>
      </w:pPr>
      <w:r>
        <w:rPr>
          <w:rFonts w:eastAsia="仿宋" w:cs="Times New Roman"/>
          <w:szCs w:val="21"/>
          <w:lang w:val="fr-FR"/>
        </w:rPr>
        <w:t>Fax:</w:t>
      </w:r>
      <w:r>
        <w:rPr>
          <w:rFonts w:eastAsia="仿宋" w:cs="Times New Roman"/>
          <w:szCs w:val="21"/>
          <w:lang w:val="fr-FR"/>
        </w:rPr>
        <w:tab/>
      </w:r>
    </w:p>
    <w:p w14:paraId="3044B662">
      <w:pPr>
        <w:spacing w:line="240" w:lineRule="auto"/>
        <w:rPr>
          <w:rFonts w:eastAsia="仿宋" w:cs="Times New Roman"/>
          <w:szCs w:val="21"/>
          <w:lang w:val="fr-FR"/>
        </w:rPr>
      </w:pPr>
      <w:r>
        <w:rPr>
          <w:rFonts w:eastAsia="仿宋" w:cs="Times New Roman"/>
          <w:szCs w:val="21"/>
          <w:lang w:val="fr-FR"/>
        </w:rPr>
        <w:t xml:space="preserve">Email:  </w:t>
      </w:r>
    </w:p>
    <w:p w14:paraId="49F46D39">
      <w:pPr>
        <w:spacing w:line="240" w:lineRule="auto"/>
        <w:rPr>
          <w:rFonts w:eastAsia="仿宋" w:cs="Times New Roman"/>
          <w:szCs w:val="21"/>
        </w:rPr>
      </w:pPr>
    </w:p>
    <w:p w14:paraId="11EC59D6">
      <w:pPr>
        <w:spacing w:line="240" w:lineRule="auto"/>
        <w:rPr>
          <w:rFonts w:eastAsia="仿宋" w:cs="Times New Roman"/>
          <w:szCs w:val="21"/>
          <w:lang w:val="fr-FR"/>
        </w:rPr>
      </w:pPr>
    </w:p>
    <w:p w14:paraId="5A693B8C">
      <w:pPr>
        <w:spacing w:line="240" w:lineRule="auto"/>
        <w:rPr>
          <w:rFonts w:eastAsia="仿宋" w:cs="Times New Roman"/>
          <w:szCs w:val="21"/>
          <w:lang w:val="fr-FR"/>
        </w:rPr>
      </w:pPr>
      <w:r>
        <w:rPr>
          <w:rFonts w:eastAsia="仿宋" w:cs="Times New Roman"/>
          <w:szCs w:val="21"/>
          <w:lang w:val="fr-FR"/>
        </w:rPr>
        <w:t xml:space="preserve">The Seller:  </w:t>
      </w:r>
    </w:p>
    <w:p w14:paraId="1245C384">
      <w:pPr>
        <w:spacing w:line="240" w:lineRule="auto"/>
        <w:rPr>
          <w:rFonts w:eastAsia="仿宋" w:cs="Times New Roman"/>
          <w:szCs w:val="21"/>
        </w:rPr>
      </w:pPr>
      <w:r>
        <w:rPr>
          <w:rFonts w:eastAsia="仿宋" w:cs="Times New Roman"/>
          <w:szCs w:val="21"/>
        </w:rPr>
        <w:t xml:space="preserve">卖方：      </w:t>
      </w:r>
    </w:p>
    <w:p w14:paraId="3C31B42F">
      <w:pPr>
        <w:spacing w:line="240" w:lineRule="auto"/>
        <w:rPr>
          <w:rFonts w:eastAsia="仿宋" w:cs="Times New Roman"/>
          <w:szCs w:val="21"/>
        </w:rPr>
      </w:pPr>
      <w:r>
        <w:rPr>
          <w:rFonts w:eastAsia="仿宋" w:cs="Times New Roman"/>
          <w:szCs w:val="21"/>
        </w:rPr>
        <w:t xml:space="preserve">Address:   </w:t>
      </w:r>
      <w:r>
        <w:rPr>
          <w:rFonts w:eastAsia="仿宋" w:cs="Times New Roman"/>
          <w:szCs w:val="21"/>
        </w:rPr>
        <w:tab/>
      </w:r>
      <w:r>
        <w:rPr>
          <w:rFonts w:eastAsia="仿宋" w:cs="Times New Roman"/>
          <w:szCs w:val="21"/>
        </w:rPr>
        <w:t xml:space="preserve"> </w:t>
      </w:r>
    </w:p>
    <w:p w14:paraId="58F0D81B">
      <w:pPr>
        <w:spacing w:line="240" w:lineRule="auto"/>
        <w:rPr>
          <w:rFonts w:eastAsia="仿宋" w:cs="Times New Roman"/>
          <w:szCs w:val="21"/>
          <w:lang w:val="fr-FR"/>
        </w:rPr>
      </w:pPr>
      <w:r>
        <w:rPr>
          <w:rFonts w:eastAsia="仿宋" w:cs="Times New Roman"/>
          <w:szCs w:val="21"/>
          <w:lang w:val="fr-FR"/>
        </w:rPr>
        <w:t xml:space="preserve">Tel:      </w:t>
      </w:r>
    </w:p>
    <w:p w14:paraId="37ACAA19">
      <w:pPr>
        <w:spacing w:line="240" w:lineRule="auto"/>
        <w:rPr>
          <w:rFonts w:eastAsia="仿宋" w:cs="Times New Roman"/>
          <w:szCs w:val="21"/>
          <w:lang w:val="fr-FR"/>
        </w:rPr>
      </w:pPr>
      <w:r>
        <w:rPr>
          <w:rFonts w:eastAsia="仿宋" w:cs="Times New Roman"/>
          <w:szCs w:val="21"/>
          <w:lang w:val="fr-FR"/>
        </w:rPr>
        <w:t xml:space="preserve">Fax: </w:t>
      </w:r>
      <w:r>
        <w:rPr>
          <w:rFonts w:eastAsia="仿宋" w:cs="Times New Roman"/>
          <w:szCs w:val="21"/>
          <w:lang w:val="fr-FR"/>
        </w:rPr>
        <w:tab/>
      </w:r>
      <w:r>
        <w:rPr>
          <w:rFonts w:eastAsia="仿宋" w:cs="Times New Roman"/>
          <w:szCs w:val="21"/>
          <w:lang w:val="fr-FR"/>
        </w:rPr>
        <w:t xml:space="preserve">     </w:t>
      </w:r>
    </w:p>
    <w:p w14:paraId="1FAEC4FA">
      <w:pPr>
        <w:spacing w:line="240" w:lineRule="auto"/>
        <w:rPr>
          <w:rFonts w:eastAsia="仿宋" w:cs="Times New Roman"/>
          <w:szCs w:val="21"/>
          <w:lang w:val="fr-FR"/>
        </w:rPr>
      </w:pPr>
      <w:r>
        <w:rPr>
          <w:rFonts w:eastAsia="仿宋" w:cs="Times New Roman"/>
          <w:szCs w:val="21"/>
          <w:lang w:val="fr-FR"/>
        </w:rPr>
        <w:t xml:space="preserve">Email:     </w:t>
      </w:r>
    </w:p>
    <w:p w14:paraId="29A446CA">
      <w:pPr>
        <w:spacing w:line="240" w:lineRule="auto"/>
        <w:rPr>
          <w:rFonts w:eastAsia="仿宋" w:cs="Times New Roman"/>
          <w:szCs w:val="21"/>
          <w:lang w:val="fr-FR"/>
        </w:rPr>
      </w:pPr>
    </w:p>
    <w:p w14:paraId="2536DD60">
      <w:pPr>
        <w:spacing w:line="240" w:lineRule="auto"/>
        <w:rPr>
          <w:rFonts w:eastAsia="仿宋" w:cs="Times New Roman"/>
          <w:szCs w:val="21"/>
        </w:rPr>
      </w:pPr>
    </w:p>
    <w:p w14:paraId="6E332BF2">
      <w:pPr>
        <w:spacing w:line="240" w:lineRule="auto"/>
        <w:rPr>
          <w:rFonts w:eastAsia="仿宋" w:cs="Times New Roman"/>
          <w:szCs w:val="21"/>
        </w:rPr>
      </w:pPr>
      <w:r>
        <w:rPr>
          <w:rFonts w:eastAsia="仿宋" w:cs="Times New Roman"/>
          <w:szCs w:val="21"/>
        </w:rPr>
        <w:t xml:space="preserve">The Enduser: </w:t>
      </w:r>
    </w:p>
    <w:p w14:paraId="7F32B65E">
      <w:pPr>
        <w:spacing w:line="240" w:lineRule="auto"/>
        <w:rPr>
          <w:rFonts w:eastAsia="仿宋" w:cs="Times New Roman"/>
          <w:szCs w:val="21"/>
        </w:rPr>
      </w:pPr>
      <w:r>
        <w:rPr>
          <w:rFonts w:eastAsia="仿宋" w:cs="Times New Roman"/>
          <w:szCs w:val="21"/>
        </w:rPr>
        <w:t xml:space="preserve">最终用户： </w:t>
      </w:r>
    </w:p>
    <w:p w14:paraId="2CC50C6E">
      <w:pPr>
        <w:spacing w:line="240" w:lineRule="auto"/>
        <w:rPr>
          <w:rFonts w:eastAsia="仿宋" w:cs="Times New Roman"/>
          <w:szCs w:val="21"/>
        </w:rPr>
      </w:pPr>
      <w:r>
        <w:rPr>
          <w:rFonts w:eastAsia="仿宋" w:cs="Times New Roman"/>
          <w:szCs w:val="21"/>
        </w:rPr>
        <w:t xml:space="preserve">Address:  </w:t>
      </w:r>
    </w:p>
    <w:p w14:paraId="0D880A2C">
      <w:pPr>
        <w:spacing w:line="240" w:lineRule="auto"/>
        <w:rPr>
          <w:rFonts w:eastAsia="仿宋" w:cs="Times New Roman"/>
          <w:szCs w:val="21"/>
        </w:rPr>
      </w:pPr>
      <w:r>
        <w:rPr>
          <w:rFonts w:eastAsia="仿宋" w:cs="Times New Roman"/>
          <w:szCs w:val="21"/>
        </w:rPr>
        <w:t>Tel:         </w:t>
      </w:r>
    </w:p>
    <w:p w14:paraId="7EFB67D7">
      <w:pPr>
        <w:spacing w:line="240" w:lineRule="auto"/>
        <w:rPr>
          <w:rFonts w:eastAsia="仿宋" w:cs="Times New Roman"/>
          <w:szCs w:val="21"/>
        </w:rPr>
      </w:pPr>
      <w:r>
        <w:rPr>
          <w:rFonts w:eastAsia="仿宋" w:cs="Times New Roman"/>
          <w:szCs w:val="21"/>
        </w:rPr>
        <w:t xml:space="preserve">Fax:       </w:t>
      </w:r>
    </w:p>
    <w:p w14:paraId="6088E27A">
      <w:pPr>
        <w:spacing w:line="240" w:lineRule="auto"/>
        <w:rPr>
          <w:rFonts w:eastAsia="仿宋" w:cs="Times New Roman"/>
          <w:szCs w:val="21"/>
        </w:rPr>
      </w:pPr>
      <w:r>
        <w:rPr>
          <w:rFonts w:eastAsia="仿宋" w:cs="Times New Roman"/>
          <w:szCs w:val="21"/>
        </w:rPr>
        <w:t>Email:    </w:t>
      </w:r>
    </w:p>
    <w:p w14:paraId="39B613B4">
      <w:pPr>
        <w:spacing w:line="240" w:lineRule="auto"/>
        <w:rPr>
          <w:rFonts w:eastAsia="仿宋" w:cs="Times New Roman"/>
          <w:szCs w:val="21"/>
        </w:rPr>
      </w:pPr>
      <w:r>
        <w:rPr>
          <w:rFonts w:eastAsia="仿宋" w:cs="Times New Roman"/>
          <w:b/>
          <w:szCs w:val="21"/>
        </w:rPr>
        <w:t xml:space="preserve"> </w:t>
      </w:r>
    </w:p>
    <w:p w14:paraId="5F429481">
      <w:pPr>
        <w:spacing w:line="240" w:lineRule="auto"/>
        <w:rPr>
          <w:rFonts w:eastAsia="仿宋" w:cs="Times New Roman"/>
          <w:szCs w:val="21"/>
          <w:lang w:eastAsia="zh-TW"/>
        </w:rPr>
      </w:pPr>
      <w:r>
        <w:rPr>
          <w:rFonts w:eastAsia="仿宋" w:cs="Times New Roman"/>
          <w:szCs w:val="21"/>
        </w:rPr>
        <w:t>The Buyer agree</w:t>
      </w:r>
      <w:r>
        <w:rPr>
          <w:rFonts w:eastAsia="仿宋" w:cs="Times New Roman"/>
          <w:szCs w:val="21"/>
          <w:lang w:eastAsia="zh-TW"/>
        </w:rPr>
        <w:t>s</w:t>
      </w:r>
      <w:r>
        <w:rPr>
          <w:rFonts w:eastAsia="仿宋" w:cs="Times New Roman"/>
          <w:szCs w:val="21"/>
        </w:rPr>
        <w:t xml:space="preserve"> to buy and the Seller</w:t>
      </w:r>
      <w:r>
        <w:rPr>
          <w:rFonts w:eastAsia="仿宋" w:cs="Times New Roman"/>
          <w:szCs w:val="21"/>
          <w:lang w:eastAsia="zh-TW"/>
        </w:rPr>
        <w:t xml:space="preserve"> </w:t>
      </w:r>
      <w:r>
        <w:rPr>
          <w:rFonts w:eastAsia="仿宋" w:cs="Times New Roman"/>
          <w:szCs w:val="21"/>
        </w:rPr>
        <w:t>agree</w:t>
      </w:r>
      <w:r>
        <w:rPr>
          <w:rFonts w:eastAsia="仿宋" w:cs="Times New Roman"/>
          <w:szCs w:val="21"/>
          <w:lang w:eastAsia="zh-TW"/>
        </w:rPr>
        <w:t>s</w:t>
      </w:r>
      <w:r>
        <w:rPr>
          <w:rFonts w:eastAsia="仿宋" w:cs="Times New Roman"/>
          <w:szCs w:val="21"/>
        </w:rPr>
        <w:t xml:space="preserve"> to sell the Commodities (as defined below) in accordance with terms and conditions of this Contract.</w:t>
      </w:r>
    </w:p>
    <w:p w14:paraId="6FD3A7EA">
      <w:pPr>
        <w:spacing w:line="240" w:lineRule="auto"/>
        <w:rPr>
          <w:rFonts w:eastAsia="仿宋" w:cs="Times New Roman"/>
          <w:szCs w:val="21"/>
        </w:rPr>
      </w:pPr>
      <w:r>
        <w:rPr>
          <w:rFonts w:eastAsia="仿宋" w:cs="Times New Roman"/>
          <w:szCs w:val="21"/>
        </w:rPr>
        <w:t>买方同意根据本合同下列</w:t>
      </w:r>
      <w:r>
        <w:rPr>
          <w:rFonts w:hint="eastAsia" w:eastAsia="仿宋" w:cs="Times New Roman"/>
          <w:szCs w:val="21"/>
        </w:rPr>
        <w:t>条款</w:t>
      </w:r>
      <w:r>
        <w:rPr>
          <w:rFonts w:eastAsia="仿宋" w:cs="Times New Roman"/>
          <w:szCs w:val="21"/>
        </w:rPr>
        <w:t>购买</w:t>
      </w:r>
      <w:r>
        <w:rPr>
          <w:rFonts w:hint="eastAsia" w:eastAsia="仿宋" w:cs="Times New Roman"/>
          <w:szCs w:val="21"/>
        </w:rPr>
        <w:t>、</w:t>
      </w:r>
      <w:r>
        <w:rPr>
          <w:rFonts w:eastAsia="仿宋" w:cs="Times New Roman"/>
          <w:szCs w:val="21"/>
        </w:rPr>
        <w:t>卖方同意根据本合同下列</w:t>
      </w:r>
      <w:r>
        <w:rPr>
          <w:rFonts w:hint="eastAsia" w:eastAsia="仿宋" w:cs="Times New Roman"/>
          <w:szCs w:val="21"/>
        </w:rPr>
        <w:t>条款销售</w:t>
      </w:r>
      <w:r>
        <w:rPr>
          <w:rFonts w:eastAsia="仿宋" w:cs="Times New Roman"/>
          <w:szCs w:val="21"/>
        </w:rPr>
        <w:t>下列商品(下称“货物”)：</w:t>
      </w:r>
    </w:p>
    <w:p w14:paraId="0E381CE8">
      <w:pPr>
        <w:spacing w:line="240" w:lineRule="auto"/>
        <w:rPr>
          <w:rFonts w:eastAsia="仿宋" w:cs="Times New Roman"/>
          <w:szCs w:val="21"/>
        </w:rPr>
      </w:pPr>
    </w:p>
    <w:p w14:paraId="2C39161C">
      <w:pPr>
        <w:tabs>
          <w:tab w:val="left" w:pos="567"/>
        </w:tabs>
        <w:spacing w:line="240" w:lineRule="auto"/>
        <w:rPr>
          <w:rFonts w:eastAsia="仿宋" w:cs="Times New Roman"/>
          <w:b/>
          <w:sz w:val="24"/>
          <w:szCs w:val="24"/>
        </w:rPr>
      </w:pPr>
      <w:r>
        <w:rPr>
          <w:rFonts w:eastAsia="仿宋" w:cs="Times New Roman"/>
          <w:b/>
          <w:sz w:val="24"/>
          <w:szCs w:val="24"/>
          <w:lang w:eastAsia="zh-TW"/>
        </w:rPr>
        <w:t>1.</w:t>
      </w:r>
      <w:r>
        <w:rPr>
          <w:rFonts w:eastAsia="仿宋" w:cs="Times New Roman"/>
          <w:b/>
          <w:sz w:val="24"/>
          <w:szCs w:val="24"/>
          <w:lang w:eastAsia="zh-TW"/>
        </w:rPr>
        <w:tab/>
      </w:r>
      <w:r>
        <w:rPr>
          <w:rFonts w:eastAsia="仿宋" w:cs="Times New Roman"/>
          <w:b/>
          <w:sz w:val="24"/>
          <w:szCs w:val="24"/>
          <w:lang w:eastAsia="zh-TW"/>
        </w:rPr>
        <w:t>DEFINITIONS</w:t>
      </w:r>
      <w:r>
        <w:rPr>
          <w:rFonts w:eastAsia="仿宋" w:cs="Times New Roman"/>
          <w:b/>
          <w:sz w:val="24"/>
          <w:szCs w:val="24"/>
        </w:rPr>
        <w:t>定义</w:t>
      </w:r>
    </w:p>
    <w:p w14:paraId="18AC584C">
      <w:pPr>
        <w:spacing w:line="240" w:lineRule="auto"/>
        <w:rPr>
          <w:rFonts w:eastAsia="仿宋" w:cs="Times New Roman"/>
          <w:szCs w:val="21"/>
          <w:lang w:eastAsia="zh-TW"/>
        </w:rPr>
      </w:pPr>
    </w:p>
    <w:tbl>
      <w:tblPr>
        <w:tblStyle w:val="37"/>
        <w:tblW w:w="0" w:type="auto"/>
        <w:tblInd w:w="108" w:type="dxa"/>
        <w:tblLayout w:type="fixed"/>
        <w:tblCellMar>
          <w:top w:w="0" w:type="dxa"/>
          <w:left w:w="108" w:type="dxa"/>
          <w:bottom w:w="0" w:type="dxa"/>
          <w:right w:w="108" w:type="dxa"/>
        </w:tblCellMar>
      </w:tblPr>
      <w:tblGrid>
        <w:gridCol w:w="2835"/>
        <w:gridCol w:w="284"/>
        <w:gridCol w:w="5674"/>
      </w:tblGrid>
      <w:tr w14:paraId="7C0FD789">
        <w:tblPrEx>
          <w:tblCellMar>
            <w:top w:w="0" w:type="dxa"/>
            <w:left w:w="108" w:type="dxa"/>
            <w:bottom w:w="0" w:type="dxa"/>
            <w:right w:w="108" w:type="dxa"/>
          </w:tblCellMar>
        </w:tblPrEx>
        <w:tc>
          <w:tcPr>
            <w:tcW w:w="2835" w:type="dxa"/>
          </w:tcPr>
          <w:p w14:paraId="680FE7BC">
            <w:pPr>
              <w:spacing w:line="240" w:lineRule="auto"/>
              <w:rPr>
                <w:rFonts w:eastAsia="仿宋" w:cs="Times New Roman"/>
                <w:szCs w:val="21"/>
                <w:lang w:eastAsia="zh-TW"/>
              </w:rPr>
            </w:pPr>
            <w:r>
              <w:rPr>
                <w:rFonts w:eastAsia="仿宋" w:cs="Times New Roman"/>
                <w:szCs w:val="21"/>
              </w:rPr>
              <w:t>T</w:t>
            </w:r>
            <w:r>
              <w:rPr>
                <w:rFonts w:hint="eastAsia" w:eastAsia="仿宋" w:cs="Times New Roman"/>
                <w:szCs w:val="21"/>
              </w:rPr>
              <w:t>rade</w:t>
            </w:r>
            <w:r>
              <w:rPr>
                <w:rFonts w:eastAsia="仿宋" w:cs="Times New Roman"/>
                <w:szCs w:val="21"/>
              </w:rPr>
              <w:t xml:space="preserve"> </w:t>
            </w:r>
            <w:r>
              <w:rPr>
                <w:rFonts w:hint="eastAsia" w:eastAsia="仿宋" w:cs="Times New Roman"/>
                <w:szCs w:val="21"/>
              </w:rPr>
              <w:t>terms</w:t>
            </w:r>
          </w:p>
          <w:p w14:paraId="6B1E9F6C">
            <w:pPr>
              <w:spacing w:line="240" w:lineRule="auto"/>
              <w:rPr>
                <w:rFonts w:eastAsia="仿宋" w:cs="Times New Roman"/>
                <w:szCs w:val="21"/>
              </w:rPr>
            </w:pPr>
            <w:r>
              <w:rPr>
                <w:rFonts w:hint="eastAsia" w:eastAsia="仿宋" w:cs="Times New Roman"/>
                <w:szCs w:val="21"/>
                <w:lang w:eastAsia="zh-TW"/>
              </w:rPr>
              <w:t>贸易术语</w:t>
            </w:r>
          </w:p>
        </w:tc>
        <w:tc>
          <w:tcPr>
            <w:tcW w:w="284" w:type="dxa"/>
          </w:tcPr>
          <w:p w14:paraId="4D672911">
            <w:pPr>
              <w:spacing w:line="240" w:lineRule="auto"/>
              <w:rPr>
                <w:rFonts w:eastAsia="仿宋" w:cs="Times New Roman"/>
                <w:szCs w:val="21"/>
              </w:rPr>
            </w:pPr>
          </w:p>
        </w:tc>
        <w:tc>
          <w:tcPr>
            <w:tcW w:w="5674" w:type="dxa"/>
          </w:tcPr>
          <w:p w14:paraId="2CC1E800">
            <w:pPr>
              <w:spacing w:line="240" w:lineRule="auto"/>
              <w:rPr>
                <w:rFonts w:eastAsia="仿宋" w:cs="Times New Roman"/>
                <w:szCs w:val="21"/>
              </w:rPr>
            </w:pPr>
            <w:r>
              <w:rPr>
                <w:rFonts w:eastAsia="仿宋" w:cs="Times New Roman"/>
                <w:szCs w:val="21"/>
                <w:lang w:eastAsia="zh-TW"/>
              </w:rPr>
              <w:t>This contract uses trade terms as defined in INCOTERMS® 2020</w:t>
            </w:r>
          </w:p>
          <w:p w14:paraId="32F6F373">
            <w:pPr>
              <w:spacing w:line="240" w:lineRule="auto"/>
              <w:rPr>
                <w:rFonts w:eastAsia="仿宋" w:cs="Times New Roman"/>
                <w:spacing w:val="8"/>
                <w:szCs w:val="21"/>
              </w:rPr>
            </w:pPr>
            <w:r>
              <w:rPr>
                <w:rFonts w:hint="eastAsia" w:eastAsia="仿宋" w:cs="Times New Roman"/>
                <w:szCs w:val="21"/>
                <w:lang w:eastAsia="zh-TW"/>
              </w:rPr>
              <w:t>本合同使用</w:t>
            </w:r>
            <w:r>
              <w:rPr>
                <w:rFonts w:hint="eastAsia" w:eastAsia="仿宋" w:cs="Times New Roman"/>
                <w:spacing w:val="8"/>
                <w:szCs w:val="21"/>
              </w:rPr>
              <w:t>《2020年国际贸易术语解释通则》中定义的贸易术语</w:t>
            </w:r>
          </w:p>
          <w:p w14:paraId="4405EFA6">
            <w:pPr>
              <w:spacing w:line="240" w:lineRule="auto"/>
              <w:rPr>
                <w:rFonts w:eastAsia="仿宋" w:cs="Times New Roman"/>
                <w:szCs w:val="21"/>
              </w:rPr>
            </w:pPr>
          </w:p>
        </w:tc>
      </w:tr>
      <w:tr w14:paraId="04174F50">
        <w:tblPrEx>
          <w:tblCellMar>
            <w:top w:w="0" w:type="dxa"/>
            <w:left w:w="108" w:type="dxa"/>
            <w:bottom w:w="0" w:type="dxa"/>
            <w:right w:w="108" w:type="dxa"/>
          </w:tblCellMar>
        </w:tblPrEx>
        <w:tc>
          <w:tcPr>
            <w:tcW w:w="2835" w:type="dxa"/>
          </w:tcPr>
          <w:p w14:paraId="5705BCB0">
            <w:pPr>
              <w:spacing w:line="240" w:lineRule="auto"/>
              <w:rPr>
                <w:rFonts w:eastAsia="仿宋" w:cs="Times New Roman"/>
                <w:szCs w:val="21"/>
              </w:rPr>
            </w:pPr>
            <w:r>
              <w:rPr>
                <w:rFonts w:eastAsia="仿宋" w:cs="Times New Roman"/>
                <w:szCs w:val="21"/>
                <w:lang w:eastAsia="zh-TW"/>
              </w:rPr>
              <w:t>Contract Value</w:t>
            </w:r>
          </w:p>
          <w:p w14:paraId="6AEA020C">
            <w:pPr>
              <w:spacing w:line="240" w:lineRule="auto"/>
              <w:rPr>
                <w:rFonts w:eastAsia="仿宋" w:cs="Times New Roman"/>
                <w:szCs w:val="21"/>
              </w:rPr>
            </w:pPr>
            <w:r>
              <w:rPr>
                <w:rFonts w:eastAsia="仿宋" w:cs="Times New Roman"/>
                <w:szCs w:val="21"/>
              </w:rPr>
              <w:t>合同价格</w:t>
            </w:r>
          </w:p>
        </w:tc>
        <w:tc>
          <w:tcPr>
            <w:tcW w:w="284" w:type="dxa"/>
          </w:tcPr>
          <w:p w14:paraId="6E855C44">
            <w:pPr>
              <w:spacing w:line="240" w:lineRule="auto"/>
              <w:rPr>
                <w:rFonts w:eastAsia="仿宋" w:cs="Times New Roman"/>
                <w:szCs w:val="21"/>
                <w:lang w:eastAsia="zh-TW"/>
              </w:rPr>
            </w:pPr>
          </w:p>
        </w:tc>
        <w:tc>
          <w:tcPr>
            <w:tcW w:w="5674" w:type="dxa"/>
          </w:tcPr>
          <w:p w14:paraId="7295859B">
            <w:pPr>
              <w:spacing w:line="240" w:lineRule="auto"/>
              <w:rPr>
                <w:rFonts w:eastAsia="仿宋" w:cs="Times New Roman"/>
                <w:szCs w:val="21"/>
                <w:lang w:val="en"/>
              </w:rPr>
            </w:pPr>
            <w:r>
              <w:rPr>
                <w:rFonts w:eastAsia="仿宋" w:cs="Times New Roman"/>
                <w:szCs w:val="21"/>
                <w:lang w:val="en"/>
              </w:rPr>
              <w:t>means the total price for the Commodities under this Contract as specified in Article 10</w:t>
            </w:r>
          </w:p>
          <w:p w14:paraId="791C94DE">
            <w:pPr>
              <w:spacing w:line="240" w:lineRule="auto"/>
              <w:rPr>
                <w:rFonts w:eastAsia="仿宋" w:cs="Times New Roman"/>
                <w:szCs w:val="21"/>
                <w:lang w:val="en"/>
              </w:rPr>
            </w:pPr>
            <w:r>
              <w:rPr>
                <w:rFonts w:eastAsia="仿宋" w:cs="Times New Roman"/>
                <w:szCs w:val="21"/>
                <w:lang w:val="en"/>
              </w:rPr>
              <w:t>指本合同第十条</w:t>
            </w:r>
            <w:r>
              <w:rPr>
                <w:rFonts w:hint="eastAsia" w:eastAsia="仿宋" w:cs="Times New Roman"/>
                <w:szCs w:val="21"/>
                <w:lang w:val="en"/>
              </w:rPr>
              <w:t>约定</w:t>
            </w:r>
            <w:r>
              <w:rPr>
                <w:rFonts w:eastAsia="仿宋" w:cs="Times New Roman"/>
                <w:szCs w:val="21"/>
                <w:lang w:val="en"/>
              </w:rPr>
              <w:t>的货物</w:t>
            </w:r>
            <w:r>
              <w:rPr>
                <w:rFonts w:hint="eastAsia" w:eastAsia="仿宋" w:cs="Times New Roman"/>
                <w:szCs w:val="21"/>
                <w:lang w:val="en"/>
              </w:rPr>
              <w:t>总</w:t>
            </w:r>
            <w:r>
              <w:rPr>
                <w:rFonts w:eastAsia="仿宋" w:cs="Times New Roman"/>
                <w:szCs w:val="21"/>
                <w:lang w:val="en"/>
              </w:rPr>
              <w:t>价</w:t>
            </w:r>
          </w:p>
        </w:tc>
      </w:tr>
      <w:tr w14:paraId="19CD4A57">
        <w:tblPrEx>
          <w:tblCellMar>
            <w:top w:w="0" w:type="dxa"/>
            <w:left w:w="108" w:type="dxa"/>
            <w:bottom w:w="0" w:type="dxa"/>
            <w:right w:w="108" w:type="dxa"/>
          </w:tblCellMar>
        </w:tblPrEx>
        <w:tc>
          <w:tcPr>
            <w:tcW w:w="2835" w:type="dxa"/>
          </w:tcPr>
          <w:p w14:paraId="45D26392">
            <w:pPr>
              <w:spacing w:line="240" w:lineRule="auto"/>
              <w:rPr>
                <w:rFonts w:eastAsia="仿宋" w:cs="Times New Roman"/>
                <w:szCs w:val="21"/>
              </w:rPr>
            </w:pPr>
            <w:r>
              <w:rPr>
                <w:rFonts w:eastAsia="仿宋" w:cs="Times New Roman"/>
                <w:szCs w:val="21"/>
                <w:lang w:eastAsia="zh-TW"/>
              </w:rPr>
              <w:t>Commodities</w:t>
            </w:r>
          </w:p>
          <w:p w14:paraId="0640ADB5">
            <w:pPr>
              <w:spacing w:line="240" w:lineRule="auto"/>
              <w:rPr>
                <w:rFonts w:eastAsia="仿宋" w:cs="Times New Roman"/>
                <w:szCs w:val="21"/>
              </w:rPr>
            </w:pPr>
            <w:r>
              <w:rPr>
                <w:rFonts w:eastAsia="仿宋" w:cs="Times New Roman"/>
                <w:szCs w:val="21"/>
              </w:rPr>
              <w:t>货物</w:t>
            </w:r>
          </w:p>
        </w:tc>
        <w:tc>
          <w:tcPr>
            <w:tcW w:w="284" w:type="dxa"/>
          </w:tcPr>
          <w:p w14:paraId="7F103EA6">
            <w:pPr>
              <w:spacing w:line="240" w:lineRule="auto"/>
              <w:rPr>
                <w:rFonts w:eastAsia="仿宋" w:cs="Times New Roman"/>
                <w:szCs w:val="21"/>
                <w:lang w:eastAsia="zh-TW"/>
              </w:rPr>
            </w:pPr>
          </w:p>
        </w:tc>
        <w:tc>
          <w:tcPr>
            <w:tcW w:w="5674" w:type="dxa"/>
          </w:tcPr>
          <w:p w14:paraId="36B7AB95">
            <w:pPr>
              <w:spacing w:line="240" w:lineRule="auto"/>
            </w:pPr>
            <w:r>
              <w:rPr>
                <w:rFonts w:hint="eastAsia"/>
              </w:rPr>
              <w:t>means the products including relevant technologies and  software supplied by the Seller to the Buyer as described in Article 2</w:t>
            </w:r>
          </w:p>
          <w:p w14:paraId="05C085AB">
            <w:pPr>
              <w:spacing w:line="240" w:lineRule="auto"/>
              <w:rPr>
                <w:rFonts w:eastAsia="仿宋" w:cs="Times New Roman"/>
                <w:szCs w:val="21"/>
                <w:lang w:val="en"/>
              </w:rPr>
            </w:pPr>
            <w:r>
              <w:rPr>
                <w:rFonts w:hint="eastAsia" w:eastAsia="仿宋" w:cs="Times New Roman"/>
                <w:szCs w:val="21"/>
                <w:lang w:val="en"/>
              </w:rPr>
              <w:t>指本合同第二条所述的卖方供给买方的产品包括相关技术和软件</w:t>
            </w:r>
          </w:p>
        </w:tc>
      </w:tr>
      <w:tr w14:paraId="022ADC38">
        <w:tblPrEx>
          <w:tblCellMar>
            <w:top w:w="0" w:type="dxa"/>
            <w:left w:w="108" w:type="dxa"/>
            <w:bottom w:w="0" w:type="dxa"/>
            <w:right w:w="108" w:type="dxa"/>
          </w:tblCellMar>
        </w:tblPrEx>
        <w:tc>
          <w:tcPr>
            <w:tcW w:w="2835" w:type="dxa"/>
          </w:tcPr>
          <w:p w14:paraId="542DEBDA">
            <w:pPr>
              <w:spacing w:line="240" w:lineRule="auto"/>
              <w:rPr>
                <w:rFonts w:eastAsia="仿宋" w:cs="Times New Roman"/>
                <w:szCs w:val="21"/>
              </w:rPr>
            </w:pPr>
            <w:r>
              <w:rPr>
                <w:rFonts w:eastAsia="仿宋" w:cs="Times New Roman"/>
                <w:szCs w:val="21"/>
                <w:lang w:eastAsia="zh-TW"/>
              </w:rPr>
              <w:t>Force Maj</w:t>
            </w:r>
            <w:r>
              <w:rPr>
                <w:rFonts w:eastAsia="仿宋" w:cs="Times New Roman"/>
                <w:szCs w:val="21"/>
              </w:rPr>
              <w:t>eur</w:t>
            </w:r>
            <w:r>
              <w:rPr>
                <w:rFonts w:eastAsia="仿宋" w:cs="Times New Roman"/>
                <w:szCs w:val="21"/>
                <w:lang w:eastAsia="zh-TW"/>
              </w:rPr>
              <w:t>e</w:t>
            </w:r>
          </w:p>
          <w:p w14:paraId="7E6084F3">
            <w:pPr>
              <w:spacing w:line="240" w:lineRule="auto"/>
              <w:rPr>
                <w:rFonts w:eastAsia="仿宋" w:cs="Times New Roman"/>
                <w:szCs w:val="21"/>
              </w:rPr>
            </w:pPr>
            <w:r>
              <w:rPr>
                <w:rFonts w:eastAsia="仿宋" w:cs="Times New Roman"/>
                <w:szCs w:val="21"/>
              </w:rPr>
              <w:t>不可抗力</w:t>
            </w:r>
          </w:p>
        </w:tc>
        <w:tc>
          <w:tcPr>
            <w:tcW w:w="284" w:type="dxa"/>
          </w:tcPr>
          <w:p w14:paraId="590F326A">
            <w:pPr>
              <w:spacing w:line="240" w:lineRule="auto"/>
              <w:rPr>
                <w:rFonts w:eastAsia="仿宋" w:cs="Times New Roman"/>
                <w:szCs w:val="21"/>
                <w:lang w:eastAsia="zh-TW"/>
              </w:rPr>
            </w:pPr>
          </w:p>
        </w:tc>
        <w:tc>
          <w:tcPr>
            <w:tcW w:w="5674" w:type="dxa"/>
          </w:tcPr>
          <w:p w14:paraId="5BEF2642">
            <w:pPr>
              <w:spacing w:line="240" w:lineRule="auto"/>
              <w:rPr>
                <w:rFonts w:eastAsia="仿宋" w:cs="Times New Roman"/>
                <w:szCs w:val="21"/>
              </w:rPr>
            </w:pPr>
            <w:r>
              <w:rPr>
                <w:rFonts w:eastAsia="仿宋" w:cs="Times New Roman"/>
                <w:szCs w:val="21"/>
                <w:lang w:eastAsia="zh-TW"/>
              </w:rPr>
              <w:t xml:space="preserve">means any events or circumstances that are </w:t>
            </w:r>
            <w:r>
              <w:rPr>
                <w:rFonts w:hint="eastAsia" w:eastAsia="仿宋" w:cs="Times New Roman"/>
                <w:szCs w:val="21"/>
              </w:rPr>
              <w:t>un</w:t>
            </w:r>
            <w:r>
              <w:rPr>
                <w:rFonts w:eastAsia="仿宋" w:cs="Times New Roman"/>
                <w:szCs w:val="21"/>
                <w:lang w:eastAsia="zh-TW"/>
              </w:rPr>
              <w:t>foreseeable</w:t>
            </w:r>
            <w:r>
              <w:rPr>
                <w:rFonts w:hint="eastAsia" w:eastAsia="仿宋" w:cs="Times New Roman"/>
                <w:szCs w:val="21"/>
              </w:rPr>
              <w:t xml:space="preserve"> </w:t>
            </w:r>
            <w:r>
              <w:rPr>
                <w:rFonts w:eastAsia="仿宋" w:cs="Times New Roman"/>
                <w:szCs w:val="21"/>
                <w:lang w:eastAsia="zh-TW"/>
              </w:rPr>
              <w:t>at the date of this Contract</w:t>
            </w:r>
            <w:r>
              <w:rPr>
                <w:rFonts w:hint="eastAsia" w:eastAsia="仿宋" w:cs="Times New Roman"/>
                <w:szCs w:val="21"/>
              </w:rPr>
              <w:t xml:space="preserve">, the </w:t>
            </w:r>
            <w:r>
              <w:rPr>
                <w:rFonts w:eastAsia="仿宋" w:cs="Times New Roman"/>
                <w:szCs w:val="21"/>
              </w:rPr>
              <w:t>occurrence</w:t>
            </w:r>
            <w:r>
              <w:rPr>
                <w:rFonts w:hint="eastAsia" w:eastAsia="仿宋" w:cs="Times New Roman"/>
                <w:szCs w:val="21"/>
              </w:rPr>
              <w:t xml:space="preserve"> and result of which is unavoidable and </w:t>
            </w:r>
            <w:r>
              <w:rPr>
                <w:rFonts w:eastAsia="仿宋" w:cs="Times New Roman"/>
                <w:szCs w:val="21"/>
              </w:rPr>
              <w:t>irresistible</w:t>
            </w:r>
            <w:r>
              <w:rPr>
                <w:rFonts w:hint="eastAsia" w:eastAsia="仿宋" w:cs="Times New Roman"/>
                <w:szCs w:val="21"/>
              </w:rPr>
              <w:t xml:space="preserve"> by </w:t>
            </w:r>
            <w:r>
              <w:rPr>
                <w:rFonts w:eastAsia="仿宋" w:cs="Times New Roman"/>
                <w:szCs w:val="21"/>
                <w:lang w:eastAsia="zh-TW"/>
              </w:rPr>
              <w:t>the Party in question</w:t>
            </w:r>
            <w:r>
              <w:rPr>
                <w:rFonts w:hint="eastAsia" w:eastAsia="仿宋" w:cs="Times New Roman"/>
                <w:szCs w:val="21"/>
              </w:rPr>
              <w:t>,</w:t>
            </w:r>
            <w:r>
              <w:rPr>
                <w:rFonts w:eastAsia="仿宋" w:cs="Times New Roman"/>
                <w:szCs w:val="21"/>
                <w:lang w:eastAsia="zh-TW"/>
              </w:rPr>
              <w:t xml:space="preserve"> including </w:t>
            </w:r>
            <w:r>
              <w:rPr>
                <w:rFonts w:hint="eastAsia" w:eastAsia="仿宋" w:cs="Times New Roman"/>
                <w:szCs w:val="21"/>
              </w:rPr>
              <w:t xml:space="preserve">without limitation </w:t>
            </w:r>
            <w:r>
              <w:rPr>
                <w:rFonts w:eastAsia="仿宋" w:cs="Times New Roman"/>
                <w:szCs w:val="21"/>
                <w:lang w:eastAsia="zh-TW"/>
              </w:rPr>
              <w:t xml:space="preserve">fire, explosions, hurricanes, floods, earthquakes and similar natural calamities, wars, epidemics, military operations, terrorism, riots, revolts, government embargoes, or other actions occurring after the conclusion of this Contract which cannot be avoided </w:t>
            </w:r>
            <w:r>
              <w:rPr>
                <w:rFonts w:hint="eastAsia" w:eastAsia="仿宋" w:cs="Times New Roman"/>
                <w:szCs w:val="21"/>
              </w:rPr>
              <w:t xml:space="preserve">or resisted </w:t>
            </w:r>
            <w:r>
              <w:rPr>
                <w:rFonts w:eastAsia="仿宋" w:cs="Times New Roman"/>
                <w:szCs w:val="21"/>
                <w:lang w:eastAsia="zh-TW"/>
              </w:rPr>
              <w:t xml:space="preserve">by reasonable </w:t>
            </w:r>
            <w:r>
              <w:rPr>
                <w:rFonts w:hint="eastAsia" w:eastAsia="仿宋" w:cs="Times New Roman"/>
                <w:szCs w:val="21"/>
              </w:rPr>
              <w:t>efforts</w:t>
            </w:r>
            <w:r>
              <w:rPr>
                <w:rFonts w:eastAsia="仿宋" w:cs="Times New Roman"/>
                <w:szCs w:val="21"/>
                <w:lang w:eastAsia="zh-TW"/>
              </w:rPr>
              <w:t xml:space="preserve"> </w:t>
            </w:r>
            <w:r>
              <w:rPr>
                <w:rFonts w:hint="eastAsia" w:eastAsia="仿宋" w:cs="Times New Roman"/>
                <w:szCs w:val="21"/>
              </w:rPr>
              <w:t>but</w:t>
            </w:r>
            <w:r>
              <w:rPr>
                <w:rFonts w:eastAsia="仿宋" w:cs="Times New Roman"/>
                <w:szCs w:val="21"/>
                <w:lang w:eastAsia="zh-TW"/>
              </w:rPr>
              <w:t xml:space="preserve"> could delay or prevent the performance of either Party’s obligations under this Contract</w:t>
            </w:r>
          </w:p>
          <w:p w14:paraId="0760FA22">
            <w:pPr>
              <w:spacing w:line="240" w:lineRule="auto"/>
              <w:rPr>
                <w:rFonts w:eastAsia="仿宋" w:cs="Times New Roman"/>
                <w:szCs w:val="21"/>
              </w:rPr>
            </w:pPr>
            <w:r>
              <w:rPr>
                <w:rFonts w:eastAsia="仿宋" w:cs="Times New Roman"/>
                <w:szCs w:val="21"/>
              </w:rPr>
              <w:t>不可抗力指合同</w:t>
            </w:r>
            <w:r>
              <w:rPr>
                <w:rFonts w:hint="eastAsia" w:eastAsia="仿宋" w:cs="Times New Roman"/>
                <w:szCs w:val="21"/>
              </w:rPr>
              <w:t>各方</w:t>
            </w:r>
            <w:r>
              <w:rPr>
                <w:rFonts w:eastAsia="仿宋" w:cs="Times New Roman"/>
                <w:szCs w:val="21"/>
              </w:rPr>
              <w:t>在缔结合同时所不能预料的事件，且当事方对该事件的出现和后果无法避免、无法克服，</w:t>
            </w:r>
            <w:r>
              <w:rPr>
                <w:rFonts w:hint="eastAsia" w:eastAsia="仿宋" w:cs="Times New Roman"/>
                <w:szCs w:val="21"/>
              </w:rPr>
              <w:t>包括</w:t>
            </w:r>
            <w:r>
              <w:rPr>
                <w:rFonts w:eastAsia="仿宋" w:cs="Times New Roman"/>
                <w:szCs w:val="21"/>
              </w:rPr>
              <w:t>但不限于大火、爆炸、台风、水灾、地震等类似自然灾害</w:t>
            </w:r>
            <w:r>
              <w:rPr>
                <w:rFonts w:hint="eastAsia" w:eastAsia="仿宋" w:cs="Times New Roman"/>
                <w:szCs w:val="21"/>
              </w:rPr>
              <w:t>、</w:t>
            </w:r>
            <w:r>
              <w:rPr>
                <w:rFonts w:eastAsia="仿宋" w:cs="Times New Roman"/>
                <w:szCs w:val="21"/>
              </w:rPr>
              <w:t>战争、流行病、战事、恐怖行动、暴乱、内乱、政府禁运以及在缔结本合同后所发生的通过一方合理的努力仍不可预见的不可避免和不可克服的能够拖延或阻止合同一方履行合同项下义务的其他行为</w:t>
            </w:r>
          </w:p>
        </w:tc>
      </w:tr>
      <w:tr w14:paraId="7A0BF2CE">
        <w:tblPrEx>
          <w:tblCellMar>
            <w:top w:w="0" w:type="dxa"/>
            <w:left w:w="108" w:type="dxa"/>
            <w:bottom w:w="0" w:type="dxa"/>
            <w:right w:w="108" w:type="dxa"/>
          </w:tblCellMar>
        </w:tblPrEx>
        <w:tc>
          <w:tcPr>
            <w:tcW w:w="2835" w:type="dxa"/>
          </w:tcPr>
          <w:p w14:paraId="1789F792">
            <w:pPr>
              <w:spacing w:line="240" w:lineRule="auto"/>
              <w:rPr>
                <w:rFonts w:eastAsia="仿宋" w:cs="Times New Roman"/>
                <w:szCs w:val="21"/>
              </w:rPr>
            </w:pPr>
            <w:r>
              <w:rPr>
                <w:rFonts w:eastAsia="仿宋" w:cs="Times New Roman"/>
                <w:szCs w:val="21"/>
                <w:lang w:eastAsia="zh-TW"/>
              </w:rPr>
              <w:t>Party</w:t>
            </w:r>
          </w:p>
          <w:p w14:paraId="1A1AA366">
            <w:pPr>
              <w:spacing w:line="240" w:lineRule="auto"/>
              <w:rPr>
                <w:rFonts w:eastAsia="仿宋" w:cs="Times New Roman"/>
                <w:szCs w:val="21"/>
              </w:rPr>
            </w:pPr>
            <w:r>
              <w:rPr>
                <w:rFonts w:eastAsia="仿宋" w:cs="Times New Roman"/>
                <w:szCs w:val="21"/>
              </w:rPr>
              <w:t>当事方</w:t>
            </w:r>
          </w:p>
        </w:tc>
        <w:tc>
          <w:tcPr>
            <w:tcW w:w="284" w:type="dxa"/>
          </w:tcPr>
          <w:p w14:paraId="66E12278">
            <w:pPr>
              <w:spacing w:line="240" w:lineRule="auto"/>
              <w:rPr>
                <w:rFonts w:eastAsia="仿宋" w:cs="Times New Roman"/>
                <w:szCs w:val="21"/>
                <w:lang w:eastAsia="zh-TW"/>
              </w:rPr>
            </w:pPr>
          </w:p>
        </w:tc>
        <w:tc>
          <w:tcPr>
            <w:tcW w:w="5674" w:type="dxa"/>
          </w:tcPr>
          <w:p w14:paraId="51DAA698">
            <w:pPr>
              <w:spacing w:line="240" w:lineRule="auto"/>
              <w:rPr>
                <w:rFonts w:eastAsia="仿宋" w:cs="Times New Roman"/>
                <w:spacing w:val="8"/>
                <w:szCs w:val="21"/>
              </w:rPr>
            </w:pPr>
            <w:r>
              <w:rPr>
                <w:rFonts w:hint="eastAsia" w:eastAsia="仿宋" w:cs="Times New Roman"/>
                <w:szCs w:val="21"/>
                <w:lang w:eastAsia="zh-TW"/>
              </w:rPr>
              <w:t xml:space="preserve">means the Seller, the Buyer </w:t>
            </w:r>
            <w:r>
              <w:rPr>
                <w:rFonts w:eastAsia="仿宋" w:cs="Times New Roman"/>
                <w:szCs w:val="21"/>
                <w:lang w:eastAsia="zh-TW"/>
              </w:rPr>
              <w:t>and/</w:t>
            </w:r>
            <w:r>
              <w:rPr>
                <w:rFonts w:hint="eastAsia" w:eastAsia="仿宋" w:cs="Times New Roman"/>
                <w:szCs w:val="21"/>
                <w:lang w:eastAsia="zh-TW"/>
              </w:rPr>
              <w:t>or the Enduser</w:t>
            </w:r>
            <w:r>
              <w:rPr>
                <w:rFonts w:eastAsia="仿宋" w:cs="Times New Roman"/>
                <w:szCs w:val="21"/>
                <w:lang w:eastAsia="zh-TW"/>
              </w:rPr>
              <w:t>, as the context provides</w:t>
            </w:r>
          </w:p>
          <w:p w14:paraId="3F7A4516">
            <w:pPr>
              <w:spacing w:line="240" w:lineRule="auto"/>
              <w:rPr>
                <w:rFonts w:eastAsia="仿宋" w:cs="Times New Roman"/>
                <w:szCs w:val="21"/>
              </w:rPr>
            </w:pPr>
            <w:r>
              <w:rPr>
                <w:rFonts w:hint="eastAsia" w:eastAsia="仿宋" w:cs="Times New Roman"/>
                <w:spacing w:val="8"/>
                <w:szCs w:val="21"/>
              </w:rPr>
              <w:t>指</w:t>
            </w:r>
            <w:r>
              <w:rPr>
                <w:rFonts w:eastAsia="仿宋" w:cs="Times New Roman"/>
                <w:szCs w:val="21"/>
              </w:rPr>
              <w:t>卖方或买方</w:t>
            </w:r>
            <w:r>
              <w:rPr>
                <w:rFonts w:hint="eastAsia" w:eastAsia="仿宋" w:cs="Times New Roman"/>
                <w:szCs w:val="21"/>
              </w:rPr>
              <w:t>或最终用户（根据上下文所指）</w:t>
            </w:r>
          </w:p>
        </w:tc>
      </w:tr>
      <w:tr w14:paraId="5B851B26">
        <w:tblPrEx>
          <w:tblCellMar>
            <w:top w:w="0" w:type="dxa"/>
            <w:left w:w="108" w:type="dxa"/>
            <w:bottom w:w="0" w:type="dxa"/>
            <w:right w:w="108" w:type="dxa"/>
          </w:tblCellMar>
        </w:tblPrEx>
        <w:tc>
          <w:tcPr>
            <w:tcW w:w="2835" w:type="dxa"/>
          </w:tcPr>
          <w:p w14:paraId="23D447E7">
            <w:pPr>
              <w:spacing w:line="240" w:lineRule="auto"/>
              <w:rPr>
                <w:rFonts w:eastAsia="仿宋" w:cs="Times New Roman"/>
                <w:szCs w:val="21"/>
              </w:rPr>
            </w:pPr>
            <w:r>
              <w:rPr>
                <w:rFonts w:eastAsia="仿宋" w:cs="Times New Roman"/>
                <w:szCs w:val="21"/>
                <w:lang w:eastAsia="zh-TW"/>
              </w:rPr>
              <w:t>Parties</w:t>
            </w:r>
          </w:p>
          <w:p w14:paraId="450216D6">
            <w:pPr>
              <w:spacing w:line="240" w:lineRule="auto"/>
              <w:rPr>
                <w:rFonts w:eastAsia="仿宋" w:cs="Times New Roman"/>
                <w:szCs w:val="21"/>
              </w:rPr>
            </w:pPr>
            <w:r>
              <w:rPr>
                <w:rFonts w:hint="eastAsia" w:eastAsia="仿宋" w:cs="Times New Roman"/>
                <w:szCs w:val="21"/>
              </w:rPr>
              <w:t>各</w:t>
            </w:r>
            <w:r>
              <w:rPr>
                <w:rFonts w:eastAsia="仿宋" w:cs="Times New Roman"/>
                <w:szCs w:val="21"/>
              </w:rPr>
              <w:t>方</w:t>
            </w:r>
          </w:p>
        </w:tc>
        <w:tc>
          <w:tcPr>
            <w:tcW w:w="284" w:type="dxa"/>
          </w:tcPr>
          <w:p w14:paraId="5085E71F">
            <w:pPr>
              <w:spacing w:line="240" w:lineRule="auto"/>
              <w:rPr>
                <w:rFonts w:eastAsia="仿宋" w:cs="Times New Roman"/>
                <w:szCs w:val="21"/>
                <w:lang w:eastAsia="zh-TW"/>
              </w:rPr>
            </w:pPr>
          </w:p>
        </w:tc>
        <w:tc>
          <w:tcPr>
            <w:tcW w:w="5674" w:type="dxa"/>
          </w:tcPr>
          <w:p w14:paraId="7D0B02DA">
            <w:pPr>
              <w:spacing w:line="240" w:lineRule="auto"/>
              <w:rPr>
                <w:rFonts w:eastAsia="仿宋" w:cs="Times New Roman"/>
                <w:szCs w:val="21"/>
                <w:lang w:eastAsia="zh-TW"/>
              </w:rPr>
            </w:pPr>
            <w:r>
              <w:rPr>
                <w:rFonts w:hint="eastAsia" w:eastAsia="仿宋" w:cs="Times New Roman"/>
                <w:szCs w:val="21"/>
                <w:lang w:eastAsia="zh-TW"/>
              </w:rPr>
              <w:t>means the Seller, the Buyer and the Enduser collectively</w:t>
            </w:r>
          </w:p>
          <w:p w14:paraId="23571917">
            <w:pPr>
              <w:spacing w:line="240" w:lineRule="auto"/>
              <w:rPr>
                <w:rFonts w:eastAsia="仿宋" w:cs="Times New Roman"/>
                <w:szCs w:val="21"/>
              </w:rPr>
            </w:pPr>
            <w:r>
              <w:rPr>
                <w:rFonts w:hint="eastAsia" w:eastAsia="仿宋" w:cs="Times New Roman"/>
                <w:spacing w:val="8"/>
                <w:szCs w:val="21"/>
              </w:rPr>
              <w:t>指</w:t>
            </w:r>
            <w:r>
              <w:rPr>
                <w:rFonts w:hint="eastAsia" w:eastAsia="仿宋" w:cs="Times New Roman"/>
                <w:szCs w:val="21"/>
              </w:rPr>
              <w:t>卖方、买方和最终用户</w:t>
            </w:r>
          </w:p>
        </w:tc>
      </w:tr>
      <w:tr w14:paraId="0761F0ED">
        <w:tblPrEx>
          <w:tblCellMar>
            <w:top w:w="0" w:type="dxa"/>
            <w:left w:w="108" w:type="dxa"/>
            <w:bottom w:w="0" w:type="dxa"/>
            <w:right w:w="108" w:type="dxa"/>
          </w:tblCellMar>
        </w:tblPrEx>
        <w:tc>
          <w:tcPr>
            <w:tcW w:w="2835" w:type="dxa"/>
          </w:tcPr>
          <w:p w14:paraId="4456BF93">
            <w:pPr>
              <w:spacing w:line="240" w:lineRule="auto"/>
              <w:rPr>
                <w:rFonts w:eastAsia="仿宋" w:cs="Times New Roman"/>
                <w:szCs w:val="21"/>
              </w:rPr>
            </w:pPr>
            <w:r>
              <w:rPr>
                <w:rFonts w:eastAsia="仿宋" w:cs="Times New Roman"/>
                <w:szCs w:val="21"/>
                <w:lang w:eastAsia="zh-TW"/>
              </w:rPr>
              <w:t>PRC</w:t>
            </w:r>
          </w:p>
          <w:p w14:paraId="22F2E91D">
            <w:pPr>
              <w:spacing w:line="240" w:lineRule="auto"/>
              <w:rPr>
                <w:rFonts w:eastAsia="仿宋" w:cs="Times New Roman"/>
                <w:szCs w:val="21"/>
              </w:rPr>
            </w:pPr>
            <w:r>
              <w:rPr>
                <w:rFonts w:hint="eastAsia" w:eastAsia="仿宋" w:cs="Times New Roman"/>
                <w:szCs w:val="21"/>
              </w:rPr>
              <w:t>中国</w:t>
            </w:r>
          </w:p>
        </w:tc>
        <w:tc>
          <w:tcPr>
            <w:tcW w:w="284" w:type="dxa"/>
          </w:tcPr>
          <w:p w14:paraId="31480BC5">
            <w:pPr>
              <w:spacing w:line="240" w:lineRule="auto"/>
              <w:rPr>
                <w:rFonts w:eastAsia="仿宋" w:cs="Times New Roman"/>
                <w:szCs w:val="21"/>
                <w:lang w:eastAsia="zh-TW"/>
              </w:rPr>
            </w:pPr>
          </w:p>
        </w:tc>
        <w:tc>
          <w:tcPr>
            <w:tcW w:w="5674" w:type="dxa"/>
          </w:tcPr>
          <w:p w14:paraId="0EE11670">
            <w:pPr>
              <w:spacing w:line="240" w:lineRule="auto"/>
              <w:rPr>
                <w:rFonts w:eastAsia="仿宋" w:cs="Times New Roman"/>
                <w:szCs w:val="21"/>
              </w:rPr>
            </w:pPr>
            <w:r>
              <w:rPr>
                <w:rFonts w:eastAsia="仿宋" w:cs="Times New Roman"/>
                <w:szCs w:val="21"/>
                <w:lang w:eastAsia="zh-TW"/>
              </w:rPr>
              <w:t>means the People’s Republic of China</w:t>
            </w:r>
            <w:r>
              <w:rPr>
                <w:rFonts w:hint="eastAsia" w:eastAsia="仿宋" w:cs="Times New Roman"/>
                <w:szCs w:val="21"/>
              </w:rPr>
              <w:t>, which for the purpose of this Contract, excludes Hong Kong, Macau and Taiwan</w:t>
            </w:r>
          </w:p>
          <w:p w14:paraId="43B3E918">
            <w:pPr>
              <w:spacing w:line="240" w:lineRule="auto"/>
              <w:rPr>
                <w:rFonts w:eastAsia="仿宋" w:cs="Times New Roman"/>
                <w:szCs w:val="21"/>
              </w:rPr>
            </w:pPr>
            <w:r>
              <w:rPr>
                <w:rFonts w:hint="eastAsia" w:eastAsia="仿宋" w:cs="Times New Roman"/>
                <w:spacing w:val="8"/>
                <w:szCs w:val="21"/>
              </w:rPr>
              <w:t>指</w:t>
            </w:r>
            <w:r>
              <w:rPr>
                <w:rFonts w:eastAsia="仿宋" w:cs="Times New Roman"/>
                <w:szCs w:val="21"/>
              </w:rPr>
              <w:t>中华人民共和国</w:t>
            </w:r>
            <w:r>
              <w:rPr>
                <w:rFonts w:hint="eastAsia" w:eastAsia="仿宋" w:cs="Times New Roman"/>
                <w:szCs w:val="21"/>
              </w:rPr>
              <w:t>，仅</w:t>
            </w:r>
            <w:r>
              <w:rPr>
                <w:rFonts w:eastAsia="仿宋" w:cs="Times New Roman"/>
                <w:szCs w:val="21"/>
              </w:rPr>
              <w:t>为本合同之目的</w:t>
            </w:r>
            <w:r>
              <w:rPr>
                <w:rFonts w:hint="eastAsia" w:eastAsia="仿宋" w:cs="Times New Roman"/>
                <w:szCs w:val="21"/>
              </w:rPr>
              <w:t>，</w:t>
            </w:r>
            <w:r>
              <w:rPr>
                <w:rFonts w:eastAsia="仿宋" w:cs="Times New Roman"/>
                <w:szCs w:val="21"/>
              </w:rPr>
              <w:t>不包括香港</w:t>
            </w:r>
            <w:r>
              <w:rPr>
                <w:rFonts w:hint="eastAsia" w:eastAsia="仿宋" w:cs="Times New Roman"/>
                <w:szCs w:val="21"/>
              </w:rPr>
              <w:t>、</w:t>
            </w:r>
            <w:r>
              <w:rPr>
                <w:rFonts w:eastAsia="仿宋" w:cs="Times New Roman"/>
                <w:szCs w:val="21"/>
              </w:rPr>
              <w:t>澳门和台湾</w:t>
            </w:r>
            <w:r>
              <w:rPr>
                <w:rFonts w:hint="eastAsia" w:eastAsia="仿宋" w:cs="Times New Roman"/>
                <w:szCs w:val="21"/>
              </w:rPr>
              <w:t>地区</w:t>
            </w:r>
          </w:p>
        </w:tc>
      </w:tr>
      <w:tr w14:paraId="25C5D9B8">
        <w:tblPrEx>
          <w:tblCellMar>
            <w:top w:w="0" w:type="dxa"/>
            <w:left w:w="108" w:type="dxa"/>
            <w:bottom w:w="0" w:type="dxa"/>
            <w:right w:w="108" w:type="dxa"/>
          </w:tblCellMar>
        </w:tblPrEx>
        <w:tc>
          <w:tcPr>
            <w:tcW w:w="2835" w:type="dxa"/>
          </w:tcPr>
          <w:p w14:paraId="2A902D15">
            <w:pPr>
              <w:spacing w:line="240" w:lineRule="auto"/>
              <w:rPr>
                <w:rFonts w:eastAsia="仿宋" w:cs="Times New Roman"/>
                <w:szCs w:val="21"/>
              </w:rPr>
            </w:pPr>
            <w:r>
              <w:rPr>
                <w:rFonts w:eastAsia="仿宋" w:cs="Times New Roman"/>
                <w:szCs w:val="21"/>
              </w:rPr>
              <w:t>Delivery</w:t>
            </w:r>
            <w:r>
              <w:rPr>
                <w:rFonts w:eastAsia="仿宋" w:cs="Times New Roman"/>
                <w:szCs w:val="21"/>
                <w:lang w:eastAsia="zh-TW"/>
              </w:rPr>
              <w:t xml:space="preserve"> Schedule</w:t>
            </w:r>
          </w:p>
          <w:p w14:paraId="4498E386">
            <w:pPr>
              <w:spacing w:line="240" w:lineRule="auto"/>
              <w:rPr>
                <w:rFonts w:eastAsia="仿宋" w:cs="Times New Roman"/>
                <w:szCs w:val="21"/>
              </w:rPr>
            </w:pPr>
            <w:r>
              <w:rPr>
                <w:rFonts w:eastAsia="仿宋" w:cs="Times New Roman"/>
                <w:szCs w:val="21"/>
              </w:rPr>
              <w:t>交货时间表</w:t>
            </w:r>
          </w:p>
        </w:tc>
        <w:tc>
          <w:tcPr>
            <w:tcW w:w="284" w:type="dxa"/>
          </w:tcPr>
          <w:p w14:paraId="3D193F9B">
            <w:pPr>
              <w:spacing w:line="240" w:lineRule="auto"/>
              <w:rPr>
                <w:rFonts w:eastAsia="仿宋" w:cs="Times New Roman"/>
                <w:szCs w:val="21"/>
                <w:lang w:eastAsia="zh-TW"/>
              </w:rPr>
            </w:pPr>
          </w:p>
        </w:tc>
        <w:tc>
          <w:tcPr>
            <w:tcW w:w="5674" w:type="dxa"/>
          </w:tcPr>
          <w:p w14:paraId="18481918">
            <w:pPr>
              <w:spacing w:line="240" w:lineRule="auto"/>
              <w:rPr>
                <w:rFonts w:eastAsia="PMingLiU" w:cs="Times New Roman"/>
                <w:szCs w:val="21"/>
              </w:rPr>
            </w:pPr>
            <w:r>
              <w:rPr>
                <w:rFonts w:eastAsia="仿宋" w:cs="Times New Roman"/>
                <w:szCs w:val="21"/>
                <w:lang w:eastAsia="zh-TW"/>
              </w:rPr>
              <w:t>means the schedule</w:t>
            </w:r>
            <w:r>
              <w:rPr>
                <w:rFonts w:eastAsia="仿宋" w:cs="Times New Roman"/>
                <w:szCs w:val="21"/>
              </w:rPr>
              <w:t xml:space="preserve"> </w:t>
            </w:r>
            <w:r>
              <w:rPr>
                <w:rFonts w:eastAsia="仿宋" w:cs="Times New Roman"/>
                <w:szCs w:val="21"/>
                <w:lang w:eastAsia="zh-TW"/>
              </w:rPr>
              <w:t xml:space="preserve">setting out the dates, time, place and other particulars in relation to the delivery and shipping of the Commodities </w:t>
            </w:r>
            <w:r>
              <w:rPr>
                <w:rFonts w:hint="eastAsia" w:eastAsia="仿宋" w:cs="Times New Roman"/>
                <w:szCs w:val="21"/>
              </w:rPr>
              <w:t>a</w:t>
            </w:r>
            <w:r>
              <w:rPr>
                <w:rFonts w:eastAsia="仿宋" w:cs="Times New Roman"/>
                <w:szCs w:val="21"/>
              </w:rPr>
              <w:t>s specified in Article 5</w:t>
            </w:r>
          </w:p>
          <w:p w14:paraId="257C847C">
            <w:pPr>
              <w:spacing w:line="240" w:lineRule="auto"/>
              <w:rPr>
                <w:rFonts w:eastAsia="仿宋" w:cs="Times New Roman"/>
                <w:szCs w:val="21"/>
              </w:rPr>
            </w:pPr>
            <w:r>
              <w:rPr>
                <w:rFonts w:eastAsia="仿宋" w:cs="Times New Roman"/>
                <w:szCs w:val="21"/>
              </w:rPr>
              <w:t>指</w:t>
            </w:r>
            <w:r>
              <w:rPr>
                <w:rFonts w:hint="eastAsia" w:eastAsia="仿宋" w:cs="Times New Roman"/>
                <w:szCs w:val="21"/>
              </w:rPr>
              <w:t>本合同第5条约定的载明</w:t>
            </w:r>
            <w:r>
              <w:rPr>
                <w:rFonts w:eastAsia="仿宋" w:cs="Times New Roman"/>
                <w:szCs w:val="21"/>
              </w:rPr>
              <w:t>货物装运和交付日期</w:t>
            </w:r>
            <w:r>
              <w:rPr>
                <w:rFonts w:hint="eastAsia" w:eastAsia="仿宋" w:cs="Times New Roman"/>
                <w:szCs w:val="21"/>
              </w:rPr>
              <w:t>、</w:t>
            </w:r>
            <w:r>
              <w:rPr>
                <w:rFonts w:eastAsia="仿宋" w:cs="Times New Roman"/>
                <w:szCs w:val="21"/>
              </w:rPr>
              <w:t>时间</w:t>
            </w:r>
            <w:r>
              <w:rPr>
                <w:rFonts w:hint="eastAsia" w:eastAsia="仿宋" w:cs="Times New Roman"/>
                <w:szCs w:val="21"/>
              </w:rPr>
              <w:t>、</w:t>
            </w:r>
            <w:r>
              <w:rPr>
                <w:rFonts w:eastAsia="仿宋" w:cs="Times New Roman"/>
                <w:szCs w:val="21"/>
              </w:rPr>
              <w:t>地点以及其他信息的时间表</w:t>
            </w:r>
          </w:p>
        </w:tc>
      </w:tr>
      <w:tr w14:paraId="11757035">
        <w:tblPrEx>
          <w:tblCellMar>
            <w:top w:w="0" w:type="dxa"/>
            <w:left w:w="108" w:type="dxa"/>
            <w:bottom w:w="0" w:type="dxa"/>
            <w:right w:w="108" w:type="dxa"/>
          </w:tblCellMar>
        </w:tblPrEx>
        <w:tc>
          <w:tcPr>
            <w:tcW w:w="2835" w:type="dxa"/>
          </w:tcPr>
          <w:p w14:paraId="0241DA90">
            <w:pPr>
              <w:spacing w:line="240" w:lineRule="auto"/>
              <w:rPr>
                <w:rFonts w:eastAsia="仿宋" w:cs="Times New Roman"/>
                <w:szCs w:val="21"/>
                <w:lang w:eastAsia="zh-TW"/>
              </w:rPr>
            </w:pPr>
            <w:r>
              <w:rPr>
                <w:rFonts w:eastAsia="仿宋" w:cs="Times New Roman"/>
                <w:szCs w:val="21"/>
                <w:lang w:eastAsia="zh-TW"/>
              </w:rPr>
              <w:t>Technical Agreement</w:t>
            </w:r>
          </w:p>
          <w:p w14:paraId="7033E78B">
            <w:pPr>
              <w:spacing w:line="240" w:lineRule="auto"/>
              <w:rPr>
                <w:rFonts w:eastAsia="仿宋" w:cs="Times New Roman"/>
                <w:szCs w:val="21"/>
              </w:rPr>
            </w:pPr>
            <w:r>
              <w:rPr>
                <w:rFonts w:eastAsia="仿宋" w:cs="Times New Roman"/>
                <w:szCs w:val="21"/>
              </w:rPr>
              <w:t>技术协议</w:t>
            </w:r>
          </w:p>
        </w:tc>
        <w:tc>
          <w:tcPr>
            <w:tcW w:w="284" w:type="dxa"/>
          </w:tcPr>
          <w:p w14:paraId="415A33F2">
            <w:pPr>
              <w:spacing w:line="240" w:lineRule="auto"/>
              <w:rPr>
                <w:rFonts w:eastAsia="仿宋" w:cs="Times New Roman"/>
                <w:szCs w:val="21"/>
                <w:lang w:eastAsia="zh-TW"/>
              </w:rPr>
            </w:pPr>
          </w:p>
        </w:tc>
        <w:tc>
          <w:tcPr>
            <w:tcW w:w="5674" w:type="dxa"/>
          </w:tcPr>
          <w:p w14:paraId="2343D281">
            <w:pPr>
              <w:spacing w:line="240" w:lineRule="auto"/>
              <w:rPr>
                <w:rFonts w:eastAsia="仿宋" w:cs="Times New Roman"/>
                <w:szCs w:val="21"/>
              </w:rPr>
            </w:pPr>
            <w:r>
              <w:rPr>
                <w:rFonts w:eastAsia="仿宋" w:cs="Times New Roman"/>
                <w:szCs w:val="21"/>
                <w:lang w:eastAsia="zh-TW"/>
              </w:rPr>
              <w:t xml:space="preserve">means the </w:t>
            </w:r>
            <w:r>
              <w:rPr>
                <w:rFonts w:eastAsia="仿宋" w:cs="Times New Roman"/>
                <w:szCs w:val="21"/>
              </w:rPr>
              <w:t>T</w:t>
            </w:r>
            <w:r>
              <w:rPr>
                <w:rFonts w:eastAsia="仿宋" w:cs="Times New Roman"/>
                <w:szCs w:val="21"/>
                <w:lang w:eastAsia="zh-TW"/>
              </w:rPr>
              <w:t xml:space="preserve">echnical </w:t>
            </w:r>
            <w:r>
              <w:rPr>
                <w:rFonts w:eastAsia="仿宋" w:cs="Times New Roman"/>
                <w:szCs w:val="21"/>
              </w:rPr>
              <w:t xml:space="preserve">Agreement（Appendix 1）signed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14:paraId="1D299762">
            <w:pPr>
              <w:spacing w:line="240" w:lineRule="auto"/>
              <w:rPr>
                <w:rFonts w:eastAsia="仿宋" w:cs="Times New Roman"/>
                <w:b/>
                <w:bCs/>
                <w:szCs w:val="21"/>
                <w:lang w:val="en-GB"/>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签订的技术协议</w:t>
            </w:r>
            <w:r>
              <w:rPr>
                <w:rFonts w:hint="eastAsia" w:eastAsia="仿宋" w:cs="Times New Roman"/>
                <w:szCs w:val="21"/>
              </w:rPr>
              <w:t>（</w:t>
            </w:r>
            <w:r>
              <w:rPr>
                <w:rFonts w:eastAsia="仿宋" w:cs="Times New Roman"/>
                <w:szCs w:val="21"/>
              </w:rPr>
              <w:t>附件1</w:t>
            </w:r>
            <w:r>
              <w:rPr>
                <w:rFonts w:hint="eastAsia" w:eastAsia="仿宋" w:cs="Times New Roman"/>
                <w:szCs w:val="21"/>
              </w:rPr>
              <w:t>）</w:t>
            </w:r>
          </w:p>
        </w:tc>
      </w:tr>
      <w:tr w14:paraId="21AE1B90">
        <w:tblPrEx>
          <w:tblCellMar>
            <w:top w:w="0" w:type="dxa"/>
            <w:left w:w="108" w:type="dxa"/>
            <w:bottom w:w="0" w:type="dxa"/>
            <w:right w:w="108" w:type="dxa"/>
          </w:tblCellMar>
        </w:tblPrEx>
        <w:tc>
          <w:tcPr>
            <w:tcW w:w="2835" w:type="dxa"/>
          </w:tcPr>
          <w:p w14:paraId="36CC82AD">
            <w:pPr>
              <w:spacing w:line="240" w:lineRule="auto"/>
              <w:jc w:val="left"/>
              <w:rPr>
                <w:rFonts w:eastAsia="仿宋" w:cs="Times New Roman"/>
                <w:szCs w:val="21"/>
                <w:lang w:eastAsia="zh-TW"/>
              </w:rPr>
            </w:pPr>
            <w:r>
              <w:rPr>
                <w:rFonts w:eastAsia="仿宋" w:cs="Times New Roman"/>
                <w:szCs w:val="21"/>
                <w:lang w:eastAsia="zh-TW"/>
              </w:rPr>
              <w:t>Quality Guarantee Agreement</w:t>
            </w:r>
          </w:p>
          <w:p w14:paraId="6716A86B">
            <w:pPr>
              <w:spacing w:line="240" w:lineRule="auto"/>
              <w:rPr>
                <w:rFonts w:eastAsia="仿宋" w:cs="Times New Roman"/>
                <w:szCs w:val="21"/>
              </w:rPr>
            </w:pPr>
            <w:r>
              <w:rPr>
                <w:rFonts w:hint="eastAsia" w:eastAsia="仿宋" w:cs="Times New Roman"/>
                <w:szCs w:val="21"/>
              </w:rPr>
              <w:t>质量保证协议</w:t>
            </w:r>
          </w:p>
          <w:p w14:paraId="641CA8B2">
            <w:pPr>
              <w:spacing w:line="240" w:lineRule="auto"/>
              <w:rPr>
                <w:rFonts w:eastAsia="仿宋" w:cs="Times New Roman"/>
                <w:szCs w:val="21"/>
              </w:rPr>
            </w:pPr>
            <w:r>
              <w:rPr>
                <w:rFonts w:hint="eastAsia" w:eastAsia="仿宋" w:cs="Times New Roman"/>
                <w:i/>
                <w:iCs/>
                <w:szCs w:val="21"/>
              </w:rPr>
              <w:t>（如有）</w:t>
            </w:r>
          </w:p>
        </w:tc>
        <w:tc>
          <w:tcPr>
            <w:tcW w:w="284" w:type="dxa"/>
          </w:tcPr>
          <w:p w14:paraId="4B50E05B">
            <w:pPr>
              <w:spacing w:line="240" w:lineRule="auto"/>
              <w:rPr>
                <w:rFonts w:eastAsia="仿宋" w:cs="Times New Roman"/>
                <w:szCs w:val="21"/>
                <w:lang w:eastAsia="zh-TW"/>
              </w:rPr>
            </w:pPr>
          </w:p>
        </w:tc>
        <w:tc>
          <w:tcPr>
            <w:tcW w:w="5674" w:type="dxa"/>
          </w:tcPr>
          <w:p w14:paraId="4EAD5A73">
            <w:pPr>
              <w:spacing w:line="240" w:lineRule="auto"/>
              <w:rPr>
                <w:rFonts w:eastAsia="仿宋" w:cs="Times New Roman"/>
                <w:szCs w:val="21"/>
              </w:rPr>
            </w:pPr>
            <w:r>
              <w:rPr>
                <w:rFonts w:eastAsia="仿宋" w:cs="Times New Roman"/>
                <w:szCs w:val="21"/>
                <w:lang w:eastAsia="zh-TW"/>
              </w:rPr>
              <w:t>means the Quality Guarantee Agreement</w:t>
            </w:r>
            <w:r>
              <w:rPr>
                <w:rFonts w:eastAsia="仿宋" w:cs="Times New Roman"/>
                <w:szCs w:val="21"/>
              </w:rPr>
              <w:t xml:space="preserve">（Appendix </w:t>
            </w:r>
            <w:r>
              <w:rPr>
                <w:rFonts w:hint="eastAsia" w:eastAsia="仿宋" w:cs="Times New Roman"/>
                <w:szCs w:val="21"/>
              </w:rPr>
              <w:t>2</w:t>
            </w:r>
            <w:r>
              <w:rPr>
                <w:rFonts w:eastAsia="仿宋" w:cs="Times New Roman"/>
                <w:szCs w:val="21"/>
              </w:rPr>
              <w:t xml:space="preserve">）signed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14:paraId="55B9A664">
            <w:pPr>
              <w:spacing w:line="240" w:lineRule="auto"/>
              <w:rPr>
                <w:rFonts w:eastAsia="仿宋" w:cs="Times New Roman"/>
                <w:szCs w:val="21"/>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w:t>
            </w:r>
            <w:r>
              <w:rPr>
                <w:rFonts w:hint="eastAsia" w:eastAsia="仿宋" w:cs="Times New Roman"/>
                <w:szCs w:val="21"/>
              </w:rPr>
              <w:t>质量保证协议（</w:t>
            </w:r>
            <w:r>
              <w:rPr>
                <w:rFonts w:eastAsia="仿宋" w:cs="Times New Roman"/>
                <w:szCs w:val="21"/>
              </w:rPr>
              <w:t>附件</w:t>
            </w:r>
            <w:r>
              <w:rPr>
                <w:rFonts w:hint="eastAsia" w:eastAsia="仿宋" w:cs="Times New Roman"/>
                <w:szCs w:val="21"/>
              </w:rPr>
              <w:t>2）</w:t>
            </w:r>
          </w:p>
        </w:tc>
      </w:tr>
      <w:tr w14:paraId="03B28177">
        <w:tblPrEx>
          <w:tblCellMar>
            <w:top w:w="0" w:type="dxa"/>
            <w:left w:w="108" w:type="dxa"/>
            <w:bottom w:w="0" w:type="dxa"/>
            <w:right w:w="108" w:type="dxa"/>
          </w:tblCellMar>
        </w:tblPrEx>
        <w:tc>
          <w:tcPr>
            <w:tcW w:w="2835" w:type="dxa"/>
          </w:tcPr>
          <w:p w14:paraId="57D886E8">
            <w:pPr>
              <w:spacing w:line="240" w:lineRule="auto"/>
              <w:jc w:val="left"/>
              <w:rPr>
                <w:rFonts w:eastAsia="楷体_GB2312" w:cs="Times New Roman"/>
                <w:iCs/>
                <w:szCs w:val="21"/>
              </w:rPr>
            </w:pPr>
            <w:r>
              <w:rPr>
                <w:rFonts w:eastAsia="楷体_GB2312" w:cs="Times New Roman"/>
                <w:iCs/>
                <w:szCs w:val="21"/>
              </w:rPr>
              <w:t>Final Acceptance</w:t>
            </w:r>
          </w:p>
          <w:p w14:paraId="0C40DF4C">
            <w:pPr>
              <w:spacing w:line="240" w:lineRule="auto"/>
              <w:jc w:val="left"/>
              <w:rPr>
                <w:rFonts w:ascii="Arial" w:hAnsi="Arial" w:eastAsia="楷体_GB2312"/>
                <w:iCs/>
                <w:szCs w:val="21"/>
              </w:rPr>
            </w:pPr>
            <w:r>
              <w:rPr>
                <w:rFonts w:hint="eastAsia" w:ascii="Arial" w:hAnsi="Arial" w:eastAsia="楷体_GB2312"/>
                <w:iCs/>
                <w:szCs w:val="21"/>
              </w:rPr>
              <w:t>最终验收</w:t>
            </w:r>
          </w:p>
        </w:tc>
        <w:tc>
          <w:tcPr>
            <w:tcW w:w="284" w:type="dxa"/>
          </w:tcPr>
          <w:p w14:paraId="6EA08E8E">
            <w:pPr>
              <w:spacing w:line="240" w:lineRule="auto"/>
              <w:rPr>
                <w:rFonts w:eastAsia="仿宋" w:cs="Times New Roman"/>
                <w:szCs w:val="21"/>
                <w:lang w:eastAsia="zh-TW"/>
              </w:rPr>
            </w:pPr>
          </w:p>
        </w:tc>
        <w:tc>
          <w:tcPr>
            <w:tcW w:w="5674" w:type="dxa"/>
          </w:tcPr>
          <w:p w14:paraId="4AC1988F">
            <w:pPr>
              <w:spacing w:line="240" w:lineRule="auto"/>
              <w:rPr>
                <w:rFonts w:eastAsia="仿宋" w:cs="Times New Roman"/>
                <w:szCs w:val="21"/>
                <w:lang w:eastAsia="zh-TW"/>
              </w:rPr>
            </w:pPr>
            <w:r>
              <w:rPr>
                <w:rFonts w:eastAsia="仿宋" w:cs="Times New Roman"/>
                <w:szCs w:val="21"/>
                <w:lang w:eastAsia="zh-TW"/>
              </w:rPr>
              <w:t xml:space="preserve">means the protocol agreed between the Buyer, the Eduser and Seller for the final acceptance of the Commodities by the Buyer and the Enduser, as specified in the Quality Guarantee Agreement / Technical Agreement </w:t>
            </w:r>
          </w:p>
          <w:p w14:paraId="556E79F9">
            <w:pPr>
              <w:spacing w:line="240" w:lineRule="auto"/>
              <w:rPr>
                <w:rFonts w:eastAsia="仿宋" w:cs="Times New Roman"/>
                <w:szCs w:val="21"/>
                <w:lang w:eastAsia="zh-TW"/>
              </w:rPr>
            </w:pPr>
            <w:r>
              <w:rPr>
                <w:rFonts w:hint="eastAsia" w:eastAsia="仿宋" w:cs="Times New Roman"/>
                <w:szCs w:val="21"/>
                <w:lang w:eastAsia="zh-TW"/>
              </w:rPr>
              <w:t>指买方、</w:t>
            </w:r>
            <w:r>
              <w:rPr>
                <w:rFonts w:hint="eastAsia" w:eastAsia="仿宋" w:cs="Times New Roman"/>
                <w:szCs w:val="21"/>
              </w:rPr>
              <w:t>最终用户</w:t>
            </w:r>
            <w:r>
              <w:rPr>
                <w:rFonts w:hint="eastAsia" w:eastAsia="仿宋" w:cs="Times New Roman"/>
                <w:szCs w:val="21"/>
                <w:lang w:eastAsia="zh-TW"/>
              </w:rPr>
              <w:t>和卖方就买方和最终用户在质量保证协议/技术协议中规定的最终验收商品达成的</w:t>
            </w:r>
            <w:r>
              <w:rPr>
                <w:rFonts w:hint="eastAsia" w:eastAsia="仿宋" w:cs="Times New Roman"/>
                <w:szCs w:val="21"/>
              </w:rPr>
              <w:t>验收材料</w:t>
            </w:r>
          </w:p>
        </w:tc>
      </w:tr>
      <w:tr w14:paraId="1B049C34">
        <w:tblPrEx>
          <w:tblCellMar>
            <w:top w:w="0" w:type="dxa"/>
            <w:left w:w="108" w:type="dxa"/>
            <w:bottom w:w="0" w:type="dxa"/>
            <w:right w:w="108" w:type="dxa"/>
          </w:tblCellMar>
        </w:tblPrEx>
        <w:tc>
          <w:tcPr>
            <w:tcW w:w="2835" w:type="dxa"/>
          </w:tcPr>
          <w:p w14:paraId="4D6F3400">
            <w:pPr>
              <w:spacing w:line="240" w:lineRule="auto"/>
              <w:rPr>
                <w:rFonts w:eastAsia="仿宋" w:cs="Times New Roman"/>
                <w:szCs w:val="21"/>
                <w:lang w:eastAsia="zh-TW"/>
              </w:rPr>
            </w:pPr>
            <w:r>
              <w:rPr>
                <w:rFonts w:eastAsia="仿宋" w:cs="Times New Roman"/>
                <w:szCs w:val="21"/>
                <w:lang w:eastAsia="zh-TW"/>
              </w:rPr>
              <w:t>The End</w:t>
            </w:r>
            <w:r>
              <w:rPr>
                <w:rFonts w:hint="eastAsia" w:eastAsia="仿宋" w:cs="Times New Roman"/>
                <w:szCs w:val="21"/>
                <w:lang w:eastAsia="zh-TW"/>
              </w:rPr>
              <w:t>u</w:t>
            </w:r>
            <w:r>
              <w:rPr>
                <w:rFonts w:eastAsia="仿宋" w:cs="Times New Roman"/>
                <w:szCs w:val="21"/>
                <w:lang w:eastAsia="zh-TW"/>
              </w:rPr>
              <w:t>ser</w:t>
            </w:r>
          </w:p>
          <w:p w14:paraId="1AF47DB5">
            <w:pPr>
              <w:spacing w:line="240" w:lineRule="auto"/>
              <w:rPr>
                <w:rFonts w:eastAsia="仿宋" w:cs="Times New Roman"/>
                <w:szCs w:val="21"/>
              </w:rPr>
            </w:pPr>
            <w:r>
              <w:rPr>
                <w:rFonts w:ascii="仿宋" w:hAnsi="仿宋" w:eastAsia="仿宋" w:cs="Arial"/>
                <w:szCs w:val="21"/>
              </w:rPr>
              <w:t>最终用户</w:t>
            </w:r>
          </w:p>
        </w:tc>
        <w:tc>
          <w:tcPr>
            <w:tcW w:w="284" w:type="dxa"/>
          </w:tcPr>
          <w:p w14:paraId="589D7E28">
            <w:pPr>
              <w:spacing w:line="240" w:lineRule="auto"/>
              <w:rPr>
                <w:rFonts w:eastAsia="仿宋" w:cs="Times New Roman"/>
                <w:szCs w:val="21"/>
                <w:lang w:eastAsia="zh-TW"/>
              </w:rPr>
            </w:pPr>
          </w:p>
        </w:tc>
        <w:tc>
          <w:tcPr>
            <w:tcW w:w="5674" w:type="dxa"/>
          </w:tcPr>
          <w:p w14:paraId="1F887796">
            <w:pPr>
              <w:spacing w:line="240" w:lineRule="auto"/>
              <w:rPr>
                <w:rFonts w:eastAsia="仿宋" w:cs="Times New Roman"/>
                <w:szCs w:val="21"/>
              </w:rPr>
            </w:pPr>
            <w:r>
              <w:rPr>
                <w:rFonts w:eastAsia="仿宋" w:cs="Times New Roman"/>
                <w:szCs w:val="21"/>
              </w:rPr>
              <w:t>means the company (</w:t>
            </w:r>
            <w:r>
              <w:rPr>
                <w:rFonts w:hint="eastAsia" w:eastAsia="仿宋" w:cs="Times New Roman"/>
                <w:szCs w:val="21"/>
              </w:rPr>
              <w:t>【公司英文名称】</w:t>
            </w:r>
            <w:r>
              <w:rPr>
                <w:rFonts w:eastAsia="仿宋" w:cs="Times New Roman"/>
                <w:szCs w:val="21"/>
              </w:rPr>
              <w:t>) at whose designated premises the Commodities under this Contract will be installed and used</w:t>
            </w:r>
          </w:p>
          <w:p w14:paraId="5669F291">
            <w:pPr>
              <w:spacing w:line="240" w:lineRule="auto"/>
              <w:rPr>
                <w:rFonts w:eastAsia="仿宋" w:cs="Times New Roman"/>
                <w:szCs w:val="21"/>
              </w:rPr>
            </w:pPr>
            <w:r>
              <w:rPr>
                <w:rFonts w:eastAsia="仿宋" w:cs="Times New Roman"/>
                <w:szCs w:val="21"/>
              </w:rPr>
              <w:t>本合同项下设备的安装和使用方，即</w:t>
            </w:r>
            <w:r>
              <w:rPr>
                <w:rFonts w:hint="eastAsia" w:eastAsia="仿宋" w:cs="Times New Roman"/>
                <w:szCs w:val="21"/>
              </w:rPr>
              <w:t>【公司中文名称】</w:t>
            </w:r>
          </w:p>
        </w:tc>
      </w:tr>
    </w:tbl>
    <w:p w14:paraId="73D8249E">
      <w:pPr>
        <w:spacing w:line="240" w:lineRule="auto"/>
        <w:rPr>
          <w:rFonts w:eastAsia="仿宋" w:cs="Times New Roman"/>
          <w:szCs w:val="21"/>
        </w:rPr>
      </w:pPr>
      <w:r>
        <w:rPr>
          <w:rFonts w:eastAsia="仿宋" w:cs="Times New Roman"/>
          <w:szCs w:val="21"/>
        </w:rPr>
        <w:t xml:space="preserve"> </w:t>
      </w:r>
    </w:p>
    <w:p w14:paraId="4BCFB697">
      <w:pPr>
        <w:tabs>
          <w:tab w:val="left" w:pos="567"/>
        </w:tabs>
        <w:spacing w:line="240" w:lineRule="auto"/>
        <w:ind w:left="360" w:hanging="360"/>
        <w:rPr>
          <w:rFonts w:eastAsia="仿宋" w:cs="Times New Roman"/>
          <w:b/>
          <w:szCs w:val="21"/>
        </w:rPr>
      </w:pPr>
      <w:r>
        <w:rPr>
          <w:rFonts w:eastAsia="仿宋" w:cs="Times New Roman"/>
          <w:b/>
          <w:sz w:val="24"/>
          <w:szCs w:val="24"/>
          <w:lang w:eastAsia="zh-TW"/>
        </w:rPr>
        <w:t>2.</w:t>
      </w:r>
      <w:r>
        <w:rPr>
          <w:rFonts w:eastAsia="仿宋" w:cs="Times New Roman"/>
          <w:b/>
          <w:sz w:val="24"/>
          <w:szCs w:val="24"/>
          <w:lang w:eastAsia="zh-TW"/>
        </w:rPr>
        <w:tab/>
      </w:r>
      <w:r>
        <w:rPr>
          <w:rFonts w:eastAsia="仿宋" w:cs="Times New Roman"/>
          <w:b/>
          <w:sz w:val="24"/>
          <w:szCs w:val="24"/>
          <w:lang w:eastAsia="zh-TW"/>
        </w:rPr>
        <w:tab/>
      </w:r>
      <w:r>
        <w:rPr>
          <w:rFonts w:eastAsia="仿宋" w:cs="Times New Roman"/>
          <w:b/>
          <w:sz w:val="24"/>
          <w:szCs w:val="24"/>
        </w:rPr>
        <w:t>SPECIFICATIONS OF COMMODITIES货物规格型号</w:t>
      </w:r>
    </w:p>
    <w:p w14:paraId="2679974E">
      <w:pPr>
        <w:spacing w:line="240" w:lineRule="auto"/>
        <w:ind w:left="360" w:hanging="360"/>
        <w:rPr>
          <w:rFonts w:eastAsia="仿宋" w:cs="Times New Roman"/>
          <w:szCs w:val="21"/>
          <w:lang w:eastAsia="zh-TW"/>
        </w:rPr>
      </w:pPr>
    </w:p>
    <w:p w14:paraId="7383D8CE">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a)</w:t>
      </w:r>
      <w:r>
        <w:rPr>
          <w:rFonts w:eastAsia="仿宋" w:cs="Times New Roman"/>
          <w:szCs w:val="21"/>
          <w:lang w:eastAsia="zh-TW"/>
        </w:rPr>
        <w:t>All Commodities to be sold and be delivered by the Seller to the Buyer pursuant to this Contract shall</w:t>
      </w:r>
      <w:r>
        <w:rPr>
          <w:rFonts w:eastAsia="仿宋" w:cs="Times New Roman"/>
          <w:szCs w:val="21"/>
        </w:rPr>
        <w:t xml:space="preserve"> </w:t>
      </w:r>
      <w:r>
        <w:rPr>
          <w:rFonts w:eastAsia="仿宋" w:cs="Times New Roman"/>
          <w:szCs w:val="21"/>
          <w:lang w:eastAsia="zh-TW"/>
        </w:rPr>
        <w:t>conf</w:t>
      </w:r>
      <w:r>
        <w:rPr>
          <w:rFonts w:eastAsia="仿宋" w:cs="Times New Roman"/>
          <w:szCs w:val="21"/>
        </w:rPr>
        <w:t>orm</w:t>
      </w:r>
      <w:r>
        <w:rPr>
          <w:rFonts w:eastAsia="仿宋" w:cs="Times New Roman"/>
          <w:szCs w:val="21"/>
          <w:lang w:eastAsia="zh-TW"/>
        </w:rPr>
        <w:t xml:space="preserve"> in all respects to the specifications as set out below:</w:t>
      </w:r>
    </w:p>
    <w:p w14:paraId="5D72B60C">
      <w:pPr>
        <w:spacing w:line="240" w:lineRule="auto"/>
        <w:ind w:left="840"/>
        <w:rPr>
          <w:rFonts w:eastAsia="仿宋" w:cs="Times New Roman"/>
          <w:szCs w:val="21"/>
        </w:rPr>
      </w:pPr>
      <w:r>
        <w:rPr>
          <w:rFonts w:eastAsia="仿宋" w:cs="Times New Roman"/>
          <w:szCs w:val="21"/>
        </w:rPr>
        <w:t>卖方依据本合同出售并且</w:t>
      </w:r>
      <w:r>
        <w:rPr>
          <w:rFonts w:hint="eastAsia" w:eastAsia="仿宋" w:cs="Times New Roman"/>
          <w:szCs w:val="21"/>
        </w:rPr>
        <w:t>交付</w:t>
      </w:r>
      <w:r>
        <w:rPr>
          <w:rFonts w:eastAsia="仿宋" w:cs="Times New Roman"/>
          <w:szCs w:val="21"/>
        </w:rPr>
        <w:t>给买方的货物应</w:t>
      </w:r>
      <w:r>
        <w:rPr>
          <w:rFonts w:hint="eastAsia" w:eastAsia="仿宋" w:cs="Times New Roman"/>
          <w:szCs w:val="21"/>
        </w:rPr>
        <w:t>完全</w:t>
      </w:r>
      <w:r>
        <w:rPr>
          <w:rFonts w:eastAsia="仿宋" w:cs="Times New Roman"/>
          <w:szCs w:val="21"/>
        </w:rPr>
        <w:t>符合下面所述的有关规格型号：</w:t>
      </w:r>
    </w:p>
    <w:p w14:paraId="129624BC">
      <w:pPr>
        <w:spacing w:line="240" w:lineRule="auto"/>
        <w:ind w:left="840"/>
        <w:rPr>
          <w:rFonts w:eastAsia="仿宋" w:cs="Times New Roman"/>
          <w:szCs w:val="21"/>
        </w:rPr>
      </w:pPr>
    </w:p>
    <w:tbl>
      <w:tblPr>
        <w:tblStyle w:val="37"/>
        <w:tblW w:w="8788" w:type="dxa"/>
        <w:tblInd w:w="314" w:type="dxa"/>
        <w:tblLayout w:type="fixed"/>
        <w:tblCellMar>
          <w:top w:w="0" w:type="dxa"/>
          <w:left w:w="30" w:type="dxa"/>
          <w:bottom w:w="0" w:type="dxa"/>
          <w:right w:w="30" w:type="dxa"/>
        </w:tblCellMar>
      </w:tblPr>
      <w:tblGrid>
        <w:gridCol w:w="709"/>
        <w:gridCol w:w="3402"/>
        <w:gridCol w:w="567"/>
        <w:gridCol w:w="708"/>
        <w:gridCol w:w="1418"/>
        <w:gridCol w:w="1984"/>
      </w:tblGrid>
      <w:tr w14:paraId="4174F312">
        <w:tblPrEx>
          <w:tblCellMar>
            <w:top w:w="0" w:type="dxa"/>
            <w:left w:w="30" w:type="dxa"/>
            <w:bottom w:w="0" w:type="dxa"/>
            <w:right w:w="30" w:type="dxa"/>
          </w:tblCellMar>
        </w:tblPrEx>
        <w:trPr>
          <w:cantSplit/>
          <w:trHeight w:val="326" w:hRule="atLeast"/>
        </w:trPr>
        <w:tc>
          <w:tcPr>
            <w:tcW w:w="709" w:type="dxa"/>
            <w:tcBorders>
              <w:top w:val="single" w:color="000000" w:sz="6" w:space="0"/>
              <w:left w:val="single" w:color="000000" w:sz="6" w:space="0"/>
              <w:bottom w:val="single" w:color="000000" w:sz="6" w:space="0"/>
              <w:right w:val="single" w:color="000000" w:sz="6" w:space="0"/>
            </w:tcBorders>
          </w:tcPr>
          <w:p w14:paraId="02E18465">
            <w:pPr>
              <w:spacing w:line="240" w:lineRule="auto"/>
              <w:jc w:val="center"/>
              <w:rPr>
                <w:rFonts w:eastAsia="仿宋" w:cs="Times New Roman"/>
                <w:szCs w:val="21"/>
              </w:rPr>
            </w:pPr>
            <w:r>
              <w:rPr>
                <w:rFonts w:eastAsia="仿宋" w:cs="Times New Roman"/>
                <w:szCs w:val="21"/>
              </w:rPr>
              <w:t>Item</w:t>
            </w:r>
          </w:p>
          <w:p w14:paraId="01EC63EF">
            <w:pPr>
              <w:spacing w:line="240" w:lineRule="auto"/>
              <w:jc w:val="center"/>
              <w:rPr>
                <w:rFonts w:eastAsia="仿宋" w:cs="Times New Roman"/>
                <w:szCs w:val="21"/>
              </w:rPr>
            </w:pPr>
            <w:r>
              <w:rPr>
                <w:rFonts w:eastAsia="仿宋" w:cs="Times New Roman"/>
                <w:szCs w:val="21"/>
              </w:rPr>
              <w:t>项目</w:t>
            </w:r>
          </w:p>
        </w:tc>
        <w:tc>
          <w:tcPr>
            <w:tcW w:w="3402" w:type="dxa"/>
            <w:tcBorders>
              <w:top w:val="single" w:color="000000" w:sz="6" w:space="0"/>
              <w:left w:val="single" w:color="000000" w:sz="6" w:space="0"/>
              <w:bottom w:val="single" w:color="000000" w:sz="6" w:space="0"/>
              <w:right w:val="single" w:color="000000" w:sz="6" w:space="0"/>
            </w:tcBorders>
          </w:tcPr>
          <w:p w14:paraId="4C0138AF">
            <w:pPr>
              <w:spacing w:line="240" w:lineRule="auto"/>
              <w:jc w:val="center"/>
              <w:rPr>
                <w:rFonts w:eastAsia="仿宋" w:cs="Times New Roman"/>
                <w:szCs w:val="21"/>
              </w:rPr>
            </w:pPr>
            <w:r>
              <w:rPr>
                <w:rFonts w:eastAsia="仿宋" w:cs="Times New Roman"/>
                <w:szCs w:val="21"/>
              </w:rPr>
              <w:t>Description</w:t>
            </w:r>
          </w:p>
          <w:p w14:paraId="53EEBD55">
            <w:pPr>
              <w:spacing w:line="240" w:lineRule="auto"/>
              <w:jc w:val="center"/>
              <w:rPr>
                <w:rFonts w:eastAsia="仿宋" w:cs="Times New Roman"/>
                <w:szCs w:val="21"/>
              </w:rPr>
            </w:pPr>
            <w:r>
              <w:rPr>
                <w:rFonts w:eastAsia="仿宋" w:cs="Times New Roman"/>
                <w:szCs w:val="21"/>
              </w:rPr>
              <w:t>描述</w:t>
            </w:r>
          </w:p>
        </w:tc>
        <w:tc>
          <w:tcPr>
            <w:tcW w:w="567" w:type="dxa"/>
            <w:tcBorders>
              <w:top w:val="single" w:color="000000" w:sz="6" w:space="0"/>
              <w:left w:val="single" w:color="000000" w:sz="6" w:space="0"/>
              <w:bottom w:val="single" w:color="auto" w:sz="4" w:space="0"/>
              <w:right w:val="single" w:color="auto" w:sz="4" w:space="0"/>
            </w:tcBorders>
          </w:tcPr>
          <w:p w14:paraId="6823E1A8">
            <w:pPr>
              <w:spacing w:line="240" w:lineRule="auto"/>
              <w:jc w:val="center"/>
              <w:rPr>
                <w:rFonts w:eastAsia="仿宋" w:cs="Times New Roman"/>
                <w:szCs w:val="21"/>
              </w:rPr>
            </w:pPr>
            <w:r>
              <w:rPr>
                <w:rFonts w:eastAsia="仿宋" w:cs="Times New Roman"/>
                <w:szCs w:val="21"/>
              </w:rPr>
              <w:t>Unit</w:t>
            </w:r>
          </w:p>
          <w:p w14:paraId="46CF90A1">
            <w:pPr>
              <w:spacing w:line="240" w:lineRule="auto"/>
              <w:jc w:val="center"/>
              <w:rPr>
                <w:rFonts w:eastAsia="仿宋" w:cs="Times New Roman"/>
                <w:szCs w:val="21"/>
              </w:rPr>
            </w:pPr>
            <w:r>
              <w:rPr>
                <w:rFonts w:eastAsia="仿宋" w:cs="Times New Roman"/>
                <w:szCs w:val="21"/>
              </w:rPr>
              <w:t>单位</w:t>
            </w:r>
          </w:p>
        </w:tc>
        <w:tc>
          <w:tcPr>
            <w:tcW w:w="708" w:type="dxa"/>
            <w:tcBorders>
              <w:top w:val="single" w:color="000000" w:sz="6" w:space="0"/>
              <w:left w:val="single" w:color="auto" w:sz="4" w:space="0"/>
              <w:bottom w:val="single" w:color="auto" w:sz="4" w:space="0"/>
              <w:right w:val="single" w:color="auto" w:sz="4" w:space="0"/>
            </w:tcBorders>
          </w:tcPr>
          <w:p w14:paraId="205BE38B">
            <w:pPr>
              <w:spacing w:line="240" w:lineRule="auto"/>
              <w:jc w:val="center"/>
              <w:rPr>
                <w:rFonts w:eastAsia="仿宋" w:cs="Times New Roman"/>
                <w:szCs w:val="21"/>
              </w:rPr>
            </w:pPr>
            <w:r>
              <w:rPr>
                <w:rFonts w:eastAsia="仿宋" w:cs="Times New Roman"/>
                <w:szCs w:val="21"/>
              </w:rPr>
              <w:t>Qty</w:t>
            </w:r>
          </w:p>
          <w:p w14:paraId="5B0E89A2">
            <w:pPr>
              <w:spacing w:line="240" w:lineRule="auto"/>
              <w:jc w:val="center"/>
              <w:rPr>
                <w:rFonts w:eastAsia="仿宋" w:cs="Times New Roman"/>
                <w:szCs w:val="21"/>
              </w:rPr>
            </w:pPr>
            <w:r>
              <w:rPr>
                <w:rFonts w:eastAsia="仿宋" w:cs="Times New Roman"/>
                <w:szCs w:val="21"/>
              </w:rPr>
              <w:t>数量</w:t>
            </w:r>
          </w:p>
        </w:tc>
        <w:tc>
          <w:tcPr>
            <w:tcW w:w="1418" w:type="dxa"/>
            <w:tcBorders>
              <w:top w:val="single" w:color="000000" w:sz="6" w:space="0"/>
              <w:left w:val="single" w:color="auto" w:sz="4" w:space="0"/>
              <w:bottom w:val="single" w:color="auto" w:sz="4" w:space="0"/>
              <w:right w:val="single" w:color="auto" w:sz="4" w:space="0"/>
            </w:tcBorders>
          </w:tcPr>
          <w:p w14:paraId="1C8F4E53">
            <w:pPr>
              <w:spacing w:line="240" w:lineRule="auto"/>
              <w:jc w:val="center"/>
              <w:rPr>
                <w:rFonts w:eastAsia="仿宋" w:cs="Times New Roman"/>
                <w:szCs w:val="21"/>
              </w:rPr>
            </w:pPr>
            <w:r>
              <w:rPr>
                <w:rFonts w:eastAsia="仿宋" w:cs="Times New Roman"/>
                <w:szCs w:val="21"/>
              </w:rPr>
              <w:t>Unit Price单价</w:t>
            </w:r>
          </w:p>
          <w:p w14:paraId="24781134">
            <w:pPr>
              <w:spacing w:line="240" w:lineRule="auto"/>
              <w:jc w:val="center"/>
              <w:rPr>
                <w:rFonts w:eastAsia="仿宋" w:cs="Times New Roman"/>
                <w:szCs w:val="21"/>
              </w:rPr>
            </w:pPr>
          </w:p>
        </w:tc>
        <w:tc>
          <w:tcPr>
            <w:tcW w:w="1984" w:type="dxa"/>
            <w:tcBorders>
              <w:top w:val="single" w:color="000000" w:sz="6" w:space="0"/>
              <w:left w:val="single" w:color="auto" w:sz="4" w:space="0"/>
              <w:bottom w:val="single" w:color="auto" w:sz="4" w:space="0"/>
              <w:right w:val="single" w:color="000000" w:sz="6" w:space="0"/>
            </w:tcBorders>
          </w:tcPr>
          <w:p w14:paraId="5571C1D3">
            <w:pPr>
              <w:spacing w:line="240" w:lineRule="auto"/>
              <w:jc w:val="center"/>
              <w:rPr>
                <w:rFonts w:eastAsia="仿宋" w:cs="Times New Roman"/>
                <w:szCs w:val="21"/>
              </w:rPr>
            </w:pPr>
            <w:r>
              <w:rPr>
                <w:rFonts w:eastAsia="仿宋" w:cs="Times New Roman"/>
                <w:szCs w:val="21"/>
              </w:rPr>
              <w:t>Total Price总价</w:t>
            </w:r>
          </w:p>
          <w:p w14:paraId="3F43ECA5">
            <w:pPr>
              <w:spacing w:line="240" w:lineRule="auto"/>
              <w:jc w:val="center"/>
              <w:rPr>
                <w:rFonts w:eastAsia="仿宋" w:cs="Times New Roman"/>
                <w:szCs w:val="21"/>
              </w:rPr>
            </w:pPr>
          </w:p>
        </w:tc>
      </w:tr>
      <w:tr w14:paraId="27166E20">
        <w:tblPrEx>
          <w:tblCellMar>
            <w:top w:w="0" w:type="dxa"/>
            <w:left w:w="30" w:type="dxa"/>
            <w:bottom w:w="0" w:type="dxa"/>
            <w:right w:w="30" w:type="dxa"/>
          </w:tblCellMar>
        </w:tblPrEx>
        <w:trPr>
          <w:cantSplit/>
          <w:trHeight w:val="546" w:hRule="atLeast"/>
        </w:trPr>
        <w:tc>
          <w:tcPr>
            <w:tcW w:w="709" w:type="dxa"/>
            <w:tcBorders>
              <w:top w:val="single" w:color="000000" w:sz="6" w:space="0"/>
              <w:left w:val="single" w:color="000000" w:sz="6" w:space="0"/>
              <w:bottom w:val="single" w:color="000000" w:sz="6" w:space="0"/>
              <w:right w:val="single" w:color="000000" w:sz="6" w:space="0"/>
            </w:tcBorders>
            <w:vAlign w:val="center"/>
          </w:tcPr>
          <w:p w14:paraId="6510BDE7">
            <w:pPr>
              <w:spacing w:line="240" w:lineRule="auto"/>
              <w:ind w:firstLine="211" w:firstLineChars="100"/>
              <w:rPr>
                <w:rFonts w:eastAsia="仿宋" w:cs="Times New Roman"/>
                <w:b/>
                <w:bCs/>
                <w:szCs w:val="21"/>
              </w:rPr>
            </w:pPr>
            <w:r>
              <w:rPr>
                <w:rFonts w:eastAsia="仿宋" w:cs="Times New Roman"/>
                <w:b/>
                <w:bCs/>
                <w:szCs w:val="21"/>
              </w:rPr>
              <w:t>1</w:t>
            </w:r>
          </w:p>
        </w:tc>
        <w:tc>
          <w:tcPr>
            <w:tcW w:w="3402" w:type="dxa"/>
            <w:tcBorders>
              <w:top w:val="single" w:color="000000" w:sz="6" w:space="0"/>
              <w:left w:val="single" w:color="000000" w:sz="6" w:space="0"/>
              <w:bottom w:val="single" w:color="000000" w:sz="6" w:space="0"/>
              <w:right w:val="single" w:color="000000" w:sz="6" w:space="0"/>
            </w:tcBorders>
          </w:tcPr>
          <w:p w14:paraId="1D3E3CFD">
            <w:pPr>
              <w:spacing w:line="240" w:lineRule="auto"/>
              <w:ind w:left="105" w:hanging="105" w:hangingChars="50"/>
              <w:rPr>
                <w:rFonts w:eastAsia="仿宋" w:cs="Times New Roman"/>
                <w:b/>
                <w:szCs w:val="21"/>
              </w:rPr>
            </w:pPr>
          </w:p>
        </w:tc>
        <w:tc>
          <w:tcPr>
            <w:tcW w:w="567" w:type="dxa"/>
            <w:tcBorders>
              <w:top w:val="single" w:color="auto" w:sz="4" w:space="0"/>
              <w:left w:val="single" w:color="000000" w:sz="6" w:space="0"/>
              <w:bottom w:val="single" w:color="auto" w:sz="4" w:space="0"/>
              <w:right w:val="single" w:color="auto" w:sz="4" w:space="0"/>
            </w:tcBorders>
          </w:tcPr>
          <w:p w14:paraId="4C4BDB02">
            <w:pPr>
              <w:pStyle w:val="3"/>
              <w:rPr>
                <w:rFonts w:eastAsia="仿宋" w:cs="Times New Roman"/>
                <w:color w:val="auto"/>
                <w:sz w:val="21"/>
                <w:szCs w:val="21"/>
              </w:rPr>
            </w:pPr>
            <w:r>
              <w:rPr>
                <w:rFonts w:eastAsia="仿宋" w:cs="Times New Roman"/>
                <w:color w:val="auto"/>
                <w:sz w:val="21"/>
                <w:szCs w:val="21"/>
              </w:rPr>
              <w:t xml:space="preserve">Set </w:t>
            </w:r>
          </w:p>
        </w:tc>
        <w:tc>
          <w:tcPr>
            <w:tcW w:w="708" w:type="dxa"/>
            <w:tcBorders>
              <w:top w:val="single" w:color="auto" w:sz="4" w:space="0"/>
              <w:left w:val="single" w:color="auto" w:sz="4" w:space="0"/>
              <w:bottom w:val="single" w:color="auto" w:sz="4" w:space="0"/>
              <w:right w:val="single" w:color="auto" w:sz="4" w:space="0"/>
            </w:tcBorders>
          </w:tcPr>
          <w:p w14:paraId="739F87C1">
            <w:pPr>
              <w:spacing w:line="240" w:lineRule="auto"/>
              <w:jc w:val="center"/>
              <w:rPr>
                <w:rFonts w:eastAsia="仿宋" w:cs="Times New Roman"/>
                <w:b/>
                <w:bCs/>
                <w:szCs w:val="21"/>
              </w:rPr>
            </w:pPr>
            <w:r>
              <w:rPr>
                <w:rFonts w:eastAsia="仿宋" w:cs="Times New Roman"/>
                <w:b/>
                <w:bCs/>
                <w:szCs w:val="21"/>
              </w:rPr>
              <w:t>one</w:t>
            </w:r>
          </w:p>
        </w:tc>
        <w:tc>
          <w:tcPr>
            <w:tcW w:w="1418" w:type="dxa"/>
            <w:tcBorders>
              <w:top w:val="single" w:color="auto" w:sz="4" w:space="0"/>
              <w:left w:val="single" w:color="auto" w:sz="4" w:space="0"/>
              <w:bottom w:val="single" w:color="auto" w:sz="4" w:space="0"/>
              <w:right w:val="single" w:color="auto" w:sz="4" w:space="0"/>
            </w:tcBorders>
          </w:tcPr>
          <w:p w14:paraId="44322916">
            <w:pPr>
              <w:spacing w:line="240" w:lineRule="auto"/>
              <w:jc w:val="center"/>
              <w:rPr>
                <w:rFonts w:eastAsia="仿宋" w:cs="Times New Roman"/>
                <w:b/>
                <w:bCs/>
                <w:szCs w:val="21"/>
              </w:rPr>
            </w:pPr>
          </w:p>
          <w:p w14:paraId="4BBB6C50">
            <w:pPr>
              <w:spacing w:line="240" w:lineRule="auto"/>
              <w:jc w:val="center"/>
              <w:rPr>
                <w:rFonts w:eastAsia="仿宋" w:cs="Times New Roman"/>
                <w:b/>
                <w:bCs/>
                <w:szCs w:val="21"/>
              </w:rPr>
            </w:pPr>
          </w:p>
        </w:tc>
        <w:tc>
          <w:tcPr>
            <w:tcW w:w="1984" w:type="dxa"/>
            <w:tcBorders>
              <w:top w:val="single" w:color="auto" w:sz="4" w:space="0"/>
              <w:left w:val="single" w:color="auto" w:sz="4" w:space="0"/>
              <w:bottom w:val="single" w:color="auto" w:sz="4" w:space="0"/>
              <w:right w:val="single" w:color="000000" w:sz="6" w:space="0"/>
            </w:tcBorders>
          </w:tcPr>
          <w:p w14:paraId="373AB680">
            <w:pPr>
              <w:spacing w:line="240" w:lineRule="auto"/>
              <w:rPr>
                <w:rFonts w:eastAsia="仿宋" w:cs="Times New Roman"/>
                <w:b/>
                <w:bCs/>
                <w:szCs w:val="21"/>
              </w:rPr>
            </w:pPr>
          </w:p>
        </w:tc>
      </w:tr>
      <w:tr w14:paraId="6FDA695C">
        <w:trPr>
          <w:cantSplit/>
          <w:trHeight w:val="559" w:hRule="atLeast"/>
        </w:trPr>
        <w:tc>
          <w:tcPr>
            <w:tcW w:w="709" w:type="dxa"/>
            <w:tcBorders>
              <w:top w:val="single" w:color="000000" w:sz="6" w:space="0"/>
              <w:left w:val="single" w:color="000000" w:sz="6" w:space="0"/>
              <w:bottom w:val="single" w:color="000000" w:sz="6" w:space="0"/>
              <w:right w:val="single" w:color="000000" w:sz="6" w:space="0"/>
            </w:tcBorders>
          </w:tcPr>
          <w:p w14:paraId="077D29F3">
            <w:pPr>
              <w:spacing w:line="240" w:lineRule="auto"/>
              <w:ind w:firstLine="211" w:firstLineChars="100"/>
              <w:rPr>
                <w:rFonts w:eastAsia="仿宋" w:cs="Times New Roman"/>
                <w:szCs w:val="21"/>
              </w:rPr>
            </w:pPr>
            <w:r>
              <w:rPr>
                <w:rFonts w:eastAsia="仿宋" w:cs="Times New Roman"/>
                <w:b/>
                <w:bCs/>
                <w:szCs w:val="21"/>
              </w:rPr>
              <w:t>2</w:t>
            </w:r>
          </w:p>
        </w:tc>
        <w:tc>
          <w:tcPr>
            <w:tcW w:w="3402" w:type="dxa"/>
            <w:tcBorders>
              <w:top w:val="single" w:color="000000" w:sz="6" w:space="0"/>
              <w:left w:val="single" w:color="000000" w:sz="6" w:space="0"/>
              <w:bottom w:val="single" w:color="000000" w:sz="6" w:space="0"/>
              <w:right w:val="single" w:color="000000" w:sz="6" w:space="0"/>
            </w:tcBorders>
          </w:tcPr>
          <w:p w14:paraId="7D70BC12">
            <w:pPr>
              <w:spacing w:line="240" w:lineRule="auto"/>
              <w:rPr>
                <w:rFonts w:eastAsia="仿宋" w:cs="Times New Roman"/>
                <w:b/>
                <w:bCs/>
                <w:szCs w:val="21"/>
                <w:lang w:val="it-IT"/>
              </w:rPr>
            </w:pPr>
          </w:p>
        </w:tc>
        <w:tc>
          <w:tcPr>
            <w:tcW w:w="4677" w:type="dxa"/>
            <w:gridSpan w:val="4"/>
            <w:tcBorders>
              <w:left w:val="single" w:color="000000" w:sz="6" w:space="0"/>
              <w:bottom w:val="single" w:color="auto" w:sz="4" w:space="0"/>
              <w:right w:val="single" w:color="auto" w:sz="4" w:space="0"/>
            </w:tcBorders>
          </w:tcPr>
          <w:p w14:paraId="1B814381">
            <w:pPr>
              <w:spacing w:line="240" w:lineRule="auto"/>
              <w:rPr>
                <w:rFonts w:eastAsia="仿宋" w:cs="Times New Roman"/>
                <w:b/>
                <w:bCs/>
                <w:szCs w:val="21"/>
              </w:rPr>
            </w:pPr>
          </w:p>
          <w:p w14:paraId="22062A72">
            <w:pPr>
              <w:spacing w:line="240" w:lineRule="auto"/>
              <w:rPr>
                <w:rFonts w:eastAsia="仿宋" w:cs="Times New Roman"/>
                <w:b/>
                <w:bCs/>
                <w:szCs w:val="21"/>
              </w:rPr>
            </w:pPr>
          </w:p>
        </w:tc>
      </w:tr>
      <w:tr w14:paraId="48A0D581">
        <w:tblPrEx>
          <w:tblCellMar>
            <w:top w:w="0" w:type="dxa"/>
            <w:left w:w="30" w:type="dxa"/>
            <w:bottom w:w="0" w:type="dxa"/>
            <w:right w:w="30" w:type="dxa"/>
          </w:tblCellMar>
        </w:tblPrEx>
        <w:trPr>
          <w:cantSplit/>
          <w:trHeight w:val="312" w:hRule="atLeast"/>
        </w:trPr>
        <w:tc>
          <w:tcPr>
            <w:tcW w:w="709" w:type="dxa"/>
            <w:tcBorders>
              <w:top w:val="single" w:color="000000" w:sz="6" w:space="0"/>
              <w:left w:val="single" w:color="000000" w:sz="6" w:space="0"/>
              <w:bottom w:val="single" w:color="000000" w:sz="6" w:space="0"/>
              <w:right w:val="single" w:color="000000" w:sz="6" w:space="0"/>
            </w:tcBorders>
          </w:tcPr>
          <w:p w14:paraId="5764D88E">
            <w:pPr>
              <w:spacing w:line="240" w:lineRule="auto"/>
              <w:jc w:val="center"/>
              <w:rPr>
                <w:rFonts w:eastAsia="仿宋" w:cs="Times New Roman"/>
                <w:b/>
                <w:bCs/>
                <w:szCs w:val="21"/>
              </w:rPr>
            </w:pPr>
            <w:r>
              <w:rPr>
                <w:rFonts w:eastAsia="仿宋" w:cs="Times New Roman"/>
                <w:b/>
                <w:bCs/>
                <w:szCs w:val="21"/>
              </w:rPr>
              <w:t>Total value</w:t>
            </w:r>
          </w:p>
          <w:p w14:paraId="4596EE1E">
            <w:pPr>
              <w:spacing w:line="240" w:lineRule="auto"/>
              <w:jc w:val="center"/>
              <w:rPr>
                <w:rFonts w:eastAsia="仿宋" w:cs="Times New Roman"/>
                <w:b/>
                <w:bCs/>
                <w:szCs w:val="21"/>
                <w:lang w:val="en-GB"/>
              </w:rPr>
            </w:pPr>
            <w:r>
              <w:rPr>
                <w:rFonts w:eastAsia="仿宋" w:cs="Times New Roman"/>
                <w:b/>
                <w:bCs/>
                <w:szCs w:val="21"/>
              </w:rPr>
              <w:t>总价</w:t>
            </w:r>
          </w:p>
        </w:tc>
        <w:tc>
          <w:tcPr>
            <w:tcW w:w="8079" w:type="dxa"/>
            <w:gridSpan w:val="5"/>
            <w:tcBorders>
              <w:top w:val="single" w:color="000000" w:sz="6" w:space="0"/>
              <w:left w:val="single" w:color="000000" w:sz="6" w:space="0"/>
              <w:bottom w:val="single" w:color="000000" w:sz="6" w:space="0"/>
              <w:right w:val="single" w:color="000000" w:sz="6" w:space="0"/>
            </w:tcBorders>
          </w:tcPr>
          <w:p w14:paraId="3595B713">
            <w:pPr>
              <w:spacing w:line="240" w:lineRule="auto"/>
              <w:rPr>
                <w:rFonts w:eastAsia="仿宋" w:cs="Times New Roman"/>
                <w:szCs w:val="21"/>
              </w:rPr>
            </w:pPr>
            <w:r>
              <w:rPr>
                <w:rFonts w:eastAsia="仿宋" w:cs="Times New Roman"/>
                <w:szCs w:val="21"/>
                <w:lang w:val="en-GB"/>
              </w:rPr>
              <w:t xml:space="preserve">Say    </w:t>
            </w:r>
            <w:r>
              <w:rPr>
                <w:rFonts w:eastAsia="仿宋" w:cs="Times New Roman"/>
                <w:szCs w:val="21"/>
              </w:rPr>
              <w:t xml:space="preserve">Only. </w:t>
            </w:r>
          </w:p>
          <w:p w14:paraId="72A4B5AF">
            <w:pPr>
              <w:spacing w:line="240" w:lineRule="auto"/>
              <w:rPr>
                <w:rFonts w:eastAsia="仿宋" w:cs="Times New Roman"/>
                <w:szCs w:val="21"/>
              </w:rPr>
            </w:pPr>
          </w:p>
        </w:tc>
      </w:tr>
    </w:tbl>
    <w:p w14:paraId="4370C974">
      <w:pPr>
        <w:spacing w:line="240" w:lineRule="auto"/>
        <w:rPr>
          <w:rFonts w:eastAsia="仿宋" w:cs="Times New Roman"/>
          <w:b/>
          <w:szCs w:val="21"/>
          <w:lang w:eastAsia="zh-TW"/>
        </w:rPr>
      </w:pPr>
    </w:p>
    <w:p w14:paraId="62DB9B33">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b)</w:t>
      </w:r>
      <w:r>
        <w:rPr>
          <w:rFonts w:eastAsia="仿宋" w:cs="Times New Roman"/>
          <w:szCs w:val="21"/>
          <w:lang w:eastAsia="zh-TW"/>
        </w:rPr>
        <w:t>The T</w:t>
      </w:r>
      <w:r>
        <w:rPr>
          <w:rFonts w:hint="eastAsia" w:eastAsia="仿宋" w:cs="Times New Roman"/>
          <w:szCs w:val="21"/>
        </w:rPr>
        <w:t>rade</w:t>
      </w:r>
      <w:r>
        <w:rPr>
          <w:rFonts w:eastAsia="仿宋" w:cs="Times New Roman"/>
          <w:szCs w:val="21"/>
          <w:lang w:eastAsia="zh-TW"/>
        </w:rPr>
        <w:t xml:space="preserve"> Terms is :  </w:t>
      </w:r>
    </w:p>
    <w:p w14:paraId="2DC9627B">
      <w:pPr>
        <w:tabs>
          <w:tab w:val="left" w:pos="390"/>
          <w:tab w:val="left" w:pos="840"/>
        </w:tabs>
        <w:spacing w:line="240" w:lineRule="auto"/>
        <w:ind w:left="840"/>
        <w:rPr>
          <w:rFonts w:ascii="仿宋" w:hAnsi="仿宋" w:eastAsia="仿宋" w:cs="仿宋"/>
          <w:szCs w:val="21"/>
          <w:lang w:eastAsia="zh-TW"/>
        </w:rPr>
      </w:pPr>
      <w:r>
        <w:rPr>
          <w:rFonts w:hint="eastAsia" w:ascii="仿宋" w:hAnsi="仿宋" w:eastAsia="仿宋" w:cs="仿宋"/>
          <w:szCs w:val="21"/>
        </w:rPr>
        <w:t>贸易术语：</w:t>
      </w:r>
    </w:p>
    <w:p w14:paraId="055AC261">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c)</w:t>
      </w:r>
      <w:r>
        <w:rPr>
          <w:rFonts w:eastAsia="仿宋" w:cs="Times New Roman"/>
          <w:szCs w:val="21"/>
          <w:lang w:eastAsia="zh-TW"/>
        </w:rPr>
        <w:t>The brand is</w:t>
      </w:r>
      <w:r>
        <w:rPr>
          <w:rFonts w:hint="eastAsia" w:eastAsia="仿宋" w:cs="Times New Roman"/>
          <w:szCs w:val="21"/>
          <w:lang w:eastAsia="zh-TW"/>
        </w:rPr>
        <w:t>：</w:t>
      </w:r>
    </w:p>
    <w:p w14:paraId="717328CB">
      <w:pPr>
        <w:tabs>
          <w:tab w:val="left" w:pos="390"/>
          <w:tab w:val="left" w:pos="840"/>
        </w:tabs>
        <w:spacing w:line="240" w:lineRule="auto"/>
        <w:ind w:left="840"/>
        <w:rPr>
          <w:rFonts w:eastAsia="仿宋" w:cs="Times New Roman"/>
          <w:szCs w:val="21"/>
          <w:lang w:eastAsia="zh-TW"/>
        </w:rPr>
      </w:pPr>
      <w:r>
        <w:rPr>
          <w:rFonts w:hint="eastAsia" w:ascii="仿宋" w:hAnsi="仿宋" w:eastAsia="仿宋"/>
          <w:szCs w:val="21"/>
        </w:rPr>
        <w:t>品牌：</w:t>
      </w:r>
    </w:p>
    <w:p w14:paraId="3F188F73">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d)</w:t>
      </w:r>
      <w:r>
        <w:rPr>
          <w:szCs w:val="21"/>
        </w:rPr>
        <w:t>The product model type is</w:t>
      </w:r>
      <w:r>
        <w:rPr>
          <w:rFonts w:hint="eastAsia" w:ascii="仿宋" w:hAnsi="仿宋" w:eastAsia="仿宋"/>
          <w:szCs w:val="21"/>
        </w:rPr>
        <w:t>：</w:t>
      </w:r>
    </w:p>
    <w:p w14:paraId="106589BD">
      <w:pPr>
        <w:tabs>
          <w:tab w:val="left" w:pos="390"/>
          <w:tab w:val="left" w:pos="840"/>
        </w:tabs>
        <w:spacing w:line="240" w:lineRule="auto"/>
        <w:ind w:left="840"/>
        <w:rPr>
          <w:rFonts w:eastAsia="仿宋" w:cs="Times New Roman"/>
          <w:szCs w:val="21"/>
          <w:lang w:eastAsia="zh-TW"/>
        </w:rPr>
      </w:pPr>
      <w:r>
        <w:rPr>
          <w:rFonts w:hint="eastAsia" w:ascii="仿宋" w:hAnsi="仿宋" w:eastAsia="仿宋"/>
          <w:szCs w:val="21"/>
        </w:rPr>
        <w:t>产品型号：</w:t>
      </w:r>
    </w:p>
    <w:p w14:paraId="60F8CB97">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e)</w:t>
      </w:r>
      <w:r>
        <w:rPr>
          <w:rFonts w:hint="eastAsia" w:eastAsia="仿宋" w:cs="Times New Roman"/>
          <w:szCs w:val="21"/>
          <w:lang w:eastAsia="zh-TW"/>
        </w:rPr>
        <w:t>The county of origin is：</w:t>
      </w:r>
    </w:p>
    <w:p w14:paraId="78A2CE92">
      <w:pPr>
        <w:tabs>
          <w:tab w:val="left" w:pos="390"/>
          <w:tab w:val="left" w:pos="840"/>
        </w:tabs>
        <w:spacing w:line="240" w:lineRule="auto"/>
        <w:ind w:left="840"/>
        <w:rPr>
          <w:rFonts w:ascii="仿宋" w:hAnsi="仿宋" w:eastAsia="仿宋" w:cs="Times New Roman"/>
          <w:szCs w:val="21"/>
          <w:lang w:eastAsia="zh-TW"/>
        </w:rPr>
      </w:pPr>
      <w:r>
        <w:rPr>
          <w:rFonts w:hint="eastAsia" w:ascii="仿宋" w:hAnsi="仿宋" w:eastAsia="仿宋" w:cs="Times New Roman"/>
          <w:szCs w:val="21"/>
          <w:lang w:eastAsia="zh-TW"/>
        </w:rPr>
        <w:t>原产国：</w:t>
      </w:r>
    </w:p>
    <w:p w14:paraId="6ECE1B5E">
      <w:pPr>
        <w:tabs>
          <w:tab w:val="left" w:pos="390"/>
          <w:tab w:val="left" w:pos="840"/>
        </w:tabs>
        <w:spacing w:line="240" w:lineRule="auto"/>
        <w:ind w:firstLine="422" w:firstLineChars="200"/>
        <w:rPr>
          <w:rFonts w:ascii="仿宋" w:hAnsi="仿宋" w:eastAsia="仿宋" w:cs="Times New Roman"/>
          <w:szCs w:val="21"/>
        </w:rPr>
      </w:pPr>
      <w:r>
        <w:rPr>
          <w:rFonts w:eastAsia="仿宋" w:cs="Times New Roman"/>
          <w:b/>
          <w:szCs w:val="21"/>
          <w:lang w:eastAsia="zh-TW"/>
        </w:rPr>
        <w:t>f)</w:t>
      </w:r>
      <w:r>
        <w:rPr>
          <w:rFonts w:hint="eastAsia" w:ascii="仿宋" w:hAnsi="仿宋" w:eastAsia="仿宋" w:cs="Times New Roman"/>
          <w:szCs w:val="21"/>
        </w:rPr>
        <w:t>The mode of Transport is: BY SEA/ BY AIR</w:t>
      </w:r>
    </w:p>
    <w:p w14:paraId="0CEEF98F">
      <w:pPr>
        <w:tabs>
          <w:tab w:val="left" w:pos="390"/>
          <w:tab w:val="left" w:pos="840"/>
        </w:tabs>
        <w:spacing w:line="240" w:lineRule="auto"/>
        <w:ind w:left="840"/>
        <w:rPr>
          <w:rFonts w:ascii="仿宋" w:hAnsi="仿宋" w:eastAsia="仿宋" w:cs="Times New Roman"/>
          <w:szCs w:val="21"/>
        </w:rPr>
      </w:pPr>
      <w:r>
        <w:rPr>
          <w:rFonts w:hint="eastAsia" w:ascii="仿宋" w:hAnsi="仿宋" w:eastAsia="仿宋" w:cs="Times New Roman"/>
          <w:szCs w:val="21"/>
        </w:rPr>
        <w:t>运输方式：</w:t>
      </w:r>
    </w:p>
    <w:p w14:paraId="2D2B5820">
      <w:pPr>
        <w:numPr>
          <w:ilvl w:val="1"/>
          <w:numId w:val="0"/>
        </w:numPr>
        <w:spacing w:line="240" w:lineRule="auto"/>
        <w:ind w:left="840" w:hanging="420"/>
        <w:rPr>
          <w:rFonts w:eastAsia="仿宋" w:cs="Times New Roman"/>
          <w:szCs w:val="21"/>
          <w:lang w:eastAsia="zh-TW"/>
        </w:rPr>
      </w:pPr>
      <w:r>
        <w:rPr>
          <w:rFonts w:hint="eastAsia" w:eastAsia="仿宋" w:cs="Times New Roman"/>
          <w:b/>
          <w:szCs w:val="21"/>
        </w:rPr>
        <w:t>g</w:t>
      </w:r>
      <w:r>
        <w:rPr>
          <w:rFonts w:eastAsia="仿宋" w:cs="Times New Roman"/>
          <w:b/>
          <w:szCs w:val="21"/>
          <w:lang w:eastAsia="zh-TW"/>
        </w:rPr>
        <w:t>)</w:t>
      </w:r>
      <w:r>
        <w:rPr>
          <w:rFonts w:eastAsia="仿宋" w:cs="Times New Roman"/>
          <w:szCs w:val="21"/>
          <w:lang w:eastAsia="zh-TW"/>
        </w:rPr>
        <w:t xml:space="preserve">The import port is:   </w:t>
      </w:r>
    </w:p>
    <w:p w14:paraId="4D40F9DE">
      <w:pPr>
        <w:tabs>
          <w:tab w:val="left" w:pos="390"/>
          <w:tab w:val="left" w:pos="840"/>
        </w:tabs>
        <w:spacing w:line="240" w:lineRule="auto"/>
        <w:ind w:left="840"/>
        <w:rPr>
          <w:rFonts w:eastAsia="仿宋" w:cs="Times New Roman"/>
          <w:szCs w:val="21"/>
        </w:rPr>
      </w:pPr>
      <w:r>
        <w:rPr>
          <w:rFonts w:hint="eastAsia" w:eastAsia="仿宋" w:cs="Times New Roman"/>
          <w:szCs w:val="21"/>
          <w:lang w:eastAsia="zh-TW"/>
        </w:rPr>
        <w:t>进口口岸：</w:t>
      </w:r>
      <w:r>
        <w:rPr>
          <w:rFonts w:hint="eastAsia" w:eastAsia="仿宋" w:cs="Times New Roman"/>
          <w:szCs w:val="21"/>
        </w:rPr>
        <w:t xml:space="preserve"> </w:t>
      </w:r>
    </w:p>
    <w:p w14:paraId="793A2521">
      <w:pPr>
        <w:tabs>
          <w:tab w:val="left" w:pos="390"/>
          <w:tab w:val="left" w:pos="840"/>
        </w:tabs>
        <w:spacing w:line="240" w:lineRule="auto"/>
        <w:ind w:left="840"/>
        <w:rPr>
          <w:rFonts w:eastAsia="仿宋" w:cs="Times New Roman"/>
          <w:b/>
          <w:i/>
          <w:iCs/>
          <w:sz w:val="24"/>
          <w:szCs w:val="24"/>
          <w:lang w:eastAsia="zh-TW"/>
        </w:rPr>
      </w:pPr>
    </w:p>
    <w:p w14:paraId="31EBC990">
      <w:pPr>
        <w:tabs>
          <w:tab w:val="left" w:pos="390"/>
          <w:tab w:val="left" w:pos="840"/>
        </w:tabs>
        <w:spacing w:line="240" w:lineRule="auto"/>
        <w:ind w:left="840"/>
        <w:rPr>
          <w:rFonts w:eastAsia="仿宋" w:cs="Times New Roman"/>
          <w:szCs w:val="21"/>
          <w:lang w:eastAsia="zh-TW"/>
        </w:rPr>
      </w:pPr>
      <w:r>
        <w:rPr>
          <w:rFonts w:hint="eastAsia" w:eastAsia="仿宋" w:cs="Times New Roman"/>
          <w:b/>
          <w:i/>
          <w:iCs/>
          <w:sz w:val="24"/>
          <w:szCs w:val="24"/>
          <w:lang w:eastAsia="zh-TW"/>
        </w:rPr>
        <w:t>（设备适用）</w:t>
      </w:r>
      <w:r>
        <w:rPr>
          <w:rFonts w:eastAsia="仿宋" w:cs="Times New Roman"/>
          <w:szCs w:val="21"/>
          <w:lang w:eastAsia="zh-TW"/>
        </w:rPr>
        <w:t>If the Commodities need to apply for a tax reduction certificate, the Parties agree to clear customs at the Zhangjinzongbao Port.</w:t>
      </w:r>
    </w:p>
    <w:p w14:paraId="1C788C3C">
      <w:pPr>
        <w:tabs>
          <w:tab w:val="left" w:pos="390"/>
          <w:tab w:val="left" w:pos="840"/>
        </w:tabs>
        <w:spacing w:line="240" w:lineRule="auto"/>
        <w:ind w:left="840"/>
        <w:rPr>
          <w:rFonts w:eastAsia="PMingLiU" w:cs="Times New Roman"/>
          <w:szCs w:val="21"/>
          <w:lang w:eastAsia="zh-TW"/>
        </w:rPr>
      </w:pPr>
      <w:r>
        <w:rPr>
          <w:rFonts w:hint="eastAsia" w:eastAsia="仿宋" w:cs="Times New Roman"/>
          <w:szCs w:val="21"/>
          <w:lang w:eastAsia="zh-TW"/>
        </w:rPr>
        <w:t>如货物为免税货物，三方同意在章锦综保口岸办理清关手续。</w:t>
      </w:r>
    </w:p>
    <w:p w14:paraId="214D65F7">
      <w:pPr>
        <w:tabs>
          <w:tab w:val="left" w:pos="390"/>
          <w:tab w:val="left" w:pos="840"/>
        </w:tabs>
        <w:spacing w:line="240" w:lineRule="auto"/>
        <w:rPr>
          <w:rFonts w:cs="Times New Roman" w:eastAsiaTheme="minorEastAsia"/>
          <w:szCs w:val="21"/>
        </w:rPr>
      </w:pPr>
      <w:r>
        <w:rPr>
          <w:rFonts w:hint="eastAsia" w:cs="Times New Roman" w:eastAsiaTheme="minorEastAsia"/>
          <w:szCs w:val="21"/>
        </w:rPr>
        <w:t xml:space="preserve"> </w:t>
      </w:r>
      <w:r>
        <w:rPr>
          <w:rFonts w:cs="Times New Roman" w:eastAsiaTheme="minorEastAsia"/>
          <w:szCs w:val="21"/>
        </w:rPr>
        <w:t xml:space="preserve">  </w:t>
      </w:r>
    </w:p>
    <w:p w14:paraId="50BF0A39">
      <w:pPr>
        <w:numPr>
          <w:ilvl w:val="1"/>
          <w:numId w:val="0"/>
        </w:numPr>
        <w:spacing w:line="240" w:lineRule="auto"/>
        <w:ind w:left="840" w:hanging="420"/>
        <w:rPr>
          <w:rFonts w:eastAsia="仿宋" w:cs="Times New Roman"/>
          <w:szCs w:val="21"/>
        </w:rPr>
      </w:pPr>
      <w:r>
        <w:rPr>
          <w:rFonts w:hint="eastAsia" w:eastAsia="仿宋" w:cs="Times New Roman"/>
          <w:b/>
          <w:szCs w:val="21"/>
        </w:rPr>
        <w:t>h</w:t>
      </w:r>
      <w:r>
        <w:rPr>
          <w:rFonts w:eastAsia="仿宋" w:cs="Times New Roman"/>
          <w:b/>
          <w:szCs w:val="21"/>
        </w:rPr>
        <w:t>)</w:t>
      </w:r>
      <w:r>
        <w:rPr>
          <w:rFonts w:eastAsia="仿宋" w:cs="Times New Roman"/>
          <w:szCs w:val="21"/>
        </w:rPr>
        <w:t>The Commodities</w:t>
      </w:r>
      <w:r>
        <w:rPr>
          <w:rFonts w:hint="eastAsia" w:eastAsia="仿宋" w:cs="Times New Roman"/>
          <w:szCs w:val="21"/>
        </w:rPr>
        <w:t xml:space="preserve"> shall </w:t>
      </w:r>
      <w:r>
        <w:rPr>
          <w:rFonts w:eastAsia="仿宋" w:cs="Times New Roman"/>
          <w:szCs w:val="21"/>
        </w:rPr>
        <w:t xml:space="preserve">fully </w:t>
      </w:r>
      <w:r>
        <w:rPr>
          <w:rFonts w:hint="eastAsia" w:eastAsia="仿宋" w:cs="Times New Roman"/>
          <w:szCs w:val="21"/>
        </w:rPr>
        <w:t>conform to the standards descri</w:t>
      </w:r>
      <w:r>
        <w:rPr>
          <w:rFonts w:eastAsia="仿宋" w:cs="Times New Roman"/>
          <w:szCs w:val="21"/>
        </w:rPr>
        <w:t>bed</w:t>
      </w:r>
      <w:r>
        <w:rPr>
          <w:rFonts w:hint="eastAsia" w:eastAsia="仿宋" w:cs="Times New Roman"/>
          <w:szCs w:val="21"/>
        </w:rPr>
        <w:t xml:space="preserve"> in the drawing of MAN and regulations in M3211，M3214，M3416</w:t>
      </w:r>
      <w:r>
        <w:rPr>
          <w:rFonts w:eastAsia="仿宋" w:cs="Times New Roman"/>
          <w:szCs w:val="21"/>
        </w:rPr>
        <w:t xml:space="preserve">, only the raw material C38 mod BY n. </w:t>
      </w:r>
      <w:r>
        <w:rPr>
          <w:rFonts w:hint="eastAsia" w:eastAsia="仿宋" w:cs="Times New Roman"/>
          <w:szCs w:val="21"/>
        </w:rPr>
        <w:t xml:space="preserve">M3214 </w:t>
      </w:r>
      <w:r>
        <w:rPr>
          <w:rFonts w:eastAsia="仿宋" w:cs="Times New Roman"/>
          <w:szCs w:val="21"/>
        </w:rPr>
        <w:t>delivered by GMH Georgsmarienhütte shall be processed by the Seller</w:t>
      </w:r>
      <w:r>
        <w:rPr>
          <w:rFonts w:hint="eastAsia" w:eastAsia="仿宋" w:cs="Times New Roman"/>
          <w:szCs w:val="21"/>
        </w:rPr>
        <w:t>.</w:t>
      </w:r>
    </w:p>
    <w:p w14:paraId="745344F2">
      <w:pPr>
        <w:pStyle w:val="129"/>
        <w:widowControl w:val="0"/>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602" w:firstLineChars="250"/>
        <w:rPr>
          <w:rFonts w:eastAsia="PMingLiU" w:cs="Times New Roman"/>
          <w:b/>
          <w:sz w:val="24"/>
          <w:szCs w:val="24"/>
          <w:lang w:eastAsia="zh-TW"/>
        </w:rPr>
      </w:pPr>
      <w:r>
        <w:rPr>
          <w:rFonts w:hint="eastAsia" w:eastAsia="仿宋" w:cs="Times New Roman"/>
          <w:b/>
          <w:i/>
          <w:iCs/>
          <w:sz w:val="24"/>
          <w:szCs w:val="24"/>
          <w:lang w:eastAsia="zh-TW"/>
        </w:rPr>
        <w:t>（曼机零部件适用）</w:t>
      </w:r>
      <w:r>
        <w:rPr>
          <w:rFonts w:hint="eastAsia" w:ascii="Arial" w:hAnsi="Arial" w:eastAsia="楷体_GB2312"/>
          <w:szCs w:val="21"/>
        </w:rPr>
        <w:t>货物应</w:t>
      </w:r>
      <w:r>
        <w:rPr>
          <w:rFonts w:hint="eastAsia" w:ascii="Arial" w:eastAsia="楷体_GB2312"/>
          <w:bCs/>
          <w:szCs w:val="21"/>
        </w:rPr>
        <w:t>完全符合</w:t>
      </w:r>
      <w:r>
        <w:rPr>
          <w:rFonts w:hint="eastAsia" w:ascii="Arial" w:eastAsia="楷体_GB2312"/>
          <w:szCs w:val="21"/>
        </w:rPr>
        <w:t>德国</w:t>
      </w:r>
      <w:r>
        <w:rPr>
          <w:rFonts w:hint="eastAsia" w:ascii="Arial" w:hAnsi="Arial" w:eastAsia="楷体_GB2312"/>
          <w:szCs w:val="21"/>
        </w:rPr>
        <w:t>MAN</w:t>
      </w:r>
      <w:r>
        <w:rPr>
          <w:rFonts w:hint="eastAsia" w:ascii="Arial" w:eastAsia="楷体_GB2312"/>
          <w:szCs w:val="21"/>
        </w:rPr>
        <w:t>公司图纸和M3211、M3214及M3416的规格要求</w:t>
      </w:r>
      <w:r>
        <w:rPr>
          <w:rFonts w:hint="eastAsia" w:ascii="Arial" w:hAnsi="Arial" w:eastAsia="楷体_GB2312"/>
          <w:szCs w:val="21"/>
        </w:rPr>
        <w:t xml:space="preserve">，卖方仅加工由GMH </w:t>
      </w:r>
      <w:r>
        <w:rPr>
          <w:rFonts w:ascii="Arial" w:hAnsi="Arial" w:eastAsia="楷体_GB2312"/>
          <w:szCs w:val="21"/>
        </w:rPr>
        <w:t>Georgsmarienhütte</w:t>
      </w:r>
      <w:r>
        <w:rPr>
          <w:rFonts w:hint="eastAsia" w:ascii="Arial" w:hAnsi="Arial" w:eastAsia="楷体_GB2312"/>
          <w:szCs w:val="21"/>
        </w:rPr>
        <w:t>交付的原材料</w:t>
      </w:r>
      <w:r>
        <w:rPr>
          <w:rFonts w:ascii="Arial" w:hAnsi="Arial" w:eastAsia="楷体_GB2312"/>
          <w:szCs w:val="21"/>
        </w:rPr>
        <w:t xml:space="preserve">C38 mod BY n. </w:t>
      </w:r>
      <w:r>
        <w:rPr>
          <w:rFonts w:hint="eastAsia" w:ascii="Arial" w:hAnsi="Arial" w:eastAsia="楷体_GB2312"/>
          <w:szCs w:val="21"/>
        </w:rPr>
        <w:t>M3214.</w:t>
      </w:r>
      <w:r>
        <w:rPr>
          <w:rFonts w:hint="eastAsia" w:eastAsia="仿宋" w:cs="Times New Roman"/>
          <w:szCs w:val="21"/>
          <w:lang w:eastAsia="zh-TW"/>
        </w:rPr>
        <w:t>。</w:t>
      </w:r>
    </w:p>
    <w:p w14:paraId="3F3C7DE0">
      <w:pPr>
        <w:numPr>
          <w:ilvl w:val="1"/>
          <w:numId w:val="0"/>
        </w:numPr>
        <w:spacing w:line="240" w:lineRule="auto"/>
        <w:ind w:left="840" w:hanging="420"/>
        <w:rPr>
          <w:rFonts w:eastAsia="仿宋" w:cs="Times New Roman"/>
          <w:szCs w:val="21"/>
          <w:lang w:eastAsia="zh-TW"/>
        </w:rPr>
      </w:pPr>
      <w:r>
        <w:rPr>
          <w:rFonts w:hint="eastAsia" w:eastAsia="仿宋" w:cs="Times New Roman"/>
          <w:b/>
          <w:szCs w:val="21"/>
        </w:rPr>
        <w:t>i</w:t>
      </w:r>
      <w:r>
        <w:rPr>
          <w:rFonts w:eastAsia="仿宋" w:cs="Times New Roman"/>
          <w:b/>
          <w:szCs w:val="21"/>
          <w:lang w:eastAsia="zh-TW"/>
        </w:rPr>
        <w:t>)</w:t>
      </w:r>
      <w:r>
        <w:rPr>
          <w:rFonts w:eastAsia="仿宋" w:cs="Times New Roman"/>
          <w:szCs w:val="21"/>
          <w:lang w:eastAsia="zh-TW"/>
        </w:rPr>
        <w:t xml:space="preserve">The Buyer shall be entitled to reject any quantity of the Commodities which are not in </w:t>
      </w:r>
      <w:r>
        <w:rPr>
          <w:rFonts w:eastAsia="仿宋" w:cs="Times New Roman"/>
          <w:szCs w:val="21"/>
        </w:rPr>
        <w:t xml:space="preserve">this clause and/or not in </w:t>
      </w:r>
      <w:r>
        <w:rPr>
          <w:rFonts w:eastAsia="仿宋" w:cs="Times New Roman"/>
          <w:szCs w:val="21"/>
          <w:lang w:eastAsia="zh-TW"/>
        </w:rPr>
        <w:t>conformity with</w:t>
      </w:r>
      <w:r>
        <w:rPr>
          <w:rFonts w:eastAsia="仿宋" w:cs="Times New Roman"/>
          <w:szCs w:val="21"/>
        </w:rPr>
        <w:t xml:space="preserve"> the Technical Agreement</w:t>
      </w:r>
      <w:r>
        <w:rPr>
          <w:rFonts w:eastAsia="仿宋" w:cs="Times New Roman"/>
          <w:szCs w:val="21"/>
          <w:lang w:eastAsia="zh-TW"/>
        </w:rPr>
        <w:t>.</w:t>
      </w:r>
    </w:p>
    <w:p w14:paraId="18793E0B">
      <w:pPr>
        <w:spacing w:line="240" w:lineRule="auto"/>
        <w:ind w:left="840" w:leftChars="400"/>
        <w:rPr>
          <w:rFonts w:eastAsia="仿宋" w:cs="Times New Roman"/>
          <w:szCs w:val="21"/>
        </w:rPr>
      </w:pPr>
      <w:r>
        <w:rPr>
          <w:rFonts w:eastAsia="仿宋" w:cs="Times New Roman"/>
          <w:szCs w:val="21"/>
        </w:rPr>
        <w:t>若卖方供应的货物并非本条款所列货物及</w:t>
      </w:r>
      <w:r>
        <w:rPr>
          <w:rFonts w:hint="eastAsia" w:eastAsia="仿宋" w:cs="Times New Roman"/>
          <w:szCs w:val="21"/>
        </w:rPr>
        <w:t>/或不符合技术协议约定，</w:t>
      </w:r>
      <w:r>
        <w:rPr>
          <w:rFonts w:eastAsia="仿宋" w:cs="Times New Roman"/>
          <w:szCs w:val="21"/>
        </w:rPr>
        <w:t>买方有权全部或部分拒收货物。</w:t>
      </w:r>
    </w:p>
    <w:p w14:paraId="4D06EF85">
      <w:pPr>
        <w:pStyle w:val="129"/>
        <w:widowControl w:val="0"/>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315" w:firstLineChars="150"/>
        <w:rPr>
          <w:rFonts w:eastAsia="PMingLiU" w:cs="Times New Roman"/>
          <w:b/>
          <w:szCs w:val="21"/>
          <w:lang w:eastAsia="zh-TW"/>
        </w:rPr>
      </w:pPr>
    </w:p>
    <w:p w14:paraId="6E03C0BE">
      <w:pPr>
        <w:spacing w:line="240" w:lineRule="auto"/>
        <w:ind w:left="420"/>
        <w:rPr>
          <w:rFonts w:eastAsia="仿宋" w:cs="Times New Roman"/>
          <w:b/>
          <w:szCs w:val="21"/>
          <w:lang w:eastAsia="zh-TW"/>
        </w:rPr>
      </w:pPr>
    </w:p>
    <w:p w14:paraId="471F4488">
      <w:pPr>
        <w:spacing w:line="240" w:lineRule="auto"/>
        <w:rPr>
          <w:rFonts w:eastAsia="仿宋" w:cs="Times New Roman"/>
          <w:bCs/>
          <w:i/>
          <w:iCs/>
          <w:sz w:val="24"/>
          <w:szCs w:val="24"/>
          <w:lang w:eastAsia="zh-TW"/>
        </w:rPr>
      </w:pPr>
      <w:r>
        <w:rPr>
          <w:rFonts w:eastAsia="仿宋" w:cs="Times New Roman"/>
          <w:b/>
          <w:sz w:val="24"/>
          <w:szCs w:val="24"/>
          <w:lang w:eastAsia="zh-TW"/>
        </w:rPr>
        <w:t xml:space="preserve">3. </w:t>
      </w:r>
      <w:r>
        <w:rPr>
          <w:rFonts w:eastAsia="仿宋" w:cs="Times New Roman"/>
          <w:b/>
          <w:sz w:val="24"/>
          <w:szCs w:val="24"/>
          <w:lang w:eastAsia="zh-TW"/>
        </w:rPr>
        <w:tab/>
      </w:r>
      <w:r>
        <w:rPr>
          <w:rFonts w:eastAsia="仿宋" w:cs="Times New Roman"/>
          <w:b/>
          <w:sz w:val="24"/>
          <w:szCs w:val="24"/>
          <w:lang w:eastAsia="zh-TW"/>
        </w:rPr>
        <w:t>PORT OF SHIPMENT 发货港</w:t>
      </w:r>
      <w:r>
        <w:rPr>
          <w:rFonts w:hint="eastAsia" w:eastAsia="仿宋" w:cs="Times New Roman"/>
          <w:b/>
          <w:i/>
          <w:iCs/>
          <w:sz w:val="24"/>
          <w:szCs w:val="24"/>
          <w:lang w:eastAsia="zh-TW"/>
        </w:rPr>
        <w:t>（</w:t>
      </w:r>
      <w:r>
        <w:rPr>
          <w:rFonts w:eastAsia="仿宋" w:cs="Times New Roman"/>
          <w:b/>
          <w:i/>
          <w:iCs/>
          <w:sz w:val="24"/>
          <w:szCs w:val="24"/>
          <w:lang w:eastAsia="zh-TW"/>
        </w:rPr>
        <w:t>FOB.CFR.CIF. CIP.CPT</w:t>
      </w:r>
      <w:r>
        <w:rPr>
          <w:rFonts w:hint="eastAsia" w:eastAsia="仿宋" w:cs="Times New Roman"/>
          <w:b/>
          <w:i/>
          <w:iCs/>
          <w:sz w:val="24"/>
          <w:szCs w:val="24"/>
          <w:lang w:eastAsia="zh-TW"/>
        </w:rPr>
        <w:t>适用）</w:t>
      </w:r>
    </w:p>
    <w:p w14:paraId="36BB0066">
      <w:pPr>
        <w:spacing w:line="240" w:lineRule="auto"/>
        <w:rPr>
          <w:rFonts w:eastAsia="仿宋" w:cs="Times New Roman"/>
          <w:szCs w:val="21"/>
          <w:lang w:eastAsia="zh-TW"/>
        </w:rPr>
      </w:pPr>
    </w:p>
    <w:p w14:paraId="1541F132">
      <w:pPr>
        <w:spacing w:line="240" w:lineRule="auto"/>
        <w:ind w:firstLine="420" w:firstLineChars="200"/>
        <w:rPr>
          <w:rFonts w:eastAsia="仿宋" w:cs="Times New Roman"/>
          <w:szCs w:val="21"/>
          <w:lang w:eastAsia="zh-TW"/>
        </w:rPr>
      </w:pPr>
      <w:r>
        <w:rPr>
          <w:rFonts w:eastAsia="仿宋" w:cs="Times New Roman"/>
          <w:szCs w:val="21"/>
          <w:lang w:eastAsia="zh-TW"/>
        </w:rPr>
        <w:t>The loading port of the Commodities shall be</w:t>
      </w:r>
      <w:r>
        <w:rPr>
          <w:rFonts w:hint="eastAsia" w:eastAsia="仿宋" w:cs="Times New Roman"/>
          <w:szCs w:val="21"/>
        </w:rPr>
        <w:t>【】</w:t>
      </w:r>
      <w:r>
        <w:rPr>
          <w:rFonts w:eastAsia="仿宋" w:cs="Times New Roman"/>
          <w:szCs w:val="21"/>
          <w:lang w:eastAsia="zh-TW"/>
        </w:rPr>
        <w:t xml:space="preserve"> Seaport /Airport.</w:t>
      </w:r>
    </w:p>
    <w:p w14:paraId="702BD8AE">
      <w:pPr>
        <w:spacing w:line="240" w:lineRule="auto"/>
        <w:ind w:firstLine="420" w:firstLineChars="200"/>
        <w:rPr>
          <w:rFonts w:eastAsia="仿宋" w:cs="Times New Roman"/>
          <w:szCs w:val="21"/>
        </w:rPr>
      </w:pPr>
      <w:r>
        <w:rPr>
          <w:rFonts w:eastAsia="仿宋" w:cs="Times New Roman"/>
          <w:szCs w:val="21"/>
        </w:rPr>
        <w:t>货物的装运港口为</w:t>
      </w:r>
      <w:r>
        <w:rPr>
          <w:rFonts w:hint="eastAsia" w:eastAsia="仿宋" w:cs="Times New Roman"/>
          <w:szCs w:val="21"/>
        </w:rPr>
        <w:t>【】</w:t>
      </w:r>
      <w:r>
        <w:rPr>
          <w:rFonts w:eastAsia="仿宋" w:cs="Times New Roman"/>
          <w:szCs w:val="21"/>
        </w:rPr>
        <w:t>港口</w:t>
      </w:r>
      <w:r>
        <w:rPr>
          <w:rFonts w:hint="eastAsia" w:eastAsia="仿宋" w:cs="Times New Roman"/>
          <w:szCs w:val="21"/>
        </w:rPr>
        <w:t>/机场</w:t>
      </w:r>
      <w:r>
        <w:rPr>
          <w:rFonts w:eastAsia="仿宋" w:cs="Times New Roman"/>
          <w:szCs w:val="21"/>
        </w:rPr>
        <w:t>。</w:t>
      </w:r>
    </w:p>
    <w:p w14:paraId="61AB1193">
      <w:pPr>
        <w:spacing w:line="240" w:lineRule="auto"/>
        <w:rPr>
          <w:rFonts w:eastAsia="仿宋" w:cs="Times New Roman"/>
          <w:b/>
          <w:i/>
          <w:iCs/>
          <w:sz w:val="24"/>
          <w:szCs w:val="24"/>
          <w:lang w:eastAsia="zh-TW"/>
        </w:rPr>
      </w:pPr>
      <w:r>
        <w:rPr>
          <w:rFonts w:eastAsia="仿宋" w:cs="Times New Roman"/>
          <w:b/>
          <w:sz w:val="24"/>
          <w:szCs w:val="24"/>
          <w:lang w:eastAsia="zh-TW"/>
        </w:rPr>
        <w:t>4.</w:t>
      </w:r>
      <w:r>
        <w:rPr>
          <w:rFonts w:eastAsia="仿宋" w:cs="Times New Roman"/>
          <w:b/>
          <w:sz w:val="24"/>
          <w:szCs w:val="24"/>
          <w:lang w:eastAsia="zh-TW"/>
        </w:rPr>
        <w:tab/>
      </w:r>
      <w:r>
        <w:rPr>
          <w:rFonts w:eastAsia="仿宋" w:cs="Times New Roman"/>
          <w:b/>
          <w:sz w:val="24"/>
          <w:szCs w:val="24"/>
          <w:lang w:eastAsia="zh-TW"/>
        </w:rPr>
        <w:t xml:space="preserve">PORT OF DESTINATION </w:t>
      </w:r>
      <w:r>
        <w:rPr>
          <w:rFonts w:hint="eastAsia" w:eastAsia="仿宋" w:cs="Times New Roman"/>
          <w:b/>
          <w:sz w:val="24"/>
          <w:szCs w:val="24"/>
        </w:rPr>
        <w:t>目的</w:t>
      </w:r>
      <w:r>
        <w:rPr>
          <w:rFonts w:eastAsia="仿宋" w:cs="Times New Roman"/>
          <w:b/>
          <w:sz w:val="24"/>
          <w:szCs w:val="24"/>
          <w:lang w:eastAsia="zh-TW"/>
        </w:rPr>
        <w:t>港</w:t>
      </w:r>
      <w:r>
        <w:rPr>
          <w:rFonts w:hint="eastAsia" w:eastAsia="仿宋" w:cs="Times New Roman"/>
          <w:b/>
          <w:i/>
          <w:iCs/>
          <w:sz w:val="24"/>
          <w:szCs w:val="24"/>
          <w:lang w:eastAsia="zh-TW"/>
        </w:rPr>
        <w:t>（FOB.CFR.CIF. CIP.CPT适用）</w:t>
      </w:r>
    </w:p>
    <w:p w14:paraId="70CA71EF">
      <w:pPr>
        <w:spacing w:line="240" w:lineRule="auto"/>
        <w:rPr>
          <w:rFonts w:eastAsia="仿宋" w:cs="Times New Roman"/>
          <w:b/>
          <w:szCs w:val="21"/>
          <w:lang w:eastAsia="zh-TW"/>
        </w:rPr>
      </w:pPr>
    </w:p>
    <w:p w14:paraId="51AA0907">
      <w:pPr>
        <w:spacing w:line="240" w:lineRule="auto"/>
        <w:ind w:left="420" w:leftChars="200"/>
        <w:rPr>
          <w:rFonts w:eastAsia="仿宋" w:cs="Times New Roman"/>
          <w:szCs w:val="21"/>
        </w:rPr>
      </w:pPr>
      <w:r>
        <w:rPr>
          <w:rFonts w:eastAsia="仿宋" w:cs="Times New Roman"/>
          <w:szCs w:val="21"/>
          <w:lang w:eastAsia="zh-TW"/>
        </w:rPr>
        <w:t xml:space="preserve">Unless otherwise agreed by the Buyer in writing, the discharge port of the Commodities shall be </w:t>
      </w:r>
      <w:r>
        <w:rPr>
          <w:rFonts w:hint="eastAsia" w:eastAsia="仿宋" w:cs="Times New Roman"/>
          <w:szCs w:val="21"/>
        </w:rPr>
        <w:t>【】</w:t>
      </w:r>
      <w:r>
        <w:rPr>
          <w:rFonts w:eastAsia="仿宋" w:cs="Times New Roman"/>
          <w:szCs w:val="21"/>
        </w:rPr>
        <w:t>Seaport/A</w:t>
      </w:r>
      <w:r>
        <w:rPr>
          <w:rFonts w:hint="eastAsia" w:eastAsia="仿宋" w:cs="Times New Roman"/>
          <w:szCs w:val="21"/>
        </w:rPr>
        <w:t>irport, the PRC</w:t>
      </w:r>
      <w:r>
        <w:rPr>
          <w:rFonts w:eastAsia="仿宋" w:cs="Times New Roman"/>
          <w:szCs w:val="21"/>
        </w:rPr>
        <w:t>.</w:t>
      </w:r>
    </w:p>
    <w:p w14:paraId="71DAAE5B">
      <w:pPr>
        <w:spacing w:line="240" w:lineRule="auto"/>
        <w:ind w:left="420" w:leftChars="200"/>
        <w:rPr>
          <w:rFonts w:eastAsia="仿宋" w:cs="Times New Roman"/>
          <w:szCs w:val="21"/>
        </w:rPr>
      </w:pPr>
      <w:r>
        <w:rPr>
          <w:rFonts w:eastAsia="仿宋" w:cs="Times New Roman"/>
          <w:szCs w:val="21"/>
        </w:rPr>
        <w:t>除非买方另行书面</w:t>
      </w:r>
      <w:r>
        <w:rPr>
          <w:rFonts w:hint="eastAsia" w:eastAsia="仿宋" w:cs="Times New Roman"/>
          <w:szCs w:val="21"/>
        </w:rPr>
        <w:t>同意</w:t>
      </w:r>
      <w:r>
        <w:rPr>
          <w:rFonts w:eastAsia="仿宋" w:cs="Times New Roman"/>
          <w:szCs w:val="21"/>
        </w:rPr>
        <w:t>，货物的目的港为中国</w:t>
      </w:r>
      <w:r>
        <w:rPr>
          <w:rFonts w:hint="eastAsia" w:eastAsia="仿宋" w:cs="Times New Roman"/>
          <w:szCs w:val="21"/>
        </w:rPr>
        <w:t>【】</w:t>
      </w:r>
      <w:r>
        <w:rPr>
          <w:rFonts w:eastAsia="仿宋" w:cs="Times New Roman"/>
          <w:szCs w:val="21"/>
        </w:rPr>
        <w:t>港</w:t>
      </w:r>
      <w:r>
        <w:rPr>
          <w:rFonts w:hint="eastAsia" w:eastAsia="仿宋" w:cs="Times New Roman"/>
          <w:szCs w:val="21"/>
        </w:rPr>
        <w:t>/机场</w:t>
      </w:r>
      <w:r>
        <w:rPr>
          <w:rFonts w:eastAsia="仿宋" w:cs="Times New Roman"/>
          <w:szCs w:val="21"/>
        </w:rPr>
        <w:t>。</w:t>
      </w:r>
    </w:p>
    <w:p w14:paraId="7CB9C1AE">
      <w:pPr>
        <w:spacing w:line="240" w:lineRule="auto"/>
        <w:ind w:left="420" w:leftChars="200"/>
        <w:rPr>
          <w:rFonts w:eastAsia="仿宋" w:cs="Times New Roman"/>
          <w:szCs w:val="21"/>
        </w:rPr>
      </w:pPr>
    </w:p>
    <w:p w14:paraId="1DB4A184">
      <w:pPr>
        <w:spacing w:line="240" w:lineRule="auto"/>
        <w:rPr>
          <w:rFonts w:eastAsia="仿宋" w:cs="Times New Roman"/>
          <w:b/>
          <w:szCs w:val="21"/>
        </w:rPr>
      </w:pPr>
      <w:r>
        <w:rPr>
          <w:rFonts w:hint="eastAsia" w:eastAsia="仿宋" w:cs="Times New Roman"/>
          <w:b/>
          <w:szCs w:val="21"/>
        </w:rPr>
        <w:t>4</w:t>
      </w:r>
      <w:r>
        <w:rPr>
          <w:rFonts w:eastAsia="仿宋" w:cs="Times New Roman"/>
          <w:b/>
          <w:szCs w:val="21"/>
        </w:rPr>
        <w:t xml:space="preserve">.  </w:t>
      </w:r>
      <w:r>
        <w:rPr>
          <w:rFonts w:eastAsia="仿宋" w:cs="Times New Roman"/>
          <w:b/>
          <w:sz w:val="24"/>
          <w:szCs w:val="24"/>
          <w:lang w:eastAsia="zh-TW"/>
        </w:rPr>
        <w:t>PLACE OF DELIVERY 交货地</w:t>
      </w:r>
      <w:r>
        <w:rPr>
          <w:rFonts w:hint="eastAsia" w:eastAsia="仿宋" w:cs="Times New Roman"/>
          <w:b/>
          <w:szCs w:val="21"/>
        </w:rPr>
        <w:t xml:space="preserve"> </w:t>
      </w:r>
      <w:r>
        <w:rPr>
          <w:rFonts w:hint="eastAsia" w:eastAsia="仿宋" w:cs="Times New Roman"/>
          <w:b/>
          <w:i/>
          <w:iCs/>
          <w:sz w:val="24"/>
          <w:szCs w:val="24"/>
          <w:lang w:eastAsia="zh-TW"/>
        </w:rPr>
        <w:t>（FCA.DAP.DDP术语适用）</w:t>
      </w:r>
    </w:p>
    <w:p w14:paraId="1A5DF577">
      <w:pPr>
        <w:spacing w:line="240" w:lineRule="auto"/>
        <w:ind w:firstLine="422" w:firstLineChars="200"/>
        <w:rPr>
          <w:rFonts w:eastAsia="仿宋" w:cs="Times New Roman"/>
          <w:b/>
          <w:szCs w:val="21"/>
        </w:rPr>
      </w:pPr>
    </w:p>
    <w:p w14:paraId="59A0EB0F">
      <w:pPr>
        <w:spacing w:line="240" w:lineRule="auto"/>
        <w:ind w:firstLine="422" w:firstLineChars="200"/>
        <w:rPr>
          <w:rFonts w:eastAsia="仿宋" w:cs="Times New Roman"/>
          <w:b/>
          <w:szCs w:val="21"/>
        </w:rPr>
      </w:pPr>
      <w:r>
        <w:rPr>
          <w:rFonts w:hint="eastAsia" w:eastAsia="仿宋" w:cs="Times New Roman"/>
          <w:b/>
          <w:szCs w:val="21"/>
        </w:rPr>
        <w:t>The</w:t>
      </w:r>
      <w:r>
        <w:rPr>
          <w:rFonts w:eastAsia="仿宋" w:cs="Times New Roman"/>
          <w:b/>
          <w:szCs w:val="21"/>
        </w:rPr>
        <w:t xml:space="preserve"> place of delivery of the Commodities shall be</w:t>
      </w:r>
      <w:r>
        <w:rPr>
          <w:rFonts w:hint="eastAsia" w:eastAsia="仿宋" w:cs="Times New Roman"/>
          <w:b/>
          <w:szCs w:val="21"/>
        </w:rPr>
        <w:t>【】</w:t>
      </w:r>
    </w:p>
    <w:p w14:paraId="7E9BFC99">
      <w:pPr>
        <w:spacing w:line="240" w:lineRule="auto"/>
        <w:ind w:firstLine="422" w:firstLineChars="200"/>
        <w:rPr>
          <w:rFonts w:eastAsia="仿宋" w:cs="Times New Roman"/>
          <w:b/>
          <w:szCs w:val="21"/>
        </w:rPr>
      </w:pPr>
      <w:r>
        <w:rPr>
          <w:rFonts w:hint="eastAsia" w:eastAsia="仿宋" w:cs="Times New Roman"/>
          <w:b/>
          <w:szCs w:val="21"/>
        </w:rPr>
        <w:t>货物的交货地为：【】</w:t>
      </w:r>
    </w:p>
    <w:p w14:paraId="150C96C6">
      <w:pPr>
        <w:spacing w:line="240" w:lineRule="auto"/>
        <w:ind w:left="420" w:leftChars="200"/>
        <w:rPr>
          <w:rFonts w:eastAsia="仿宋" w:cs="Times New Roman"/>
          <w:szCs w:val="21"/>
        </w:rPr>
      </w:pPr>
    </w:p>
    <w:p w14:paraId="6B044AF3">
      <w:pPr>
        <w:spacing w:line="240" w:lineRule="auto"/>
        <w:rPr>
          <w:rFonts w:eastAsia="仿宋" w:cs="Times New Roman"/>
          <w:b/>
          <w:szCs w:val="21"/>
        </w:rPr>
      </w:pPr>
    </w:p>
    <w:p w14:paraId="6569D960">
      <w:pPr>
        <w:spacing w:line="240" w:lineRule="auto"/>
        <w:rPr>
          <w:rFonts w:eastAsia="仿宋" w:cs="Times New Roman"/>
          <w:b/>
          <w:sz w:val="24"/>
          <w:szCs w:val="24"/>
          <w:lang w:eastAsia="zh-TW"/>
        </w:rPr>
      </w:pPr>
      <w:r>
        <w:rPr>
          <w:rFonts w:eastAsia="仿宋" w:cs="Times New Roman"/>
          <w:b/>
          <w:sz w:val="24"/>
          <w:szCs w:val="24"/>
          <w:lang w:eastAsia="zh-TW"/>
        </w:rPr>
        <w:t>5.</w:t>
      </w:r>
      <w:r>
        <w:rPr>
          <w:rFonts w:eastAsia="仿宋" w:cs="Times New Roman"/>
          <w:b/>
          <w:sz w:val="24"/>
          <w:szCs w:val="24"/>
          <w:lang w:eastAsia="zh-TW"/>
        </w:rPr>
        <w:tab/>
      </w:r>
      <w:r>
        <w:rPr>
          <w:rFonts w:eastAsia="仿宋" w:cs="Times New Roman"/>
          <w:b/>
          <w:sz w:val="24"/>
          <w:szCs w:val="24"/>
          <w:lang w:eastAsia="zh-TW"/>
        </w:rPr>
        <w:t>Delivery, Installation and Commissioning Date</w:t>
      </w:r>
      <w:r>
        <w:rPr>
          <w:rFonts w:hint="eastAsia" w:eastAsia="仿宋" w:cs="Times New Roman"/>
          <w:szCs w:val="21"/>
        </w:rPr>
        <w:t>:</w:t>
      </w:r>
      <w:r>
        <w:rPr>
          <w:rFonts w:eastAsia="仿宋" w:cs="Times New Roman"/>
          <w:b/>
          <w:sz w:val="24"/>
          <w:szCs w:val="24"/>
          <w:lang w:eastAsia="zh-TW"/>
        </w:rPr>
        <w:t>交货日期</w:t>
      </w:r>
      <w:r>
        <w:rPr>
          <w:rFonts w:hint="eastAsia" w:eastAsia="仿宋" w:cs="Times New Roman"/>
          <w:b/>
          <w:sz w:val="24"/>
          <w:szCs w:val="24"/>
        </w:rPr>
        <w:t>、安装调试时间</w:t>
      </w:r>
    </w:p>
    <w:p w14:paraId="21872968">
      <w:pPr>
        <w:spacing w:line="240" w:lineRule="auto"/>
        <w:rPr>
          <w:rFonts w:eastAsia="仿宋" w:cs="Times New Roman"/>
          <w:b/>
          <w:szCs w:val="21"/>
          <w:lang w:eastAsia="zh-TW"/>
        </w:rPr>
      </w:pPr>
    </w:p>
    <w:p w14:paraId="3DE6348C">
      <w:pPr>
        <w:spacing w:line="240" w:lineRule="auto"/>
        <w:ind w:left="420" w:leftChars="200"/>
        <w:rPr>
          <w:rFonts w:eastAsia="仿宋" w:cs="Times New Roman"/>
          <w:b/>
          <w:sz w:val="24"/>
          <w:szCs w:val="24"/>
        </w:rPr>
      </w:pPr>
      <w:r>
        <w:rPr>
          <w:rFonts w:hint="eastAsia" w:eastAsia="仿宋" w:cs="Times New Roman"/>
          <w:b/>
          <w:i/>
          <w:iCs/>
          <w:sz w:val="24"/>
          <w:szCs w:val="24"/>
          <w:lang w:eastAsia="zh-TW"/>
        </w:rPr>
        <w:t>（EXW. FCA适用）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delivered before**. **</w:t>
      </w:r>
      <w:r>
        <w:rPr>
          <w:rFonts w:hint="eastAsia" w:eastAsia="仿宋" w:cs="Times New Roman"/>
          <w:szCs w:val="21"/>
        </w:rPr>
        <w:t>.</w:t>
      </w:r>
      <w:r>
        <w:rPr>
          <w:rFonts w:eastAsia="仿宋" w:cs="Times New Roman"/>
          <w:szCs w:val="21"/>
        </w:rPr>
        <w:t xml:space="preserve"> ** .</w:t>
      </w:r>
    </w:p>
    <w:p w14:paraId="6A60D6F3">
      <w:pPr>
        <w:spacing w:line="240" w:lineRule="auto"/>
        <w:ind w:left="420" w:leftChars="200"/>
        <w:rPr>
          <w:rFonts w:eastAsia="仿宋" w:cs="Times New Roman"/>
          <w:szCs w:val="21"/>
        </w:rPr>
      </w:pPr>
      <w:r>
        <w:rPr>
          <w:rFonts w:eastAsia="仿宋" w:cs="Times New Roman"/>
          <w:szCs w:val="21"/>
        </w:rPr>
        <w:t>所有货物必须在</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日前</w:t>
      </w:r>
      <w:r>
        <w:rPr>
          <w:rFonts w:hint="eastAsia" w:eastAsia="仿宋" w:cs="Times New Roman"/>
          <w:szCs w:val="21"/>
        </w:rPr>
        <w:t>交货</w:t>
      </w:r>
      <w:r>
        <w:rPr>
          <w:rFonts w:eastAsia="仿宋" w:cs="Times New Roman"/>
          <w:szCs w:val="21"/>
        </w:rPr>
        <w:t>。</w:t>
      </w:r>
    </w:p>
    <w:p w14:paraId="73DD8801">
      <w:pPr>
        <w:spacing w:line="240" w:lineRule="auto"/>
        <w:ind w:left="420" w:leftChars="200"/>
        <w:rPr>
          <w:rFonts w:eastAsia="仿宋" w:cs="Times New Roman"/>
          <w:szCs w:val="21"/>
        </w:rPr>
      </w:pPr>
      <w:r>
        <w:rPr>
          <w:rFonts w:hint="eastAsia" w:eastAsia="仿宋" w:cs="Times New Roman"/>
          <w:b/>
          <w:i/>
          <w:iCs/>
          <w:sz w:val="24"/>
          <w:szCs w:val="24"/>
          <w:lang w:eastAsia="zh-TW"/>
        </w:rPr>
        <w:t>（FOB适用）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shipped before **. **</w:t>
      </w:r>
      <w:r>
        <w:rPr>
          <w:rFonts w:hint="eastAsia" w:eastAsia="仿宋" w:cs="Times New Roman"/>
          <w:szCs w:val="21"/>
        </w:rPr>
        <w:t>.</w:t>
      </w:r>
      <w:r>
        <w:rPr>
          <w:rFonts w:eastAsia="仿宋" w:cs="Times New Roman"/>
          <w:szCs w:val="21"/>
        </w:rPr>
        <w:t xml:space="preserve"> ** .</w:t>
      </w:r>
    </w:p>
    <w:p w14:paraId="02A156AE">
      <w:pPr>
        <w:spacing w:line="240" w:lineRule="auto"/>
        <w:ind w:left="420" w:leftChars="200"/>
        <w:rPr>
          <w:rFonts w:eastAsia="仿宋" w:cs="Times New Roman"/>
          <w:szCs w:val="21"/>
        </w:rPr>
      </w:pPr>
      <w:r>
        <w:rPr>
          <w:rFonts w:eastAsia="仿宋" w:cs="Times New Roman"/>
          <w:szCs w:val="21"/>
        </w:rPr>
        <w:t>所有货物必须在</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日前装船。</w:t>
      </w:r>
      <w:r>
        <w:rPr>
          <w:rFonts w:hint="eastAsia" w:eastAsia="仿宋" w:cs="Times New Roman"/>
          <w:szCs w:val="21"/>
        </w:rPr>
        <w:t xml:space="preserve"> </w:t>
      </w:r>
      <w:r>
        <w:rPr>
          <w:rFonts w:eastAsia="仿宋" w:cs="Times New Roman"/>
          <w:szCs w:val="21"/>
        </w:rPr>
        <w:t xml:space="preserve">                </w:t>
      </w:r>
    </w:p>
    <w:p w14:paraId="7950D424">
      <w:pPr>
        <w:spacing w:line="240" w:lineRule="auto"/>
        <w:ind w:left="420" w:leftChars="200"/>
        <w:rPr>
          <w:rFonts w:eastAsia="仿宋" w:cs="Times New Roman"/>
          <w:szCs w:val="21"/>
        </w:rPr>
      </w:pPr>
      <w:r>
        <w:rPr>
          <w:rFonts w:hint="eastAsia" w:eastAsia="仿宋" w:cs="Times New Roman"/>
          <w:b/>
          <w:i/>
          <w:iCs/>
          <w:sz w:val="24"/>
          <w:szCs w:val="24"/>
          <w:lang w:eastAsia="zh-TW"/>
        </w:rPr>
        <w:t>（CIF.CFR.CIP.CPT适用）A</w:t>
      </w:r>
      <w:r>
        <w:rPr>
          <w:rFonts w:eastAsia="仿宋" w:cs="Times New Roman"/>
          <w:szCs w:val="21"/>
        </w:rPr>
        <w:t>ll the Commodities shall arrive at Seaport</w:t>
      </w:r>
      <w:r>
        <w:rPr>
          <w:rFonts w:hint="eastAsia" w:eastAsia="仿宋" w:cs="Times New Roman"/>
          <w:szCs w:val="21"/>
        </w:rPr>
        <w:t>/</w:t>
      </w:r>
      <w:r>
        <w:rPr>
          <w:rFonts w:eastAsia="仿宋" w:cs="Times New Roman"/>
          <w:szCs w:val="21"/>
        </w:rPr>
        <w:t>Airport before **. **</w:t>
      </w:r>
      <w:r>
        <w:rPr>
          <w:rFonts w:hint="eastAsia" w:eastAsia="仿宋" w:cs="Times New Roman"/>
          <w:szCs w:val="21"/>
        </w:rPr>
        <w:t>.</w:t>
      </w:r>
      <w:r>
        <w:rPr>
          <w:rFonts w:eastAsia="仿宋" w:cs="Times New Roman"/>
          <w:szCs w:val="21"/>
        </w:rPr>
        <w:t xml:space="preserve"> ** .</w:t>
      </w:r>
    </w:p>
    <w:p w14:paraId="47216E51">
      <w:pPr>
        <w:spacing w:line="240" w:lineRule="auto"/>
        <w:ind w:firstLine="435"/>
        <w:rPr>
          <w:rFonts w:eastAsia="仿宋" w:cs="Times New Roman"/>
          <w:szCs w:val="21"/>
        </w:rPr>
      </w:pPr>
      <w:r>
        <w:rPr>
          <w:rFonts w:eastAsia="仿宋" w:cs="Times New Roman"/>
          <w:szCs w:val="21"/>
        </w:rPr>
        <w:t>所有货物应于**年**月**日前</w:t>
      </w:r>
      <w:r>
        <w:rPr>
          <w:rFonts w:hint="eastAsia" w:eastAsia="仿宋" w:cs="Times New Roman"/>
          <w:szCs w:val="21"/>
        </w:rPr>
        <w:t>抵</w:t>
      </w:r>
      <w:r>
        <w:rPr>
          <w:rFonts w:eastAsia="仿宋" w:cs="Times New Roman"/>
          <w:szCs w:val="21"/>
        </w:rPr>
        <w:t>港。</w:t>
      </w:r>
    </w:p>
    <w:p w14:paraId="7DCD48FE">
      <w:pPr>
        <w:spacing w:line="240" w:lineRule="auto"/>
        <w:ind w:firstLine="435"/>
        <w:rPr>
          <w:rFonts w:eastAsia="仿宋" w:cs="Times New Roman"/>
          <w:szCs w:val="21"/>
        </w:rPr>
      </w:pPr>
      <w:r>
        <w:rPr>
          <w:rFonts w:hint="eastAsia" w:eastAsia="仿宋" w:cs="Times New Roman"/>
          <w:b/>
          <w:i/>
          <w:iCs/>
          <w:sz w:val="24"/>
          <w:szCs w:val="24"/>
        </w:rPr>
        <w:t>（设备适用）</w:t>
      </w:r>
      <w:r>
        <w:rPr>
          <w:rFonts w:hint="eastAsia" w:eastAsia="仿宋" w:cs="Times New Roman"/>
          <w:szCs w:val="21"/>
        </w:rPr>
        <w:t>All the Commodities shall be installed and commissioned within 【】days after arrival of the Commodities at the factory of the</w:t>
      </w:r>
      <w:r>
        <w:rPr>
          <w:rFonts w:eastAsia="仿宋" w:cs="Times New Roman"/>
          <w:szCs w:val="21"/>
        </w:rPr>
        <w:t xml:space="preserve"> Enduser</w:t>
      </w:r>
      <w:r>
        <w:rPr>
          <w:rFonts w:hint="eastAsia" w:eastAsia="仿宋" w:cs="Times New Roman"/>
          <w:szCs w:val="21"/>
        </w:rPr>
        <w:t>.</w:t>
      </w:r>
    </w:p>
    <w:p w14:paraId="0AFC38AE">
      <w:pPr>
        <w:spacing w:line="240" w:lineRule="auto"/>
        <w:ind w:firstLine="435"/>
        <w:rPr>
          <w:rFonts w:eastAsia="仿宋" w:cs="Times New Roman"/>
          <w:szCs w:val="21"/>
        </w:rPr>
      </w:pPr>
      <w:r>
        <w:rPr>
          <w:rFonts w:eastAsia="仿宋" w:cs="Times New Roman"/>
          <w:szCs w:val="21"/>
        </w:rPr>
        <w:t>所有货物应于</w:t>
      </w:r>
      <w:r>
        <w:rPr>
          <w:rFonts w:hint="eastAsia" w:eastAsia="仿宋" w:cs="Times New Roman"/>
          <w:szCs w:val="21"/>
        </w:rPr>
        <w:t>到货后【】日内在最终用户工厂安装调试完成</w:t>
      </w:r>
      <w:r>
        <w:rPr>
          <w:rFonts w:eastAsia="仿宋" w:cs="Times New Roman"/>
          <w:szCs w:val="21"/>
        </w:rPr>
        <w:t>。</w:t>
      </w:r>
    </w:p>
    <w:p w14:paraId="23001E26">
      <w:pPr>
        <w:spacing w:line="240" w:lineRule="auto"/>
        <w:ind w:firstLine="435"/>
        <w:rPr>
          <w:rFonts w:eastAsia="仿宋" w:cs="Times New Roman"/>
          <w:szCs w:val="21"/>
        </w:rPr>
      </w:pPr>
      <w:r>
        <w:rPr>
          <w:rFonts w:hint="eastAsia" w:eastAsia="仿宋" w:cs="Times New Roman"/>
          <w:szCs w:val="21"/>
        </w:rPr>
        <w:t xml:space="preserve"> </w:t>
      </w:r>
    </w:p>
    <w:p w14:paraId="6DC8AA2D">
      <w:pPr>
        <w:spacing w:line="240" w:lineRule="auto"/>
        <w:rPr>
          <w:rFonts w:eastAsia="仿宋" w:cs="Times New Roman"/>
          <w:b/>
          <w:szCs w:val="21"/>
        </w:rPr>
      </w:pPr>
      <w:r>
        <w:rPr>
          <w:rFonts w:eastAsia="仿宋" w:cs="Times New Roman"/>
          <w:b/>
          <w:sz w:val="24"/>
          <w:szCs w:val="24"/>
          <w:lang w:eastAsia="zh-TW"/>
        </w:rPr>
        <w:t>6.</w:t>
      </w:r>
      <w:r>
        <w:rPr>
          <w:rFonts w:eastAsia="仿宋" w:cs="Times New Roman"/>
          <w:b/>
          <w:sz w:val="24"/>
          <w:szCs w:val="24"/>
          <w:lang w:eastAsia="zh-TW"/>
        </w:rPr>
        <w:tab/>
      </w:r>
      <w:r>
        <w:rPr>
          <w:rFonts w:eastAsia="仿宋" w:cs="Times New Roman"/>
          <w:b/>
          <w:sz w:val="24"/>
          <w:szCs w:val="24"/>
          <w:lang w:eastAsia="zh-TW"/>
        </w:rPr>
        <w:t>SHIPPING MARKS唛头</w:t>
      </w:r>
    </w:p>
    <w:p w14:paraId="379C8422">
      <w:pPr>
        <w:spacing w:line="240" w:lineRule="auto"/>
        <w:ind w:left="2975"/>
        <w:rPr>
          <w:rFonts w:eastAsia="仿宋" w:cs="Times New Roman"/>
          <w:b/>
          <w:szCs w:val="21"/>
        </w:rPr>
      </w:pPr>
    </w:p>
    <w:p w14:paraId="14F06553">
      <w:pPr>
        <w:spacing w:line="240" w:lineRule="auto"/>
        <w:ind w:left="420" w:leftChars="200"/>
        <w:rPr>
          <w:rFonts w:eastAsia="仿宋" w:cs="Times New Roman"/>
          <w:b w:val="0"/>
          <w:szCs w:val="21"/>
        </w:rPr>
      </w:pPr>
      <w:r>
        <w:rPr>
          <w:rFonts w:eastAsia="仿宋" w:cs="Times New Roman"/>
          <w:szCs w:val="21"/>
        </w:rPr>
        <w:t>The Seller shall mark on each package of the Commodities with fadeless paint the package number, gross weight, net weight, measurements and the wordings “KEEP AWAY FROM MOISTURE”, “HANDLE WITH CARE”, “THIS SIDE UP” etc. and the shipping mark in the form set out below:</w:t>
      </w:r>
    </w:p>
    <w:p w14:paraId="0554D6AC">
      <w:pPr>
        <w:spacing w:line="240" w:lineRule="auto"/>
        <w:ind w:left="420" w:leftChars="200"/>
        <w:rPr>
          <w:rFonts w:eastAsia="仿宋" w:cs="Times New Roman"/>
          <w:szCs w:val="21"/>
        </w:rPr>
      </w:pPr>
      <w:r>
        <w:rPr>
          <w:rFonts w:eastAsia="仿宋" w:cs="Times New Roman"/>
          <w:szCs w:val="21"/>
        </w:rPr>
        <w:t>卖方应在货物每件包装上用不褪色油墨清楚的标刷件号、毛重</w:t>
      </w:r>
      <w:r>
        <w:rPr>
          <w:rFonts w:hint="eastAsia" w:eastAsia="仿宋" w:cs="Times New Roman"/>
          <w:szCs w:val="21"/>
        </w:rPr>
        <w:t>、</w:t>
      </w:r>
      <w:r>
        <w:rPr>
          <w:rFonts w:eastAsia="仿宋" w:cs="Times New Roman"/>
          <w:szCs w:val="21"/>
        </w:rPr>
        <w:t>净重</w:t>
      </w:r>
      <w:r>
        <w:rPr>
          <w:rFonts w:hint="eastAsia" w:eastAsia="仿宋" w:cs="Times New Roman"/>
          <w:szCs w:val="21"/>
        </w:rPr>
        <w:t>、</w:t>
      </w:r>
      <w:r>
        <w:rPr>
          <w:rFonts w:eastAsia="仿宋" w:cs="Times New Roman"/>
          <w:szCs w:val="21"/>
        </w:rPr>
        <w:t>尺码和“切勿受潮”、“小心轻放”、“此端向上”等字样，并刷有下列唛头：</w:t>
      </w:r>
    </w:p>
    <w:p w14:paraId="579E2FB1">
      <w:pPr>
        <w:spacing w:line="240" w:lineRule="auto"/>
        <w:rPr>
          <w:rFonts w:eastAsia="仿宋" w:cs="Times New Roman"/>
          <w:szCs w:val="21"/>
        </w:rPr>
      </w:pPr>
    </w:p>
    <w:p w14:paraId="7ABC9A77">
      <w:pPr>
        <w:spacing w:line="240" w:lineRule="auto"/>
        <w:ind w:left="420" w:leftChars="200"/>
        <w:rPr>
          <w:rFonts w:eastAsia="仿宋" w:cs="Times New Roman"/>
          <w:szCs w:val="21"/>
        </w:rPr>
      </w:pPr>
    </w:p>
    <w:p w14:paraId="3940B7DF">
      <w:pPr>
        <w:spacing w:line="240" w:lineRule="auto"/>
        <w:rPr>
          <w:rFonts w:eastAsia="仿宋" w:cs="Times New Roman"/>
          <w:szCs w:val="21"/>
        </w:rPr>
      </w:pPr>
    </w:p>
    <w:p w14:paraId="102D7D40">
      <w:pPr>
        <w:spacing w:line="240" w:lineRule="auto"/>
        <w:rPr>
          <w:rFonts w:eastAsia="仿宋" w:cs="Times New Roman"/>
          <w:szCs w:val="21"/>
        </w:rPr>
      </w:pPr>
    </w:p>
    <w:p w14:paraId="07E93A75">
      <w:pPr>
        <w:spacing w:line="240" w:lineRule="auto"/>
        <w:rPr>
          <w:rFonts w:eastAsia="仿宋" w:cs="Times New Roman"/>
          <w:b/>
          <w:sz w:val="24"/>
          <w:szCs w:val="24"/>
        </w:rPr>
      </w:pPr>
      <w:r>
        <w:rPr>
          <w:rFonts w:eastAsia="仿宋" w:cs="Times New Roman"/>
          <w:b/>
          <w:sz w:val="24"/>
          <w:szCs w:val="24"/>
          <w:lang w:eastAsia="zh-TW"/>
        </w:rPr>
        <w:t>7.</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MANUFACTURER OF COMMODITIES</w:t>
      </w:r>
      <w:r>
        <w:rPr>
          <w:rFonts w:eastAsia="仿宋" w:cs="Times New Roman"/>
          <w:sz w:val="24"/>
          <w:szCs w:val="24"/>
        </w:rPr>
        <w:t xml:space="preserve"> </w:t>
      </w:r>
      <w:r>
        <w:rPr>
          <w:rFonts w:eastAsia="仿宋" w:cs="Times New Roman"/>
          <w:b/>
          <w:sz w:val="24"/>
          <w:szCs w:val="24"/>
        </w:rPr>
        <w:t>货物制造商</w:t>
      </w:r>
    </w:p>
    <w:p w14:paraId="01A09C21">
      <w:pPr>
        <w:spacing w:line="240" w:lineRule="auto"/>
        <w:rPr>
          <w:rFonts w:eastAsia="仿宋" w:cs="Times New Roman"/>
          <w:b/>
          <w:szCs w:val="21"/>
        </w:rPr>
      </w:pPr>
    </w:p>
    <w:p w14:paraId="0B573164">
      <w:pPr>
        <w:spacing w:line="240" w:lineRule="auto"/>
        <w:ind w:left="420" w:leftChars="200"/>
        <w:rPr>
          <w:rFonts w:eastAsia="仿宋" w:cs="Times New Roman"/>
          <w:szCs w:val="21"/>
        </w:rPr>
      </w:pPr>
      <w:r>
        <w:rPr>
          <w:rFonts w:eastAsia="仿宋" w:cs="Times New Roman"/>
          <w:szCs w:val="21"/>
        </w:rPr>
        <w:t>The Commodities delivered by the Seller to the Buyer shall be manufactured by</w:t>
      </w:r>
      <w:r>
        <w:rPr>
          <w:rFonts w:hint="eastAsia" w:eastAsia="仿宋" w:cs="Times New Roman"/>
          <w:szCs w:val="21"/>
        </w:rPr>
        <w:t xml:space="preserve"> 【】.</w:t>
      </w:r>
    </w:p>
    <w:p w14:paraId="2AEF77FF">
      <w:pPr>
        <w:spacing w:line="240" w:lineRule="auto"/>
        <w:ind w:left="420" w:leftChars="200"/>
        <w:rPr>
          <w:rFonts w:eastAsia="仿宋" w:cs="Times New Roman"/>
          <w:szCs w:val="21"/>
        </w:rPr>
      </w:pPr>
      <w:r>
        <w:rPr>
          <w:rFonts w:eastAsia="仿宋" w:cs="Times New Roman"/>
          <w:szCs w:val="21"/>
        </w:rPr>
        <w:t>卖方供给买方的货物由</w:t>
      </w:r>
      <w:r>
        <w:rPr>
          <w:rFonts w:hint="eastAsia" w:eastAsia="仿宋" w:cs="Times New Roman"/>
          <w:szCs w:val="21"/>
        </w:rPr>
        <w:t>【】</w:t>
      </w:r>
      <w:r>
        <w:rPr>
          <w:rFonts w:eastAsia="仿宋" w:cs="Times New Roman"/>
          <w:szCs w:val="21"/>
        </w:rPr>
        <w:t>生产。</w:t>
      </w:r>
    </w:p>
    <w:p w14:paraId="62C110AD">
      <w:pPr>
        <w:spacing w:line="240" w:lineRule="auto"/>
        <w:rPr>
          <w:rFonts w:eastAsia="仿宋" w:cs="Times New Roman"/>
          <w:szCs w:val="21"/>
        </w:rPr>
      </w:pPr>
    </w:p>
    <w:p w14:paraId="5442A22C">
      <w:pPr>
        <w:spacing w:line="240" w:lineRule="auto"/>
        <w:rPr>
          <w:rFonts w:eastAsia="仿宋" w:cs="Times New Roman"/>
          <w:szCs w:val="21"/>
        </w:rPr>
      </w:pPr>
    </w:p>
    <w:p w14:paraId="264E602A">
      <w:pPr>
        <w:pStyle w:val="12"/>
        <w:spacing w:line="240" w:lineRule="auto"/>
        <w:rPr>
          <w:rFonts w:eastAsia="仿宋" w:cs="Times New Roman"/>
          <w:sz w:val="21"/>
          <w:szCs w:val="21"/>
          <w:lang w:eastAsia="zh-TW"/>
        </w:rPr>
      </w:pPr>
      <w:r>
        <w:rPr>
          <w:rFonts w:eastAsia="仿宋" w:cs="Times New Roman"/>
          <w:b/>
          <w:szCs w:val="24"/>
          <w:lang w:eastAsia="zh-TW"/>
        </w:rPr>
        <w:t>8.</w:t>
      </w:r>
      <w:r>
        <w:rPr>
          <w:rFonts w:eastAsia="仿宋" w:cs="Times New Roman"/>
          <w:b/>
          <w:szCs w:val="24"/>
          <w:lang w:eastAsia="zh-TW"/>
        </w:rPr>
        <w:tab/>
      </w:r>
      <w:r>
        <w:rPr>
          <w:rFonts w:eastAsia="仿宋" w:cs="Times New Roman"/>
          <w:b/>
          <w:szCs w:val="24"/>
        </w:rPr>
        <w:t>PACKING包装</w:t>
      </w:r>
    </w:p>
    <w:p w14:paraId="162FD3A9">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78" w:leftChars="180"/>
        <w:rPr>
          <w:rFonts w:eastAsia="仿宋" w:cs="Times New Roman"/>
          <w:szCs w:val="21"/>
          <w:lang w:eastAsia="zh-TW"/>
        </w:rPr>
      </w:pPr>
      <w:r>
        <w:rPr>
          <w:rFonts w:eastAsia="仿宋" w:cs="Times New Roman"/>
          <w:szCs w:val="21"/>
          <w:lang w:eastAsia="zh-TW"/>
        </w:rPr>
        <w:t>8.1</w:t>
      </w:r>
      <w:r>
        <w:rPr>
          <w:rFonts w:eastAsia="仿宋" w:cs="Times New Roman"/>
          <w:szCs w:val="21"/>
          <w:lang w:eastAsia="zh-TW"/>
        </w:rPr>
        <w:tab/>
      </w:r>
      <w:r>
        <w:rPr>
          <w:rFonts w:eastAsia="仿宋" w:cs="Times New Roman"/>
          <w:szCs w:val="21"/>
          <w:lang w:eastAsia="zh-TW"/>
        </w:rPr>
        <w:t xml:space="preserve">The Commodities shall be </w:t>
      </w:r>
      <w:r>
        <w:rPr>
          <w:rFonts w:hint="eastAsia" w:eastAsia="仿宋" w:cs="Times New Roman"/>
          <w:szCs w:val="21"/>
        </w:rPr>
        <w:t xml:space="preserve">packed in </w:t>
      </w:r>
      <w:r>
        <w:rPr>
          <w:rFonts w:eastAsia="仿宋" w:cs="Times New Roman"/>
          <w:szCs w:val="21"/>
        </w:rPr>
        <w:t>seaworthy/airworthy</w:t>
      </w:r>
      <w:r>
        <w:rPr>
          <w:rFonts w:hint="eastAsia" w:eastAsia="仿宋" w:cs="Times New Roman"/>
          <w:strike/>
          <w:szCs w:val="21"/>
        </w:rPr>
        <w:t xml:space="preserve"> </w:t>
      </w:r>
      <w:r>
        <w:rPr>
          <w:rFonts w:hint="eastAsia" w:eastAsia="仿宋" w:cs="Times New Roman"/>
          <w:szCs w:val="21"/>
        </w:rPr>
        <w:t>standard</w:t>
      </w:r>
      <w:r>
        <w:rPr>
          <w:rFonts w:eastAsia="仿宋" w:cs="Times New Roman"/>
          <w:szCs w:val="21"/>
        </w:rPr>
        <w:t xml:space="preserve"> and </w:t>
      </w:r>
      <w:r>
        <w:rPr>
          <w:rFonts w:eastAsia="仿宋" w:cs="Times New Roman"/>
          <w:szCs w:val="21"/>
          <w:lang w:eastAsia="zh-TW"/>
        </w:rPr>
        <w:t xml:space="preserve">are </w:t>
      </w:r>
      <w:r>
        <w:rPr>
          <w:rFonts w:eastAsia="仿宋" w:cs="Times New Roman"/>
          <w:szCs w:val="21"/>
        </w:rPr>
        <w:t>well protected against rain and dampness</w:t>
      </w:r>
      <w:r>
        <w:rPr>
          <w:rFonts w:eastAsia="仿宋" w:cs="Times New Roman"/>
          <w:szCs w:val="21"/>
          <w:lang w:eastAsia="zh-TW"/>
        </w:rPr>
        <w:t xml:space="preserve">. Distinct part numbers of the Buyer, part names, quantity, batch mark, date of production and place of production shall be shown on the label.At any time, the Buyer may request different labeling and/or packing from the Seller’s standard export labeling and packing. </w:t>
      </w:r>
    </w:p>
    <w:p w14:paraId="24400076">
      <w:pPr>
        <w:pStyle w:val="12"/>
        <w:spacing w:line="240" w:lineRule="auto"/>
        <w:ind w:left="477" w:hanging="476" w:hangingChars="227"/>
        <w:rPr>
          <w:rFonts w:eastAsia="仿宋" w:cs="Times New Roman"/>
          <w:sz w:val="21"/>
          <w:szCs w:val="21"/>
          <w:lang w:eastAsia="zh-TW"/>
        </w:rPr>
      </w:pPr>
    </w:p>
    <w:p w14:paraId="07902629">
      <w:pPr>
        <w:widowControl w:val="0"/>
        <w:tabs>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7" w:leftChars="213"/>
        <w:rPr>
          <w:rFonts w:ascii="Arial" w:hAnsi="宋体" w:eastAsia="楷体_GB2312"/>
          <w:szCs w:val="21"/>
        </w:rPr>
      </w:pPr>
      <w:r>
        <w:rPr>
          <w:rFonts w:eastAsia="仿宋" w:cs="Times New Roman"/>
          <w:szCs w:val="21"/>
        </w:rPr>
        <w:t>货物应</w:t>
      </w:r>
      <w:r>
        <w:rPr>
          <w:rFonts w:hint="eastAsia" w:eastAsia="仿宋" w:cs="Times New Roman"/>
          <w:szCs w:val="21"/>
        </w:rPr>
        <w:t>采用适合</w:t>
      </w:r>
      <w:r>
        <w:rPr>
          <w:rFonts w:eastAsia="仿宋" w:cs="Times New Roman"/>
          <w:szCs w:val="21"/>
        </w:rPr>
        <w:t>海运</w:t>
      </w:r>
      <w:r>
        <w:rPr>
          <w:rFonts w:hint="eastAsia" w:eastAsia="仿宋" w:cs="Times New Roman"/>
          <w:szCs w:val="21"/>
        </w:rPr>
        <w:t>/空运</w:t>
      </w:r>
      <w:r>
        <w:rPr>
          <w:rFonts w:eastAsia="仿宋" w:cs="Times New Roman"/>
          <w:szCs w:val="21"/>
        </w:rPr>
        <w:t>运输标准的包装并且防雨防潮。</w:t>
      </w:r>
      <w:r>
        <w:rPr>
          <w:rFonts w:hint="eastAsia" w:eastAsia="仿宋" w:cs="Times New Roman"/>
          <w:szCs w:val="21"/>
        </w:rPr>
        <w:t>标签上须有明显的买方件号、件名、数量及批号标识和生产日期、发运地等。买方可随时要求卖方提供不同于卖方标准出口标识和包装的标识和包装。</w:t>
      </w:r>
    </w:p>
    <w:p w14:paraId="367F4EC4">
      <w:pPr>
        <w:spacing w:line="240" w:lineRule="auto"/>
        <w:ind w:left="420" w:hanging="420" w:hangingChars="200"/>
        <w:rPr>
          <w:rFonts w:eastAsia="仿宋" w:cs="Times New Roman"/>
          <w:szCs w:val="21"/>
        </w:rPr>
      </w:pPr>
      <w:r>
        <w:rPr>
          <w:rFonts w:eastAsia="仿宋" w:cs="Times New Roman"/>
          <w:szCs w:val="21"/>
        </w:rPr>
        <w:t xml:space="preserve">8.2 The Seller shall be </w:t>
      </w:r>
      <w:r>
        <w:rPr>
          <w:rFonts w:eastAsia="仿宋" w:cs="Times New Roman"/>
          <w:szCs w:val="21"/>
          <w:lang w:eastAsia="zh-TW"/>
        </w:rPr>
        <w:t xml:space="preserve">solely </w:t>
      </w:r>
      <w:r>
        <w:rPr>
          <w:rFonts w:eastAsia="仿宋" w:cs="Times New Roman"/>
          <w:szCs w:val="21"/>
        </w:rPr>
        <w:t xml:space="preserve">liable for </w:t>
      </w:r>
      <w:r>
        <w:rPr>
          <w:rFonts w:eastAsia="仿宋" w:cs="Times New Roman"/>
          <w:szCs w:val="21"/>
          <w:lang w:eastAsia="zh-TW"/>
        </w:rPr>
        <w:t>(</w:t>
      </w:r>
      <w:r>
        <w:rPr>
          <w:rFonts w:hint="eastAsia" w:eastAsia="仿宋" w:cs="Times New Roman"/>
          <w:szCs w:val="21"/>
        </w:rPr>
        <w:t>i</w:t>
      </w:r>
      <w:r>
        <w:rPr>
          <w:rFonts w:eastAsia="仿宋" w:cs="Times New Roman"/>
          <w:szCs w:val="21"/>
          <w:lang w:eastAsia="zh-TW"/>
        </w:rPr>
        <w:t xml:space="preserve">) </w:t>
      </w:r>
      <w:r>
        <w:rPr>
          <w:rFonts w:eastAsia="仿宋" w:cs="Times New Roman"/>
          <w:szCs w:val="21"/>
        </w:rPr>
        <w:t>any damage and</w:t>
      </w:r>
      <w:r>
        <w:rPr>
          <w:rFonts w:eastAsia="仿宋" w:cs="Times New Roman"/>
          <w:szCs w:val="21"/>
          <w:lang w:eastAsia="zh-TW"/>
        </w:rPr>
        <w:t>/or</w:t>
      </w:r>
      <w:r>
        <w:rPr>
          <w:rFonts w:eastAsia="仿宋" w:cs="Times New Roman"/>
          <w:szCs w:val="21"/>
        </w:rPr>
        <w:t xml:space="preserve"> loss of </w:t>
      </w:r>
      <w:r>
        <w:rPr>
          <w:rFonts w:eastAsia="仿宋" w:cs="Times New Roman"/>
          <w:szCs w:val="21"/>
          <w:lang w:eastAsia="zh-TW"/>
        </w:rPr>
        <w:t>Commodities</w:t>
      </w:r>
      <w:r>
        <w:rPr>
          <w:rFonts w:hint="eastAsia" w:eastAsia="仿宋" w:cs="Times New Roman"/>
          <w:szCs w:val="21"/>
        </w:rPr>
        <w:t xml:space="preserve">, </w:t>
      </w:r>
      <w:r>
        <w:rPr>
          <w:rFonts w:eastAsia="仿宋" w:cs="Times New Roman"/>
          <w:szCs w:val="21"/>
          <w:lang w:eastAsia="zh-TW"/>
        </w:rPr>
        <w:t>(</w:t>
      </w:r>
      <w:r>
        <w:rPr>
          <w:rFonts w:hint="eastAsia" w:eastAsia="仿宋" w:cs="Times New Roman"/>
          <w:szCs w:val="21"/>
        </w:rPr>
        <w:t>ii</w:t>
      </w:r>
      <w:r>
        <w:rPr>
          <w:rFonts w:eastAsia="仿宋" w:cs="Times New Roman"/>
          <w:szCs w:val="21"/>
          <w:lang w:eastAsia="zh-TW"/>
        </w:rPr>
        <w:t>)</w:t>
      </w:r>
      <w:r>
        <w:rPr>
          <w:rFonts w:eastAsia="仿宋" w:cs="Times New Roman"/>
          <w:szCs w:val="21"/>
        </w:rPr>
        <w:t xml:space="preserve"> expenses incurred </w:t>
      </w:r>
      <w:r>
        <w:rPr>
          <w:rFonts w:eastAsia="仿宋" w:cs="Times New Roman"/>
          <w:szCs w:val="21"/>
          <w:lang w:eastAsia="zh-TW"/>
        </w:rPr>
        <w:t>due to</w:t>
      </w:r>
      <w:r>
        <w:rPr>
          <w:rFonts w:eastAsia="仿宋" w:cs="Times New Roman"/>
          <w:szCs w:val="21"/>
        </w:rPr>
        <w:t xml:space="preserve"> improper packing of </w:t>
      </w:r>
      <w:bookmarkStart w:id="46" w:name="_Hlk110350048"/>
      <w:r>
        <w:rPr>
          <w:rFonts w:eastAsia="仿宋" w:cs="Times New Roman"/>
          <w:szCs w:val="21"/>
        </w:rPr>
        <w:t>Commodities</w:t>
      </w:r>
      <w:bookmarkEnd w:id="46"/>
      <w:r>
        <w:rPr>
          <w:rFonts w:hint="eastAsia" w:eastAsia="仿宋" w:cs="Times New Roman"/>
          <w:szCs w:val="21"/>
        </w:rPr>
        <w:t>,</w:t>
      </w:r>
      <w:r>
        <w:rPr>
          <w:rFonts w:eastAsia="仿宋" w:cs="Times New Roman"/>
          <w:szCs w:val="21"/>
        </w:rPr>
        <w:t xml:space="preserve"> and </w:t>
      </w:r>
      <w:r>
        <w:rPr>
          <w:rFonts w:eastAsia="仿宋" w:cs="Times New Roman"/>
          <w:szCs w:val="21"/>
          <w:lang w:eastAsia="zh-TW"/>
        </w:rPr>
        <w:t>(</w:t>
      </w:r>
      <w:r>
        <w:rPr>
          <w:rFonts w:hint="eastAsia" w:eastAsia="仿宋" w:cs="Times New Roman"/>
          <w:szCs w:val="21"/>
        </w:rPr>
        <w:t>iii</w:t>
      </w:r>
      <w:r>
        <w:rPr>
          <w:rFonts w:eastAsia="仿宋" w:cs="Times New Roman"/>
          <w:szCs w:val="21"/>
          <w:lang w:eastAsia="zh-TW"/>
        </w:rPr>
        <w:t>)</w:t>
      </w:r>
      <w:r>
        <w:rPr>
          <w:rFonts w:eastAsia="仿宋" w:cs="Times New Roman"/>
          <w:szCs w:val="21"/>
        </w:rPr>
        <w:t xml:space="preserve"> any rust </w:t>
      </w:r>
      <w:r>
        <w:rPr>
          <w:rFonts w:eastAsia="仿宋" w:cs="Times New Roman"/>
          <w:szCs w:val="21"/>
          <w:lang w:eastAsia="zh-TW"/>
        </w:rPr>
        <w:t xml:space="preserve">found on any the Commodities that are </w:t>
      </w:r>
      <w:r>
        <w:rPr>
          <w:rFonts w:eastAsia="仿宋" w:cs="Times New Roman"/>
          <w:szCs w:val="21"/>
        </w:rPr>
        <w:t>attributable</w:t>
      </w:r>
      <w:r>
        <w:rPr>
          <w:rFonts w:eastAsia="仿宋" w:cs="Times New Roman"/>
          <w:szCs w:val="21"/>
          <w:lang w:eastAsia="zh-TW"/>
        </w:rPr>
        <w:t>, directly or indirectly,</w:t>
      </w:r>
      <w:r>
        <w:rPr>
          <w:rFonts w:eastAsia="仿宋" w:cs="Times New Roman"/>
          <w:szCs w:val="21"/>
        </w:rPr>
        <w:t xml:space="preserve"> to inadequate </w:t>
      </w:r>
      <w:r>
        <w:rPr>
          <w:rFonts w:eastAsia="仿宋" w:cs="Times New Roman"/>
          <w:szCs w:val="21"/>
          <w:lang w:eastAsia="zh-TW"/>
        </w:rPr>
        <w:t>and/</w:t>
      </w:r>
      <w:r>
        <w:rPr>
          <w:rFonts w:eastAsia="仿宋" w:cs="Times New Roman"/>
          <w:szCs w:val="21"/>
        </w:rPr>
        <w:t>or improper protective measures taken by the Seller.</w:t>
      </w:r>
    </w:p>
    <w:p w14:paraId="707BF46A">
      <w:pPr>
        <w:spacing w:line="240" w:lineRule="auto"/>
        <w:ind w:left="420" w:hanging="420" w:hangingChars="200"/>
        <w:rPr>
          <w:rFonts w:eastAsia="仿宋" w:cs="Times New Roman"/>
          <w:szCs w:val="21"/>
        </w:rPr>
      </w:pPr>
      <w:r>
        <w:rPr>
          <w:rFonts w:eastAsia="仿宋" w:cs="Times New Roman"/>
          <w:szCs w:val="21"/>
        </w:rPr>
        <w:t xml:space="preserve">    </w:t>
      </w:r>
      <w:r>
        <w:rPr>
          <w:rFonts w:hint="eastAsia" w:eastAsia="仿宋" w:cs="Times New Roman"/>
          <w:szCs w:val="21"/>
        </w:rPr>
        <w:t>因</w:t>
      </w:r>
      <w:r>
        <w:rPr>
          <w:rFonts w:eastAsia="仿宋" w:cs="Times New Roman"/>
          <w:szCs w:val="21"/>
        </w:rPr>
        <w:t>卖方在包装方面采取不当的或不良的保护措施而直接或间接造成(</w:t>
      </w:r>
      <w:r>
        <w:rPr>
          <w:rFonts w:hint="eastAsia" w:eastAsia="仿宋" w:cs="Times New Roman"/>
          <w:szCs w:val="21"/>
        </w:rPr>
        <w:t>i</w:t>
      </w:r>
      <w:r>
        <w:rPr>
          <w:rFonts w:eastAsia="仿宋" w:cs="Times New Roman"/>
          <w:szCs w:val="21"/>
        </w:rPr>
        <w:t>)货物损坏和/或</w:t>
      </w:r>
      <w:r>
        <w:rPr>
          <w:rFonts w:hint="eastAsia" w:eastAsia="仿宋" w:cs="Times New Roman"/>
          <w:szCs w:val="21"/>
        </w:rPr>
        <w:t>灭失</w:t>
      </w:r>
      <w:r>
        <w:rPr>
          <w:rFonts w:eastAsia="仿宋" w:cs="Times New Roman"/>
          <w:szCs w:val="21"/>
        </w:rPr>
        <w:t>， (</w:t>
      </w:r>
      <w:r>
        <w:rPr>
          <w:rFonts w:hint="eastAsia" w:eastAsia="仿宋" w:cs="Times New Roman"/>
          <w:szCs w:val="21"/>
        </w:rPr>
        <w:t>ii</w:t>
      </w:r>
      <w:r>
        <w:rPr>
          <w:rFonts w:eastAsia="仿宋" w:cs="Times New Roman"/>
          <w:szCs w:val="21"/>
        </w:rPr>
        <w:t>)货物不当包装</w:t>
      </w:r>
      <w:r>
        <w:rPr>
          <w:rFonts w:hint="eastAsia" w:eastAsia="仿宋" w:cs="Times New Roman"/>
          <w:szCs w:val="21"/>
        </w:rPr>
        <w:t>产生</w:t>
      </w:r>
      <w:r>
        <w:rPr>
          <w:rFonts w:eastAsia="仿宋" w:cs="Times New Roman"/>
          <w:szCs w:val="21"/>
        </w:rPr>
        <w:t>的费用</w:t>
      </w:r>
      <w:r>
        <w:rPr>
          <w:rFonts w:hint="eastAsia" w:eastAsia="仿宋" w:cs="Times New Roman"/>
          <w:szCs w:val="21"/>
        </w:rPr>
        <w:t>，及</w:t>
      </w:r>
      <w:r>
        <w:rPr>
          <w:rFonts w:eastAsia="仿宋" w:cs="Times New Roman"/>
          <w:szCs w:val="21"/>
        </w:rPr>
        <w:t>（</w:t>
      </w:r>
      <w:r>
        <w:rPr>
          <w:rFonts w:hint="eastAsia" w:eastAsia="仿宋" w:cs="Times New Roman"/>
          <w:szCs w:val="21"/>
        </w:rPr>
        <w:t>iii</w:t>
      </w:r>
      <w:r>
        <w:rPr>
          <w:rFonts w:eastAsia="仿宋" w:cs="Times New Roman"/>
          <w:szCs w:val="21"/>
        </w:rPr>
        <w:t>）任何货物的锈损等</w:t>
      </w:r>
      <w:r>
        <w:rPr>
          <w:rFonts w:hint="eastAsia" w:eastAsia="仿宋" w:cs="Times New Roman"/>
          <w:szCs w:val="21"/>
        </w:rPr>
        <w:t>，</w:t>
      </w:r>
      <w:r>
        <w:rPr>
          <w:rFonts w:eastAsia="仿宋" w:cs="Times New Roman"/>
          <w:szCs w:val="21"/>
        </w:rPr>
        <w:t>卖方应承担</w:t>
      </w:r>
      <w:r>
        <w:rPr>
          <w:rFonts w:hint="eastAsia" w:eastAsia="仿宋" w:cs="Times New Roman"/>
          <w:szCs w:val="21"/>
        </w:rPr>
        <w:t>全部</w:t>
      </w:r>
      <w:r>
        <w:rPr>
          <w:rFonts w:eastAsia="仿宋" w:cs="Times New Roman"/>
          <w:szCs w:val="21"/>
        </w:rPr>
        <w:t>责任。</w:t>
      </w:r>
    </w:p>
    <w:p w14:paraId="7C5F7867">
      <w:pPr>
        <w:numPr>
          <w:ilvl w:val="1"/>
          <w:numId w:val="11"/>
        </w:numPr>
        <w:tabs>
          <w:tab w:val="left" w:pos="420"/>
          <w:tab w:val="clear" w:pos="360"/>
        </w:tabs>
        <w:spacing w:line="240" w:lineRule="auto"/>
        <w:rPr>
          <w:rFonts w:eastAsia="仿宋" w:cs="Times New Roman"/>
          <w:szCs w:val="21"/>
          <w:lang w:eastAsia="zh-TW"/>
        </w:rPr>
      </w:pPr>
      <w:r>
        <w:rPr>
          <w:rFonts w:eastAsia="仿宋" w:cs="Times New Roman"/>
          <w:szCs w:val="21"/>
        </w:rPr>
        <w:t xml:space="preserve">In case of any use of wooden </w:t>
      </w:r>
      <w:r>
        <w:rPr>
          <w:rFonts w:eastAsia="仿宋" w:cs="Times New Roman"/>
          <w:szCs w:val="21"/>
          <w:lang w:eastAsia="zh-TW"/>
        </w:rPr>
        <w:t>box</w:t>
      </w:r>
      <w:r>
        <w:rPr>
          <w:rFonts w:eastAsia="仿宋" w:cs="Times New Roman"/>
          <w:szCs w:val="21"/>
        </w:rPr>
        <w:t xml:space="preserve"> packing or wooden pallets, the cortex </w:t>
      </w:r>
      <w:r>
        <w:rPr>
          <w:rFonts w:eastAsia="仿宋" w:cs="Times New Roman"/>
          <w:szCs w:val="21"/>
          <w:lang w:eastAsia="zh-TW"/>
        </w:rPr>
        <w:t xml:space="preserve">of all wooden boxes/pallets </w:t>
      </w:r>
      <w:r>
        <w:rPr>
          <w:rFonts w:eastAsia="仿宋" w:cs="Times New Roman"/>
          <w:szCs w:val="21"/>
        </w:rPr>
        <w:t xml:space="preserve">shall have been </w:t>
      </w:r>
      <w:r>
        <w:rPr>
          <w:rFonts w:eastAsia="仿宋" w:cs="Times New Roman"/>
          <w:szCs w:val="21"/>
          <w:lang w:eastAsia="zh-TW"/>
        </w:rPr>
        <w:t xml:space="preserve">entirely </w:t>
      </w:r>
      <w:r>
        <w:rPr>
          <w:rFonts w:eastAsia="仿宋" w:cs="Times New Roman"/>
          <w:szCs w:val="21"/>
        </w:rPr>
        <w:t xml:space="preserve">removed. All the wooden </w:t>
      </w:r>
      <w:r>
        <w:rPr>
          <w:rFonts w:eastAsia="仿宋" w:cs="Times New Roman"/>
          <w:szCs w:val="21"/>
          <w:lang w:eastAsia="zh-TW"/>
        </w:rPr>
        <w:t>boxes/pallets</w:t>
      </w:r>
      <w:r>
        <w:rPr>
          <w:rFonts w:eastAsia="仿宋" w:cs="Times New Roman"/>
          <w:szCs w:val="21"/>
        </w:rPr>
        <w:t xml:space="preserve"> sh</w:t>
      </w:r>
      <w:r>
        <w:rPr>
          <w:rFonts w:eastAsia="仿宋" w:cs="Times New Roman"/>
          <w:szCs w:val="21"/>
          <w:lang w:eastAsia="zh-TW"/>
        </w:rPr>
        <w:t>all</w:t>
      </w:r>
      <w:r>
        <w:rPr>
          <w:rFonts w:eastAsia="仿宋" w:cs="Times New Roman"/>
          <w:szCs w:val="21"/>
        </w:rPr>
        <w:t xml:space="preserve"> be duly heat treated or fumigated and marked </w:t>
      </w:r>
      <w:r>
        <w:rPr>
          <w:rFonts w:eastAsia="仿宋" w:cs="Times New Roman"/>
          <w:szCs w:val="21"/>
          <w:lang w:eastAsia="zh-TW"/>
        </w:rPr>
        <w:t>“</w:t>
      </w:r>
      <w:r>
        <w:rPr>
          <w:rFonts w:eastAsia="仿宋" w:cs="Times New Roman"/>
          <w:szCs w:val="21"/>
        </w:rPr>
        <w:t>IPPC”.</w:t>
      </w:r>
    </w:p>
    <w:p w14:paraId="4A0265D3">
      <w:pPr>
        <w:spacing w:line="240" w:lineRule="auto"/>
        <w:ind w:left="315" w:hanging="315" w:hangingChars="150"/>
        <w:rPr>
          <w:rFonts w:eastAsia="仿宋" w:cs="Times New Roman"/>
          <w:szCs w:val="21"/>
        </w:rPr>
      </w:pPr>
      <w:r>
        <w:rPr>
          <w:rFonts w:eastAsia="仿宋" w:cs="Times New Roman"/>
          <w:szCs w:val="21"/>
        </w:rPr>
        <w:t xml:space="preserve">    如使用木质包装箱</w:t>
      </w:r>
      <w:r>
        <w:rPr>
          <w:rFonts w:hint="eastAsia" w:eastAsia="仿宋" w:cs="Times New Roman"/>
          <w:szCs w:val="21"/>
        </w:rPr>
        <w:t>或木质托盘</w:t>
      </w:r>
      <w:r>
        <w:rPr>
          <w:rFonts w:eastAsia="仿宋" w:cs="Times New Roman"/>
          <w:szCs w:val="21"/>
        </w:rPr>
        <w:t>，不得带树皮。所有的木箱</w:t>
      </w:r>
      <w:r>
        <w:rPr>
          <w:rFonts w:hint="eastAsia" w:eastAsia="仿宋" w:cs="Times New Roman"/>
          <w:szCs w:val="21"/>
        </w:rPr>
        <w:t>/木托盘</w:t>
      </w:r>
      <w:r>
        <w:rPr>
          <w:rFonts w:eastAsia="仿宋" w:cs="Times New Roman"/>
          <w:szCs w:val="21"/>
        </w:rPr>
        <w:t>应经过热处理或熏蒸处理</w:t>
      </w:r>
      <w:r>
        <w:rPr>
          <w:rFonts w:hint="eastAsia" w:eastAsia="仿宋" w:cs="Times New Roman"/>
          <w:szCs w:val="21"/>
        </w:rPr>
        <w:t>并</w:t>
      </w:r>
      <w:r>
        <w:rPr>
          <w:rFonts w:eastAsia="仿宋" w:cs="Times New Roman"/>
          <w:szCs w:val="21"/>
        </w:rPr>
        <w:t>标注“IPPC”。</w:t>
      </w:r>
    </w:p>
    <w:p w14:paraId="13C3186D">
      <w:pPr>
        <w:spacing w:line="240" w:lineRule="auto"/>
        <w:ind w:left="420" w:hanging="420" w:hangingChars="200"/>
      </w:pPr>
      <w:r>
        <w:t xml:space="preserve">8.4 </w:t>
      </w:r>
      <w:r>
        <w:rPr>
          <w:rFonts w:hint="eastAsia" w:eastAsia="仿宋" w:cs="Times New Roman"/>
          <w:b/>
          <w:i/>
          <w:iCs/>
          <w:sz w:val="24"/>
          <w:szCs w:val="24"/>
        </w:rPr>
        <w:t>（非E</w:t>
      </w:r>
      <w:r>
        <w:rPr>
          <w:rFonts w:eastAsia="仿宋" w:cs="Times New Roman"/>
          <w:b/>
          <w:i/>
          <w:iCs/>
          <w:sz w:val="24"/>
          <w:szCs w:val="24"/>
        </w:rPr>
        <w:t>XW</w:t>
      </w:r>
      <w:r>
        <w:rPr>
          <w:rFonts w:hint="eastAsia" w:eastAsia="仿宋" w:cs="Times New Roman"/>
          <w:b/>
          <w:i/>
          <w:iCs/>
          <w:sz w:val="24"/>
          <w:szCs w:val="24"/>
        </w:rPr>
        <w:t>术语且卖方负责装箱的项目适用）</w:t>
      </w:r>
      <w:r>
        <w:t xml:space="preserve">The seller </w:t>
      </w:r>
      <w:r>
        <w:rPr>
          <w:rFonts w:hint="eastAsia"/>
        </w:rPr>
        <w:t>shall</w:t>
      </w:r>
      <w:r>
        <w:t xml:space="preserve"> </w:t>
      </w:r>
      <w:r>
        <w:rPr>
          <w:rFonts w:hint="eastAsia"/>
        </w:rPr>
        <w:t>be</w:t>
      </w:r>
      <w:r>
        <w:t xml:space="preserve"> </w:t>
      </w:r>
      <w:r>
        <w:rPr>
          <w:lang w:eastAsia="zh-TW"/>
        </w:rPr>
        <w:t xml:space="preserve">solely </w:t>
      </w:r>
      <w:r>
        <w:t xml:space="preserve">liable for </w:t>
      </w:r>
      <w:r>
        <w:rPr>
          <w:rFonts w:hint="eastAsia"/>
        </w:rPr>
        <w:t>loading</w:t>
      </w:r>
      <w:r>
        <w:t xml:space="preserve"> the </w:t>
      </w:r>
      <w:r>
        <w:rPr>
          <w:lang w:eastAsia="zh-TW"/>
        </w:rPr>
        <w:t>Commodities</w:t>
      </w:r>
      <w:r>
        <w:t xml:space="preserve"> into the container, </w:t>
      </w:r>
      <w:r>
        <w:rPr>
          <w:rFonts w:hint="eastAsia"/>
        </w:rPr>
        <w:t>and</w:t>
      </w:r>
      <w:r>
        <w:t xml:space="preserve"> choose the appropriate container and reinforcement method. </w:t>
      </w:r>
    </w:p>
    <w:p w14:paraId="22F78B83">
      <w:pPr>
        <w:spacing w:line="240" w:lineRule="auto"/>
        <w:ind w:left="426" w:hanging="426"/>
        <w:rPr>
          <w:rFonts w:eastAsia="仿宋" w:cs="Times New Roman"/>
          <w:b/>
          <w:i/>
          <w:iCs/>
          <w:sz w:val="24"/>
          <w:szCs w:val="24"/>
        </w:rPr>
      </w:pPr>
      <w:r>
        <w:rPr>
          <w:rFonts w:hint="eastAsia" w:eastAsia="仿宋" w:cs="Times New Roman"/>
          <w:b/>
          <w:szCs w:val="21"/>
        </w:rPr>
        <w:t xml:space="preserve"> </w:t>
      </w:r>
      <w:r>
        <w:rPr>
          <w:rFonts w:eastAsia="仿宋" w:cs="Times New Roman"/>
          <w:b/>
          <w:szCs w:val="21"/>
        </w:rPr>
        <w:t xml:space="preserve">   </w:t>
      </w:r>
      <w:r>
        <w:rPr>
          <w:rFonts w:hint="eastAsia" w:eastAsia="仿宋" w:cs="Times New Roman"/>
          <w:b/>
          <w:szCs w:val="21"/>
        </w:rPr>
        <w:t>卖方负责将商品装入集装箱，并选择合适的集装箱和加固方法。</w:t>
      </w:r>
    </w:p>
    <w:p w14:paraId="2F52112E">
      <w:pPr>
        <w:spacing w:line="240" w:lineRule="auto"/>
        <w:ind w:left="426" w:hanging="426"/>
        <w:rPr>
          <w:rFonts w:eastAsia="仿宋" w:cs="Times New Roman"/>
          <w:szCs w:val="21"/>
        </w:rPr>
      </w:pPr>
      <w:r>
        <w:rPr>
          <w:rFonts w:hint="eastAsia" w:eastAsia="仿宋" w:cs="Times New Roman"/>
          <w:b/>
          <w:szCs w:val="21"/>
        </w:rPr>
        <w:t>8</w:t>
      </w:r>
      <w:r>
        <w:rPr>
          <w:rFonts w:eastAsia="仿宋" w:cs="Times New Roman"/>
          <w:szCs w:val="21"/>
        </w:rPr>
        <w:t xml:space="preserve">.5 </w:t>
      </w:r>
      <w:r>
        <w:rPr>
          <w:rFonts w:hint="eastAsia" w:eastAsia="仿宋" w:cs="Times New Roman"/>
          <w:b/>
          <w:i/>
          <w:iCs/>
          <w:sz w:val="24"/>
          <w:szCs w:val="24"/>
        </w:rPr>
        <w:t>（E</w:t>
      </w:r>
      <w:r>
        <w:rPr>
          <w:rFonts w:eastAsia="仿宋" w:cs="Times New Roman"/>
          <w:b/>
          <w:i/>
          <w:iCs/>
          <w:sz w:val="24"/>
          <w:szCs w:val="24"/>
        </w:rPr>
        <w:t>XW.FCA</w:t>
      </w:r>
      <w:r>
        <w:rPr>
          <w:rFonts w:hint="eastAsia" w:eastAsia="仿宋" w:cs="Times New Roman"/>
          <w:b/>
          <w:i/>
          <w:iCs/>
          <w:sz w:val="24"/>
          <w:szCs w:val="24"/>
        </w:rPr>
        <w:t>适用）</w:t>
      </w:r>
      <w:r>
        <w:rPr>
          <w:rFonts w:eastAsia="仿宋" w:cs="Times New Roman"/>
          <w:szCs w:val="21"/>
        </w:rPr>
        <w:t xml:space="preserve">The Buyer and its agents have the right to reject </w:t>
      </w:r>
      <w:r>
        <w:rPr>
          <w:lang w:eastAsia="zh-TW"/>
        </w:rPr>
        <w:t>Commodities if</w:t>
      </w:r>
      <w:r>
        <w:rPr>
          <w:rFonts w:eastAsia="仿宋" w:cs="Times New Roman"/>
          <w:szCs w:val="21"/>
        </w:rPr>
        <w:t xml:space="preserve"> the packaging appears damaged when delivered and available for pick-up at the Seller's factory or other agreed designated location.</w:t>
      </w:r>
      <w:r>
        <w:rPr>
          <w:rFonts w:hint="eastAsia" w:eastAsia="仿宋" w:cs="Times New Roman"/>
          <w:szCs w:val="21"/>
        </w:rPr>
        <w:t>如货物在卖方工厂或指定地点交付并可提货时被发现包装破损，买方及其代理有权拒收货物。</w:t>
      </w:r>
    </w:p>
    <w:p w14:paraId="76F4A4B9">
      <w:pPr>
        <w:tabs>
          <w:tab w:val="left" w:pos="360"/>
        </w:tabs>
        <w:spacing w:line="240" w:lineRule="auto"/>
        <w:ind w:left="422" w:hanging="422" w:hangingChars="200"/>
        <w:rPr>
          <w:rFonts w:eastAsia="仿宋" w:cs="Times New Roman"/>
          <w:b/>
          <w:sz w:val="24"/>
          <w:szCs w:val="24"/>
        </w:rPr>
      </w:pPr>
      <w:r>
        <w:rPr>
          <w:rFonts w:eastAsia="仿宋" w:cs="Times New Roman"/>
          <w:b/>
          <w:szCs w:val="21"/>
        </w:rPr>
        <w:t xml:space="preserve">8.6 </w:t>
      </w:r>
      <w:r>
        <w:rPr>
          <w:rFonts w:hint="eastAsia" w:eastAsia="仿宋" w:cs="Times New Roman"/>
          <w:b/>
          <w:szCs w:val="21"/>
        </w:rPr>
        <w:t xml:space="preserve"> </w:t>
      </w:r>
      <w:r>
        <w:rPr>
          <w:rFonts w:eastAsia="仿宋" w:cs="Times New Roman"/>
          <w:szCs w:val="21"/>
        </w:rPr>
        <w:t>After the</w:t>
      </w:r>
      <w:r>
        <w:rPr>
          <w:rFonts w:eastAsia="仿宋" w:cs="Times New Roman"/>
          <w:szCs w:val="21"/>
          <w:lang w:eastAsia="zh-TW"/>
        </w:rPr>
        <w:t xml:space="preserve"> Commodities</w:t>
      </w:r>
      <w:r>
        <w:rPr>
          <w:rFonts w:eastAsia="仿宋" w:cs="Times New Roman"/>
          <w:szCs w:val="21"/>
        </w:rPr>
        <w:t xml:space="preserve"> arrive at the</w:t>
      </w:r>
      <w:r>
        <w:rPr>
          <w:rFonts w:hint="eastAsia" w:eastAsia="仿宋" w:cs="Times New Roman"/>
          <w:szCs w:val="21"/>
        </w:rPr>
        <w:t xml:space="preserve"> </w:t>
      </w:r>
      <w:r>
        <w:rPr>
          <w:rFonts w:eastAsia="仿宋" w:cs="Times New Roman"/>
          <w:szCs w:val="21"/>
        </w:rPr>
        <w:t xml:space="preserve">Buyer's </w:t>
      </w:r>
      <w:r>
        <w:rPr>
          <w:rFonts w:hint="eastAsia" w:eastAsia="仿宋" w:cs="Times New Roman"/>
          <w:szCs w:val="21"/>
        </w:rPr>
        <w:t>or the</w:t>
      </w:r>
      <w:r>
        <w:rPr>
          <w:rFonts w:eastAsia="仿宋" w:cs="Times New Roman"/>
          <w:szCs w:val="21"/>
        </w:rPr>
        <w:t xml:space="preserve"> Enduser's</w:t>
      </w:r>
      <w:r>
        <w:rPr>
          <w:rFonts w:hint="eastAsia" w:eastAsia="仿宋" w:cs="Times New Roman"/>
          <w:szCs w:val="21"/>
        </w:rPr>
        <w:t xml:space="preserve"> </w:t>
      </w:r>
      <w:r>
        <w:rPr>
          <w:rFonts w:eastAsia="仿宋" w:cs="Times New Roman"/>
          <w:szCs w:val="21"/>
        </w:rPr>
        <w:t xml:space="preserve">factory, the Buyer may initiate a claim under Article 16 for any loss of the </w:t>
      </w:r>
      <w:r>
        <w:rPr>
          <w:rFonts w:eastAsia="仿宋" w:cs="Times New Roman"/>
          <w:szCs w:val="21"/>
          <w:lang w:eastAsia="zh-TW"/>
        </w:rPr>
        <w:t>Commodities, notwithstanding any absence of</w:t>
      </w:r>
      <w:r>
        <w:rPr>
          <w:rFonts w:eastAsia="仿宋" w:cs="Times New Roman"/>
          <w:szCs w:val="21"/>
        </w:rPr>
        <w:t xml:space="preserve"> damage to the appearance of the container/packing box.</w:t>
      </w:r>
    </w:p>
    <w:p w14:paraId="4A8187F2">
      <w:pPr>
        <w:spacing w:line="240" w:lineRule="auto"/>
        <w:ind w:left="422" w:leftChars="200" w:hanging="2" w:hangingChars="1"/>
        <w:rPr>
          <w:rFonts w:eastAsia="仿宋" w:cs="Times New Roman"/>
          <w:szCs w:val="21"/>
        </w:rPr>
      </w:pPr>
      <w:r>
        <w:rPr>
          <w:rFonts w:hint="eastAsia" w:eastAsia="仿宋" w:cs="Times New Roman"/>
          <w:szCs w:val="21"/>
        </w:rPr>
        <w:t>货物到达买方或最终用户工厂后，即使在集装箱</w:t>
      </w:r>
      <w:r>
        <w:rPr>
          <w:rFonts w:eastAsia="仿宋" w:cs="Times New Roman"/>
          <w:szCs w:val="21"/>
        </w:rPr>
        <w:t>/</w:t>
      </w:r>
      <w:r>
        <w:rPr>
          <w:rFonts w:hint="eastAsia" w:eastAsia="仿宋" w:cs="Times New Roman"/>
          <w:szCs w:val="21"/>
        </w:rPr>
        <w:t>包装箱外观没有损坏的情况下，买方亦可根据本合同第1</w:t>
      </w:r>
      <w:r>
        <w:rPr>
          <w:rFonts w:eastAsia="仿宋" w:cs="Times New Roman"/>
          <w:szCs w:val="21"/>
        </w:rPr>
        <w:t>6</w:t>
      </w:r>
      <w:r>
        <w:rPr>
          <w:rFonts w:hint="eastAsia" w:eastAsia="仿宋" w:cs="Times New Roman"/>
          <w:szCs w:val="21"/>
        </w:rPr>
        <w:t>条就货物的任何损失发起索赔。</w:t>
      </w:r>
    </w:p>
    <w:p w14:paraId="64D6EDB5">
      <w:pPr>
        <w:spacing w:line="240" w:lineRule="auto"/>
        <w:ind w:left="426" w:hanging="426"/>
        <w:rPr>
          <w:rFonts w:eastAsia="仿宋" w:cs="Times New Roman"/>
          <w:szCs w:val="21"/>
          <w:lang w:eastAsia="zh-TW"/>
        </w:rPr>
      </w:pPr>
    </w:p>
    <w:p w14:paraId="0A9C7583">
      <w:pPr>
        <w:spacing w:line="240" w:lineRule="auto"/>
        <w:ind w:left="360" w:hanging="360"/>
        <w:rPr>
          <w:rFonts w:eastAsia="仿宋" w:cs="Times New Roman"/>
          <w:b/>
          <w:szCs w:val="21"/>
        </w:rPr>
      </w:pPr>
    </w:p>
    <w:p w14:paraId="7B174599">
      <w:pPr>
        <w:spacing w:line="240" w:lineRule="auto"/>
        <w:ind w:left="360" w:hanging="360"/>
        <w:rPr>
          <w:rFonts w:eastAsia="仿宋" w:cs="Times New Roman"/>
          <w:b/>
          <w:szCs w:val="21"/>
        </w:rPr>
      </w:pPr>
    </w:p>
    <w:p w14:paraId="67F279CD">
      <w:pPr>
        <w:spacing w:line="240" w:lineRule="auto"/>
        <w:ind w:left="360" w:hanging="360"/>
        <w:rPr>
          <w:rFonts w:eastAsia="仿宋" w:cs="Times New Roman"/>
          <w:sz w:val="24"/>
          <w:szCs w:val="24"/>
        </w:rPr>
      </w:pPr>
      <w:r>
        <w:rPr>
          <w:rFonts w:eastAsia="仿宋" w:cs="Times New Roman"/>
          <w:b/>
          <w:sz w:val="24"/>
          <w:szCs w:val="24"/>
          <w:lang w:eastAsia="zh-TW"/>
        </w:rPr>
        <w:t>9.</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SHIPMENT TERMS装船</w:t>
      </w:r>
      <w:r>
        <w:rPr>
          <w:rFonts w:hint="eastAsia" w:eastAsia="仿宋" w:cs="Times New Roman"/>
          <w:b/>
          <w:sz w:val="24"/>
          <w:szCs w:val="24"/>
        </w:rPr>
        <w:t>条款</w:t>
      </w:r>
    </w:p>
    <w:p w14:paraId="1E8329A9">
      <w:pPr>
        <w:spacing w:line="240" w:lineRule="auto"/>
        <w:rPr>
          <w:rFonts w:eastAsia="仿宋" w:cs="Times New Roman"/>
          <w:szCs w:val="21"/>
        </w:rPr>
      </w:pPr>
    </w:p>
    <w:p w14:paraId="25F3E3ED">
      <w:pPr>
        <w:spacing w:line="240" w:lineRule="auto"/>
        <w:ind w:left="315" w:hanging="315" w:hangingChars="150"/>
        <w:rPr>
          <w:rFonts w:eastAsia="仿宋" w:cs="Times New Roman"/>
          <w:szCs w:val="21"/>
        </w:rPr>
      </w:pPr>
      <w:r>
        <w:rPr>
          <w:rFonts w:eastAsia="仿宋" w:cs="Times New Roman"/>
          <w:szCs w:val="21"/>
        </w:rPr>
        <w:t>9.1</w:t>
      </w:r>
      <w:r>
        <w:rPr>
          <w:rFonts w:eastAsia="仿宋" w:cs="Times New Roman"/>
          <w:szCs w:val="21"/>
        </w:rPr>
        <w:tab/>
      </w:r>
      <w:r>
        <w:rPr>
          <w:rFonts w:eastAsia="仿宋" w:cs="Times New Roman"/>
          <w:szCs w:val="21"/>
        </w:rPr>
        <w:t xml:space="preserve">In case of </w:t>
      </w:r>
      <w:r>
        <w:rPr>
          <w:rFonts w:hint="eastAsia" w:eastAsia="仿宋" w:cs="Times New Roman"/>
          <w:szCs w:val="21"/>
        </w:rPr>
        <w:t>【】</w:t>
      </w:r>
      <w:r>
        <w:rPr>
          <w:rFonts w:eastAsia="仿宋" w:cs="Times New Roman"/>
          <w:szCs w:val="21"/>
          <w:lang w:eastAsia="zh-TW"/>
        </w:rPr>
        <w:t xml:space="preserve"> trade terms in this Contract</w:t>
      </w:r>
      <w:r>
        <w:rPr>
          <w:rFonts w:eastAsia="仿宋" w:cs="Times New Roman"/>
          <w:szCs w:val="21"/>
        </w:rPr>
        <w:t>, unless otherwise agreed between the Parties in writing:</w:t>
      </w:r>
    </w:p>
    <w:p w14:paraId="033242A9">
      <w:pPr>
        <w:spacing w:line="240" w:lineRule="auto"/>
        <w:rPr>
          <w:rFonts w:eastAsia="仿宋" w:cs="Times New Roman"/>
          <w:szCs w:val="21"/>
        </w:rPr>
      </w:pPr>
      <w:r>
        <w:rPr>
          <w:rFonts w:eastAsia="仿宋" w:cs="Times New Roman"/>
          <w:szCs w:val="21"/>
        </w:rPr>
        <w:t xml:space="preserve">   </w:t>
      </w:r>
      <w:r>
        <w:rPr>
          <w:rFonts w:hint="eastAsia" w:eastAsia="仿宋" w:cs="Times New Roman"/>
          <w:szCs w:val="21"/>
        </w:rPr>
        <w:t>除各</w:t>
      </w:r>
      <w:r>
        <w:rPr>
          <w:rFonts w:eastAsia="仿宋" w:cs="Times New Roman"/>
          <w:szCs w:val="21"/>
        </w:rPr>
        <w:t>方另行书面</w:t>
      </w:r>
      <w:r>
        <w:rPr>
          <w:rFonts w:hint="eastAsia" w:eastAsia="仿宋" w:cs="Times New Roman"/>
          <w:szCs w:val="21"/>
        </w:rPr>
        <w:t>同意外</w:t>
      </w:r>
      <w:r>
        <w:rPr>
          <w:rFonts w:eastAsia="仿宋" w:cs="Times New Roman"/>
          <w:szCs w:val="21"/>
        </w:rPr>
        <w:t>，本合同</w:t>
      </w:r>
      <w:r>
        <w:rPr>
          <w:rFonts w:hint="eastAsia" w:eastAsia="仿宋" w:cs="Times New Roman"/>
          <w:szCs w:val="21"/>
        </w:rPr>
        <w:t>采用【】</w:t>
      </w:r>
      <w:r>
        <w:rPr>
          <w:rFonts w:eastAsia="仿宋" w:cs="Times New Roman"/>
          <w:szCs w:val="21"/>
        </w:rPr>
        <w:t>贸易</w:t>
      </w:r>
      <w:r>
        <w:rPr>
          <w:rFonts w:hint="eastAsia" w:eastAsia="仿宋" w:cs="Times New Roman"/>
          <w:szCs w:val="21"/>
        </w:rPr>
        <w:t>术语</w:t>
      </w:r>
      <w:r>
        <w:rPr>
          <w:rFonts w:eastAsia="仿宋" w:cs="Times New Roman"/>
          <w:szCs w:val="21"/>
        </w:rPr>
        <w:t>;</w:t>
      </w:r>
    </w:p>
    <w:p w14:paraId="0E438A59">
      <w:pPr>
        <w:numPr>
          <w:ilvl w:val="0"/>
          <w:numId w:val="12"/>
        </w:numPr>
        <w:spacing w:line="240" w:lineRule="auto"/>
        <w:rPr>
          <w:rFonts w:eastAsia="仿宋" w:cs="Times New Roman"/>
          <w:szCs w:val="21"/>
          <w:lang w:eastAsia="zh-TW"/>
        </w:rPr>
      </w:pPr>
      <w:r>
        <w:rPr>
          <w:rFonts w:eastAsia="仿宋" w:cs="Times New Roman"/>
          <w:szCs w:val="21"/>
        </w:rPr>
        <w:t xml:space="preserve">the Seller shall arrange shipping of the Commodities </w:t>
      </w:r>
      <w:r>
        <w:rPr>
          <w:rFonts w:eastAsia="仿宋" w:cs="Times New Roman"/>
          <w:szCs w:val="21"/>
          <w:lang w:eastAsia="zh-TW"/>
        </w:rPr>
        <w:t xml:space="preserve">in accordance with </w:t>
      </w:r>
      <w:r>
        <w:rPr>
          <w:rFonts w:eastAsia="仿宋" w:cs="Times New Roman"/>
          <w:szCs w:val="21"/>
        </w:rPr>
        <w:t>the Article 5</w:t>
      </w:r>
      <w:r>
        <w:rPr>
          <w:rFonts w:eastAsia="仿宋" w:cs="Times New Roman"/>
          <w:szCs w:val="21"/>
          <w:lang w:eastAsia="zh-TW"/>
        </w:rPr>
        <w:t>;</w:t>
      </w:r>
    </w:p>
    <w:p w14:paraId="23A2243A">
      <w:pPr>
        <w:spacing w:line="240" w:lineRule="auto"/>
        <w:ind w:left="851"/>
        <w:rPr>
          <w:rFonts w:eastAsia="仿宋" w:cs="Times New Roman"/>
          <w:szCs w:val="21"/>
        </w:rPr>
      </w:pPr>
      <w:r>
        <w:rPr>
          <w:rFonts w:eastAsia="仿宋" w:cs="Times New Roman"/>
          <w:szCs w:val="21"/>
        </w:rPr>
        <w:t>卖方应根据本合同第五条安排发货。</w:t>
      </w:r>
    </w:p>
    <w:p w14:paraId="16506C98">
      <w:pPr>
        <w:numPr>
          <w:ilvl w:val="0"/>
          <w:numId w:val="12"/>
        </w:numPr>
        <w:spacing w:line="240" w:lineRule="auto"/>
        <w:rPr>
          <w:rFonts w:eastAsia="仿宋" w:cs="Times New Roman"/>
          <w:szCs w:val="21"/>
        </w:rPr>
      </w:pPr>
      <w:r>
        <w:rPr>
          <w:rFonts w:eastAsia="仿宋" w:cs="Times New Roman"/>
          <w:szCs w:val="21"/>
        </w:rPr>
        <w:t>partial shipment is not allowed;</w:t>
      </w:r>
    </w:p>
    <w:p w14:paraId="2C7ADABB">
      <w:pPr>
        <w:spacing w:line="240" w:lineRule="auto"/>
        <w:ind w:left="851"/>
        <w:rPr>
          <w:rFonts w:eastAsia="仿宋" w:cs="Times New Roman"/>
          <w:szCs w:val="21"/>
        </w:rPr>
      </w:pPr>
      <w:r>
        <w:rPr>
          <w:rFonts w:eastAsia="仿宋" w:cs="Times New Roman"/>
          <w:szCs w:val="21"/>
        </w:rPr>
        <w:t>不允许分批装运。</w:t>
      </w:r>
    </w:p>
    <w:p w14:paraId="54B64D43">
      <w:pPr>
        <w:numPr>
          <w:ilvl w:val="0"/>
          <w:numId w:val="12"/>
        </w:numPr>
        <w:spacing w:line="240" w:lineRule="auto"/>
        <w:rPr>
          <w:rFonts w:eastAsia="仿宋" w:cs="Times New Roman"/>
          <w:szCs w:val="21"/>
        </w:rPr>
      </w:pPr>
      <w:r>
        <w:rPr>
          <w:rFonts w:eastAsia="仿宋" w:cs="Times New Roman"/>
          <w:szCs w:val="21"/>
        </w:rPr>
        <w:t>transshipment of the Commodities is not allowed;</w:t>
      </w:r>
    </w:p>
    <w:p w14:paraId="6915660E">
      <w:pPr>
        <w:spacing w:line="240" w:lineRule="auto"/>
        <w:ind w:left="851"/>
        <w:rPr>
          <w:rFonts w:eastAsia="仿宋" w:cs="Times New Roman"/>
          <w:szCs w:val="21"/>
        </w:rPr>
      </w:pPr>
      <w:r>
        <w:rPr>
          <w:rFonts w:eastAsia="仿宋" w:cs="Times New Roman"/>
          <w:szCs w:val="21"/>
        </w:rPr>
        <w:t>不允许转船运输。</w:t>
      </w:r>
    </w:p>
    <w:p w14:paraId="37A59E2B">
      <w:pPr>
        <w:numPr>
          <w:ilvl w:val="0"/>
          <w:numId w:val="12"/>
        </w:numPr>
        <w:spacing w:line="240" w:lineRule="auto"/>
        <w:rPr>
          <w:rFonts w:eastAsia="仿宋" w:cs="Times New Roman"/>
          <w:szCs w:val="21"/>
        </w:rPr>
      </w:pPr>
      <w:r>
        <w:rPr>
          <w:rFonts w:eastAsia="仿宋" w:cs="Times New Roman"/>
          <w:szCs w:val="21"/>
        </w:rPr>
        <w:t xml:space="preserve">the Commodities shall not be carried by vessel flying the flag of any country that the Buyer cannot accept; </w:t>
      </w:r>
    </w:p>
    <w:p w14:paraId="3DC71235">
      <w:pPr>
        <w:spacing w:line="240" w:lineRule="auto"/>
        <w:ind w:left="720"/>
        <w:rPr>
          <w:rFonts w:eastAsia="仿宋" w:cs="Times New Roman"/>
          <w:szCs w:val="21"/>
        </w:rPr>
      </w:pPr>
      <w:r>
        <w:rPr>
          <w:rFonts w:eastAsia="仿宋" w:cs="Times New Roman"/>
          <w:szCs w:val="21"/>
        </w:rPr>
        <w:t>本合同项下的货物不得由悬挂买方不接受的国旗的船只运输</w:t>
      </w:r>
      <w:r>
        <w:rPr>
          <w:rFonts w:hint="eastAsia" w:eastAsia="仿宋" w:cs="Times New Roman"/>
          <w:szCs w:val="21"/>
        </w:rPr>
        <w:t>。</w:t>
      </w:r>
    </w:p>
    <w:p w14:paraId="4917DED1">
      <w:pPr>
        <w:numPr>
          <w:ilvl w:val="0"/>
          <w:numId w:val="12"/>
        </w:numPr>
        <w:spacing w:line="240" w:lineRule="auto"/>
        <w:rPr>
          <w:rFonts w:eastAsia="仿宋" w:cs="Times New Roman"/>
          <w:szCs w:val="21"/>
        </w:rPr>
      </w:pPr>
      <w:r>
        <w:rPr>
          <w:rFonts w:eastAsia="仿宋" w:cs="Times New Roman"/>
          <w:szCs w:val="21"/>
        </w:rPr>
        <w:t>the Seller shall notify the Buyer by fax or Email of the contract number, name of commodity, quantity, gross weight, net weight,</w:t>
      </w:r>
      <w:r>
        <w:rPr>
          <w:rFonts w:hint="eastAsia" w:eastAsia="仿宋" w:cs="Times New Roman"/>
          <w:szCs w:val="21"/>
        </w:rPr>
        <w:t xml:space="preserve"> </w:t>
      </w:r>
      <w:r>
        <w:rPr>
          <w:rFonts w:eastAsia="仿宋" w:cs="Times New Roman"/>
          <w:szCs w:val="21"/>
        </w:rPr>
        <w:t>invoice value, name of carrying vessel/flight no. and date of sailing immediately upon each shipment of the Commodities being effected.</w:t>
      </w:r>
      <w:r>
        <w:t xml:space="preserve"> </w:t>
      </w:r>
      <w:r>
        <w:rPr>
          <w:rFonts w:eastAsia="仿宋" w:cs="Times New Roman"/>
          <w:szCs w:val="21"/>
        </w:rPr>
        <w:t>The Buyer shall ha</w:t>
      </w:r>
      <w:r>
        <w:rPr>
          <w:rFonts w:hint="eastAsia" w:eastAsia="仿宋" w:cs="Times New Roman"/>
          <w:szCs w:val="21"/>
        </w:rPr>
        <w:t>ve</w:t>
      </w:r>
      <w:r>
        <w:rPr>
          <w:rFonts w:eastAsia="仿宋" w:cs="Times New Roman"/>
          <w:szCs w:val="21"/>
        </w:rPr>
        <w:t xml:space="preserve"> the right to deduct from the payment of the Contract Value any losses caused by the Seller's failure to notify, including but not limited to demurrage charge, container detention charges, etc.</w:t>
      </w:r>
    </w:p>
    <w:p w14:paraId="373F6BD5">
      <w:pPr>
        <w:spacing w:line="240" w:lineRule="auto"/>
        <w:ind w:left="678" w:leftChars="323"/>
        <w:rPr>
          <w:rFonts w:eastAsia="仿宋" w:cs="Times New Roman"/>
          <w:szCs w:val="21"/>
        </w:rPr>
      </w:pPr>
      <w:r>
        <w:rPr>
          <w:rFonts w:hint="eastAsia" w:eastAsia="仿宋" w:cs="Times New Roman"/>
          <w:szCs w:val="21"/>
        </w:rPr>
        <w:t>每批</w:t>
      </w:r>
      <w:r>
        <w:rPr>
          <w:rFonts w:eastAsia="仿宋" w:cs="Times New Roman"/>
          <w:szCs w:val="21"/>
        </w:rPr>
        <w:t>货物发运后，卖方应立即通过传真或邮件方式将合同号码、货物名称、数量、毛重、净重、发票金额、船名/飞机航班以及发运日期等通知买方。</w:t>
      </w:r>
      <w:r>
        <w:rPr>
          <w:rFonts w:hint="eastAsia" w:eastAsia="仿宋" w:cs="Times New Roman"/>
          <w:szCs w:val="21"/>
        </w:rPr>
        <w:t>如由于卖方未通知造成的损失，包括但不限于堆存费、箱使费等，买方有权在合同价格中扣除。</w:t>
      </w:r>
    </w:p>
    <w:p w14:paraId="74DEAEDD">
      <w:pPr>
        <w:spacing w:line="240" w:lineRule="auto"/>
        <w:ind w:left="360" w:hanging="360"/>
        <w:rPr>
          <w:rFonts w:eastAsia="仿宋" w:cs="Times New Roman"/>
          <w:szCs w:val="21"/>
        </w:rPr>
      </w:pPr>
    </w:p>
    <w:p w14:paraId="53BDEEC6">
      <w:pPr>
        <w:numPr>
          <w:ilvl w:val="1"/>
          <w:numId w:val="13"/>
        </w:numPr>
        <w:spacing w:line="240" w:lineRule="auto"/>
        <w:rPr>
          <w:rFonts w:eastAsia="仿宋" w:cs="Times New Roman"/>
          <w:szCs w:val="21"/>
        </w:rPr>
      </w:pPr>
      <w:r>
        <w:rPr>
          <w:rFonts w:eastAsia="仿宋" w:cs="Times New Roman"/>
          <w:szCs w:val="21"/>
        </w:rPr>
        <w:t>Vessels chartered by the Seller shall in all respects comply with all applicable rules, regulations and directions of governmental and port authorities at the loading / discharge port(s) and shall conform to all relevant international maritime laws, regulations and conventions.</w:t>
      </w:r>
    </w:p>
    <w:p w14:paraId="09A5069A">
      <w:pPr>
        <w:spacing w:line="240" w:lineRule="auto"/>
        <w:ind w:left="360"/>
        <w:rPr>
          <w:rFonts w:eastAsia="仿宋" w:cs="Times New Roman"/>
          <w:szCs w:val="21"/>
        </w:rPr>
      </w:pPr>
      <w:r>
        <w:rPr>
          <w:rFonts w:eastAsia="仿宋" w:cs="Times New Roman"/>
          <w:szCs w:val="21"/>
        </w:rPr>
        <w:t>卖方安排的运输船应完全</w:t>
      </w:r>
      <w:r>
        <w:rPr>
          <w:rFonts w:hint="eastAsia" w:eastAsia="仿宋" w:cs="Times New Roman"/>
          <w:szCs w:val="21"/>
        </w:rPr>
        <w:t>符合</w:t>
      </w:r>
      <w:r>
        <w:rPr>
          <w:rFonts w:eastAsia="仿宋" w:cs="Times New Roman"/>
          <w:szCs w:val="21"/>
        </w:rPr>
        <w:t>装/卸货港当地相关的法律法规</w:t>
      </w:r>
      <w:r>
        <w:rPr>
          <w:rFonts w:hint="eastAsia" w:eastAsia="仿宋" w:cs="Times New Roman"/>
          <w:szCs w:val="21"/>
        </w:rPr>
        <w:t>及</w:t>
      </w:r>
      <w:r>
        <w:rPr>
          <w:rFonts w:eastAsia="仿宋" w:cs="Times New Roman"/>
          <w:szCs w:val="21"/>
        </w:rPr>
        <w:t>有关的国际海运惯例、法律法规。</w:t>
      </w:r>
    </w:p>
    <w:p w14:paraId="12EF046F">
      <w:pPr>
        <w:spacing w:line="240" w:lineRule="auto"/>
        <w:ind w:left="210" w:hanging="210" w:hangingChars="100"/>
        <w:rPr>
          <w:rFonts w:eastAsia="仿宋" w:cs="Times New Roman"/>
          <w:szCs w:val="21"/>
        </w:rPr>
      </w:pPr>
      <w:r>
        <w:rPr>
          <w:rFonts w:eastAsia="仿宋" w:cs="Times New Roman"/>
          <w:szCs w:val="21"/>
        </w:rPr>
        <w:t xml:space="preserve">9.3 </w:t>
      </w:r>
      <w:r>
        <w:rPr>
          <w:rFonts w:hint="eastAsia" w:eastAsia="仿宋" w:cs="Times New Roman"/>
          <w:b/>
          <w:i/>
          <w:iCs/>
          <w:sz w:val="24"/>
          <w:szCs w:val="24"/>
        </w:rPr>
        <w:t>（CIF适用）</w:t>
      </w:r>
      <w:r>
        <w:rPr>
          <w:rFonts w:eastAsia="仿宋" w:cs="Times New Roman"/>
          <w:szCs w:val="21"/>
        </w:rPr>
        <w:t>The Seller shall guarantee for each container used for the transport of the Commodities 14 days of free detention at the destination port, otherwise the B</w:t>
      </w:r>
      <w:r>
        <w:rPr>
          <w:rFonts w:hint="eastAsia" w:eastAsia="仿宋" w:cs="Times New Roman"/>
          <w:szCs w:val="21"/>
        </w:rPr>
        <w:t>uy</w:t>
      </w:r>
      <w:r>
        <w:rPr>
          <w:rFonts w:eastAsia="仿宋" w:cs="Times New Roman"/>
          <w:szCs w:val="21"/>
        </w:rPr>
        <w:t>er have the right to deduct the container detention charges from the payment of the Contract Value.</w:t>
      </w:r>
    </w:p>
    <w:p w14:paraId="6B246B92">
      <w:pPr>
        <w:spacing w:line="240" w:lineRule="auto"/>
        <w:ind w:left="210" w:leftChars="100" w:firstLine="210" w:firstLineChars="100"/>
        <w:rPr>
          <w:rFonts w:eastAsia="仿宋" w:cs="Times New Roman"/>
          <w:szCs w:val="21"/>
        </w:rPr>
      </w:pPr>
      <w:r>
        <w:rPr>
          <w:rFonts w:hint="eastAsia" w:eastAsia="仿宋" w:cs="Times New Roman"/>
          <w:szCs w:val="21"/>
        </w:rPr>
        <w:t>卖方应保证每个用于运输货物的集装箱在目的港1</w:t>
      </w:r>
      <w:r>
        <w:rPr>
          <w:rFonts w:eastAsia="仿宋" w:cs="Times New Roman"/>
          <w:szCs w:val="21"/>
        </w:rPr>
        <w:t>4</w:t>
      </w:r>
      <w:r>
        <w:rPr>
          <w:rFonts w:hint="eastAsia" w:eastAsia="仿宋" w:cs="Times New Roman"/>
          <w:szCs w:val="21"/>
        </w:rPr>
        <w:t>天免箱期，否则买方有权在付款时扣除由此产生的箱使费。</w:t>
      </w:r>
    </w:p>
    <w:p w14:paraId="3514BD67">
      <w:pPr>
        <w:widowControl w:val="0"/>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20" w:hanging="420" w:hangingChars="200"/>
        <w:rPr>
          <w:rFonts w:ascii="Arial" w:hAnsi="Arial" w:eastAsia="楷体_GB2312"/>
          <w:szCs w:val="21"/>
        </w:rPr>
      </w:pPr>
      <w:r>
        <w:rPr>
          <w:rFonts w:ascii="Arial" w:hAnsi="Arial" w:eastAsia="楷体_GB2312"/>
          <w:szCs w:val="21"/>
        </w:rPr>
        <w:t xml:space="preserve">9.4 </w:t>
      </w:r>
      <w:r>
        <w:rPr>
          <w:rFonts w:hint="eastAsia" w:eastAsia="仿宋" w:cs="Times New Roman"/>
          <w:b/>
          <w:i/>
          <w:iCs/>
          <w:sz w:val="24"/>
          <w:szCs w:val="24"/>
        </w:rPr>
        <w:t>（EXW.FCA适用）</w:t>
      </w:r>
      <w:r>
        <w:rPr>
          <w:rFonts w:ascii="Arial" w:hAnsi="Arial" w:eastAsia="楷体_GB2312"/>
          <w:szCs w:val="21"/>
        </w:rPr>
        <w:t xml:space="preserve">The Seller shall </w:t>
      </w:r>
      <w:r>
        <w:rPr>
          <w:rFonts w:hint="eastAsia" w:ascii="Arial" w:hAnsi="Arial" w:eastAsia="楷体_GB2312"/>
          <w:szCs w:val="21"/>
        </w:rPr>
        <w:t xml:space="preserve">supply to the </w:t>
      </w:r>
      <w:r>
        <w:rPr>
          <w:rFonts w:ascii="Arial" w:hAnsi="Arial" w:eastAsia="楷体_GB2312"/>
          <w:szCs w:val="21"/>
        </w:rPr>
        <w:t>forwarder a</w:t>
      </w:r>
      <w:r>
        <w:rPr>
          <w:rFonts w:hint="eastAsia" w:ascii="Arial" w:hAnsi="Arial" w:eastAsia="楷体_GB2312"/>
          <w:szCs w:val="21"/>
        </w:rPr>
        <w:t>gent of the Buyer all the documents relate</w:t>
      </w:r>
      <w:r>
        <w:rPr>
          <w:rFonts w:ascii="Arial" w:hAnsi="Arial" w:eastAsia="楷体_GB2312"/>
          <w:szCs w:val="21"/>
        </w:rPr>
        <w:t>d to the</w:t>
      </w:r>
      <w:r>
        <w:rPr>
          <w:rFonts w:hint="eastAsia" w:ascii="Arial" w:hAnsi="Arial" w:eastAsia="楷体_GB2312"/>
          <w:szCs w:val="21"/>
        </w:rPr>
        <w:t xml:space="preserve"> </w:t>
      </w:r>
      <w:r>
        <w:rPr>
          <w:rFonts w:ascii="Arial" w:hAnsi="Arial" w:eastAsia="楷体_GB2312"/>
          <w:szCs w:val="21"/>
        </w:rPr>
        <w:t xml:space="preserve">export of the </w:t>
      </w:r>
      <w:r>
        <w:rPr>
          <w:rFonts w:eastAsia="仿宋" w:cs="Times New Roman"/>
          <w:szCs w:val="21"/>
        </w:rPr>
        <w:t>Commodities</w:t>
      </w:r>
      <w:r>
        <w:rPr>
          <w:rFonts w:ascii="Arial" w:hAnsi="Arial" w:eastAsia="楷体_GB2312"/>
          <w:szCs w:val="21"/>
        </w:rPr>
        <w:t xml:space="preserve">, and </w:t>
      </w:r>
      <w:r>
        <w:rPr>
          <w:rFonts w:hint="eastAsia" w:ascii="Arial" w:hAnsi="Arial" w:eastAsia="楷体_GB2312"/>
          <w:szCs w:val="21"/>
        </w:rPr>
        <w:t xml:space="preserve">will </w:t>
      </w:r>
      <w:r>
        <w:rPr>
          <w:rFonts w:ascii="Arial" w:hAnsi="Arial" w:eastAsia="楷体_GB2312"/>
          <w:szCs w:val="21"/>
        </w:rPr>
        <w:t>assist the agent if necessary</w:t>
      </w:r>
      <w:r>
        <w:rPr>
          <w:rFonts w:hint="eastAsia" w:ascii="Arial" w:hAnsi="Arial" w:eastAsia="楷体_GB2312"/>
          <w:szCs w:val="21"/>
        </w:rPr>
        <w:t xml:space="preserve"> .</w:t>
      </w:r>
    </w:p>
    <w:p w14:paraId="1E433132">
      <w:pPr>
        <w:widowControl w:val="0"/>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0" w:firstLineChars="200"/>
        <w:rPr>
          <w:rFonts w:eastAsia="仿宋" w:cs="Times New Roman"/>
          <w:b/>
          <w:i/>
          <w:iCs/>
          <w:sz w:val="24"/>
          <w:szCs w:val="24"/>
        </w:rPr>
      </w:pPr>
      <w:r>
        <w:rPr>
          <w:rFonts w:hint="eastAsia" w:ascii="Arial" w:eastAsia="楷体_GB2312"/>
          <w:szCs w:val="21"/>
        </w:rPr>
        <w:t>卖方应提供给买方货运代理人货物出口报关所需要的所有文件并在需要时给予帮助。</w:t>
      </w:r>
    </w:p>
    <w:p w14:paraId="0D9A3ADC">
      <w:pPr>
        <w:spacing w:line="240" w:lineRule="auto"/>
        <w:ind w:left="210" w:leftChars="100" w:firstLine="210" w:firstLineChars="100"/>
        <w:rPr>
          <w:rFonts w:eastAsia="仿宋" w:cs="Times New Roman"/>
          <w:szCs w:val="21"/>
        </w:rPr>
      </w:pPr>
    </w:p>
    <w:p w14:paraId="4A66CCBE">
      <w:pPr>
        <w:spacing w:line="240" w:lineRule="auto"/>
        <w:ind w:left="360" w:hanging="360"/>
        <w:rPr>
          <w:rFonts w:eastAsia="仿宋" w:cs="Times New Roman"/>
          <w:b/>
          <w:szCs w:val="21"/>
        </w:rPr>
      </w:pPr>
    </w:p>
    <w:p w14:paraId="41E3D6B4">
      <w:pPr>
        <w:spacing w:line="240" w:lineRule="auto"/>
        <w:ind w:left="426" w:hanging="426"/>
        <w:rPr>
          <w:rFonts w:eastAsia="仿宋" w:cs="Times New Roman"/>
          <w:b/>
          <w:sz w:val="24"/>
          <w:szCs w:val="24"/>
        </w:rPr>
      </w:pPr>
      <w:r>
        <w:rPr>
          <w:rFonts w:eastAsia="仿宋" w:cs="Times New Roman"/>
          <w:b/>
          <w:sz w:val="24"/>
          <w:szCs w:val="24"/>
          <w:lang w:eastAsia="zh-TW"/>
        </w:rPr>
        <w:t>10.</w:t>
      </w:r>
      <w:r>
        <w:rPr>
          <w:rFonts w:eastAsia="仿宋" w:cs="Times New Roman"/>
          <w:b/>
          <w:sz w:val="24"/>
          <w:szCs w:val="24"/>
          <w:lang w:eastAsia="zh-TW"/>
        </w:rPr>
        <w:tab/>
      </w:r>
      <w:r>
        <w:rPr>
          <w:rFonts w:eastAsia="仿宋" w:cs="Times New Roman"/>
          <w:b/>
          <w:sz w:val="24"/>
          <w:szCs w:val="24"/>
          <w:lang w:eastAsia="zh-TW"/>
        </w:rPr>
        <w:t>PRICE</w:t>
      </w:r>
      <w:r>
        <w:rPr>
          <w:rFonts w:eastAsia="仿宋" w:cs="Times New Roman"/>
          <w:b/>
          <w:sz w:val="24"/>
          <w:szCs w:val="24"/>
        </w:rPr>
        <w:t>价格</w:t>
      </w:r>
    </w:p>
    <w:p w14:paraId="506DDC1F">
      <w:pPr>
        <w:spacing w:line="240" w:lineRule="auto"/>
        <w:ind w:left="426" w:hanging="426"/>
        <w:rPr>
          <w:rFonts w:eastAsia="仿宋" w:cs="Times New Roman"/>
          <w:b/>
          <w:szCs w:val="21"/>
          <w:lang w:eastAsia="zh-TW"/>
        </w:rPr>
      </w:pPr>
    </w:p>
    <w:p w14:paraId="55FBAD51">
      <w:pPr>
        <w:spacing w:line="240" w:lineRule="auto"/>
        <w:ind w:left="479" w:leftChars="228"/>
        <w:rPr>
          <w:rFonts w:eastAsia="仿宋" w:cs="Times New Roman"/>
          <w:szCs w:val="21"/>
        </w:rPr>
      </w:pPr>
      <w:r>
        <w:rPr>
          <w:rFonts w:eastAsia="仿宋" w:cs="Times New Roman"/>
          <w:szCs w:val="21"/>
          <w:lang w:eastAsia="zh-TW"/>
        </w:rPr>
        <w:t>The total price of the Commodities under this Contract is</w:t>
      </w:r>
      <w:r>
        <w:rPr>
          <w:rFonts w:hint="eastAsia" w:eastAsia="仿宋" w:cs="Times New Roman"/>
          <w:szCs w:val="21"/>
        </w:rPr>
        <w:t>【】</w:t>
      </w:r>
    </w:p>
    <w:p w14:paraId="6D73F4D4">
      <w:pPr>
        <w:spacing w:line="240" w:lineRule="auto"/>
        <w:ind w:left="360" w:hanging="360"/>
        <w:rPr>
          <w:rFonts w:eastAsia="仿宋" w:cs="Times New Roman"/>
          <w:b/>
          <w:szCs w:val="21"/>
          <w:lang w:eastAsia="zh-TW"/>
        </w:rPr>
      </w:pPr>
    </w:p>
    <w:p w14:paraId="54D8013C">
      <w:pPr>
        <w:spacing w:line="240" w:lineRule="auto"/>
        <w:ind w:left="522" w:leftChars="222" w:hanging="56" w:hangingChars="27"/>
        <w:rPr>
          <w:rFonts w:eastAsia="仿宋" w:cs="Times New Roman"/>
          <w:szCs w:val="21"/>
        </w:rPr>
      </w:pPr>
      <w:r>
        <w:rPr>
          <w:rFonts w:eastAsia="仿宋" w:cs="Times New Roman"/>
          <w:szCs w:val="21"/>
        </w:rPr>
        <w:t>本合同项下的货物总价为</w:t>
      </w:r>
      <w:r>
        <w:rPr>
          <w:rFonts w:hint="eastAsia" w:eastAsia="仿宋" w:cs="Times New Roman"/>
          <w:szCs w:val="21"/>
        </w:rPr>
        <w:t>【】</w:t>
      </w:r>
      <w:r>
        <w:rPr>
          <w:rFonts w:eastAsia="仿宋" w:cs="Times New Roman"/>
          <w:szCs w:val="21"/>
        </w:rPr>
        <w:t>。</w:t>
      </w:r>
    </w:p>
    <w:p w14:paraId="15C6D590">
      <w:pPr>
        <w:spacing w:line="240" w:lineRule="auto"/>
        <w:ind w:left="415" w:leftChars="171" w:hanging="56" w:hangingChars="27"/>
        <w:rPr>
          <w:rFonts w:eastAsia="仿宋" w:cs="Times New Roman"/>
          <w:szCs w:val="21"/>
        </w:rPr>
      </w:pPr>
    </w:p>
    <w:p w14:paraId="2BEB1A34">
      <w:pPr>
        <w:spacing w:line="240" w:lineRule="auto"/>
        <w:ind w:left="426" w:hanging="426"/>
        <w:rPr>
          <w:rFonts w:eastAsia="仿宋" w:cs="Times New Roman"/>
          <w:szCs w:val="21"/>
        </w:rPr>
      </w:pPr>
    </w:p>
    <w:p w14:paraId="11BBB56F">
      <w:pPr>
        <w:spacing w:line="240" w:lineRule="auto"/>
        <w:ind w:left="360" w:hanging="360"/>
        <w:rPr>
          <w:rFonts w:eastAsia="仿宋" w:cs="Times New Roman"/>
          <w:i/>
          <w:iCs/>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建议</w:t>
      </w:r>
      <w:r>
        <w:rPr>
          <w:rFonts w:eastAsia="仿宋" w:cs="Times New Roman"/>
          <w:b/>
          <w:i/>
          <w:iCs/>
          <w:sz w:val="24"/>
          <w:szCs w:val="24"/>
        </w:rPr>
        <w:t>CIF/CIP</w:t>
      </w:r>
    </w:p>
    <w:p w14:paraId="2D98A013">
      <w:pPr>
        <w:spacing w:line="240" w:lineRule="auto"/>
        <w:rPr>
          <w:rFonts w:eastAsia="仿宋" w:cs="Times New Roman"/>
          <w:szCs w:val="21"/>
          <w:lang w:eastAsia="zh-TW"/>
        </w:rPr>
      </w:pPr>
    </w:p>
    <w:p w14:paraId="7D134C89">
      <w:pPr>
        <w:spacing w:line="240" w:lineRule="auto"/>
        <w:ind w:firstLine="420" w:firstLineChars="200"/>
        <w:rPr>
          <w:rFonts w:eastAsia="仿宋" w:cs="Times New Roman"/>
          <w:szCs w:val="21"/>
        </w:rPr>
      </w:pPr>
      <w:r>
        <w:rPr>
          <w:rFonts w:eastAsia="仿宋" w:cs="Times New Roman"/>
          <w:szCs w:val="21"/>
        </w:rPr>
        <w:t>Payment shall be made by the Buyer by installments as follows:</w:t>
      </w:r>
    </w:p>
    <w:p w14:paraId="36648E65">
      <w:pPr>
        <w:spacing w:line="240" w:lineRule="auto"/>
        <w:ind w:left="447" w:leftChars="213"/>
        <w:rPr>
          <w:rFonts w:eastAsia="仿宋" w:cs="Times New Roman"/>
          <w:szCs w:val="21"/>
        </w:rPr>
      </w:pPr>
      <w:r>
        <w:rPr>
          <w:rFonts w:eastAsia="仿宋" w:cs="Times New Roman"/>
          <w:szCs w:val="21"/>
        </w:rPr>
        <w:t>买方应根据如下方式分期支付货款：</w:t>
      </w:r>
    </w:p>
    <w:p w14:paraId="7F6DF55B">
      <w:pPr>
        <w:spacing w:line="240" w:lineRule="auto"/>
        <w:ind w:left="537" w:leftChars="171" w:hanging="178" w:hangingChars="85"/>
        <w:rPr>
          <w:rFonts w:eastAsia="仿宋" w:cs="Times New Roman"/>
          <w:szCs w:val="21"/>
          <w:lang w:eastAsia="zh-TW"/>
        </w:rPr>
      </w:pPr>
      <w:r>
        <w:rPr>
          <w:rFonts w:eastAsia="仿宋" w:cs="Times New Roman"/>
          <w:szCs w:val="21"/>
          <w:lang w:eastAsia="zh-TW"/>
        </w:rPr>
        <w:t>11</w:t>
      </w:r>
      <w:r>
        <w:rPr>
          <w:rFonts w:eastAsia="仿宋" w:cs="Times New Roman"/>
          <w:szCs w:val="21"/>
        </w:rPr>
        <w:t>.1</w:t>
      </w:r>
      <w:r>
        <w:rPr>
          <w:rFonts w:eastAsia="仿宋" w:cs="Times New Roman"/>
          <w:szCs w:val="21"/>
        </w:rPr>
        <w:tab/>
      </w:r>
      <w:r>
        <w:rPr>
          <w:rFonts w:eastAsia="仿宋" w:cs="Times New Roman"/>
          <w:szCs w:val="21"/>
          <w:u w:val="single"/>
          <w:lang w:eastAsia="zh-TW"/>
        </w:rPr>
        <w:t>Down Payment (</w:t>
      </w:r>
      <w:r>
        <w:rPr>
          <w:rFonts w:eastAsia="仿宋" w:cs="Times New Roman"/>
          <w:szCs w:val="21"/>
          <w:u w:val="single"/>
        </w:rPr>
        <w:t>10</w:t>
      </w:r>
      <w:r>
        <w:rPr>
          <w:rFonts w:eastAsia="仿宋" w:cs="Times New Roman"/>
          <w:szCs w:val="21"/>
          <w:u w:val="single"/>
          <w:lang w:eastAsia="zh-TW"/>
        </w:rPr>
        <w:t>%)</w:t>
      </w:r>
    </w:p>
    <w:p w14:paraId="2D00C287">
      <w:pPr>
        <w:spacing w:line="240" w:lineRule="auto"/>
        <w:ind w:left="567" w:leftChars="270" w:firstLine="210" w:firstLineChars="100"/>
        <w:rPr>
          <w:rFonts w:eastAsia="仿宋" w:cs="Times New Roman"/>
          <w:szCs w:val="21"/>
        </w:rPr>
      </w:pPr>
      <w:r>
        <w:rPr>
          <w:rFonts w:eastAsia="仿宋" w:cs="Times New Roman"/>
          <w:szCs w:val="21"/>
        </w:rPr>
        <w:t>预付款10%</w:t>
      </w:r>
    </w:p>
    <w:p w14:paraId="39B09C82">
      <w:pPr>
        <w:numPr>
          <w:ilvl w:val="0"/>
          <w:numId w:val="14"/>
        </w:numPr>
        <w:spacing w:line="240" w:lineRule="auto"/>
        <w:rPr>
          <w:rFonts w:eastAsia="仿宋" w:cs="Times New Roman"/>
          <w:szCs w:val="21"/>
          <w:lang w:eastAsia="zh-TW"/>
        </w:rPr>
      </w:pPr>
      <w:bookmarkStart w:id="47" w:name="OLE_LINK21"/>
      <w:r>
        <w:rPr>
          <w:rFonts w:eastAsia="仿宋" w:cs="Times New Roman"/>
          <w:szCs w:val="21"/>
        </w:rPr>
        <w:t>Ten percent (10%) of the total Contract Value, i.e.</w:t>
      </w:r>
      <w:r>
        <w:rPr>
          <w:rFonts w:eastAsia="仿宋" w:cs="Times New Roman"/>
          <w:b/>
          <w:bCs/>
          <w:szCs w:val="21"/>
        </w:rPr>
        <w:t xml:space="preserve"> </w:t>
      </w:r>
      <w:r>
        <w:rPr>
          <w:rFonts w:hint="eastAsia" w:eastAsia="仿宋" w:cs="Times New Roman"/>
          <w:szCs w:val="21"/>
        </w:rPr>
        <w:t>【】</w:t>
      </w:r>
      <w:r>
        <w:rPr>
          <w:rFonts w:eastAsia="仿宋" w:cs="Times New Roman"/>
          <w:szCs w:val="21"/>
        </w:rPr>
        <w:t xml:space="preserve">as down payment, </w:t>
      </w:r>
      <w:r>
        <w:rPr>
          <w:rFonts w:eastAsia="仿宋" w:cs="Times New Roman"/>
          <w:szCs w:val="21"/>
          <w:lang w:eastAsia="zh-TW"/>
        </w:rPr>
        <w:t xml:space="preserve">which </w:t>
      </w:r>
      <w:r>
        <w:rPr>
          <w:rFonts w:eastAsia="仿宋" w:cs="Times New Roman"/>
          <w:szCs w:val="21"/>
        </w:rPr>
        <w:t xml:space="preserve">shall be </w:t>
      </w:r>
      <w:r>
        <w:rPr>
          <w:rFonts w:eastAsia="仿宋" w:cs="Times New Roman"/>
          <w:szCs w:val="21"/>
          <w:lang w:eastAsia="zh-TW"/>
        </w:rPr>
        <w:t>made</w:t>
      </w:r>
      <w:r>
        <w:rPr>
          <w:rFonts w:eastAsia="仿宋" w:cs="Times New Roman"/>
          <w:szCs w:val="21"/>
        </w:rPr>
        <w:t xml:space="preserve"> by the Buyer to the Seller (“</w:t>
      </w:r>
      <w:r>
        <w:rPr>
          <w:rFonts w:eastAsia="仿宋" w:cs="Times New Roman"/>
          <w:b/>
          <w:szCs w:val="21"/>
        </w:rPr>
        <w:t>Down Payment</w:t>
      </w:r>
      <w:r>
        <w:rPr>
          <w:rFonts w:eastAsia="仿宋" w:cs="Times New Roman"/>
          <w:szCs w:val="21"/>
        </w:rPr>
        <w:t xml:space="preserve">”) by telegraphic transfer </w:t>
      </w:r>
      <w:r>
        <w:rPr>
          <w:rFonts w:eastAsia="仿宋" w:cs="Times New Roman"/>
          <w:szCs w:val="21"/>
          <w:lang w:eastAsia="zh-TW"/>
        </w:rPr>
        <w:t xml:space="preserve">within </w:t>
      </w:r>
      <w:r>
        <w:rPr>
          <w:rFonts w:eastAsia="仿宋" w:cs="Times New Roman"/>
          <w:szCs w:val="21"/>
        </w:rPr>
        <w:t>15</w:t>
      </w:r>
      <w:r>
        <w:rPr>
          <w:rFonts w:eastAsia="仿宋" w:cs="Times New Roman"/>
          <w:szCs w:val="21"/>
          <w:lang w:eastAsia="zh-TW"/>
        </w:rPr>
        <w:t xml:space="preserve"> days </w:t>
      </w:r>
      <w:r>
        <w:rPr>
          <w:rFonts w:eastAsia="仿宋" w:cs="Times New Roman"/>
          <w:szCs w:val="21"/>
        </w:rPr>
        <w:t>upon receipt of an unconditional and irrevocable Bank Guarantee for Down Payment</w:t>
      </w:r>
      <w:r>
        <w:rPr>
          <w:rFonts w:eastAsia="仿宋" w:cs="Times New Roman"/>
          <w:szCs w:val="21"/>
          <w:lang w:eastAsia="zh-TW"/>
        </w:rPr>
        <w:t xml:space="preserve"> that shall be issued</w:t>
      </w:r>
      <w:r>
        <w:rPr>
          <w:rFonts w:eastAsia="仿宋" w:cs="Times New Roman"/>
          <w:szCs w:val="21"/>
        </w:rPr>
        <w:t xml:space="preserve"> by the Seller as instructing party </w:t>
      </w:r>
      <w:r>
        <w:rPr>
          <w:rFonts w:eastAsia="仿宋" w:cs="Times New Roman"/>
          <w:szCs w:val="21"/>
          <w:lang w:eastAsia="zh-TW"/>
        </w:rPr>
        <w:t>in favour of the Buye</w:t>
      </w:r>
      <w:r>
        <w:rPr>
          <w:rFonts w:eastAsia="仿宋" w:cs="Times New Roman"/>
          <w:szCs w:val="21"/>
        </w:rPr>
        <w:t>r</w:t>
      </w:r>
      <w:r>
        <w:rPr>
          <w:rFonts w:hint="eastAsia" w:eastAsia="仿宋" w:cs="Times New Roman"/>
          <w:szCs w:val="21"/>
        </w:rPr>
        <w:t xml:space="preserve"> under</w:t>
      </w:r>
      <w:r>
        <w:rPr>
          <w:rFonts w:eastAsia="仿宋" w:cs="Times New Roman"/>
          <w:szCs w:val="21"/>
        </w:rPr>
        <w:t xml:space="preserve"> the ICC Uniform Rules for Demand Guarantees (URDG 758).</w:t>
      </w:r>
      <w:bookmarkEnd w:id="47"/>
      <w:r>
        <w:rPr>
          <w:rFonts w:eastAsia="仿宋" w:cs="Times New Roman"/>
          <w:szCs w:val="21"/>
          <w:lang w:eastAsia="zh-TW"/>
        </w:rPr>
        <w:t xml:space="preserve"> </w:t>
      </w:r>
    </w:p>
    <w:p w14:paraId="7F8660D5">
      <w:pPr>
        <w:spacing w:line="240" w:lineRule="auto"/>
        <w:ind w:left="735" w:leftChars="350"/>
        <w:rPr>
          <w:rFonts w:eastAsia="仿宋" w:cs="Times New Roman"/>
          <w:szCs w:val="21"/>
        </w:rPr>
      </w:pPr>
      <w:r>
        <w:rPr>
          <w:rFonts w:eastAsia="仿宋" w:cs="Times New Roman"/>
          <w:szCs w:val="21"/>
        </w:rPr>
        <w:t>买方在收到一份</w:t>
      </w:r>
      <w:r>
        <w:rPr>
          <w:rFonts w:hint="eastAsia" w:eastAsia="仿宋" w:cs="Times New Roman"/>
          <w:szCs w:val="21"/>
        </w:rPr>
        <w:t>卖方出具的适用于国际商会见索即付保函统一规则（URDG758）的，</w:t>
      </w:r>
      <w:r>
        <w:rPr>
          <w:rFonts w:eastAsia="仿宋" w:cs="Times New Roman"/>
          <w:szCs w:val="21"/>
        </w:rPr>
        <w:t xml:space="preserve">以买方为受益人的无条件不可撤销银行预付款保函后15天内，通过电汇方式将合同总额的10% </w:t>
      </w:r>
      <w:r>
        <w:rPr>
          <w:rFonts w:hint="eastAsia" w:eastAsia="仿宋" w:cs="Times New Roman"/>
          <w:szCs w:val="21"/>
        </w:rPr>
        <w:t>（下称“预付款”）</w:t>
      </w:r>
      <w:r>
        <w:rPr>
          <w:rFonts w:eastAsia="仿宋" w:cs="Times New Roman"/>
          <w:szCs w:val="21"/>
        </w:rPr>
        <w:t>即</w:t>
      </w:r>
      <w:r>
        <w:rPr>
          <w:rFonts w:hint="eastAsia" w:eastAsia="仿宋" w:cs="Times New Roman"/>
          <w:szCs w:val="21"/>
        </w:rPr>
        <w:t>【】</w:t>
      </w:r>
      <w:r>
        <w:rPr>
          <w:rFonts w:eastAsia="仿宋" w:cs="Times New Roman"/>
          <w:szCs w:val="21"/>
        </w:rPr>
        <w:t>作为预付款支付给卖方。</w:t>
      </w:r>
    </w:p>
    <w:p w14:paraId="76846548">
      <w:pPr>
        <w:numPr>
          <w:ilvl w:val="0"/>
          <w:numId w:val="14"/>
        </w:numPr>
        <w:spacing w:line="240" w:lineRule="auto"/>
        <w:rPr>
          <w:rFonts w:eastAsia="仿宋" w:cs="Times New Roman"/>
          <w:szCs w:val="21"/>
          <w:lang w:eastAsia="zh-TW"/>
        </w:rPr>
      </w:pPr>
      <w:r>
        <w:rPr>
          <w:rFonts w:eastAsia="仿宋" w:cs="Times New Roman"/>
          <w:szCs w:val="21"/>
        </w:rPr>
        <w:t xml:space="preserve">The draft of the Bank Guarantee for Down Payment should be confirmed by the </w:t>
      </w:r>
      <w:r>
        <w:rPr>
          <w:rFonts w:hint="eastAsia" w:eastAsia="仿宋" w:cs="Times New Roman"/>
          <w:szCs w:val="21"/>
        </w:rPr>
        <w:t>B</w:t>
      </w:r>
      <w:r>
        <w:rPr>
          <w:rFonts w:eastAsia="仿宋" w:cs="Times New Roman"/>
          <w:szCs w:val="21"/>
        </w:rPr>
        <w:t xml:space="preserve">uyer in advance within 5 days after receiving the draft. The Bank Guarantee </w:t>
      </w:r>
      <w:r>
        <w:rPr>
          <w:rFonts w:eastAsia="仿宋" w:cs="Times New Roman"/>
          <w:szCs w:val="21"/>
          <w:lang w:eastAsia="zh-TW"/>
        </w:rPr>
        <w:t xml:space="preserve">shall </w:t>
      </w:r>
      <w:r>
        <w:rPr>
          <w:rFonts w:hint="eastAsia" w:eastAsia="仿宋" w:cs="Times New Roman"/>
          <w:szCs w:val="21"/>
        </w:rPr>
        <w:t>(i</w:t>
      </w:r>
      <w:r>
        <w:rPr>
          <w:rFonts w:eastAsia="仿宋" w:cs="Times New Roman"/>
          <w:szCs w:val="21"/>
          <w:lang w:eastAsia="zh-TW"/>
        </w:rPr>
        <w:t xml:space="preserve">) be received by the Buyer </w:t>
      </w:r>
      <w:r>
        <w:rPr>
          <w:rFonts w:eastAsia="仿宋" w:cs="Times New Roman"/>
          <w:szCs w:val="21"/>
        </w:rPr>
        <w:t xml:space="preserve">within fifteen (15) days after </w:t>
      </w:r>
      <w:r>
        <w:rPr>
          <w:rFonts w:eastAsia="仿宋" w:cs="Times New Roman"/>
          <w:szCs w:val="21"/>
          <w:lang w:eastAsia="zh-TW"/>
        </w:rPr>
        <w:t>the</w:t>
      </w:r>
      <w:r>
        <w:rPr>
          <w:rFonts w:eastAsia="仿宋" w:cs="Times New Roman"/>
          <w:szCs w:val="21"/>
        </w:rPr>
        <w:t xml:space="preserve"> execution</w:t>
      </w:r>
      <w:r>
        <w:rPr>
          <w:rFonts w:eastAsia="仿宋" w:cs="Times New Roman"/>
          <w:szCs w:val="21"/>
          <w:lang w:eastAsia="zh-TW"/>
        </w:rPr>
        <w:t xml:space="preserve"> date of this</w:t>
      </w:r>
      <w:r>
        <w:rPr>
          <w:rFonts w:eastAsia="仿宋" w:cs="Times New Roman"/>
          <w:szCs w:val="21"/>
        </w:rPr>
        <w:t xml:space="preserve"> </w:t>
      </w:r>
      <w:r>
        <w:rPr>
          <w:rFonts w:eastAsia="仿宋" w:cs="Times New Roman"/>
          <w:szCs w:val="21"/>
          <w:lang w:eastAsia="zh-TW"/>
        </w:rPr>
        <w:t>C</w:t>
      </w:r>
      <w:r>
        <w:rPr>
          <w:rFonts w:eastAsia="仿宋" w:cs="Times New Roman"/>
          <w:szCs w:val="21"/>
        </w:rPr>
        <w:t>ontract</w:t>
      </w:r>
      <w:r>
        <w:rPr>
          <w:rFonts w:eastAsia="仿宋" w:cs="Times New Roman"/>
          <w:szCs w:val="21"/>
          <w:lang w:eastAsia="zh-TW"/>
        </w:rPr>
        <w:t>; and (</w:t>
      </w:r>
      <w:r>
        <w:rPr>
          <w:rFonts w:hint="eastAsia" w:eastAsia="仿宋" w:cs="Times New Roman"/>
          <w:szCs w:val="21"/>
        </w:rPr>
        <w:t>ii</w:t>
      </w:r>
      <w:r>
        <w:rPr>
          <w:rFonts w:eastAsia="仿宋" w:cs="Times New Roman"/>
          <w:szCs w:val="21"/>
          <w:lang w:eastAsia="zh-TW"/>
        </w:rPr>
        <w:t xml:space="preserve">) be valid until </w:t>
      </w:r>
      <w:r>
        <w:rPr>
          <w:rFonts w:hint="eastAsia" w:eastAsia="仿宋" w:cs="Times New Roman"/>
          <w:szCs w:val="21"/>
        </w:rPr>
        <w:t>【】</w:t>
      </w:r>
      <w:r>
        <w:rPr>
          <w:rFonts w:eastAsia="仿宋" w:cs="Times New Roman"/>
          <w:szCs w:val="21"/>
          <w:lang w:eastAsia="zh-TW"/>
        </w:rPr>
        <w:t>.</w:t>
      </w:r>
      <w:r>
        <w:rPr>
          <w:rFonts w:eastAsia="仿宋" w:cs="Times New Roman"/>
          <w:szCs w:val="21"/>
        </w:rPr>
        <w:t xml:space="preserve"> In the event that the shipment is postponed, the </w:t>
      </w:r>
      <w:r>
        <w:rPr>
          <w:rFonts w:hint="eastAsia" w:eastAsia="仿宋" w:cs="Times New Roman"/>
          <w:szCs w:val="21"/>
        </w:rPr>
        <w:t>S</w:t>
      </w:r>
      <w:r>
        <w:rPr>
          <w:rFonts w:eastAsia="仿宋" w:cs="Times New Roman"/>
          <w:szCs w:val="21"/>
        </w:rPr>
        <w:t>eller should extend this valid period of Guarantee correspondingly.</w:t>
      </w:r>
    </w:p>
    <w:p w14:paraId="05A79ECB">
      <w:pPr>
        <w:spacing w:line="240" w:lineRule="auto"/>
        <w:ind w:left="735" w:leftChars="350"/>
        <w:rPr>
          <w:rFonts w:eastAsia="仿宋" w:cs="Times New Roman"/>
          <w:szCs w:val="21"/>
        </w:rPr>
      </w:pPr>
      <w:r>
        <w:rPr>
          <w:rFonts w:eastAsia="仿宋" w:cs="Times New Roman"/>
          <w:szCs w:val="21"/>
        </w:rPr>
        <w:t>预付款银行保函草稿应由买方收到后5天内确认完毕，该银行保函（</w:t>
      </w:r>
      <w:r>
        <w:rPr>
          <w:rFonts w:hint="eastAsia" w:eastAsia="仿宋" w:cs="Times New Roman"/>
          <w:szCs w:val="21"/>
        </w:rPr>
        <w:t>i</w:t>
      </w:r>
      <w:r>
        <w:rPr>
          <w:rFonts w:eastAsia="仿宋" w:cs="Times New Roman"/>
          <w:szCs w:val="21"/>
        </w:rPr>
        <w:t>）</w:t>
      </w:r>
      <w:r>
        <w:rPr>
          <w:rFonts w:hint="eastAsia" w:eastAsia="仿宋" w:cs="Times New Roman"/>
          <w:szCs w:val="21"/>
        </w:rPr>
        <w:t>应于</w:t>
      </w:r>
      <w:r>
        <w:rPr>
          <w:rFonts w:eastAsia="仿宋" w:cs="Times New Roman"/>
          <w:szCs w:val="21"/>
        </w:rPr>
        <w:t>本合同签订后15天内送达买方，和(</w:t>
      </w:r>
      <w:r>
        <w:rPr>
          <w:rFonts w:hint="eastAsia" w:eastAsia="仿宋" w:cs="Times New Roman"/>
          <w:szCs w:val="21"/>
        </w:rPr>
        <w:t>ii</w:t>
      </w:r>
      <w:r>
        <w:rPr>
          <w:rFonts w:eastAsia="仿宋" w:cs="Times New Roman"/>
          <w:szCs w:val="21"/>
        </w:rPr>
        <w:t>) 有效期截止</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日，若交货延期，卖方应相应延长保函的有效期。</w:t>
      </w:r>
    </w:p>
    <w:p w14:paraId="38015A09">
      <w:pPr>
        <w:spacing w:line="240" w:lineRule="auto"/>
        <w:ind w:left="522" w:leftChars="114" w:hanging="283" w:hangingChars="135"/>
        <w:rPr>
          <w:rFonts w:eastAsia="仿宋" w:cs="Times New Roman"/>
          <w:szCs w:val="21"/>
          <w:lang w:eastAsia="zh-TW"/>
        </w:rPr>
      </w:pPr>
      <w:r>
        <w:rPr>
          <w:rFonts w:eastAsia="仿宋" w:cs="Times New Roman"/>
          <w:szCs w:val="21"/>
          <w:lang w:eastAsia="zh-TW"/>
        </w:rPr>
        <w:t>11.2</w:t>
      </w:r>
      <w:r>
        <w:rPr>
          <w:rFonts w:eastAsia="仿宋" w:cs="Times New Roman"/>
          <w:szCs w:val="21"/>
          <w:lang w:eastAsia="zh-TW"/>
        </w:rPr>
        <w:tab/>
      </w:r>
      <w:r>
        <w:rPr>
          <w:rFonts w:eastAsia="仿宋" w:cs="Times New Roman"/>
          <w:szCs w:val="21"/>
          <w:u w:val="single"/>
          <w:lang w:eastAsia="zh-TW"/>
        </w:rPr>
        <w:t>Remaining Payment (</w:t>
      </w:r>
      <w:r>
        <w:rPr>
          <w:rFonts w:eastAsia="仿宋" w:cs="Times New Roman"/>
          <w:szCs w:val="21"/>
          <w:u w:val="single"/>
        </w:rPr>
        <w:t>90</w:t>
      </w:r>
      <w:r>
        <w:rPr>
          <w:rFonts w:eastAsia="仿宋" w:cs="Times New Roman"/>
          <w:szCs w:val="21"/>
          <w:u w:val="single"/>
          <w:lang w:eastAsia="zh-TW"/>
        </w:rPr>
        <w:t>%)</w:t>
      </w:r>
    </w:p>
    <w:p w14:paraId="693AEA2E">
      <w:pPr>
        <w:spacing w:line="240" w:lineRule="auto"/>
        <w:rPr>
          <w:rFonts w:eastAsia="仿宋" w:cs="Times New Roman"/>
          <w:szCs w:val="21"/>
        </w:rPr>
      </w:pPr>
      <w:r>
        <w:rPr>
          <w:rFonts w:eastAsia="仿宋" w:cs="Times New Roman"/>
          <w:szCs w:val="21"/>
          <w:lang w:eastAsia="zh-TW"/>
        </w:rPr>
        <w:tab/>
      </w:r>
      <w:r>
        <w:rPr>
          <w:rFonts w:eastAsia="仿宋" w:cs="Times New Roman"/>
          <w:szCs w:val="21"/>
        </w:rPr>
        <w:t xml:space="preserve">    90%货款</w:t>
      </w:r>
    </w:p>
    <w:p w14:paraId="12BD7BD0">
      <w:pPr>
        <w:spacing w:line="240" w:lineRule="auto"/>
        <w:rPr>
          <w:rFonts w:eastAsia="仿宋" w:cs="Times New Roman"/>
          <w:szCs w:val="21"/>
        </w:rPr>
      </w:pPr>
    </w:p>
    <w:p w14:paraId="51B3180E">
      <w:pPr>
        <w:spacing w:line="240" w:lineRule="auto"/>
        <w:ind w:left="720"/>
        <w:rPr>
          <w:rFonts w:eastAsia="仿宋" w:cs="Times New Roman"/>
          <w:szCs w:val="21"/>
        </w:rPr>
      </w:pPr>
      <w:r>
        <w:rPr>
          <w:rFonts w:eastAsia="仿宋" w:cs="Times New Roman"/>
          <w:szCs w:val="21"/>
        </w:rPr>
        <w:t xml:space="preserve">No less than thirty (30) calendar days prior to the time of shipment, the Buyer shall open an unconfirmed irrevocable Letter of Credit ("L/C") with one first class bank of </w:t>
      </w:r>
      <w:r>
        <w:rPr>
          <w:rFonts w:hint="eastAsia" w:eastAsia="仿宋" w:cs="Times New Roman"/>
          <w:szCs w:val="21"/>
        </w:rPr>
        <w:t>the PRC</w:t>
      </w:r>
      <w:r>
        <w:rPr>
          <w:rFonts w:eastAsia="仿宋" w:cs="Times New Roman"/>
          <w:szCs w:val="21"/>
        </w:rPr>
        <w:t xml:space="preserve">, for a sum of ninety percent (90%) of total Contract Value, i.e. </w:t>
      </w:r>
      <w:r>
        <w:rPr>
          <w:rFonts w:hint="eastAsia" w:eastAsia="仿宋" w:cs="Times New Roman"/>
          <w:szCs w:val="21"/>
        </w:rPr>
        <w:t>【】</w:t>
      </w:r>
      <w:r>
        <w:rPr>
          <w:rFonts w:eastAsia="仿宋" w:cs="Times New Roman"/>
          <w:szCs w:val="21"/>
        </w:rPr>
        <w:t xml:space="preserve"> in favour of the Seller and valid for twenty-one (21) calendar days after Final Acceptance. The draft of L/C should be sent to the Seller 7 days before its official issue date.</w:t>
      </w:r>
    </w:p>
    <w:p w14:paraId="134C5A8E">
      <w:pPr>
        <w:spacing w:line="240" w:lineRule="auto"/>
        <w:ind w:left="720"/>
        <w:rPr>
          <w:rFonts w:eastAsia="仿宋" w:cs="Times New Roman"/>
          <w:szCs w:val="21"/>
        </w:rPr>
      </w:pPr>
      <w:r>
        <w:rPr>
          <w:rFonts w:eastAsia="仿宋" w:cs="Times New Roman"/>
          <w:szCs w:val="21"/>
        </w:rPr>
        <w:t>买方应在发货前</w:t>
      </w:r>
      <w:r>
        <w:rPr>
          <w:rFonts w:hint="eastAsia" w:eastAsia="仿宋" w:cs="Times New Roman"/>
          <w:szCs w:val="21"/>
        </w:rPr>
        <w:t>不少于</w:t>
      </w:r>
      <w:r>
        <w:rPr>
          <w:rFonts w:eastAsia="仿宋" w:cs="Times New Roman"/>
          <w:szCs w:val="21"/>
        </w:rPr>
        <w:t>30个日历日前在中国境内的一家一流银行开立一个以卖方为受益人的不可撤销</w:t>
      </w:r>
      <w:r>
        <w:rPr>
          <w:rFonts w:hint="eastAsia" w:eastAsia="仿宋" w:cs="Times New Roman"/>
          <w:szCs w:val="21"/>
        </w:rPr>
        <w:t>非保兑</w:t>
      </w:r>
      <w:r>
        <w:rPr>
          <w:rFonts w:eastAsia="仿宋" w:cs="Times New Roman"/>
          <w:szCs w:val="21"/>
        </w:rPr>
        <w:t>信用证，开证金额为合同全部金额的90%</w:t>
      </w:r>
      <w:r>
        <w:rPr>
          <w:rFonts w:hint="eastAsia" w:eastAsia="仿宋" w:cs="Times New Roman"/>
          <w:szCs w:val="21"/>
        </w:rPr>
        <w:t>，</w:t>
      </w:r>
      <w:r>
        <w:rPr>
          <w:rFonts w:eastAsia="仿宋" w:cs="Times New Roman"/>
          <w:szCs w:val="21"/>
        </w:rPr>
        <w:t>即</w:t>
      </w:r>
      <w:r>
        <w:rPr>
          <w:rFonts w:hint="eastAsia" w:eastAsia="仿宋" w:cs="Times New Roman"/>
          <w:szCs w:val="21"/>
        </w:rPr>
        <w:t>【】</w:t>
      </w:r>
      <w:r>
        <w:rPr>
          <w:rFonts w:eastAsia="仿宋" w:cs="Times New Roman"/>
          <w:szCs w:val="21"/>
        </w:rPr>
        <w:t>，信用证有效期为</w:t>
      </w:r>
      <w:r>
        <w:rPr>
          <w:rFonts w:hint="eastAsia" w:eastAsia="仿宋" w:cs="Times New Roman"/>
          <w:szCs w:val="21"/>
        </w:rPr>
        <w:t>最终</w:t>
      </w:r>
      <w:r>
        <w:rPr>
          <w:rFonts w:eastAsia="仿宋" w:cs="Times New Roman"/>
          <w:szCs w:val="21"/>
        </w:rPr>
        <w:t>验收日期后21天。信用证草稿应在</w:t>
      </w:r>
      <w:r>
        <w:rPr>
          <w:rFonts w:hint="eastAsia" w:eastAsia="仿宋" w:cs="Times New Roman"/>
          <w:szCs w:val="21"/>
        </w:rPr>
        <w:t>正式</w:t>
      </w:r>
      <w:r>
        <w:rPr>
          <w:rFonts w:eastAsia="仿宋" w:cs="Times New Roman"/>
          <w:szCs w:val="21"/>
        </w:rPr>
        <w:t>开证前7天发送给卖方。</w:t>
      </w:r>
    </w:p>
    <w:p w14:paraId="1ADAF863">
      <w:pPr>
        <w:numPr>
          <w:ilvl w:val="0"/>
          <w:numId w:val="15"/>
        </w:numPr>
        <w:spacing w:line="240" w:lineRule="auto"/>
        <w:rPr>
          <w:rFonts w:eastAsia="仿宋" w:cs="Times New Roman"/>
          <w:szCs w:val="21"/>
        </w:rPr>
      </w:pPr>
      <w:r>
        <w:rPr>
          <w:rFonts w:eastAsia="仿宋" w:cs="Times New Roman"/>
          <w:szCs w:val="21"/>
        </w:rPr>
        <w:t>Eighty percent (80%) of shipment value, i.e.</w:t>
      </w:r>
      <w:r>
        <w:rPr>
          <w:rFonts w:eastAsia="仿宋" w:cs="Times New Roman"/>
          <w:szCs w:val="21"/>
          <w:u w:val="single"/>
        </w:rPr>
        <w:t xml:space="preserve"> </w:t>
      </w:r>
      <w:r>
        <w:rPr>
          <w:rFonts w:hint="eastAsia" w:eastAsia="仿宋" w:cs="Times New Roman"/>
          <w:szCs w:val="21"/>
        </w:rPr>
        <w:t>【】</w:t>
      </w:r>
      <w:r>
        <w:rPr>
          <w:rFonts w:eastAsia="仿宋" w:cs="Times New Roman"/>
          <w:szCs w:val="21"/>
          <w:u w:val="single"/>
        </w:rPr>
        <w:t xml:space="preserve"> </w:t>
      </w:r>
      <w:r>
        <w:rPr>
          <w:rFonts w:eastAsia="仿宋" w:cs="Times New Roman"/>
          <w:szCs w:val="21"/>
        </w:rPr>
        <w:t>shall be paid by the Buyer to the Seller against the following documents:</w:t>
      </w:r>
    </w:p>
    <w:p w14:paraId="386677EC">
      <w:pPr>
        <w:spacing w:line="240" w:lineRule="auto"/>
        <w:ind w:firstLine="840" w:firstLineChars="400"/>
        <w:rPr>
          <w:rFonts w:eastAsia="仿宋" w:cs="Times New Roman"/>
          <w:szCs w:val="21"/>
        </w:rPr>
      </w:pPr>
      <w:r>
        <w:rPr>
          <w:rFonts w:eastAsia="仿宋" w:cs="Times New Roman"/>
          <w:szCs w:val="21"/>
        </w:rPr>
        <w:t>在</w:t>
      </w:r>
      <w:r>
        <w:rPr>
          <w:rFonts w:hint="eastAsia" w:eastAsia="仿宋" w:cs="Times New Roman"/>
          <w:szCs w:val="21"/>
        </w:rPr>
        <w:t>具备以下单据后，</w:t>
      </w:r>
      <w:r>
        <w:rPr>
          <w:rFonts w:eastAsia="仿宋" w:cs="Times New Roman"/>
          <w:szCs w:val="21"/>
        </w:rPr>
        <w:t>买方应将</w:t>
      </w:r>
      <w:r>
        <w:rPr>
          <w:rFonts w:hint="eastAsia" w:eastAsia="仿宋" w:cs="Times New Roman"/>
          <w:szCs w:val="21"/>
        </w:rPr>
        <w:t>交货</w:t>
      </w:r>
      <w:r>
        <w:rPr>
          <w:rFonts w:eastAsia="仿宋" w:cs="Times New Roman"/>
          <w:szCs w:val="21"/>
        </w:rPr>
        <w:t>金额的80%即</w:t>
      </w:r>
      <w:r>
        <w:rPr>
          <w:rFonts w:hint="eastAsia" w:eastAsia="仿宋" w:cs="Times New Roman"/>
          <w:szCs w:val="21"/>
        </w:rPr>
        <w:t>【】</w:t>
      </w:r>
      <w:r>
        <w:rPr>
          <w:rFonts w:eastAsia="仿宋" w:cs="Times New Roman"/>
          <w:szCs w:val="21"/>
        </w:rPr>
        <w:t>支付给卖方</w:t>
      </w:r>
      <w:r>
        <w:rPr>
          <w:rFonts w:hint="eastAsia" w:eastAsia="仿宋" w:cs="Times New Roman"/>
          <w:szCs w:val="21"/>
        </w:rPr>
        <w:t>：</w:t>
      </w:r>
    </w:p>
    <w:p w14:paraId="7D57516D">
      <w:pPr>
        <w:numPr>
          <w:ilvl w:val="0"/>
          <w:numId w:val="16"/>
        </w:numPr>
        <w:spacing w:line="240" w:lineRule="auto"/>
        <w:ind w:left="750" w:leftChars="357"/>
        <w:rPr>
          <w:rFonts w:eastAsia="仿宋" w:cs="Times New Roman"/>
          <w:szCs w:val="21"/>
        </w:rPr>
      </w:pPr>
      <w:r>
        <w:rPr>
          <w:rFonts w:eastAsia="仿宋" w:cs="Times New Roman"/>
          <w:szCs w:val="21"/>
        </w:rPr>
        <w:t>The pre-acceptance report (“</w:t>
      </w:r>
      <w:r>
        <w:rPr>
          <w:rFonts w:eastAsia="仿宋" w:cs="Times New Roman"/>
          <w:szCs w:val="21"/>
          <w:lang w:val="en-GB"/>
        </w:rPr>
        <w:t>Pre-Acceptance Report</w:t>
      </w:r>
      <w:r>
        <w:rPr>
          <w:rFonts w:eastAsia="仿宋" w:cs="Times New Roman"/>
          <w:szCs w:val="21"/>
        </w:rPr>
        <w:t xml:space="preserve">”) shall be signed by the </w:t>
      </w:r>
      <w:bookmarkStart w:id="48" w:name="OLE_LINK27"/>
      <w:r>
        <w:rPr>
          <w:rFonts w:eastAsia="仿宋" w:cs="Times New Roman"/>
          <w:szCs w:val="21"/>
        </w:rPr>
        <w:t>Seller and the End User</w:t>
      </w:r>
      <w:bookmarkEnd w:id="48"/>
      <w:r>
        <w:rPr>
          <w:rFonts w:eastAsia="仿宋" w:cs="Times New Roman"/>
          <w:szCs w:val="21"/>
        </w:rPr>
        <w:t xml:space="preserve"> in accordance with </w:t>
      </w:r>
      <w:r>
        <w:rPr>
          <w:rFonts w:hint="eastAsia" w:eastAsia="仿宋" w:cs="Times New Roman"/>
          <w:szCs w:val="21"/>
        </w:rPr>
        <w:t xml:space="preserve">this Contract and </w:t>
      </w:r>
      <w:r>
        <w:rPr>
          <w:rFonts w:eastAsia="仿宋" w:cs="Times New Roman"/>
          <w:szCs w:val="21"/>
        </w:rPr>
        <w:t>the Technical Agreement</w:t>
      </w:r>
      <w:r>
        <w:rPr>
          <w:rFonts w:hint="eastAsia" w:eastAsia="仿宋" w:cs="Times New Roman"/>
          <w:szCs w:val="21"/>
        </w:rPr>
        <w:t>;</w:t>
      </w:r>
    </w:p>
    <w:p w14:paraId="6375650C">
      <w:pPr>
        <w:tabs>
          <w:tab w:val="left" w:pos="1134"/>
        </w:tabs>
        <w:spacing w:line="240" w:lineRule="auto"/>
        <w:ind w:left="945" w:leftChars="400" w:hanging="105" w:hangingChars="50"/>
        <w:rPr>
          <w:rFonts w:eastAsia="仿宋" w:cs="Times New Roman"/>
          <w:szCs w:val="21"/>
        </w:rPr>
      </w:pPr>
      <w:r>
        <w:rPr>
          <w:rFonts w:hint="eastAsia" w:eastAsia="仿宋" w:cs="Times New Roman"/>
          <w:szCs w:val="21"/>
        </w:rPr>
        <w:t>卖方和最终用户根据本合同及《技术协议》签署的预验收报告（“《预验收报告》”）；</w:t>
      </w:r>
    </w:p>
    <w:p w14:paraId="3CDF9A04">
      <w:pPr>
        <w:numPr>
          <w:ilvl w:val="0"/>
          <w:numId w:val="16"/>
        </w:numPr>
        <w:spacing w:line="240" w:lineRule="auto"/>
        <w:ind w:left="750" w:leftChars="357"/>
        <w:rPr>
          <w:rFonts w:eastAsia="仿宋" w:cs="Times New Roman"/>
          <w:szCs w:val="21"/>
        </w:rPr>
      </w:pPr>
      <w:r>
        <w:t>the Seller’s draft(s) drawn at sight on the L/C opening bank for 80% invoice value of this item</w:t>
      </w:r>
      <w:r>
        <w:rPr>
          <w:rFonts w:hint="eastAsia"/>
        </w:rPr>
        <w:t>；</w:t>
      </w:r>
      <w:r>
        <w:t xml:space="preserve"> </w:t>
      </w:r>
    </w:p>
    <w:p w14:paraId="63A7D0DB">
      <w:pPr>
        <w:numPr>
          <w:ilvl w:val="0"/>
          <w:numId w:val="16"/>
        </w:numPr>
        <w:spacing w:line="240" w:lineRule="auto"/>
        <w:ind w:left="750" w:leftChars="357"/>
        <w:rPr>
          <w:rFonts w:eastAsia="仿宋" w:cs="Times New Roman"/>
          <w:szCs w:val="21"/>
        </w:rPr>
      </w:pPr>
      <w:r>
        <w:rPr>
          <w:rFonts w:hint="eastAsia" w:eastAsia="仿宋" w:cs="Times New Roman"/>
          <w:szCs w:val="21"/>
        </w:rPr>
        <w:t xml:space="preserve">   卖</w:t>
      </w:r>
      <w:r>
        <w:rPr>
          <w:rFonts w:eastAsia="仿宋" w:cs="Times New Roman"/>
          <w:szCs w:val="21"/>
        </w:rPr>
        <w:t>方通过向开证行提交</w:t>
      </w:r>
      <w:r>
        <w:rPr>
          <w:rFonts w:hint="eastAsia" w:eastAsia="仿宋" w:cs="Times New Roman"/>
          <w:szCs w:val="21"/>
        </w:rPr>
        <w:t>交货</w:t>
      </w:r>
      <w:r>
        <w:rPr>
          <w:rFonts w:eastAsia="仿宋" w:cs="Times New Roman"/>
          <w:szCs w:val="21"/>
        </w:rPr>
        <w:t>金额80%的即期汇票</w:t>
      </w:r>
      <w:r>
        <w:rPr>
          <w:rFonts w:hint="eastAsia" w:eastAsia="仿宋" w:cs="Times New Roman"/>
          <w:szCs w:val="21"/>
        </w:rPr>
        <w:t>；</w:t>
      </w:r>
    </w:p>
    <w:p w14:paraId="4AE6CD15">
      <w:pPr>
        <w:numPr>
          <w:ilvl w:val="0"/>
          <w:numId w:val="16"/>
        </w:numPr>
        <w:spacing w:line="240" w:lineRule="auto"/>
        <w:ind w:left="750" w:leftChars="357"/>
        <w:rPr>
          <w:rFonts w:eastAsia="仿宋" w:cs="Times New Roman"/>
          <w:szCs w:val="21"/>
        </w:rPr>
      </w:pPr>
      <w:r>
        <w:rPr>
          <w:rFonts w:eastAsia="仿宋" w:cs="Times New Roman"/>
          <w:szCs w:val="21"/>
        </w:rPr>
        <w:t>the shipping documents specified in the Article 12</w:t>
      </w:r>
      <w:r>
        <w:rPr>
          <w:rFonts w:hint="eastAsia" w:eastAsia="仿宋" w:cs="Times New Roman"/>
          <w:szCs w:val="21"/>
        </w:rPr>
        <w:t xml:space="preserve"> </w:t>
      </w:r>
      <w:r>
        <w:rPr>
          <w:rFonts w:eastAsia="仿宋" w:cs="Times New Roman"/>
          <w:szCs w:val="21"/>
        </w:rPr>
        <w:t>below.</w:t>
      </w:r>
    </w:p>
    <w:p w14:paraId="3F0C6E3C">
      <w:pPr>
        <w:tabs>
          <w:tab w:val="left" w:pos="1134"/>
        </w:tabs>
        <w:spacing w:line="240" w:lineRule="auto"/>
        <w:ind w:left="945" w:hanging="945" w:hangingChars="450"/>
        <w:rPr>
          <w:rFonts w:eastAsia="仿宋" w:cs="Times New Roman"/>
          <w:szCs w:val="21"/>
        </w:rPr>
      </w:pPr>
      <w:r>
        <w:rPr>
          <w:rFonts w:eastAsia="仿宋" w:cs="Times New Roman"/>
          <w:szCs w:val="21"/>
        </w:rPr>
        <w:t xml:space="preserve">         </w:t>
      </w:r>
      <w:r>
        <w:rPr>
          <w:rFonts w:hint="eastAsia" w:eastAsia="仿宋" w:cs="Times New Roman"/>
          <w:szCs w:val="21"/>
        </w:rPr>
        <w:t>本</w:t>
      </w:r>
      <w:r>
        <w:rPr>
          <w:rFonts w:eastAsia="仿宋" w:cs="Times New Roman"/>
          <w:szCs w:val="21"/>
        </w:rPr>
        <w:t>合同第十二条所指定的装船单据</w:t>
      </w:r>
      <w:r>
        <w:rPr>
          <w:rFonts w:hint="eastAsia" w:eastAsia="仿宋" w:cs="Times New Roman"/>
          <w:szCs w:val="21"/>
        </w:rPr>
        <w:t>。</w:t>
      </w:r>
    </w:p>
    <w:p w14:paraId="642039C4">
      <w:pPr>
        <w:tabs>
          <w:tab w:val="left" w:pos="1134"/>
        </w:tabs>
        <w:spacing w:line="240" w:lineRule="auto"/>
        <w:rPr>
          <w:rFonts w:eastAsia="仿宋" w:cs="Times New Roman"/>
          <w:szCs w:val="21"/>
        </w:rPr>
      </w:pPr>
      <w:r>
        <w:rPr>
          <w:rFonts w:eastAsia="仿宋" w:cs="Times New Roman"/>
          <w:szCs w:val="21"/>
        </w:rPr>
        <w:t xml:space="preserve"> </w:t>
      </w:r>
    </w:p>
    <w:p w14:paraId="7A029188">
      <w:pPr>
        <w:numPr>
          <w:ilvl w:val="0"/>
          <w:numId w:val="15"/>
        </w:numPr>
        <w:spacing w:line="240" w:lineRule="auto"/>
        <w:rPr>
          <w:rFonts w:eastAsia="仿宋" w:cs="Times New Roman"/>
          <w:szCs w:val="21"/>
        </w:rPr>
      </w:pPr>
      <w:r>
        <w:rPr>
          <w:rFonts w:eastAsia="仿宋" w:cs="Times New Roman"/>
          <w:szCs w:val="21"/>
        </w:rPr>
        <w:t>Ten</w:t>
      </w:r>
      <w:r>
        <w:rPr>
          <w:rFonts w:eastAsia="仿宋" w:cs="Times New Roman"/>
          <w:szCs w:val="21"/>
          <w:lang w:eastAsia="zh-TW"/>
        </w:rPr>
        <w:t xml:space="preserve"> percent (</w:t>
      </w:r>
      <w:r>
        <w:rPr>
          <w:rFonts w:eastAsia="仿宋" w:cs="Times New Roman"/>
          <w:szCs w:val="21"/>
        </w:rPr>
        <w:t>1</w:t>
      </w:r>
      <w:r>
        <w:rPr>
          <w:rFonts w:eastAsia="仿宋" w:cs="Times New Roman"/>
          <w:szCs w:val="21"/>
          <w:lang w:eastAsia="zh-TW"/>
        </w:rPr>
        <w:t xml:space="preserve">0%) of </w:t>
      </w:r>
      <w:r>
        <w:rPr>
          <w:rFonts w:eastAsia="仿宋" w:cs="Times New Roman"/>
          <w:szCs w:val="21"/>
        </w:rPr>
        <w:t>total Contract</w:t>
      </w:r>
      <w:r>
        <w:rPr>
          <w:rFonts w:eastAsia="仿宋" w:cs="Times New Roman"/>
          <w:szCs w:val="21"/>
          <w:lang w:eastAsia="zh-TW"/>
        </w:rPr>
        <w:t xml:space="preserve"> Value, </w:t>
      </w:r>
      <w:r>
        <w:rPr>
          <w:rFonts w:eastAsia="仿宋" w:cs="Times New Roman"/>
          <w:szCs w:val="21"/>
        </w:rPr>
        <w:t>i.e.</w:t>
      </w:r>
      <w:r>
        <w:rPr>
          <w:rFonts w:hint="eastAsia" w:eastAsia="仿宋" w:cs="Times New Roman"/>
          <w:szCs w:val="21"/>
        </w:rPr>
        <w:t>【】</w:t>
      </w:r>
      <w:r>
        <w:rPr>
          <w:rFonts w:eastAsia="仿宋" w:cs="Times New Roman"/>
          <w:szCs w:val="21"/>
        </w:rPr>
        <w:t xml:space="preserve">shall be paid by the Buyer to the Seller against delivery to the Buyer of the following documents: </w:t>
      </w:r>
    </w:p>
    <w:p w14:paraId="0D56AD1D">
      <w:pPr>
        <w:spacing w:line="240" w:lineRule="auto"/>
        <w:ind w:left="945" w:leftChars="450"/>
        <w:rPr>
          <w:rFonts w:eastAsia="仿宋" w:cs="Times New Roman"/>
          <w:color w:val="000000" w:themeColor="text1"/>
          <w:szCs w:val="21"/>
          <w14:textFill>
            <w14:solidFill>
              <w14:schemeClr w14:val="tx1"/>
            </w14:solidFill>
          </w14:textFill>
        </w:rPr>
      </w:pPr>
      <w:r>
        <w:rPr>
          <w:rFonts w:eastAsia="仿宋" w:cs="Times New Roman"/>
          <w:szCs w:val="21"/>
        </w:rPr>
        <w:t>合同总额的10%，即</w:t>
      </w:r>
      <w:r>
        <w:rPr>
          <w:rFonts w:hint="eastAsia" w:eastAsia="仿宋" w:cs="Times New Roman"/>
          <w:szCs w:val="21"/>
        </w:rPr>
        <w:t>【】</w:t>
      </w:r>
      <w:r>
        <w:rPr>
          <w:rFonts w:eastAsia="仿宋" w:cs="Times New Roman"/>
          <w:szCs w:val="21"/>
        </w:rPr>
        <w:t>由买方收到如下单据后支付卖方。</w:t>
      </w:r>
    </w:p>
    <w:p w14:paraId="50A997A3">
      <w:pPr>
        <w:tabs>
          <w:tab w:val="left" w:pos="1134"/>
        </w:tabs>
        <w:spacing w:line="240" w:lineRule="auto"/>
        <w:ind w:left="945" w:leftChars="450"/>
        <w:rPr>
          <w:rFonts w:eastAsia="仿宋" w:cs="Times New Roman"/>
          <w:szCs w:val="21"/>
        </w:rPr>
      </w:pPr>
    </w:p>
    <w:p w14:paraId="046815DF">
      <w:pPr>
        <w:tabs>
          <w:tab w:val="left" w:pos="1134"/>
        </w:tabs>
        <w:spacing w:line="240" w:lineRule="auto"/>
        <w:ind w:left="945" w:leftChars="450"/>
        <w:rPr>
          <w:rFonts w:eastAsia="仿宋" w:cs="Times New Roman"/>
          <w:szCs w:val="21"/>
        </w:rPr>
      </w:pPr>
      <w:r>
        <w:rPr>
          <w:rFonts w:eastAsia="仿宋" w:cs="Times New Roman"/>
          <w:szCs w:val="21"/>
        </w:rPr>
        <w:t>(I)</w:t>
      </w:r>
      <w:r>
        <w:rPr>
          <w:rFonts w:eastAsia="仿宋" w:cs="Times New Roman"/>
          <w:szCs w:val="21"/>
        </w:rPr>
        <w:tab/>
      </w:r>
      <w:r>
        <w:rPr>
          <w:rFonts w:eastAsia="仿宋" w:cs="Times New Roman"/>
          <w:szCs w:val="21"/>
        </w:rPr>
        <w:t>The Final Acceptance duly signed by authorized persons of the Seller</w:t>
      </w:r>
      <w:r>
        <w:rPr>
          <w:rFonts w:hint="eastAsia" w:eastAsia="仿宋" w:cs="Times New Roman"/>
          <w:szCs w:val="21"/>
        </w:rPr>
        <w:t xml:space="preserve"> and Enduser</w:t>
      </w:r>
      <w:r>
        <w:rPr>
          <w:rFonts w:eastAsia="仿宋" w:cs="Times New Roman"/>
          <w:szCs w:val="21"/>
        </w:rPr>
        <w:t xml:space="preserve">; </w:t>
      </w:r>
    </w:p>
    <w:p w14:paraId="506EB6F8">
      <w:pPr>
        <w:tabs>
          <w:tab w:val="left" w:pos="1134"/>
        </w:tabs>
        <w:spacing w:line="240" w:lineRule="auto"/>
        <w:ind w:left="945" w:leftChars="450"/>
        <w:rPr>
          <w:rFonts w:eastAsia="仿宋" w:cs="Times New Roman"/>
          <w:szCs w:val="21"/>
        </w:rPr>
      </w:pPr>
      <w:r>
        <w:rPr>
          <w:rFonts w:hint="eastAsia" w:eastAsia="仿宋" w:cs="Times New Roman"/>
          <w:szCs w:val="21"/>
        </w:rPr>
        <w:t>卖方与最终用户</w:t>
      </w:r>
      <w:r>
        <w:rPr>
          <w:rFonts w:eastAsia="仿宋" w:cs="Times New Roman"/>
          <w:szCs w:val="21"/>
        </w:rPr>
        <w:t>授权签字人依法签署</w:t>
      </w:r>
      <w:r>
        <w:rPr>
          <w:rFonts w:hint="eastAsia" w:eastAsia="仿宋" w:cs="Times New Roman"/>
          <w:szCs w:val="21"/>
        </w:rPr>
        <w:t>的</w:t>
      </w:r>
      <w:r>
        <w:rPr>
          <w:rFonts w:eastAsia="仿宋" w:cs="Times New Roman"/>
          <w:szCs w:val="21"/>
        </w:rPr>
        <w:t>最终验收报告。</w:t>
      </w:r>
    </w:p>
    <w:p w14:paraId="38086B01">
      <w:pPr>
        <w:tabs>
          <w:tab w:val="left" w:pos="1134"/>
        </w:tabs>
        <w:spacing w:line="240" w:lineRule="auto"/>
        <w:ind w:left="945" w:leftChars="450"/>
        <w:rPr>
          <w:rFonts w:eastAsia="仿宋" w:cs="Times New Roman"/>
          <w:szCs w:val="21"/>
        </w:rPr>
      </w:pPr>
      <w:r>
        <w:rPr>
          <w:rFonts w:eastAsia="仿宋" w:cs="Times New Roman"/>
          <w:szCs w:val="21"/>
        </w:rPr>
        <w:t>(II)</w:t>
      </w:r>
      <w:r>
        <w:rPr>
          <w:rFonts w:eastAsia="仿宋" w:cs="Times New Roman"/>
          <w:szCs w:val="21"/>
        </w:rPr>
        <w:tab/>
      </w:r>
      <w:r>
        <w:rPr>
          <w:rFonts w:eastAsia="仿宋" w:cs="Times New Roman"/>
          <w:szCs w:val="21"/>
        </w:rPr>
        <w:t xml:space="preserve"> Proforma Invoice for a sum of ten percent (10%) of total Contract Value in five (5) copies, indicating (including but not limited to) contract number;</w:t>
      </w:r>
    </w:p>
    <w:p w14:paraId="308A65DD">
      <w:pPr>
        <w:tabs>
          <w:tab w:val="left" w:pos="1134"/>
        </w:tabs>
        <w:spacing w:line="240" w:lineRule="auto"/>
        <w:ind w:left="945" w:leftChars="450"/>
        <w:rPr>
          <w:rFonts w:eastAsia="仿宋" w:cs="Times New Roman"/>
          <w:szCs w:val="21"/>
        </w:rPr>
      </w:pPr>
      <w:r>
        <w:rPr>
          <w:rFonts w:eastAsia="仿宋" w:cs="Times New Roman"/>
          <w:szCs w:val="21"/>
        </w:rPr>
        <w:t>合同总金额10%的形式发票一式五份，应载明（</w:t>
      </w:r>
      <w:r>
        <w:rPr>
          <w:rFonts w:hint="eastAsia" w:eastAsia="仿宋" w:cs="Times New Roman"/>
          <w:szCs w:val="21"/>
        </w:rPr>
        <w:t>包括但不限于</w:t>
      </w:r>
      <w:r>
        <w:rPr>
          <w:rFonts w:eastAsia="仿宋" w:cs="Times New Roman"/>
          <w:szCs w:val="21"/>
        </w:rPr>
        <w:t>）合同号码。</w:t>
      </w:r>
    </w:p>
    <w:p w14:paraId="1230FF38">
      <w:pPr>
        <w:tabs>
          <w:tab w:val="left" w:pos="1134"/>
        </w:tabs>
        <w:spacing w:line="240" w:lineRule="auto"/>
        <w:ind w:left="945" w:leftChars="450"/>
        <w:rPr>
          <w:rFonts w:eastAsia="仿宋" w:cs="Times New Roman"/>
          <w:szCs w:val="21"/>
        </w:rPr>
      </w:pPr>
      <w:r>
        <w:rPr>
          <w:rFonts w:hint="eastAsia" w:eastAsia="仿宋" w:cs="Times New Roman"/>
          <w:szCs w:val="21"/>
        </w:rPr>
        <w:t>（III）</w:t>
      </w:r>
      <w:r>
        <w:rPr>
          <w:rFonts w:eastAsia="仿宋" w:cs="Times New Roman"/>
          <w:szCs w:val="21"/>
        </w:rPr>
        <w:t xml:space="preserve">After the Final Acceptance is completed, an unconditional and irrevocable Bank Guarantee issued by the Seller's first class Bank in favour of the Buyer for a sum of </w:t>
      </w:r>
      <w:r>
        <w:rPr>
          <w:rFonts w:hint="eastAsia" w:eastAsia="仿宋" w:cs="Times New Roman"/>
          <w:szCs w:val="21"/>
        </w:rPr>
        <w:t>【】</w:t>
      </w:r>
      <w:r>
        <w:rPr>
          <w:rFonts w:eastAsia="仿宋" w:cs="Times New Roman"/>
          <w:szCs w:val="21"/>
        </w:rPr>
        <w:t xml:space="preserve"> , valid until the expiration of the Quality Guarantee Period specified in Article 14 below and/or the warranty period specified in the Technical Agreement / Quality Guarantee Agreement, as applicable.</w:t>
      </w:r>
    </w:p>
    <w:p w14:paraId="2392F40E">
      <w:pPr>
        <w:tabs>
          <w:tab w:val="left" w:pos="1134"/>
        </w:tabs>
        <w:spacing w:line="240" w:lineRule="auto"/>
        <w:ind w:left="945" w:leftChars="450"/>
        <w:rPr>
          <w:rFonts w:eastAsia="仿宋" w:cs="Times New Roman"/>
          <w:szCs w:val="21"/>
        </w:rPr>
      </w:pPr>
      <w:r>
        <w:rPr>
          <w:rFonts w:hint="eastAsia" w:eastAsia="仿宋" w:cs="Times New Roman"/>
          <w:szCs w:val="21"/>
        </w:rPr>
        <w:t xml:space="preserve"> 终验收合格后卖方在指定的一级银行开立一份以买方为受益人的无条件的不可撤销银行保函，银行保函的金额为【】（大写【】）；保函有效期截止到下述第14条规定的质保期及/或技术协议/质量保证协议载明的保证期间（如有）结束。</w:t>
      </w:r>
    </w:p>
    <w:p w14:paraId="6DB76ADE">
      <w:pPr>
        <w:spacing w:line="240" w:lineRule="auto"/>
        <w:ind w:left="735" w:leftChars="350"/>
        <w:rPr>
          <w:rFonts w:eastAsia="仿宋" w:cs="Times New Roman"/>
          <w:szCs w:val="21"/>
        </w:rPr>
      </w:pPr>
    </w:p>
    <w:p w14:paraId="5D3A5C0D">
      <w:pPr>
        <w:topLinePunct/>
        <w:spacing w:line="240" w:lineRule="auto"/>
        <w:ind w:left="838" w:leftChars="57" w:hanging="718" w:hangingChars="342"/>
        <w:rPr>
          <w:rFonts w:eastAsia="仿宋" w:cs="Times New Roman"/>
          <w:bCs/>
          <w:szCs w:val="21"/>
        </w:rPr>
      </w:pPr>
      <w:r>
        <w:rPr>
          <w:rFonts w:hint="eastAsia" w:eastAsia="仿宋" w:cs="Times New Roman"/>
          <w:szCs w:val="21"/>
        </w:rPr>
        <w:t xml:space="preserve">11.3   </w:t>
      </w:r>
      <w:bookmarkStart w:id="49" w:name="OLE_LINK28"/>
      <w:r>
        <w:rPr>
          <w:rFonts w:eastAsia="仿宋" w:cs="Times New Roman"/>
          <w:bCs/>
          <w:szCs w:val="21"/>
        </w:rPr>
        <w:t xml:space="preserve">Should the Seller fail to make delivery, installation or commissioning of the Commodities on time in accordance with the Delivery Schedule stipulated in this Contract, the Seller shall pay liquidated damages, at zero point five (0.5) percent of the Contract Value for each seven (7) calendar days, odd days less than seven days being counted as seven days, for the delay thus caused, while the Buyer has the right to modify the amount of the L/C according to the above calculation. In case the Seller still fails to make delivery, installation or commissioning after the liquidated damages reach </w:t>
      </w:r>
      <w:r>
        <w:rPr>
          <w:rFonts w:hint="eastAsia" w:eastAsia="仿宋" w:cs="Times New Roman"/>
          <w:bCs/>
          <w:szCs w:val="21"/>
        </w:rPr>
        <w:t>20</w:t>
      </w:r>
      <w:r>
        <w:rPr>
          <w:rFonts w:eastAsia="仿宋" w:cs="Times New Roman"/>
          <w:bCs/>
          <w:szCs w:val="21"/>
        </w:rPr>
        <w:t>% of the Contract Value, the Buyer shall have the right to rescind the Contract.</w:t>
      </w:r>
    </w:p>
    <w:p w14:paraId="2B3EF55F">
      <w:pPr>
        <w:kinsoku w:val="0"/>
        <w:topLinePunct/>
        <w:spacing w:line="240" w:lineRule="auto"/>
        <w:ind w:left="861" w:leftChars="410"/>
        <w:rPr>
          <w:rFonts w:eastAsia="仿宋" w:cs="Times New Roman"/>
          <w:szCs w:val="21"/>
        </w:rPr>
      </w:pPr>
      <w:r>
        <w:rPr>
          <w:rFonts w:eastAsia="仿宋" w:cs="Times New Roman"/>
          <w:bCs/>
          <w:szCs w:val="21"/>
        </w:rPr>
        <w:t>如果卖方不能按照本合同规定的交货时间表准时交货、安装调试，卖方应支付迟延罚金，罚金每周收取合同价格的0.5%，不足一周按一周计算，买方有权根据上述计算结果修改信用证的金额。如果罚金达到20%仍然无法交货、安装调试，买方有权解除本合同。</w:t>
      </w:r>
      <w:bookmarkEnd w:id="49"/>
    </w:p>
    <w:p w14:paraId="5DF1755F">
      <w:pPr>
        <w:adjustRightInd w:val="0"/>
        <w:snapToGrid w:val="0"/>
        <w:spacing w:line="240" w:lineRule="auto"/>
        <w:ind w:left="840" w:hanging="840" w:hangingChars="400"/>
        <w:rPr>
          <w:rFonts w:eastAsia="仿宋" w:cs="Times New Roman"/>
          <w:bCs/>
          <w:szCs w:val="21"/>
        </w:rPr>
      </w:pPr>
      <w:r>
        <w:rPr>
          <w:rFonts w:hint="eastAsia" w:eastAsia="仿宋" w:cs="Times New Roman"/>
          <w:bCs/>
          <w:szCs w:val="21"/>
        </w:rPr>
        <w:t xml:space="preserve">11.4    </w:t>
      </w:r>
      <w:r>
        <w:rPr>
          <w:rFonts w:eastAsia="仿宋" w:cs="Times New Roman"/>
          <w:bCs/>
          <w:szCs w:val="21"/>
        </w:rPr>
        <w:t>The Buyer is deemed to have completed payment on time as soon as the Buyer remits the said amount in the paying bank, and shall not be obliged to compensate for any interest on late payment or assume any liabilities arising out of delay or failure of the Seller to receive any amount attributable to the transferring bank, receiving bank or other reasons.</w:t>
      </w:r>
    </w:p>
    <w:p w14:paraId="43C3CB38">
      <w:pPr>
        <w:adjustRightInd w:val="0"/>
        <w:snapToGrid w:val="0"/>
        <w:spacing w:line="240" w:lineRule="auto"/>
        <w:ind w:left="840" w:leftChars="400"/>
        <w:rPr>
          <w:rFonts w:eastAsia="仿宋" w:cs="Times New Roman"/>
          <w:bCs/>
          <w:szCs w:val="21"/>
        </w:rPr>
      </w:pPr>
      <w:r>
        <w:rPr>
          <w:rFonts w:hint="eastAsia" w:eastAsia="仿宋" w:cs="Times New Roman"/>
          <w:bCs/>
          <w:szCs w:val="21"/>
        </w:rPr>
        <w:t>买方在付款行完成汇出手续后即达成按期付款条件，如因中转行或收款行等原因导致卖方延迟或者无法收到货款的，买方不支付延迟付款利息或者承担其他赔偿责任。</w:t>
      </w:r>
    </w:p>
    <w:p w14:paraId="6BCF9704">
      <w:pPr>
        <w:adjustRightInd w:val="0"/>
        <w:snapToGrid w:val="0"/>
        <w:spacing w:line="240" w:lineRule="auto"/>
        <w:ind w:left="840" w:leftChars="400"/>
        <w:rPr>
          <w:rFonts w:eastAsia="仿宋" w:cs="Times New Roman"/>
          <w:bCs/>
          <w:szCs w:val="21"/>
        </w:rPr>
      </w:pPr>
    </w:p>
    <w:p w14:paraId="52B4B7E8">
      <w:pPr>
        <w:spacing w:line="240" w:lineRule="auto"/>
        <w:ind w:left="861" w:leftChars="410"/>
        <w:rPr>
          <w:rFonts w:eastAsia="仿宋" w:cs="Times New Roman"/>
          <w:szCs w:val="21"/>
        </w:rPr>
      </w:pPr>
    </w:p>
    <w:p w14:paraId="123F6BAC">
      <w:pPr>
        <w:spacing w:line="240" w:lineRule="auto"/>
        <w:ind w:left="838" w:leftChars="57" w:hanging="718" w:hangingChars="342"/>
        <w:rPr>
          <w:rFonts w:eastAsia="仿宋" w:cs="Times New Roman"/>
          <w:szCs w:val="21"/>
        </w:rPr>
      </w:pPr>
      <w:r>
        <w:rPr>
          <w:rFonts w:eastAsia="仿宋" w:cs="Times New Roman"/>
          <w:bCs/>
          <w:szCs w:val="21"/>
          <w:lang w:eastAsia="zh-TW"/>
        </w:rPr>
        <w:t>11.</w:t>
      </w:r>
      <w:r>
        <w:rPr>
          <w:rFonts w:hint="eastAsia" w:eastAsia="仿宋" w:cs="Times New Roman"/>
          <w:bCs/>
          <w:szCs w:val="21"/>
        </w:rPr>
        <w:t>5</w:t>
      </w:r>
      <w:r>
        <w:rPr>
          <w:rFonts w:eastAsia="仿宋" w:cs="Times New Roman"/>
          <w:bCs/>
          <w:szCs w:val="21"/>
        </w:rPr>
        <w:t xml:space="preserve"> </w:t>
      </w:r>
      <w:r>
        <w:rPr>
          <w:rFonts w:eastAsia="仿宋" w:cs="Times New Roman"/>
          <w:bCs/>
          <w:szCs w:val="21"/>
          <w:lang w:eastAsia="zh-TW"/>
        </w:rPr>
        <w:tab/>
      </w:r>
      <w:r>
        <w:rPr>
          <w:rFonts w:eastAsia="仿宋" w:cs="Times New Roman"/>
          <w:szCs w:val="21"/>
          <w:lang w:eastAsia="zh-TW"/>
        </w:rPr>
        <w:t>All bank charges and commissions at the Buyer’s bank, including the correspondent bank, are for the Buyer’s account. All bank charges and commissions at the Seller’s bank, including the correspondent bank, are for the Seller’s account.</w:t>
      </w:r>
    </w:p>
    <w:p w14:paraId="36BAC247">
      <w:pPr>
        <w:adjustRightInd w:val="0"/>
        <w:snapToGrid w:val="0"/>
        <w:spacing w:line="240" w:lineRule="auto"/>
        <w:ind w:left="840" w:leftChars="300" w:hanging="210" w:hangingChars="100"/>
        <w:rPr>
          <w:rFonts w:eastAsia="仿宋" w:cs="Times New Roman"/>
          <w:szCs w:val="21"/>
        </w:rPr>
      </w:pPr>
      <w:r>
        <w:rPr>
          <w:rFonts w:eastAsia="仿宋" w:cs="Times New Roman"/>
          <w:szCs w:val="21"/>
        </w:rPr>
        <w:t xml:space="preserve">  买方银行包括代理行的银行费用和佣金由买方支付。卖方银行及其代理行的费用和佣金由卖方支付。</w:t>
      </w:r>
    </w:p>
    <w:p w14:paraId="7A544235">
      <w:pPr>
        <w:adjustRightInd w:val="0"/>
        <w:snapToGrid w:val="0"/>
        <w:spacing w:line="240" w:lineRule="auto"/>
        <w:ind w:left="840" w:leftChars="100" w:hanging="630" w:hangingChars="300"/>
        <w:rPr>
          <w:rFonts w:eastAsia="仿宋" w:cs="Times New Roman"/>
          <w:bCs/>
          <w:szCs w:val="21"/>
        </w:rPr>
      </w:pPr>
      <w:r>
        <w:rPr>
          <w:rFonts w:eastAsia="仿宋" w:cs="Times New Roman"/>
          <w:bCs/>
          <w:szCs w:val="21"/>
        </w:rPr>
        <w:t>11.</w:t>
      </w:r>
      <w:r>
        <w:rPr>
          <w:rFonts w:hint="eastAsia" w:eastAsia="仿宋" w:cs="Times New Roman"/>
          <w:bCs/>
          <w:szCs w:val="21"/>
        </w:rPr>
        <w:t>6</w:t>
      </w:r>
      <w:r>
        <w:rPr>
          <w:rFonts w:eastAsia="仿宋" w:cs="Times New Roman"/>
          <w:bCs/>
          <w:szCs w:val="21"/>
        </w:rPr>
        <w:t xml:space="preserve">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p>
    <w:p w14:paraId="169FD7A1">
      <w:pPr>
        <w:adjustRightInd w:val="0"/>
        <w:snapToGrid w:val="0"/>
        <w:spacing w:line="240" w:lineRule="auto"/>
        <w:ind w:left="840" w:leftChars="400"/>
        <w:rPr>
          <w:rFonts w:eastAsia="仿宋" w:cs="Times New Roman"/>
          <w:bCs/>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14:paraId="114686EF">
      <w:pPr>
        <w:adjustRightInd w:val="0"/>
        <w:snapToGrid w:val="0"/>
        <w:spacing w:line="240" w:lineRule="auto"/>
        <w:ind w:left="840" w:leftChars="400"/>
        <w:rPr>
          <w:rFonts w:eastAsia="仿宋" w:cs="Times New Roman"/>
          <w:bCs/>
          <w:szCs w:val="21"/>
        </w:rPr>
      </w:pPr>
    </w:p>
    <w:p w14:paraId="33BA657E">
      <w:pPr>
        <w:spacing w:line="240" w:lineRule="auto"/>
        <w:ind w:left="360" w:hanging="360"/>
        <w:rPr>
          <w:rFonts w:eastAsia="仿宋" w:cs="Times New Roman"/>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建议</w:t>
      </w:r>
      <w:r>
        <w:rPr>
          <w:rFonts w:eastAsia="仿宋" w:cs="Times New Roman"/>
          <w:b/>
          <w:i/>
          <w:iCs/>
          <w:sz w:val="24"/>
          <w:szCs w:val="24"/>
        </w:rPr>
        <w:t>FCA.FOB</w:t>
      </w:r>
    </w:p>
    <w:p w14:paraId="5FCC684E">
      <w:pPr>
        <w:spacing w:line="240" w:lineRule="auto"/>
        <w:rPr>
          <w:rFonts w:eastAsia="仿宋" w:cs="Times New Roman"/>
          <w:szCs w:val="21"/>
          <w:lang w:eastAsia="zh-TW"/>
        </w:rPr>
      </w:pPr>
    </w:p>
    <w:p w14:paraId="47370F4C">
      <w:pPr>
        <w:spacing w:line="240" w:lineRule="auto"/>
        <w:ind w:firstLine="218" w:firstLineChars="104"/>
        <w:rPr>
          <w:rFonts w:eastAsia="仿宋" w:cs="Times New Roman"/>
          <w:szCs w:val="21"/>
        </w:rPr>
      </w:pPr>
      <w:r>
        <w:rPr>
          <w:rFonts w:eastAsia="仿宋" w:cs="Times New Roman"/>
          <w:szCs w:val="21"/>
        </w:rPr>
        <w:t>11.1 Payment shall be made by the Buyer as follows:</w:t>
      </w:r>
    </w:p>
    <w:p w14:paraId="14B83FFA">
      <w:pPr>
        <w:spacing w:line="240" w:lineRule="auto"/>
        <w:ind w:left="447" w:leftChars="213"/>
        <w:rPr>
          <w:rFonts w:eastAsia="仿宋" w:cs="Times New Roman"/>
          <w:szCs w:val="21"/>
        </w:rPr>
      </w:pPr>
      <w:r>
        <w:rPr>
          <w:rFonts w:eastAsia="仿宋" w:cs="Times New Roman"/>
          <w:szCs w:val="21"/>
        </w:rPr>
        <w:t>买方应根据如下方式支付货款：</w:t>
      </w:r>
    </w:p>
    <w:p w14:paraId="302432B6">
      <w:pPr>
        <w:spacing w:line="240" w:lineRule="auto"/>
        <w:ind w:left="447" w:leftChars="213"/>
        <w:rPr>
          <w:rFonts w:eastAsia="仿宋" w:cs="Times New Roman"/>
          <w:szCs w:val="21"/>
        </w:rPr>
      </w:pPr>
      <w:r>
        <w:rPr>
          <w:rFonts w:eastAsia="仿宋" w:cs="Times New Roman"/>
          <w:szCs w:val="21"/>
        </w:rPr>
        <w:t>The Seller shall send all the documents specified in Article 12 below to the Buyer by fax/email within 24 hours after each shipment of Commodities are shipped, at the same time the Seller shall send by courier all the original documents to the Buyer.</w:t>
      </w:r>
    </w:p>
    <w:p w14:paraId="3C8CC36E">
      <w:pPr>
        <w:spacing w:line="240" w:lineRule="auto"/>
        <w:ind w:left="447" w:leftChars="213"/>
        <w:rPr>
          <w:rFonts w:eastAsia="仿宋" w:cs="Times New Roman"/>
          <w:szCs w:val="21"/>
        </w:rPr>
      </w:pPr>
      <w:r>
        <w:rPr>
          <w:rFonts w:eastAsia="仿宋" w:cs="Times New Roman"/>
          <w:szCs w:val="21"/>
        </w:rPr>
        <w:t>货物交付货运代理人24小时之内，卖方应通过传真或邮件发给买方12条提及的单据，同时把全套正本单据快递给买方。</w:t>
      </w:r>
    </w:p>
    <w:p w14:paraId="1E424684">
      <w:pPr>
        <w:spacing w:line="240" w:lineRule="auto"/>
        <w:ind w:left="420" w:leftChars="200"/>
        <w:rPr>
          <w:rFonts w:eastAsia="仿宋" w:cs="Times New Roman"/>
          <w:szCs w:val="21"/>
        </w:rPr>
      </w:pPr>
      <w:r>
        <w:rPr>
          <w:rFonts w:eastAsia="仿宋" w:cs="Times New Roman"/>
          <w:szCs w:val="21"/>
        </w:rPr>
        <w:t>Due payment to the Seller shall be effected 30 days after receipt of full set of original documents which specified in the Article 12 below .</w:t>
      </w:r>
    </w:p>
    <w:p w14:paraId="4E928BB1">
      <w:pPr>
        <w:numPr>
          <w:ilvl w:val="1"/>
          <w:numId w:val="0"/>
        </w:numPr>
        <w:tabs>
          <w:tab w:val="left" w:pos="567"/>
        </w:tabs>
        <w:ind w:left="447" w:leftChars="213"/>
        <w:rPr>
          <w:rFonts w:eastAsia="仿宋" w:cs="Times New Roman"/>
          <w:szCs w:val="21"/>
        </w:rPr>
      </w:pPr>
      <w:r>
        <w:rPr>
          <w:rFonts w:eastAsia="仿宋" w:cs="Times New Roman"/>
          <w:szCs w:val="21"/>
        </w:rPr>
        <w:t>买方收到全套正本单据（货物商业发票、提货单、质量证书、包装材料声明、产地证）后30天电汇货款。</w:t>
      </w:r>
    </w:p>
    <w:p w14:paraId="067B18F3">
      <w:pPr>
        <w:numPr>
          <w:ilvl w:val="1"/>
          <w:numId w:val="0"/>
        </w:numPr>
        <w:tabs>
          <w:tab w:val="left" w:pos="567"/>
        </w:tabs>
        <w:ind w:left="444" w:leftChars="104" w:hanging="226" w:hangingChars="108"/>
        <w:jc w:val="left"/>
        <w:rPr>
          <w:rFonts w:ascii="Arial" w:hAnsi="Arial" w:eastAsia="楷体_GB2312"/>
          <w:szCs w:val="21"/>
        </w:rPr>
      </w:pPr>
      <w:r>
        <w:rPr>
          <w:rFonts w:eastAsia="仿宋" w:cs="Times New Roman"/>
          <w:szCs w:val="21"/>
        </w:rPr>
        <w:t>11.2</w:t>
      </w:r>
      <w:r>
        <w:rPr>
          <w:rFonts w:hint="eastAsia" w:eastAsia="仿宋" w:cs="Times New Roman"/>
          <w:szCs w:val="21"/>
        </w:rPr>
        <w:t>Should the Seller fail to make delivery, installation and commissioning of the Commodities on time </w:t>
      </w:r>
      <w:r>
        <w:rPr>
          <w:rFonts w:eastAsia="仿宋" w:cs="Times New Roman"/>
          <w:szCs w:val="21"/>
        </w:rPr>
        <w:t>in accordance with the Delivery Schedule</w:t>
      </w:r>
      <w:r>
        <w:rPr>
          <w:rFonts w:hint="eastAsia" w:eastAsia="仿宋" w:cs="Times New Roman"/>
          <w:szCs w:val="21"/>
        </w:rPr>
        <w:t xml:space="preserve"> stipulated in th</w:t>
      </w:r>
      <w:r>
        <w:rPr>
          <w:rFonts w:eastAsia="仿宋" w:cs="Times New Roman"/>
          <w:szCs w:val="21"/>
        </w:rPr>
        <w:t>is</w:t>
      </w:r>
      <w:r>
        <w:rPr>
          <w:rFonts w:hint="eastAsia" w:eastAsia="仿宋" w:cs="Times New Roman"/>
          <w:szCs w:val="21"/>
        </w:rPr>
        <w:t> Contract, liquidated damages shall be paid by the Seller for the delay so caused and shall be deducted by the paying bank from the</w:t>
      </w:r>
      <w:r>
        <w:rPr>
          <w:rFonts w:eastAsia="仿宋" w:cs="Times New Roman"/>
          <w:szCs w:val="21"/>
        </w:rPr>
        <w:t xml:space="preserve"> Contract Value</w:t>
      </w:r>
      <w:r>
        <w:rPr>
          <w:rFonts w:hint="eastAsia" w:eastAsia="仿宋" w:cs="Times New Roman"/>
          <w:szCs w:val="21"/>
        </w:rPr>
        <w:t>.</w:t>
      </w:r>
      <w:r>
        <w:rPr>
          <w:rFonts w:eastAsia="仿宋" w:cs="Times New Roman"/>
          <w:szCs w:val="21"/>
        </w:rPr>
        <w:t xml:space="preserve"> The rate of liquidated damages is charged at zero point five (0.5) percent of the Contract Value for every seven 7 calendar days, odd days less than seven days being counted as seven days. In case the Seller fails to make delivery</w:t>
      </w:r>
      <w:r>
        <w:rPr>
          <w:rFonts w:hint="eastAsia" w:eastAsia="仿宋" w:cs="Times New Roman"/>
          <w:szCs w:val="21"/>
        </w:rPr>
        <w:t>,</w:t>
      </w:r>
      <w:r>
        <w:rPr>
          <w:rFonts w:eastAsia="仿宋" w:cs="Times New Roman"/>
          <w:szCs w:val="21"/>
        </w:rPr>
        <w:t xml:space="preserve"> installation and commissioning after the liquidated damages </w:t>
      </w:r>
      <w:r>
        <w:rPr>
          <w:rFonts w:eastAsia="仿宋" w:cs="Times New Roman"/>
          <w:szCs w:val="21"/>
          <w:lang w:eastAsia="zh-TW"/>
        </w:rPr>
        <w:t>reach 20% of the Contract Value</w:t>
      </w:r>
      <w:r>
        <w:rPr>
          <w:rFonts w:eastAsia="仿宋" w:cs="Times New Roman"/>
          <w:szCs w:val="21"/>
        </w:rPr>
        <w:t>, the Buyer shall have the right to withdraw the Contract and the Seller shall still be obligated to pay the full amount of the aforesaid liquidated damages.</w:t>
      </w:r>
    </w:p>
    <w:p w14:paraId="7F9D1DB6">
      <w:pPr>
        <w:numPr>
          <w:ilvl w:val="1"/>
          <w:numId w:val="0"/>
        </w:numPr>
        <w:tabs>
          <w:tab w:val="left" w:pos="567"/>
        </w:tabs>
        <w:ind w:left="447" w:leftChars="213"/>
        <w:rPr>
          <w:rFonts w:ascii="Arial" w:hAnsi="Arial" w:eastAsia="楷体_GB2312"/>
          <w:szCs w:val="21"/>
        </w:rPr>
      </w:pPr>
      <w:r>
        <w:rPr>
          <w:rFonts w:eastAsia="仿宋" w:cs="Times New Roman"/>
          <w:szCs w:val="21"/>
        </w:rPr>
        <w:t>如果卖方不能按照本合同规定</w:t>
      </w:r>
      <w:r>
        <w:rPr>
          <w:rFonts w:hint="eastAsia" w:eastAsia="仿宋" w:cs="Times New Roman"/>
          <w:szCs w:val="21"/>
        </w:rPr>
        <w:t>的交货时间表准时</w:t>
      </w:r>
      <w:r>
        <w:rPr>
          <w:rFonts w:eastAsia="仿宋" w:cs="Times New Roman"/>
          <w:szCs w:val="21"/>
        </w:rPr>
        <w:t>交货</w:t>
      </w:r>
      <w:r>
        <w:rPr>
          <w:rFonts w:hint="eastAsia" w:eastAsia="仿宋" w:cs="Times New Roman"/>
          <w:szCs w:val="21"/>
        </w:rPr>
        <w:t>、安装调试</w:t>
      </w:r>
      <w:r>
        <w:rPr>
          <w:rFonts w:eastAsia="仿宋" w:cs="Times New Roman"/>
          <w:szCs w:val="21"/>
        </w:rPr>
        <w:t>，</w:t>
      </w:r>
      <w:r>
        <w:rPr>
          <w:rFonts w:hint="eastAsia" w:eastAsia="仿宋" w:cs="Times New Roman"/>
          <w:szCs w:val="21"/>
        </w:rPr>
        <w:t>卖</w:t>
      </w:r>
      <w:r>
        <w:rPr>
          <w:rFonts w:eastAsia="仿宋" w:cs="Times New Roman"/>
          <w:szCs w:val="21"/>
        </w:rPr>
        <w:t>方</w:t>
      </w:r>
      <w:r>
        <w:rPr>
          <w:rFonts w:hint="eastAsia" w:eastAsia="仿宋" w:cs="Times New Roman"/>
          <w:szCs w:val="21"/>
        </w:rPr>
        <w:t>应支付迟延罚金，</w:t>
      </w:r>
      <w:r>
        <w:rPr>
          <w:rFonts w:eastAsia="仿宋" w:cs="Times New Roman"/>
          <w:szCs w:val="21"/>
        </w:rPr>
        <w:t>罚金将由支付银行从付款中扣除。罚金每周收取合同</w:t>
      </w:r>
      <w:r>
        <w:rPr>
          <w:rFonts w:hint="eastAsia" w:eastAsia="仿宋" w:cs="Times New Roman"/>
          <w:szCs w:val="21"/>
        </w:rPr>
        <w:t>价格</w:t>
      </w:r>
      <w:r>
        <w:rPr>
          <w:rFonts w:eastAsia="仿宋" w:cs="Times New Roman"/>
          <w:szCs w:val="21"/>
        </w:rPr>
        <w:t>的0.5%，不足一周按一周计算。如果罚金达到</w:t>
      </w:r>
      <w:r>
        <w:rPr>
          <w:rFonts w:hint="eastAsia" w:eastAsia="仿宋" w:cs="Times New Roman"/>
          <w:szCs w:val="21"/>
        </w:rPr>
        <w:t>20</w:t>
      </w:r>
      <w:r>
        <w:rPr>
          <w:rFonts w:eastAsia="仿宋" w:cs="Times New Roman"/>
          <w:szCs w:val="21"/>
        </w:rPr>
        <w:t>%仍然无法交货</w:t>
      </w:r>
      <w:r>
        <w:rPr>
          <w:rFonts w:hint="eastAsia" w:eastAsia="仿宋" w:cs="Times New Roman"/>
          <w:szCs w:val="21"/>
        </w:rPr>
        <w:t>、安装调试，</w:t>
      </w:r>
      <w:r>
        <w:rPr>
          <w:rFonts w:eastAsia="仿宋" w:cs="Times New Roman"/>
          <w:szCs w:val="21"/>
        </w:rPr>
        <w:t>买方有权解除本合同，卖方仍应支付上述罚金。</w:t>
      </w:r>
    </w:p>
    <w:p w14:paraId="50950582">
      <w:pPr>
        <w:numPr>
          <w:ilvl w:val="1"/>
          <w:numId w:val="0"/>
        </w:numPr>
        <w:tabs>
          <w:tab w:val="left" w:pos="567"/>
        </w:tabs>
        <w:ind w:left="444" w:leftChars="104" w:hanging="226" w:hangingChars="108"/>
        <w:rPr>
          <w:rFonts w:ascii="Arial" w:hAnsi="Arial" w:eastAsia="楷体_GB2312"/>
          <w:szCs w:val="21"/>
        </w:rPr>
      </w:pPr>
      <w:r>
        <w:rPr>
          <w:rFonts w:eastAsia="仿宋" w:cs="Times New Roman"/>
          <w:szCs w:val="21"/>
          <w:lang w:eastAsia="zh-TW"/>
        </w:rPr>
        <w:t>11.3 All bank charges and commissions at the Buyer’s bank, including the correspondent bank, are for the Buyer’s account. All bank charges and commissions at the Seller’s bank, including the correspondent bank, are for the Seller’s account.</w:t>
      </w:r>
    </w:p>
    <w:p w14:paraId="2CF9AF7B">
      <w:pPr>
        <w:numPr>
          <w:ilvl w:val="1"/>
          <w:numId w:val="0"/>
        </w:numPr>
        <w:tabs>
          <w:tab w:val="left" w:pos="567"/>
        </w:tabs>
        <w:ind w:left="447" w:leftChars="213"/>
        <w:rPr>
          <w:rFonts w:ascii="Arial" w:hAnsi="Arial" w:eastAsia="楷体_GB2312"/>
          <w:szCs w:val="21"/>
        </w:rPr>
      </w:pPr>
      <w:r>
        <w:rPr>
          <w:rFonts w:eastAsia="仿宋" w:cs="Times New Roman"/>
          <w:szCs w:val="21"/>
        </w:rPr>
        <w:t>买方银行包括代理行的银行费用和佣金由买方支付。卖方银行及其代理行的费用和佣金由卖方支付。</w:t>
      </w:r>
    </w:p>
    <w:p w14:paraId="1922FB87">
      <w:pPr>
        <w:numPr>
          <w:ilvl w:val="1"/>
          <w:numId w:val="0"/>
        </w:numPr>
        <w:tabs>
          <w:tab w:val="left" w:pos="567"/>
        </w:tabs>
        <w:ind w:left="444" w:leftChars="104" w:hanging="226" w:hangingChars="108"/>
        <w:rPr>
          <w:rFonts w:ascii="Arial" w:hAnsi="Arial" w:eastAsia="仿宋"/>
          <w:szCs w:val="21"/>
        </w:rPr>
      </w:pPr>
      <w:r>
        <w:rPr>
          <w:rFonts w:eastAsia="仿宋" w:cs="Times New Roman"/>
          <w:bCs/>
          <w:szCs w:val="21"/>
        </w:rPr>
        <w:t xml:space="preserve">11.4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r>
        <w:rPr>
          <w:rFonts w:hint="eastAsia" w:eastAsia="仿宋" w:cs="Times New Roman"/>
          <w:bCs/>
          <w:szCs w:val="21"/>
        </w:rPr>
        <w:t xml:space="preserve">                            </w:t>
      </w:r>
    </w:p>
    <w:p w14:paraId="06CB6052">
      <w:pPr>
        <w:numPr>
          <w:ilvl w:val="1"/>
          <w:numId w:val="0"/>
        </w:numPr>
        <w:tabs>
          <w:tab w:val="left" w:pos="567"/>
        </w:tabs>
        <w:ind w:left="447" w:leftChars="213"/>
        <w:rPr>
          <w:rFonts w:ascii="Arial" w:hAnsi="Arial" w:eastAsia="楷体_GB2312"/>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14:paraId="40B2C0D2">
      <w:pPr>
        <w:numPr>
          <w:ilvl w:val="1"/>
          <w:numId w:val="0"/>
        </w:numPr>
        <w:tabs>
          <w:tab w:val="left" w:pos="567"/>
        </w:tabs>
        <w:ind w:left="447" w:leftChars="213"/>
        <w:rPr>
          <w:rFonts w:ascii="Arial" w:hAnsi="Arial" w:eastAsia="楷体_GB2312"/>
          <w:szCs w:val="21"/>
        </w:rPr>
      </w:pPr>
    </w:p>
    <w:p w14:paraId="3599FC25">
      <w:pPr>
        <w:adjustRightInd w:val="0"/>
        <w:snapToGrid w:val="0"/>
        <w:spacing w:line="240" w:lineRule="auto"/>
        <w:rPr>
          <w:rFonts w:eastAsia="仿宋" w:cs="Times New Roman"/>
          <w:bCs/>
          <w:szCs w:val="21"/>
        </w:rPr>
      </w:pPr>
    </w:p>
    <w:p w14:paraId="2E4F83EC">
      <w:pPr>
        <w:spacing w:line="240" w:lineRule="auto"/>
        <w:ind w:left="567" w:hanging="567"/>
        <w:rPr>
          <w:rFonts w:eastAsia="仿宋" w:cs="Times New Roman"/>
          <w:b/>
          <w:szCs w:val="21"/>
        </w:rPr>
      </w:pPr>
      <w:r>
        <w:rPr>
          <w:rFonts w:eastAsia="仿宋" w:cs="Times New Roman"/>
          <w:b/>
          <w:szCs w:val="21"/>
          <w:lang w:eastAsia="zh-TW"/>
        </w:rPr>
        <w:t>12.</w:t>
      </w:r>
      <w:r>
        <w:rPr>
          <w:rFonts w:eastAsia="仿宋" w:cs="Times New Roman"/>
          <w:b/>
          <w:szCs w:val="21"/>
        </w:rPr>
        <w:t xml:space="preserve">  </w:t>
      </w:r>
      <w:r>
        <w:rPr>
          <w:rFonts w:eastAsia="仿宋" w:cs="Times New Roman"/>
          <w:b/>
          <w:szCs w:val="21"/>
          <w:lang w:eastAsia="zh-TW"/>
        </w:rPr>
        <w:tab/>
      </w:r>
      <w:r>
        <w:rPr>
          <w:rFonts w:eastAsia="仿宋" w:cs="Times New Roman"/>
          <w:b/>
          <w:sz w:val="24"/>
          <w:szCs w:val="24"/>
        </w:rPr>
        <w:t>DOCUMENTATIONS单据</w:t>
      </w:r>
    </w:p>
    <w:p w14:paraId="77AD5759">
      <w:pPr>
        <w:spacing w:line="240" w:lineRule="auto"/>
        <w:ind w:left="210" w:hanging="210" w:hangingChars="100"/>
        <w:rPr>
          <w:rFonts w:eastAsia="仿宋" w:cs="Times New Roman"/>
          <w:szCs w:val="21"/>
          <w:lang w:eastAsia="zh-TW"/>
        </w:rPr>
      </w:pPr>
    </w:p>
    <w:p w14:paraId="1018C0FB">
      <w:pPr>
        <w:spacing w:line="240" w:lineRule="auto"/>
        <w:ind w:left="210" w:hanging="210" w:hangingChars="100"/>
        <w:rPr>
          <w:rFonts w:eastAsia="仿宋" w:cs="Times New Roman"/>
          <w:szCs w:val="21"/>
        </w:rPr>
      </w:pPr>
      <w:r>
        <w:rPr>
          <w:rFonts w:eastAsia="仿宋" w:cs="Times New Roman"/>
          <w:szCs w:val="21"/>
          <w:lang w:eastAsia="zh-TW"/>
        </w:rPr>
        <w:t xml:space="preserve">12.1  </w:t>
      </w:r>
      <w:r>
        <w:rPr>
          <w:rFonts w:eastAsia="仿宋" w:cs="Times New Roman"/>
          <w:b/>
          <w:szCs w:val="21"/>
        </w:rPr>
        <w:t>Shipping Documents装船单据</w:t>
      </w:r>
    </w:p>
    <w:p w14:paraId="7C7AC501">
      <w:pPr>
        <w:spacing w:line="240" w:lineRule="auto"/>
        <w:ind w:left="210" w:hanging="210" w:hangingChars="100"/>
        <w:rPr>
          <w:rFonts w:eastAsia="仿宋" w:cs="Times New Roman"/>
          <w:szCs w:val="21"/>
          <w:lang w:eastAsia="zh-TW"/>
        </w:rPr>
      </w:pPr>
    </w:p>
    <w:p w14:paraId="50EAAEB1">
      <w:pPr>
        <w:numPr>
          <w:ilvl w:val="0"/>
          <w:numId w:val="17"/>
        </w:numPr>
        <w:tabs>
          <w:tab w:val="left" w:pos="993"/>
        </w:tabs>
        <w:spacing w:line="240" w:lineRule="auto"/>
        <w:rPr>
          <w:rFonts w:eastAsia="仿宋" w:cs="Times New Roman"/>
          <w:szCs w:val="21"/>
        </w:rPr>
      </w:pPr>
      <w:r>
        <w:rPr>
          <w:rFonts w:hint="eastAsia" w:eastAsia="仿宋" w:cs="Times New Roman"/>
          <w:b/>
          <w:bCs/>
          <w:i/>
          <w:iCs/>
          <w:szCs w:val="21"/>
        </w:rPr>
        <w:t>（海运适用）</w:t>
      </w:r>
      <w:r>
        <w:rPr>
          <w:rFonts w:eastAsia="仿宋" w:cs="Times New Roman"/>
          <w:szCs w:val="21"/>
        </w:rPr>
        <w:t xml:space="preserve">Full set（3 original and 3 copies）of </w:t>
      </w:r>
      <w:r>
        <w:rPr>
          <w:rFonts w:eastAsia="仿宋" w:cs="Times New Roman"/>
          <w:szCs w:val="21"/>
          <w:lang w:eastAsia="zh-TW"/>
        </w:rPr>
        <w:t>c</w:t>
      </w:r>
      <w:r>
        <w:rPr>
          <w:rFonts w:eastAsia="仿宋" w:cs="Times New Roman"/>
          <w:szCs w:val="21"/>
        </w:rPr>
        <w:t xml:space="preserve">lean on </w:t>
      </w:r>
      <w:r>
        <w:rPr>
          <w:rFonts w:eastAsia="仿宋" w:cs="Times New Roman"/>
          <w:szCs w:val="21"/>
          <w:lang w:eastAsia="zh-TW"/>
        </w:rPr>
        <w:t>b</w:t>
      </w:r>
      <w:r>
        <w:rPr>
          <w:rFonts w:eastAsia="仿宋" w:cs="Times New Roman"/>
          <w:szCs w:val="21"/>
        </w:rPr>
        <w:t xml:space="preserve">oard </w:t>
      </w:r>
      <w:r>
        <w:rPr>
          <w:rFonts w:eastAsia="仿宋" w:cs="Times New Roman"/>
          <w:szCs w:val="21"/>
          <w:lang w:eastAsia="zh-TW"/>
        </w:rPr>
        <w:t>o</w:t>
      </w:r>
      <w:r>
        <w:rPr>
          <w:rFonts w:eastAsia="仿宋" w:cs="Times New Roman"/>
          <w:szCs w:val="21"/>
        </w:rPr>
        <w:t>cean Bill of Lading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eastAsia="仿宋" w:cs="Times New Roman"/>
          <w:szCs w:val="21"/>
          <w:lang w:eastAsia="zh-TW"/>
        </w:rPr>
        <w:t>, n</w:t>
      </w:r>
      <w:r>
        <w:rPr>
          <w:rFonts w:eastAsia="仿宋" w:cs="Times New Roman"/>
          <w:szCs w:val="21"/>
        </w:rPr>
        <w:t>otifying</w:t>
      </w:r>
      <w:r>
        <w:rPr>
          <w:rFonts w:hint="eastAsia" w:eastAsia="仿宋" w:cs="Times New Roman"/>
          <w:szCs w:val="21"/>
        </w:rPr>
        <w:t xml:space="preserve"> </w:t>
      </w:r>
      <w:r>
        <w:rPr>
          <w:rFonts w:eastAsia="仿宋" w:cs="Times New Roman"/>
          <w:szCs w:val="21"/>
        </w:rPr>
        <w:t>the Buyer</w:t>
      </w:r>
      <w:r>
        <w:rPr>
          <w:rFonts w:eastAsia="仿宋" w:cs="Times New Roman"/>
          <w:szCs w:val="21"/>
          <w:lang w:eastAsia="zh-TW"/>
        </w:rPr>
        <w:t>;</w:t>
      </w:r>
      <w:r>
        <w:rPr>
          <w:rFonts w:eastAsia="仿宋" w:cs="Times New Roman"/>
          <w:szCs w:val="21"/>
        </w:rPr>
        <w:t xml:space="preserve"> </w:t>
      </w:r>
    </w:p>
    <w:p w14:paraId="44AE125E">
      <w:pPr>
        <w:spacing w:line="240" w:lineRule="auto"/>
        <w:ind w:left="987" w:leftChars="470"/>
        <w:rPr>
          <w:rFonts w:eastAsia="仿宋" w:cs="Times New Roman"/>
          <w:szCs w:val="21"/>
        </w:rPr>
      </w:pPr>
      <w:r>
        <w:rPr>
          <w:rFonts w:eastAsia="仿宋" w:cs="Times New Roman"/>
          <w:szCs w:val="21"/>
        </w:rPr>
        <w:t>全套(三正三副)标明“运费已付”的清洁的已装船海运提单，收货人为</w:t>
      </w:r>
      <w:r>
        <w:rPr>
          <w:rFonts w:hint="eastAsia" w:eastAsia="仿宋" w:cs="Times New Roman"/>
          <w:szCs w:val="21"/>
        </w:rPr>
        <w:t>买方</w:t>
      </w:r>
      <w:r>
        <w:rPr>
          <w:rFonts w:eastAsia="仿宋" w:cs="Times New Roman"/>
          <w:szCs w:val="21"/>
        </w:rPr>
        <w:t>，通知人为</w:t>
      </w:r>
      <w:r>
        <w:rPr>
          <w:rFonts w:hint="eastAsia" w:eastAsia="仿宋" w:cs="Times New Roman"/>
          <w:szCs w:val="21"/>
        </w:rPr>
        <w:t>买方</w:t>
      </w:r>
      <w:r>
        <w:rPr>
          <w:rFonts w:eastAsia="仿宋" w:cs="Times New Roman"/>
          <w:szCs w:val="21"/>
        </w:rPr>
        <w:t>。</w:t>
      </w:r>
    </w:p>
    <w:p w14:paraId="264808AB">
      <w:pPr>
        <w:tabs>
          <w:tab w:val="left" w:pos="933"/>
          <w:tab w:val="left" w:pos="993"/>
        </w:tabs>
        <w:ind w:left="1050" w:leftChars="500"/>
        <w:rPr>
          <w:rFonts w:eastAsia="仿宋" w:cs="Times New Roman"/>
          <w:szCs w:val="21"/>
        </w:rPr>
      </w:pPr>
      <w:r>
        <w:rPr>
          <w:rFonts w:hint="eastAsia" w:eastAsia="仿宋" w:cs="Times New Roman"/>
          <w:b/>
          <w:bCs/>
          <w:i/>
          <w:iCs/>
          <w:szCs w:val="21"/>
        </w:rPr>
        <w:t>（空运适用）</w:t>
      </w:r>
      <w:r>
        <w:rPr>
          <w:rFonts w:eastAsia="楷体_GB2312" w:cs="Times New Roman"/>
          <w:szCs w:val="21"/>
        </w:rPr>
        <w:t>Copy of clean airway bill,</w:t>
      </w:r>
      <w:r>
        <w:rPr>
          <w:rFonts w:eastAsia="仿宋" w:cs="Times New Roman"/>
          <w:szCs w:val="21"/>
        </w:rPr>
        <w:t xml:space="preserve">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hint="eastAsia" w:eastAsia="仿宋" w:cs="Times New Roman"/>
          <w:szCs w:val="21"/>
        </w:rPr>
        <w:t>.</w:t>
      </w:r>
      <w:r>
        <w:rPr>
          <w:rFonts w:eastAsia="仿宋" w:cs="Times New Roman"/>
          <w:szCs w:val="21"/>
        </w:rPr>
        <w:t xml:space="preserve"> </w:t>
      </w:r>
    </w:p>
    <w:p w14:paraId="0757E241">
      <w:pPr>
        <w:ind w:left="720" w:firstLine="420" w:firstLineChars="200"/>
        <w:rPr>
          <w:rFonts w:eastAsia="仿宋" w:cs="Times New Roman"/>
          <w:szCs w:val="21"/>
        </w:rPr>
      </w:pPr>
      <w:r>
        <w:rPr>
          <w:rFonts w:hint="eastAsia" w:eastAsia="仿宋" w:cs="Times New Roman"/>
          <w:szCs w:val="21"/>
        </w:rPr>
        <w:t>清洁空运单副本，收货人为买方，并注明运费已付。</w:t>
      </w:r>
    </w:p>
    <w:p w14:paraId="652C2AE4">
      <w:pPr>
        <w:spacing w:line="240" w:lineRule="auto"/>
        <w:rPr>
          <w:rFonts w:eastAsia="仿宋" w:cs="Times New Roman"/>
          <w:szCs w:val="21"/>
        </w:rPr>
      </w:pPr>
    </w:p>
    <w:p w14:paraId="65C7CE3D">
      <w:pPr>
        <w:numPr>
          <w:ilvl w:val="0"/>
          <w:numId w:val="17"/>
        </w:numPr>
        <w:tabs>
          <w:tab w:val="left" w:pos="993"/>
        </w:tabs>
        <w:spacing w:line="240" w:lineRule="auto"/>
        <w:rPr>
          <w:rFonts w:eastAsia="仿宋" w:cs="Times New Roman"/>
          <w:szCs w:val="21"/>
        </w:rPr>
      </w:pPr>
      <w:r>
        <w:rPr>
          <w:rFonts w:eastAsia="仿宋" w:cs="Times New Roman"/>
          <w:szCs w:val="21"/>
          <w:lang w:eastAsia="zh-TW"/>
        </w:rPr>
        <w:t>I</w:t>
      </w:r>
      <w:r>
        <w:rPr>
          <w:rFonts w:eastAsia="仿宋" w:cs="Times New Roman"/>
          <w:szCs w:val="21"/>
        </w:rPr>
        <w:t xml:space="preserve">nvoice in five </w:t>
      </w:r>
      <w:r>
        <w:rPr>
          <w:rFonts w:eastAsia="仿宋" w:cs="Times New Roman"/>
          <w:szCs w:val="21"/>
          <w:lang w:eastAsia="zh-TW"/>
        </w:rPr>
        <w:t xml:space="preserve">(5) </w:t>
      </w:r>
      <w:r>
        <w:rPr>
          <w:rFonts w:eastAsia="仿宋" w:cs="Times New Roman"/>
          <w:szCs w:val="21"/>
        </w:rPr>
        <w:t xml:space="preserve">copies, indicating </w:t>
      </w:r>
      <w:r>
        <w:rPr>
          <w:rFonts w:eastAsia="仿宋" w:cs="Times New Roman"/>
          <w:szCs w:val="21"/>
          <w:lang w:eastAsia="zh-TW"/>
        </w:rPr>
        <w:t xml:space="preserve">(including but not limited to) </w:t>
      </w:r>
      <w:r>
        <w:rPr>
          <w:rFonts w:hint="eastAsia" w:eastAsia="仿宋" w:cs="Times New Roman"/>
          <w:szCs w:val="21"/>
        </w:rPr>
        <w:t>shipment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total</w:t>
      </w:r>
      <w:r>
        <w:rPr>
          <w:rFonts w:eastAsia="仿宋" w:cs="Times New Roman"/>
          <w:szCs w:val="21"/>
          <w:lang w:eastAsia="zh-TW"/>
        </w:rPr>
        <w:t xml:space="preserve"> </w:t>
      </w:r>
      <w:r>
        <w:rPr>
          <w:rFonts w:hint="eastAsia" w:eastAsia="仿宋" w:cs="Times New Roman"/>
          <w:szCs w:val="21"/>
        </w:rPr>
        <w:t>contract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w:t>
      </w:r>
      <w:r>
        <w:rPr>
          <w:rFonts w:eastAsia="仿宋" w:cs="Times New Roman"/>
          <w:szCs w:val="21"/>
        </w:rPr>
        <w:t>contract number and shipping marks</w:t>
      </w:r>
      <w:r>
        <w:rPr>
          <w:rFonts w:eastAsia="仿宋" w:cs="Times New Roman"/>
          <w:szCs w:val="21"/>
          <w:lang w:eastAsia="zh-TW"/>
        </w:rPr>
        <w:t>;</w:t>
      </w:r>
    </w:p>
    <w:p w14:paraId="269B12B6">
      <w:pPr>
        <w:spacing w:line="240" w:lineRule="auto"/>
        <w:ind w:left="567"/>
        <w:rPr>
          <w:rFonts w:eastAsia="仿宋" w:cs="Times New Roman"/>
          <w:szCs w:val="21"/>
        </w:rPr>
      </w:pPr>
      <w:r>
        <w:rPr>
          <w:rFonts w:eastAsia="仿宋" w:cs="Times New Roman"/>
          <w:szCs w:val="21"/>
        </w:rPr>
        <w:t xml:space="preserve">  发票一式五份，应载明（包括但不限于）</w:t>
      </w:r>
      <w:r>
        <w:rPr>
          <w:rFonts w:hint="eastAsia" w:eastAsia="仿宋" w:cs="Times New Roman"/>
          <w:szCs w:val="21"/>
        </w:rPr>
        <w:t>发运金额、合同总金额、</w:t>
      </w:r>
      <w:r>
        <w:rPr>
          <w:rFonts w:eastAsia="仿宋" w:cs="Times New Roman"/>
          <w:szCs w:val="21"/>
        </w:rPr>
        <w:t>合同号码和唛头。</w:t>
      </w:r>
    </w:p>
    <w:p w14:paraId="458E6BA4">
      <w:pPr>
        <w:numPr>
          <w:ilvl w:val="0"/>
          <w:numId w:val="17"/>
        </w:numPr>
        <w:tabs>
          <w:tab w:val="left" w:pos="993"/>
        </w:tabs>
        <w:spacing w:line="240" w:lineRule="auto"/>
        <w:rPr>
          <w:rFonts w:eastAsia="仿宋" w:cs="Times New Roman"/>
          <w:szCs w:val="21"/>
        </w:rPr>
      </w:pPr>
      <w:r>
        <w:rPr>
          <w:rFonts w:eastAsia="仿宋" w:cs="Times New Roman"/>
          <w:szCs w:val="21"/>
        </w:rPr>
        <w:t xml:space="preserve">Packing </w:t>
      </w:r>
      <w:r>
        <w:rPr>
          <w:rFonts w:eastAsia="仿宋" w:cs="Times New Roman"/>
          <w:szCs w:val="21"/>
          <w:lang w:eastAsia="zh-TW"/>
        </w:rPr>
        <w:t>l</w:t>
      </w:r>
      <w:r>
        <w:rPr>
          <w:rFonts w:eastAsia="仿宋" w:cs="Times New Roman"/>
          <w:szCs w:val="21"/>
        </w:rPr>
        <w:t xml:space="preserve">ist in </w:t>
      </w:r>
      <w:r>
        <w:rPr>
          <w:rFonts w:eastAsia="仿宋" w:cs="Times New Roman"/>
          <w:szCs w:val="21"/>
          <w:lang w:eastAsia="zh-TW"/>
        </w:rPr>
        <w:t>two (2) copies,</w:t>
      </w:r>
      <w:r>
        <w:rPr>
          <w:rFonts w:eastAsia="仿宋" w:cs="Times New Roman"/>
          <w:szCs w:val="21"/>
        </w:rPr>
        <w:t xml:space="preserve"> </w:t>
      </w:r>
      <w:r>
        <w:rPr>
          <w:rFonts w:eastAsia="仿宋" w:cs="Times New Roman"/>
          <w:szCs w:val="21"/>
          <w:lang w:eastAsia="zh-TW"/>
        </w:rPr>
        <w:t>indicating (including but not limited to)</w:t>
      </w:r>
      <w:r>
        <w:rPr>
          <w:rFonts w:eastAsia="仿宋" w:cs="Times New Roman"/>
          <w:szCs w:val="21"/>
        </w:rPr>
        <w:t xml:space="preserve"> gross weights and net weights, measurements, the name and quantity of each item of Commodities packed</w:t>
      </w:r>
      <w:r>
        <w:rPr>
          <w:rFonts w:eastAsia="仿宋" w:cs="Times New Roman"/>
          <w:szCs w:val="21"/>
          <w:lang w:eastAsia="zh-TW"/>
        </w:rPr>
        <w:t>;</w:t>
      </w:r>
    </w:p>
    <w:p w14:paraId="20155E4D">
      <w:pPr>
        <w:spacing w:line="240" w:lineRule="auto"/>
        <w:ind w:left="987" w:leftChars="470"/>
        <w:rPr>
          <w:rFonts w:eastAsia="仿宋" w:cs="Times New Roman"/>
          <w:szCs w:val="21"/>
        </w:rPr>
      </w:pPr>
      <w:r>
        <w:rPr>
          <w:rFonts w:eastAsia="仿宋" w:cs="Times New Roman"/>
          <w:szCs w:val="21"/>
        </w:rPr>
        <w:t>装箱单一式两份，应载明（包括但不限于）每件包装的总重、净重、尺寸、名称以及数量。</w:t>
      </w:r>
    </w:p>
    <w:p w14:paraId="7B43BDB3">
      <w:pPr>
        <w:numPr>
          <w:ilvl w:val="0"/>
          <w:numId w:val="17"/>
        </w:numPr>
        <w:tabs>
          <w:tab w:val="left" w:pos="993"/>
        </w:tabs>
        <w:spacing w:line="240" w:lineRule="auto"/>
        <w:rPr>
          <w:rFonts w:eastAsia="仿宋" w:cs="Times New Roman"/>
          <w:szCs w:val="21"/>
        </w:rPr>
      </w:pPr>
      <w:r>
        <w:rPr>
          <w:rFonts w:eastAsia="仿宋" w:cs="Times New Roman"/>
          <w:szCs w:val="21"/>
        </w:rPr>
        <w:t xml:space="preserve">Certificate of </w:t>
      </w:r>
      <w:r>
        <w:rPr>
          <w:rFonts w:eastAsia="仿宋" w:cs="Times New Roman"/>
          <w:szCs w:val="21"/>
          <w:lang w:eastAsia="zh-TW"/>
        </w:rPr>
        <w:t>Q</w:t>
      </w:r>
      <w:r>
        <w:rPr>
          <w:rFonts w:eastAsia="仿宋" w:cs="Times New Roman"/>
          <w:szCs w:val="21"/>
        </w:rPr>
        <w:t xml:space="preserve">uality </w:t>
      </w:r>
      <w:r>
        <w:rPr>
          <w:rFonts w:eastAsia="仿宋" w:cs="Times New Roman"/>
          <w:szCs w:val="21"/>
          <w:lang w:eastAsia="zh-TW"/>
        </w:rPr>
        <w:t xml:space="preserve">issued </w:t>
      </w:r>
      <w:r>
        <w:rPr>
          <w:rFonts w:eastAsia="仿宋" w:cs="Times New Roman"/>
          <w:szCs w:val="21"/>
        </w:rPr>
        <w:t xml:space="preserve">by the Seller </w:t>
      </w:r>
      <w:r>
        <w:rPr>
          <w:rFonts w:eastAsia="仿宋" w:cs="Times New Roman"/>
          <w:szCs w:val="21"/>
          <w:lang w:eastAsia="zh-TW"/>
        </w:rPr>
        <w:t xml:space="preserve">in </w:t>
      </w:r>
      <w:r>
        <w:rPr>
          <w:rFonts w:eastAsia="仿宋" w:cs="Times New Roman"/>
          <w:szCs w:val="21"/>
        </w:rPr>
        <w:t>2</w:t>
      </w:r>
      <w:r>
        <w:rPr>
          <w:rFonts w:eastAsia="仿宋" w:cs="Times New Roman"/>
          <w:szCs w:val="21"/>
          <w:lang w:eastAsia="zh-TW"/>
        </w:rPr>
        <w:t xml:space="preserve"> original;</w:t>
      </w:r>
      <w:r>
        <w:rPr>
          <w:rFonts w:eastAsia="仿宋" w:cs="Times New Roman"/>
          <w:szCs w:val="21"/>
        </w:rPr>
        <w:t xml:space="preserve"> </w:t>
      </w:r>
    </w:p>
    <w:p w14:paraId="0C8C4DCF">
      <w:pPr>
        <w:spacing w:line="240" w:lineRule="auto"/>
        <w:ind w:left="567" w:leftChars="270" w:firstLine="315" w:firstLineChars="150"/>
        <w:rPr>
          <w:rFonts w:eastAsia="仿宋" w:cs="Times New Roman"/>
          <w:szCs w:val="21"/>
        </w:rPr>
      </w:pPr>
      <w:r>
        <w:rPr>
          <w:rFonts w:eastAsia="仿宋" w:cs="Times New Roman"/>
          <w:szCs w:val="21"/>
        </w:rPr>
        <w:t>一式两份由</w:t>
      </w:r>
      <w:r>
        <w:rPr>
          <w:rFonts w:hint="eastAsia" w:eastAsia="仿宋" w:cs="Times New Roman"/>
          <w:szCs w:val="21"/>
        </w:rPr>
        <w:t>卖方</w:t>
      </w:r>
      <w:r>
        <w:rPr>
          <w:rFonts w:eastAsia="仿宋" w:cs="Times New Roman"/>
          <w:szCs w:val="21"/>
        </w:rPr>
        <w:t>出具的质量证明书。</w:t>
      </w:r>
    </w:p>
    <w:p w14:paraId="1D9946C4">
      <w:pPr>
        <w:tabs>
          <w:tab w:val="left" w:pos="709"/>
        </w:tabs>
        <w:snapToGrid w:val="0"/>
        <w:spacing w:line="240" w:lineRule="auto"/>
        <w:ind w:left="985" w:leftChars="469"/>
        <w:rPr>
          <w:rFonts w:eastAsia="仿宋" w:cs="Times New Roman"/>
          <w:szCs w:val="21"/>
        </w:rPr>
      </w:pPr>
      <w:r>
        <w:rPr>
          <w:rFonts w:eastAsia="楷体_GB2312" w:cs="Times New Roman"/>
          <w:szCs w:val="21"/>
        </w:rPr>
        <w:t>The Certificate of Quality shall include</w:t>
      </w:r>
      <w:r>
        <w:rPr>
          <w:rFonts w:hint="eastAsia" w:eastAsia="楷体_GB2312" w:cs="Times New Roman"/>
          <w:szCs w:val="21"/>
        </w:rPr>
        <w:t xml:space="preserve"> </w:t>
      </w:r>
      <w:r>
        <w:rPr>
          <w:rFonts w:eastAsia="楷体_GB2312" w:cs="Times New Roman"/>
          <w:szCs w:val="21"/>
        </w:rPr>
        <w:t>dimension results, mechanical properties (longitudinal and transverse static strength), microstructure, chemical composition, inspection certificate of</w:t>
      </w:r>
      <w:r>
        <w:rPr>
          <w:rFonts w:hint="eastAsia" w:eastAsia="楷体_GB2312" w:cs="Times New Roman"/>
          <w:szCs w:val="21"/>
        </w:rPr>
        <w:t xml:space="preserve"> </w:t>
      </w:r>
      <w:bookmarkStart w:id="50" w:name="OLE_LINK24"/>
      <w:bookmarkStart w:id="51" w:name="OLE_LINK22"/>
      <w:r>
        <w:rPr>
          <w:rFonts w:eastAsia="楷体_GB2312" w:cs="Times New Roman"/>
          <w:szCs w:val="21"/>
        </w:rPr>
        <w:t>hot rolled bars</w:t>
      </w:r>
      <w:bookmarkEnd w:id="50"/>
      <w:bookmarkEnd w:id="51"/>
      <w:r>
        <w:rPr>
          <w:rFonts w:eastAsia="楷体_GB2312" w:cs="Times New Roman"/>
          <w:szCs w:val="21"/>
        </w:rPr>
        <w:t>, etc.).</w:t>
      </w:r>
    </w:p>
    <w:p w14:paraId="6047C5C0">
      <w:pPr>
        <w:spacing w:line="240" w:lineRule="auto"/>
        <w:ind w:left="985" w:leftChars="469"/>
        <w:rPr>
          <w:rFonts w:eastAsia="仿宋" w:cs="Times New Roman"/>
          <w:i/>
          <w:iCs/>
          <w:szCs w:val="21"/>
        </w:rPr>
      </w:pPr>
      <w:r>
        <w:rPr>
          <w:rFonts w:hint="eastAsia" w:eastAsia="仿宋" w:cs="Times New Roman"/>
          <w:szCs w:val="21"/>
        </w:rPr>
        <w:t>质量证明书中需包括全尺寸检验、机械性能（纵向横向力学性能、金相组织、化学成分、钢材的检验证书等内容。）</w:t>
      </w:r>
      <w:r>
        <w:rPr>
          <w:rFonts w:hint="eastAsia" w:eastAsia="仿宋" w:cs="Times New Roman"/>
          <w:i/>
          <w:iCs/>
          <w:szCs w:val="21"/>
        </w:rPr>
        <w:t>（根据最终用户要求明确具体内容）</w:t>
      </w:r>
    </w:p>
    <w:p w14:paraId="6C97FC0D">
      <w:pPr>
        <w:numPr>
          <w:ilvl w:val="0"/>
          <w:numId w:val="17"/>
        </w:numPr>
        <w:tabs>
          <w:tab w:val="left" w:pos="993"/>
        </w:tabs>
        <w:spacing w:line="240" w:lineRule="auto"/>
        <w:rPr>
          <w:rFonts w:eastAsia="仿宋" w:cs="Times New Roman"/>
          <w:szCs w:val="21"/>
        </w:rPr>
      </w:pPr>
      <w:r>
        <w:rPr>
          <w:rFonts w:eastAsia="仿宋" w:cs="Times New Roman"/>
          <w:szCs w:val="21"/>
        </w:rPr>
        <w:t xml:space="preserve">Certificate of Quantity </w:t>
      </w:r>
      <w:r>
        <w:rPr>
          <w:rFonts w:eastAsia="仿宋" w:cs="Times New Roman"/>
          <w:szCs w:val="21"/>
          <w:lang w:eastAsia="zh-TW"/>
        </w:rPr>
        <w:t xml:space="preserve">of the Commodities issued </w:t>
      </w:r>
      <w:r>
        <w:rPr>
          <w:rFonts w:eastAsia="仿宋" w:cs="Times New Roman"/>
          <w:szCs w:val="21"/>
        </w:rPr>
        <w:t xml:space="preserve">by </w:t>
      </w:r>
      <w:r>
        <w:rPr>
          <w:rFonts w:eastAsia="仿宋" w:cs="Times New Roman"/>
          <w:szCs w:val="21"/>
          <w:lang w:eastAsia="zh-TW"/>
        </w:rPr>
        <w:t>the Seller;</w:t>
      </w:r>
    </w:p>
    <w:p w14:paraId="3D96007E">
      <w:pPr>
        <w:tabs>
          <w:tab w:val="left" w:pos="993"/>
        </w:tabs>
        <w:spacing w:line="240" w:lineRule="auto"/>
        <w:ind w:left="933"/>
        <w:rPr>
          <w:rFonts w:eastAsia="仿宋" w:cs="Times New Roman"/>
          <w:szCs w:val="21"/>
        </w:rPr>
      </w:pPr>
      <w:r>
        <w:rPr>
          <w:rFonts w:eastAsia="仿宋" w:cs="Times New Roman"/>
          <w:szCs w:val="21"/>
        </w:rPr>
        <w:t>由</w:t>
      </w:r>
      <w:r>
        <w:rPr>
          <w:rFonts w:hint="eastAsia" w:eastAsia="仿宋" w:cs="Times New Roman"/>
          <w:szCs w:val="21"/>
        </w:rPr>
        <w:t>卖方</w:t>
      </w:r>
      <w:r>
        <w:rPr>
          <w:rFonts w:eastAsia="仿宋" w:cs="Times New Roman"/>
          <w:szCs w:val="21"/>
        </w:rPr>
        <w:t>出具的数量证明书。</w:t>
      </w:r>
    </w:p>
    <w:p w14:paraId="051D5849">
      <w:pPr>
        <w:numPr>
          <w:ilvl w:val="0"/>
          <w:numId w:val="17"/>
        </w:numPr>
        <w:tabs>
          <w:tab w:val="left" w:pos="993"/>
        </w:tabs>
        <w:spacing w:line="240" w:lineRule="auto"/>
        <w:rPr>
          <w:rFonts w:eastAsia="仿宋" w:cs="Times New Roman"/>
          <w:szCs w:val="21"/>
        </w:rPr>
      </w:pPr>
      <w:r>
        <w:rPr>
          <w:rFonts w:hint="eastAsia" w:eastAsia="仿宋" w:cs="Times New Roman"/>
          <w:b/>
          <w:bCs/>
          <w:i/>
          <w:iCs/>
          <w:szCs w:val="21"/>
        </w:rPr>
        <w:t>（</w:t>
      </w:r>
      <w:r>
        <w:rPr>
          <w:rFonts w:eastAsia="仿宋" w:cs="Times New Roman"/>
          <w:b/>
          <w:bCs/>
          <w:i/>
          <w:iCs/>
          <w:szCs w:val="21"/>
        </w:rPr>
        <w:t>CIF.CIP</w:t>
      </w:r>
      <w:r>
        <w:rPr>
          <w:rFonts w:hint="eastAsia" w:eastAsia="仿宋" w:cs="Times New Roman"/>
          <w:b/>
          <w:bCs/>
          <w:i/>
          <w:iCs/>
          <w:szCs w:val="21"/>
        </w:rPr>
        <w:t>适用）</w:t>
      </w:r>
      <w:r>
        <w:rPr>
          <w:rFonts w:eastAsia="仿宋" w:cs="Times New Roman"/>
          <w:szCs w:val="21"/>
        </w:rPr>
        <w:t xml:space="preserve">Insurance </w:t>
      </w:r>
      <w:r>
        <w:rPr>
          <w:rFonts w:eastAsia="仿宋" w:cs="Times New Roman"/>
          <w:szCs w:val="21"/>
          <w:lang w:eastAsia="zh-TW"/>
        </w:rPr>
        <w:t>policy covering all risks at 110% of the</w:t>
      </w:r>
      <w:r>
        <w:rPr>
          <w:rFonts w:eastAsia="仿宋" w:cs="Times New Roman"/>
          <w:szCs w:val="21"/>
        </w:rPr>
        <w:t xml:space="preserve"> each</w:t>
      </w:r>
      <w:r>
        <w:rPr>
          <w:rFonts w:eastAsia="仿宋" w:cs="Times New Roman"/>
          <w:szCs w:val="21"/>
          <w:lang w:eastAsia="zh-TW"/>
        </w:rPr>
        <w:t xml:space="preserve"> </w:t>
      </w:r>
      <w:r>
        <w:rPr>
          <w:rFonts w:eastAsia="仿宋" w:cs="Times New Roman"/>
          <w:szCs w:val="21"/>
        </w:rPr>
        <w:t xml:space="preserve">shipment </w:t>
      </w:r>
      <w:r>
        <w:rPr>
          <w:rFonts w:eastAsia="仿宋" w:cs="Times New Roman"/>
          <w:szCs w:val="21"/>
          <w:lang w:eastAsia="zh-TW"/>
        </w:rPr>
        <w:t>of the Commodities;</w:t>
      </w:r>
      <w:r>
        <w:rPr>
          <w:rFonts w:eastAsia="仿宋" w:cs="Times New Roman"/>
          <w:szCs w:val="21"/>
        </w:rPr>
        <w:t xml:space="preserve"> </w:t>
      </w:r>
    </w:p>
    <w:p w14:paraId="2ABA42B8">
      <w:pPr>
        <w:tabs>
          <w:tab w:val="left" w:pos="993"/>
        </w:tabs>
        <w:spacing w:line="240" w:lineRule="auto"/>
        <w:ind w:left="933"/>
        <w:rPr>
          <w:rFonts w:eastAsia="仿宋" w:cs="Times New Roman"/>
          <w:szCs w:val="21"/>
        </w:rPr>
      </w:pPr>
      <w:r>
        <w:rPr>
          <w:rFonts w:eastAsia="仿宋" w:cs="Times New Roman"/>
          <w:szCs w:val="21"/>
        </w:rPr>
        <w:t>每批货物总值110%一切险的保单。</w:t>
      </w:r>
    </w:p>
    <w:p w14:paraId="4CE6B775">
      <w:pPr>
        <w:numPr>
          <w:ilvl w:val="0"/>
          <w:numId w:val="17"/>
        </w:numPr>
        <w:tabs>
          <w:tab w:val="left" w:pos="993"/>
        </w:tabs>
        <w:spacing w:line="240" w:lineRule="auto"/>
        <w:rPr>
          <w:rFonts w:eastAsia="仿宋" w:cs="Times New Roman"/>
          <w:szCs w:val="21"/>
        </w:rPr>
      </w:pPr>
      <w:r>
        <w:rPr>
          <w:rFonts w:eastAsia="仿宋" w:cs="Times New Roman"/>
          <w:szCs w:val="21"/>
          <w:lang w:eastAsia="zh-TW"/>
        </w:rPr>
        <w:t>Seller’s written notification to the Buyer by fax</w:t>
      </w:r>
      <w:r>
        <w:rPr>
          <w:rFonts w:eastAsia="仿宋" w:cs="Times New Roman"/>
          <w:szCs w:val="21"/>
        </w:rPr>
        <w:t xml:space="preserve">/email advising the </w:t>
      </w:r>
      <w:r>
        <w:rPr>
          <w:rFonts w:eastAsia="仿宋" w:cs="Times New Roman"/>
          <w:szCs w:val="21"/>
          <w:lang w:eastAsia="zh-TW"/>
        </w:rPr>
        <w:t>B</w:t>
      </w:r>
      <w:r>
        <w:rPr>
          <w:rFonts w:eastAsia="仿宋" w:cs="Times New Roman"/>
          <w:szCs w:val="21"/>
        </w:rPr>
        <w:t xml:space="preserve">uyer of the shipping Date/Delivery.  </w:t>
      </w:r>
    </w:p>
    <w:p w14:paraId="7558B918">
      <w:pPr>
        <w:tabs>
          <w:tab w:val="left" w:pos="993"/>
        </w:tabs>
        <w:spacing w:line="240" w:lineRule="auto"/>
        <w:ind w:left="933"/>
        <w:rPr>
          <w:rFonts w:eastAsia="仿宋" w:cs="Times New Roman"/>
          <w:szCs w:val="21"/>
        </w:rPr>
      </w:pPr>
      <w:r>
        <w:rPr>
          <w:rFonts w:eastAsia="仿宋" w:cs="Times New Roman"/>
          <w:szCs w:val="21"/>
        </w:rPr>
        <w:t>在</w:t>
      </w:r>
      <w:r>
        <w:rPr>
          <w:rFonts w:hint="eastAsia" w:eastAsia="仿宋" w:cs="Times New Roman"/>
          <w:szCs w:val="21"/>
        </w:rPr>
        <w:t>每批</w:t>
      </w:r>
      <w:r>
        <w:rPr>
          <w:rFonts w:eastAsia="仿宋" w:cs="Times New Roman"/>
          <w:szCs w:val="21"/>
        </w:rPr>
        <w:t>货物装船</w:t>
      </w:r>
      <w:r>
        <w:rPr>
          <w:rFonts w:hint="eastAsia" w:eastAsia="仿宋" w:cs="Times New Roman"/>
          <w:szCs w:val="21"/>
        </w:rPr>
        <w:t>/交货</w:t>
      </w:r>
      <w:r>
        <w:rPr>
          <w:rFonts w:eastAsia="仿宋" w:cs="Times New Roman"/>
          <w:szCs w:val="21"/>
        </w:rPr>
        <w:t>后由卖方立即传真/邮件给买方的发货通知书。</w:t>
      </w:r>
    </w:p>
    <w:p w14:paraId="4B406684">
      <w:pPr>
        <w:numPr>
          <w:ilvl w:val="0"/>
          <w:numId w:val="17"/>
        </w:numPr>
        <w:tabs>
          <w:tab w:val="left" w:pos="993"/>
        </w:tabs>
        <w:spacing w:line="240" w:lineRule="auto"/>
        <w:rPr>
          <w:rFonts w:eastAsia="仿宋" w:cs="Times New Roman"/>
          <w:szCs w:val="21"/>
        </w:rPr>
      </w:pPr>
      <w:r>
        <w:rPr>
          <w:rFonts w:eastAsia="仿宋" w:cs="Times New Roman"/>
          <w:szCs w:val="21"/>
        </w:rPr>
        <w:t>Certificate of origin by Local Chamber of Commerce</w:t>
      </w:r>
      <w:r>
        <w:rPr>
          <w:rFonts w:hint="eastAsia" w:eastAsia="仿宋" w:cs="Times New Roman"/>
          <w:szCs w:val="21"/>
        </w:rPr>
        <w:t xml:space="preserve"> where the manufacturer resides</w:t>
      </w:r>
      <w:r>
        <w:rPr>
          <w:rFonts w:eastAsia="仿宋" w:cs="Times New Roman"/>
          <w:szCs w:val="21"/>
        </w:rPr>
        <w:t xml:space="preserve">, which should indicate the main parts are not made in </w:t>
      </w:r>
      <w:r>
        <w:rPr>
          <w:rFonts w:hint="eastAsia" w:eastAsia="仿宋" w:cs="Times New Roman"/>
          <w:szCs w:val="21"/>
        </w:rPr>
        <w:t>the PRC</w:t>
      </w:r>
      <w:r>
        <w:rPr>
          <w:rFonts w:eastAsia="仿宋" w:cs="Times New Roman"/>
          <w:szCs w:val="21"/>
        </w:rPr>
        <w:t xml:space="preserve">. </w:t>
      </w:r>
    </w:p>
    <w:p w14:paraId="584FADF0">
      <w:pPr>
        <w:spacing w:line="240" w:lineRule="auto"/>
        <w:ind w:left="958" w:leftChars="456"/>
        <w:rPr>
          <w:rFonts w:eastAsia="仿宋" w:cs="Times New Roman"/>
          <w:szCs w:val="21"/>
        </w:rPr>
      </w:pPr>
      <w:r>
        <w:rPr>
          <w:rFonts w:eastAsia="仿宋" w:cs="Times New Roman"/>
          <w:szCs w:val="21"/>
        </w:rPr>
        <w:t>制造商所在地</w:t>
      </w:r>
      <w:r>
        <w:rPr>
          <w:rFonts w:hint="eastAsia" w:eastAsia="仿宋" w:cs="Times New Roman"/>
          <w:szCs w:val="21"/>
        </w:rPr>
        <w:t>商会</w:t>
      </w:r>
      <w:r>
        <w:rPr>
          <w:rFonts w:eastAsia="仿宋" w:cs="Times New Roman"/>
          <w:szCs w:val="21"/>
        </w:rPr>
        <w:t>出具的注明主要部件非中国制造的原产地证明书。</w:t>
      </w:r>
    </w:p>
    <w:p w14:paraId="1C6F9BB5">
      <w:pPr>
        <w:numPr>
          <w:ilvl w:val="0"/>
          <w:numId w:val="17"/>
        </w:numPr>
        <w:tabs>
          <w:tab w:val="left" w:pos="993"/>
        </w:tabs>
        <w:spacing w:line="240" w:lineRule="auto"/>
        <w:rPr>
          <w:rFonts w:eastAsia="仿宋" w:cs="Times New Roman"/>
          <w:szCs w:val="21"/>
        </w:rPr>
      </w:pPr>
      <w:r>
        <w:rPr>
          <w:rFonts w:eastAsia="仿宋" w:cs="Times New Roman"/>
          <w:szCs w:val="21"/>
          <w:lang w:eastAsia="zh-TW"/>
        </w:rPr>
        <w:t xml:space="preserve">IPPC mark must be carried on each package if wooden packing or pallets is used; OR a declaration of non-wood packing issued by the </w:t>
      </w:r>
      <w:r>
        <w:rPr>
          <w:rFonts w:hint="eastAsia" w:eastAsia="仿宋" w:cs="Times New Roman"/>
          <w:szCs w:val="21"/>
        </w:rPr>
        <w:t>S</w:t>
      </w:r>
      <w:r>
        <w:rPr>
          <w:rFonts w:eastAsia="仿宋" w:cs="Times New Roman"/>
          <w:szCs w:val="21"/>
          <w:lang w:eastAsia="zh-TW"/>
        </w:rPr>
        <w:t>eller to state the packing material of shipment is not wood.</w:t>
      </w:r>
      <w:r>
        <w:rPr>
          <w:rFonts w:eastAsia="仿宋" w:cs="Times New Roman"/>
          <w:szCs w:val="21"/>
        </w:rPr>
        <w:t>卖方应在每件包装上贴上IPPC标识</w:t>
      </w:r>
      <w:r>
        <w:rPr>
          <w:rFonts w:hint="eastAsia" w:eastAsia="仿宋" w:cs="Times New Roman"/>
          <w:szCs w:val="21"/>
        </w:rPr>
        <w:t>或出具声明以证实包装材料为非木质。</w:t>
      </w:r>
    </w:p>
    <w:p w14:paraId="6B9DDE72">
      <w:pPr>
        <w:numPr>
          <w:ilvl w:val="0"/>
          <w:numId w:val="17"/>
        </w:numPr>
        <w:tabs>
          <w:tab w:val="left" w:pos="993"/>
        </w:tabs>
        <w:spacing w:line="240" w:lineRule="auto"/>
        <w:rPr>
          <w:rFonts w:eastAsia="仿宋" w:cs="Times New Roman"/>
          <w:szCs w:val="21"/>
        </w:rPr>
      </w:pPr>
      <w:r>
        <w:rPr>
          <w:rFonts w:eastAsia="仿宋" w:cs="Times New Roman"/>
          <w:szCs w:val="21"/>
          <w:lang w:eastAsia="zh-TW"/>
        </w:rPr>
        <w:t>Any other documents pertaining or related to the shipment of Commodities under this Contract, duly signed by authorized persons, and as required by the documentary letter of credit.</w:t>
      </w:r>
    </w:p>
    <w:p w14:paraId="72FC2A73">
      <w:pPr>
        <w:spacing w:line="240" w:lineRule="auto"/>
        <w:ind w:left="735" w:leftChars="-100" w:hanging="945" w:hangingChars="450"/>
        <w:rPr>
          <w:rFonts w:eastAsia="仿宋" w:cs="Times New Roman"/>
          <w:szCs w:val="21"/>
        </w:rPr>
      </w:pPr>
      <w:r>
        <w:rPr>
          <w:rFonts w:eastAsia="仿宋" w:cs="Times New Roman"/>
          <w:szCs w:val="21"/>
        </w:rPr>
        <w:t xml:space="preserve">         根据本合同规定</w:t>
      </w:r>
      <w:r>
        <w:rPr>
          <w:rFonts w:hint="eastAsia" w:eastAsia="仿宋" w:cs="Times New Roman"/>
          <w:szCs w:val="21"/>
        </w:rPr>
        <w:t>要求</w:t>
      </w:r>
      <w:r>
        <w:rPr>
          <w:rFonts w:eastAsia="仿宋" w:cs="Times New Roman"/>
          <w:szCs w:val="21"/>
        </w:rPr>
        <w:t>由授权人员依法签署的与货物有关的其他单据或</w:t>
      </w:r>
      <w:r>
        <w:rPr>
          <w:rFonts w:hint="eastAsia" w:eastAsia="仿宋" w:cs="Times New Roman"/>
          <w:szCs w:val="21"/>
        </w:rPr>
        <w:t>跟单</w:t>
      </w:r>
      <w:r>
        <w:rPr>
          <w:rFonts w:eastAsia="仿宋" w:cs="Times New Roman"/>
          <w:szCs w:val="21"/>
        </w:rPr>
        <w:t>信用证要求的其他单据。</w:t>
      </w:r>
    </w:p>
    <w:p w14:paraId="73BC495A">
      <w:pPr>
        <w:spacing w:line="240" w:lineRule="auto"/>
        <w:ind w:left="993"/>
        <w:rPr>
          <w:rFonts w:eastAsia="仿宋" w:cs="Times New Roman"/>
          <w:szCs w:val="21"/>
        </w:rPr>
      </w:pPr>
    </w:p>
    <w:p w14:paraId="6CC7163F">
      <w:pPr>
        <w:spacing w:line="240" w:lineRule="auto"/>
        <w:rPr>
          <w:rFonts w:eastAsia="仿宋" w:cs="Times New Roman"/>
          <w:szCs w:val="21"/>
          <w:u w:val="single"/>
          <w:lang w:eastAsia="zh-TW"/>
        </w:rPr>
      </w:pPr>
      <w:r>
        <w:rPr>
          <w:rFonts w:eastAsia="仿宋" w:cs="Times New Roman"/>
          <w:szCs w:val="21"/>
        </w:rPr>
        <w:t xml:space="preserve">12.2  </w:t>
      </w:r>
      <w:r>
        <w:rPr>
          <w:rFonts w:eastAsia="仿宋" w:cs="Times New Roman"/>
          <w:b/>
          <w:szCs w:val="21"/>
        </w:rPr>
        <w:t>Technical Documents技术文件</w:t>
      </w:r>
    </w:p>
    <w:p w14:paraId="2E7D7B49">
      <w:pPr>
        <w:spacing w:line="240" w:lineRule="auto"/>
        <w:rPr>
          <w:rFonts w:eastAsia="仿宋" w:cs="Times New Roman"/>
          <w:szCs w:val="21"/>
          <w:lang w:eastAsia="zh-TW"/>
        </w:rPr>
      </w:pPr>
    </w:p>
    <w:p w14:paraId="08964322">
      <w:pPr>
        <w:numPr>
          <w:ilvl w:val="0"/>
          <w:numId w:val="18"/>
        </w:numPr>
        <w:spacing w:line="240" w:lineRule="auto"/>
        <w:rPr>
          <w:rFonts w:eastAsia="仿宋" w:cs="Times New Roman"/>
          <w:szCs w:val="21"/>
          <w:lang w:eastAsia="zh-TW"/>
        </w:rPr>
      </w:pPr>
      <w:r>
        <w:rPr>
          <w:rFonts w:eastAsia="仿宋" w:cs="Times New Roman"/>
          <w:szCs w:val="21"/>
        </w:rPr>
        <w:t>According to the Technical Agreements, the Seller shall prepare,</w:t>
      </w:r>
      <w:r>
        <w:rPr>
          <w:rFonts w:eastAsia="仿宋" w:cs="Times New Roman"/>
          <w:szCs w:val="21"/>
          <w:lang w:eastAsia="zh-TW"/>
        </w:rPr>
        <w:t xml:space="preserve"> provide and deliver</w:t>
      </w:r>
      <w:r>
        <w:rPr>
          <w:rFonts w:eastAsia="仿宋" w:cs="Times New Roman"/>
          <w:szCs w:val="21"/>
        </w:rPr>
        <w:t xml:space="preserve"> those documents to the Enduser. </w:t>
      </w:r>
    </w:p>
    <w:p w14:paraId="759A2416">
      <w:pPr>
        <w:spacing w:line="240" w:lineRule="auto"/>
        <w:ind w:left="735" w:leftChars="350"/>
        <w:rPr>
          <w:rFonts w:eastAsia="仿宋" w:cs="Times New Roman"/>
          <w:szCs w:val="21"/>
        </w:rPr>
      </w:pPr>
      <w:r>
        <w:rPr>
          <w:rFonts w:eastAsia="仿宋" w:cs="Times New Roman"/>
          <w:szCs w:val="21"/>
        </w:rPr>
        <w:t>根据技术协议，卖方应准备并提供给最终用户技术文件。</w:t>
      </w:r>
    </w:p>
    <w:p w14:paraId="7E680960">
      <w:pPr>
        <w:numPr>
          <w:ilvl w:val="0"/>
          <w:numId w:val="18"/>
        </w:numPr>
        <w:spacing w:line="240" w:lineRule="auto"/>
        <w:rPr>
          <w:rFonts w:eastAsia="仿宋" w:cs="Times New Roman"/>
          <w:szCs w:val="21"/>
          <w:lang w:eastAsia="zh-TW"/>
        </w:rPr>
      </w:pPr>
      <w:r>
        <w:rPr>
          <w:rFonts w:eastAsia="仿宋" w:cs="Times New Roman"/>
          <w:szCs w:val="21"/>
          <w:lang w:eastAsia="zh-TW"/>
        </w:rPr>
        <w:t>In the event that any of the Technical Documents is</w:t>
      </w:r>
      <w:r>
        <w:rPr>
          <w:rFonts w:eastAsia="仿宋" w:cs="Times New Roman"/>
          <w:szCs w:val="21"/>
        </w:rPr>
        <w:t xml:space="preserve"> incomplete or lost during transit</w:t>
      </w:r>
      <w:r>
        <w:rPr>
          <w:rFonts w:eastAsia="仿宋" w:cs="Times New Roman"/>
          <w:szCs w:val="21"/>
          <w:lang w:eastAsia="zh-TW"/>
        </w:rPr>
        <w:t xml:space="preserve"> of the Commodities</w:t>
      </w:r>
      <w:r>
        <w:rPr>
          <w:rFonts w:eastAsia="仿宋" w:cs="Times New Roman"/>
          <w:szCs w:val="21"/>
        </w:rPr>
        <w:t xml:space="preserve">, the Seller shall </w:t>
      </w:r>
      <w:r>
        <w:rPr>
          <w:rFonts w:eastAsia="仿宋" w:cs="Times New Roman"/>
          <w:szCs w:val="21"/>
          <w:lang w:eastAsia="zh-TW"/>
        </w:rPr>
        <w:t>provide replacement</w:t>
      </w:r>
      <w:r>
        <w:rPr>
          <w:rFonts w:eastAsia="仿宋" w:cs="Times New Roman"/>
          <w:szCs w:val="21"/>
        </w:rPr>
        <w:t xml:space="preserve"> free of charge to the Enduser within 20 days after </w:t>
      </w:r>
      <w:r>
        <w:rPr>
          <w:rFonts w:eastAsia="仿宋" w:cs="Times New Roman"/>
          <w:szCs w:val="21"/>
          <w:lang w:eastAsia="zh-TW"/>
        </w:rPr>
        <w:t xml:space="preserve">receiving written </w:t>
      </w:r>
      <w:r>
        <w:rPr>
          <w:rFonts w:eastAsia="仿宋" w:cs="Times New Roman"/>
          <w:szCs w:val="21"/>
        </w:rPr>
        <w:t xml:space="preserve">notification </w:t>
      </w:r>
      <w:r>
        <w:rPr>
          <w:rFonts w:eastAsia="仿宋" w:cs="Times New Roman"/>
          <w:szCs w:val="21"/>
          <w:lang w:eastAsia="zh-TW"/>
        </w:rPr>
        <w:t>from</w:t>
      </w:r>
      <w:r>
        <w:rPr>
          <w:rFonts w:eastAsia="仿宋" w:cs="Times New Roman"/>
          <w:szCs w:val="21"/>
        </w:rPr>
        <w:t xml:space="preserve"> the Enduser. </w:t>
      </w:r>
    </w:p>
    <w:p w14:paraId="65B342D9">
      <w:pPr>
        <w:spacing w:line="240" w:lineRule="auto"/>
        <w:ind w:left="735" w:leftChars="-100" w:hanging="945" w:hangingChars="450"/>
        <w:rPr>
          <w:rFonts w:eastAsia="仿宋" w:cs="Times New Roman"/>
          <w:szCs w:val="21"/>
        </w:rPr>
      </w:pPr>
      <w:r>
        <w:rPr>
          <w:rFonts w:eastAsia="仿宋" w:cs="Times New Roman"/>
          <w:szCs w:val="21"/>
        </w:rPr>
        <w:t xml:space="preserve">        一旦本条所述的文件不完整或在运送途中遗失，卖方应在接到最终用户的书面通知后20天内免费再次提供给最终用户。</w:t>
      </w:r>
    </w:p>
    <w:p w14:paraId="3F6B794F">
      <w:pPr>
        <w:numPr>
          <w:ilvl w:val="0"/>
          <w:numId w:val="18"/>
        </w:numPr>
        <w:spacing w:line="240" w:lineRule="auto"/>
        <w:rPr>
          <w:rFonts w:eastAsia="仿宋" w:cs="Times New Roman"/>
          <w:szCs w:val="21"/>
          <w:lang w:eastAsia="zh-TW"/>
        </w:rPr>
      </w:pPr>
      <w:r>
        <w:rPr>
          <w:rFonts w:eastAsia="仿宋" w:cs="Times New Roman"/>
          <w:szCs w:val="21"/>
        </w:rPr>
        <w:t>Final</w:t>
      </w:r>
      <w:r>
        <w:rPr>
          <w:rFonts w:eastAsia="仿宋" w:cs="Times New Roman"/>
          <w:szCs w:val="21"/>
          <w:lang w:eastAsia="zh-TW"/>
        </w:rPr>
        <w:t xml:space="preserve"> updated Technical Documents shall be provided </w:t>
      </w:r>
      <w:r>
        <w:rPr>
          <w:rFonts w:hint="eastAsia" w:eastAsia="仿宋" w:cs="Times New Roman"/>
          <w:szCs w:val="21"/>
        </w:rPr>
        <w:t xml:space="preserve">by the Seller </w:t>
      </w:r>
      <w:r>
        <w:rPr>
          <w:rFonts w:eastAsia="仿宋" w:cs="Times New Roman"/>
          <w:szCs w:val="21"/>
          <w:lang w:eastAsia="zh-TW"/>
        </w:rPr>
        <w:t xml:space="preserve">to the </w:t>
      </w:r>
      <w:r>
        <w:rPr>
          <w:rFonts w:eastAsia="仿宋" w:cs="Times New Roman"/>
          <w:szCs w:val="21"/>
        </w:rPr>
        <w:t>Enduser after the Final Acceptance.</w:t>
      </w:r>
    </w:p>
    <w:p w14:paraId="7903A864">
      <w:pPr>
        <w:spacing w:line="240" w:lineRule="auto"/>
        <w:ind w:left="735" w:leftChars="350"/>
        <w:rPr>
          <w:rFonts w:eastAsia="仿宋" w:cs="Times New Roman"/>
          <w:szCs w:val="21"/>
        </w:rPr>
      </w:pPr>
      <w:r>
        <w:rPr>
          <w:rFonts w:eastAsia="仿宋" w:cs="Times New Roman"/>
          <w:szCs w:val="21"/>
        </w:rPr>
        <w:t>终验收后卖方还应提供最终确定的最新技术文件给</w:t>
      </w:r>
      <w:r>
        <w:rPr>
          <w:rFonts w:hint="eastAsia" w:eastAsia="仿宋" w:cs="Times New Roman"/>
          <w:szCs w:val="21"/>
        </w:rPr>
        <w:t>最终用户</w:t>
      </w:r>
      <w:r>
        <w:rPr>
          <w:rFonts w:eastAsia="仿宋" w:cs="Times New Roman"/>
          <w:szCs w:val="21"/>
        </w:rPr>
        <w:t>。</w:t>
      </w:r>
    </w:p>
    <w:p w14:paraId="53B84E2B">
      <w:pPr>
        <w:numPr>
          <w:ilvl w:val="0"/>
          <w:numId w:val="18"/>
        </w:numPr>
        <w:spacing w:line="240" w:lineRule="auto"/>
        <w:rPr>
          <w:rFonts w:eastAsia="仿宋" w:cs="Times New Roman"/>
          <w:szCs w:val="21"/>
        </w:rPr>
      </w:pPr>
      <w:r>
        <w:rPr>
          <w:rFonts w:eastAsia="仿宋" w:cs="Times New Roman"/>
          <w:szCs w:val="21"/>
          <w:lang w:eastAsia="zh-TW"/>
        </w:rPr>
        <w:t xml:space="preserve">Technical Documents </w:t>
      </w:r>
      <w:r>
        <w:rPr>
          <w:rFonts w:eastAsia="仿宋" w:cs="Times New Roman"/>
          <w:szCs w:val="21"/>
        </w:rPr>
        <w:t>shall be packed separately and dispatched to</w:t>
      </w:r>
      <w:r>
        <w:rPr>
          <w:rFonts w:eastAsia="仿宋" w:cs="Times New Roman"/>
          <w:szCs w:val="21"/>
          <w:lang w:eastAsia="zh-TW"/>
        </w:rPr>
        <w:t xml:space="preserve"> the</w:t>
      </w:r>
      <w:r>
        <w:rPr>
          <w:rFonts w:eastAsia="仿宋" w:cs="Times New Roman"/>
          <w:szCs w:val="21"/>
        </w:rPr>
        <w:t xml:space="preserve"> </w:t>
      </w:r>
      <w:r>
        <w:rPr>
          <w:rFonts w:hint="eastAsia" w:eastAsia="仿宋" w:cs="Times New Roman"/>
          <w:szCs w:val="21"/>
        </w:rPr>
        <w:t>B</w:t>
      </w:r>
      <w:r>
        <w:rPr>
          <w:rFonts w:eastAsia="仿宋" w:cs="Times New Roman"/>
          <w:szCs w:val="21"/>
        </w:rPr>
        <w:t>uyer according to Technical Agreement.</w:t>
      </w:r>
    </w:p>
    <w:p w14:paraId="145FAA7B">
      <w:pPr>
        <w:spacing w:line="240" w:lineRule="auto"/>
        <w:ind w:left="876" w:leftChars="-33" w:hanging="945" w:hangingChars="450"/>
        <w:rPr>
          <w:rFonts w:eastAsia="仿宋" w:cs="Times New Roman"/>
          <w:szCs w:val="21"/>
        </w:rPr>
      </w:pPr>
      <w:r>
        <w:rPr>
          <w:rFonts w:eastAsia="仿宋" w:cs="Times New Roman"/>
          <w:szCs w:val="21"/>
        </w:rPr>
        <w:t xml:space="preserve">       技术文件应按照技术协议约定单独打包并随货物一起发运给买方。</w:t>
      </w:r>
    </w:p>
    <w:p w14:paraId="7C956597">
      <w:pPr>
        <w:spacing w:line="240" w:lineRule="auto"/>
        <w:rPr>
          <w:rFonts w:eastAsia="仿宋" w:cs="Times New Roman"/>
          <w:b/>
          <w:szCs w:val="21"/>
        </w:rPr>
      </w:pPr>
    </w:p>
    <w:p w14:paraId="321AF2D7">
      <w:pPr>
        <w:tabs>
          <w:tab w:val="left" w:pos="709"/>
        </w:tabs>
        <w:snapToGrid w:val="0"/>
        <w:spacing w:line="240" w:lineRule="auto"/>
        <w:rPr>
          <w:rFonts w:eastAsia="仿宋" w:cs="Times New Roman"/>
          <w:b/>
          <w:i/>
          <w:iCs/>
          <w:szCs w:val="21"/>
        </w:rPr>
      </w:pPr>
      <w:r>
        <w:rPr>
          <w:rFonts w:eastAsia="仿宋" w:cs="Times New Roman"/>
          <w:b/>
          <w:szCs w:val="21"/>
        </w:rPr>
        <w:t>13.</w:t>
      </w:r>
      <w:r>
        <w:rPr>
          <w:rFonts w:eastAsia="仿宋" w:cs="Times New Roman"/>
          <w:b/>
          <w:szCs w:val="21"/>
        </w:rPr>
        <w:tab/>
      </w:r>
      <w:r>
        <w:rPr>
          <w:rFonts w:eastAsia="仿宋" w:cs="Times New Roman"/>
          <w:b/>
          <w:sz w:val="24"/>
          <w:szCs w:val="24"/>
        </w:rPr>
        <w:t>INSURANCE保险</w:t>
      </w:r>
      <w:r>
        <w:rPr>
          <w:rFonts w:eastAsia="仿宋" w:cs="Times New Roman"/>
          <w:b/>
          <w:i/>
          <w:iCs/>
          <w:sz w:val="24"/>
          <w:szCs w:val="24"/>
        </w:rPr>
        <w:t>（CIP.CIF适用）</w:t>
      </w:r>
    </w:p>
    <w:p w14:paraId="2A6E4815">
      <w:pPr>
        <w:snapToGrid w:val="0"/>
        <w:spacing w:line="240" w:lineRule="auto"/>
        <w:rPr>
          <w:rFonts w:eastAsia="仿宋" w:cs="Times New Roman"/>
          <w:b/>
          <w:szCs w:val="21"/>
        </w:rPr>
      </w:pPr>
    </w:p>
    <w:p w14:paraId="069B6FEB">
      <w:pPr>
        <w:snapToGrid w:val="0"/>
        <w:spacing w:line="240" w:lineRule="auto"/>
        <w:ind w:left="632" w:leftChars="-44" w:hanging="724" w:hangingChars="345"/>
        <w:rPr>
          <w:rFonts w:eastAsia="仿宋" w:cs="Times New Roman"/>
          <w:szCs w:val="21"/>
        </w:rPr>
      </w:pPr>
      <w:r>
        <w:rPr>
          <w:rFonts w:eastAsia="仿宋" w:cs="Times New Roman"/>
          <w:szCs w:val="21"/>
          <w:lang w:eastAsia="zh-TW"/>
        </w:rPr>
        <w:t>13.1</w:t>
      </w:r>
      <w:r>
        <w:rPr>
          <w:rFonts w:eastAsia="仿宋" w:cs="Times New Roman"/>
          <w:szCs w:val="21"/>
          <w:lang w:eastAsia="zh-TW"/>
        </w:rPr>
        <w:tab/>
      </w:r>
      <w:r>
        <w:rPr>
          <w:rFonts w:eastAsia="仿宋" w:cs="Times New Roman"/>
          <w:szCs w:val="21"/>
          <w:lang w:eastAsia="zh-TW"/>
        </w:rPr>
        <w:t>T</w:t>
      </w:r>
      <w:r>
        <w:rPr>
          <w:rFonts w:eastAsia="仿宋" w:cs="Times New Roman"/>
          <w:szCs w:val="21"/>
        </w:rPr>
        <w:t xml:space="preserve">he Seller </w:t>
      </w:r>
      <w:r>
        <w:rPr>
          <w:rFonts w:eastAsia="仿宋" w:cs="Times New Roman"/>
          <w:szCs w:val="21"/>
          <w:lang w:eastAsia="zh-TW"/>
        </w:rPr>
        <w:t xml:space="preserve">shall provide insurance at its sole expense and responsibility </w:t>
      </w:r>
      <w:r>
        <w:rPr>
          <w:rFonts w:eastAsia="仿宋" w:cs="Times New Roman"/>
          <w:szCs w:val="21"/>
        </w:rPr>
        <w:t xml:space="preserve">for 110% </w:t>
      </w:r>
      <w:r>
        <w:rPr>
          <w:rFonts w:eastAsia="仿宋" w:cs="Times New Roman"/>
          <w:szCs w:val="21"/>
          <w:lang w:eastAsia="zh-TW"/>
        </w:rPr>
        <w:t xml:space="preserve">of </w:t>
      </w:r>
      <w:r>
        <w:rPr>
          <w:rFonts w:eastAsia="仿宋" w:cs="Times New Roman"/>
          <w:szCs w:val="21"/>
        </w:rPr>
        <w:t xml:space="preserve">invoice value </w:t>
      </w:r>
      <w:r>
        <w:rPr>
          <w:rFonts w:eastAsia="仿宋" w:cs="Times New Roman"/>
          <w:szCs w:val="21"/>
          <w:lang w:eastAsia="zh-TW"/>
        </w:rPr>
        <w:t xml:space="preserve">of this Contract </w:t>
      </w:r>
      <w:r>
        <w:rPr>
          <w:rFonts w:eastAsia="仿宋" w:cs="Times New Roman"/>
          <w:szCs w:val="21"/>
        </w:rPr>
        <w:t xml:space="preserve">on “all risks” basis, </w:t>
      </w:r>
      <w:r>
        <w:rPr>
          <w:rFonts w:eastAsia="仿宋" w:cs="Times New Roman"/>
          <w:szCs w:val="21"/>
          <w:lang w:eastAsia="zh-TW"/>
        </w:rPr>
        <w:t>covering (including but not limited to) all</w:t>
      </w:r>
      <w:r>
        <w:rPr>
          <w:rFonts w:eastAsia="仿宋" w:cs="Times New Roman"/>
          <w:szCs w:val="21"/>
        </w:rPr>
        <w:t xml:space="preserve"> damage and shortage of the Commodities </w:t>
      </w:r>
      <w:r>
        <w:rPr>
          <w:rFonts w:eastAsia="仿宋" w:cs="Times New Roman"/>
          <w:szCs w:val="21"/>
          <w:lang w:eastAsia="zh-TW"/>
        </w:rPr>
        <w:t>which might occur after the Commodities have been shipped to</w:t>
      </w:r>
      <w:r>
        <w:rPr>
          <w:rFonts w:eastAsia="仿宋" w:cs="Times New Roman"/>
          <w:szCs w:val="21"/>
        </w:rPr>
        <w:t xml:space="preserve"> the </w:t>
      </w:r>
      <w:r>
        <w:rPr>
          <w:rFonts w:eastAsia="仿宋" w:cs="Times New Roman"/>
          <w:szCs w:val="21"/>
          <w:lang w:eastAsia="zh-TW"/>
        </w:rPr>
        <w:t>Port of D</w:t>
      </w:r>
      <w:r>
        <w:rPr>
          <w:rFonts w:eastAsia="仿宋" w:cs="Times New Roman"/>
          <w:szCs w:val="21"/>
        </w:rPr>
        <w:t xml:space="preserve">estination. </w:t>
      </w:r>
    </w:p>
    <w:p w14:paraId="7FC979A5">
      <w:pPr>
        <w:snapToGrid w:val="0"/>
        <w:spacing w:line="240" w:lineRule="auto"/>
        <w:ind w:left="722" w:hanging="722" w:hangingChars="344"/>
        <w:rPr>
          <w:rFonts w:eastAsia="仿宋" w:cs="Times New Roman"/>
          <w:szCs w:val="21"/>
        </w:rPr>
      </w:pPr>
      <w:r>
        <w:rPr>
          <w:rFonts w:eastAsia="仿宋" w:cs="Times New Roman"/>
          <w:szCs w:val="21"/>
        </w:rPr>
        <w:t xml:space="preserve">      卖方</w:t>
      </w:r>
      <w:r>
        <w:rPr>
          <w:rFonts w:hint="eastAsia" w:eastAsia="仿宋" w:cs="Times New Roman"/>
          <w:szCs w:val="21"/>
        </w:rPr>
        <w:t>应自负费用和责任</w:t>
      </w:r>
      <w:r>
        <w:rPr>
          <w:rFonts w:eastAsia="仿宋" w:cs="Times New Roman"/>
          <w:szCs w:val="21"/>
        </w:rPr>
        <w:t>按货物总值110%的金额投保一切险，保险覆盖（包括但不限于）货物装船后运达目的港过程中可能会发生的损失或短缺。</w:t>
      </w:r>
    </w:p>
    <w:p w14:paraId="40E68731">
      <w:pPr>
        <w:snapToGrid w:val="0"/>
        <w:spacing w:line="240" w:lineRule="auto"/>
        <w:ind w:left="619" w:hanging="619" w:hangingChars="295"/>
        <w:rPr>
          <w:rFonts w:eastAsia="仿宋" w:cs="Times New Roman"/>
          <w:szCs w:val="21"/>
        </w:rPr>
      </w:pPr>
    </w:p>
    <w:p w14:paraId="136DC03A">
      <w:pPr>
        <w:snapToGrid w:val="0"/>
        <w:spacing w:line="240" w:lineRule="auto"/>
        <w:ind w:left="619" w:hanging="619" w:hangingChars="295"/>
        <w:rPr>
          <w:rFonts w:eastAsia="仿宋" w:cs="Times New Roman"/>
          <w:szCs w:val="21"/>
        </w:rPr>
      </w:pPr>
      <w:r>
        <w:rPr>
          <w:rFonts w:eastAsia="仿宋" w:cs="Times New Roman"/>
          <w:szCs w:val="21"/>
          <w:lang w:eastAsia="zh-TW"/>
        </w:rPr>
        <w:t>13.2</w:t>
      </w:r>
      <w:r>
        <w:rPr>
          <w:rFonts w:eastAsia="仿宋" w:cs="Times New Roman"/>
          <w:szCs w:val="21"/>
          <w:lang w:eastAsia="zh-TW"/>
        </w:rPr>
        <w:tab/>
      </w:r>
      <w:r>
        <w:rPr>
          <w:rFonts w:eastAsia="仿宋" w:cs="Times New Roman"/>
          <w:szCs w:val="21"/>
        </w:rPr>
        <w:t xml:space="preserve">In case of delivery for special consignment, any other concerned additional </w:t>
      </w:r>
      <w:r>
        <w:rPr>
          <w:rFonts w:hint="eastAsia" w:eastAsia="仿宋" w:cs="Times New Roman"/>
          <w:szCs w:val="21"/>
        </w:rPr>
        <w:t>insurance</w:t>
      </w:r>
      <w:r>
        <w:rPr>
          <w:rFonts w:eastAsia="仿宋" w:cs="Times New Roman"/>
          <w:szCs w:val="21"/>
        </w:rPr>
        <w:t xml:space="preserve"> shall be covered except for “all risks” for the safety of the Commodities.</w:t>
      </w:r>
    </w:p>
    <w:p w14:paraId="5B0F3490">
      <w:pPr>
        <w:spacing w:line="240" w:lineRule="auto"/>
        <w:ind w:left="630" w:hanging="630" w:hangingChars="300"/>
        <w:rPr>
          <w:rFonts w:eastAsia="仿宋" w:cs="Times New Roman"/>
          <w:szCs w:val="21"/>
        </w:rPr>
      </w:pPr>
      <w:r>
        <w:rPr>
          <w:rFonts w:eastAsia="仿宋" w:cs="Times New Roman"/>
          <w:szCs w:val="21"/>
        </w:rPr>
        <w:t xml:space="preserve">      对于特殊货物的发运，为了保证货物的安全，除了承保“一切险”外卖方还应对货物加保相关的附加</w:t>
      </w:r>
      <w:r>
        <w:rPr>
          <w:rFonts w:hint="eastAsia" w:eastAsia="仿宋" w:cs="Times New Roman"/>
          <w:szCs w:val="21"/>
        </w:rPr>
        <w:t>险</w:t>
      </w:r>
      <w:r>
        <w:rPr>
          <w:rFonts w:eastAsia="仿宋" w:cs="Times New Roman"/>
          <w:szCs w:val="21"/>
        </w:rPr>
        <w:t>。</w:t>
      </w:r>
    </w:p>
    <w:p w14:paraId="10B4BE2B">
      <w:pPr>
        <w:snapToGrid w:val="0"/>
        <w:spacing w:line="240" w:lineRule="auto"/>
        <w:rPr>
          <w:rFonts w:eastAsia="仿宋" w:cs="Times New Roman"/>
          <w:szCs w:val="21"/>
        </w:rPr>
      </w:pPr>
    </w:p>
    <w:p w14:paraId="7CE4EADD">
      <w:pPr>
        <w:snapToGrid w:val="0"/>
        <w:spacing w:line="240" w:lineRule="auto"/>
        <w:ind w:left="630" w:hanging="630" w:hangingChars="300"/>
        <w:rPr>
          <w:rFonts w:eastAsia="仿宋" w:cs="Times New Roman"/>
          <w:szCs w:val="21"/>
        </w:rPr>
      </w:pPr>
      <w:r>
        <w:rPr>
          <w:rFonts w:hint="eastAsia" w:eastAsia="仿宋" w:cs="Times New Roman"/>
          <w:szCs w:val="21"/>
        </w:rPr>
        <w:t>1</w:t>
      </w:r>
      <w:r>
        <w:rPr>
          <w:rFonts w:eastAsia="仿宋" w:cs="Times New Roman"/>
          <w:szCs w:val="21"/>
        </w:rPr>
        <w:t xml:space="preserve">3.3  In the event of an insurance claim for the </w:t>
      </w:r>
      <w:r>
        <w:rPr>
          <w:rFonts w:eastAsia="仿宋" w:cs="Times New Roman"/>
          <w:szCs w:val="21"/>
          <w:lang w:eastAsia="zh-TW"/>
        </w:rPr>
        <w:t>Commodities</w:t>
      </w:r>
      <w:r>
        <w:rPr>
          <w:rFonts w:eastAsia="仿宋" w:cs="Times New Roman"/>
          <w:szCs w:val="21"/>
        </w:rPr>
        <w:t xml:space="preserve">, the </w:t>
      </w:r>
      <w:r>
        <w:rPr>
          <w:rFonts w:hint="eastAsia" w:eastAsia="仿宋" w:cs="Times New Roman"/>
          <w:szCs w:val="21"/>
        </w:rPr>
        <w:t>S</w:t>
      </w:r>
      <w:r>
        <w:rPr>
          <w:rFonts w:eastAsia="仿宋" w:cs="Times New Roman"/>
          <w:szCs w:val="21"/>
        </w:rPr>
        <w:t>eller is obliged to provide relevant information to assist the Buyer in insurance recovery, and the Seller shall bear the loss caused by the refusal of insurance due to the Seller's reasons.</w:t>
      </w:r>
    </w:p>
    <w:p w14:paraId="1CC39AC7">
      <w:pPr>
        <w:snapToGrid w:val="0"/>
        <w:spacing w:line="240" w:lineRule="auto"/>
        <w:ind w:left="598" w:leftChars="285"/>
        <w:rPr>
          <w:rFonts w:eastAsia="仿宋" w:cs="Times New Roman"/>
          <w:szCs w:val="21"/>
        </w:rPr>
      </w:pPr>
      <w:r>
        <w:rPr>
          <w:rFonts w:hint="eastAsia" w:eastAsia="仿宋" w:cs="Times New Roman"/>
          <w:szCs w:val="21"/>
        </w:rPr>
        <w:t>如货物出险，卖方有义务提供相关资料辅助买方进行保险追偿，由于卖方原因导致的保险拒赔损失，由卖方承担。</w:t>
      </w:r>
    </w:p>
    <w:p w14:paraId="0623E8B4">
      <w:pPr>
        <w:snapToGrid w:val="0"/>
        <w:spacing w:line="240" w:lineRule="auto"/>
        <w:rPr>
          <w:rFonts w:eastAsia="仿宋" w:cs="Times New Roman"/>
          <w:szCs w:val="21"/>
        </w:rPr>
      </w:pPr>
    </w:p>
    <w:p w14:paraId="488A489F">
      <w:pPr>
        <w:snapToGrid w:val="0"/>
        <w:spacing w:line="240" w:lineRule="auto"/>
        <w:rPr>
          <w:rFonts w:eastAsia="仿宋" w:cs="Times New Roman"/>
          <w:szCs w:val="21"/>
        </w:rPr>
      </w:pPr>
    </w:p>
    <w:p w14:paraId="59A9D260">
      <w:pPr>
        <w:tabs>
          <w:tab w:val="left" w:pos="709"/>
        </w:tabs>
        <w:snapToGrid w:val="0"/>
        <w:spacing w:line="240" w:lineRule="auto"/>
        <w:rPr>
          <w:rFonts w:eastAsia="仿宋" w:cs="Times New Roman"/>
          <w:b/>
          <w:sz w:val="24"/>
          <w:szCs w:val="24"/>
        </w:rPr>
      </w:pPr>
      <w:r>
        <w:rPr>
          <w:rFonts w:eastAsia="仿宋" w:cs="Times New Roman"/>
          <w:b/>
          <w:szCs w:val="21"/>
          <w:lang w:eastAsia="zh-TW"/>
        </w:rPr>
        <w:t>14.</w:t>
      </w:r>
      <w:r>
        <w:rPr>
          <w:rFonts w:eastAsia="仿宋" w:cs="Times New Roman"/>
          <w:b/>
          <w:szCs w:val="21"/>
          <w:lang w:eastAsia="zh-TW"/>
        </w:rPr>
        <w:tab/>
      </w:r>
      <w:r>
        <w:rPr>
          <w:rFonts w:eastAsia="仿宋" w:cs="Times New Roman"/>
          <w:b/>
          <w:sz w:val="24"/>
          <w:szCs w:val="24"/>
          <w:lang w:eastAsia="zh-TW"/>
        </w:rPr>
        <w:t>WARRANTIES质量</w:t>
      </w:r>
      <w:r>
        <w:rPr>
          <w:rFonts w:eastAsia="仿宋" w:cs="Times New Roman"/>
          <w:b/>
          <w:sz w:val="24"/>
          <w:szCs w:val="24"/>
        </w:rPr>
        <w:t>保证</w:t>
      </w:r>
    </w:p>
    <w:p w14:paraId="366471AA">
      <w:pPr>
        <w:snapToGrid w:val="0"/>
        <w:spacing w:line="240" w:lineRule="auto"/>
        <w:rPr>
          <w:rFonts w:eastAsia="仿宋" w:cs="Times New Roman"/>
          <w:b/>
          <w:szCs w:val="21"/>
        </w:rPr>
      </w:pPr>
    </w:p>
    <w:p w14:paraId="5263EFC1">
      <w:pPr>
        <w:snapToGrid w:val="0"/>
        <w:spacing w:line="240" w:lineRule="auto"/>
        <w:ind w:left="619" w:hanging="619" w:hangingChars="295"/>
        <w:rPr>
          <w:rFonts w:eastAsia="仿宋" w:cs="Times New Roman"/>
          <w:szCs w:val="21"/>
        </w:rPr>
      </w:pPr>
      <w:r>
        <w:rPr>
          <w:rFonts w:eastAsia="仿宋" w:cs="Times New Roman"/>
          <w:szCs w:val="21"/>
          <w:lang w:eastAsia="zh-TW"/>
        </w:rPr>
        <w:t>14.1</w:t>
      </w:r>
      <w:r>
        <w:rPr>
          <w:rFonts w:eastAsia="仿宋" w:cs="Times New Roman"/>
          <w:szCs w:val="21"/>
          <w:lang w:eastAsia="zh-TW"/>
        </w:rPr>
        <w:tab/>
      </w:r>
      <w:r>
        <w:rPr>
          <w:rFonts w:eastAsia="仿宋" w:cs="Times New Roman"/>
          <w:szCs w:val="21"/>
          <w:lang w:eastAsia="zh-TW"/>
        </w:rPr>
        <w:t xml:space="preserve">The Seller warrants that all the Commodities shall correspond with the </w:t>
      </w:r>
      <w:r>
        <w:rPr>
          <w:rFonts w:hint="eastAsia" w:eastAsia="仿宋" w:cs="Times New Roman"/>
          <w:szCs w:val="21"/>
        </w:rPr>
        <w:t>s</w:t>
      </w:r>
      <w:r>
        <w:rPr>
          <w:rFonts w:eastAsia="仿宋" w:cs="Times New Roman"/>
          <w:szCs w:val="21"/>
          <w:lang w:eastAsia="zh-TW"/>
        </w:rPr>
        <w:t>pecifications</w:t>
      </w:r>
      <w:r>
        <w:rPr>
          <w:rFonts w:eastAsia="仿宋" w:cs="Times New Roman"/>
          <w:szCs w:val="21"/>
        </w:rPr>
        <w:t xml:space="preserve"> </w:t>
      </w:r>
      <w:r>
        <w:rPr>
          <w:rFonts w:hint="eastAsia" w:eastAsia="仿宋" w:cs="Times New Roman"/>
          <w:szCs w:val="21"/>
        </w:rPr>
        <w:t>under</w:t>
      </w:r>
      <w:r>
        <w:rPr>
          <w:rFonts w:eastAsia="仿宋" w:cs="Times New Roman"/>
          <w:szCs w:val="21"/>
        </w:rPr>
        <w:t xml:space="preserve"> the </w:t>
      </w:r>
      <w:r>
        <w:rPr>
          <w:rFonts w:hint="eastAsia" w:eastAsia="仿宋" w:cs="Times New Roman"/>
          <w:szCs w:val="21"/>
        </w:rPr>
        <w:t>T</w:t>
      </w:r>
      <w:r>
        <w:rPr>
          <w:rFonts w:eastAsia="仿宋" w:cs="Times New Roman"/>
          <w:szCs w:val="21"/>
        </w:rPr>
        <w:t xml:space="preserve">echnical </w:t>
      </w:r>
      <w:r>
        <w:rPr>
          <w:rFonts w:hint="eastAsia" w:eastAsia="仿宋" w:cs="Times New Roman"/>
          <w:szCs w:val="21"/>
        </w:rPr>
        <w:t>A</w:t>
      </w:r>
      <w:r>
        <w:rPr>
          <w:rFonts w:eastAsia="仿宋" w:cs="Times New Roman"/>
          <w:szCs w:val="21"/>
        </w:rPr>
        <w:t>greement</w:t>
      </w:r>
      <w:r>
        <w:rPr>
          <w:rFonts w:eastAsia="仿宋" w:cs="Times New Roman"/>
          <w:szCs w:val="21"/>
          <w:lang w:eastAsia="zh-TW"/>
        </w:rPr>
        <w:t xml:space="preserve">. In the event that the Commodities do not correspond with this warranty, without prejudice to other remedies available to the Buyer, the Seller agrees to replace such defective Commodities free of charge or to </w:t>
      </w:r>
      <w:r>
        <w:rPr>
          <w:rFonts w:hint="eastAsia" w:eastAsia="仿宋" w:cs="Times New Roman"/>
          <w:szCs w:val="21"/>
        </w:rPr>
        <w:t xml:space="preserve">deduct the value </w:t>
      </w:r>
      <w:r>
        <w:rPr>
          <w:rFonts w:eastAsia="仿宋" w:cs="Times New Roman"/>
          <w:szCs w:val="21"/>
          <w:lang w:eastAsia="zh-TW"/>
        </w:rPr>
        <w:t>of such defective Commodities</w:t>
      </w:r>
      <w:r>
        <w:rPr>
          <w:rFonts w:hint="eastAsia" w:eastAsia="仿宋" w:cs="Times New Roman"/>
          <w:szCs w:val="21"/>
        </w:rPr>
        <w:t xml:space="preserve"> from</w:t>
      </w:r>
      <w:r>
        <w:rPr>
          <w:rFonts w:eastAsia="仿宋" w:cs="Times New Roman"/>
          <w:szCs w:val="21"/>
          <w:lang w:eastAsia="zh-TW"/>
        </w:rPr>
        <w:t xml:space="preserve"> the </w:t>
      </w:r>
      <w:r>
        <w:rPr>
          <w:rFonts w:hint="eastAsia" w:eastAsia="仿宋" w:cs="Times New Roman"/>
          <w:szCs w:val="21"/>
        </w:rPr>
        <w:t xml:space="preserve">payable </w:t>
      </w:r>
      <w:r>
        <w:rPr>
          <w:rFonts w:eastAsia="仿宋" w:cs="Times New Roman"/>
          <w:szCs w:val="21"/>
          <w:lang w:eastAsia="zh-TW"/>
        </w:rPr>
        <w:t>invoice value</w:t>
      </w:r>
      <w:r>
        <w:rPr>
          <w:rFonts w:eastAsia="仿宋" w:cs="Times New Roman"/>
          <w:szCs w:val="21"/>
        </w:rPr>
        <w:t xml:space="preserve">.      </w:t>
      </w:r>
    </w:p>
    <w:p w14:paraId="54EA4030">
      <w:pPr>
        <w:snapToGrid w:val="0"/>
        <w:spacing w:line="240" w:lineRule="auto"/>
        <w:ind w:left="607" w:leftChars="289" w:firstLine="10" w:firstLineChars="5"/>
        <w:rPr>
          <w:rFonts w:eastAsia="仿宋" w:cs="Times New Roman"/>
          <w:szCs w:val="21"/>
        </w:rPr>
      </w:pPr>
      <w:r>
        <w:rPr>
          <w:rFonts w:eastAsia="仿宋" w:cs="Times New Roman"/>
          <w:szCs w:val="21"/>
        </w:rPr>
        <w:t>卖方保证所有货物应符合</w:t>
      </w:r>
      <w:r>
        <w:rPr>
          <w:rFonts w:hint="eastAsia" w:eastAsia="仿宋" w:cs="Times New Roman"/>
          <w:szCs w:val="21"/>
        </w:rPr>
        <w:t>技术协议</w:t>
      </w:r>
      <w:r>
        <w:rPr>
          <w:rFonts w:eastAsia="仿宋" w:cs="Times New Roman"/>
          <w:szCs w:val="21"/>
        </w:rPr>
        <w:t>约定的规格型号</w:t>
      </w:r>
      <w:r>
        <w:rPr>
          <w:rFonts w:hint="eastAsia" w:eastAsia="仿宋" w:cs="Times New Roman"/>
          <w:szCs w:val="21"/>
        </w:rPr>
        <w:t>，如果商品与本保证不符，</w:t>
      </w:r>
      <w:r>
        <w:rPr>
          <w:rFonts w:eastAsia="仿宋" w:cs="Times New Roman"/>
          <w:szCs w:val="21"/>
        </w:rPr>
        <w:t>在不影响买方</w:t>
      </w:r>
      <w:r>
        <w:rPr>
          <w:rFonts w:hint="eastAsia" w:eastAsia="仿宋" w:cs="Times New Roman"/>
          <w:szCs w:val="21"/>
        </w:rPr>
        <w:t>获得</w:t>
      </w:r>
      <w:r>
        <w:rPr>
          <w:rFonts w:eastAsia="仿宋" w:cs="Times New Roman"/>
          <w:szCs w:val="21"/>
        </w:rPr>
        <w:t>其他</w:t>
      </w:r>
      <w:r>
        <w:rPr>
          <w:rFonts w:hint="eastAsia" w:eastAsia="仿宋" w:cs="Times New Roman"/>
          <w:szCs w:val="21"/>
        </w:rPr>
        <w:t>补救</w:t>
      </w:r>
      <w:r>
        <w:rPr>
          <w:rFonts w:eastAsia="仿宋" w:cs="Times New Roman"/>
          <w:szCs w:val="21"/>
        </w:rPr>
        <w:t>措施的情况下</w:t>
      </w:r>
      <w:r>
        <w:rPr>
          <w:rFonts w:hint="eastAsia" w:eastAsia="仿宋" w:cs="Times New Roman"/>
          <w:szCs w:val="21"/>
        </w:rPr>
        <w:t>，</w:t>
      </w:r>
      <w:r>
        <w:rPr>
          <w:rFonts w:eastAsia="仿宋" w:cs="Times New Roman"/>
          <w:szCs w:val="21"/>
        </w:rPr>
        <w:t>卖方同意免费更换</w:t>
      </w:r>
      <w:r>
        <w:rPr>
          <w:rFonts w:hint="eastAsia" w:eastAsia="仿宋" w:cs="Times New Roman"/>
          <w:szCs w:val="21"/>
        </w:rPr>
        <w:t>此类</w:t>
      </w:r>
      <w:r>
        <w:rPr>
          <w:rFonts w:eastAsia="仿宋" w:cs="Times New Roman"/>
          <w:szCs w:val="21"/>
        </w:rPr>
        <w:t>缺陷货物</w:t>
      </w:r>
      <w:r>
        <w:rPr>
          <w:rFonts w:hint="eastAsia" w:eastAsia="仿宋" w:cs="Times New Roman"/>
          <w:szCs w:val="21"/>
        </w:rPr>
        <w:t>或在应付金额中扣减此类缺陷产品金额。</w:t>
      </w:r>
    </w:p>
    <w:p w14:paraId="31FDA1B1">
      <w:pPr>
        <w:snapToGrid w:val="0"/>
        <w:spacing w:line="240" w:lineRule="auto"/>
        <w:ind w:left="619" w:hanging="619" w:hangingChars="295"/>
        <w:rPr>
          <w:rFonts w:eastAsia="仿宋" w:cs="Times New Roman"/>
          <w:szCs w:val="21"/>
          <w:lang w:eastAsia="zh-TW"/>
        </w:rPr>
      </w:pPr>
      <w:r>
        <w:rPr>
          <w:rFonts w:eastAsia="仿宋" w:cs="Times New Roman"/>
          <w:szCs w:val="21"/>
          <w:lang w:eastAsia="zh-TW"/>
        </w:rPr>
        <w:t>14.2</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 are brand new, unused and made of the best adequate materials, with first class workmanship, and comply in all respects with the quality, specifications and performance required under this Contract</w:t>
      </w:r>
      <w:r>
        <w:rPr>
          <w:rFonts w:eastAsia="仿宋" w:cs="Times New Roman"/>
          <w:szCs w:val="21"/>
          <w:lang w:eastAsia="zh-TW"/>
        </w:rPr>
        <w:t>.</w:t>
      </w:r>
    </w:p>
    <w:p w14:paraId="6D58813C">
      <w:pPr>
        <w:snapToGrid w:val="0"/>
        <w:spacing w:line="240" w:lineRule="auto"/>
        <w:ind w:left="615" w:leftChars="293"/>
        <w:rPr>
          <w:rFonts w:eastAsia="仿宋" w:cs="Times New Roman"/>
          <w:szCs w:val="21"/>
        </w:rPr>
      </w:pPr>
      <w:r>
        <w:rPr>
          <w:rFonts w:eastAsia="仿宋" w:cs="Times New Roman"/>
          <w:szCs w:val="21"/>
        </w:rPr>
        <w:t>卖方保证货物是以最好的材料及一流的工艺制成，并且是全新的、未使用过的，完全符合本合同规定的质量、规格和性能。</w:t>
      </w:r>
    </w:p>
    <w:p w14:paraId="72B5DA7F">
      <w:pPr>
        <w:snapToGrid w:val="0"/>
        <w:spacing w:line="240" w:lineRule="auto"/>
        <w:ind w:left="619" w:hanging="619" w:hangingChars="295"/>
        <w:rPr>
          <w:rFonts w:eastAsia="仿宋" w:cs="Times New Roman"/>
          <w:szCs w:val="21"/>
          <w:lang w:eastAsia="zh-TW"/>
        </w:rPr>
      </w:pPr>
      <w:r>
        <w:rPr>
          <w:rFonts w:eastAsia="仿宋" w:cs="Times New Roman"/>
          <w:szCs w:val="21"/>
          <w:lang w:eastAsia="zh-TW"/>
        </w:rPr>
        <w:t>14.3</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w:t>
      </w:r>
      <w:r>
        <w:rPr>
          <w:rFonts w:eastAsia="仿宋" w:cs="Times New Roman"/>
          <w:szCs w:val="21"/>
          <w:lang w:eastAsia="zh-TW"/>
        </w:rPr>
        <w:t>,</w:t>
      </w:r>
      <w:r>
        <w:rPr>
          <w:rFonts w:eastAsia="仿宋" w:cs="Times New Roman"/>
          <w:szCs w:val="21"/>
        </w:rPr>
        <w:t xml:space="preserve"> when correctly mounted and properly operated and maintained in accordance with relevant Technical Documents, shall give satisfactory performance</w:t>
      </w:r>
      <w:r>
        <w:rPr>
          <w:rFonts w:hint="eastAsia" w:eastAsia="仿宋" w:cs="Times New Roman"/>
          <w:szCs w:val="21"/>
        </w:rPr>
        <w:t xml:space="preserve"> within the service life</w:t>
      </w:r>
      <w:r>
        <w:rPr>
          <w:rFonts w:eastAsia="仿宋" w:cs="Times New Roman"/>
          <w:szCs w:val="21"/>
          <w:lang w:eastAsia="zh-TW"/>
        </w:rPr>
        <w:t>.</w:t>
      </w:r>
    </w:p>
    <w:p w14:paraId="7D7DBF68">
      <w:pPr>
        <w:snapToGrid w:val="0"/>
        <w:spacing w:line="240" w:lineRule="auto"/>
        <w:ind w:left="619" w:hanging="619" w:hangingChars="295"/>
        <w:rPr>
          <w:rFonts w:eastAsia="仿宋" w:cs="Times New Roman"/>
          <w:szCs w:val="21"/>
        </w:rPr>
      </w:pPr>
      <w:r>
        <w:rPr>
          <w:rFonts w:eastAsia="仿宋" w:cs="Times New Roman"/>
          <w:szCs w:val="21"/>
        </w:rPr>
        <w:t xml:space="preserve">      卖方保证</w:t>
      </w:r>
      <w:r>
        <w:rPr>
          <w:rFonts w:hint="eastAsia" w:eastAsia="仿宋" w:cs="Times New Roman"/>
          <w:szCs w:val="21"/>
        </w:rPr>
        <w:t>，</w:t>
      </w:r>
      <w:r>
        <w:rPr>
          <w:rFonts w:eastAsia="仿宋" w:cs="Times New Roman"/>
          <w:szCs w:val="21"/>
        </w:rPr>
        <w:t>在根据技术协议正确安装、恰当操作和维修的前提下，货物在使用寿命内</w:t>
      </w:r>
      <w:r>
        <w:rPr>
          <w:rFonts w:hint="eastAsia" w:eastAsia="仿宋" w:cs="Times New Roman"/>
          <w:szCs w:val="21"/>
        </w:rPr>
        <w:t>应具有令人满意的性能。</w:t>
      </w:r>
    </w:p>
    <w:p w14:paraId="4CAB042E">
      <w:pPr>
        <w:snapToGrid w:val="0"/>
        <w:spacing w:line="240" w:lineRule="auto"/>
        <w:ind w:left="619" w:hanging="619" w:hangingChars="295"/>
        <w:rPr>
          <w:rFonts w:eastAsia="仿宋" w:cs="Times New Roman"/>
          <w:szCs w:val="21"/>
          <w:lang w:eastAsia="zh-TW"/>
        </w:rPr>
      </w:pPr>
      <w:r>
        <w:rPr>
          <w:rFonts w:eastAsia="仿宋" w:cs="Times New Roman"/>
          <w:szCs w:val="21"/>
          <w:lang w:eastAsia="zh-TW"/>
        </w:rPr>
        <w:t>14.4</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w:t>
      </w:r>
      <w:r>
        <w:rPr>
          <w:rFonts w:eastAsia="仿宋" w:cs="Times New Roman"/>
          <w:szCs w:val="21"/>
        </w:rPr>
        <w:t>it</w:t>
      </w:r>
      <w:r>
        <w:rPr>
          <w:rFonts w:eastAsia="仿宋" w:cs="Times New Roman"/>
          <w:szCs w:val="21"/>
          <w:lang w:eastAsia="zh-TW"/>
        </w:rPr>
        <w:t xml:space="preserve"> </w:t>
      </w:r>
      <w:r>
        <w:rPr>
          <w:rFonts w:eastAsia="仿宋" w:cs="Times New Roman"/>
          <w:szCs w:val="21"/>
        </w:rPr>
        <w:t xml:space="preserve">is responsible for any defect or malfunctioning </w:t>
      </w:r>
      <w:r>
        <w:rPr>
          <w:rFonts w:eastAsia="仿宋" w:cs="Times New Roman"/>
          <w:szCs w:val="21"/>
          <w:lang w:eastAsia="zh-TW"/>
        </w:rPr>
        <w:t xml:space="preserve">of any of the Commodities </w:t>
      </w:r>
      <w:r>
        <w:rPr>
          <w:rFonts w:eastAsia="仿宋" w:cs="Times New Roman"/>
          <w:szCs w:val="21"/>
        </w:rPr>
        <w:t xml:space="preserve">due to design, manufacture, workmanship, material, or transportation, etc, </w:t>
      </w:r>
      <w:r>
        <w:rPr>
          <w:rFonts w:eastAsia="仿宋" w:cs="Times New Roman"/>
          <w:szCs w:val="21"/>
          <w:lang w:eastAsia="zh-TW"/>
        </w:rPr>
        <w:t>for a period of</w:t>
      </w:r>
      <w:r>
        <w:rPr>
          <w:rFonts w:hint="eastAsia" w:eastAsia="仿宋" w:cs="Times New Roman"/>
          <w:szCs w:val="21"/>
        </w:rPr>
        <w:t xml:space="preserve"> ___ </w:t>
      </w:r>
      <w:r>
        <w:rPr>
          <w:rFonts w:eastAsia="仿宋" w:cs="Times New Roman"/>
          <w:szCs w:val="21"/>
          <w:lang w:eastAsia="zh-TW"/>
        </w:rPr>
        <w:t xml:space="preserve">months from the date of signing the </w:t>
      </w:r>
      <w:r>
        <w:rPr>
          <w:rFonts w:eastAsia="仿宋" w:cs="Times New Roman"/>
          <w:szCs w:val="21"/>
        </w:rPr>
        <w:t>F</w:t>
      </w:r>
      <w:r>
        <w:rPr>
          <w:rFonts w:eastAsia="仿宋" w:cs="Times New Roman"/>
          <w:szCs w:val="21"/>
          <w:lang w:eastAsia="zh-TW"/>
        </w:rPr>
        <w:t xml:space="preserve">inal </w:t>
      </w:r>
      <w:r>
        <w:rPr>
          <w:rFonts w:eastAsia="仿宋" w:cs="Times New Roman"/>
          <w:szCs w:val="21"/>
        </w:rPr>
        <w:t>A</w:t>
      </w:r>
      <w:r>
        <w:rPr>
          <w:rFonts w:eastAsia="仿宋" w:cs="Times New Roman"/>
          <w:szCs w:val="21"/>
          <w:lang w:eastAsia="zh-TW"/>
        </w:rPr>
        <w:t>cceptance (“</w:t>
      </w:r>
      <w:r>
        <w:rPr>
          <w:rFonts w:eastAsia="仿宋" w:cs="Times New Roman"/>
          <w:b/>
          <w:szCs w:val="21"/>
          <w:lang w:eastAsia="zh-TW"/>
        </w:rPr>
        <w:t>Quality</w:t>
      </w:r>
      <w:r>
        <w:rPr>
          <w:rFonts w:eastAsia="仿宋" w:cs="Times New Roman"/>
          <w:szCs w:val="21"/>
          <w:lang w:eastAsia="zh-TW"/>
        </w:rPr>
        <w:t xml:space="preserve"> </w:t>
      </w:r>
      <w:r>
        <w:rPr>
          <w:rFonts w:eastAsia="仿宋" w:cs="Times New Roman"/>
          <w:b/>
          <w:szCs w:val="21"/>
          <w:lang w:eastAsia="zh-TW"/>
        </w:rPr>
        <w:t>G</w:t>
      </w:r>
      <w:r>
        <w:rPr>
          <w:rFonts w:eastAsia="仿宋" w:cs="Times New Roman"/>
          <w:b/>
          <w:szCs w:val="21"/>
        </w:rPr>
        <w:t xml:space="preserve">uarantee </w:t>
      </w:r>
      <w:r>
        <w:rPr>
          <w:rFonts w:eastAsia="仿宋" w:cs="Times New Roman"/>
          <w:b/>
          <w:szCs w:val="21"/>
          <w:lang w:eastAsia="zh-TW"/>
        </w:rPr>
        <w:t>P</w:t>
      </w:r>
      <w:r>
        <w:rPr>
          <w:rFonts w:eastAsia="仿宋" w:cs="Times New Roman"/>
          <w:b/>
          <w:szCs w:val="21"/>
        </w:rPr>
        <w:t>eriod</w:t>
      </w:r>
      <w:r>
        <w:rPr>
          <w:rFonts w:eastAsia="仿宋" w:cs="Times New Roman"/>
          <w:szCs w:val="21"/>
          <w:lang w:eastAsia="zh-TW"/>
        </w:rPr>
        <w:t>”)</w:t>
      </w:r>
      <w:r>
        <w:rPr>
          <w:rFonts w:hint="eastAsia" w:eastAsia="仿宋" w:cs="Times New Roman"/>
          <w:szCs w:val="21"/>
        </w:rPr>
        <w:t>,</w:t>
      </w:r>
      <w:r>
        <w:rPr>
          <w:rFonts w:eastAsia="仿宋" w:cs="Times New Roman"/>
          <w:szCs w:val="21"/>
        </w:rPr>
        <w:t xml:space="preserve"> and takes all the charges caused</w:t>
      </w:r>
      <w:r>
        <w:rPr>
          <w:rFonts w:eastAsia="仿宋" w:cs="Times New Roman"/>
          <w:szCs w:val="21"/>
          <w:lang w:eastAsia="zh-TW"/>
        </w:rPr>
        <w:t>.</w:t>
      </w:r>
    </w:p>
    <w:p w14:paraId="0C69A9E9">
      <w:pPr>
        <w:spacing w:line="240" w:lineRule="auto"/>
        <w:ind w:left="630" w:hanging="630" w:hangingChars="300"/>
        <w:rPr>
          <w:rFonts w:eastAsia="仿宋" w:cs="Times New Roman"/>
          <w:szCs w:val="21"/>
        </w:rPr>
      </w:pPr>
      <w:r>
        <w:rPr>
          <w:rFonts w:eastAsia="仿宋" w:cs="Times New Roman"/>
          <w:szCs w:val="21"/>
        </w:rPr>
        <w:t xml:space="preserve">      最终验收后</w:t>
      </w:r>
      <w:r>
        <w:rPr>
          <w:rFonts w:hint="eastAsia" w:eastAsia="仿宋" w:cs="Times New Roman"/>
          <w:szCs w:val="21"/>
        </w:rPr>
        <w:t>______月</w:t>
      </w:r>
      <w:r>
        <w:rPr>
          <w:rFonts w:eastAsia="仿宋" w:cs="Times New Roman"/>
          <w:szCs w:val="21"/>
        </w:rPr>
        <w:t>内（“质保期”），卖方应对其产品由于设计、制造、工艺或材料或运输上等方面的缺陷而发生的缺陷或故障负责,且所有费用由卖方承担。</w:t>
      </w:r>
    </w:p>
    <w:p w14:paraId="488382CD">
      <w:pPr>
        <w:snapToGrid w:val="0"/>
        <w:spacing w:line="240" w:lineRule="auto"/>
        <w:ind w:left="619" w:hanging="619" w:hangingChars="295"/>
        <w:rPr>
          <w:rFonts w:eastAsia="仿宋" w:cs="Times New Roman"/>
          <w:szCs w:val="21"/>
        </w:rPr>
      </w:pPr>
      <w:r>
        <w:rPr>
          <w:rFonts w:eastAsia="仿宋" w:cs="Times New Roman"/>
          <w:szCs w:val="21"/>
        </w:rPr>
        <w:t xml:space="preserve">14.5  The </w:t>
      </w:r>
      <w:r>
        <w:rPr>
          <w:rFonts w:eastAsia="仿宋" w:cs="Times New Roman"/>
          <w:szCs w:val="21"/>
          <w:lang w:eastAsia="zh-TW"/>
        </w:rPr>
        <w:t xml:space="preserve">Buyer </w:t>
      </w:r>
      <w:r>
        <w:rPr>
          <w:rFonts w:eastAsia="仿宋" w:cs="Times New Roman"/>
          <w:szCs w:val="21"/>
        </w:rPr>
        <w:t xml:space="preserve">/ the Enduser </w:t>
      </w:r>
      <w:r>
        <w:rPr>
          <w:rFonts w:eastAsia="仿宋" w:cs="Times New Roman"/>
          <w:szCs w:val="21"/>
          <w:lang w:eastAsia="zh-TW"/>
        </w:rPr>
        <w:t xml:space="preserve">is entitled to claim against the Seller on a full indemnity basis for all damages and/or loss arising </w:t>
      </w:r>
      <w:r>
        <w:rPr>
          <w:rFonts w:eastAsia="仿宋" w:cs="Times New Roman"/>
          <w:szCs w:val="21"/>
        </w:rPr>
        <w:t xml:space="preserve">because of the </w:t>
      </w:r>
      <w:r>
        <w:rPr>
          <w:rFonts w:hint="eastAsia" w:eastAsia="仿宋" w:cs="Times New Roman"/>
          <w:szCs w:val="21"/>
        </w:rPr>
        <w:t>S</w:t>
      </w:r>
      <w:r>
        <w:rPr>
          <w:rFonts w:eastAsia="仿宋" w:cs="Times New Roman"/>
          <w:szCs w:val="21"/>
        </w:rPr>
        <w:t>eller’s failure in its responsibility (indirect losses like loss of production and lose of profit are excluded)</w:t>
      </w:r>
      <w:r>
        <w:rPr>
          <w:rFonts w:eastAsia="仿宋" w:cs="Times New Roman"/>
          <w:szCs w:val="21"/>
          <w:lang w:eastAsia="zh-TW"/>
        </w:rPr>
        <w:t>.</w:t>
      </w:r>
    </w:p>
    <w:p w14:paraId="2F81D8CA">
      <w:pPr>
        <w:snapToGrid w:val="0"/>
        <w:spacing w:line="240" w:lineRule="auto"/>
        <w:ind w:left="619" w:hanging="619" w:hangingChars="295"/>
        <w:rPr>
          <w:rFonts w:eastAsia="仿宋" w:cs="Times New Roman"/>
          <w:szCs w:val="21"/>
        </w:rPr>
      </w:pPr>
      <w:r>
        <w:rPr>
          <w:rFonts w:eastAsia="仿宋" w:cs="Times New Roman"/>
          <w:szCs w:val="21"/>
        </w:rPr>
        <w:t xml:space="preserve">      买方</w:t>
      </w:r>
      <w:r>
        <w:rPr>
          <w:rFonts w:hint="eastAsia" w:eastAsia="仿宋" w:cs="Times New Roman"/>
          <w:szCs w:val="21"/>
        </w:rPr>
        <w:t>/最终用户</w:t>
      </w:r>
      <w:r>
        <w:rPr>
          <w:rFonts w:eastAsia="仿宋" w:cs="Times New Roman"/>
          <w:szCs w:val="21"/>
        </w:rPr>
        <w:t>有权对因</w:t>
      </w:r>
      <w:r>
        <w:rPr>
          <w:rFonts w:hint="eastAsia" w:eastAsia="仿宋" w:cs="Times New Roman"/>
          <w:szCs w:val="21"/>
        </w:rPr>
        <w:t>卖</w:t>
      </w:r>
      <w:r>
        <w:rPr>
          <w:rFonts w:eastAsia="仿宋" w:cs="Times New Roman"/>
          <w:szCs w:val="21"/>
        </w:rPr>
        <w:t>方原因造成的</w:t>
      </w:r>
      <w:r>
        <w:rPr>
          <w:rFonts w:hint="eastAsia" w:eastAsia="仿宋" w:cs="Times New Roman"/>
          <w:szCs w:val="21"/>
        </w:rPr>
        <w:t>所有</w:t>
      </w:r>
      <w:r>
        <w:rPr>
          <w:rFonts w:eastAsia="仿宋" w:cs="Times New Roman"/>
          <w:szCs w:val="21"/>
        </w:rPr>
        <w:t>损失和损坏</w:t>
      </w:r>
      <w:r>
        <w:rPr>
          <w:rFonts w:hint="eastAsia" w:eastAsia="仿宋" w:cs="Times New Roman"/>
          <w:szCs w:val="21"/>
        </w:rPr>
        <w:t>向卖方全额</w:t>
      </w:r>
      <w:r>
        <w:rPr>
          <w:rFonts w:eastAsia="仿宋" w:cs="Times New Roman"/>
          <w:szCs w:val="21"/>
        </w:rPr>
        <w:t>索赔(生产损失和利润损失</w:t>
      </w:r>
      <w:r>
        <w:rPr>
          <w:rFonts w:hint="eastAsia" w:eastAsia="仿宋" w:cs="Times New Roman"/>
          <w:szCs w:val="21"/>
        </w:rPr>
        <w:t>等间接损失</w:t>
      </w:r>
      <w:r>
        <w:rPr>
          <w:rFonts w:eastAsia="仿宋" w:cs="Times New Roman"/>
          <w:szCs w:val="21"/>
        </w:rPr>
        <w:t>除外)。</w:t>
      </w:r>
    </w:p>
    <w:p w14:paraId="6982523E">
      <w:pPr>
        <w:tabs>
          <w:tab w:val="left" w:pos="1440"/>
        </w:tabs>
        <w:snapToGrid w:val="0"/>
        <w:spacing w:line="240" w:lineRule="auto"/>
        <w:ind w:left="630" w:hanging="630" w:hangingChars="300"/>
        <w:rPr>
          <w:rFonts w:eastAsia="仿宋" w:cs="Times New Roman"/>
          <w:szCs w:val="21"/>
          <w:lang w:eastAsia="zh-TW"/>
        </w:rPr>
      </w:pPr>
      <w:r>
        <w:rPr>
          <w:rFonts w:eastAsia="仿宋" w:cs="Times New Roman"/>
          <w:szCs w:val="21"/>
        </w:rPr>
        <w:t xml:space="preserve">14.6  </w:t>
      </w:r>
      <w:r>
        <w:rPr>
          <w:rFonts w:hint="eastAsia" w:eastAsia="仿宋" w:cs="Times New Roman"/>
          <w:b/>
          <w:bCs/>
          <w:i/>
          <w:iCs/>
          <w:szCs w:val="21"/>
        </w:rPr>
        <w:t>（设备适用）</w:t>
      </w:r>
      <w:r>
        <w:rPr>
          <w:rFonts w:eastAsia="仿宋" w:cs="Times New Roman"/>
          <w:szCs w:val="21"/>
        </w:rPr>
        <w:t>The Seller warrants that it will provide on-site installation, commissioning, technical services, training as stipulated in the Technical Agreement</w:t>
      </w:r>
      <w:r>
        <w:rPr>
          <w:rFonts w:hint="eastAsia" w:eastAsia="仿宋" w:cs="Times New Roman"/>
          <w:szCs w:val="21"/>
        </w:rPr>
        <w:t xml:space="preserve"> </w:t>
      </w:r>
      <w:r>
        <w:rPr>
          <w:rFonts w:eastAsia="仿宋" w:cs="Times New Roman"/>
          <w:szCs w:val="21"/>
        </w:rPr>
        <w:t xml:space="preserve">and other incidental services in respect to the Commodities at </w:t>
      </w:r>
      <w:r>
        <w:rPr>
          <w:rFonts w:eastAsia="仿宋" w:cs="Times New Roman"/>
          <w:szCs w:val="21"/>
          <w:lang w:eastAsia="zh-TW"/>
        </w:rPr>
        <w:t>the</w:t>
      </w:r>
      <w:r>
        <w:rPr>
          <w:rFonts w:eastAsia="仿宋" w:cs="Times New Roman"/>
          <w:szCs w:val="21"/>
        </w:rPr>
        <w:t xml:space="preserve"> Enduser’s factory, the cost </w:t>
      </w:r>
      <w:r>
        <w:rPr>
          <w:rFonts w:hint="eastAsia" w:eastAsia="仿宋" w:cs="Times New Roman"/>
          <w:szCs w:val="21"/>
        </w:rPr>
        <w:t xml:space="preserve">thus incurred </w:t>
      </w:r>
      <w:r>
        <w:rPr>
          <w:rFonts w:eastAsia="仿宋" w:cs="Times New Roman"/>
          <w:szCs w:val="21"/>
        </w:rPr>
        <w:t xml:space="preserve">will be borne by the </w:t>
      </w:r>
      <w:r>
        <w:rPr>
          <w:rFonts w:hint="eastAsia" w:eastAsia="仿宋" w:cs="Times New Roman"/>
          <w:szCs w:val="21"/>
        </w:rPr>
        <w:t>S</w:t>
      </w:r>
      <w:r>
        <w:rPr>
          <w:rFonts w:eastAsia="仿宋" w:cs="Times New Roman"/>
          <w:szCs w:val="21"/>
        </w:rPr>
        <w:t>eller.</w:t>
      </w:r>
    </w:p>
    <w:p w14:paraId="344C14FE">
      <w:pPr>
        <w:spacing w:line="240" w:lineRule="auto"/>
        <w:ind w:left="630" w:leftChars="300"/>
        <w:rPr>
          <w:rFonts w:eastAsia="仿宋" w:cs="Times New Roman"/>
        </w:rPr>
      </w:pPr>
      <w:r>
        <w:rPr>
          <w:rFonts w:eastAsia="仿宋" w:cs="Times New Roman"/>
          <w:szCs w:val="21"/>
        </w:rPr>
        <w:t>卖方保证将在</w:t>
      </w:r>
      <w:r>
        <w:rPr>
          <w:rFonts w:hint="eastAsia" w:eastAsia="仿宋" w:cs="Times New Roman"/>
          <w:szCs w:val="21"/>
        </w:rPr>
        <w:t>最终</w:t>
      </w:r>
      <w:r>
        <w:rPr>
          <w:rFonts w:eastAsia="仿宋" w:cs="Times New Roman"/>
          <w:szCs w:val="21"/>
        </w:rPr>
        <w:t>用户</w:t>
      </w:r>
      <w:r>
        <w:rPr>
          <w:rFonts w:hint="eastAsia" w:eastAsia="仿宋" w:cs="Times New Roman"/>
          <w:szCs w:val="21"/>
        </w:rPr>
        <w:t>处提供</w:t>
      </w:r>
      <w:r>
        <w:rPr>
          <w:rFonts w:eastAsia="仿宋" w:cs="Times New Roman"/>
          <w:szCs w:val="21"/>
        </w:rPr>
        <w:t>技术协议</w:t>
      </w:r>
      <w:r>
        <w:rPr>
          <w:rFonts w:hint="eastAsia" w:eastAsia="仿宋" w:cs="Times New Roman"/>
          <w:szCs w:val="21"/>
        </w:rPr>
        <w:t>约定的</w:t>
      </w:r>
      <w:r>
        <w:rPr>
          <w:rFonts w:eastAsia="仿宋" w:cs="Times New Roman"/>
          <w:szCs w:val="21"/>
        </w:rPr>
        <w:t>现场安装调试、试运行、技术服务、培训及货物的其他相关服务</w:t>
      </w:r>
      <w:r>
        <w:rPr>
          <w:rFonts w:hint="eastAsia" w:eastAsia="仿宋" w:cs="Times New Roman"/>
          <w:szCs w:val="21"/>
        </w:rPr>
        <w:t>，由此产生的</w:t>
      </w:r>
      <w:r>
        <w:rPr>
          <w:rFonts w:eastAsia="仿宋" w:cs="Times New Roman"/>
          <w:szCs w:val="21"/>
        </w:rPr>
        <w:t>相关费用均由卖方承担。</w:t>
      </w:r>
    </w:p>
    <w:p w14:paraId="5C6DBA3D">
      <w:pPr>
        <w:snapToGrid w:val="0"/>
        <w:spacing w:line="240" w:lineRule="auto"/>
        <w:ind w:left="630" w:hanging="630" w:hangingChars="300"/>
        <w:rPr>
          <w:rFonts w:eastAsia="仿宋" w:cs="Times New Roman"/>
          <w:szCs w:val="21"/>
          <w:lang w:eastAsia="zh-TW"/>
        </w:rPr>
      </w:pPr>
      <w:r>
        <w:rPr>
          <w:rFonts w:eastAsia="仿宋" w:cs="Times New Roman"/>
          <w:szCs w:val="21"/>
        </w:rPr>
        <w:t>14.7  The Seller warrants that it has the clear and unqualified legal right to sell or otherwise dispose of the Commodities, the Commodities will be delivered to the Seller free and clear of all liens and encumbrances, and that none of the Commodities or any component or part thereof are not derived from illegal and/or criminal sources.</w:t>
      </w:r>
      <w:r>
        <w:rPr>
          <w:rFonts w:hint="eastAsia" w:eastAsia="仿宋" w:cs="Times New Roman"/>
          <w:szCs w:val="21"/>
        </w:rPr>
        <w:t xml:space="preserve"> </w:t>
      </w:r>
      <w:r>
        <w:rPr>
          <w:rFonts w:eastAsia="仿宋" w:cs="Times New Roman"/>
          <w:szCs w:val="21"/>
        </w:rPr>
        <w:t>T</w:t>
      </w:r>
      <w:r>
        <w:rPr>
          <w:rFonts w:hint="eastAsia" w:eastAsia="仿宋" w:cs="Times New Roman"/>
          <w:szCs w:val="21"/>
        </w:rPr>
        <w:t xml:space="preserve">he Seller further </w:t>
      </w:r>
      <w:r>
        <w:rPr>
          <w:rFonts w:eastAsia="仿宋" w:cs="Times New Roman"/>
          <w:szCs w:val="21"/>
        </w:rPr>
        <w:t>warrants</w:t>
      </w:r>
      <w:r>
        <w:rPr>
          <w:rFonts w:hint="eastAsia" w:eastAsia="仿宋" w:cs="Times New Roman"/>
          <w:szCs w:val="21"/>
        </w:rPr>
        <w:t xml:space="preserve"> that the Commodities and / or any and all components and/ or parts thereof supplied by the Seller shall not be limited, </w:t>
      </w:r>
      <w:r>
        <w:rPr>
          <w:rFonts w:eastAsia="仿宋" w:cs="Times New Roman"/>
          <w:szCs w:val="21"/>
        </w:rPr>
        <w:t>restricte</w:t>
      </w:r>
      <w:r>
        <w:rPr>
          <w:rFonts w:hint="eastAsia" w:eastAsia="仿宋" w:cs="Times New Roman"/>
          <w:szCs w:val="21"/>
        </w:rPr>
        <w:t>d or prohibited for/from use, remanufacturing, reassembling, updates, sale or other purposes by the Buyer and/or the Endusers under any applicable jurisdictional laws and regulations</w:t>
      </w:r>
      <w:r>
        <w:rPr>
          <w:rFonts w:eastAsia="仿宋" w:cs="Times New Roman"/>
          <w:szCs w:val="21"/>
        </w:rPr>
        <w:t xml:space="preserve"> or any contractual arrangement to which the Seller is a party</w:t>
      </w:r>
      <w:r>
        <w:rPr>
          <w:rFonts w:hint="eastAsia" w:eastAsia="仿宋" w:cs="Times New Roman"/>
          <w:szCs w:val="21"/>
        </w:rPr>
        <w:t xml:space="preserve">.  </w:t>
      </w:r>
    </w:p>
    <w:p w14:paraId="00B7F605">
      <w:pPr>
        <w:snapToGrid w:val="0"/>
        <w:spacing w:line="240" w:lineRule="auto"/>
        <w:ind w:left="630" w:leftChars="300"/>
        <w:rPr>
          <w:rFonts w:eastAsia="仿宋" w:cs="Times New Roman"/>
        </w:rPr>
      </w:pPr>
      <w:r>
        <w:rPr>
          <w:rFonts w:eastAsia="仿宋" w:cs="Times New Roman"/>
          <w:szCs w:val="21"/>
        </w:rPr>
        <w:t>卖方保证卖方有明晰不受限制的权利销售和处理该货物，该货物无任何留置和抵押且不是非法渠道取得。为免异议</w:t>
      </w:r>
      <w:r>
        <w:rPr>
          <w:rFonts w:hint="eastAsia" w:eastAsia="仿宋" w:cs="Times New Roman"/>
          <w:szCs w:val="21"/>
        </w:rPr>
        <w:t>，</w:t>
      </w:r>
      <w:r>
        <w:rPr>
          <w:rFonts w:eastAsia="仿宋" w:cs="Times New Roman"/>
          <w:szCs w:val="21"/>
        </w:rPr>
        <w:t>卖方</w:t>
      </w:r>
      <w:r>
        <w:rPr>
          <w:rFonts w:hint="eastAsia" w:eastAsia="仿宋" w:cs="Times New Roman"/>
          <w:szCs w:val="21"/>
        </w:rPr>
        <w:t>进一步</w:t>
      </w:r>
      <w:r>
        <w:rPr>
          <w:rFonts w:eastAsia="仿宋" w:cs="Times New Roman"/>
          <w:szCs w:val="21"/>
        </w:rPr>
        <w:t>保证</w:t>
      </w:r>
      <w:r>
        <w:rPr>
          <w:rFonts w:hint="eastAsia" w:eastAsia="仿宋" w:cs="Times New Roman"/>
          <w:szCs w:val="21"/>
        </w:rPr>
        <w:t>，就</w:t>
      </w:r>
      <w:r>
        <w:rPr>
          <w:rFonts w:eastAsia="仿宋" w:cs="Times New Roman"/>
          <w:szCs w:val="21"/>
        </w:rPr>
        <w:t>卖方供应的货物及其</w:t>
      </w:r>
      <w:r>
        <w:rPr>
          <w:rFonts w:hint="eastAsia" w:eastAsia="仿宋" w:cs="Times New Roman"/>
          <w:szCs w:val="21"/>
        </w:rPr>
        <w:t>任何及所有零/部件而言，买方及/或最终用户在使用、再加工、再组装、更新、销售或用于其他用途时不受任何地域的法律法规或卖方作为一方的任何合同安排所限制或禁止。</w:t>
      </w:r>
    </w:p>
    <w:p w14:paraId="3580E578">
      <w:pPr>
        <w:tabs>
          <w:tab w:val="left" w:pos="1440"/>
        </w:tabs>
        <w:snapToGrid w:val="0"/>
        <w:spacing w:line="240" w:lineRule="auto"/>
        <w:ind w:left="630" w:hanging="630" w:hangingChars="300"/>
        <w:rPr>
          <w:rFonts w:eastAsia="仿宋" w:cs="Times New Roman"/>
          <w:szCs w:val="21"/>
          <w:lang w:eastAsia="zh-TW"/>
        </w:rPr>
      </w:pPr>
      <w:r>
        <w:rPr>
          <w:rFonts w:eastAsia="仿宋" w:cs="Times New Roman"/>
          <w:szCs w:val="21"/>
        </w:rPr>
        <w:t xml:space="preserve">14.8  The Seller warrants that the sale and transfer to, and use by, the </w:t>
      </w:r>
      <w:r>
        <w:rPr>
          <w:rFonts w:hint="eastAsia" w:eastAsia="仿宋" w:cs="Times New Roman"/>
          <w:szCs w:val="21"/>
        </w:rPr>
        <w:t>Buyer</w:t>
      </w:r>
      <w:r>
        <w:rPr>
          <w:rFonts w:eastAsia="仿宋" w:cs="Times New Roman"/>
          <w:szCs w:val="21"/>
        </w:rPr>
        <w:t xml:space="preserve"> and Enduser of the Commodities shall not result in any infringement of any intellectual property rights, including but not limited to patent, trademark, copyright and any other proprietary rights, of any third parties. In case of any breach or asserted breach of the foregoing warranty, the Seller shall (</w:t>
      </w:r>
      <w:r>
        <w:rPr>
          <w:rFonts w:hint="eastAsia" w:eastAsia="仿宋" w:cs="Times New Roman"/>
          <w:szCs w:val="21"/>
        </w:rPr>
        <w:t>i</w:t>
      </w:r>
      <w:r>
        <w:rPr>
          <w:rFonts w:eastAsia="仿宋" w:cs="Times New Roman"/>
          <w:szCs w:val="21"/>
        </w:rPr>
        <w:t>) indemnify and hold harmless the Buyer and Enduser against any and all liabilities, including without limitation, economic damage, investigation costs,</w:t>
      </w:r>
      <w:r>
        <w:t xml:space="preserve"> </w:t>
      </w:r>
      <w:r>
        <w:rPr>
          <w:rFonts w:eastAsia="仿宋" w:cs="Times New Roman"/>
          <w:szCs w:val="21"/>
        </w:rPr>
        <w:t>travel expenses</w:t>
      </w:r>
      <w:r>
        <w:rPr>
          <w:rFonts w:hint="eastAsia" w:eastAsia="仿宋" w:cs="Times New Roman"/>
          <w:szCs w:val="21"/>
        </w:rPr>
        <w:t>，</w:t>
      </w:r>
      <w:r>
        <w:rPr>
          <w:rFonts w:eastAsia="仿宋" w:cs="Times New Roman"/>
          <w:szCs w:val="21"/>
        </w:rPr>
        <w:t>legal costs, and disbursements</w:t>
      </w:r>
      <w:r>
        <w:rPr>
          <w:rFonts w:hint="eastAsia" w:eastAsia="仿宋" w:cs="Times New Roman"/>
          <w:szCs w:val="21"/>
        </w:rPr>
        <w:t xml:space="preserve"> </w:t>
      </w:r>
      <w:r>
        <w:rPr>
          <w:rFonts w:eastAsia="仿宋" w:cs="Times New Roman"/>
          <w:szCs w:val="21"/>
        </w:rPr>
        <w:t>incurred</w:t>
      </w:r>
      <w:r>
        <w:rPr>
          <w:rFonts w:hint="eastAsia" w:eastAsia="仿宋" w:cs="Times New Roman"/>
          <w:szCs w:val="21"/>
        </w:rPr>
        <w:t xml:space="preserve"> </w:t>
      </w:r>
      <w:r>
        <w:rPr>
          <w:rFonts w:eastAsia="仿宋" w:cs="Times New Roman"/>
          <w:szCs w:val="21"/>
        </w:rPr>
        <w:t>by</w:t>
      </w:r>
      <w:r>
        <w:rPr>
          <w:rFonts w:hint="eastAsia" w:eastAsia="仿宋" w:cs="Times New Roman"/>
          <w:szCs w:val="21"/>
        </w:rPr>
        <w:t xml:space="preserve"> the Buyer and / or the Endusers </w:t>
      </w:r>
      <w:r>
        <w:rPr>
          <w:rFonts w:eastAsia="仿宋" w:cs="Times New Roman"/>
          <w:szCs w:val="21"/>
        </w:rPr>
        <w:t>; and (</w:t>
      </w:r>
      <w:r>
        <w:rPr>
          <w:rFonts w:hint="eastAsia" w:eastAsia="仿宋" w:cs="Times New Roman"/>
          <w:szCs w:val="21"/>
        </w:rPr>
        <w:t>ii</w:t>
      </w:r>
      <w:r>
        <w:rPr>
          <w:rFonts w:eastAsia="仿宋" w:cs="Times New Roman"/>
          <w:szCs w:val="21"/>
        </w:rPr>
        <w:t>) settle all such amount of compensation with the third parties concerned directly.</w:t>
      </w:r>
    </w:p>
    <w:p w14:paraId="64E556A9">
      <w:pPr>
        <w:spacing w:line="240" w:lineRule="auto"/>
        <w:ind w:left="630" w:leftChars="300"/>
        <w:rPr>
          <w:rFonts w:eastAsia="仿宋" w:cs="Times New Roman"/>
          <w:szCs w:val="21"/>
        </w:rPr>
      </w:pPr>
      <w:r>
        <w:rPr>
          <w:rFonts w:eastAsia="仿宋" w:cs="Times New Roman"/>
          <w:szCs w:val="21"/>
        </w:rPr>
        <w:t>卖方保证</w:t>
      </w:r>
      <w:r>
        <w:rPr>
          <w:rFonts w:hint="eastAsia" w:eastAsia="仿宋" w:cs="Times New Roman"/>
          <w:szCs w:val="21"/>
        </w:rPr>
        <w:t>向买方和最终用户出售、转让和使用货物</w:t>
      </w:r>
      <w:r>
        <w:rPr>
          <w:rFonts w:eastAsia="仿宋" w:cs="Times New Roman"/>
          <w:szCs w:val="21"/>
        </w:rPr>
        <w:t>没有侵害第三方知识产权，包括但不限于专利权、商标权、著作权及其它</w:t>
      </w:r>
      <w:r>
        <w:rPr>
          <w:rFonts w:hint="eastAsia" w:eastAsia="仿宋" w:cs="Times New Roman"/>
          <w:szCs w:val="21"/>
        </w:rPr>
        <w:t>专有权利。在任何违反或声称违反上述保证的情况下</w:t>
      </w:r>
      <w:r>
        <w:rPr>
          <w:rFonts w:eastAsia="仿宋" w:cs="Times New Roman"/>
          <w:szCs w:val="21"/>
        </w:rPr>
        <w:t>，卖方应（</w:t>
      </w:r>
      <w:r>
        <w:rPr>
          <w:rFonts w:hint="eastAsia" w:eastAsia="仿宋" w:cs="Times New Roman"/>
          <w:szCs w:val="21"/>
        </w:rPr>
        <w:t>i</w:t>
      </w:r>
      <w:r>
        <w:rPr>
          <w:rFonts w:eastAsia="仿宋" w:cs="Times New Roman"/>
          <w:szCs w:val="21"/>
        </w:rPr>
        <w:t>）承担</w:t>
      </w:r>
      <w:r>
        <w:rPr>
          <w:rFonts w:hint="eastAsia" w:eastAsia="仿宋" w:cs="Times New Roman"/>
          <w:szCs w:val="21"/>
        </w:rPr>
        <w:t>对</w:t>
      </w:r>
      <w:r>
        <w:rPr>
          <w:rFonts w:eastAsia="仿宋" w:cs="Times New Roman"/>
          <w:szCs w:val="21"/>
        </w:rPr>
        <w:t>买方及</w:t>
      </w:r>
      <w:r>
        <w:rPr>
          <w:rFonts w:hint="eastAsia" w:eastAsia="仿宋" w:cs="Times New Roman"/>
          <w:szCs w:val="21"/>
        </w:rPr>
        <w:t>/或最终用户造成</w:t>
      </w:r>
      <w:r>
        <w:rPr>
          <w:rFonts w:eastAsia="仿宋" w:cs="Times New Roman"/>
          <w:szCs w:val="21"/>
        </w:rPr>
        <w:t>的全部责任，其包括但不限于经济损失、调查取证费、差旅费、诉讼费、律师费等（</w:t>
      </w:r>
      <w:r>
        <w:rPr>
          <w:rFonts w:hint="eastAsia" w:eastAsia="仿宋" w:cs="Times New Roman"/>
          <w:szCs w:val="21"/>
        </w:rPr>
        <w:t>ii</w:t>
      </w:r>
      <w:r>
        <w:rPr>
          <w:rFonts w:eastAsia="仿宋" w:cs="Times New Roman"/>
          <w:szCs w:val="21"/>
        </w:rPr>
        <w:t>）</w:t>
      </w:r>
      <w:r>
        <w:rPr>
          <w:rFonts w:hint="eastAsia" w:eastAsia="仿宋" w:cs="Times New Roman"/>
          <w:szCs w:val="21"/>
        </w:rPr>
        <w:t>以及</w:t>
      </w:r>
      <w:r>
        <w:rPr>
          <w:rFonts w:eastAsia="仿宋" w:cs="Times New Roman"/>
          <w:szCs w:val="21"/>
        </w:rPr>
        <w:t>直接向相关第三方</w:t>
      </w:r>
      <w:r>
        <w:rPr>
          <w:rFonts w:hint="eastAsia" w:eastAsia="仿宋" w:cs="Times New Roman"/>
          <w:szCs w:val="21"/>
        </w:rPr>
        <w:t>进行的</w:t>
      </w:r>
      <w:r>
        <w:rPr>
          <w:rFonts w:eastAsia="仿宋" w:cs="Times New Roman"/>
          <w:szCs w:val="21"/>
        </w:rPr>
        <w:t>全额赔偿。</w:t>
      </w:r>
    </w:p>
    <w:p w14:paraId="7E169A20">
      <w:pPr>
        <w:snapToGrid w:val="0"/>
        <w:spacing w:line="240" w:lineRule="auto"/>
        <w:rPr>
          <w:rFonts w:eastAsia="仿宋" w:cs="Times New Roman"/>
          <w:szCs w:val="21"/>
        </w:rPr>
      </w:pPr>
    </w:p>
    <w:p w14:paraId="5A918B85">
      <w:pPr>
        <w:snapToGrid w:val="0"/>
        <w:spacing w:line="240" w:lineRule="auto"/>
        <w:rPr>
          <w:rFonts w:eastAsia="仿宋" w:cs="Times New Roman"/>
          <w:szCs w:val="21"/>
        </w:rPr>
      </w:pPr>
    </w:p>
    <w:p w14:paraId="65E11096">
      <w:pPr>
        <w:tabs>
          <w:tab w:val="left" w:pos="709"/>
        </w:tabs>
        <w:snapToGrid w:val="0"/>
        <w:spacing w:line="240" w:lineRule="auto"/>
        <w:rPr>
          <w:rFonts w:eastAsia="仿宋" w:cs="Times New Roman"/>
          <w:b/>
          <w:szCs w:val="21"/>
        </w:rPr>
      </w:pPr>
      <w:r>
        <w:rPr>
          <w:rFonts w:eastAsia="仿宋" w:cs="Times New Roman"/>
          <w:b/>
          <w:szCs w:val="21"/>
        </w:rPr>
        <w:t>15.</w:t>
      </w:r>
      <w:r>
        <w:rPr>
          <w:rFonts w:eastAsia="仿宋" w:cs="Times New Roman"/>
          <w:b/>
          <w:szCs w:val="21"/>
        </w:rPr>
        <w:tab/>
      </w:r>
      <w:r>
        <w:rPr>
          <w:rFonts w:eastAsia="仿宋" w:cs="Times New Roman"/>
          <w:b/>
          <w:sz w:val="24"/>
          <w:szCs w:val="24"/>
        </w:rPr>
        <w:t>INSPECTION检验</w:t>
      </w:r>
    </w:p>
    <w:p w14:paraId="2BAC7ECE">
      <w:pPr>
        <w:snapToGrid w:val="0"/>
        <w:spacing w:line="240" w:lineRule="auto"/>
        <w:rPr>
          <w:rFonts w:eastAsia="仿宋" w:cs="Times New Roman"/>
          <w:b/>
          <w:szCs w:val="21"/>
        </w:rPr>
      </w:pPr>
    </w:p>
    <w:p w14:paraId="07997786">
      <w:pPr>
        <w:tabs>
          <w:tab w:val="left" w:pos="709"/>
        </w:tabs>
        <w:snapToGrid w:val="0"/>
        <w:spacing w:line="240" w:lineRule="auto"/>
        <w:ind w:left="619" w:hanging="619" w:hangingChars="295"/>
        <w:rPr>
          <w:rFonts w:eastAsia="仿宋" w:cs="Times New Roman"/>
          <w:szCs w:val="21"/>
        </w:rPr>
      </w:pPr>
      <w:r>
        <w:rPr>
          <w:rFonts w:eastAsia="仿宋" w:cs="Times New Roman"/>
          <w:szCs w:val="21"/>
        </w:rPr>
        <w:t xml:space="preserve">15.1 </w:t>
      </w:r>
      <w:r>
        <w:rPr>
          <w:rFonts w:eastAsia="仿宋" w:cs="Times New Roman"/>
          <w:szCs w:val="21"/>
        </w:rPr>
        <w:tab/>
      </w:r>
      <w:r>
        <w:rPr>
          <w:rFonts w:eastAsia="仿宋" w:cs="Times New Roman"/>
          <w:szCs w:val="21"/>
        </w:rPr>
        <w:t xml:space="preserve">The Seller shall, before making delivery of the Commodities, at the Seller’s premises conduct precise, thorough and comprehensive inspections on the Commodities in respect of their quality, specification, performance, quantity and weight; and issue to a Buyer certificate(s) certifying that the Commodities are in full conformity with the </w:t>
      </w:r>
      <w:r>
        <w:rPr>
          <w:rFonts w:hint="eastAsia" w:eastAsia="仿宋" w:cs="Times New Roman"/>
          <w:szCs w:val="21"/>
        </w:rPr>
        <w:t>s</w:t>
      </w:r>
      <w:r>
        <w:rPr>
          <w:rFonts w:eastAsia="仿宋" w:cs="Times New Roman"/>
          <w:szCs w:val="21"/>
        </w:rPr>
        <w:t xml:space="preserve">pecifications </w:t>
      </w:r>
      <w:r>
        <w:rPr>
          <w:rFonts w:hint="eastAsia" w:eastAsia="仿宋" w:cs="Times New Roman"/>
          <w:szCs w:val="21"/>
        </w:rPr>
        <w:t>under th</w:t>
      </w:r>
      <w:r>
        <w:rPr>
          <w:rFonts w:eastAsia="仿宋" w:cs="Times New Roman"/>
          <w:szCs w:val="21"/>
        </w:rPr>
        <w:t>is</w:t>
      </w:r>
      <w:r>
        <w:rPr>
          <w:rFonts w:hint="eastAsia" w:eastAsia="仿宋" w:cs="Times New Roman"/>
          <w:szCs w:val="21"/>
        </w:rPr>
        <w:t xml:space="preserve"> Contract</w:t>
      </w:r>
      <w:r>
        <w:rPr>
          <w:rFonts w:eastAsia="仿宋" w:cs="Times New Roman"/>
          <w:szCs w:val="21"/>
        </w:rPr>
        <w:t xml:space="preserve">. </w:t>
      </w:r>
    </w:p>
    <w:p w14:paraId="05740BF8">
      <w:pPr>
        <w:pStyle w:val="20"/>
        <w:tabs>
          <w:tab w:val="left" w:pos="1080"/>
          <w:tab w:val="left" w:pos="1620"/>
        </w:tabs>
        <w:spacing w:line="240" w:lineRule="auto"/>
        <w:ind w:left="619" w:leftChars="295"/>
        <w:rPr>
          <w:rFonts w:eastAsia="仿宋" w:cs="Times New Roman"/>
          <w:szCs w:val="21"/>
        </w:rPr>
      </w:pPr>
      <w:r>
        <w:rPr>
          <w:rFonts w:eastAsia="仿宋" w:cs="Times New Roman"/>
          <w:szCs w:val="21"/>
        </w:rPr>
        <w:t>在发货之前，卖方应在卖方处就订货的质量、规格、性能、数量和重量做出准确而全面的检验，并出具货物和本合同规格型号</w:t>
      </w:r>
      <w:r>
        <w:rPr>
          <w:rFonts w:hint="eastAsia" w:eastAsia="仿宋" w:cs="Times New Roman"/>
          <w:szCs w:val="21"/>
        </w:rPr>
        <w:t>完全</w:t>
      </w:r>
      <w:r>
        <w:rPr>
          <w:rFonts w:eastAsia="仿宋" w:cs="Times New Roman"/>
          <w:szCs w:val="21"/>
        </w:rPr>
        <w:t>相符的证明书。</w:t>
      </w:r>
    </w:p>
    <w:p w14:paraId="617CD08B">
      <w:pPr>
        <w:tabs>
          <w:tab w:val="left" w:pos="709"/>
        </w:tabs>
        <w:snapToGrid w:val="0"/>
        <w:spacing w:line="240" w:lineRule="auto"/>
        <w:ind w:left="619" w:hanging="619" w:hangingChars="295"/>
        <w:rPr>
          <w:rFonts w:eastAsia="仿宋" w:cs="Times New Roman"/>
          <w:szCs w:val="21"/>
        </w:rPr>
      </w:pPr>
      <w:r>
        <w:rPr>
          <w:rFonts w:eastAsia="仿宋" w:cs="Times New Roman"/>
          <w:szCs w:val="21"/>
        </w:rPr>
        <w:t>15.2</w:t>
      </w:r>
      <w:r>
        <w:rPr>
          <w:rFonts w:eastAsia="仿宋" w:cs="Times New Roman"/>
          <w:szCs w:val="21"/>
        </w:rPr>
        <w:tab/>
      </w:r>
      <w:r>
        <w:rPr>
          <w:rFonts w:eastAsia="仿宋" w:cs="Times New Roman"/>
          <w:szCs w:val="21"/>
        </w:rPr>
        <w:t xml:space="preserve">Notwithstanding that any certificate(s) issued by the Seller for certifying that the Commodities are in conformity with the </w:t>
      </w:r>
      <w:r>
        <w:rPr>
          <w:rFonts w:hint="eastAsia" w:eastAsia="仿宋" w:cs="Times New Roman"/>
          <w:szCs w:val="21"/>
        </w:rPr>
        <w:t>s</w:t>
      </w:r>
      <w:r>
        <w:rPr>
          <w:rFonts w:eastAsia="仿宋" w:cs="Times New Roman"/>
          <w:szCs w:val="21"/>
        </w:rPr>
        <w:t>pecifications shall not be considered as final in respect of quality, specification, performance, quantity and weight of the Commodities, such certificates shall form an integral part of all the documents to be presented to the paying bank for negotiation of payment.</w:t>
      </w:r>
    </w:p>
    <w:p w14:paraId="00840188">
      <w:pPr>
        <w:tabs>
          <w:tab w:val="left" w:pos="709"/>
        </w:tabs>
        <w:snapToGrid w:val="0"/>
        <w:spacing w:line="240" w:lineRule="auto"/>
        <w:ind w:left="619" w:hanging="619" w:hangingChars="295"/>
        <w:rPr>
          <w:rFonts w:eastAsia="仿宋" w:cs="Times New Roman"/>
          <w:szCs w:val="21"/>
        </w:rPr>
      </w:pPr>
      <w:r>
        <w:rPr>
          <w:rFonts w:eastAsia="仿宋" w:cs="Times New Roman"/>
          <w:szCs w:val="21"/>
        </w:rPr>
        <w:t xml:space="preserve">      </w:t>
      </w:r>
      <w:r>
        <w:rPr>
          <w:rFonts w:hint="eastAsia" w:eastAsia="仿宋" w:cs="Times New Roman"/>
          <w:szCs w:val="21"/>
        </w:rPr>
        <w:t>虽然</w:t>
      </w:r>
      <w:r>
        <w:rPr>
          <w:rFonts w:eastAsia="仿宋" w:cs="Times New Roman"/>
          <w:szCs w:val="21"/>
        </w:rPr>
        <w:t>该证明书已证明符合规格型号的要求，但不应视为对货物的质量、规格、性能、数量和重量的最后检验依据。该证明书为议付货款而应向支付行提交所有单据的组成部分。</w:t>
      </w:r>
    </w:p>
    <w:p w14:paraId="6BBD06BE">
      <w:pPr>
        <w:tabs>
          <w:tab w:val="left" w:pos="709"/>
        </w:tabs>
        <w:snapToGrid w:val="0"/>
        <w:spacing w:line="240" w:lineRule="auto"/>
        <w:ind w:left="619" w:hanging="619" w:hangingChars="295"/>
        <w:rPr>
          <w:rFonts w:eastAsia="仿宋" w:cs="Times New Roman"/>
          <w:szCs w:val="21"/>
        </w:rPr>
      </w:pPr>
      <w:r>
        <w:rPr>
          <w:rFonts w:eastAsia="仿宋" w:cs="Times New Roman"/>
          <w:szCs w:val="21"/>
        </w:rPr>
        <w:t>15.3</w:t>
      </w:r>
      <w:r>
        <w:rPr>
          <w:rFonts w:eastAsia="仿宋" w:cs="Times New Roman"/>
          <w:szCs w:val="21"/>
        </w:rPr>
        <w:tab/>
      </w:r>
      <w:r>
        <w:rPr>
          <w:rFonts w:eastAsia="仿宋" w:cs="Times New Roman"/>
          <w:szCs w:val="21"/>
        </w:rPr>
        <w:t>For Commodities that are provided by foreign suppliers, after arrival of the Commodities at the destination</w:t>
      </w:r>
      <w:r>
        <w:rPr>
          <w:rFonts w:hint="eastAsia" w:eastAsia="仿宋" w:cs="Times New Roman"/>
          <w:szCs w:val="21"/>
        </w:rPr>
        <w:t xml:space="preserve"> and/or the </w:t>
      </w:r>
      <w:r>
        <w:rPr>
          <w:rFonts w:eastAsia="仿宋" w:cs="Times New Roman"/>
          <w:szCs w:val="21"/>
        </w:rPr>
        <w:t xml:space="preserve">Port of Destination, the Buyer </w:t>
      </w:r>
      <w:r>
        <w:rPr>
          <w:rFonts w:hint="eastAsia" w:eastAsia="仿宋" w:cs="Times New Roman"/>
          <w:szCs w:val="21"/>
        </w:rPr>
        <w:t>have</w:t>
      </w:r>
      <w:r>
        <w:rPr>
          <w:rFonts w:eastAsia="仿宋" w:cs="Times New Roman"/>
          <w:szCs w:val="21"/>
        </w:rPr>
        <w:t xml:space="preserve"> the </w:t>
      </w:r>
      <w:r>
        <w:rPr>
          <w:rFonts w:hint="eastAsia" w:eastAsia="仿宋" w:cs="Times New Roman"/>
          <w:szCs w:val="21"/>
        </w:rPr>
        <w:t>right</w:t>
      </w:r>
      <w:r>
        <w:rPr>
          <w:rFonts w:eastAsia="仿宋" w:cs="Times New Roman"/>
          <w:szCs w:val="21"/>
        </w:rPr>
        <w:t xml:space="preserve"> </w:t>
      </w:r>
      <w:r>
        <w:rPr>
          <w:rFonts w:hint="eastAsia" w:eastAsia="仿宋" w:cs="Times New Roman"/>
          <w:szCs w:val="21"/>
        </w:rPr>
        <w:t>to</w:t>
      </w:r>
      <w:r>
        <w:rPr>
          <w:rFonts w:eastAsia="仿宋" w:cs="Times New Roman"/>
          <w:szCs w:val="21"/>
        </w:rPr>
        <w:t xml:space="preserve"> apply to </w:t>
      </w:r>
      <w:r>
        <w:rPr>
          <w:rFonts w:hint="eastAsia" w:eastAsia="仿宋" w:cs="Times New Roman"/>
          <w:szCs w:val="21"/>
        </w:rPr>
        <w:t xml:space="preserve">the competent </w:t>
      </w:r>
      <w:r>
        <w:rPr>
          <w:rFonts w:eastAsia="仿宋" w:cs="Times New Roman"/>
          <w:szCs w:val="21"/>
          <w:lang w:eastAsia="zh-TW"/>
        </w:rPr>
        <w:t xml:space="preserve">Commodity </w:t>
      </w:r>
      <w:r>
        <w:rPr>
          <w:rFonts w:hint="eastAsia" w:eastAsia="仿宋" w:cs="Times New Roman"/>
          <w:szCs w:val="21"/>
        </w:rPr>
        <w:t>i</w:t>
      </w:r>
      <w:r>
        <w:rPr>
          <w:rFonts w:eastAsia="仿宋" w:cs="Times New Roman"/>
          <w:szCs w:val="21"/>
          <w:lang w:eastAsia="zh-TW"/>
        </w:rPr>
        <w:t>nspection</w:t>
      </w:r>
      <w:r>
        <w:rPr>
          <w:rFonts w:hint="eastAsia" w:eastAsia="仿宋" w:cs="Times New Roman"/>
          <w:szCs w:val="21"/>
        </w:rPr>
        <w:t xml:space="preserve"> and quarantine a</w:t>
      </w:r>
      <w:r>
        <w:rPr>
          <w:rFonts w:eastAsia="仿宋" w:cs="Times New Roman"/>
          <w:szCs w:val="21"/>
          <w:lang w:eastAsia="zh-TW"/>
        </w:rPr>
        <w:t>dministration</w:t>
      </w:r>
      <w:r>
        <w:rPr>
          <w:rFonts w:eastAsia="仿宋" w:cs="Times New Roman"/>
          <w:szCs w:val="21"/>
        </w:rPr>
        <w:t xml:space="preserve"> </w:t>
      </w:r>
      <w:r>
        <w:rPr>
          <w:rFonts w:hint="eastAsia" w:eastAsia="仿宋" w:cs="Times New Roman"/>
          <w:szCs w:val="21"/>
        </w:rPr>
        <w:t xml:space="preserve">of the PRC (the </w:t>
      </w:r>
      <w:r>
        <w:rPr>
          <w:rFonts w:eastAsia="仿宋" w:cs="Times New Roman"/>
          <w:szCs w:val="21"/>
        </w:rPr>
        <w:t>“Commodity Inspection Administration”</w:t>
      </w:r>
      <w:r>
        <w:rPr>
          <w:rFonts w:hint="eastAsia" w:eastAsia="仿宋" w:cs="Times New Roman"/>
          <w:szCs w:val="21"/>
        </w:rPr>
        <w:t>)</w:t>
      </w:r>
      <w:r>
        <w:rPr>
          <w:rFonts w:eastAsia="仿宋" w:cs="Times New Roman"/>
          <w:szCs w:val="21"/>
        </w:rPr>
        <w:t xml:space="preserve"> </w:t>
      </w:r>
      <w:r>
        <w:rPr>
          <w:rFonts w:hint="eastAsia" w:eastAsia="仿宋" w:cs="Times New Roman"/>
          <w:szCs w:val="21"/>
        </w:rPr>
        <w:t>or</w:t>
      </w:r>
      <w:r>
        <w:rPr>
          <w:rFonts w:eastAsia="仿宋" w:cs="Times New Roman"/>
          <w:szCs w:val="21"/>
        </w:rPr>
        <w:t xml:space="preserve"> </w:t>
      </w:r>
      <w:r>
        <w:rPr>
          <w:rFonts w:hint="eastAsia" w:eastAsia="仿宋" w:cs="Times New Roman"/>
          <w:szCs w:val="21"/>
        </w:rPr>
        <w:t>glob</w:t>
      </w:r>
      <w:r>
        <w:rPr>
          <w:rFonts w:eastAsia="仿宋" w:cs="Times New Roman"/>
          <w:szCs w:val="21"/>
        </w:rPr>
        <w:t>a</w:t>
      </w:r>
      <w:r>
        <w:rPr>
          <w:rFonts w:hint="eastAsia" w:eastAsia="仿宋" w:cs="Times New Roman"/>
          <w:szCs w:val="21"/>
        </w:rPr>
        <w:t>l</w:t>
      </w:r>
      <w:r>
        <w:rPr>
          <w:rFonts w:eastAsia="仿宋" w:cs="Times New Roman"/>
          <w:szCs w:val="21"/>
        </w:rPr>
        <w:t xml:space="preserve"> inspection agency</w:t>
      </w:r>
      <w:r>
        <w:rPr>
          <w:rFonts w:hint="eastAsia" w:eastAsia="仿宋" w:cs="Times New Roman"/>
          <w:szCs w:val="21"/>
        </w:rPr>
        <w:t xml:space="preserve"> （“S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”etc.）</w:t>
      </w:r>
      <w:r>
        <w:rPr>
          <w:rFonts w:eastAsia="仿宋" w:cs="Times New Roman"/>
          <w:szCs w:val="21"/>
        </w:rPr>
        <w:t>for inspection of the Commodities in respect of the internal and outward quality, specifications, quantity and weight.</w:t>
      </w:r>
    </w:p>
    <w:p w14:paraId="6BE760C5">
      <w:pPr>
        <w:spacing w:line="240" w:lineRule="auto"/>
        <w:ind w:left="630" w:hanging="630" w:hangingChars="300"/>
        <w:rPr>
          <w:rFonts w:eastAsia="仿宋" w:cs="Times New Roman"/>
          <w:szCs w:val="21"/>
        </w:rPr>
      </w:pPr>
      <w:r>
        <w:rPr>
          <w:rFonts w:eastAsia="仿宋" w:cs="Times New Roman"/>
          <w:szCs w:val="21"/>
        </w:rPr>
        <w:t xml:space="preserve">      因为货物为国外供货商提供，在货物到达目的地和/或地点港口后，买方</w:t>
      </w:r>
      <w:r>
        <w:rPr>
          <w:rFonts w:hint="eastAsia" w:eastAsia="仿宋" w:cs="Times New Roman"/>
          <w:szCs w:val="21"/>
        </w:rPr>
        <w:t>有权</w:t>
      </w:r>
      <w:r>
        <w:rPr>
          <w:rFonts w:eastAsia="仿宋" w:cs="Times New Roman"/>
          <w:szCs w:val="21"/>
        </w:rPr>
        <w:t>向</w:t>
      </w:r>
      <w:bookmarkStart w:id="52" w:name="OLE_LINK17"/>
      <w:r>
        <w:rPr>
          <w:rFonts w:eastAsia="仿宋" w:cs="Times New Roman"/>
          <w:szCs w:val="21"/>
        </w:rPr>
        <w:t>中国主管检验检疫部门</w:t>
      </w:r>
      <w:bookmarkEnd w:id="52"/>
      <w:r>
        <w:rPr>
          <w:rFonts w:eastAsia="仿宋" w:cs="Times New Roman"/>
          <w:szCs w:val="21"/>
        </w:rPr>
        <w:t>（下称</w:t>
      </w:r>
      <w:r>
        <w:rPr>
          <w:rFonts w:hint="eastAsia" w:eastAsia="仿宋" w:cs="Times New Roman"/>
          <w:szCs w:val="21"/>
        </w:rPr>
        <w:t>“</w:t>
      </w:r>
      <w:r>
        <w:rPr>
          <w:rFonts w:eastAsia="仿宋" w:cs="Times New Roman"/>
          <w:szCs w:val="21"/>
        </w:rPr>
        <w:t>商检局</w:t>
      </w:r>
      <w:r>
        <w:rPr>
          <w:rFonts w:hint="eastAsia" w:eastAsia="仿宋" w:cs="Times New Roman"/>
          <w:szCs w:val="21"/>
        </w:rPr>
        <w:t>”</w:t>
      </w:r>
      <w:r>
        <w:rPr>
          <w:rFonts w:eastAsia="仿宋" w:cs="Times New Roman"/>
          <w:szCs w:val="21"/>
        </w:rPr>
        <w:t>）</w:t>
      </w:r>
      <w:r>
        <w:rPr>
          <w:rFonts w:hint="eastAsia" w:eastAsia="仿宋" w:cs="Times New Roman"/>
          <w:szCs w:val="21"/>
        </w:rPr>
        <w:t>或者全球性检验机构（如“S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”等）</w:t>
      </w:r>
      <w:r>
        <w:rPr>
          <w:rFonts w:eastAsia="仿宋" w:cs="Times New Roman"/>
          <w:szCs w:val="21"/>
        </w:rPr>
        <w:t>对货物的内外部的质量、规格、数量、重量申请检验。</w:t>
      </w:r>
    </w:p>
    <w:p w14:paraId="5032C25F">
      <w:pPr>
        <w:tabs>
          <w:tab w:val="left" w:pos="709"/>
        </w:tabs>
        <w:snapToGrid w:val="0"/>
        <w:spacing w:line="240" w:lineRule="auto"/>
        <w:ind w:left="619" w:hanging="619" w:hangingChars="295"/>
        <w:rPr>
          <w:rFonts w:eastAsia="仿宋" w:cs="Times New Roman"/>
          <w:szCs w:val="21"/>
        </w:rPr>
      </w:pPr>
      <w:r>
        <w:rPr>
          <w:rFonts w:eastAsia="仿宋" w:cs="Times New Roman"/>
          <w:szCs w:val="21"/>
        </w:rPr>
        <w:t>15.4</w:t>
      </w:r>
      <w:r>
        <w:rPr>
          <w:rFonts w:eastAsia="仿宋" w:cs="Times New Roman"/>
          <w:szCs w:val="21"/>
        </w:rPr>
        <w:tab/>
      </w:r>
      <w:r>
        <w:rPr>
          <w:rFonts w:eastAsia="仿宋" w:cs="Times New Roman"/>
          <w:szCs w:val="21"/>
        </w:rPr>
        <w:t xml:space="preserve">If discrepancies are found regarding quality, quantity and/or specifications of the Commodities, the insurance company and/or shipping company (as the case may be) shall not be responsible for losses arising from and in connection with such discrepancies.  The Buyer shall have the right to reject and/or claim against the Seller by presenting the inspection certificate issued by the Commodity Inspection Administration within </w:t>
      </w:r>
      <w:r>
        <w:rPr>
          <w:rFonts w:hint="eastAsia" w:eastAsia="仿宋" w:cs="Times New Roman"/>
          <w:szCs w:val="21"/>
        </w:rPr>
        <w:t xml:space="preserve">_____ </w:t>
      </w:r>
      <w:r>
        <w:rPr>
          <w:rFonts w:eastAsia="仿宋" w:cs="Times New Roman"/>
          <w:szCs w:val="21"/>
        </w:rPr>
        <w:t>days after arrival or unloading of the Commodities</w:t>
      </w:r>
      <w:r>
        <w:rPr>
          <w:rFonts w:hint="eastAsia" w:eastAsia="仿宋" w:cs="Times New Roman"/>
          <w:szCs w:val="21"/>
        </w:rPr>
        <w:t xml:space="preserve">, and the Seller shall </w:t>
      </w:r>
      <w:r>
        <w:rPr>
          <w:rFonts w:eastAsia="仿宋" w:cs="Times New Roman"/>
          <w:szCs w:val="21"/>
        </w:rPr>
        <w:t>compensate</w:t>
      </w:r>
      <w:r>
        <w:rPr>
          <w:rFonts w:hint="eastAsia" w:eastAsia="仿宋" w:cs="Times New Roman"/>
          <w:szCs w:val="21"/>
        </w:rPr>
        <w:t xml:space="preserve"> for losses suffered by the Buyer and / or cooperate with the Buyer to arrange return of the Commodities in </w:t>
      </w:r>
      <w:r>
        <w:rPr>
          <w:rFonts w:eastAsia="仿宋" w:cs="Times New Roman"/>
          <w:szCs w:val="21"/>
        </w:rPr>
        <w:t>accordance</w:t>
      </w:r>
      <w:r>
        <w:rPr>
          <w:rFonts w:hint="eastAsia" w:eastAsia="仿宋" w:cs="Times New Roman"/>
          <w:szCs w:val="21"/>
        </w:rPr>
        <w:t xml:space="preserve"> with the Contract</w:t>
      </w:r>
      <w:r>
        <w:rPr>
          <w:rFonts w:eastAsia="仿宋" w:cs="Times New Roman"/>
          <w:szCs w:val="21"/>
        </w:rPr>
        <w:t>.</w:t>
      </w:r>
    </w:p>
    <w:p w14:paraId="369E09E4">
      <w:pPr>
        <w:tabs>
          <w:tab w:val="left" w:pos="709"/>
        </w:tabs>
        <w:snapToGrid w:val="0"/>
        <w:spacing w:line="240" w:lineRule="auto"/>
        <w:ind w:left="706" w:leftChars="335" w:hanging="3"/>
        <w:rPr>
          <w:rFonts w:eastAsia="仿宋" w:cs="Times New Roman"/>
          <w:szCs w:val="21"/>
        </w:rPr>
      </w:pPr>
      <w:r>
        <w:rPr>
          <w:rFonts w:eastAsia="仿宋" w:cs="Times New Roman"/>
          <w:szCs w:val="21"/>
        </w:rPr>
        <w:t>如货物</w:t>
      </w:r>
      <w:r>
        <w:rPr>
          <w:rFonts w:hint="eastAsia" w:eastAsia="仿宋" w:cs="Times New Roman"/>
          <w:szCs w:val="21"/>
        </w:rPr>
        <w:t>被发现</w:t>
      </w:r>
      <w:r>
        <w:rPr>
          <w:rFonts w:eastAsia="仿宋" w:cs="Times New Roman"/>
          <w:szCs w:val="21"/>
        </w:rPr>
        <w:t>残损或规格、数量、重量等与合同规定不符，保险公司和</w:t>
      </w:r>
      <w:r>
        <w:rPr>
          <w:rFonts w:hint="eastAsia" w:eastAsia="仿宋" w:cs="Times New Roman"/>
          <w:szCs w:val="21"/>
        </w:rPr>
        <w:t>/</w:t>
      </w:r>
      <w:r>
        <w:rPr>
          <w:rFonts w:eastAsia="仿宋" w:cs="Times New Roman"/>
          <w:szCs w:val="21"/>
        </w:rPr>
        <w:t>或船运公司</w:t>
      </w:r>
      <w:r>
        <w:rPr>
          <w:rFonts w:hint="eastAsia" w:eastAsia="仿宋" w:cs="Times New Roman"/>
          <w:szCs w:val="21"/>
        </w:rPr>
        <w:t>（具体视情况而定）对上述不符不承担</w:t>
      </w:r>
      <w:r>
        <w:rPr>
          <w:rFonts w:eastAsia="仿宋" w:cs="Times New Roman"/>
          <w:szCs w:val="21"/>
        </w:rPr>
        <w:t>责任</w:t>
      </w:r>
      <w:r>
        <w:rPr>
          <w:rFonts w:hint="eastAsia" w:eastAsia="仿宋" w:cs="Times New Roman"/>
          <w:szCs w:val="21"/>
        </w:rPr>
        <w:t>。</w:t>
      </w:r>
      <w:r>
        <w:rPr>
          <w:rFonts w:eastAsia="仿宋" w:cs="Times New Roman"/>
          <w:szCs w:val="21"/>
        </w:rPr>
        <w:t>买方有权在货物到达或卸载之后</w:t>
      </w:r>
      <w:r>
        <w:rPr>
          <w:rFonts w:hint="eastAsia" w:eastAsia="仿宋" w:cs="Times New Roman"/>
          <w:szCs w:val="21"/>
        </w:rPr>
        <w:t>______</w:t>
      </w:r>
      <w:r>
        <w:rPr>
          <w:rFonts w:eastAsia="仿宋" w:cs="Times New Roman"/>
          <w:szCs w:val="21"/>
        </w:rPr>
        <w:t>天内向卖方</w:t>
      </w:r>
      <w:r>
        <w:rPr>
          <w:rFonts w:hint="eastAsia" w:eastAsia="仿宋" w:cs="Times New Roman"/>
          <w:szCs w:val="21"/>
        </w:rPr>
        <w:t>出具</w:t>
      </w:r>
      <w:r>
        <w:rPr>
          <w:rFonts w:eastAsia="仿宋" w:cs="Times New Roman"/>
          <w:szCs w:val="21"/>
        </w:rPr>
        <w:t>商检证明书进行索赔和/或拒收该货物</w:t>
      </w:r>
      <w:r>
        <w:rPr>
          <w:rFonts w:hint="eastAsia" w:eastAsia="仿宋" w:cs="Times New Roman"/>
          <w:szCs w:val="21"/>
        </w:rPr>
        <w:t>，</w:t>
      </w:r>
      <w:r>
        <w:rPr>
          <w:rFonts w:eastAsia="仿宋" w:cs="Times New Roman"/>
          <w:szCs w:val="21"/>
        </w:rPr>
        <w:t>卖方应依约定向买方赔偿损失和</w:t>
      </w:r>
      <w:r>
        <w:rPr>
          <w:rFonts w:hint="eastAsia" w:eastAsia="仿宋" w:cs="Times New Roman"/>
          <w:szCs w:val="21"/>
        </w:rPr>
        <w:t>/或配合买方退货</w:t>
      </w:r>
      <w:r>
        <w:rPr>
          <w:rFonts w:eastAsia="仿宋" w:cs="Times New Roman"/>
          <w:szCs w:val="21"/>
        </w:rPr>
        <w:t>。</w:t>
      </w:r>
    </w:p>
    <w:p w14:paraId="217E836C">
      <w:pPr>
        <w:spacing w:line="240" w:lineRule="auto"/>
        <w:ind w:left="619" w:hanging="619" w:hangingChars="295"/>
        <w:rPr>
          <w:rFonts w:eastAsia="仿宋" w:cs="Times New Roman"/>
          <w:szCs w:val="21"/>
        </w:rPr>
      </w:pPr>
      <w:r>
        <w:rPr>
          <w:rFonts w:eastAsia="仿宋" w:cs="Times New Roman"/>
          <w:szCs w:val="21"/>
        </w:rPr>
        <w:t>15.5  After the arrival of the Commodities at the Enduser’s premises, the Enduser shall make an inspection in respect of the compliance with the Product Specifications and quantity of the Commodities. If any discrepancies are found by the Enduser regarding the Product Specifications or the quantity/quality or both (“</w:t>
      </w:r>
      <w:r>
        <w:rPr>
          <w:rFonts w:eastAsia="仿宋" w:cs="Times New Roman"/>
          <w:b/>
          <w:szCs w:val="21"/>
        </w:rPr>
        <w:t>Defect</w:t>
      </w:r>
      <w:r>
        <w:rPr>
          <w:rFonts w:eastAsia="仿宋" w:cs="Times New Roman"/>
          <w:szCs w:val="21"/>
        </w:rPr>
        <w:t xml:space="preserve">”), the Buyer shall inform the Seller of the discrepancies by written notice after arrival of the Commodities and the Seller shall replace/provide the Commodities as soon as possible and shall bear all the expenses and charges caused by any discrepancies, including freight, insurance premium, inspection charges, stevedore charges and all other necessary expenses. </w:t>
      </w:r>
    </w:p>
    <w:p w14:paraId="6F8C1F7F">
      <w:pPr>
        <w:tabs>
          <w:tab w:val="left" w:pos="709"/>
        </w:tabs>
        <w:snapToGrid w:val="0"/>
        <w:spacing w:line="240" w:lineRule="auto"/>
        <w:ind w:left="706" w:leftChars="335" w:hanging="3"/>
        <w:rPr>
          <w:rFonts w:eastAsia="仿宋" w:cs="Times New Roman"/>
          <w:szCs w:val="21"/>
        </w:rPr>
      </w:pPr>
      <w:r>
        <w:rPr>
          <w:rFonts w:eastAsia="仿宋" w:cs="Times New Roman"/>
          <w:szCs w:val="21"/>
        </w:rPr>
        <w:t>货物到达最终用户后</w:t>
      </w:r>
      <w:r>
        <w:rPr>
          <w:rFonts w:eastAsia="仿宋" w:cs="Times New Roman"/>
          <w:szCs w:val="21"/>
          <w:lang w:val="de-DE"/>
        </w:rPr>
        <w:t>，</w:t>
      </w:r>
      <w:r>
        <w:rPr>
          <w:rFonts w:eastAsia="仿宋" w:cs="Times New Roman"/>
          <w:szCs w:val="21"/>
        </w:rPr>
        <w:t>最终用户根据本合同就货物的规格和数量进行检验。如发现到货的规格、数量</w:t>
      </w:r>
      <w:r>
        <w:rPr>
          <w:rFonts w:eastAsia="仿宋" w:cs="Times New Roman"/>
          <w:szCs w:val="21"/>
          <w:lang w:val="de-DE"/>
        </w:rPr>
        <w:t>/</w:t>
      </w:r>
      <w:r>
        <w:rPr>
          <w:rFonts w:eastAsia="仿宋" w:cs="Times New Roman"/>
          <w:szCs w:val="21"/>
        </w:rPr>
        <w:t>质量或二者与合同不符（“缺陷”）</w:t>
      </w:r>
      <w:r>
        <w:rPr>
          <w:rFonts w:eastAsia="仿宋" w:cs="Times New Roman"/>
          <w:szCs w:val="21"/>
          <w:lang w:val="de-DE"/>
        </w:rPr>
        <w:t>，</w:t>
      </w:r>
      <w:r>
        <w:rPr>
          <w:rFonts w:eastAsia="仿宋" w:cs="Times New Roman"/>
          <w:szCs w:val="21"/>
        </w:rPr>
        <w:t>最终用户应在货物抵达后书面通知卖方</w:t>
      </w:r>
      <w:r>
        <w:rPr>
          <w:rFonts w:eastAsia="仿宋" w:cs="Times New Roman"/>
          <w:szCs w:val="21"/>
          <w:lang w:val="de-DE"/>
        </w:rPr>
        <w:t>，</w:t>
      </w:r>
      <w:r>
        <w:rPr>
          <w:rFonts w:eastAsia="仿宋" w:cs="Times New Roman"/>
          <w:szCs w:val="21"/>
        </w:rPr>
        <w:t>卖方应尽快给予更换和补发并承担由此产生的一切开支和费用</w:t>
      </w:r>
      <w:r>
        <w:rPr>
          <w:rFonts w:eastAsia="仿宋" w:cs="Times New Roman"/>
          <w:szCs w:val="21"/>
          <w:lang w:val="de-DE"/>
        </w:rPr>
        <w:t>，</w:t>
      </w:r>
      <w:r>
        <w:rPr>
          <w:rFonts w:eastAsia="仿宋" w:cs="Times New Roman"/>
          <w:szCs w:val="21"/>
        </w:rPr>
        <w:t>包括运费、保险费、商检费、码头装卸费等其它一切必要费用。</w:t>
      </w:r>
    </w:p>
    <w:p w14:paraId="236D7DE7">
      <w:pPr>
        <w:spacing w:line="240" w:lineRule="auto"/>
        <w:ind w:left="619" w:leftChars="295"/>
        <w:rPr>
          <w:rFonts w:eastAsia="仿宋" w:cs="Times New Roman"/>
          <w:szCs w:val="21"/>
        </w:rPr>
      </w:pPr>
      <w:r>
        <w:rPr>
          <w:rFonts w:eastAsia="仿宋" w:cs="Times New Roman"/>
          <w:i/>
          <w:iCs/>
          <w:szCs w:val="21"/>
          <w:lang w:val="de-DE"/>
        </w:rPr>
        <w:t>(零部件项目适用)</w:t>
      </w:r>
      <w:r>
        <w:rPr>
          <w:rFonts w:eastAsia="仿宋" w:cs="Times New Roman"/>
          <w:szCs w:val="21"/>
          <w:lang w:val="de-DE"/>
        </w:rPr>
        <w:t>Without prejudice to Article 8.2, t</w:t>
      </w:r>
      <w:r>
        <w:rPr>
          <w:rFonts w:eastAsia="仿宋" w:cs="Times New Roman"/>
          <w:szCs w:val="21"/>
        </w:rPr>
        <w:t>he Parties agree that rust that developed during transport shall not be considered as a Defect. The Enduser shall be obliged to sand blast those Commodities. Only if the rust will not be removed by this treatment, the respective Commodities will be handled as a Defect Product according to this Contract.</w:t>
      </w:r>
    </w:p>
    <w:p w14:paraId="6F13334C">
      <w:pPr>
        <w:tabs>
          <w:tab w:val="left" w:pos="709"/>
        </w:tabs>
        <w:snapToGrid w:val="0"/>
        <w:spacing w:line="240" w:lineRule="auto"/>
        <w:ind w:left="706" w:leftChars="335" w:hanging="3"/>
        <w:rPr>
          <w:rFonts w:eastAsia="仿宋" w:cs="Times New Roman"/>
          <w:szCs w:val="21"/>
          <w:lang w:val="de-DE"/>
        </w:rPr>
      </w:pPr>
      <w:r>
        <w:rPr>
          <w:rFonts w:eastAsia="仿宋" w:cs="Times New Roman"/>
          <w:szCs w:val="21"/>
        </w:rPr>
        <w:t>在不影响本合同第8.2条的情况下，</w:t>
      </w:r>
      <w:r>
        <w:rPr>
          <w:rFonts w:eastAsia="仿宋" w:cs="Times New Roman"/>
          <w:szCs w:val="21"/>
          <w:lang w:val="de-DE"/>
        </w:rPr>
        <w:t>各方同意运输过程中发生的锈蚀不应视为缺陷。最终用户应对此进行喷砂处理。根据本合同的规定，仅当此类锈蚀无法喷砂除掉时，有关货物将被作为缺陷产品处理。</w:t>
      </w:r>
    </w:p>
    <w:p w14:paraId="3C1E5FDB">
      <w:pPr>
        <w:tabs>
          <w:tab w:val="left" w:pos="709"/>
        </w:tabs>
        <w:snapToGrid w:val="0"/>
        <w:spacing w:line="240" w:lineRule="auto"/>
        <w:rPr>
          <w:rFonts w:eastAsia="仿宋" w:cs="Times New Roman"/>
          <w:szCs w:val="21"/>
          <w:lang w:val="de-DE"/>
        </w:rPr>
      </w:pPr>
    </w:p>
    <w:p w14:paraId="778C988C">
      <w:pPr>
        <w:tabs>
          <w:tab w:val="left" w:pos="709"/>
        </w:tabs>
        <w:snapToGrid w:val="0"/>
        <w:spacing w:line="240" w:lineRule="auto"/>
        <w:rPr>
          <w:rFonts w:eastAsia="仿宋" w:cs="Times New Roman"/>
          <w:szCs w:val="21"/>
        </w:rPr>
      </w:pPr>
    </w:p>
    <w:p w14:paraId="30261634">
      <w:pPr>
        <w:tabs>
          <w:tab w:val="left" w:pos="709"/>
        </w:tabs>
        <w:snapToGrid w:val="0"/>
        <w:spacing w:line="240" w:lineRule="auto"/>
        <w:rPr>
          <w:rFonts w:eastAsia="仿宋" w:cs="Times New Roman"/>
          <w:b/>
          <w:szCs w:val="21"/>
        </w:rPr>
      </w:pPr>
      <w:r>
        <w:rPr>
          <w:rFonts w:eastAsia="仿宋" w:cs="Times New Roman"/>
          <w:b/>
          <w:szCs w:val="21"/>
        </w:rPr>
        <w:t>16.</w:t>
      </w:r>
      <w:r>
        <w:rPr>
          <w:rFonts w:eastAsia="仿宋" w:cs="Times New Roman"/>
          <w:b/>
          <w:szCs w:val="21"/>
        </w:rPr>
        <w:tab/>
      </w:r>
      <w:r>
        <w:rPr>
          <w:rFonts w:eastAsia="仿宋" w:cs="Times New Roman"/>
          <w:b/>
          <w:sz w:val="24"/>
          <w:szCs w:val="24"/>
        </w:rPr>
        <w:t>CLAIMS索赔</w:t>
      </w:r>
    </w:p>
    <w:p w14:paraId="3E97B71F">
      <w:pPr>
        <w:snapToGrid w:val="0"/>
        <w:spacing w:line="240" w:lineRule="auto"/>
        <w:rPr>
          <w:rFonts w:eastAsia="仿宋" w:cs="Times New Roman"/>
          <w:szCs w:val="21"/>
        </w:rPr>
      </w:pPr>
    </w:p>
    <w:p w14:paraId="760972C8">
      <w:pPr>
        <w:snapToGrid w:val="0"/>
        <w:spacing w:line="240" w:lineRule="auto"/>
        <w:ind w:left="733" w:leftChars="-1" w:hanging="735" w:hangingChars="350"/>
        <w:rPr>
          <w:rFonts w:eastAsia="仿宋" w:cs="Times New Roman"/>
          <w:szCs w:val="21"/>
        </w:rPr>
      </w:pPr>
      <w:r>
        <w:rPr>
          <w:rFonts w:eastAsia="仿宋" w:cs="Times New Roman"/>
          <w:szCs w:val="21"/>
        </w:rPr>
        <w:t>16.1</w:t>
      </w:r>
      <w:r>
        <w:rPr>
          <w:rFonts w:hint="eastAsia" w:eastAsia="仿宋" w:cs="Times New Roman"/>
          <w:szCs w:val="21"/>
        </w:rPr>
        <w:t xml:space="preserve">   </w:t>
      </w:r>
      <w:r>
        <w:rPr>
          <w:rFonts w:eastAsia="仿宋" w:cs="Times New Roman"/>
          <w:szCs w:val="21"/>
        </w:rPr>
        <w:t xml:space="preserve">In case the Commodities are not in conformity with this Contract or the Seller is in breach of other provisions herein, the Seller shall settle the claim lodged by the </w:t>
      </w:r>
      <w:r>
        <w:rPr>
          <w:rFonts w:hint="eastAsia" w:eastAsia="仿宋" w:cs="Times New Roman"/>
          <w:szCs w:val="21"/>
        </w:rPr>
        <w:t>Buyer and/or the Enduser</w:t>
      </w:r>
      <w:r>
        <w:rPr>
          <w:rFonts w:eastAsia="仿宋" w:cs="Times New Roman"/>
          <w:szCs w:val="21"/>
        </w:rPr>
        <w:t xml:space="preserve"> by one or a combination of the following ways with the agreement of the </w:t>
      </w:r>
      <w:r>
        <w:rPr>
          <w:rFonts w:hint="eastAsia" w:eastAsia="仿宋" w:cs="Times New Roman"/>
          <w:szCs w:val="21"/>
        </w:rPr>
        <w:t>Buyer and/or the Enduser</w:t>
      </w:r>
      <w:r>
        <w:rPr>
          <w:rFonts w:eastAsia="仿宋" w:cs="Times New Roman"/>
          <w:szCs w:val="21"/>
        </w:rPr>
        <w:t xml:space="preserve">: </w:t>
      </w:r>
    </w:p>
    <w:p w14:paraId="628B89A5">
      <w:pPr>
        <w:snapToGrid w:val="0"/>
        <w:spacing w:line="240" w:lineRule="auto"/>
        <w:ind w:left="735" w:leftChars="350"/>
        <w:rPr>
          <w:rFonts w:eastAsia="仿宋" w:cs="Times New Roman"/>
          <w:szCs w:val="21"/>
        </w:rPr>
      </w:pPr>
      <w:r>
        <w:rPr>
          <w:rFonts w:eastAsia="仿宋" w:cs="Times New Roman"/>
          <w:szCs w:val="21"/>
        </w:rPr>
        <w:t>如果货物不符合本合同规定</w:t>
      </w:r>
      <w:r>
        <w:rPr>
          <w:rFonts w:hint="eastAsia" w:eastAsia="仿宋" w:cs="Times New Roman"/>
          <w:szCs w:val="21"/>
        </w:rPr>
        <w:t>或卖方违反其他条款，</w:t>
      </w:r>
      <w:r>
        <w:rPr>
          <w:rFonts w:eastAsia="仿宋" w:cs="Times New Roman"/>
          <w:szCs w:val="21"/>
        </w:rPr>
        <w:t>卖方应经买方</w:t>
      </w:r>
      <w:r>
        <w:rPr>
          <w:rFonts w:hint="eastAsia" w:eastAsia="仿宋" w:cs="Times New Roman"/>
          <w:szCs w:val="21"/>
        </w:rPr>
        <w:t>和/或最终用户</w:t>
      </w:r>
      <w:r>
        <w:rPr>
          <w:rFonts w:eastAsia="仿宋" w:cs="Times New Roman"/>
          <w:szCs w:val="21"/>
        </w:rPr>
        <w:t>同意后按照下列一种或</w:t>
      </w:r>
      <w:r>
        <w:rPr>
          <w:rFonts w:hint="eastAsia" w:eastAsia="仿宋" w:cs="Times New Roman"/>
          <w:szCs w:val="21"/>
        </w:rPr>
        <w:t>多种</w:t>
      </w:r>
      <w:r>
        <w:rPr>
          <w:rFonts w:eastAsia="仿宋" w:cs="Times New Roman"/>
          <w:szCs w:val="21"/>
        </w:rPr>
        <w:t>方式处理</w:t>
      </w:r>
      <w:r>
        <w:rPr>
          <w:rFonts w:hint="eastAsia" w:eastAsia="仿宋" w:cs="Times New Roman"/>
          <w:szCs w:val="21"/>
        </w:rPr>
        <w:t>买方和/或最终用户</w:t>
      </w:r>
      <w:r>
        <w:rPr>
          <w:rFonts w:eastAsia="仿宋" w:cs="Times New Roman"/>
          <w:szCs w:val="21"/>
        </w:rPr>
        <w:t>索赔:</w:t>
      </w:r>
    </w:p>
    <w:p w14:paraId="5CC4F93A">
      <w:pPr>
        <w:snapToGrid w:val="0"/>
        <w:spacing w:line="240" w:lineRule="auto"/>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1.1</w:t>
      </w:r>
      <w:r>
        <w:rPr>
          <w:rFonts w:eastAsia="仿宋" w:cs="Times New Roman"/>
          <w:szCs w:val="21"/>
        </w:rPr>
        <w:t xml:space="preserve">  In case of return of the Commodities by the </w:t>
      </w:r>
      <w:r>
        <w:rPr>
          <w:rFonts w:hint="eastAsia" w:eastAsia="仿宋" w:cs="Times New Roman"/>
          <w:szCs w:val="21"/>
        </w:rPr>
        <w:t>Buyer and/or the Enduser</w:t>
      </w:r>
      <w:r>
        <w:rPr>
          <w:rFonts w:eastAsia="仿宋" w:cs="Times New Roman"/>
          <w:szCs w:val="21"/>
        </w:rPr>
        <w:t xml:space="preserve">, the Seller shall refund to the Buyer the </w:t>
      </w:r>
      <w:r>
        <w:rPr>
          <w:rFonts w:eastAsia="仿宋" w:cs="Times New Roman"/>
          <w:szCs w:val="21"/>
          <w:lang w:eastAsia="zh-TW"/>
        </w:rPr>
        <w:t>Contract V</w:t>
      </w:r>
      <w:r>
        <w:rPr>
          <w:rFonts w:eastAsia="仿宋" w:cs="Times New Roman"/>
          <w:szCs w:val="21"/>
        </w:rPr>
        <w:t>alue of the Commodities rejected in the same currency as specified in the Contract and bears all direct losses and expenses incurred including but not limited to interest, accrued banking charges, freight and insurance premium, inspection changes, storage, stevedore charges and other necessary expenses required for the custody and protection of the rejected Commodities; and/or</w:t>
      </w:r>
    </w:p>
    <w:p w14:paraId="41CF6B5C">
      <w:pPr>
        <w:snapToGrid w:val="0"/>
        <w:spacing w:line="240" w:lineRule="auto"/>
        <w:ind w:left="735" w:leftChars="350"/>
        <w:rPr>
          <w:rFonts w:eastAsia="仿宋" w:cs="Times New Roman"/>
          <w:szCs w:val="21"/>
        </w:rPr>
      </w:pPr>
      <w:r>
        <w:rPr>
          <w:rFonts w:eastAsia="仿宋" w:cs="Times New Roman"/>
          <w:szCs w:val="21"/>
        </w:rPr>
        <w:t>买方</w:t>
      </w:r>
      <w:r>
        <w:rPr>
          <w:rFonts w:hint="eastAsia" w:eastAsia="仿宋" w:cs="Times New Roman"/>
          <w:szCs w:val="21"/>
        </w:rPr>
        <w:t>和/或最终用户</w:t>
      </w:r>
      <w:r>
        <w:rPr>
          <w:rFonts w:eastAsia="仿宋" w:cs="Times New Roman"/>
          <w:szCs w:val="21"/>
        </w:rPr>
        <w:t>退货，</w:t>
      </w:r>
      <w:r>
        <w:rPr>
          <w:rFonts w:hint="eastAsia" w:eastAsia="仿宋" w:cs="Times New Roman"/>
          <w:szCs w:val="21"/>
        </w:rPr>
        <w:t>卖方</w:t>
      </w:r>
      <w:r>
        <w:rPr>
          <w:rFonts w:eastAsia="仿宋" w:cs="Times New Roman"/>
          <w:szCs w:val="21"/>
        </w:rPr>
        <w:t>将退款金额以合同规定的成交货币</w:t>
      </w:r>
      <w:r>
        <w:rPr>
          <w:rFonts w:hint="eastAsia" w:eastAsia="仿宋" w:cs="Times New Roman"/>
          <w:szCs w:val="21"/>
        </w:rPr>
        <w:t>支付</w:t>
      </w:r>
      <w:r>
        <w:rPr>
          <w:rFonts w:eastAsia="仿宋" w:cs="Times New Roman"/>
          <w:szCs w:val="21"/>
        </w:rPr>
        <w:t>给买方，并承担因退货而发生的一切损失及费用，包括但不局限于利息、银行费用、运费、保险费、商检费、仓储费、装卸费以及为保管退货而发生的一切其他必要费用</w:t>
      </w:r>
      <w:r>
        <w:rPr>
          <w:rFonts w:hint="eastAsia" w:eastAsia="仿宋" w:cs="Times New Roman"/>
          <w:szCs w:val="21"/>
        </w:rPr>
        <w:t>；</w:t>
      </w:r>
      <w:r>
        <w:rPr>
          <w:rFonts w:eastAsia="仿宋" w:cs="Times New Roman"/>
          <w:szCs w:val="21"/>
        </w:rPr>
        <w:t>和/或</w:t>
      </w:r>
    </w:p>
    <w:p w14:paraId="56FB7F03">
      <w:pPr>
        <w:snapToGrid w:val="0"/>
        <w:spacing w:line="240" w:lineRule="auto"/>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1.2</w:t>
      </w:r>
      <w:r>
        <w:rPr>
          <w:rFonts w:eastAsia="仿宋" w:cs="Times New Roman"/>
          <w:szCs w:val="21"/>
        </w:rPr>
        <w:t xml:space="preserve">   Reduce the Contract Value of the Commodities according to the degree of inferiority, extent of damage and amount of losses suffered by the Buyer</w:t>
      </w:r>
      <w:r>
        <w:rPr>
          <w:rFonts w:hint="eastAsia" w:eastAsia="仿宋" w:cs="Times New Roman"/>
          <w:szCs w:val="21"/>
        </w:rPr>
        <w:t xml:space="preserve"> and/or the Enduser</w:t>
      </w:r>
      <w:r>
        <w:rPr>
          <w:rFonts w:eastAsia="仿宋" w:cs="Times New Roman"/>
          <w:szCs w:val="21"/>
        </w:rPr>
        <w:t xml:space="preserve">, as agreed between the </w:t>
      </w:r>
      <w:r>
        <w:rPr>
          <w:rFonts w:hint="eastAsia" w:eastAsia="仿宋" w:cs="Times New Roman"/>
          <w:szCs w:val="21"/>
        </w:rPr>
        <w:t>Parties</w:t>
      </w:r>
      <w:r>
        <w:rPr>
          <w:rFonts w:eastAsia="仿宋" w:cs="Times New Roman"/>
          <w:szCs w:val="21"/>
        </w:rPr>
        <w:t>; and/or</w:t>
      </w:r>
    </w:p>
    <w:p w14:paraId="65847F5A">
      <w:pPr>
        <w:snapToGrid w:val="0"/>
        <w:spacing w:line="240" w:lineRule="auto"/>
        <w:ind w:left="735" w:leftChars="350"/>
        <w:rPr>
          <w:rFonts w:eastAsia="仿宋" w:cs="Times New Roman"/>
          <w:szCs w:val="21"/>
        </w:rPr>
      </w:pPr>
      <w:r>
        <w:rPr>
          <w:rFonts w:hint="eastAsia" w:eastAsia="仿宋" w:cs="Times New Roman"/>
          <w:szCs w:val="21"/>
        </w:rPr>
        <w:t>各</w:t>
      </w:r>
      <w:r>
        <w:rPr>
          <w:rFonts w:eastAsia="仿宋" w:cs="Times New Roman"/>
          <w:szCs w:val="21"/>
        </w:rPr>
        <w:t>方可按照货物的疵劣程度、损失的范围和买方</w:t>
      </w:r>
      <w:r>
        <w:rPr>
          <w:rFonts w:hint="eastAsia" w:eastAsia="仿宋" w:cs="Times New Roman"/>
          <w:szCs w:val="21"/>
        </w:rPr>
        <w:t>和/或最终用户</w:t>
      </w:r>
      <w:r>
        <w:rPr>
          <w:rFonts w:eastAsia="仿宋" w:cs="Times New Roman"/>
          <w:szCs w:val="21"/>
        </w:rPr>
        <w:t>所遭受的损失，协议将货物降价处理</w:t>
      </w:r>
      <w:r>
        <w:rPr>
          <w:rFonts w:hint="eastAsia" w:eastAsia="仿宋" w:cs="Times New Roman"/>
          <w:szCs w:val="21"/>
        </w:rPr>
        <w:t>；</w:t>
      </w:r>
      <w:r>
        <w:rPr>
          <w:rFonts w:eastAsia="仿宋" w:cs="Times New Roman"/>
          <w:szCs w:val="21"/>
        </w:rPr>
        <w:t>和/或</w:t>
      </w:r>
    </w:p>
    <w:p w14:paraId="771F0AA9">
      <w:pPr>
        <w:snapToGrid w:val="0"/>
        <w:spacing w:line="240" w:lineRule="auto"/>
        <w:ind w:left="735" w:hanging="735" w:hangingChars="350"/>
        <w:rPr>
          <w:rFonts w:eastAsia="仿宋" w:cs="Times New Roman"/>
          <w:szCs w:val="21"/>
        </w:rPr>
      </w:pP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Replace the defective </w:t>
      </w:r>
      <w:bookmarkStart w:id="53" w:name="OLE_LINK23"/>
      <w:r>
        <w:rPr>
          <w:rFonts w:eastAsia="仿宋" w:cs="Times New Roman"/>
          <w:szCs w:val="21"/>
        </w:rPr>
        <w:t>Commodities</w:t>
      </w:r>
      <w:bookmarkEnd w:id="53"/>
      <w:r>
        <w:rPr>
          <w:rFonts w:eastAsia="仿宋" w:cs="Times New Roman"/>
          <w:szCs w:val="21"/>
        </w:rPr>
        <w:t xml:space="preserve"> with new parts, components and/or equipment which conform to the </w:t>
      </w:r>
      <w:r>
        <w:rPr>
          <w:rFonts w:hint="eastAsia" w:eastAsia="仿宋" w:cs="Times New Roman"/>
          <w:szCs w:val="21"/>
        </w:rPr>
        <w:t>s</w:t>
      </w:r>
      <w:r>
        <w:rPr>
          <w:rFonts w:eastAsia="仿宋" w:cs="Times New Roman"/>
          <w:szCs w:val="21"/>
        </w:rPr>
        <w:t>pecifications, quality and performance as specified in th</w:t>
      </w:r>
      <w:r>
        <w:rPr>
          <w:rFonts w:eastAsia="仿宋" w:cs="Times New Roman"/>
          <w:szCs w:val="21"/>
          <w:lang w:eastAsia="zh-TW"/>
        </w:rPr>
        <w:t>is</w:t>
      </w:r>
      <w:r>
        <w:rPr>
          <w:rFonts w:eastAsia="仿宋" w:cs="Times New Roman"/>
          <w:szCs w:val="21"/>
        </w:rPr>
        <w:t xml:space="preserve"> Contract, and/or under the request of Buyer or </w:t>
      </w:r>
      <w:r>
        <w:rPr>
          <w:rFonts w:hint="eastAsia" w:eastAsia="仿宋" w:cs="Times New Roman"/>
          <w:szCs w:val="21"/>
        </w:rPr>
        <w:t>Enduser</w:t>
      </w:r>
      <w:r>
        <w:rPr>
          <w:rFonts w:eastAsia="仿宋" w:cs="Times New Roman"/>
          <w:szCs w:val="21"/>
        </w:rPr>
        <w:t xml:space="preserve"> to repair the defective Commodities at the Seller’s expenses and risks and bear all related expenses sustained by the Buyer</w:t>
      </w:r>
      <w:r>
        <w:rPr>
          <w:rFonts w:hint="eastAsia" w:eastAsia="仿宋" w:cs="Times New Roman"/>
          <w:szCs w:val="21"/>
        </w:rPr>
        <w:t xml:space="preserve"> </w:t>
      </w:r>
      <w:bookmarkStart w:id="54" w:name="OLE_LINK19"/>
      <w:r>
        <w:rPr>
          <w:rFonts w:hint="eastAsia" w:eastAsia="仿宋" w:cs="Times New Roman"/>
          <w:szCs w:val="21"/>
        </w:rPr>
        <w:t>and/or the Enduser</w:t>
      </w:r>
      <w:bookmarkEnd w:id="54"/>
      <w:r>
        <w:rPr>
          <w:rFonts w:eastAsia="仿宋" w:cs="Times New Roman"/>
          <w:szCs w:val="21"/>
        </w:rPr>
        <w:t xml:space="preserve">. The Seller shall at the same time guarantee the quality of the replaced Commodities for a further corresponding period. </w:t>
      </w:r>
    </w:p>
    <w:p w14:paraId="04CD3DDE">
      <w:pPr>
        <w:snapToGrid w:val="0"/>
        <w:spacing w:line="240" w:lineRule="auto"/>
        <w:ind w:left="735" w:leftChars="350"/>
        <w:rPr>
          <w:rFonts w:eastAsia="仿宋" w:cs="Times New Roman"/>
          <w:szCs w:val="21"/>
        </w:rPr>
      </w:pPr>
      <w:r>
        <w:rPr>
          <w:rFonts w:eastAsia="仿宋" w:cs="Times New Roman"/>
          <w:szCs w:val="21"/>
        </w:rPr>
        <w:t>调换有瑕疵的货物，</w:t>
      </w:r>
      <w:r>
        <w:rPr>
          <w:rFonts w:hint="eastAsia" w:eastAsia="仿宋" w:cs="Times New Roman"/>
          <w:szCs w:val="21"/>
        </w:rPr>
        <w:t>调换的</w:t>
      </w:r>
      <w:r>
        <w:rPr>
          <w:rFonts w:eastAsia="仿宋" w:cs="Times New Roman"/>
          <w:szCs w:val="21"/>
        </w:rPr>
        <w:t>货物必须是全新的并且符合本合同规定的规格、质量和性能</w:t>
      </w:r>
      <w:r>
        <w:rPr>
          <w:rFonts w:hint="eastAsia" w:eastAsia="仿宋" w:cs="Times New Roman"/>
          <w:szCs w:val="21"/>
        </w:rPr>
        <w:t>；和/或依据买方或最终用户的要求修复有瑕疵的货物，</w:t>
      </w:r>
      <w:r>
        <w:rPr>
          <w:rFonts w:eastAsia="仿宋" w:cs="Times New Roman"/>
          <w:szCs w:val="21"/>
        </w:rPr>
        <w:t>卖方并负担由此而产生的一切费用和买方</w:t>
      </w:r>
      <w:r>
        <w:rPr>
          <w:rFonts w:hint="eastAsia" w:eastAsia="仿宋" w:cs="Times New Roman"/>
          <w:szCs w:val="21"/>
        </w:rPr>
        <w:t>和/或最终用户</w:t>
      </w:r>
      <w:r>
        <w:rPr>
          <w:rFonts w:eastAsia="仿宋" w:cs="Times New Roman"/>
          <w:szCs w:val="21"/>
        </w:rPr>
        <w:t>所遭受的一切损失。对换货的质量，卖方仍应按照本合同规定，提供相同的质保期。</w:t>
      </w:r>
    </w:p>
    <w:p w14:paraId="70E7980C">
      <w:pPr>
        <w:spacing w:line="240" w:lineRule="auto"/>
        <w:ind w:left="619" w:hanging="619" w:hangingChars="295"/>
        <w:rPr>
          <w:rFonts w:eastAsia="仿宋" w:cs="Times New Roman"/>
          <w:szCs w:val="21"/>
        </w:rPr>
      </w:pPr>
      <w:r>
        <w:rPr>
          <w:rFonts w:eastAsia="仿宋" w:cs="Times New Roman"/>
          <w:szCs w:val="21"/>
          <w:lang w:val="de-DE"/>
        </w:rPr>
        <w:t>16.</w:t>
      </w:r>
      <w:r>
        <w:rPr>
          <w:rFonts w:hint="eastAsia" w:eastAsia="仿宋" w:cs="Times New Roman"/>
          <w:szCs w:val="21"/>
        </w:rPr>
        <w:t>2</w:t>
      </w:r>
      <w:r>
        <w:rPr>
          <w:rFonts w:eastAsia="仿宋" w:cs="Times New Roman"/>
          <w:szCs w:val="21"/>
          <w:lang w:val="de-DE"/>
        </w:rPr>
        <w:t xml:space="preserve">  </w:t>
      </w:r>
      <w:r>
        <w:rPr>
          <w:rFonts w:eastAsia="仿宋" w:cs="Times New Roman"/>
          <w:i/>
          <w:iCs/>
          <w:szCs w:val="21"/>
          <w:lang w:val="de-DE"/>
        </w:rPr>
        <w:t>(零部件项目适用)</w:t>
      </w:r>
      <w:r>
        <w:rPr>
          <w:rFonts w:eastAsia="仿宋" w:cs="Times New Roman"/>
          <w:szCs w:val="21"/>
        </w:rPr>
        <w:t>In case the Enduser and/or Buyer discovers any Defect in the Commodities, the Enduser or Buyer, as applicable, is entitled to claim additional delivery, whereas for each Commodity with a Defect the Seller shall supply an additional five replacement Commodities to the Enduser or Buyer.</w:t>
      </w:r>
    </w:p>
    <w:p w14:paraId="2DD20372">
      <w:pPr>
        <w:spacing w:line="240" w:lineRule="auto"/>
        <w:ind w:left="619" w:leftChars="295"/>
        <w:rPr>
          <w:rFonts w:eastAsia="仿宋" w:cs="Times New Roman"/>
          <w:szCs w:val="21"/>
        </w:rPr>
      </w:pPr>
      <w:r>
        <w:rPr>
          <w:rFonts w:eastAsia="仿宋" w:cs="Times New Roman"/>
          <w:szCs w:val="21"/>
        </w:rPr>
        <w:t>The Buyer or Enduser, as applicable, is obliged to retain at its premises all Commodities with a Defect . If requested by the Seller, the Buyer or the Enduser, as applicable, shall send the Defect Commodities to the Seller for review. At the request of the Seller, an independent expert to be agreed on by the Parties may inspect the Defect Commodities. If according to the expert’s judgment the Commodities do not have any Defect, the cost for the expert will be borne by the Buyer or the Enduser, as applicable, and the Buyer or the Enduser shall compensate the Seller for any additional Commodities delivered by Seller in accordance with this Article 16.3. If the expert should come to the conclusion that the Commodities do have a Defect, the cost for the expert will to borne by the Seller.</w:t>
      </w:r>
    </w:p>
    <w:p w14:paraId="03D5DD21">
      <w:pPr>
        <w:spacing w:line="240" w:lineRule="auto"/>
        <w:ind w:left="619" w:leftChars="295"/>
        <w:rPr>
          <w:rFonts w:eastAsia="仿宋" w:cs="Times New Roman"/>
          <w:szCs w:val="21"/>
        </w:rPr>
      </w:pPr>
      <w:r>
        <w:rPr>
          <w:rFonts w:eastAsia="仿宋" w:cs="Times New Roman"/>
          <w:szCs w:val="21"/>
        </w:rPr>
        <w:t>若货物被最终用户及/或买方视为缺陷产品，则最终用户或买方有权要求另外发货，而对于每个缺陷产品，卖方应向最终用户或买方额外提供5个合格产品。</w:t>
      </w:r>
    </w:p>
    <w:p w14:paraId="1C78944A">
      <w:pPr>
        <w:spacing w:line="240" w:lineRule="auto"/>
        <w:ind w:left="619" w:leftChars="295"/>
        <w:rPr>
          <w:rFonts w:eastAsia="仿宋" w:cs="Times New Roman"/>
          <w:szCs w:val="21"/>
        </w:rPr>
      </w:pPr>
      <w:r>
        <w:rPr>
          <w:rFonts w:eastAsia="仿宋" w:cs="Times New Roman"/>
          <w:szCs w:val="21"/>
        </w:rPr>
        <w:t>买方或最终用户有义务</w:t>
      </w:r>
      <w:r>
        <w:rPr>
          <w:rFonts w:hint="eastAsia" w:eastAsia="仿宋" w:cs="Times New Roman"/>
          <w:szCs w:val="21"/>
        </w:rPr>
        <w:t>在其处所</w:t>
      </w:r>
      <w:r>
        <w:rPr>
          <w:rFonts w:eastAsia="仿宋" w:cs="Times New Roman"/>
          <w:szCs w:val="21"/>
        </w:rPr>
        <w:t xml:space="preserve">保留缺陷产品。若卖方要求，买方或最终用户应把缺陷产品发给卖方以供检查。或者，应卖方要求，由各方都同意的独立的技术人员将对缺陷产品进行检查。根据技术人员判断，若货物不是缺陷产品，则技术人员的费用由买方或最终用户承担，买方或最终用户必须赔偿卖方根据本合同第16.3条额外发出的产品。若专家得出结论货物为缺陷产品，则专家费用由卖方承担。 </w:t>
      </w:r>
    </w:p>
    <w:p w14:paraId="2848E80B">
      <w:pPr>
        <w:spacing w:line="240" w:lineRule="auto"/>
        <w:ind w:left="619" w:leftChars="295"/>
        <w:rPr>
          <w:rFonts w:eastAsia="仿宋" w:cs="Times New Roman"/>
          <w:szCs w:val="21"/>
        </w:rPr>
      </w:pPr>
      <w:r>
        <w:rPr>
          <w:rFonts w:eastAsia="仿宋" w:cs="Times New Roman"/>
          <w:szCs w:val="21"/>
        </w:rPr>
        <w:t xml:space="preserve">The Seller shall support the Enduser and dispatch experts to assist making assessment if there is serial failure. The Parties will discuss for further solution and agreement on issues of wide scale recall and service due to serial failures. </w:t>
      </w:r>
    </w:p>
    <w:p w14:paraId="135C912C">
      <w:pPr>
        <w:spacing w:line="240" w:lineRule="auto"/>
        <w:ind w:left="619" w:leftChars="295"/>
        <w:rPr>
          <w:rFonts w:eastAsia="仿宋" w:cs="Times New Roman"/>
          <w:szCs w:val="21"/>
        </w:rPr>
      </w:pPr>
      <w:r>
        <w:rPr>
          <w:rFonts w:eastAsia="仿宋" w:cs="Times New Roman"/>
          <w:szCs w:val="21"/>
        </w:rPr>
        <w:t>如有批量性故障，卖方应向最终用户提供支持并派遣人员协助鉴定，因批量性故障原因，召回、服务等具体服务条款的相关事宜另行商定。</w:t>
      </w:r>
    </w:p>
    <w:p w14:paraId="641F60A6">
      <w:pPr>
        <w:snapToGrid w:val="0"/>
        <w:spacing w:line="240" w:lineRule="auto"/>
        <w:rPr>
          <w:rFonts w:eastAsia="仿宋" w:cs="Times New Roman"/>
          <w:szCs w:val="21"/>
          <w:lang w:val="de-DE"/>
        </w:rPr>
      </w:pPr>
    </w:p>
    <w:p w14:paraId="0EA03FBE">
      <w:pPr>
        <w:snapToGrid w:val="0"/>
        <w:spacing w:line="240" w:lineRule="auto"/>
        <w:ind w:left="630" w:hanging="630" w:hangingChars="300"/>
        <w:rPr>
          <w:rFonts w:eastAsia="仿宋" w:cs="Times New Roman"/>
          <w:szCs w:val="21"/>
        </w:rPr>
      </w:pPr>
      <w:r>
        <w:rPr>
          <w:rFonts w:eastAsia="仿宋" w:cs="Times New Roman"/>
          <w:szCs w:val="21"/>
        </w:rPr>
        <w:t>16.</w:t>
      </w:r>
      <w:r>
        <w:rPr>
          <w:rFonts w:hint="eastAsia" w:eastAsia="仿宋" w:cs="Times New Roman"/>
          <w:szCs w:val="21"/>
        </w:rPr>
        <w:t>3</w:t>
      </w:r>
      <w:r>
        <w:rPr>
          <w:rFonts w:eastAsia="仿宋" w:cs="Times New Roman"/>
          <w:szCs w:val="21"/>
        </w:rPr>
        <w:t xml:space="preserve"> </w:t>
      </w:r>
      <w:r>
        <w:rPr>
          <w:rFonts w:eastAsia="仿宋" w:cs="Times New Roman"/>
          <w:szCs w:val="21"/>
        </w:rPr>
        <w:tab/>
      </w:r>
      <w:r>
        <w:rPr>
          <w:rFonts w:eastAsia="仿宋" w:cs="Times New Roman"/>
          <w:szCs w:val="21"/>
        </w:rPr>
        <w:t xml:space="preserve">The Buyer and/or the Enduser send the claim notification to the Seller and in case the Seller fails to reply within sixty (60) days after notification, such claims shall be regarded as having been accepted by the Seller. </w:t>
      </w:r>
      <w:r>
        <w:rPr>
          <w:rFonts w:hint="eastAsia" w:eastAsia="仿宋" w:cs="Times New Roman"/>
          <w:szCs w:val="21"/>
        </w:rPr>
        <w:t xml:space="preserve">The Buyer is entitled to deduct the claim amount from the Bank Guarantee issued by the Seller or accounts payable .  </w:t>
      </w:r>
    </w:p>
    <w:p w14:paraId="7FF82700">
      <w:pPr>
        <w:snapToGrid w:val="0"/>
        <w:spacing w:line="240" w:lineRule="auto"/>
        <w:ind w:left="630" w:leftChars="300"/>
        <w:rPr>
          <w:rFonts w:eastAsia="仿宋" w:cs="Times New Roman"/>
          <w:szCs w:val="21"/>
        </w:rPr>
      </w:pPr>
      <w:r>
        <w:rPr>
          <w:rFonts w:eastAsia="仿宋" w:cs="Times New Roman"/>
          <w:szCs w:val="21"/>
        </w:rPr>
        <w:t>买方</w:t>
      </w:r>
      <w:r>
        <w:rPr>
          <w:rFonts w:hint="eastAsia" w:eastAsia="仿宋" w:cs="Times New Roman"/>
          <w:szCs w:val="21"/>
        </w:rPr>
        <w:t>或最终用户</w:t>
      </w:r>
      <w:r>
        <w:rPr>
          <w:rFonts w:eastAsia="仿宋" w:cs="Times New Roman"/>
          <w:szCs w:val="21"/>
        </w:rPr>
        <w:t>向卖方发出索赔通知</w:t>
      </w:r>
      <w:r>
        <w:rPr>
          <w:rFonts w:hint="eastAsia" w:eastAsia="仿宋" w:cs="Times New Roman"/>
          <w:szCs w:val="21"/>
        </w:rPr>
        <w:t>，</w:t>
      </w:r>
      <w:r>
        <w:rPr>
          <w:rFonts w:eastAsia="仿宋" w:cs="Times New Roman"/>
          <w:szCs w:val="21"/>
        </w:rPr>
        <w:t>发出索赔通知后60天内卖方未作答复，视为卖方已接受上述索赔。买方有权</w:t>
      </w:r>
      <w:r>
        <w:rPr>
          <w:rFonts w:hint="eastAsia" w:eastAsia="仿宋" w:cs="Times New Roman"/>
          <w:szCs w:val="21"/>
        </w:rPr>
        <w:t>通过</w:t>
      </w:r>
      <w:r>
        <w:rPr>
          <w:rFonts w:eastAsia="仿宋" w:cs="Times New Roman"/>
          <w:szCs w:val="21"/>
        </w:rPr>
        <w:t>卖方开具的银行保函</w:t>
      </w:r>
      <w:r>
        <w:rPr>
          <w:rFonts w:hint="eastAsia" w:eastAsia="仿宋" w:cs="Times New Roman"/>
          <w:szCs w:val="21"/>
        </w:rPr>
        <w:t>索赔或应付货款中</w:t>
      </w:r>
      <w:r>
        <w:rPr>
          <w:rFonts w:eastAsia="仿宋" w:cs="Times New Roman"/>
          <w:szCs w:val="21"/>
        </w:rPr>
        <w:t>扣除索赔金额。</w:t>
      </w:r>
    </w:p>
    <w:p w14:paraId="38141575">
      <w:pPr>
        <w:snapToGrid w:val="0"/>
        <w:spacing w:line="240" w:lineRule="auto"/>
        <w:ind w:left="630" w:leftChars="300"/>
        <w:rPr>
          <w:rFonts w:eastAsia="仿宋" w:cs="Times New Roman"/>
          <w:szCs w:val="21"/>
        </w:rPr>
      </w:pPr>
    </w:p>
    <w:p w14:paraId="6526AE26">
      <w:pPr>
        <w:numPr>
          <w:ilvl w:val="0"/>
          <w:numId w:val="19"/>
        </w:numPr>
        <w:snapToGrid w:val="0"/>
        <w:spacing w:line="240" w:lineRule="auto"/>
        <w:rPr>
          <w:rFonts w:eastAsia="仿宋" w:cs="Times New Roman"/>
          <w:b/>
          <w:sz w:val="24"/>
          <w:szCs w:val="24"/>
        </w:rPr>
      </w:pPr>
      <w:r>
        <w:rPr>
          <w:rFonts w:hint="eastAsia" w:eastAsia="仿宋" w:cs="Times New Roman"/>
          <w:szCs w:val="21"/>
        </w:rPr>
        <w:t xml:space="preserve">  </w:t>
      </w:r>
      <w:r>
        <w:rPr>
          <w:rFonts w:eastAsia="仿宋" w:cs="Times New Roman"/>
          <w:b/>
          <w:sz w:val="24"/>
          <w:szCs w:val="24"/>
        </w:rPr>
        <w:t>Compliance with Export Control and Sanction Laws出口管制和经济制裁合规</w:t>
      </w:r>
    </w:p>
    <w:p w14:paraId="32DCE2FA">
      <w:pPr>
        <w:numPr>
          <w:ilvl w:val="255"/>
          <w:numId w:val="0"/>
        </w:numPr>
        <w:snapToGrid w:val="0"/>
        <w:spacing w:line="240" w:lineRule="auto"/>
        <w:rPr>
          <w:rFonts w:eastAsia="仿宋" w:cs="Times New Roman"/>
          <w:szCs w:val="21"/>
        </w:rPr>
      </w:pPr>
    </w:p>
    <w:p w14:paraId="36B18191">
      <w:pPr>
        <w:snapToGrid w:val="0"/>
        <w:spacing w:line="240" w:lineRule="auto"/>
        <w:ind w:left="630" w:hanging="630" w:hangingChars="300"/>
        <w:rPr>
          <w:rFonts w:eastAsia="仿宋" w:cs="Times New Roman"/>
          <w:szCs w:val="21"/>
        </w:rPr>
      </w:pPr>
      <w:r>
        <w:rPr>
          <w:rFonts w:hint="eastAsia" w:eastAsia="仿宋" w:cs="Times New Roman"/>
          <w:szCs w:val="21"/>
        </w:rPr>
        <w:t xml:space="preserve">17.1  In connection with the sales of the Commodities under the Contract, the Seller shall comply with all applicable export control and economic sanction laws and regulations of competent jurisdictions including without limitation the USA, the EU or other related countries or regions (hereinafter referred to as </w:t>
      </w:r>
      <w:r>
        <w:rPr>
          <w:rFonts w:eastAsia="仿宋" w:cs="Times New Roman"/>
          <w:szCs w:val="21"/>
        </w:rPr>
        <w:t>“</w:t>
      </w:r>
      <w:r>
        <w:rPr>
          <w:rFonts w:hint="eastAsia" w:eastAsia="仿宋" w:cs="Times New Roman"/>
          <w:szCs w:val="21"/>
        </w:rPr>
        <w:t>Applicable Export Control Laws</w:t>
      </w:r>
      <w:r>
        <w:rPr>
          <w:rFonts w:eastAsia="仿宋" w:cs="Times New Roman"/>
          <w:szCs w:val="21"/>
        </w:rPr>
        <w:t>”</w:t>
      </w:r>
      <w:r>
        <w:rPr>
          <w:rFonts w:hint="eastAsia" w:eastAsia="仿宋" w:cs="Times New Roman"/>
          <w:szCs w:val="21"/>
        </w:rPr>
        <w:t>)</w:t>
      </w:r>
      <w:r>
        <w:rPr>
          <w:rFonts w:eastAsia="仿宋" w:cs="Times New Roman"/>
          <w:szCs w:val="21"/>
        </w:rPr>
        <w:t>.</w:t>
      </w:r>
      <w:r>
        <w:rPr>
          <w:rFonts w:hint="eastAsia" w:eastAsia="仿宋" w:cs="Times New Roman"/>
          <w:szCs w:val="21"/>
        </w:rPr>
        <w:t xml:space="preserve"> </w:t>
      </w:r>
      <w:r>
        <w:rPr>
          <w:rFonts w:eastAsia="仿宋" w:cs="Times New Roman"/>
          <w:szCs w:val="21"/>
        </w:rPr>
        <w:t xml:space="preserve">Failure to comply with the Applicable Export Control Laws will be deemed a material failure to perform this Contract and the Buyer </w:t>
      </w:r>
      <w:r>
        <w:rPr>
          <w:rFonts w:hint="eastAsia" w:eastAsia="仿宋" w:cs="Times New Roman"/>
          <w:szCs w:val="21"/>
        </w:rPr>
        <w:t>or</w:t>
      </w:r>
      <w:r>
        <w:rPr>
          <w:rFonts w:eastAsia="仿宋" w:cs="Times New Roman"/>
          <w:szCs w:val="21"/>
        </w:rPr>
        <w:t xml:space="preserve">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may terminate the Contract at its election and seek indemnification pursuant to Article </w:t>
      </w:r>
      <w:r>
        <w:rPr>
          <w:rFonts w:hint="eastAsia" w:eastAsia="仿宋" w:cs="Times New Roman"/>
          <w:szCs w:val="21"/>
        </w:rPr>
        <w:t>17</w:t>
      </w:r>
      <w:r>
        <w:rPr>
          <w:rFonts w:eastAsia="仿宋" w:cs="Times New Roman"/>
          <w:szCs w:val="21"/>
        </w:rPr>
        <w:t>.</w:t>
      </w:r>
      <w:r>
        <w:rPr>
          <w:rFonts w:hint="eastAsia" w:eastAsia="仿宋" w:cs="Times New Roman"/>
          <w:szCs w:val="21"/>
        </w:rPr>
        <w:t>4</w:t>
      </w:r>
      <w:r>
        <w:rPr>
          <w:rFonts w:eastAsia="仿宋" w:cs="Times New Roman"/>
          <w:szCs w:val="21"/>
        </w:rPr>
        <w:t>.</w:t>
      </w:r>
    </w:p>
    <w:p w14:paraId="286145C0">
      <w:pPr>
        <w:snapToGrid w:val="0"/>
        <w:spacing w:line="240" w:lineRule="auto"/>
        <w:ind w:left="630" w:leftChars="300"/>
        <w:rPr>
          <w:rFonts w:eastAsia="仿宋" w:cs="Times New Roman"/>
          <w:szCs w:val="21"/>
        </w:rPr>
      </w:pPr>
      <w:r>
        <w:rPr>
          <w:rFonts w:hint="eastAsia" w:eastAsia="仿宋" w:cs="Times New Roman"/>
          <w:szCs w:val="21"/>
        </w:rPr>
        <w:t>卖方在销售本合同项下的货物，应遵守相关法域（包括但不限于美国、欧盟以及其他相关的国家或地区）的出口管制和经济制裁相关的法律法规（以下统称“适用出口管制法律”）。</w:t>
      </w:r>
    </w:p>
    <w:p w14:paraId="7164F740">
      <w:pPr>
        <w:numPr>
          <w:ilvl w:val="255"/>
          <w:numId w:val="0"/>
        </w:numPr>
        <w:snapToGrid w:val="0"/>
        <w:spacing w:line="240" w:lineRule="auto"/>
        <w:ind w:left="598" w:leftChars="285"/>
        <w:rPr>
          <w:rFonts w:eastAsia="仿宋" w:cs="Times New Roman"/>
          <w:szCs w:val="21"/>
        </w:rPr>
      </w:pPr>
      <w:r>
        <w:rPr>
          <w:rFonts w:hint="eastAsia" w:eastAsia="仿宋" w:cs="Times New Roman"/>
          <w:szCs w:val="21"/>
        </w:rPr>
        <w:t>不遵守适用出口管制法律将被视为严重违约，买方或最终用户方可以选择立即终止协议，并按第</w:t>
      </w: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4条规定向卖方寻求损失赔偿。</w:t>
      </w:r>
    </w:p>
    <w:p w14:paraId="2ACEC2AE">
      <w:pPr>
        <w:snapToGrid w:val="0"/>
        <w:spacing w:line="240" w:lineRule="auto"/>
        <w:ind w:left="630" w:leftChars="300"/>
        <w:rPr>
          <w:rFonts w:eastAsia="仿宋" w:cs="Times New Roman"/>
          <w:szCs w:val="21"/>
        </w:rPr>
      </w:pPr>
    </w:p>
    <w:p w14:paraId="4B3C7C36">
      <w:pPr>
        <w:snapToGrid w:val="0"/>
        <w:spacing w:line="240" w:lineRule="auto"/>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2</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If the Seller become</w:t>
      </w:r>
      <w:r>
        <w:rPr>
          <w:rFonts w:hint="eastAsia" w:eastAsia="仿宋" w:cs="Times New Roman"/>
          <w:szCs w:val="21"/>
        </w:rPr>
        <w:t>s</w:t>
      </w:r>
      <w:r>
        <w:rPr>
          <w:rFonts w:eastAsia="仿宋" w:cs="Times New Roman"/>
          <w:szCs w:val="21"/>
        </w:rPr>
        <w:t xml:space="preserve"> aware that export of the Commodities violates any Applicable Export Control Law, the Seller shall provide relevant information to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immediately.</w:t>
      </w:r>
    </w:p>
    <w:p w14:paraId="6805552E">
      <w:pPr>
        <w:snapToGrid w:val="0"/>
        <w:spacing w:line="240" w:lineRule="auto"/>
        <w:ind w:left="609" w:leftChars="290"/>
        <w:rPr>
          <w:rFonts w:eastAsia="仿宋" w:cs="Times New Roman"/>
          <w:szCs w:val="21"/>
        </w:rPr>
      </w:pPr>
      <w:r>
        <w:rPr>
          <w:rFonts w:hint="eastAsia" w:eastAsia="仿宋" w:cs="Times New Roman"/>
          <w:szCs w:val="21"/>
        </w:rPr>
        <w:t>如果卖方得知货物出口存在任何违反相关出口管制法律的情形时，卖方应在第一时间将相关信息提供给买方和最终用户方。</w:t>
      </w:r>
    </w:p>
    <w:p w14:paraId="1501881D">
      <w:pPr>
        <w:snapToGrid w:val="0"/>
        <w:spacing w:line="240" w:lineRule="auto"/>
        <w:ind w:left="630" w:leftChars="300"/>
        <w:rPr>
          <w:rFonts w:eastAsia="仿宋" w:cs="Times New Roman"/>
          <w:szCs w:val="21"/>
        </w:rPr>
      </w:pPr>
    </w:p>
    <w:p w14:paraId="54B46FAD">
      <w:pPr>
        <w:snapToGrid w:val="0"/>
        <w:spacing w:line="240" w:lineRule="auto"/>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3</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Pursuant to any </w:t>
      </w:r>
      <w:r>
        <w:rPr>
          <w:rFonts w:hint="eastAsia" w:eastAsia="仿宋" w:cs="Times New Roman"/>
          <w:szCs w:val="21"/>
        </w:rPr>
        <w:t>App</w:t>
      </w:r>
      <w:r>
        <w:rPr>
          <w:rFonts w:eastAsia="仿宋" w:cs="Times New Roman"/>
          <w:szCs w:val="21"/>
        </w:rPr>
        <w:t>licable Export Control Laws, if any competent authority takes any action or initiates a legal proceeding against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in connection with the transaction under this Contract, the Seller shall cooperate and assist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to respond by providing the necessary evidence and documents. The Seller shall assume all expenses related to providing such support, including but not limited to travel expenses, attorney fees and notarial fees, etc.</w:t>
      </w:r>
    </w:p>
    <w:p w14:paraId="61098F0D">
      <w:pPr>
        <w:snapToGrid w:val="0"/>
        <w:spacing w:line="240" w:lineRule="auto"/>
        <w:ind w:left="598" w:leftChars="285"/>
        <w:rPr>
          <w:rFonts w:eastAsia="仿宋" w:cs="Times New Roman"/>
          <w:szCs w:val="21"/>
        </w:rPr>
      </w:pPr>
      <w:r>
        <w:rPr>
          <w:rFonts w:hint="eastAsia" w:eastAsia="仿宋" w:cs="Times New Roman"/>
          <w:szCs w:val="21"/>
        </w:rPr>
        <w:t>根据任何适用的出口管制法律，如果相关监管机构就本合同项下的出口行为采取任何行动或者法律程序，卖方应配合协助买方和最终用户方进行应对，并提供必要的证据和资料，同时承担向买方和最终用户方提供该等协助所产生的所有相关费用，包括但不限于差旅费、律师费以及公证认证费用等。</w:t>
      </w:r>
    </w:p>
    <w:p w14:paraId="45DB2553">
      <w:pPr>
        <w:snapToGrid w:val="0"/>
        <w:spacing w:line="240" w:lineRule="auto"/>
        <w:ind w:left="630" w:leftChars="300"/>
        <w:rPr>
          <w:rFonts w:eastAsia="仿宋" w:cs="Times New Roman"/>
          <w:szCs w:val="21"/>
        </w:rPr>
      </w:pPr>
    </w:p>
    <w:p w14:paraId="456C690C">
      <w:pPr>
        <w:snapToGrid w:val="0"/>
        <w:spacing w:line="240" w:lineRule="auto"/>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w:t>
      </w:r>
      <w:r>
        <w:rPr>
          <w:rFonts w:hint="eastAsia" w:eastAsia="仿宋" w:cs="Times New Roman"/>
          <w:szCs w:val="21"/>
        </w:rPr>
        <w:t xml:space="preserve">n </w:t>
      </w:r>
      <w:r>
        <w:rPr>
          <w:rFonts w:eastAsia="仿宋" w:cs="Times New Roman"/>
          <w:szCs w:val="21"/>
        </w:rPr>
        <w:t>case, as a result of the Seller’s failure to perform its obligations prescribed in this Article,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suffer any direct or indirect losses or damages, including but not limited to administrative or civil penalties, anticipated profit loss and damage to its goodwill due to blacklisted by any competent government authorities,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w:t>
      </w:r>
      <w:r>
        <w:rPr>
          <w:rFonts w:hint="eastAsia" w:eastAsia="仿宋" w:cs="Times New Roman"/>
          <w:szCs w:val="21"/>
        </w:rPr>
        <w:t>are</w:t>
      </w:r>
      <w:r>
        <w:rPr>
          <w:rFonts w:eastAsia="仿宋" w:cs="Times New Roman"/>
          <w:szCs w:val="21"/>
        </w:rPr>
        <w:t xml:space="preserve"> entitled to full indemnification from the Seller for the above losses and expenses incurred in defense including attorney fees.</w:t>
      </w:r>
    </w:p>
    <w:p w14:paraId="0BFBE9AE">
      <w:pPr>
        <w:snapToGrid w:val="0"/>
        <w:spacing w:line="240" w:lineRule="auto"/>
        <w:ind w:left="630" w:leftChars="300"/>
        <w:rPr>
          <w:rFonts w:eastAsia="仿宋" w:cs="Times New Roman"/>
          <w:szCs w:val="21"/>
        </w:rPr>
      </w:pPr>
      <w:r>
        <w:rPr>
          <w:rFonts w:hint="eastAsia" w:eastAsia="仿宋" w:cs="Times New Roman"/>
          <w:szCs w:val="21"/>
        </w:rPr>
        <w:t>如果卖方未能履行本条所列相关义务，导致买方和最终用户方因此而遭受的直接或间接的损害或损失的，包括但不限于行政或民事罚款、由于被列入黑名单而产生的商誉和预期利益损失等，买方和最终用户方均有权获得卖方的全额赔偿或补偿。</w:t>
      </w:r>
    </w:p>
    <w:p w14:paraId="1FB542B2">
      <w:pPr>
        <w:snapToGrid w:val="0"/>
        <w:spacing w:line="240" w:lineRule="auto"/>
        <w:rPr>
          <w:rFonts w:eastAsia="仿宋" w:cs="Times New Roman"/>
          <w:szCs w:val="21"/>
        </w:rPr>
      </w:pPr>
    </w:p>
    <w:p w14:paraId="31ECE565">
      <w:pPr>
        <w:snapToGrid w:val="0"/>
        <w:spacing w:line="240" w:lineRule="auto"/>
        <w:rPr>
          <w:rFonts w:eastAsia="仿宋" w:cs="Times New Roman"/>
          <w:szCs w:val="21"/>
        </w:rPr>
      </w:pPr>
    </w:p>
    <w:p w14:paraId="416C6727">
      <w:pPr>
        <w:tabs>
          <w:tab w:val="left" w:pos="615"/>
        </w:tabs>
        <w:snapToGrid w:val="0"/>
        <w:spacing w:line="240" w:lineRule="auto"/>
        <w:rPr>
          <w:rFonts w:eastAsia="仿宋" w:cs="Times New Roman"/>
          <w:b/>
          <w:szCs w:val="21"/>
        </w:rPr>
      </w:pPr>
      <w:r>
        <w:rPr>
          <w:rFonts w:eastAsia="仿宋" w:cs="Times New Roman"/>
          <w:b/>
          <w:szCs w:val="21"/>
        </w:rPr>
        <w:t>1</w:t>
      </w:r>
      <w:r>
        <w:rPr>
          <w:rFonts w:hint="eastAsia" w:eastAsia="仿宋" w:cs="Times New Roman"/>
          <w:b/>
          <w:szCs w:val="21"/>
        </w:rPr>
        <w:t>8</w:t>
      </w:r>
      <w:r>
        <w:rPr>
          <w:rFonts w:eastAsia="仿宋" w:cs="Times New Roman"/>
          <w:b/>
          <w:szCs w:val="21"/>
        </w:rPr>
        <w:t>.</w:t>
      </w:r>
      <w:r>
        <w:rPr>
          <w:rFonts w:eastAsia="仿宋" w:cs="Times New Roman"/>
          <w:b/>
          <w:szCs w:val="21"/>
        </w:rPr>
        <w:tab/>
      </w:r>
      <w:r>
        <w:rPr>
          <w:rFonts w:eastAsia="仿宋" w:cs="Times New Roman"/>
          <w:b/>
          <w:sz w:val="24"/>
          <w:szCs w:val="24"/>
        </w:rPr>
        <w:t>FORCE MAJEURE不可抗力</w:t>
      </w:r>
    </w:p>
    <w:p w14:paraId="65B5E7A7">
      <w:pPr>
        <w:snapToGrid w:val="0"/>
        <w:spacing w:line="240" w:lineRule="auto"/>
        <w:rPr>
          <w:rFonts w:eastAsia="仿宋" w:cs="Times New Roman"/>
          <w:szCs w:val="21"/>
        </w:rPr>
      </w:pPr>
    </w:p>
    <w:p w14:paraId="61B410EE">
      <w:pPr>
        <w:spacing w:line="240" w:lineRule="auto"/>
        <w:ind w:left="550" w:hanging="550" w:hangingChars="262"/>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.1  If either </w:t>
      </w:r>
      <w:r>
        <w:rPr>
          <w:rFonts w:eastAsia="仿宋" w:cs="Times New Roman"/>
          <w:szCs w:val="21"/>
          <w:lang w:eastAsia="zh-TW"/>
        </w:rPr>
        <w:t>Party</w:t>
      </w:r>
      <w:r>
        <w:rPr>
          <w:rFonts w:eastAsia="仿宋" w:cs="Times New Roman"/>
          <w:szCs w:val="21"/>
        </w:rPr>
        <w:t xml:space="preserve"> is prevented </w:t>
      </w:r>
      <w:r>
        <w:rPr>
          <w:rFonts w:eastAsia="仿宋" w:cs="Times New Roman"/>
          <w:szCs w:val="21"/>
          <w:lang w:eastAsia="zh-TW"/>
        </w:rPr>
        <w:t xml:space="preserve">or delayed </w:t>
      </w:r>
      <w:r>
        <w:rPr>
          <w:rFonts w:eastAsia="仿宋" w:cs="Times New Roman"/>
          <w:szCs w:val="21"/>
        </w:rPr>
        <w:t xml:space="preserve">by Force Majeure </w:t>
      </w:r>
      <w:r>
        <w:rPr>
          <w:rFonts w:eastAsia="仿宋" w:cs="Times New Roman"/>
          <w:szCs w:val="21"/>
          <w:lang w:eastAsia="zh-TW"/>
        </w:rPr>
        <w:t xml:space="preserve">from performing any of its obligations under this Contract despite exhaustion of all measures, the Party so affected shall promptly notify the other </w:t>
      </w:r>
      <w:r>
        <w:rPr>
          <w:rFonts w:hint="eastAsia" w:eastAsia="仿宋" w:cs="Times New Roman"/>
          <w:szCs w:val="21"/>
        </w:rPr>
        <w:t>P</w:t>
      </w:r>
      <w:r>
        <w:rPr>
          <w:rFonts w:eastAsia="仿宋" w:cs="Times New Roman"/>
          <w:szCs w:val="21"/>
          <w:lang w:eastAsia="zh-TW"/>
        </w:rPr>
        <w:t xml:space="preserve">arty via </w:t>
      </w:r>
      <w:r>
        <w:rPr>
          <w:rFonts w:eastAsia="仿宋" w:cs="Times New Roman"/>
          <w:szCs w:val="21"/>
        </w:rPr>
        <w:t>fax or email within the shortest possible time of the occurrence of the Force Majeure event and within fourteen (14) days thereafter send by express mail or registered airmail to the other party</w:t>
      </w:r>
      <w:r>
        <w:rPr>
          <w:rFonts w:eastAsia="仿宋" w:cs="Times New Roman"/>
          <w:szCs w:val="21"/>
          <w:lang w:eastAsia="zh-TW"/>
        </w:rPr>
        <w:t xml:space="preserve"> certain document specifying the matters constituting such Force Maj</w:t>
      </w:r>
      <w:r>
        <w:rPr>
          <w:rFonts w:eastAsia="仿宋" w:cs="Times New Roman"/>
          <w:szCs w:val="21"/>
        </w:rPr>
        <w:t>eur</w:t>
      </w:r>
      <w:r>
        <w:rPr>
          <w:rFonts w:eastAsia="仿宋" w:cs="Times New Roman"/>
          <w:szCs w:val="21"/>
          <w:lang w:eastAsia="zh-TW"/>
        </w:rPr>
        <w:t>e together with relevant evidence as stipulated in</w:t>
      </w:r>
      <w:r>
        <w:rPr>
          <w:rFonts w:eastAsia="仿宋" w:cs="Times New Roman"/>
          <w:szCs w:val="21"/>
        </w:rPr>
        <w:t xml:space="preserve"> </w:t>
      </w:r>
      <w:r>
        <w:rPr>
          <w:rFonts w:hint="eastAsia" w:eastAsia="仿宋" w:cs="Times New Roman"/>
          <w:szCs w:val="21"/>
        </w:rPr>
        <w:t>Article</w:t>
      </w:r>
      <w:r>
        <w:rPr>
          <w:rFonts w:eastAsia="仿宋" w:cs="Times New Roman"/>
          <w:szCs w:val="21"/>
          <w:lang w:eastAsia="zh-TW"/>
        </w:rPr>
        <w:t xml:space="preserve"> 1</w:t>
      </w:r>
      <w:r>
        <w:rPr>
          <w:rFonts w:eastAsia="仿宋" w:cs="Times New Roman"/>
          <w:szCs w:val="21"/>
        </w:rPr>
        <w:t>8</w:t>
      </w:r>
      <w:r>
        <w:rPr>
          <w:rFonts w:eastAsia="仿宋" w:cs="Times New Roman"/>
          <w:szCs w:val="21"/>
          <w:lang w:eastAsia="zh-TW"/>
        </w:rPr>
        <w:t xml:space="preserve">.2 as it can reasonably give and specifying the estimated duration of such Force Majeure event, then the </w:t>
      </w:r>
      <w:r>
        <w:rPr>
          <w:rFonts w:hint="eastAsia" w:eastAsia="仿宋" w:cs="Times New Roman"/>
          <w:szCs w:val="21"/>
        </w:rPr>
        <w:t>P</w:t>
      </w:r>
      <w:r>
        <w:rPr>
          <w:rFonts w:eastAsia="仿宋" w:cs="Times New Roman"/>
          <w:szCs w:val="21"/>
          <w:lang w:eastAsia="zh-TW"/>
        </w:rPr>
        <w:t xml:space="preserve">arty so affected shall be relieved of liability to the other </w:t>
      </w:r>
      <w:r>
        <w:rPr>
          <w:rFonts w:hint="eastAsia" w:eastAsia="仿宋" w:cs="Times New Roman"/>
          <w:szCs w:val="21"/>
        </w:rPr>
        <w:t>P</w:t>
      </w:r>
      <w:r>
        <w:rPr>
          <w:rFonts w:eastAsia="仿宋" w:cs="Times New Roman"/>
          <w:szCs w:val="21"/>
          <w:lang w:eastAsia="zh-TW"/>
        </w:rPr>
        <w:t>arty for failure to perform, or for delay in performing such obligations (as the case may be).</w:t>
      </w:r>
    </w:p>
    <w:p w14:paraId="661473C3">
      <w:pPr>
        <w:spacing w:line="240" w:lineRule="auto"/>
        <w:ind w:left="550" w:hanging="550" w:hangingChars="262"/>
        <w:rPr>
          <w:rFonts w:eastAsia="仿宋" w:cs="Times New Roman"/>
          <w:szCs w:val="21"/>
        </w:rPr>
      </w:pPr>
      <w:r>
        <w:rPr>
          <w:rFonts w:hint="eastAsia" w:eastAsia="仿宋" w:cs="Times New Roman"/>
          <w:szCs w:val="21"/>
        </w:rPr>
        <w:t xml:space="preserve"> </w:t>
      </w:r>
    </w:p>
    <w:p w14:paraId="095E0607">
      <w:pPr>
        <w:spacing w:line="240" w:lineRule="auto"/>
        <w:ind w:left="525" w:leftChars="250"/>
        <w:rPr>
          <w:rFonts w:eastAsia="仿宋" w:cs="Times New Roman"/>
          <w:szCs w:val="21"/>
        </w:rPr>
      </w:pPr>
      <w:r>
        <w:rPr>
          <w:rFonts w:eastAsia="仿宋" w:cs="Times New Roman"/>
          <w:szCs w:val="21"/>
        </w:rPr>
        <w:t>任何一方由于不可抗力事件影响</w:t>
      </w:r>
      <w:r>
        <w:rPr>
          <w:rFonts w:hint="eastAsia" w:eastAsia="仿宋" w:cs="Times New Roman"/>
          <w:szCs w:val="21"/>
        </w:rPr>
        <w:t>，穷尽措施后仍</w:t>
      </w:r>
      <w:r>
        <w:rPr>
          <w:rFonts w:eastAsia="仿宋" w:cs="Times New Roman"/>
          <w:szCs w:val="21"/>
        </w:rPr>
        <w:t>不能履行合同义务的</w:t>
      </w:r>
      <w:r>
        <w:rPr>
          <w:rFonts w:hint="eastAsia" w:eastAsia="仿宋" w:cs="Times New Roman"/>
          <w:szCs w:val="21"/>
        </w:rPr>
        <w:t>，</w:t>
      </w:r>
      <w:r>
        <w:rPr>
          <w:rFonts w:eastAsia="仿宋" w:cs="Times New Roman"/>
          <w:szCs w:val="21"/>
        </w:rPr>
        <w:t>应在不可抗力事件发生后</w:t>
      </w:r>
      <w:r>
        <w:rPr>
          <w:rFonts w:hint="eastAsia" w:eastAsia="仿宋" w:cs="Times New Roman"/>
          <w:szCs w:val="21"/>
        </w:rPr>
        <w:t>在</w:t>
      </w:r>
      <w:r>
        <w:rPr>
          <w:rFonts w:eastAsia="仿宋" w:cs="Times New Roman"/>
          <w:szCs w:val="21"/>
        </w:rPr>
        <w:t>最短的时间内通过传真</w:t>
      </w:r>
      <w:r>
        <w:rPr>
          <w:rFonts w:hint="eastAsia" w:eastAsia="仿宋" w:cs="Times New Roman"/>
          <w:szCs w:val="21"/>
        </w:rPr>
        <w:t>或</w:t>
      </w:r>
      <w:r>
        <w:rPr>
          <w:rFonts w:eastAsia="仿宋" w:cs="Times New Roman"/>
          <w:szCs w:val="21"/>
        </w:rPr>
        <w:t>邮件通知对方，同时在此后14天内尽力以快递或挂号信的方式将本合同1</w:t>
      </w:r>
      <w:r>
        <w:rPr>
          <w:rFonts w:hint="eastAsia" w:eastAsia="仿宋" w:cs="Times New Roman"/>
          <w:szCs w:val="21"/>
        </w:rPr>
        <w:t>8</w:t>
      </w:r>
      <w:r>
        <w:rPr>
          <w:rFonts w:eastAsia="仿宋" w:cs="Times New Roman"/>
          <w:szCs w:val="21"/>
        </w:rPr>
        <w:t>.2条所述不可抗力的情形及有关证明递交给另一方</w:t>
      </w:r>
      <w:r>
        <w:rPr>
          <w:rFonts w:hint="eastAsia" w:eastAsia="仿宋" w:cs="Times New Roman"/>
          <w:szCs w:val="21"/>
        </w:rPr>
        <w:t>。前述文件应列明不可抗力事件预计持续时间</w:t>
      </w:r>
      <w:r>
        <w:rPr>
          <w:rFonts w:eastAsia="仿宋" w:cs="Times New Roman"/>
          <w:szCs w:val="21"/>
        </w:rPr>
        <w:t>，则受不可抗因素影响的一方将</w:t>
      </w:r>
      <w:r>
        <w:rPr>
          <w:rFonts w:hint="eastAsia" w:eastAsia="仿宋" w:cs="Times New Roman"/>
          <w:szCs w:val="21"/>
        </w:rPr>
        <w:t>（视情况）</w:t>
      </w:r>
      <w:r>
        <w:rPr>
          <w:rFonts w:eastAsia="仿宋" w:cs="Times New Roman"/>
          <w:szCs w:val="21"/>
        </w:rPr>
        <w:t>被免除因未履行或迟延履行其义务而对对方应承担的责任。</w:t>
      </w:r>
    </w:p>
    <w:p w14:paraId="59455DAA">
      <w:pPr>
        <w:snapToGrid w:val="0"/>
        <w:spacing w:line="240" w:lineRule="auto"/>
        <w:ind w:left="598" w:leftChars="-60" w:hanging="724" w:hangingChars="345"/>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.2. </w:t>
      </w:r>
      <w:r>
        <w:rPr>
          <w:rFonts w:eastAsia="仿宋" w:cs="Times New Roman"/>
          <w:szCs w:val="21"/>
          <w:lang w:eastAsia="zh-TW"/>
        </w:rPr>
        <w:tab/>
      </w:r>
      <w:r>
        <w:rPr>
          <w:rFonts w:eastAsia="仿宋" w:cs="Times New Roman"/>
          <w:szCs w:val="21"/>
          <w:lang w:eastAsia="zh-TW"/>
        </w:rPr>
        <w:t>A</w:t>
      </w:r>
      <w:r>
        <w:rPr>
          <w:rFonts w:eastAsia="仿宋" w:cs="Times New Roman"/>
          <w:szCs w:val="21"/>
        </w:rPr>
        <w:t xml:space="preserve"> certificate for evidence issued by the relevant </w:t>
      </w:r>
      <w:r>
        <w:rPr>
          <w:rFonts w:eastAsia="仿宋" w:cs="Times New Roman"/>
          <w:szCs w:val="21"/>
          <w:lang w:eastAsia="zh-TW"/>
        </w:rPr>
        <w:t xml:space="preserve">competent </w:t>
      </w:r>
      <w:r>
        <w:rPr>
          <w:rFonts w:eastAsia="仿宋" w:cs="Times New Roman"/>
          <w:szCs w:val="21"/>
        </w:rPr>
        <w:t>authorities, confirm</w:t>
      </w:r>
      <w:r>
        <w:rPr>
          <w:rFonts w:eastAsia="仿宋" w:cs="Times New Roman"/>
          <w:szCs w:val="21"/>
          <w:lang w:eastAsia="zh-TW"/>
        </w:rPr>
        <w:t>ing that the occurrence of Force Maj</w:t>
      </w:r>
      <w:r>
        <w:rPr>
          <w:rFonts w:eastAsia="仿宋" w:cs="Times New Roman"/>
          <w:szCs w:val="21"/>
        </w:rPr>
        <w:t>eur</w:t>
      </w:r>
      <w:r>
        <w:rPr>
          <w:rFonts w:eastAsia="仿宋" w:cs="Times New Roman"/>
          <w:szCs w:val="21"/>
          <w:lang w:eastAsia="zh-TW"/>
        </w:rPr>
        <w:t>e has sufficient influence to hinder the execution of this Contract by either Party, shall be produced by such affected Party</w:t>
      </w:r>
      <w:r>
        <w:rPr>
          <w:rFonts w:eastAsia="仿宋" w:cs="Times New Roman"/>
          <w:szCs w:val="21"/>
        </w:rPr>
        <w:t xml:space="preserve">. </w:t>
      </w:r>
    </w:p>
    <w:p w14:paraId="10ABF35A">
      <w:pPr>
        <w:spacing w:line="240" w:lineRule="auto"/>
        <w:ind w:left="630" w:leftChars="300"/>
        <w:rPr>
          <w:rFonts w:eastAsia="仿宋" w:cs="Times New Roman"/>
          <w:szCs w:val="21"/>
        </w:rPr>
      </w:pPr>
      <w:r>
        <w:rPr>
          <w:rFonts w:eastAsia="仿宋" w:cs="Times New Roman"/>
          <w:szCs w:val="21"/>
        </w:rPr>
        <w:t>受不可抗力因素影响一方应从有关当局取得相关证明文件</w:t>
      </w:r>
      <w:r>
        <w:rPr>
          <w:rFonts w:hint="eastAsia" w:eastAsia="仿宋" w:cs="Times New Roman"/>
          <w:szCs w:val="21"/>
        </w:rPr>
        <w:t>，</w:t>
      </w:r>
      <w:r>
        <w:rPr>
          <w:rFonts w:eastAsia="仿宋" w:cs="Times New Roman"/>
          <w:szCs w:val="21"/>
        </w:rPr>
        <w:t>以证明不可抗力的发生</w:t>
      </w:r>
      <w:r>
        <w:rPr>
          <w:rFonts w:hint="eastAsia" w:eastAsia="仿宋" w:cs="Times New Roman"/>
          <w:szCs w:val="21"/>
        </w:rPr>
        <w:t>足以影响一方履行合同</w:t>
      </w:r>
      <w:r>
        <w:rPr>
          <w:rFonts w:eastAsia="仿宋" w:cs="Times New Roman"/>
          <w:szCs w:val="21"/>
        </w:rPr>
        <w:t>。</w:t>
      </w:r>
    </w:p>
    <w:p w14:paraId="655F9B87">
      <w:pPr>
        <w:spacing w:line="240" w:lineRule="auto"/>
        <w:ind w:left="548" w:leftChars="-50" w:hanging="653" w:hangingChars="311"/>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.3   </w:t>
      </w:r>
      <w:r>
        <w:rPr>
          <w:rFonts w:eastAsia="仿宋" w:cs="Times New Roman"/>
          <w:szCs w:val="21"/>
          <w:lang w:eastAsia="zh-TW"/>
        </w:rPr>
        <w:t>Notice of termination served pursuant to Article 1</w:t>
      </w:r>
      <w:r>
        <w:rPr>
          <w:rFonts w:eastAsia="仿宋" w:cs="Times New Roman"/>
          <w:szCs w:val="21"/>
        </w:rPr>
        <w:t>8</w:t>
      </w:r>
      <w:r>
        <w:rPr>
          <w:rFonts w:eastAsia="仿宋" w:cs="Times New Roman"/>
          <w:szCs w:val="21"/>
          <w:lang w:eastAsia="zh-TW"/>
        </w:rPr>
        <w:t>.1 shall be of no effect if the Party affected by Force Maj</w:t>
      </w:r>
      <w:r>
        <w:rPr>
          <w:rFonts w:eastAsia="仿宋" w:cs="Times New Roman"/>
          <w:szCs w:val="21"/>
        </w:rPr>
        <w:t>eur</w:t>
      </w:r>
      <w:r>
        <w:rPr>
          <w:rFonts w:eastAsia="仿宋" w:cs="Times New Roman"/>
          <w:szCs w:val="21"/>
          <w:lang w:eastAsia="zh-TW"/>
        </w:rPr>
        <w:t xml:space="preserve">e resumes full performance of its obligations </w:t>
      </w:r>
      <w:r>
        <w:rPr>
          <w:rFonts w:hint="eastAsia" w:eastAsia="仿宋" w:cs="Times New Roman"/>
          <w:szCs w:val="21"/>
        </w:rPr>
        <w:t xml:space="preserve">under the Contract </w:t>
      </w:r>
      <w:r>
        <w:rPr>
          <w:rFonts w:eastAsia="仿宋" w:cs="Times New Roman"/>
          <w:szCs w:val="21"/>
          <w:lang w:eastAsia="zh-TW"/>
        </w:rPr>
        <w:t>before the expiry of the notice period thereof.</w:t>
      </w:r>
      <w:r>
        <w:rPr>
          <w:rFonts w:eastAsia="仿宋" w:cs="Times New Roman"/>
          <w:szCs w:val="21"/>
        </w:rPr>
        <w:t xml:space="preserve"> </w:t>
      </w:r>
    </w:p>
    <w:p w14:paraId="70173E22">
      <w:pPr>
        <w:tabs>
          <w:tab w:val="left" w:pos="709"/>
        </w:tabs>
        <w:snapToGrid w:val="0"/>
        <w:spacing w:line="240" w:lineRule="auto"/>
        <w:ind w:left="525" w:leftChars="250"/>
        <w:rPr>
          <w:rFonts w:eastAsia="仿宋" w:cs="Times New Roman"/>
          <w:szCs w:val="21"/>
        </w:rPr>
      </w:pPr>
      <w:r>
        <w:rPr>
          <w:rFonts w:eastAsia="仿宋" w:cs="Times New Roman"/>
          <w:szCs w:val="21"/>
        </w:rPr>
        <w:t>如果受不可抗力影响一方在通知有效期之前恢复履行合同</w:t>
      </w:r>
      <w:r>
        <w:rPr>
          <w:rFonts w:hint="eastAsia" w:eastAsia="仿宋" w:cs="Times New Roman"/>
          <w:szCs w:val="21"/>
        </w:rPr>
        <w:t>义务</w:t>
      </w:r>
      <w:r>
        <w:rPr>
          <w:rFonts w:eastAsia="仿宋" w:cs="Times New Roman"/>
          <w:szCs w:val="21"/>
        </w:rPr>
        <w:t>，</w:t>
      </w:r>
      <w:r>
        <w:rPr>
          <w:rFonts w:hint="eastAsia" w:eastAsia="仿宋" w:cs="Times New Roman"/>
          <w:szCs w:val="21"/>
        </w:rPr>
        <w:t>则</w:t>
      </w:r>
      <w:r>
        <w:rPr>
          <w:rFonts w:eastAsia="仿宋" w:cs="Times New Roman"/>
          <w:szCs w:val="21"/>
        </w:rPr>
        <w:t>根据1</w:t>
      </w:r>
      <w:r>
        <w:rPr>
          <w:rFonts w:hint="eastAsia" w:eastAsia="仿宋" w:cs="Times New Roman"/>
          <w:szCs w:val="21"/>
        </w:rPr>
        <w:t>8</w:t>
      </w:r>
      <w:r>
        <w:rPr>
          <w:rFonts w:eastAsia="仿宋" w:cs="Times New Roman"/>
          <w:szCs w:val="21"/>
        </w:rPr>
        <w:t>.1条发出的终止通知</w:t>
      </w:r>
      <w:r>
        <w:rPr>
          <w:rFonts w:hint="eastAsia" w:eastAsia="仿宋" w:cs="Times New Roman"/>
          <w:szCs w:val="21"/>
        </w:rPr>
        <w:t>不产生</w:t>
      </w:r>
      <w:r>
        <w:rPr>
          <w:rFonts w:eastAsia="仿宋" w:cs="Times New Roman"/>
          <w:szCs w:val="21"/>
        </w:rPr>
        <w:t>任何效力。</w:t>
      </w:r>
    </w:p>
    <w:p w14:paraId="622743FD">
      <w:pPr>
        <w:tabs>
          <w:tab w:val="left" w:pos="709"/>
        </w:tabs>
        <w:snapToGrid w:val="0"/>
        <w:spacing w:line="240" w:lineRule="auto"/>
        <w:ind w:left="525" w:leftChars="-50" w:hanging="630" w:hangingChars="300"/>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.4  </w:t>
      </w:r>
      <w:r>
        <w:rPr>
          <w:rFonts w:eastAsia="仿宋" w:cs="Times New Roman"/>
          <w:szCs w:val="21"/>
          <w:lang w:eastAsia="zh-TW"/>
        </w:rPr>
        <w:t>In the event that t</w:t>
      </w:r>
      <w:r>
        <w:rPr>
          <w:rFonts w:eastAsia="仿宋" w:cs="Times New Roman"/>
          <w:szCs w:val="21"/>
        </w:rPr>
        <w:t>he effect of Force Majeure continue</w:t>
      </w:r>
      <w:r>
        <w:rPr>
          <w:rFonts w:eastAsia="仿宋" w:cs="Times New Roman"/>
          <w:szCs w:val="21"/>
          <w:lang w:eastAsia="zh-TW"/>
        </w:rPr>
        <w:t>s</w:t>
      </w:r>
      <w:r>
        <w:rPr>
          <w:rFonts w:eastAsia="仿宋" w:cs="Times New Roman"/>
          <w:szCs w:val="21"/>
        </w:rPr>
        <w:t xml:space="preserve"> for more than one hundred and twenty (120) consecutive days, </w:t>
      </w:r>
      <w:r>
        <w:rPr>
          <w:rFonts w:eastAsia="仿宋" w:cs="Times New Roman"/>
          <w:szCs w:val="21"/>
          <w:lang w:eastAsia="zh-TW"/>
        </w:rPr>
        <w:t>P</w:t>
      </w:r>
      <w:r>
        <w:rPr>
          <w:rFonts w:eastAsia="仿宋" w:cs="Times New Roman"/>
          <w:szCs w:val="21"/>
        </w:rPr>
        <w:t xml:space="preserve">arties shall </w:t>
      </w:r>
      <w:r>
        <w:rPr>
          <w:rFonts w:eastAsia="仿宋" w:cs="Times New Roman"/>
          <w:szCs w:val="21"/>
          <w:lang w:eastAsia="zh-TW"/>
        </w:rPr>
        <w:t xml:space="preserve">use their best endeavour to </w:t>
      </w:r>
      <w:r>
        <w:rPr>
          <w:rFonts w:eastAsia="仿宋" w:cs="Times New Roman"/>
          <w:szCs w:val="21"/>
        </w:rPr>
        <w:t xml:space="preserve">reach a </w:t>
      </w:r>
      <w:r>
        <w:rPr>
          <w:rFonts w:eastAsia="仿宋" w:cs="Times New Roman"/>
          <w:szCs w:val="21"/>
          <w:lang w:eastAsia="zh-TW"/>
        </w:rPr>
        <w:t xml:space="preserve">supplemental </w:t>
      </w:r>
      <w:r>
        <w:rPr>
          <w:rFonts w:eastAsia="仿宋" w:cs="Times New Roman"/>
          <w:szCs w:val="21"/>
        </w:rPr>
        <w:t xml:space="preserve">agreement </w:t>
      </w:r>
      <w:r>
        <w:rPr>
          <w:rFonts w:eastAsia="仿宋" w:cs="Times New Roman"/>
          <w:szCs w:val="21"/>
          <w:lang w:eastAsia="zh-TW"/>
        </w:rPr>
        <w:t>to remedy the situation</w:t>
      </w:r>
      <w:r>
        <w:rPr>
          <w:rFonts w:eastAsia="仿宋" w:cs="Times New Roman"/>
          <w:szCs w:val="21"/>
        </w:rPr>
        <w:t xml:space="preserve"> through friendly negotiation within a reasonable time. </w:t>
      </w:r>
    </w:p>
    <w:p w14:paraId="737E5537">
      <w:pPr>
        <w:tabs>
          <w:tab w:val="left" w:pos="525"/>
        </w:tabs>
        <w:snapToGrid w:val="0"/>
        <w:spacing w:line="240" w:lineRule="auto"/>
        <w:ind w:left="514" w:leftChars="245"/>
        <w:rPr>
          <w:rFonts w:eastAsia="仿宋" w:cs="Times New Roman"/>
          <w:szCs w:val="21"/>
        </w:rPr>
      </w:pPr>
      <w:r>
        <w:rPr>
          <w:rFonts w:eastAsia="仿宋" w:cs="Times New Roman"/>
          <w:szCs w:val="21"/>
        </w:rPr>
        <w:t>一旦不可抗力事件的影响持续120天以上，</w:t>
      </w:r>
      <w:r>
        <w:rPr>
          <w:rFonts w:hint="eastAsia" w:eastAsia="仿宋" w:cs="Times New Roman"/>
          <w:szCs w:val="21"/>
        </w:rPr>
        <w:t>各</w:t>
      </w:r>
      <w:r>
        <w:rPr>
          <w:rFonts w:eastAsia="仿宋" w:cs="Times New Roman"/>
          <w:szCs w:val="21"/>
        </w:rPr>
        <w:t>方应通过友好协商在合理的时间内达成补充协议以采取相应的救济措施。</w:t>
      </w:r>
    </w:p>
    <w:p w14:paraId="4441EA22">
      <w:pPr>
        <w:snapToGrid w:val="0"/>
        <w:spacing w:line="240" w:lineRule="auto"/>
        <w:rPr>
          <w:rFonts w:eastAsia="仿宋" w:cs="Times New Roman"/>
          <w:b/>
          <w:szCs w:val="21"/>
        </w:rPr>
      </w:pPr>
    </w:p>
    <w:p w14:paraId="715EF95B">
      <w:pPr>
        <w:snapToGrid w:val="0"/>
        <w:spacing w:line="240" w:lineRule="auto"/>
        <w:rPr>
          <w:rFonts w:eastAsia="仿宋" w:cs="Times New Roman"/>
          <w:b/>
          <w:szCs w:val="21"/>
        </w:rPr>
      </w:pPr>
    </w:p>
    <w:p w14:paraId="04A85CCB">
      <w:pPr>
        <w:snapToGrid w:val="0"/>
        <w:spacing w:line="240" w:lineRule="auto"/>
        <w:rPr>
          <w:rFonts w:eastAsia="仿宋" w:cs="Times New Roman"/>
          <w:b/>
          <w:szCs w:val="21"/>
        </w:rPr>
      </w:pPr>
      <w:r>
        <w:rPr>
          <w:rFonts w:eastAsia="仿宋" w:cs="Times New Roman"/>
          <w:b/>
          <w:szCs w:val="21"/>
        </w:rPr>
        <w:t>1</w:t>
      </w:r>
      <w:r>
        <w:rPr>
          <w:rFonts w:hint="eastAsia" w:eastAsia="仿宋" w:cs="Times New Roman"/>
          <w:b/>
          <w:szCs w:val="21"/>
        </w:rPr>
        <w:t>9</w:t>
      </w:r>
      <w:r>
        <w:rPr>
          <w:rFonts w:eastAsia="仿宋" w:cs="Times New Roman"/>
          <w:b/>
          <w:szCs w:val="21"/>
        </w:rPr>
        <w:t>.</w:t>
      </w:r>
      <w:r>
        <w:rPr>
          <w:rFonts w:eastAsia="仿宋" w:cs="Times New Roman"/>
          <w:b/>
          <w:szCs w:val="21"/>
        </w:rPr>
        <w:tab/>
      </w:r>
      <w:r>
        <w:rPr>
          <w:rFonts w:eastAsia="仿宋" w:cs="Times New Roman"/>
          <w:b/>
          <w:szCs w:val="21"/>
        </w:rPr>
        <w:t xml:space="preserve"> </w:t>
      </w:r>
      <w:r>
        <w:rPr>
          <w:rFonts w:eastAsia="仿宋" w:cs="Times New Roman"/>
          <w:b/>
          <w:sz w:val="24"/>
          <w:szCs w:val="24"/>
        </w:rPr>
        <w:t>DISPUTES AND ARBITRATION 争议及仲裁条款</w:t>
      </w:r>
    </w:p>
    <w:p w14:paraId="4F97319A">
      <w:pPr>
        <w:snapToGrid w:val="0"/>
        <w:spacing w:line="240" w:lineRule="auto"/>
        <w:rPr>
          <w:rFonts w:eastAsia="仿宋" w:cs="Times New Roman"/>
          <w:szCs w:val="21"/>
        </w:rPr>
      </w:pPr>
    </w:p>
    <w:p w14:paraId="0C8233F6">
      <w:pPr>
        <w:numPr>
          <w:ilvl w:val="255"/>
          <w:numId w:val="0"/>
        </w:numPr>
        <w:snapToGrid w:val="0"/>
        <w:spacing w:line="240" w:lineRule="auto"/>
        <w:ind w:left="630" w:hanging="630" w:hangingChars="300"/>
        <w:rPr>
          <w:rFonts w:eastAsia="仿宋" w:cs="Times New Roman"/>
          <w:szCs w:val="21"/>
        </w:rPr>
      </w:pPr>
      <w:r>
        <w:rPr>
          <w:rFonts w:hint="eastAsia" w:eastAsia="仿宋" w:cs="Times New Roman"/>
          <w:szCs w:val="21"/>
        </w:rPr>
        <w:t xml:space="preserve">19.1  </w:t>
      </w:r>
      <w:r>
        <w:rPr>
          <w:rFonts w:eastAsia="仿宋" w:cs="Times New Roman"/>
          <w:szCs w:val="21"/>
        </w:rPr>
        <w:t xml:space="preserve">Unless otherwise </w:t>
      </w:r>
      <w:r>
        <w:rPr>
          <w:rFonts w:hint="eastAsia" w:eastAsia="仿宋" w:cs="Times New Roman"/>
          <w:szCs w:val="21"/>
        </w:rPr>
        <w:t xml:space="preserve">agreed </w:t>
      </w:r>
      <w:r>
        <w:rPr>
          <w:rFonts w:eastAsia="仿宋" w:cs="Times New Roman"/>
          <w:szCs w:val="21"/>
        </w:rPr>
        <w:t xml:space="preserve">by the Parties in writing, all disputes arising out of or in connection with the Contract shall be settled through friendly consultation between the Parties. </w:t>
      </w:r>
    </w:p>
    <w:p w14:paraId="3299411C">
      <w:pPr>
        <w:snapToGrid w:val="0"/>
        <w:spacing w:line="240" w:lineRule="auto"/>
        <w:ind w:firstLine="525" w:firstLineChars="250"/>
        <w:rPr>
          <w:rFonts w:eastAsia="仿宋" w:cs="Times New Roman"/>
          <w:szCs w:val="21"/>
        </w:rPr>
      </w:pPr>
      <w:r>
        <w:rPr>
          <w:rFonts w:eastAsia="仿宋" w:cs="Times New Roman"/>
          <w:szCs w:val="21"/>
        </w:rPr>
        <w:t>除非</w:t>
      </w:r>
      <w:r>
        <w:rPr>
          <w:rFonts w:hint="eastAsia" w:eastAsia="仿宋" w:cs="Times New Roman"/>
          <w:szCs w:val="21"/>
        </w:rPr>
        <w:t>各</w:t>
      </w:r>
      <w:r>
        <w:rPr>
          <w:rFonts w:eastAsia="仿宋" w:cs="Times New Roman"/>
          <w:szCs w:val="21"/>
        </w:rPr>
        <w:t>方另行书面约定，否则因本合同引起或与本合同有关的一切</w:t>
      </w:r>
      <w:r>
        <w:rPr>
          <w:rFonts w:hint="eastAsia" w:eastAsia="仿宋" w:cs="Times New Roman"/>
          <w:szCs w:val="21"/>
        </w:rPr>
        <w:t>争议</w:t>
      </w:r>
      <w:r>
        <w:rPr>
          <w:rFonts w:eastAsia="仿宋" w:cs="Times New Roman"/>
          <w:szCs w:val="21"/>
        </w:rPr>
        <w:t>应友好协商解决。</w:t>
      </w:r>
    </w:p>
    <w:p w14:paraId="2D8C8D1D">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.2</w:t>
      </w:r>
      <w:r>
        <w:rPr>
          <w:rFonts w:eastAsia="仿宋" w:cs="Times New Roman"/>
          <w:szCs w:val="21"/>
        </w:rPr>
        <w:tab/>
      </w:r>
      <w:r>
        <w:rPr>
          <w:rFonts w:eastAsia="仿宋" w:cs="Times New Roman"/>
          <w:szCs w:val="21"/>
        </w:rPr>
        <w:t>In the event that no settlement can be reached within sixty (60) days after such dispute has been notified by the other Party, such dispute shall be submitted to the China International Economic and Trade Arbitration Commission (“</w:t>
      </w:r>
      <w:r>
        <w:rPr>
          <w:rFonts w:eastAsia="仿宋" w:cs="Times New Roman"/>
          <w:b/>
          <w:szCs w:val="21"/>
        </w:rPr>
        <w:t>CIETAC</w:t>
      </w:r>
      <w:r>
        <w:rPr>
          <w:rFonts w:eastAsia="仿宋" w:cs="Times New Roman"/>
          <w:szCs w:val="21"/>
        </w:rPr>
        <w:t xml:space="preserve">”) at Beijing China for settlement by arbitration </w:t>
      </w:r>
    </w:p>
    <w:p w14:paraId="2E963E5D">
      <w:pPr>
        <w:snapToGrid w:val="0"/>
        <w:spacing w:line="240" w:lineRule="auto"/>
        <w:ind w:left="523" w:leftChars="249"/>
        <w:rPr>
          <w:rFonts w:eastAsia="仿宋" w:cs="Times New Roman"/>
          <w:szCs w:val="21"/>
        </w:rPr>
      </w:pPr>
      <w:r>
        <w:rPr>
          <w:rFonts w:eastAsia="仿宋" w:cs="Times New Roman"/>
          <w:szCs w:val="21"/>
        </w:rPr>
        <w:t>若一方通知另一方争议后60个日历日内争议仍</w:t>
      </w:r>
      <w:r>
        <w:rPr>
          <w:rFonts w:hint="eastAsia" w:eastAsia="仿宋" w:cs="Times New Roman"/>
          <w:szCs w:val="21"/>
        </w:rPr>
        <w:t>未</w:t>
      </w:r>
      <w:r>
        <w:rPr>
          <w:rFonts w:eastAsia="仿宋" w:cs="Times New Roman"/>
          <w:szCs w:val="21"/>
        </w:rPr>
        <w:t>解决，</w:t>
      </w:r>
      <w:r>
        <w:rPr>
          <w:rFonts w:hint="eastAsia" w:eastAsia="仿宋" w:cs="Times New Roman"/>
          <w:szCs w:val="21"/>
        </w:rPr>
        <w:t>应将</w:t>
      </w:r>
      <w:r>
        <w:rPr>
          <w:rFonts w:eastAsia="仿宋" w:cs="Times New Roman"/>
          <w:szCs w:val="21"/>
        </w:rPr>
        <w:t>争议提交位于北京的中国国际经济贸易仲裁委员会</w:t>
      </w:r>
      <w:r>
        <w:rPr>
          <w:rFonts w:hint="eastAsia" w:eastAsia="仿宋" w:cs="Times New Roman"/>
          <w:szCs w:val="21"/>
        </w:rPr>
        <w:t>（“贸仲”）</w:t>
      </w:r>
      <w:r>
        <w:rPr>
          <w:rFonts w:eastAsia="仿宋" w:cs="Times New Roman"/>
          <w:szCs w:val="21"/>
        </w:rPr>
        <w:t>进行仲裁。</w:t>
      </w:r>
    </w:p>
    <w:p w14:paraId="5CD90792">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.3</w:t>
      </w:r>
      <w:r>
        <w:rPr>
          <w:rFonts w:eastAsia="仿宋" w:cs="Times New Roman"/>
          <w:szCs w:val="21"/>
        </w:rPr>
        <w:tab/>
      </w:r>
      <w:r>
        <w:rPr>
          <w:rFonts w:eastAsia="仿宋" w:cs="Times New Roman"/>
          <w:szCs w:val="21"/>
        </w:rPr>
        <w:t xml:space="preserve">Arbitration committee formed by CIETAC </w:t>
      </w:r>
      <w:r>
        <w:rPr>
          <w:rFonts w:hint="eastAsia" w:eastAsia="仿宋" w:cs="Times New Roman"/>
          <w:szCs w:val="21"/>
        </w:rPr>
        <w:t>in</w:t>
      </w:r>
      <w:r>
        <w:rPr>
          <w:rFonts w:eastAsia="仿宋" w:cs="Times New Roman"/>
          <w:szCs w:val="21"/>
        </w:rPr>
        <w:t xml:space="preserve"> Beijing in accordance with Article 19.2</w:t>
      </w:r>
      <w:r>
        <w:rPr>
          <w:rFonts w:hint="eastAsia" w:eastAsia="仿宋" w:cs="Times New Roman"/>
          <w:szCs w:val="21"/>
        </w:rPr>
        <w:t xml:space="preserve"> </w:t>
      </w:r>
      <w:r>
        <w:rPr>
          <w:rFonts w:eastAsia="仿宋" w:cs="Times New Roman"/>
          <w:szCs w:val="21"/>
        </w:rPr>
        <w:t xml:space="preserve">shall consist of three arbitrators appointed in accordance with the Rules.   </w:t>
      </w:r>
    </w:p>
    <w:p w14:paraId="39D2AD54">
      <w:pPr>
        <w:snapToGrid w:val="0"/>
        <w:spacing w:line="240" w:lineRule="auto"/>
        <w:ind w:left="525" w:leftChars="250"/>
        <w:rPr>
          <w:rFonts w:eastAsia="仿宋" w:cs="Times New Roman"/>
          <w:szCs w:val="21"/>
        </w:rPr>
      </w:pPr>
      <w:r>
        <w:rPr>
          <w:rFonts w:eastAsia="仿宋" w:cs="Times New Roman"/>
          <w:szCs w:val="21"/>
        </w:rPr>
        <w:t>根据第1</w:t>
      </w:r>
      <w:r>
        <w:rPr>
          <w:rFonts w:hint="eastAsia" w:eastAsia="仿宋" w:cs="Times New Roman"/>
          <w:szCs w:val="21"/>
        </w:rPr>
        <w:t>9</w:t>
      </w:r>
      <w:r>
        <w:rPr>
          <w:rFonts w:eastAsia="仿宋" w:cs="Times New Roman"/>
          <w:szCs w:val="21"/>
        </w:rPr>
        <w:t>.2条</w:t>
      </w:r>
      <w:r>
        <w:rPr>
          <w:rFonts w:hint="eastAsia" w:eastAsia="仿宋" w:cs="Times New Roman"/>
          <w:szCs w:val="21"/>
        </w:rPr>
        <w:t>约定</w:t>
      </w:r>
      <w:r>
        <w:rPr>
          <w:rFonts w:eastAsia="仿宋" w:cs="Times New Roman"/>
          <w:szCs w:val="21"/>
        </w:rPr>
        <w:t>由位于中国北京的</w:t>
      </w:r>
      <w:r>
        <w:rPr>
          <w:rFonts w:hint="eastAsia" w:eastAsia="仿宋" w:cs="Times New Roman"/>
          <w:szCs w:val="21"/>
        </w:rPr>
        <w:t>贸仲</w:t>
      </w:r>
      <w:r>
        <w:rPr>
          <w:rFonts w:eastAsia="仿宋" w:cs="Times New Roman"/>
          <w:szCs w:val="21"/>
        </w:rPr>
        <w:t>指定的仲裁小组应按照其仲裁规则由3名成员组成。</w:t>
      </w:r>
    </w:p>
    <w:p w14:paraId="79BDF117">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.4</w:t>
      </w:r>
      <w:r>
        <w:rPr>
          <w:rFonts w:eastAsia="仿宋" w:cs="Times New Roman"/>
          <w:szCs w:val="21"/>
        </w:rPr>
        <w:tab/>
      </w:r>
      <w:r>
        <w:rPr>
          <w:rFonts w:eastAsia="仿宋" w:cs="Times New Roman"/>
          <w:szCs w:val="21"/>
        </w:rPr>
        <w:t xml:space="preserve">Arbitration award shall be final and binding on the Parties. </w:t>
      </w:r>
    </w:p>
    <w:p w14:paraId="70B0B738">
      <w:pPr>
        <w:snapToGrid w:val="0"/>
        <w:spacing w:line="240" w:lineRule="auto"/>
        <w:ind w:left="525" w:leftChars="250"/>
        <w:rPr>
          <w:rFonts w:eastAsia="仿宋" w:cs="Times New Roman"/>
          <w:szCs w:val="21"/>
        </w:rPr>
      </w:pPr>
      <w:r>
        <w:rPr>
          <w:rFonts w:eastAsia="仿宋" w:cs="Times New Roman"/>
          <w:szCs w:val="21"/>
        </w:rPr>
        <w:t>仲裁裁决是终局的，对</w:t>
      </w:r>
      <w:r>
        <w:rPr>
          <w:rFonts w:hint="eastAsia" w:eastAsia="仿宋" w:cs="Times New Roman"/>
          <w:szCs w:val="21"/>
        </w:rPr>
        <w:t>各</w:t>
      </w:r>
      <w:r>
        <w:rPr>
          <w:rFonts w:eastAsia="仿宋" w:cs="Times New Roman"/>
          <w:szCs w:val="21"/>
        </w:rPr>
        <w:t>方均有约束力。</w:t>
      </w:r>
    </w:p>
    <w:p w14:paraId="574BAFB1">
      <w:pPr>
        <w:snapToGrid w:val="0"/>
        <w:spacing w:line="240" w:lineRule="auto"/>
        <w:ind w:left="525" w:leftChars="6" w:hanging="512" w:hangingChars="244"/>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.5</w:t>
      </w:r>
      <w:r>
        <w:rPr>
          <w:rFonts w:eastAsia="仿宋" w:cs="Times New Roman"/>
          <w:szCs w:val="21"/>
        </w:rPr>
        <w:tab/>
      </w:r>
      <w:r>
        <w:rPr>
          <w:rFonts w:eastAsia="仿宋" w:cs="Times New Roman"/>
          <w:szCs w:val="21"/>
        </w:rPr>
        <w:t xml:space="preserve">Official language of arbitration shall be </w:t>
      </w:r>
      <w:r>
        <w:rPr>
          <w:rFonts w:hint="eastAsia" w:eastAsia="仿宋" w:cs="Times New Roman"/>
          <w:szCs w:val="21"/>
        </w:rPr>
        <w:t>Chinese</w:t>
      </w:r>
      <w:r>
        <w:rPr>
          <w:rFonts w:eastAsia="仿宋" w:cs="Times New Roman"/>
          <w:szCs w:val="21"/>
        </w:rPr>
        <w:t>.</w:t>
      </w:r>
    </w:p>
    <w:p w14:paraId="0B55732D">
      <w:pPr>
        <w:snapToGrid w:val="0"/>
        <w:spacing w:line="240" w:lineRule="auto"/>
        <w:ind w:left="525" w:leftChars="250"/>
        <w:rPr>
          <w:rFonts w:eastAsia="仿宋" w:cs="Times New Roman"/>
          <w:szCs w:val="21"/>
        </w:rPr>
      </w:pPr>
      <w:r>
        <w:rPr>
          <w:rFonts w:eastAsia="仿宋" w:cs="Times New Roman"/>
          <w:szCs w:val="21"/>
        </w:rPr>
        <w:t>仲裁官方语言应为</w:t>
      </w:r>
      <w:r>
        <w:rPr>
          <w:rFonts w:hint="eastAsia" w:eastAsia="仿宋" w:cs="Times New Roman"/>
          <w:szCs w:val="21"/>
        </w:rPr>
        <w:t>中文</w:t>
      </w:r>
      <w:r>
        <w:rPr>
          <w:rFonts w:eastAsia="仿宋" w:cs="Times New Roman"/>
          <w:szCs w:val="21"/>
        </w:rPr>
        <w:t>。</w:t>
      </w:r>
    </w:p>
    <w:p w14:paraId="28588604">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.6</w:t>
      </w:r>
      <w:r>
        <w:rPr>
          <w:rFonts w:eastAsia="仿宋" w:cs="Times New Roman"/>
          <w:szCs w:val="21"/>
        </w:rPr>
        <w:tab/>
      </w:r>
      <w:r>
        <w:rPr>
          <w:rFonts w:eastAsia="仿宋" w:cs="Times New Roman"/>
          <w:szCs w:val="21"/>
        </w:rPr>
        <w:t xml:space="preserve">Notwithstanding that arbitration is in progress, the Contract shall be continuously performed by the Parties except for the part which is being dealt with by arbitration committee. </w:t>
      </w:r>
    </w:p>
    <w:p w14:paraId="75E59E72">
      <w:pPr>
        <w:spacing w:line="240" w:lineRule="auto"/>
        <w:rPr>
          <w:rFonts w:eastAsia="仿宋" w:cs="Times New Roman"/>
          <w:szCs w:val="21"/>
        </w:rPr>
      </w:pPr>
      <w:r>
        <w:rPr>
          <w:rFonts w:eastAsia="仿宋" w:cs="Times New Roman"/>
          <w:szCs w:val="21"/>
        </w:rPr>
        <w:t xml:space="preserve">     仲裁期间，除正在进行的仲裁部分外，本合同其他部分仍继续执行。</w:t>
      </w:r>
    </w:p>
    <w:p w14:paraId="41EF92B9">
      <w:pPr>
        <w:snapToGrid w:val="0"/>
        <w:spacing w:line="240" w:lineRule="auto"/>
        <w:ind w:left="527" w:leftChars="-44" w:hanging="619" w:hangingChars="295"/>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.7</w:t>
      </w:r>
      <w:r>
        <w:rPr>
          <w:rFonts w:eastAsia="仿宋" w:cs="Times New Roman"/>
          <w:szCs w:val="21"/>
        </w:rPr>
        <w:tab/>
      </w:r>
      <w:r>
        <w:rPr>
          <w:rFonts w:eastAsia="仿宋" w:cs="Times New Roman"/>
          <w:szCs w:val="21"/>
        </w:rPr>
        <w:t xml:space="preserve">Arbitration fee shall be borne by the losing party except as otherwise awarded by the CIETAC. </w:t>
      </w:r>
    </w:p>
    <w:p w14:paraId="02965183">
      <w:pPr>
        <w:spacing w:line="240" w:lineRule="auto"/>
        <w:ind w:firstLine="525" w:firstLineChars="250"/>
        <w:rPr>
          <w:rFonts w:eastAsia="仿宋" w:cs="Times New Roman"/>
          <w:szCs w:val="21"/>
        </w:rPr>
      </w:pPr>
      <w:r>
        <w:rPr>
          <w:rFonts w:eastAsia="仿宋" w:cs="Times New Roman"/>
          <w:szCs w:val="21"/>
        </w:rPr>
        <w:t>仲裁费用除贸仲仲裁委员会另有决定外，由败诉一方承担。</w:t>
      </w:r>
    </w:p>
    <w:p w14:paraId="3C4FD846">
      <w:pPr>
        <w:snapToGrid w:val="0"/>
        <w:spacing w:line="240" w:lineRule="auto"/>
        <w:rPr>
          <w:rFonts w:eastAsia="仿宋" w:cs="Times New Roman"/>
          <w:szCs w:val="21"/>
        </w:rPr>
      </w:pPr>
    </w:p>
    <w:p w14:paraId="569793BF">
      <w:pPr>
        <w:snapToGrid w:val="0"/>
        <w:spacing w:line="240" w:lineRule="auto"/>
        <w:rPr>
          <w:rFonts w:eastAsia="仿宋" w:cs="Times New Roman"/>
          <w:szCs w:val="21"/>
        </w:rPr>
      </w:pPr>
    </w:p>
    <w:p w14:paraId="3B408B20">
      <w:pPr>
        <w:snapToGrid w:val="0"/>
        <w:spacing w:line="240" w:lineRule="auto"/>
        <w:rPr>
          <w:rFonts w:eastAsia="仿宋" w:cs="Times New Roman"/>
          <w:b/>
          <w:szCs w:val="21"/>
        </w:rPr>
      </w:pPr>
      <w:r>
        <w:rPr>
          <w:rFonts w:hint="eastAsia" w:eastAsia="仿宋" w:cs="Times New Roman"/>
          <w:b/>
          <w:szCs w:val="21"/>
        </w:rPr>
        <w:t>20</w:t>
      </w:r>
      <w:r>
        <w:rPr>
          <w:rFonts w:eastAsia="仿宋" w:cs="Times New Roman"/>
          <w:b/>
          <w:szCs w:val="21"/>
        </w:rPr>
        <w:t xml:space="preserve">  </w:t>
      </w:r>
      <w:r>
        <w:rPr>
          <w:rFonts w:eastAsia="仿宋" w:cs="Times New Roman"/>
          <w:b/>
          <w:sz w:val="24"/>
          <w:szCs w:val="24"/>
        </w:rPr>
        <w:t>GOVERNING LAW适用法律</w:t>
      </w:r>
    </w:p>
    <w:p w14:paraId="490E451D">
      <w:pPr>
        <w:snapToGrid w:val="0"/>
        <w:spacing w:line="240" w:lineRule="auto"/>
        <w:rPr>
          <w:rFonts w:eastAsia="仿宋" w:cs="Times New Roman"/>
          <w:b/>
          <w:szCs w:val="21"/>
        </w:rPr>
      </w:pPr>
    </w:p>
    <w:p w14:paraId="641823DC">
      <w:pPr>
        <w:snapToGrid w:val="0"/>
        <w:spacing w:line="240" w:lineRule="auto"/>
        <w:ind w:left="525" w:leftChars="250"/>
        <w:rPr>
          <w:rFonts w:eastAsia="仿宋" w:cs="Times New Roman"/>
          <w:szCs w:val="21"/>
        </w:rPr>
      </w:pPr>
      <w:r>
        <w:rPr>
          <w:rFonts w:eastAsia="仿宋" w:cs="Times New Roman"/>
          <w:szCs w:val="21"/>
        </w:rPr>
        <w:t>This Contract shall be governed by and interpreted in accordance with the laws of the PRC.</w:t>
      </w:r>
    </w:p>
    <w:p w14:paraId="1203C63E">
      <w:pPr>
        <w:spacing w:line="240" w:lineRule="auto"/>
        <w:ind w:firstLine="525" w:firstLineChars="250"/>
        <w:rPr>
          <w:rFonts w:eastAsia="仿宋" w:cs="Times New Roman"/>
          <w:szCs w:val="21"/>
        </w:rPr>
      </w:pPr>
      <w:r>
        <w:rPr>
          <w:rFonts w:eastAsia="仿宋" w:cs="Times New Roman"/>
          <w:szCs w:val="21"/>
        </w:rPr>
        <w:t>本合同适用中国法律管辖并按照中国法律进行解释。</w:t>
      </w:r>
    </w:p>
    <w:p w14:paraId="50B391EE">
      <w:pPr>
        <w:snapToGrid w:val="0"/>
        <w:spacing w:line="240" w:lineRule="auto"/>
        <w:rPr>
          <w:rFonts w:eastAsia="仿宋" w:cs="Times New Roman"/>
          <w:szCs w:val="21"/>
        </w:rPr>
      </w:pPr>
    </w:p>
    <w:p w14:paraId="26190266">
      <w:pPr>
        <w:snapToGrid w:val="0"/>
        <w:spacing w:line="240" w:lineRule="auto"/>
        <w:rPr>
          <w:rFonts w:eastAsia="仿宋" w:cs="Times New Roman"/>
          <w:szCs w:val="21"/>
        </w:rPr>
      </w:pPr>
    </w:p>
    <w:p w14:paraId="5EDBE87B">
      <w:pPr>
        <w:spacing w:line="240" w:lineRule="auto"/>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1</w:t>
      </w:r>
      <w:r>
        <w:rPr>
          <w:rFonts w:eastAsia="仿宋" w:cs="Times New Roman"/>
          <w:b/>
          <w:szCs w:val="21"/>
        </w:rPr>
        <w:t xml:space="preserve">. </w:t>
      </w:r>
      <w:r>
        <w:rPr>
          <w:rFonts w:eastAsia="仿宋" w:cs="Times New Roman"/>
          <w:b/>
          <w:sz w:val="24"/>
          <w:szCs w:val="24"/>
          <w:lang w:eastAsia="zh-TW"/>
        </w:rPr>
        <w:t>EFFECTIVENESS OF THIS CONTRACT AND MISCELLANEOUS</w:t>
      </w:r>
    </w:p>
    <w:p w14:paraId="4A4D0BF4">
      <w:pPr>
        <w:spacing w:line="240" w:lineRule="auto"/>
        <w:rPr>
          <w:rFonts w:eastAsia="仿宋" w:cs="Times New Roman"/>
          <w:b/>
          <w:szCs w:val="21"/>
          <w:lang w:eastAsia="zh-TW"/>
        </w:rPr>
      </w:pPr>
      <w:r>
        <w:rPr>
          <w:rFonts w:eastAsia="仿宋" w:cs="Times New Roman"/>
          <w:b/>
          <w:sz w:val="24"/>
          <w:szCs w:val="24"/>
        </w:rPr>
        <w:t>合同的生效及其他</w:t>
      </w:r>
    </w:p>
    <w:p w14:paraId="79A538DF">
      <w:pPr>
        <w:snapToGrid w:val="0"/>
        <w:spacing w:line="240" w:lineRule="auto"/>
        <w:rPr>
          <w:rFonts w:eastAsia="仿宋" w:cs="Times New Roman"/>
          <w:b/>
          <w:szCs w:val="21"/>
        </w:rPr>
      </w:pPr>
    </w:p>
    <w:p w14:paraId="6A3F30C7">
      <w:pPr>
        <w:numPr>
          <w:ilvl w:val="255"/>
          <w:numId w:val="0"/>
        </w:numPr>
        <w:tabs>
          <w:tab w:val="left" w:pos="630"/>
        </w:tabs>
        <w:spacing w:line="240" w:lineRule="auto"/>
        <w:rPr>
          <w:rFonts w:eastAsia="仿宋" w:cs="Times New Roman"/>
          <w:szCs w:val="21"/>
        </w:rPr>
      </w:pPr>
      <w:r>
        <w:rPr>
          <w:rFonts w:hint="eastAsia" w:eastAsia="仿宋" w:cs="Times New Roman"/>
          <w:szCs w:val="21"/>
        </w:rPr>
        <w:t xml:space="preserve">21.1   </w:t>
      </w:r>
      <w:r>
        <w:rPr>
          <w:rFonts w:eastAsia="仿宋" w:cs="Times New Roman"/>
          <w:szCs w:val="21"/>
          <w:lang w:eastAsia="zh-TW"/>
        </w:rPr>
        <w:t xml:space="preserve">This Contract shall become effective upon </w:t>
      </w:r>
      <w:r>
        <w:rPr>
          <w:rFonts w:eastAsia="仿宋" w:cs="Times New Roman"/>
          <w:szCs w:val="21"/>
        </w:rPr>
        <w:t>execution</w:t>
      </w:r>
      <w:r>
        <w:rPr>
          <w:rFonts w:eastAsia="仿宋" w:cs="Times New Roman"/>
          <w:szCs w:val="21"/>
          <w:lang w:eastAsia="zh-TW"/>
        </w:rPr>
        <w:t xml:space="preserve"> by the Parties.</w:t>
      </w:r>
      <w:r>
        <w:rPr>
          <w:rFonts w:eastAsia="仿宋" w:cs="Times New Roman"/>
          <w:szCs w:val="21"/>
        </w:rPr>
        <w:t xml:space="preserve"> </w:t>
      </w:r>
    </w:p>
    <w:p w14:paraId="59631C97">
      <w:pPr>
        <w:spacing w:line="240" w:lineRule="auto"/>
        <w:ind w:firstLine="735" w:firstLineChars="350"/>
        <w:rPr>
          <w:rFonts w:eastAsia="仿宋" w:cs="Times New Roman"/>
          <w:szCs w:val="21"/>
        </w:rPr>
      </w:pPr>
      <w:r>
        <w:rPr>
          <w:rFonts w:eastAsia="仿宋" w:cs="Times New Roman"/>
          <w:szCs w:val="21"/>
        </w:rPr>
        <w:t>本合同自</w:t>
      </w:r>
      <w:r>
        <w:rPr>
          <w:rFonts w:hint="eastAsia" w:eastAsia="仿宋" w:cs="Times New Roman"/>
          <w:szCs w:val="21"/>
        </w:rPr>
        <w:t>各</w:t>
      </w:r>
      <w:r>
        <w:rPr>
          <w:rFonts w:eastAsia="仿宋" w:cs="Times New Roman"/>
          <w:szCs w:val="21"/>
        </w:rPr>
        <w:t>方签订后立即生效。</w:t>
      </w:r>
    </w:p>
    <w:p w14:paraId="62A60C51">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1</w:t>
      </w:r>
      <w:r>
        <w:rPr>
          <w:rFonts w:eastAsia="仿宋" w:cs="Times New Roman"/>
          <w:szCs w:val="21"/>
        </w:rPr>
        <w:t>.2</w:t>
      </w:r>
      <w:r>
        <w:rPr>
          <w:rFonts w:eastAsia="仿宋" w:cs="Times New Roman"/>
          <w:szCs w:val="21"/>
        </w:rPr>
        <w:tab/>
      </w:r>
      <w:r>
        <w:rPr>
          <w:rFonts w:hint="eastAsia" w:eastAsia="仿宋" w:cs="Times New Roman"/>
          <w:szCs w:val="21"/>
        </w:rPr>
        <w:t>The Buyer and</w:t>
      </w:r>
      <w:r>
        <w:rPr>
          <w:rFonts w:eastAsia="仿宋" w:cs="Times New Roman"/>
          <w:szCs w:val="21"/>
        </w:rPr>
        <w:t xml:space="preserve"> </w:t>
      </w:r>
      <w:r>
        <w:rPr>
          <w:rFonts w:hint="eastAsia" w:eastAsia="仿宋" w:cs="Times New Roman"/>
          <w:szCs w:val="21"/>
        </w:rPr>
        <w:t>the</w:t>
      </w:r>
      <w:r>
        <w:rPr>
          <w:rFonts w:eastAsia="仿宋" w:cs="Times New Roman"/>
          <w:szCs w:val="21"/>
        </w:rPr>
        <w:t xml:space="preserve"> E</w:t>
      </w:r>
      <w:r>
        <w:rPr>
          <w:rFonts w:hint="eastAsia" w:eastAsia="仿宋" w:cs="Times New Roman"/>
          <w:szCs w:val="21"/>
        </w:rPr>
        <w:t>nduser</w:t>
      </w:r>
      <w:r>
        <w:rPr>
          <w:rFonts w:eastAsia="仿宋" w:cs="Times New Roman"/>
          <w:szCs w:val="21"/>
        </w:rPr>
        <w:t xml:space="preserve"> </w:t>
      </w:r>
      <w:r>
        <w:rPr>
          <w:rFonts w:hint="eastAsia" w:eastAsia="仿宋" w:cs="Times New Roman"/>
          <w:szCs w:val="21"/>
        </w:rPr>
        <w:t>shall make Enduser instructions</w:t>
      </w:r>
      <w:r>
        <w:rPr>
          <w:rFonts w:eastAsia="仿宋" w:cs="Times New Roman"/>
          <w:szCs w:val="21"/>
          <w:lang w:eastAsia="zh-TW"/>
        </w:rPr>
        <w:t xml:space="preserve"> if required</w:t>
      </w:r>
      <w:r>
        <w:rPr>
          <w:rFonts w:hint="eastAsia" w:eastAsia="仿宋" w:cs="Times New Roman"/>
          <w:szCs w:val="21"/>
        </w:rPr>
        <w:t xml:space="preserve">, while </w:t>
      </w:r>
      <w:r>
        <w:rPr>
          <w:rFonts w:eastAsia="仿宋" w:cs="Times New Roman"/>
          <w:szCs w:val="21"/>
          <w:lang w:eastAsia="zh-TW"/>
        </w:rPr>
        <w:t xml:space="preserve">the Seller </w:t>
      </w:r>
      <w:r>
        <w:rPr>
          <w:rFonts w:hint="eastAsia" w:eastAsia="仿宋" w:cs="Times New Roman"/>
          <w:szCs w:val="21"/>
        </w:rPr>
        <w:t>shall</w:t>
      </w:r>
      <w:r>
        <w:rPr>
          <w:rFonts w:eastAsia="仿宋" w:cs="Times New Roman"/>
          <w:szCs w:val="21"/>
          <w:lang w:eastAsia="zh-TW"/>
        </w:rPr>
        <w:t xml:space="preserve"> arrange for export license(s), if required, for the Commodities from the Port of Shipment.</w:t>
      </w:r>
      <w:r>
        <w:rPr>
          <w:rFonts w:eastAsia="仿宋" w:cs="Times New Roman"/>
          <w:szCs w:val="21"/>
        </w:rPr>
        <w:t xml:space="preserve"> </w:t>
      </w:r>
    </w:p>
    <w:p w14:paraId="0B3EE08D">
      <w:pPr>
        <w:snapToGrid w:val="0"/>
        <w:spacing w:line="240" w:lineRule="auto"/>
        <w:ind w:left="598" w:leftChars="49" w:hanging="495" w:hangingChars="236"/>
        <w:rPr>
          <w:rFonts w:eastAsia="仿宋" w:cs="Times New Roman"/>
          <w:szCs w:val="21"/>
        </w:rPr>
      </w:pPr>
      <w:r>
        <w:rPr>
          <w:rFonts w:eastAsia="仿宋" w:cs="Times New Roman"/>
          <w:szCs w:val="21"/>
        </w:rPr>
        <w:t xml:space="preserve">     买方</w:t>
      </w:r>
      <w:r>
        <w:rPr>
          <w:rFonts w:hint="eastAsia" w:eastAsia="仿宋" w:cs="Times New Roman"/>
          <w:szCs w:val="21"/>
        </w:rPr>
        <w:t>和最终用户</w:t>
      </w:r>
      <w:r>
        <w:rPr>
          <w:rFonts w:eastAsia="仿宋" w:cs="Times New Roman"/>
          <w:szCs w:val="21"/>
        </w:rPr>
        <w:t>负责</w:t>
      </w:r>
      <w:r>
        <w:rPr>
          <w:rFonts w:hint="eastAsia" w:eastAsia="仿宋" w:cs="Times New Roman"/>
          <w:szCs w:val="21"/>
        </w:rPr>
        <w:t>按需</w:t>
      </w:r>
      <w:r>
        <w:rPr>
          <w:rFonts w:eastAsia="仿宋" w:cs="Times New Roman"/>
          <w:szCs w:val="21"/>
        </w:rPr>
        <w:t>办理最终用户说明。如果在装运港货物需要出口许可证，则卖方负责办理出口许可证。</w:t>
      </w:r>
    </w:p>
    <w:p w14:paraId="0FCD51A5">
      <w:pPr>
        <w:widowControl w:val="0"/>
        <w:spacing w:line="240" w:lineRule="auto"/>
        <w:ind w:left="630" w:hanging="630" w:hangingChars="300"/>
        <w:rPr>
          <w:rFonts w:eastAsia="仿宋" w:cs="Times New Roman"/>
          <w:szCs w:val="21"/>
        </w:rPr>
      </w:pPr>
      <w:r>
        <w:rPr>
          <w:rFonts w:eastAsia="仿宋" w:cs="Times New Roman"/>
          <w:szCs w:val="21"/>
        </w:rPr>
        <w:t>21.3  If any</w:t>
      </w:r>
      <w:r>
        <w:rPr>
          <w:rFonts w:eastAsia="仿宋" w:cs="Times New Roman"/>
          <w:iCs/>
          <w:szCs w:val="21"/>
        </w:rPr>
        <w:t xml:space="preserve"> Quality Guarantee Agreement /</w:t>
      </w:r>
      <w:r>
        <w:rPr>
          <w:rFonts w:eastAsia="仿宋" w:cs="Times New Roman"/>
          <w:szCs w:val="21"/>
          <w:lang w:eastAsia="zh-TW"/>
        </w:rPr>
        <w:t xml:space="preserve"> Technical Agreement</w:t>
      </w:r>
      <w:r>
        <w:rPr>
          <w:rFonts w:eastAsia="仿宋" w:cs="Times New Roman"/>
          <w:iCs/>
          <w:szCs w:val="21"/>
        </w:rPr>
        <w:t xml:space="preserve"> will be</w:t>
      </w:r>
      <w:r>
        <w:rPr>
          <w:rFonts w:eastAsia="仿宋" w:cs="Times New Roman"/>
          <w:szCs w:val="21"/>
        </w:rPr>
        <w:t xml:space="preserve"> agreed on between the Seller and the Endusr, It shall form an integral part of this Agreement.. </w:t>
      </w:r>
    </w:p>
    <w:p w14:paraId="33E159FB">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szCs w:val="21"/>
        </w:rPr>
      </w:pPr>
      <w:r>
        <w:rPr>
          <w:rFonts w:eastAsia="仿宋" w:cs="Times New Roman"/>
          <w:szCs w:val="21"/>
        </w:rPr>
        <w:t>如果有买卖各方达成一致的质量保证协议，则它将作为本合同不可分割的一部分。</w:t>
      </w:r>
    </w:p>
    <w:p w14:paraId="59659DB7">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630" w:hanging="630" w:hangingChars="300"/>
        <w:rPr>
          <w:rFonts w:eastAsia="仿宋" w:cs="Times New Roman"/>
          <w:szCs w:val="21"/>
        </w:rPr>
      </w:pPr>
      <w:r>
        <w:rPr>
          <w:rFonts w:eastAsia="仿宋" w:cs="Times New Roman"/>
          <w:szCs w:val="21"/>
        </w:rPr>
        <w:t xml:space="preserve">21.4 </w:t>
      </w:r>
      <w:r>
        <w:rPr>
          <w:rFonts w:hint="eastAsia" w:eastAsia="仿宋" w:cs="Times New Roman"/>
          <w:szCs w:val="21"/>
        </w:rPr>
        <w:t xml:space="preserve"> </w:t>
      </w:r>
      <w:r>
        <w:rPr>
          <w:rFonts w:eastAsia="仿宋" w:cs="Times New Roman"/>
          <w:szCs w:val="21"/>
        </w:rPr>
        <w:t>When there are conflictions and contradictions between the terms of this Contract and the Quality Guarantee Agreement /</w:t>
      </w:r>
      <w:r>
        <w:rPr>
          <w:rFonts w:eastAsia="仿宋" w:cs="Times New Roman"/>
          <w:szCs w:val="21"/>
          <w:lang w:eastAsia="zh-TW"/>
        </w:rPr>
        <w:t xml:space="preserve"> Technical Agreement</w:t>
      </w:r>
      <w:r>
        <w:rPr>
          <w:rFonts w:eastAsia="仿宋" w:cs="Times New Roman"/>
          <w:iCs/>
          <w:szCs w:val="21"/>
        </w:rPr>
        <w:t xml:space="preserve"> </w:t>
      </w:r>
      <w:r>
        <w:rPr>
          <w:rFonts w:eastAsia="仿宋" w:cs="Times New Roman"/>
          <w:szCs w:val="21"/>
        </w:rPr>
        <w:t>signed by Parties, the Quality Assurance Agreement /</w:t>
      </w:r>
      <w:r>
        <w:rPr>
          <w:rFonts w:eastAsia="仿宋" w:cs="Times New Roman"/>
          <w:szCs w:val="21"/>
          <w:lang w:eastAsia="zh-TW"/>
        </w:rPr>
        <w:t xml:space="preserve"> Technical Agreement</w:t>
      </w:r>
      <w:r>
        <w:rPr>
          <w:rFonts w:eastAsia="仿宋" w:cs="Times New Roman"/>
          <w:szCs w:val="21"/>
        </w:rPr>
        <w:t xml:space="preserve"> shall prevail.</w:t>
      </w:r>
    </w:p>
    <w:p w14:paraId="4F7E826B">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szCs w:val="21"/>
        </w:rPr>
      </w:pPr>
      <w:r>
        <w:rPr>
          <w:rFonts w:eastAsia="仿宋" w:cs="Times New Roman"/>
          <w:szCs w:val="21"/>
        </w:rPr>
        <w:t>当本合同的条款和各方签订的质量保证协议条款有冲突或矛盾时，优先适用质量保证协议。</w:t>
      </w:r>
    </w:p>
    <w:p w14:paraId="753BE7A3">
      <w:pPr>
        <w:snapToGrid w:val="0"/>
        <w:spacing w:line="240" w:lineRule="auto"/>
        <w:ind w:left="598" w:leftChars="49" w:hanging="495" w:hangingChars="236"/>
        <w:rPr>
          <w:rFonts w:eastAsia="仿宋" w:cs="Times New Roman"/>
          <w:szCs w:val="21"/>
        </w:rPr>
      </w:pPr>
    </w:p>
    <w:p w14:paraId="4B4CBE5D">
      <w:pPr>
        <w:pStyle w:val="129"/>
        <w:widowControl w:val="0"/>
        <w:numPr>
          <w:ilvl w:val="0"/>
          <w:numId w:val="20"/>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ind w:firstLineChars="0"/>
        <w:rPr>
          <w:rFonts w:ascii="Arial" w:hAnsi="Arial" w:eastAsia="楷体_GB2312"/>
          <w:b/>
          <w:szCs w:val="21"/>
        </w:rPr>
      </w:pPr>
      <w:r>
        <w:rPr>
          <w:rFonts w:eastAsia="仿宋" w:cs="Times New Roman"/>
          <w:b/>
          <w:sz w:val="24"/>
          <w:szCs w:val="24"/>
        </w:rPr>
        <w:t>Maintenance of Confidentiality 保密</w:t>
      </w:r>
    </w:p>
    <w:p w14:paraId="02E460D0">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eastAsia="楷体_GB2312" w:cs="Times New Roman"/>
          <w:szCs w:val="21"/>
        </w:rPr>
      </w:pPr>
      <w:r>
        <w:rPr>
          <w:rFonts w:hint="eastAsia" w:eastAsia="楷体_GB2312" w:cs="Times New Roman"/>
          <w:szCs w:val="21"/>
        </w:rPr>
        <w:t>22.1</w:t>
      </w:r>
      <w:r>
        <w:rPr>
          <w:rFonts w:eastAsia="楷体_GB2312" w:cs="Times New Roman"/>
          <w:szCs w:val="21"/>
        </w:rPr>
        <w:t xml:space="preserve"> Definition of Confidentiality.</w:t>
      </w:r>
      <w:r>
        <w:rPr>
          <w:rFonts w:eastAsia="楷体_GB2312" w:cs="Times New Roman"/>
          <w:szCs w:val="21"/>
        </w:rPr>
        <w:tab/>
      </w:r>
    </w:p>
    <w:p w14:paraId="2E2D6535">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18" w:leftChars="199" w:firstLine="60" w:firstLineChars="29"/>
        <w:rPr>
          <w:rFonts w:eastAsia="楷体_GB2312" w:cs="Times New Roman"/>
          <w:szCs w:val="21"/>
        </w:rPr>
      </w:pPr>
      <w:r>
        <w:rPr>
          <w:rFonts w:eastAsia="楷体_GB2312" w:cs="Times New Roman"/>
          <w:szCs w:val="21"/>
        </w:rPr>
        <w:t>“Confidential Information” refers to any (i) information, techniques, drawings, models inventions, know-how, processes, equipment, Product Specification of each Party, and (ii) non-technical information relating to each Party’s products, including without limitation pricing, margins, merchandising plans, strategies, purchasing data, sales and marketing plans, future business plans and any other information which is proprietary and confidential to a Party.</w:t>
      </w:r>
    </w:p>
    <w:p w14:paraId="62FD3C3A">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szCs w:val="21"/>
        </w:rPr>
      </w:pPr>
      <w:r>
        <w:rPr>
          <w:rFonts w:hint="eastAsia" w:ascii="仿宋" w:hAnsi="仿宋" w:eastAsia="仿宋" w:cs="仿宋"/>
          <w:szCs w:val="21"/>
        </w:rPr>
        <w:t>保密定义：“保密信息”是指任何（i）信息、技术、图纸、实用新型发明、专有技术、方法、装备、各方的产品规格，和（ii）有关各方产品的非技术信息，包含但不仅限于定价、利润、销售计划、策略、采购日期、营销计划、未来业务规划以及一方的所有权及秘密的任何其他信息。</w:t>
      </w:r>
    </w:p>
    <w:p w14:paraId="227E1795">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eastAsia="楷体_GB2312" w:cs="Times New Roman"/>
          <w:szCs w:val="21"/>
        </w:rPr>
      </w:pPr>
      <w:r>
        <w:rPr>
          <w:rFonts w:hint="eastAsia" w:eastAsia="楷体_GB2312" w:cs="Times New Roman"/>
          <w:szCs w:val="21"/>
        </w:rPr>
        <w:t>22.2</w:t>
      </w:r>
      <w:r>
        <w:rPr>
          <w:rFonts w:eastAsia="楷体_GB2312" w:cs="Times New Roman"/>
          <w:szCs w:val="21"/>
        </w:rPr>
        <w:t>Nondisclosure and Nonuse Obligation.</w:t>
      </w:r>
      <w:r>
        <w:rPr>
          <w:rFonts w:eastAsia="楷体_GB2312" w:cs="Times New Roman"/>
          <w:szCs w:val="21"/>
        </w:rPr>
        <w:tab/>
      </w:r>
    </w:p>
    <w:p w14:paraId="7A124686">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18" w:leftChars="199" w:firstLine="60" w:firstLineChars="29"/>
        <w:rPr>
          <w:rFonts w:eastAsia="楷体_GB2312" w:cs="Times New Roman"/>
          <w:szCs w:val="21"/>
        </w:rPr>
      </w:pPr>
      <w:r>
        <w:rPr>
          <w:rFonts w:eastAsia="楷体_GB2312" w:cs="Times New Roman"/>
          <w:szCs w:val="21"/>
        </w:rPr>
        <w:t>Receiving Party (“Recipient”) will maintain in strict confidence and will not disclose, disseminate or use any Confidential Information belonging to the Party that discloses Confidential Information (“Disclosing Party”), whether or not in written form. Recipient agrees that it shall disclose Confidential Information only to those employees who need to know such information, and certifies that such employees are bound by a confidentiality agreement.</w:t>
      </w:r>
    </w:p>
    <w:p w14:paraId="6D36E316">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szCs w:val="21"/>
        </w:rPr>
      </w:pPr>
      <w:r>
        <w:rPr>
          <w:rFonts w:hint="eastAsia" w:ascii="仿宋" w:hAnsi="仿宋" w:eastAsia="仿宋" w:cs="仿宋"/>
          <w:szCs w:val="21"/>
        </w:rPr>
        <w:t>非披露和不使用义务。接收一方（以下简称“接收方”）将严格保密并且不以书面或非书面的形式披露、散布或使用属于披露信息一方（以下简称“披露方”）的任何保密信息。接收方同意其仅把保密信息披露给需要知道此类信息的雇员并且声明雇员受保密协议的约束。</w:t>
      </w:r>
    </w:p>
    <w:p w14:paraId="23624542">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eastAsia="楷体_GB2312" w:cs="Times New Roman"/>
          <w:szCs w:val="21"/>
        </w:rPr>
      </w:pPr>
      <w:r>
        <w:rPr>
          <w:rFonts w:hint="eastAsia" w:eastAsia="楷体_GB2312" w:cs="Times New Roman"/>
          <w:szCs w:val="21"/>
        </w:rPr>
        <w:t>22.3</w:t>
      </w:r>
      <w:r>
        <w:rPr>
          <w:rFonts w:eastAsia="楷体_GB2312" w:cs="Times New Roman"/>
          <w:szCs w:val="21"/>
        </w:rPr>
        <w:t>Survival.</w:t>
      </w:r>
    </w:p>
    <w:p w14:paraId="3D0AF898">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20" w:leftChars="200"/>
        <w:rPr>
          <w:rFonts w:eastAsia="楷体_GB2312" w:cs="Times New Roman"/>
          <w:szCs w:val="21"/>
        </w:rPr>
      </w:pPr>
      <w:r>
        <w:rPr>
          <w:rFonts w:eastAsia="楷体_GB2312" w:cs="Times New Roman"/>
          <w:szCs w:val="21"/>
        </w:rPr>
        <w:t xml:space="preserve"> This Clause shall govern all communications between the Parties. Each Party understands that its obligations under this Clause shall survive the termination of this Agreement,.</w:t>
      </w:r>
    </w:p>
    <w:p w14:paraId="7B357E54">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szCs w:val="21"/>
        </w:rPr>
      </w:pPr>
      <w:r>
        <w:rPr>
          <w:rFonts w:hint="eastAsia" w:ascii="仿宋" w:hAnsi="仿宋" w:eastAsia="仿宋" w:cs="仿宋"/>
          <w:szCs w:val="21"/>
        </w:rPr>
        <w:t>有效性。本条款适用于各方之间的所有联络。各方均理解他们本条款的义务在本协议终止后仍有效。</w:t>
      </w:r>
    </w:p>
    <w:p w14:paraId="4BD005FE">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Arial" w:eastAsia="楷体_GB2312"/>
          <w:bCs/>
          <w:szCs w:val="21"/>
        </w:rPr>
      </w:pPr>
    </w:p>
    <w:p w14:paraId="73BDF29B">
      <w:pPr>
        <w:pStyle w:val="129"/>
        <w:widowControl w:val="0"/>
        <w:numPr>
          <w:ilvl w:val="0"/>
          <w:numId w:val="20"/>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ind w:firstLineChars="0"/>
        <w:rPr>
          <w:rFonts w:ascii="Arial" w:hAnsi="Arial" w:eastAsia="楷体_GB2312"/>
          <w:b/>
          <w:bCs/>
          <w:szCs w:val="21"/>
        </w:rPr>
      </w:pPr>
      <w:r>
        <w:rPr>
          <w:rFonts w:eastAsia="仿宋" w:cs="Times New Roman"/>
          <w:b/>
          <w:i/>
          <w:iCs/>
          <w:sz w:val="24"/>
          <w:szCs w:val="24"/>
        </w:rPr>
        <w:t>（适用于曼机零部件）</w:t>
      </w:r>
      <w:r>
        <w:rPr>
          <w:rFonts w:eastAsia="仿宋" w:cs="Times New Roman"/>
          <w:b/>
          <w:sz w:val="24"/>
          <w:szCs w:val="24"/>
        </w:rPr>
        <w:t>Intellectual Property 知识产权:</w:t>
      </w:r>
    </w:p>
    <w:p w14:paraId="04C8D410">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1" w:leftChars="210"/>
        <w:rPr>
          <w:rFonts w:eastAsia="楷体_GB2312" w:cs="Times New Roman"/>
          <w:szCs w:val="21"/>
        </w:rPr>
      </w:pPr>
      <w:r>
        <w:rPr>
          <w:rFonts w:eastAsia="楷体_GB2312" w:cs="Times New Roman"/>
          <w:szCs w:val="21"/>
        </w:rPr>
        <w:t>MAN is the owner of the intellectual property rights related to the Commodities. The Seller has been duly authorized by MAN to manufacture the Commodities for the Buyer.</w:t>
      </w:r>
    </w:p>
    <w:p w14:paraId="35983782">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20" w:hanging="420" w:hangingChars="200"/>
        <w:rPr>
          <w:rFonts w:ascii="Arial" w:hAnsi="宋体" w:eastAsia="楷体_GB2312"/>
          <w:szCs w:val="21"/>
        </w:rPr>
      </w:pPr>
      <w:r>
        <w:rPr>
          <w:rFonts w:hint="eastAsia" w:ascii="Arial" w:hAnsi="Arial" w:eastAsia="楷体_GB2312"/>
          <w:szCs w:val="21"/>
        </w:rPr>
        <w:t xml:space="preserve">   </w:t>
      </w:r>
      <w:r>
        <w:rPr>
          <w:rFonts w:hint="eastAsia" w:ascii="仿宋" w:hAnsi="仿宋" w:eastAsia="仿宋" w:cs="仿宋"/>
          <w:szCs w:val="21"/>
        </w:rPr>
        <w:t xml:space="preserve"> MAN为货物知识产权的所有人。MAN已依法授权卖方为买方生产货物。 </w:t>
      </w:r>
    </w:p>
    <w:p w14:paraId="5C996D58">
      <w:pPr>
        <w:snapToGrid w:val="0"/>
        <w:spacing w:line="240" w:lineRule="auto"/>
        <w:ind w:left="360" w:hanging="360"/>
        <w:rPr>
          <w:rFonts w:eastAsia="仿宋" w:cs="Times New Roman"/>
          <w:szCs w:val="21"/>
        </w:rPr>
      </w:pPr>
    </w:p>
    <w:p w14:paraId="7FFD091B">
      <w:pPr>
        <w:tabs>
          <w:tab w:val="left" w:pos="709"/>
        </w:tabs>
        <w:snapToGrid w:val="0"/>
        <w:spacing w:line="240" w:lineRule="auto"/>
        <w:ind w:hanging="142"/>
        <w:rPr>
          <w:rFonts w:eastAsia="仿宋" w:cs="Times New Roman"/>
          <w:szCs w:val="21"/>
        </w:rPr>
      </w:pPr>
    </w:p>
    <w:p w14:paraId="7E38DF5F">
      <w:pPr>
        <w:tabs>
          <w:tab w:val="left" w:pos="709"/>
        </w:tabs>
        <w:snapToGrid w:val="0"/>
        <w:spacing w:line="240" w:lineRule="auto"/>
        <w:ind w:hanging="142"/>
        <w:rPr>
          <w:rFonts w:eastAsia="仿宋" w:cs="Times New Roman"/>
          <w:szCs w:val="21"/>
        </w:rPr>
      </w:pPr>
    </w:p>
    <w:p w14:paraId="710BF32A">
      <w:pPr>
        <w:tabs>
          <w:tab w:val="left" w:pos="567"/>
        </w:tabs>
        <w:snapToGrid w:val="0"/>
        <w:spacing w:line="240" w:lineRule="auto"/>
        <w:rPr>
          <w:rFonts w:eastAsia="仿宋" w:cs="Times New Roman"/>
          <w:b/>
          <w:szCs w:val="21"/>
        </w:rPr>
      </w:pPr>
      <w:r>
        <w:rPr>
          <w:rFonts w:eastAsia="仿宋" w:cs="Times New Roman"/>
          <w:b/>
          <w:szCs w:val="21"/>
        </w:rPr>
        <w:t>2</w:t>
      </w:r>
      <w:r>
        <w:rPr>
          <w:rFonts w:hint="eastAsia" w:eastAsia="仿宋" w:cs="Times New Roman"/>
          <w:b/>
          <w:szCs w:val="21"/>
        </w:rPr>
        <w:t>3</w:t>
      </w:r>
      <w:r>
        <w:rPr>
          <w:rFonts w:eastAsia="仿宋" w:cs="Times New Roman"/>
          <w:b/>
          <w:szCs w:val="21"/>
        </w:rPr>
        <w:tab/>
      </w:r>
      <w:r>
        <w:rPr>
          <w:rFonts w:eastAsia="仿宋" w:cs="Times New Roman"/>
          <w:b/>
          <w:sz w:val="24"/>
          <w:szCs w:val="24"/>
        </w:rPr>
        <w:t>TERMINATION 合同的终止</w:t>
      </w:r>
    </w:p>
    <w:p w14:paraId="20E8A4F8">
      <w:pPr>
        <w:snapToGrid w:val="0"/>
        <w:spacing w:line="240" w:lineRule="auto"/>
        <w:rPr>
          <w:rFonts w:eastAsia="仿宋" w:cs="Times New Roman"/>
          <w:szCs w:val="21"/>
        </w:rPr>
      </w:pPr>
    </w:p>
    <w:p w14:paraId="40A0C584">
      <w:pPr>
        <w:snapToGrid w:val="0"/>
        <w:spacing w:line="240" w:lineRule="auto"/>
        <w:ind w:left="598" w:leftChars="285"/>
        <w:rPr>
          <w:rFonts w:eastAsia="仿宋" w:cs="Times New Roman"/>
          <w:szCs w:val="21"/>
        </w:rPr>
      </w:pPr>
      <w:r>
        <w:rPr>
          <w:rFonts w:eastAsia="仿宋" w:cs="Times New Roman"/>
          <w:szCs w:val="21"/>
        </w:rPr>
        <w:t>Without prejudice to any other rig</w:t>
      </w:r>
      <w:r>
        <w:rPr>
          <w:rFonts w:eastAsia="楷体_GB2312" w:cs="Times New Roman"/>
          <w:szCs w:val="21"/>
        </w:rPr>
        <w:t>hts that the Buyer may have under this Contract or otherwise, the Buyer may terminate this Contract by giving 70 days written notice to the Seller if the Seller is in breach of any provision of this Contract including but not limited to the Seller’s failure to supply the Commodities in accordance with the D</w:t>
      </w:r>
      <w:r>
        <w:rPr>
          <w:rFonts w:eastAsia="仿宋" w:cs="Times New Roman"/>
          <w:szCs w:val="21"/>
        </w:rPr>
        <w:t xml:space="preserve">elivery Schedule or the Commodities supplied by the Seller are not in conformity of the </w:t>
      </w:r>
      <w:r>
        <w:rPr>
          <w:rFonts w:eastAsia="仿宋" w:cs="Times New Roman"/>
          <w:szCs w:val="21"/>
          <w:lang w:eastAsia="zh-TW"/>
        </w:rPr>
        <w:t xml:space="preserve">Technical </w:t>
      </w:r>
      <w:r>
        <w:rPr>
          <w:rFonts w:eastAsia="仿宋" w:cs="Times New Roman"/>
          <w:szCs w:val="21"/>
        </w:rPr>
        <w:t>Specifications.</w:t>
      </w:r>
      <w:bookmarkStart w:id="55" w:name="OLE_LINK25"/>
      <w:r>
        <w:rPr>
          <w:rFonts w:eastAsia="仿宋" w:cs="Times New Roman"/>
          <w:b/>
          <w:szCs w:val="21"/>
        </w:rPr>
        <w:t xml:space="preserve"> </w:t>
      </w:r>
      <w:r>
        <w:rPr>
          <w:rFonts w:hint="eastAsia" w:eastAsia="仿宋" w:cs="Times New Roman"/>
          <w:szCs w:val="21"/>
        </w:rPr>
        <w:t xml:space="preserve">In the event that the Contract cannot be permormed any more due to the reasons of the the Parties, the Parties may enter into a Termination Agreement via friendly negotiation, which shall be regarded as termination of the Contract. </w:t>
      </w:r>
      <w:bookmarkEnd w:id="55"/>
    </w:p>
    <w:p w14:paraId="6A9467EE">
      <w:pPr>
        <w:spacing w:line="240" w:lineRule="auto"/>
        <w:ind w:left="630" w:leftChars="300"/>
        <w:rPr>
          <w:rFonts w:eastAsia="仿宋" w:cs="Times New Roman"/>
          <w:szCs w:val="21"/>
        </w:rPr>
      </w:pPr>
      <w:r>
        <w:rPr>
          <w:rFonts w:eastAsia="仿宋" w:cs="Times New Roman"/>
          <w:szCs w:val="21"/>
        </w:rPr>
        <w:t>如果卖方违背了合同的规定，包括但不限于卖方未能按照装船进度进行交货或卖方所提供的货物与技术规范不符，在不影响买方依据本合同或其他规定享有的权利外</w:t>
      </w:r>
      <w:r>
        <w:rPr>
          <w:rFonts w:hint="eastAsia" w:eastAsia="仿宋" w:cs="Times New Roman"/>
          <w:szCs w:val="21"/>
        </w:rPr>
        <w:t>，</w:t>
      </w:r>
      <w:r>
        <w:rPr>
          <w:rFonts w:eastAsia="仿宋" w:cs="Times New Roman"/>
          <w:szCs w:val="21"/>
        </w:rPr>
        <w:t>买方可在提前70天书面通知卖方后终止本合同。</w:t>
      </w:r>
      <w:r>
        <w:rPr>
          <w:rFonts w:hint="eastAsia" w:eastAsia="仿宋" w:cs="Times New Roman"/>
          <w:szCs w:val="21"/>
        </w:rPr>
        <w:t>如由于各方原因，合同确认无法被继续履行，各方可通过友好协商，签署《终止协议》视同本合同的终止。</w:t>
      </w:r>
    </w:p>
    <w:p w14:paraId="6015C55E">
      <w:pPr>
        <w:spacing w:line="240" w:lineRule="auto"/>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4</w:t>
      </w:r>
      <w:r>
        <w:rPr>
          <w:rFonts w:eastAsia="仿宋" w:cs="Times New Roman"/>
          <w:b/>
          <w:szCs w:val="21"/>
        </w:rPr>
        <w:t xml:space="preserve">.   </w:t>
      </w:r>
      <w:r>
        <w:rPr>
          <w:rFonts w:eastAsia="仿宋" w:cs="Times New Roman"/>
          <w:b/>
          <w:sz w:val="24"/>
          <w:szCs w:val="24"/>
        </w:rPr>
        <w:t>GENERAL PROVISIONS</w:t>
      </w:r>
      <w:r>
        <w:rPr>
          <w:rFonts w:hint="eastAsia" w:eastAsia="仿宋" w:cs="Times New Roman"/>
          <w:b/>
          <w:sz w:val="24"/>
          <w:szCs w:val="24"/>
        </w:rPr>
        <w:t xml:space="preserve"> </w:t>
      </w:r>
      <w:r>
        <w:rPr>
          <w:rFonts w:eastAsia="仿宋" w:cs="Times New Roman"/>
          <w:b/>
          <w:sz w:val="24"/>
          <w:szCs w:val="24"/>
        </w:rPr>
        <w:t>一般规定</w:t>
      </w:r>
    </w:p>
    <w:p w14:paraId="4CD0E927">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w:t>
      </w:r>
      <w:r>
        <w:rPr>
          <w:rFonts w:eastAsia="仿宋" w:cs="Times New Roman"/>
          <w:szCs w:val="21"/>
        </w:rPr>
        <w:tab/>
      </w:r>
      <w:r>
        <w:rPr>
          <w:rFonts w:eastAsia="仿宋" w:cs="Times New Roman"/>
          <w:szCs w:val="21"/>
        </w:rPr>
        <w:t xml:space="preserve">Authority.  Each Party represents that it has full legal authority to execute this Contract and that </w:t>
      </w:r>
      <w:r>
        <w:rPr>
          <w:rFonts w:eastAsia="仿宋" w:cs="Times New Roman"/>
          <w:szCs w:val="21"/>
          <w:lang w:eastAsia="zh-TW"/>
        </w:rPr>
        <w:t>it</w:t>
      </w:r>
      <w:r>
        <w:rPr>
          <w:rFonts w:eastAsia="仿宋" w:cs="Times New Roman"/>
          <w:szCs w:val="21"/>
        </w:rPr>
        <w:t xml:space="preserve"> is bound by terms and conditions as set forth herein.</w:t>
      </w:r>
    </w:p>
    <w:p w14:paraId="5495A245">
      <w:pPr>
        <w:tabs>
          <w:tab w:val="left" w:pos="709"/>
        </w:tabs>
        <w:snapToGrid w:val="0"/>
        <w:spacing w:line="240" w:lineRule="auto"/>
        <w:ind w:left="708"/>
        <w:rPr>
          <w:rFonts w:eastAsia="仿宋" w:cs="Times New Roman"/>
          <w:szCs w:val="21"/>
        </w:rPr>
      </w:pPr>
      <w:r>
        <w:rPr>
          <w:rFonts w:eastAsia="仿宋" w:cs="Times New Roman"/>
          <w:szCs w:val="21"/>
        </w:rPr>
        <w:tab/>
      </w:r>
      <w:r>
        <w:rPr>
          <w:rFonts w:eastAsia="仿宋" w:cs="Times New Roman"/>
          <w:szCs w:val="21"/>
        </w:rPr>
        <w:t>授权：每一缔约方</w:t>
      </w:r>
      <w:r>
        <w:rPr>
          <w:rFonts w:hint="eastAsia" w:eastAsia="仿宋" w:cs="Times New Roman"/>
          <w:szCs w:val="21"/>
        </w:rPr>
        <w:t>声明</w:t>
      </w:r>
      <w:r>
        <w:rPr>
          <w:rFonts w:eastAsia="仿宋" w:cs="Times New Roman"/>
          <w:szCs w:val="21"/>
        </w:rPr>
        <w:t>有完整的法定权力</w:t>
      </w:r>
      <w:r>
        <w:rPr>
          <w:rFonts w:hint="eastAsia" w:eastAsia="仿宋" w:cs="Times New Roman"/>
          <w:szCs w:val="21"/>
        </w:rPr>
        <w:t>签署</w:t>
      </w:r>
      <w:r>
        <w:rPr>
          <w:rFonts w:eastAsia="仿宋" w:cs="Times New Roman"/>
          <w:szCs w:val="21"/>
        </w:rPr>
        <w:t>本合同，且</w:t>
      </w:r>
      <w:r>
        <w:rPr>
          <w:rFonts w:hint="eastAsia" w:eastAsia="仿宋" w:cs="Times New Roman"/>
          <w:szCs w:val="21"/>
        </w:rPr>
        <w:t>各方</w:t>
      </w:r>
      <w:r>
        <w:rPr>
          <w:rFonts w:eastAsia="仿宋" w:cs="Times New Roman"/>
          <w:szCs w:val="21"/>
        </w:rPr>
        <w:t>均受如前所述合同条款的约束。</w:t>
      </w:r>
    </w:p>
    <w:p w14:paraId="425A856A">
      <w:pPr>
        <w:tabs>
          <w:tab w:val="left" w:pos="709"/>
        </w:tabs>
        <w:snapToGrid w:val="0"/>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.2</w:t>
      </w:r>
      <w:r>
        <w:rPr>
          <w:rFonts w:eastAsia="仿宋" w:cs="Times New Roman"/>
          <w:szCs w:val="21"/>
        </w:rPr>
        <w:tab/>
      </w:r>
      <w:r>
        <w:rPr>
          <w:rFonts w:eastAsia="仿宋" w:cs="Times New Roman"/>
          <w:szCs w:val="21"/>
        </w:rPr>
        <w:t xml:space="preserve">Time. </w:t>
      </w:r>
      <w:bookmarkStart w:id="56" w:name="OLE_LINK3"/>
      <w:bookmarkStart w:id="57" w:name="OLE_LINK4"/>
      <w:bookmarkStart w:id="58" w:name="OLE_LINK10"/>
      <w:r>
        <w:rPr>
          <w:rFonts w:eastAsia="仿宋" w:cs="Times New Roman"/>
          <w:szCs w:val="21"/>
        </w:rPr>
        <w:t>Time shall be of the essence of this Contract</w:t>
      </w:r>
      <w:bookmarkEnd w:id="56"/>
      <w:bookmarkEnd w:id="57"/>
      <w:r>
        <w:rPr>
          <w:rFonts w:eastAsia="仿宋" w:cs="Times New Roman"/>
          <w:szCs w:val="21"/>
        </w:rPr>
        <w:t>.</w:t>
      </w:r>
      <w:bookmarkEnd w:id="58"/>
    </w:p>
    <w:p w14:paraId="34A98693">
      <w:pPr>
        <w:tabs>
          <w:tab w:val="left" w:pos="709"/>
        </w:tabs>
        <w:snapToGrid w:val="0"/>
        <w:spacing w:line="240" w:lineRule="auto"/>
        <w:rPr>
          <w:rFonts w:eastAsia="仿宋" w:cs="Times New Roman"/>
          <w:szCs w:val="21"/>
        </w:rPr>
      </w:pPr>
      <w:r>
        <w:rPr>
          <w:rFonts w:eastAsia="仿宋" w:cs="Times New Roman"/>
          <w:szCs w:val="21"/>
        </w:rPr>
        <w:tab/>
      </w:r>
      <w:r>
        <w:rPr>
          <w:rFonts w:eastAsia="仿宋" w:cs="Times New Roman"/>
          <w:szCs w:val="21"/>
        </w:rPr>
        <w:t>时间：</w:t>
      </w:r>
      <w:r>
        <w:rPr>
          <w:rFonts w:hint="eastAsia" w:eastAsia="仿宋" w:cs="Times New Roman"/>
          <w:szCs w:val="21"/>
        </w:rPr>
        <w:t>各</w:t>
      </w:r>
      <w:r>
        <w:rPr>
          <w:rFonts w:eastAsia="仿宋" w:cs="Times New Roman"/>
          <w:szCs w:val="21"/>
        </w:rPr>
        <w:t>方应严格遵守合同中对事件时间的约定。</w:t>
      </w:r>
    </w:p>
    <w:p w14:paraId="43FC511B">
      <w:pPr>
        <w:tabs>
          <w:tab w:val="left" w:pos="709"/>
        </w:tabs>
        <w:snapToGrid w:val="0"/>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.3</w:t>
      </w:r>
      <w:r>
        <w:rPr>
          <w:rFonts w:eastAsia="仿宋" w:cs="Times New Roman"/>
          <w:szCs w:val="21"/>
        </w:rPr>
        <w:tab/>
      </w:r>
      <w:r>
        <w:rPr>
          <w:rFonts w:eastAsia="仿宋" w:cs="Times New Roman"/>
          <w:szCs w:val="21"/>
        </w:rPr>
        <w:t xml:space="preserve">Originals.  This Contract shall be executed in six (6) original copies. </w:t>
      </w:r>
    </w:p>
    <w:p w14:paraId="739B3BBB">
      <w:pPr>
        <w:tabs>
          <w:tab w:val="left" w:pos="709"/>
        </w:tabs>
        <w:snapToGrid w:val="0"/>
        <w:spacing w:line="240" w:lineRule="auto"/>
        <w:ind w:firstLine="735" w:firstLineChars="350"/>
        <w:rPr>
          <w:rFonts w:eastAsia="仿宋" w:cs="Times New Roman"/>
          <w:szCs w:val="21"/>
        </w:rPr>
      </w:pPr>
      <w:r>
        <w:rPr>
          <w:rFonts w:eastAsia="仿宋" w:cs="Times New Roman"/>
          <w:szCs w:val="21"/>
        </w:rPr>
        <w:t>原件：</w:t>
      </w:r>
      <w:r>
        <w:rPr>
          <w:rFonts w:hint="eastAsia" w:eastAsia="仿宋" w:cs="Times New Roman"/>
          <w:szCs w:val="21"/>
        </w:rPr>
        <w:t>本</w:t>
      </w:r>
      <w:r>
        <w:rPr>
          <w:rFonts w:eastAsia="仿宋" w:cs="Times New Roman"/>
          <w:szCs w:val="21"/>
        </w:rPr>
        <w:t>合同一式六份。</w:t>
      </w:r>
    </w:p>
    <w:p w14:paraId="0C315042">
      <w:pPr>
        <w:tabs>
          <w:tab w:val="left" w:pos="709"/>
        </w:tabs>
        <w:snapToGrid w:val="0"/>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.4</w:t>
      </w:r>
      <w:r>
        <w:rPr>
          <w:rFonts w:eastAsia="仿宋" w:cs="Times New Roman"/>
          <w:szCs w:val="21"/>
        </w:rPr>
        <w:tab/>
      </w:r>
      <w:r>
        <w:rPr>
          <w:rFonts w:eastAsia="仿宋" w:cs="Times New Roman"/>
          <w:szCs w:val="21"/>
        </w:rPr>
        <w:t xml:space="preserve">Headings.  </w:t>
      </w:r>
      <w:bookmarkStart w:id="59" w:name="OLE_LINK6"/>
      <w:bookmarkStart w:id="60" w:name="OLE_LINK5"/>
      <w:r>
        <w:rPr>
          <w:rFonts w:eastAsia="仿宋" w:cs="Times New Roman"/>
          <w:szCs w:val="21"/>
        </w:rPr>
        <w:t>The headings in this Contract are for convenience only</w:t>
      </w:r>
      <w:bookmarkEnd w:id="59"/>
      <w:bookmarkEnd w:id="60"/>
      <w:r>
        <w:rPr>
          <w:rFonts w:eastAsia="仿宋" w:cs="Times New Roman"/>
          <w:szCs w:val="21"/>
        </w:rPr>
        <w:t>.</w:t>
      </w:r>
    </w:p>
    <w:p w14:paraId="1DD369B3">
      <w:pPr>
        <w:tabs>
          <w:tab w:val="left" w:pos="709"/>
        </w:tabs>
        <w:snapToGrid w:val="0"/>
        <w:spacing w:line="240" w:lineRule="auto"/>
        <w:rPr>
          <w:rFonts w:eastAsia="仿宋" w:cs="Times New Roman"/>
          <w:szCs w:val="21"/>
        </w:rPr>
      </w:pPr>
      <w:r>
        <w:rPr>
          <w:rFonts w:eastAsia="仿宋" w:cs="Times New Roman"/>
          <w:szCs w:val="21"/>
        </w:rPr>
        <w:tab/>
      </w:r>
      <w:r>
        <w:rPr>
          <w:rFonts w:eastAsia="仿宋" w:cs="Times New Roman"/>
          <w:szCs w:val="21"/>
        </w:rPr>
        <w:t>标题：本合同中的标题只是为了方便之目的。</w:t>
      </w:r>
    </w:p>
    <w:p w14:paraId="4B69B94A">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.5</w:t>
      </w:r>
      <w:r>
        <w:rPr>
          <w:rFonts w:eastAsia="仿宋" w:cs="Times New Roman"/>
          <w:szCs w:val="21"/>
        </w:rPr>
        <w:tab/>
      </w:r>
      <w:r>
        <w:rPr>
          <w:rFonts w:eastAsia="仿宋" w:cs="Times New Roman"/>
          <w:szCs w:val="21"/>
        </w:rPr>
        <w:t xml:space="preserve">Appendices.  All the Appendices, including but not limited to the Technical Agreement shall form integral parts of this Contract. This </w:t>
      </w:r>
      <w:r>
        <w:rPr>
          <w:rFonts w:eastAsia="仿宋" w:cs="Times New Roman"/>
          <w:szCs w:val="32"/>
        </w:rPr>
        <w:t>Contract</w:t>
      </w:r>
      <w:r>
        <w:rPr>
          <w:rFonts w:eastAsia="仿宋" w:cs="Times New Roman"/>
          <w:szCs w:val="21"/>
        </w:rPr>
        <w:t xml:space="preserve"> takes precedent over any appendices.</w:t>
      </w:r>
    </w:p>
    <w:p w14:paraId="4245380F">
      <w:pPr>
        <w:tabs>
          <w:tab w:val="left" w:pos="709"/>
        </w:tabs>
        <w:snapToGrid w:val="0"/>
        <w:spacing w:line="240" w:lineRule="auto"/>
        <w:ind w:left="619" w:hanging="619" w:hangingChars="295"/>
        <w:rPr>
          <w:rFonts w:eastAsia="仿宋" w:cs="Times New Roman"/>
          <w:szCs w:val="21"/>
        </w:rPr>
      </w:pPr>
      <w:r>
        <w:rPr>
          <w:rFonts w:eastAsia="仿宋" w:cs="Times New Roman"/>
          <w:szCs w:val="21"/>
        </w:rPr>
        <w:tab/>
      </w:r>
      <w:r>
        <w:rPr>
          <w:rFonts w:eastAsia="仿宋" w:cs="Times New Roman"/>
          <w:szCs w:val="21"/>
        </w:rPr>
        <w:t>附件：所有附件，包括但不限于技术协议是本合同的</w:t>
      </w:r>
      <w:r>
        <w:rPr>
          <w:rFonts w:hint="eastAsia" w:eastAsia="仿宋" w:cs="Times New Roman"/>
          <w:szCs w:val="21"/>
        </w:rPr>
        <w:t>组成</w:t>
      </w:r>
      <w:r>
        <w:rPr>
          <w:rFonts w:eastAsia="仿宋" w:cs="Times New Roman"/>
          <w:szCs w:val="21"/>
        </w:rPr>
        <w:t>部分。本合同效力高于其它一切附件。</w:t>
      </w:r>
    </w:p>
    <w:p w14:paraId="4E15E63F">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.6</w:t>
      </w:r>
      <w:r>
        <w:rPr>
          <w:rFonts w:eastAsia="仿宋" w:cs="Times New Roman"/>
          <w:szCs w:val="21"/>
        </w:rPr>
        <w:tab/>
      </w:r>
      <w:r>
        <w:rPr>
          <w:rFonts w:eastAsia="仿宋" w:cs="Times New Roman"/>
          <w:szCs w:val="21"/>
        </w:rPr>
        <w:t>Language.  Th</w:t>
      </w:r>
      <w:r>
        <w:rPr>
          <w:rFonts w:hint="eastAsia" w:eastAsia="仿宋" w:cs="Times New Roman"/>
          <w:szCs w:val="21"/>
        </w:rPr>
        <w:t>is</w:t>
      </w:r>
      <w:r>
        <w:rPr>
          <w:rFonts w:eastAsia="仿宋" w:cs="Times New Roman"/>
          <w:szCs w:val="21"/>
        </w:rPr>
        <w:t xml:space="preserve"> Contract is made</w:t>
      </w:r>
      <w:r>
        <w:rPr>
          <w:rFonts w:hint="eastAsia" w:eastAsia="仿宋" w:cs="Times New Roman"/>
          <w:szCs w:val="21"/>
        </w:rPr>
        <w:t xml:space="preserve"> in </w:t>
      </w:r>
      <w:r>
        <w:rPr>
          <w:rFonts w:eastAsia="仿宋" w:cs="Times New Roman"/>
          <w:szCs w:val="21"/>
        </w:rPr>
        <w:t>English and Chinese.</w:t>
      </w:r>
      <w:r>
        <w:rPr>
          <w:rFonts w:hint="eastAsia" w:eastAsia="仿宋" w:cs="Times New Roman"/>
          <w:szCs w:val="21"/>
        </w:rPr>
        <w:t xml:space="preserve"> </w:t>
      </w:r>
      <w:r>
        <w:rPr>
          <w:rFonts w:eastAsia="仿宋" w:cs="Times New Roman"/>
          <w:szCs w:val="21"/>
        </w:rPr>
        <w:t xml:space="preserve">Should there </w:t>
      </w:r>
      <w:r>
        <w:rPr>
          <w:rFonts w:hint="eastAsia" w:eastAsia="仿宋" w:cs="Times New Roman"/>
          <w:szCs w:val="21"/>
        </w:rPr>
        <w:t>be</w:t>
      </w:r>
      <w:r>
        <w:rPr>
          <w:rFonts w:eastAsia="仿宋" w:cs="Times New Roman"/>
          <w:szCs w:val="21"/>
        </w:rPr>
        <w:t xml:space="preserve"> any inconsistencies between the English and</w:t>
      </w:r>
      <w:r>
        <w:rPr>
          <w:rFonts w:hint="eastAsia" w:eastAsia="仿宋" w:cs="Times New Roman"/>
          <w:szCs w:val="21"/>
        </w:rPr>
        <w:t xml:space="preserve"> the</w:t>
      </w:r>
      <w:r>
        <w:rPr>
          <w:rFonts w:eastAsia="仿宋" w:cs="Times New Roman"/>
          <w:szCs w:val="21"/>
        </w:rPr>
        <w:t xml:space="preserve"> Chinese version,</w:t>
      </w:r>
      <w:r>
        <w:rPr>
          <w:rFonts w:hint="eastAsia" w:eastAsia="仿宋" w:cs="Times New Roman"/>
          <w:szCs w:val="21"/>
        </w:rPr>
        <w:t xml:space="preserve"> </w:t>
      </w:r>
      <w:r>
        <w:rPr>
          <w:rFonts w:eastAsia="仿宋" w:cs="Times New Roman"/>
          <w:szCs w:val="21"/>
        </w:rPr>
        <w:t xml:space="preserve">the Chinese </w:t>
      </w:r>
      <w:r>
        <w:rPr>
          <w:rFonts w:hint="eastAsia" w:eastAsia="仿宋" w:cs="Times New Roman"/>
          <w:szCs w:val="21"/>
        </w:rPr>
        <w:t>version shall</w:t>
      </w:r>
      <w:r>
        <w:rPr>
          <w:rFonts w:eastAsia="仿宋" w:cs="Times New Roman"/>
          <w:szCs w:val="21"/>
        </w:rPr>
        <w:t xml:space="preserve"> prevail.</w:t>
      </w:r>
    </w:p>
    <w:p w14:paraId="5823D914">
      <w:pPr>
        <w:snapToGrid w:val="0"/>
        <w:spacing w:line="240" w:lineRule="auto"/>
        <w:ind w:left="619" w:hanging="619" w:hangingChars="295"/>
        <w:rPr>
          <w:rFonts w:eastAsia="仿宋" w:cs="Times New Roman"/>
          <w:szCs w:val="21"/>
        </w:rPr>
      </w:pPr>
      <w:r>
        <w:rPr>
          <w:rFonts w:eastAsia="仿宋" w:cs="Times New Roman"/>
          <w:szCs w:val="21"/>
        </w:rPr>
        <w:tab/>
      </w:r>
      <w:r>
        <w:rPr>
          <w:rFonts w:eastAsia="仿宋" w:cs="Times New Roman"/>
          <w:szCs w:val="21"/>
        </w:rPr>
        <w:t>语言：本合同语言为英语和中文。如两种</w:t>
      </w:r>
      <w:r>
        <w:rPr>
          <w:rFonts w:hint="eastAsia" w:eastAsia="仿宋" w:cs="Times New Roman"/>
          <w:szCs w:val="21"/>
        </w:rPr>
        <w:t>版本</w:t>
      </w:r>
      <w:r>
        <w:rPr>
          <w:rFonts w:eastAsia="仿宋" w:cs="Times New Roman"/>
          <w:szCs w:val="21"/>
        </w:rPr>
        <w:t>发生冲突，以中文版本为准。</w:t>
      </w:r>
    </w:p>
    <w:p w14:paraId="387B96FC">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.7</w:t>
      </w:r>
      <w:r>
        <w:rPr>
          <w:rFonts w:eastAsia="仿宋" w:cs="Times New Roman"/>
          <w:szCs w:val="21"/>
        </w:rPr>
        <w:tab/>
      </w:r>
      <w:r>
        <w:rPr>
          <w:rFonts w:eastAsia="仿宋" w:cs="Times New Roman"/>
          <w:szCs w:val="21"/>
        </w:rPr>
        <w:t>Modifications.  Any amendments, supplements and/or alterations to the terms and conditions of this Contract shall only be made in written form and signed by the authorized representatives of the Parties.</w:t>
      </w:r>
    </w:p>
    <w:p w14:paraId="66C43200">
      <w:pPr>
        <w:snapToGrid w:val="0"/>
        <w:spacing w:line="240" w:lineRule="auto"/>
        <w:ind w:left="630" w:leftChars="300" w:firstLine="77" w:firstLineChars="37"/>
        <w:rPr>
          <w:rFonts w:eastAsia="仿宋" w:cs="Times New Roman"/>
          <w:szCs w:val="21"/>
        </w:rPr>
      </w:pPr>
      <w:r>
        <w:rPr>
          <w:rFonts w:eastAsia="仿宋" w:cs="Times New Roman"/>
          <w:szCs w:val="21"/>
        </w:rPr>
        <w:t>条款修订：对</w:t>
      </w:r>
      <w:r>
        <w:rPr>
          <w:rFonts w:hint="eastAsia" w:eastAsia="仿宋" w:cs="Times New Roman"/>
          <w:szCs w:val="21"/>
        </w:rPr>
        <w:t>本</w:t>
      </w:r>
      <w:r>
        <w:rPr>
          <w:rFonts w:eastAsia="仿宋" w:cs="Times New Roman"/>
          <w:szCs w:val="21"/>
        </w:rPr>
        <w:t>合同条款的修正</w:t>
      </w:r>
      <w:r>
        <w:rPr>
          <w:rFonts w:hint="eastAsia" w:eastAsia="仿宋" w:cs="Times New Roman"/>
          <w:szCs w:val="21"/>
        </w:rPr>
        <w:t>、</w:t>
      </w:r>
      <w:r>
        <w:rPr>
          <w:rFonts w:eastAsia="仿宋" w:cs="Times New Roman"/>
          <w:szCs w:val="21"/>
        </w:rPr>
        <w:t>补充和/或者变更都应以书面形式进行并经</w:t>
      </w:r>
      <w:r>
        <w:rPr>
          <w:rFonts w:hint="eastAsia" w:eastAsia="仿宋" w:cs="Times New Roman"/>
          <w:szCs w:val="21"/>
        </w:rPr>
        <w:t>各</w:t>
      </w:r>
      <w:r>
        <w:rPr>
          <w:rFonts w:eastAsia="仿宋" w:cs="Times New Roman"/>
          <w:szCs w:val="21"/>
        </w:rPr>
        <w:t>方授权代表签署。</w:t>
      </w:r>
    </w:p>
    <w:p w14:paraId="5BDF5AB2">
      <w:pPr>
        <w:snapToGrid w:val="0"/>
        <w:spacing w:line="240" w:lineRule="auto"/>
        <w:ind w:left="619" w:hanging="619" w:hangingChars="295"/>
        <w:rPr>
          <w:rFonts w:eastAsia="仿宋" w:cs="Times New Roman"/>
          <w:szCs w:val="21"/>
        </w:rPr>
      </w:pPr>
      <w:bookmarkStart w:id="61" w:name="OLE_LINK15"/>
      <w:bookmarkStart w:id="62" w:name="OLE_LINK16"/>
      <w:r>
        <w:rPr>
          <w:rFonts w:eastAsia="仿宋" w:cs="Times New Roman"/>
          <w:szCs w:val="21"/>
        </w:rPr>
        <w:t>2</w:t>
      </w:r>
      <w:r>
        <w:rPr>
          <w:rFonts w:hint="eastAsia" w:eastAsia="仿宋" w:cs="Times New Roman"/>
          <w:szCs w:val="21"/>
        </w:rPr>
        <w:t>4</w:t>
      </w:r>
      <w:r>
        <w:rPr>
          <w:rFonts w:eastAsia="仿宋" w:cs="Times New Roman"/>
          <w:szCs w:val="21"/>
        </w:rPr>
        <w:t>.8</w:t>
      </w:r>
      <w:r>
        <w:rPr>
          <w:rFonts w:eastAsia="仿宋" w:cs="Times New Roman"/>
          <w:szCs w:val="21"/>
        </w:rPr>
        <w:tab/>
      </w:r>
      <w:r>
        <w:rPr>
          <w:rFonts w:eastAsia="仿宋" w:cs="Times New Roman"/>
          <w:szCs w:val="21"/>
        </w:rPr>
        <w:t xml:space="preserve">Notice. </w:t>
      </w:r>
      <w:bookmarkStart w:id="63" w:name="OLE_LINK7"/>
      <w:r>
        <w:rPr>
          <w:rFonts w:eastAsia="仿宋" w:cs="Times New Roman"/>
          <w:szCs w:val="21"/>
        </w:rPr>
        <w:t xml:space="preserve">Unless otherwise provided in this Contract, any notices, requests or other communications to be given to either Party pursuant to this Contract shall be sufficiently made </w:t>
      </w:r>
      <w:r>
        <w:rPr>
          <w:rFonts w:hint="eastAsia" w:eastAsia="仿宋" w:cs="Times New Roman"/>
          <w:szCs w:val="21"/>
        </w:rPr>
        <w:t>via</w:t>
      </w:r>
      <w:r>
        <w:rPr>
          <w:rFonts w:eastAsia="仿宋" w:cs="Times New Roman"/>
          <w:szCs w:val="21"/>
        </w:rPr>
        <w:t xml:space="preserve"> airmail post, or by fax, or by email to the respective addresses of the Parties as set out in this Contract.</w:t>
      </w:r>
      <w:bookmarkEnd w:id="63"/>
    </w:p>
    <w:p w14:paraId="6DFAEBD7">
      <w:pPr>
        <w:snapToGrid w:val="0"/>
        <w:spacing w:line="240" w:lineRule="auto"/>
        <w:ind w:left="706" w:leftChars="336"/>
        <w:rPr>
          <w:rFonts w:eastAsia="仿宋" w:cs="Times New Roman"/>
          <w:szCs w:val="21"/>
        </w:rPr>
      </w:pPr>
      <w:r>
        <w:rPr>
          <w:rFonts w:eastAsia="仿宋" w:cs="Times New Roman"/>
          <w:szCs w:val="21"/>
        </w:rPr>
        <w:t>通知：除非本合同另行规定，一方依据本合同向另一方发出的任何通知</w:t>
      </w:r>
      <w:r>
        <w:rPr>
          <w:rFonts w:hint="eastAsia" w:eastAsia="仿宋" w:cs="Times New Roman"/>
          <w:szCs w:val="21"/>
        </w:rPr>
        <w:t>、</w:t>
      </w:r>
      <w:r>
        <w:rPr>
          <w:rFonts w:eastAsia="仿宋" w:cs="Times New Roman"/>
          <w:szCs w:val="21"/>
        </w:rPr>
        <w:t>请求或者其他沟通联络均应按照本合同中列出的地址采用航空邮寄</w:t>
      </w:r>
      <w:r>
        <w:rPr>
          <w:rFonts w:hint="eastAsia" w:eastAsia="仿宋" w:cs="Times New Roman"/>
          <w:szCs w:val="21"/>
        </w:rPr>
        <w:t>、</w:t>
      </w:r>
      <w:r>
        <w:rPr>
          <w:rFonts w:eastAsia="仿宋" w:cs="Times New Roman"/>
          <w:szCs w:val="21"/>
        </w:rPr>
        <w:t>传真或邮件形式发送</w:t>
      </w:r>
      <w:r>
        <w:rPr>
          <w:rFonts w:hint="eastAsia" w:eastAsia="仿宋" w:cs="Times New Roman"/>
          <w:szCs w:val="21"/>
        </w:rPr>
        <w:t>/邮寄</w:t>
      </w:r>
      <w:r>
        <w:rPr>
          <w:rFonts w:eastAsia="仿宋" w:cs="Times New Roman"/>
          <w:szCs w:val="21"/>
        </w:rPr>
        <w:t>。</w:t>
      </w:r>
    </w:p>
    <w:bookmarkEnd w:id="61"/>
    <w:bookmarkEnd w:id="62"/>
    <w:p w14:paraId="1C5D229A">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.9</w:t>
      </w:r>
      <w:r>
        <w:rPr>
          <w:rFonts w:eastAsia="仿宋" w:cs="Times New Roman"/>
          <w:szCs w:val="21"/>
        </w:rPr>
        <w:tab/>
      </w:r>
      <w:r>
        <w:rPr>
          <w:rFonts w:eastAsia="仿宋" w:cs="Times New Roman"/>
          <w:szCs w:val="21"/>
        </w:rPr>
        <w:t xml:space="preserve">No Assignment. </w:t>
      </w:r>
      <w:bookmarkStart w:id="64" w:name="OLE_LINK9"/>
      <w:bookmarkStart w:id="65" w:name="OLE_LINK8"/>
      <w:r>
        <w:rPr>
          <w:rFonts w:eastAsia="仿宋" w:cs="Times New Roman"/>
          <w:szCs w:val="21"/>
        </w:rPr>
        <w:t>No Party may assign or transfer any of its rights or obligations under this Contract to any third parties without obtaining the prior written consent of the other Party</w:t>
      </w:r>
      <w:bookmarkEnd w:id="64"/>
      <w:bookmarkEnd w:id="65"/>
      <w:r>
        <w:rPr>
          <w:rFonts w:eastAsia="仿宋" w:cs="Times New Roman"/>
          <w:szCs w:val="21"/>
        </w:rPr>
        <w:t>.</w:t>
      </w:r>
    </w:p>
    <w:p w14:paraId="4DA170DE">
      <w:pPr>
        <w:snapToGrid w:val="0"/>
        <w:spacing w:line="240" w:lineRule="auto"/>
        <w:ind w:left="708"/>
        <w:rPr>
          <w:rFonts w:eastAsia="仿宋" w:cs="Times New Roman"/>
          <w:szCs w:val="21"/>
        </w:rPr>
      </w:pPr>
      <w:r>
        <w:rPr>
          <w:rFonts w:eastAsia="仿宋" w:cs="Times New Roman"/>
          <w:szCs w:val="21"/>
        </w:rPr>
        <w:t>不可转让。一方在未取得另一方事先书面同意的</w:t>
      </w:r>
      <w:r>
        <w:rPr>
          <w:rFonts w:hint="eastAsia" w:eastAsia="仿宋" w:cs="Times New Roman"/>
          <w:szCs w:val="21"/>
        </w:rPr>
        <w:t>情况</w:t>
      </w:r>
      <w:r>
        <w:rPr>
          <w:rFonts w:eastAsia="仿宋" w:cs="Times New Roman"/>
          <w:szCs w:val="21"/>
        </w:rPr>
        <w:t>下不得</w:t>
      </w:r>
      <w:r>
        <w:rPr>
          <w:rFonts w:hint="eastAsia" w:eastAsia="仿宋" w:cs="Times New Roman"/>
          <w:szCs w:val="21"/>
        </w:rPr>
        <w:t>将</w:t>
      </w:r>
      <w:r>
        <w:rPr>
          <w:rFonts w:eastAsia="仿宋" w:cs="Times New Roman"/>
          <w:szCs w:val="21"/>
        </w:rPr>
        <w:t>其在本合同项下的任何权利或义务转让给任何第三方。</w:t>
      </w:r>
    </w:p>
    <w:p w14:paraId="1B09F47F">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.10</w:t>
      </w:r>
      <w:r>
        <w:rPr>
          <w:rFonts w:eastAsia="仿宋" w:cs="Times New Roman"/>
          <w:szCs w:val="21"/>
        </w:rPr>
        <w:tab/>
      </w:r>
      <w:r>
        <w:rPr>
          <w:rFonts w:eastAsia="仿宋" w:cs="Times New Roman"/>
          <w:szCs w:val="21"/>
        </w:rPr>
        <w:t xml:space="preserve">Entire Agreement. This Contract constitutes the entire agreement and understanding among the parties in connection with the </w:t>
      </w:r>
      <w:r>
        <w:rPr>
          <w:rFonts w:hint="eastAsia" w:eastAsia="仿宋" w:cs="Times New Roman"/>
          <w:szCs w:val="21"/>
        </w:rPr>
        <w:t>Commodities</w:t>
      </w:r>
      <w:r>
        <w:rPr>
          <w:rFonts w:eastAsia="仿宋" w:cs="Times New Roman"/>
          <w:szCs w:val="21"/>
        </w:rPr>
        <w:t xml:space="preserve"> of this Contract and supersedes all previous term sheets, proposals, representations, warranties, agreements or undertakings relating thereto whether oral, written or otherwise and </w:t>
      </w:r>
      <w:r>
        <w:rPr>
          <w:rFonts w:eastAsia="仿宋" w:cs="Times New Roman"/>
          <w:szCs w:val="21"/>
          <w:lang w:eastAsia="zh-TW"/>
        </w:rPr>
        <w:t>no</w:t>
      </w:r>
      <w:r>
        <w:rPr>
          <w:rFonts w:eastAsia="仿宋" w:cs="Times New Roman"/>
          <w:szCs w:val="21"/>
        </w:rPr>
        <w:t xml:space="preserve"> party has relied </w:t>
      </w:r>
      <w:r>
        <w:rPr>
          <w:rFonts w:eastAsia="仿宋" w:cs="Times New Roman"/>
          <w:szCs w:val="21"/>
          <w:lang w:eastAsia="zh-TW"/>
        </w:rPr>
        <w:t xml:space="preserve">or is entitled to rely </w:t>
      </w:r>
      <w:r>
        <w:rPr>
          <w:rFonts w:eastAsia="仿宋" w:cs="Times New Roman"/>
          <w:szCs w:val="21"/>
        </w:rPr>
        <w:t>on any such term sheets, proposals, representations, warranties, agreements or undertakings.</w:t>
      </w:r>
    </w:p>
    <w:p w14:paraId="0407109A">
      <w:pPr>
        <w:spacing w:line="240" w:lineRule="auto"/>
        <w:ind w:left="630"/>
        <w:rPr>
          <w:rFonts w:eastAsia="仿宋" w:cs="Times New Roman"/>
          <w:szCs w:val="21"/>
        </w:rPr>
      </w:pPr>
      <w:r>
        <w:rPr>
          <w:rFonts w:eastAsia="仿宋" w:cs="Times New Roman"/>
          <w:szCs w:val="21"/>
        </w:rPr>
        <w:t>全部协议： 本合同构成了</w:t>
      </w:r>
      <w:r>
        <w:rPr>
          <w:rFonts w:hint="eastAsia" w:eastAsia="仿宋" w:cs="Times New Roman"/>
          <w:szCs w:val="21"/>
        </w:rPr>
        <w:t>各</w:t>
      </w:r>
      <w:r>
        <w:rPr>
          <w:rFonts w:eastAsia="仿宋" w:cs="Times New Roman"/>
          <w:szCs w:val="21"/>
        </w:rPr>
        <w:t>方就本合同所述</w:t>
      </w:r>
      <w:r>
        <w:rPr>
          <w:rFonts w:hint="eastAsia" w:eastAsia="仿宋" w:cs="Times New Roman"/>
          <w:szCs w:val="21"/>
        </w:rPr>
        <w:t>货物达成的全部理解和谅解，并将替代各方之前以口头、书面或其他形式就此达成的一切</w:t>
      </w:r>
      <w:r>
        <w:rPr>
          <w:rFonts w:eastAsia="仿宋" w:cs="Times New Roman"/>
          <w:szCs w:val="21"/>
        </w:rPr>
        <w:t>条款书</w:t>
      </w:r>
      <w:r>
        <w:rPr>
          <w:rFonts w:hint="eastAsia" w:eastAsia="仿宋" w:cs="Times New Roman"/>
          <w:szCs w:val="21"/>
        </w:rPr>
        <w:t>、</w:t>
      </w:r>
      <w:r>
        <w:rPr>
          <w:rFonts w:eastAsia="仿宋" w:cs="Times New Roman"/>
          <w:szCs w:val="21"/>
        </w:rPr>
        <w:t>建议书</w:t>
      </w:r>
      <w:r>
        <w:rPr>
          <w:rFonts w:hint="eastAsia" w:eastAsia="仿宋" w:cs="Times New Roman"/>
          <w:szCs w:val="21"/>
        </w:rPr>
        <w:t>、</w:t>
      </w:r>
      <w:r>
        <w:rPr>
          <w:rFonts w:eastAsia="仿宋" w:cs="Times New Roman"/>
          <w:szCs w:val="21"/>
        </w:rPr>
        <w:t>陈述</w:t>
      </w:r>
      <w:r>
        <w:rPr>
          <w:rFonts w:hint="eastAsia" w:eastAsia="仿宋" w:cs="Times New Roman"/>
          <w:szCs w:val="21"/>
        </w:rPr>
        <w:t>、</w:t>
      </w:r>
      <w:r>
        <w:rPr>
          <w:rFonts w:eastAsia="仿宋" w:cs="Times New Roman"/>
          <w:szCs w:val="21"/>
        </w:rPr>
        <w:t>保证</w:t>
      </w:r>
      <w:r>
        <w:rPr>
          <w:rFonts w:hint="eastAsia" w:eastAsia="仿宋" w:cs="Times New Roman"/>
          <w:szCs w:val="21"/>
        </w:rPr>
        <w:t>、</w:t>
      </w:r>
      <w:r>
        <w:rPr>
          <w:rFonts w:eastAsia="仿宋" w:cs="Times New Roman"/>
          <w:szCs w:val="21"/>
        </w:rPr>
        <w:t>协议或承诺，任何一方均不得亦无权依赖该等条款</w:t>
      </w:r>
      <w:r>
        <w:rPr>
          <w:rFonts w:hint="eastAsia" w:eastAsia="仿宋" w:cs="Times New Roman"/>
          <w:szCs w:val="21"/>
        </w:rPr>
        <w:t>书</w:t>
      </w:r>
      <w:r>
        <w:rPr>
          <w:rFonts w:eastAsia="仿宋" w:cs="Times New Roman"/>
          <w:szCs w:val="21"/>
        </w:rPr>
        <w:t>、建议书、陈述、保证、协议或承诺。</w:t>
      </w:r>
    </w:p>
    <w:p w14:paraId="09A7948A">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.11</w:t>
      </w:r>
      <w:r>
        <w:rPr>
          <w:rFonts w:eastAsia="仿宋" w:cs="Times New Roman"/>
          <w:szCs w:val="21"/>
        </w:rPr>
        <w:tab/>
      </w:r>
      <w:r>
        <w:rPr>
          <w:rFonts w:eastAsia="仿宋" w:cs="Times New Roman"/>
          <w:szCs w:val="21"/>
        </w:rPr>
        <w:t>Severability. If at any time any one or more provisions hereof are or become invalid, illegal, unenforceable or incapable of performance in any respect, the validity, legality, enforceability or performance of the remaining provisions hereof shall not thereby in any way be affected or impaired.</w:t>
      </w:r>
    </w:p>
    <w:p w14:paraId="201023F0">
      <w:pPr>
        <w:spacing w:line="240" w:lineRule="auto"/>
        <w:ind w:left="630" w:leftChars="300"/>
        <w:rPr>
          <w:rFonts w:eastAsia="仿宋" w:cs="Times New Roman"/>
          <w:szCs w:val="21"/>
        </w:rPr>
      </w:pPr>
      <w:r>
        <w:rPr>
          <w:rFonts w:eastAsia="仿宋" w:cs="Times New Roman"/>
          <w:szCs w:val="21"/>
        </w:rPr>
        <w:t>合同</w:t>
      </w:r>
      <w:r>
        <w:rPr>
          <w:rFonts w:hint="eastAsia" w:eastAsia="仿宋" w:cs="Times New Roman"/>
          <w:szCs w:val="21"/>
        </w:rPr>
        <w:t>可分割性</w:t>
      </w:r>
      <w:r>
        <w:rPr>
          <w:rFonts w:eastAsia="仿宋" w:cs="Times New Roman"/>
          <w:szCs w:val="21"/>
        </w:rPr>
        <w:t>：如果在任何时候本合同一项或多项</w:t>
      </w:r>
      <w:r>
        <w:rPr>
          <w:rFonts w:hint="eastAsia" w:eastAsia="仿宋" w:cs="Times New Roman"/>
          <w:szCs w:val="21"/>
        </w:rPr>
        <w:t>条款</w:t>
      </w:r>
      <w:r>
        <w:rPr>
          <w:rFonts w:eastAsia="仿宋" w:cs="Times New Roman"/>
          <w:szCs w:val="21"/>
        </w:rPr>
        <w:t>无效</w:t>
      </w:r>
      <w:r>
        <w:rPr>
          <w:rFonts w:hint="eastAsia" w:eastAsia="仿宋" w:cs="Times New Roman"/>
          <w:szCs w:val="21"/>
        </w:rPr>
        <w:t>、</w:t>
      </w:r>
      <w:r>
        <w:rPr>
          <w:rFonts w:eastAsia="仿宋" w:cs="Times New Roman"/>
          <w:szCs w:val="21"/>
        </w:rPr>
        <w:t>非法</w:t>
      </w:r>
      <w:r>
        <w:rPr>
          <w:rFonts w:hint="eastAsia" w:eastAsia="仿宋" w:cs="Times New Roman"/>
          <w:szCs w:val="21"/>
        </w:rPr>
        <w:t>、</w:t>
      </w:r>
      <w:r>
        <w:rPr>
          <w:rFonts w:eastAsia="仿宋" w:cs="Times New Roman"/>
          <w:szCs w:val="21"/>
        </w:rPr>
        <w:t>不可执行或不能执行的，则本合同其余条款的有效性、合法性、可执行性和履行均不受影响。</w:t>
      </w:r>
    </w:p>
    <w:p w14:paraId="791ABD5D">
      <w:pPr>
        <w:snapToGrid w:val="0"/>
        <w:spacing w:line="240" w:lineRule="auto"/>
        <w:ind w:left="619" w:hanging="619" w:hangingChars="295"/>
        <w:rPr>
          <w:rFonts w:eastAsia="仿宋" w:cs="Times New Roman"/>
          <w:szCs w:val="21"/>
          <w:lang w:eastAsia="zh-TW"/>
        </w:rPr>
      </w:pPr>
      <w:r>
        <w:rPr>
          <w:rFonts w:eastAsia="仿宋" w:cs="Times New Roman"/>
          <w:szCs w:val="21"/>
        </w:rPr>
        <w:t>2</w:t>
      </w:r>
      <w:r>
        <w:rPr>
          <w:rFonts w:hint="eastAsia" w:eastAsia="仿宋" w:cs="Times New Roman"/>
          <w:szCs w:val="21"/>
        </w:rPr>
        <w:t>4</w:t>
      </w:r>
      <w:r>
        <w:rPr>
          <w:rFonts w:eastAsia="仿宋" w:cs="Times New Roman"/>
          <w:szCs w:val="21"/>
        </w:rPr>
        <w:t>.12</w:t>
      </w:r>
      <w:r>
        <w:rPr>
          <w:rFonts w:eastAsia="仿宋" w:cs="Times New Roman"/>
          <w:szCs w:val="21"/>
        </w:rPr>
        <w:tab/>
      </w:r>
      <w:bookmarkStart w:id="66" w:name="OLE_LINK14"/>
      <w:r>
        <w:rPr>
          <w:rFonts w:eastAsia="仿宋" w:cs="Times New Roman"/>
          <w:szCs w:val="21"/>
        </w:rPr>
        <w:t xml:space="preserve">Remedies and Waivers. </w:t>
      </w:r>
      <w:r>
        <w:rPr>
          <w:rFonts w:eastAsia="仿宋" w:cs="Times New Roman"/>
          <w:szCs w:val="21"/>
          <w:lang w:eastAsia="zh-TW"/>
        </w:rPr>
        <w:t xml:space="preserve">No delay or omission by any </w:t>
      </w:r>
      <w:r>
        <w:rPr>
          <w:rFonts w:hint="eastAsia" w:eastAsia="仿宋" w:cs="Times New Roman"/>
          <w:szCs w:val="21"/>
        </w:rPr>
        <w:t>P</w:t>
      </w:r>
      <w:r>
        <w:rPr>
          <w:rFonts w:eastAsia="仿宋" w:cs="Times New Roman"/>
          <w:szCs w:val="21"/>
          <w:lang w:eastAsia="zh-TW"/>
        </w:rPr>
        <w:t xml:space="preserve">arty in exercising any right, power or remedy provided by law or under this Contract shall </w:t>
      </w:r>
      <w:r>
        <w:rPr>
          <w:rFonts w:eastAsia="仿宋" w:cs="Times New Roman"/>
          <w:szCs w:val="21"/>
          <w:lang w:val="en-GB" w:eastAsia="zh-TW"/>
        </w:rPr>
        <w:t>(i</w:t>
      </w:r>
      <w:r>
        <w:rPr>
          <w:rFonts w:eastAsia="仿宋" w:cs="Times New Roman"/>
          <w:szCs w:val="21"/>
          <w:lang w:eastAsia="zh-TW"/>
        </w:rPr>
        <w:t xml:space="preserve">) affect </w:t>
      </w:r>
      <w:r>
        <w:rPr>
          <w:rFonts w:hint="eastAsia" w:eastAsia="仿宋" w:cs="Times New Roman"/>
          <w:szCs w:val="21"/>
        </w:rPr>
        <w:t>the existence of such</w:t>
      </w:r>
      <w:r>
        <w:rPr>
          <w:rFonts w:eastAsia="仿宋" w:cs="Times New Roman"/>
          <w:szCs w:val="21"/>
          <w:lang w:eastAsia="zh-TW"/>
        </w:rPr>
        <w:t xml:space="preserve"> right, power or remedy; or (ii) operate as a waiver of it.</w:t>
      </w:r>
      <w:bookmarkEnd w:id="66"/>
    </w:p>
    <w:p w14:paraId="114BE12F">
      <w:pPr>
        <w:spacing w:line="240" w:lineRule="auto"/>
        <w:ind w:left="630" w:leftChars="300"/>
        <w:rPr>
          <w:rFonts w:eastAsia="仿宋" w:cs="Times New Roman"/>
          <w:szCs w:val="21"/>
        </w:rPr>
      </w:pPr>
      <w:r>
        <w:rPr>
          <w:rFonts w:hint="eastAsia" w:eastAsia="仿宋" w:cs="Times New Roman"/>
          <w:szCs w:val="21"/>
        </w:rPr>
        <w:t>救济</w:t>
      </w:r>
      <w:r>
        <w:rPr>
          <w:rFonts w:eastAsia="仿宋" w:cs="Times New Roman"/>
          <w:szCs w:val="21"/>
        </w:rPr>
        <w:t>措施</w:t>
      </w:r>
      <w:r>
        <w:rPr>
          <w:rFonts w:hint="eastAsia" w:eastAsia="仿宋" w:cs="Times New Roman"/>
          <w:szCs w:val="21"/>
        </w:rPr>
        <w:t>及弃权</w:t>
      </w:r>
      <w:r>
        <w:rPr>
          <w:rFonts w:eastAsia="仿宋" w:cs="Times New Roman"/>
          <w:szCs w:val="21"/>
        </w:rPr>
        <w:t>：任何一方延迟或未能行使其在本合同项下的任何权利</w:t>
      </w:r>
      <w:r>
        <w:rPr>
          <w:rFonts w:hint="eastAsia" w:eastAsia="仿宋" w:cs="Times New Roman"/>
          <w:szCs w:val="21"/>
        </w:rPr>
        <w:t>、</w:t>
      </w:r>
      <w:r>
        <w:rPr>
          <w:rFonts w:eastAsia="仿宋" w:cs="Times New Roman"/>
          <w:szCs w:val="21"/>
        </w:rPr>
        <w:t>权力或救济权利均</w:t>
      </w:r>
      <w:r>
        <w:rPr>
          <w:rFonts w:hint="eastAsia" w:eastAsia="仿宋" w:cs="Times New Roman"/>
          <w:szCs w:val="21"/>
        </w:rPr>
        <w:t>：（i）</w:t>
      </w:r>
      <w:r>
        <w:rPr>
          <w:rFonts w:eastAsia="仿宋" w:cs="Times New Roman"/>
          <w:szCs w:val="21"/>
        </w:rPr>
        <w:t>不影响</w:t>
      </w:r>
      <w:r>
        <w:rPr>
          <w:rFonts w:hint="eastAsia" w:eastAsia="仿宋" w:cs="Times New Roman"/>
          <w:szCs w:val="21"/>
        </w:rPr>
        <w:t>该等权利、权力或救济权利的存在；及（ii）不得视为该方对该等</w:t>
      </w:r>
      <w:r>
        <w:rPr>
          <w:rFonts w:eastAsia="仿宋" w:cs="Times New Roman"/>
          <w:szCs w:val="21"/>
        </w:rPr>
        <w:t>权利</w:t>
      </w:r>
      <w:r>
        <w:rPr>
          <w:rFonts w:hint="eastAsia" w:eastAsia="仿宋" w:cs="Times New Roman"/>
          <w:szCs w:val="21"/>
        </w:rPr>
        <w:t>、</w:t>
      </w:r>
      <w:r>
        <w:rPr>
          <w:rFonts w:eastAsia="仿宋" w:cs="Times New Roman"/>
          <w:szCs w:val="21"/>
        </w:rPr>
        <w:t>权力或救济</w:t>
      </w:r>
      <w:r>
        <w:rPr>
          <w:rFonts w:hint="eastAsia" w:eastAsia="仿宋" w:cs="Times New Roman"/>
          <w:szCs w:val="21"/>
        </w:rPr>
        <w:t>措施</w:t>
      </w:r>
      <w:r>
        <w:rPr>
          <w:rFonts w:eastAsia="仿宋" w:cs="Times New Roman"/>
          <w:szCs w:val="21"/>
        </w:rPr>
        <w:t>的放弃</w:t>
      </w:r>
      <w:r>
        <w:rPr>
          <w:rFonts w:hint="eastAsia" w:eastAsia="仿宋" w:cs="Times New Roman"/>
          <w:szCs w:val="21"/>
        </w:rPr>
        <w:t>。</w:t>
      </w:r>
    </w:p>
    <w:p w14:paraId="6591EBCC">
      <w:pPr>
        <w:snapToGrid w:val="0"/>
        <w:spacing w:line="240" w:lineRule="auto"/>
        <w:ind w:left="619" w:hanging="619" w:hangingChars="295"/>
        <w:rPr>
          <w:rFonts w:eastAsia="仿宋" w:cs="Times New Roman"/>
          <w:szCs w:val="21"/>
        </w:rPr>
      </w:pPr>
      <w:r>
        <w:rPr>
          <w:rFonts w:eastAsia="仿宋" w:cs="Times New Roman"/>
          <w:szCs w:val="21"/>
          <w:lang w:eastAsia="zh-TW"/>
        </w:rPr>
        <w:t>2</w:t>
      </w:r>
      <w:r>
        <w:rPr>
          <w:rFonts w:hint="eastAsia" w:eastAsia="仿宋" w:cs="Times New Roman"/>
          <w:szCs w:val="21"/>
        </w:rPr>
        <w:t>4</w:t>
      </w:r>
      <w:r>
        <w:rPr>
          <w:rFonts w:eastAsia="仿宋" w:cs="Times New Roman"/>
          <w:szCs w:val="21"/>
          <w:lang w:eastAsia="zh-TW"/>
        </w:rPr>
        <w:t>.13</w:t>
      </w:r>
      <w:r>
        <w:rPr>
          <w:rFonts w:eastAsia="仿宋" w:cs="Times New Roman"/>
          <w:szCs w:val="21"/>
          <w:lang w:eastAsia="zh-TW"/>
        </w:rPr>
        <w:tab/>
      </w:r>
      <w:bookmarkStart w:id="67" w:name="OLE_LINK12"/>
      <w:bookmarkStart w:id="68" w:name="OLE_LINK11"/>
      <w:r>
        <w:rPr>
          <w:rFonts w:eastAsia="仿宋" w:cs="Times New Roman"/>
          <w:szCs w:val="21"/>
          <w:lang w:eastAsia="zh-TW"/>
        </w:rPr>
        <w:t>Non-exclusive Rights. The rights, powers and remedies provided in this Contract are cumulative and not exclusive of any rights, powers and remedies provided by law</w:t>
      </w:r>
      <w:r>
        <w:rPr>
          <w:rFonts w:hint="eastAsia" w:eastAsia="仿宋" w:cs="Times New Roman"/>
          <w:szCs w:val="21"/>
        </w:rPr>
        <w:t xml:space="preserve"> of any applicable </w:t>
      </w:r>
      <w:r>
        <w:rPr>
          <w:rFonts w:eastAsia="仿宋" w:cs="Times New Roman"/>
          <w:szCs w:val="21"/>
        </w:rPr>
        <w:t>jurisdiction</w:t>
      </w:r>
      <w:r>
        <w:rPr>
          <w:rFonts w:eastAsia="仿宋" w:cs="Times New Roman"/>
          <w:szCs w:val="21"/>
          <w:lang w:eastAsia="zh-TW"/>
        </w:rPr>
        <w:t>.</w:t>
      </w:r>
      <w:bookmarkEnd w:id="67"/>
      <w:bookmarkEnd w:id="68"/>
    </w:p>
    <w:p w14:paraId="180018BE">
      <w:pPr>
        <w:spacing w:line="240" w:lineRule="auto"/>
        <w:ind w:left="630" w:leftChars="300"/>
        <w:rPr>
          <w:rFonts w:eastAsia="仿宋" w:cs="Times New Roman"/>
          <w:szCs w:val="21"/>
        </w:rPr>
      </w:pPr>
      <w:r>
        <w:rPr>
          <w:rFonts w:eastAsia="仿宋" w:cs="Times New Roman"/>
          <w:szCs w:val="21"/>
        </w:rPr>
        <w:t>非专属权:本合同规定的各项权利是累加的，并不排除相关地域法律规定的其它权利、权力或</w:t>
      </w:r>
      <w:r>
        <w:rPr>
          <w:rFonts w:hint="eastAsia" w:eastAsia="仿宋" w:cs="Times New Roman"/>
          <w:szCs w:val="21"/>
        </w:rPr>
        <w:t>救济措施</w:t>
      </w:r>
      <w:r>
        <w:rPr>
          <w:rFonts w:eastAsia="仿宋" w:cs="Times New Roman"/>
          <w:szCs w:val="21"/>
        </w:rPr>
        <w:t>。</w:t>
      </w:r>
    </w:p>
    <w:p w14:paraId="4BEA18E2">
      <w:pPr>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.14  Exclusion of CISG</w:t>
      </w:r>
    </w:p>
    <w:p w14:paraId="41DCCD73">
      <w:pPr>
        <w:spacing w:line="240" w:lineRule="auto"/>
        <w:ind w:firstLine="525" w:firstLineChars="250"/>
        <w:rPr>
          <w:rFonts w:eastAsia="仿宋" w:cs="Times New Roman"/>
          <w:i/>
          <w:iCs/>
          <w:szCs w:val="21"/>
        </w:rPr>
      </w:pPr>
      <w:r>
        <w:rPr>
          <w:rFonts w:hint="eastAsia" w:eastAsia="仿宋" w:cs="Times New Roman"/>
          <w:szCs w:val="21"/>
        </w:rPr>
        <w:t>《联合国国际货物销售合同公约》的排除适用。</w:t>
      </w:r>
    </w:p>
    <w:p w14:paraId="76AB5E64">
      <w:pPr>
        <w:spacing w:line="240" w:lineRule="auto"/>
        <w:rPr>
          <w:rFonts w:eastAsia="仿宋" w:cs="Times New Roman"/>
          <w:szCs w:val="21"/>
        </w:rPr>
      </w:pPr>
    </w:p>
    <w:p w14:paraId="594AFE2A">
      <w:pPr>
        <w:spacing w:line="240" w:lineRule="auto"/>
        <w:ind w:left="630" w:leftChars="300"/>
        <w:rPr>
          <w:rFonts w:eastAsia="仿宋" w:cs="Times New Roman"/>
          <w:szCs w:val="21"/>
        </w:rPr>
      </w:pPr>
      <w:r>
        <w:rPr>
          <w:rFonts w:eastAsia="仿宋" w:cs="Times New Roman"/>
          <w:szCs w:val="21"/>
        </w:rPr>
        <w:t>The terms of the United Nations Convention on Contracts for the International Sale of Goods do not apply to this Contract.</w:t>
      </w:r>
    </w:p>
    <w:p w14:paraId="17DF7722">
      <w:pPr>
        <w:spacing w:line="240" w:lineRule="auto"/>
        <w:ind w:left="630" w:leftChars="300"/>
        <w:rPr>
          <w:rFonts w:eastAsia="仿宋" w:cs="Times New Roman"/>
          <w:szCs w:val="21"/>
        </w:rPr>
      </w:pPr>
      <w:r>
        <w:rPr>
          <w:rFonts w:hint="eastAsia" w:eastAsia="仿宋" w:cs="Times New Roman"/>
          <w:szCs w:val="21"/>
        </w:rPr>
        <w:t>《联合国国际货物销售合同公约》的条款不适用于本合同。</w:t>
      </w:r>
    </w:p>
    <w:p w14:paraId="11A62138">
      <w:pPr>
        <w:spacing w:line="240" w:lineRule="auto"/>
        <w:ind w:left="630" w:leftChars="300"/>
        <w:rPr>
          <w:rFonts w:eastAsia="仿宋" w:cs="Times New Roman"/>
          <w:b/>
          <w:szCs w:val="21"/>
        </w:rPr>
      </w:pPr>
    </w:p>
    <w:p w14:paraId="5EA44D60">
      <w:pPr>
        <w:spacing w:line="240" w:lineRule="auto"/>
        <w:jc w:val="left"/>
        <w:rPr>
          <w:rFonts w:eastAsia="仿宋" w:cs="Times New Roman"/>
          <w:szCs w:val="21"/>
          <w:lang w:eastAsia="zh-TW"/>
        </w:rPr>
      </w:pPr>
      <w:r>
        <w:rPr>
          <w:rFonts w:eastAsia="仿宋" w:cs="Times New Roman"/>
          <w:b/>
          <w:szCs w:val="21"/>
          <w:lang w:eastAsia="zh-TW"/>
        </w:rPr>
        <w:t>IN WITNESS</w:t>
      </w:r>
      <w:r>
        <w:rPr>
          <w:rFonts w:eastAsia="仿宋" w:cs="Times New Roman"/>
          <w:szCs w:val="21"/>
          <w:lang w:eastAsia="zh-TW"/>
        </w:rPr>
        <w:t xml:space="preserve"> </w:t>
      </w:r>
      <w:r>
        <w:rPr>
          <w:rFonts w:eastAsia="仿宋" w:cs="Times New Roman"/>
          <w:b/>
          <w:szCs w:val="21"/>
        </w:rPr>
        <w:t>WHEREOF</w:t>
      </w:r>
      <w:r>
        <w:rPr>
          <w:rFonts w:eastAsia="仿宋" w:cs="Times New Roman"/>
          <w:szCs w:val="21"/>
        </w:rPr>
        <w:t>,</w:t>
      </w:r>
      <w:r>
        <w:rPr>
          <w:rFonts w:eastAsia="仿宋" w:cs="Times New Roman"/>
          <w:szCs w:val="21"/>
          <w:lang w:eastAsia="zh-TW"/>
        </w:rPr>
        <w:t xml:space="preserve"> the </w:t>
      </w:r>
      <w:r>
        <w:rPr>
          <w:rFonts w:hint="eastAsia" w:eastAsia="仿宋" w:cs="Times New Roman"/>
          <w:szCs w:val="21"/>
        </w:rPr>
        <w:t>P</w:t>
      </w:r>
      <w:r>
        <w:rPr>
          <w:rFonts w:eastAsia="仿宋" w:cs="Times New Roman"/>
          <w:szCs w:val="21"/>
          <w:lang w:eastAsia="zh-TW"/>
        </w:rPr>
        <w:t xml:space="preserve">arties executed this Contract </w:t>
      </w:r>
      <w:r>
        <w:rPr>
          <w:rFonts w:hint="eastAsia" w:eastAsia="仿宋" w:cs="Times New Roman"/>
          <w:szCs w:val="21"/>
        </w:rPr>
        <w:t xml:space="preserve">on </w:t>
      </w:r>
      <w:r>
        <w:rPr>
          <w:rFonts w:eastAsia="仿宋" w:cs="Times New Roman"/>
          <w:szCs w:val="21"/>
          <w:lang w:eastAsia="zh-TW"/>
        </w:rPr>
        <w:t>the date and year first above written.</w:t>
      </w:r>
    </w:p>
    <w:p w14:paraId="5BE36F46">
      <w:pPr>
        <w:spacing w:line="240" w:lineRule="auto"/>
        <w:rPr>
          <w:rFonts w:eastAsia="仿宋" w:cs="Times New Roman"/>
          <w:szCs w:val="21"/>
        </w:rPr>
      </w:pPr>
      <w:r>
        <w:rPr>
          <w:rFonts w:hint="eastAsia" w:eastAsia="仿宋" w:cs="Times New Roman"/>
          <w:szCs w:val="21"/>
        </w:rPr>
        <w:t>各</w:t>
      </w:r>
      <w:r>
        <w:rPr>
          <w:rFonts w:eastAsia="仿宋" w:cs="Times New Roman"/>
          <w:szCs w:val="21"/>
        </w:rPr>
        <w:t>方据以上日期</w:t>
      </w:r>
      <w:r>
        <w:rPr>
          <w:rFonts w:hint="eastAsia" w:eastAsia="仿宋" w:cs="Times New Roman"/>
          <w:szCs w:val="21"/>
        </w:rPr>
        <w:t>签署</w:t>
      </w:r>
      <w:r>
        <w:rPr>
          <w:rFonts w:eastAsia="仿宋" w:cs="Times New Roman"/>
          <w:szCs w:val="21"/>
        </w:rPr>
        <w:t>本合同，特立此约为证。</w:t>
      </w:r>
    </w:p>
    <w:p w14:paraId="1C27B408">
      <w:pPr>
        <w:spacing w:line="240" w:lineRule="auto"/>
        <w:ind w:left="630" w:leftChars="300"/>
        <w:rPr>
          <w:rFonts w:hint="eastAsia" w:eastAsia="仿宋" w:cs="Times New Roman"/>
          <w:szCs w:val="21"/>
          <w:lang w:eastAsia="zh-CN"/>
        </w:rPr>
      </w:pPr>
      <w:r>
        <w:rPr>
          <w:rFonts w:eastAsia="仿宋" w:cs="Times New Roman"/>
          <w:szCs w:val="21"/>
          <w:lang w:eastAsia="zh-TW"/>
        </w:rPr>
        <w:t>If each signatory of this Contract chooses to use electronic signing, the legal representative or his authorized agent has registered in real name on the electronic signing platform and signed the contract through CA certificate.</w:t>
      </w:r>
    </w:p>
    <w:p w14:paraId="18556C70">
      <w:pPr>
        <w:spacing w:line="240" w:lineRule="auto"/>
        <w:ind w:left="630" w:leftChars="300"/>
        <w:rPr>
          <w:rFonts w:hint="eastAsia" w:eastAsia="仿宋" w:cs="Times New Roman"/>
          <w:szCs w:val="21"/>
          <w:lang w:eastAsia="zh-CN"/>
        </w:rPr>
      </w:pPr>
      <w:r>
        <w:rPr>
          <w:rFonts w:eastAsia="仿宋" w:cs="Times New Roman"/>
          <w:szCs w:val="21"/>
          <w:lang w:eastAsia="zh-TW"/>
        </w:rPr>
        <w:t>Either party to the electronic contract has known and agreed that all operations after logging in to the account through the agent's password shall be regarded as the conduct of the party, and voluntarily bear all legal consequences arising therefrom.The agent of the electronic contracting party includes the administrator, stamper or signer who completes the authentication on the platform and has the corresponding seal and signature authority.If the electronic contracting party electronically signs and seals the relevant electronic contract through the CA certificate, the contract shall be deemed to have been effectively signed by the electronic contracting party.If the signature time of the parties is inconsistent, the final signature time shall prevail.All handwritten corrections of this Contract shall be void (except handwritten signatures of individuals).</w:t>
      </w:r>
    </w:p>
    <w:p w14:paraId="1CCDF5C6">
      <w:pPr>
        <w:spacing w:line="240" w:lineRule="auto"/>
        <w:ind w:left="630" w:leftChars="300"/>
        <w:rPr>
          <w:rFonts w:eastAsia="仿宋" w:cs="Times New Roman"/>
          <w:szCs w:val="21"/>
          <w:lang w:eastAsia="zh-TW"/>
        </w:rPr>
      </w:pPr>
      <w:r>
        <w:rPr>
          <w:rFonts w:eastAsia="仿宋" w:cs="Times New Roman"/>
          <w:szCs w:val="21"/>
          <w:lang w:eastAsia="zh-TW"/>
        </w:rPr>
        <w:t>If one party does not use electronic signature, in this case, the parties acknowledge and agree that the electronic signature or seal has the same legal effect as the handwritten signature or seal on the paper contract. If one party uses electronic signature or seal on the contract, the other party prints the contract with electronic signature or seal as a paper contract, and then affixes the physical seal and handwritten signature at the signing place of the contract, it shall be deemed that the parties have completed the signing.</w:t>
      </w:r>
    </w:p>
    <w:p w14:paraId="6EA1C791">
      <w:pPr>
        <w:spacing w:line="240" w:lineRule="auto"/>
        <w:ind w:left="630" w:leftChars="300"/>
        <w:rPr>
          <w:rFonts w:hint="eastAsia" w:eastAsia="仿宋" w:cs="Times New Roman"/>
          <w:szCs w:val="21"/>
          <w:lang w:eastAsia="zh-CN"/>
        </w:rPr>
      </w:pPr>
      <w:r>
        <w:rPr>
          <w:rFonts w:eastAsia="仿宋" w:cs="Times New Roman"/>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5B806BF">
      <w:pPr>
        <w:spacing w:line="240" w:lineRule="auto"/>
        <w:ind w:left="630" w:leftChars="300"/>
        <w:rPr>
          <w:rFonts w:hint="eastAsia" w:eastAsia="仿宋" w:cs="Times New Roman"/>
          <w:szCs w:val="21"/>
        </w:rPr>
      </w:pPr>
      <w:r>
        <w:rPr>
          <w:rFonts w:eastAsia="仿宋" w:cs="Times New Roman"/>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A5ED4CC">
      <w:pPr>
        <w:spacing w:line="240" w:lineRule="auto"/>
        <w:rPr>
          <w:rFonts w:eastAsia="仿宋" w:cs="Times New Roman"/>
          <w:szCs w:val="21"/>
        </w:rPr>
      </w:pPr>
      <w:r>
        <w:rPr>
          <w:rFonts w:eastAsia="仿宋" w:cs="Times New Roman"/>
          <w:szCs w:val="21"/>
        </w:rPr>
        <w:t>The following page is for signature. （以下为签字页）</w:t>
      </w:r>
    </w:p>
    <w:p w14:paraId="672DA600">
      <w:pPr>
        <w:spacing w:line="240" w:lineRule="auto"/>
        <w:rPr>
          <w:rFonts w:eastAsia="仿宋" w:cs="Times New Roman"/>
          <w:szCs w:val="21"/>
        </w:rPr>
      </w:pPr>
      <w:r>
        <w:rPr>
          <w:rFonts w:eastAsia="仿宋" w:cs="Times New Roman"/>
          <w:szCs w:val="21"/>
        </w:rPr>
        <w:t>This page is only for signature.</w:t>
      </w:r>
    </w:p>
    <w:p w14:paraId="3BC17D93">
      <w:pPr>
        <w:spacing w:line="240" w:lineRule="auto"/>
        <w:rPr>
          <w:rFonts w:eastAsia="仿宋" w:cs="Times New Roman"/>
          <w:szCs w:val="21"/>
        </w:rPr>
      </w:pPr>
      <w:r>
        <w:rPr>
          <w:rFonts w:eastAsia="仿宋" w:cs="Times New Roman"/>
          <w:szCs w:val="21"/>
        </w:rPr>
        <w:t>本页为签字页。</w:t>
      </w:r>
    </w:p>
    <w:p w14:paraId="77995FFC">
      <w:pPr>
        <w:spacing w:line="240" w:lineRule="auto"/>
        <w:rPr>
          <w:rFonts w:eastAsia="仿宋" w:cs="Times New Roman"/>
          <w:szCs w:val="21"/>
        </w:rPr>
      </w:pPr>
    </w:p>
    <w:p w14:paraId="529CC300">
      <w:pPr>
        <w:spacing w:line="240" w:lineRule="auto"/>
        <w:rPr>
          <w:rFonts w:eastAsia="仿宋" w:cs="Times New Roman"/>
          <w:b/>
          <w:szCs w:val="21"/>
        </w:rPr>
      </w:pPr>
      <w:r>
        <w:rPr>
          <w:rFonts w:eastAsia="仿宋" w:cs="Times New Roman"/>
          <w:b/>
          <w:szCs w:val="21"/>
        </w:rPr>
        <w:t>The Buyer买方</w:t>
      </w:r>
    </w:p>
    <w:p w14:paraId="49B83546">
      <w:pPr>
        <w:spacing w:line="240" w:lineRule="auto"/>
        <w:rPr>
          <w:rFonts w:eastAsia="仿宋" w:cs="Times New Roman"/>
          <w:b/>
          <w:szCs w:val="21"/>
        </w:rPr>
      </w:pPr>
      <w:r>
        <w:rPr>
          <w:rFonts w:eastAsia="仿宋" w:cs="Times New Roman"/>
          <w:b/>
          <w:szCs w:val="21"/>
          <w:lang w:eastAsia="zh-TW"/>
        </w:rPr>
        <w:t>SIGNED BY</w:t>
      </w:r>
    </w:p>
    <w:p w14:paraId="0C6D6D3D">
      <w:pPr>
        <w:spacing w:line="240" w:lineRule="auto"/>
        <w:rPr>
          <w:rFonts w:eastAsia="仿宋" w:cs="Times New Roman"/>
          <w:b/>
          <w:szCs w:val="21"/>
          <w:lang w:eastAsia="zh-TW"/>
        </w:rPr>
      </w:pPr>
    </w:p>
    <w:p w14:paraId="4B3B8397">
      <w:pPr>
        <w:spacing w:line="240" w:lineRule="auto"/>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14:paraId="087387EC">
      <w:pPr>
        <w:spacing w:line="240" w:lineRule="auto"/>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14:paraId="746F3701">
      <w:pPr>
        <w:spacing w:line="240" w:lineRule="auto"/>
        <w:rPr>
          <w:rFonts w:eastAsia="仿宋" w:cs="Times New Roman"/>
          <w:b/>
          <w:szCs w:val="21"/>
          <w:lang w:eastAsia="zh-TW"/>
        </w:rPr>
      </w:pPr>
    </w:p>
    <w:p w14:paraId="0D0A9CB1">
      <w:pPr>
        <w:spacing w:line="240" w:lineRule="auto"/>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14:paraId="3FDD6901">
      <w:pPr>
        <w:spacing w:line="240" w:lineRule="auto"/>
        <w:rPr>
          <w:rFonts w:eastAsia="仿宋" w:cs="Times New Roman"/>
          <w:b/>
          <w:szCs w:val="21"/>
        </w:rPr>
      </w:pPr>
      <w:r>
        <w:rPr>
          <w:rFonts w:eastAsia="仿宋" w:cs="Times New Roman"/>
          <w:b/>
          <w:szCs w:val="21"/>
        </w:rPr>
        <w:t>Signature date</w:t>
      </w:r>
    </w:p>
    <w:p w14:paraId="6135663E">
      <w:pPr>
        <w:spacing w:line="240" w:lineRule="auto"/>
        <w:rPr>
          <w:rFonts w:eastAsia="仿宋" w:cs="Times New Roman"/>
          <w:b/>
          <w:szCs w:val="21"/>
        </w:rPr>
      </w:pPr>
      <w:r>
        <w:rPr>
          <w:rFonts w:eastAsia="仿宋" w:cs="Times New Roman"/>
          <w:b/>
          <w:szCs w:val="21"/>
        </w:rPr>
        <w:t>签字日期：</w:t>
      </w:r>
    </w:p>
    <w:p w14:paraId="05004C65">
      <w:pPr>
        <w:spacing w:line="240" w:lineRule="auto"/>
        <w:rPr>
          <w:rFonts w:eastAsia="仿宋" w:cs="Times New Roman"/>
          <w:b/>
          <w:szCs w:val="21"/>
        </w:rPr>
      </w:pPr>
    </w:p>
    <w:p w14:paraId="429D6959">
      <w:pPr>
        <w:spacing w:line="240" w:lineRule="auto"/>
        <w:rPr>
          <w:rFonts w:eastAsia="仿宋" w:cs="Times New Roman"/>
          <w:b/>
          <w:szCs w:val="21"/>
        </w:rPr>
      </w:pPr>
      <w:r>
        <w:rPr>
          <w:rFonts w:eastAsia="仿宋" w:cs="Times New Roman"/>
          <w:b/>
          <w:szCs w:val="21"/>
        </w:rPr>
        <w:t>The Seller卖方</w:t>
      </w:r>
    </w:p>
    <w:p w14:paraId="580BBA3B">
      <w:pPr>
        <w:spacing w:line="240" w:lineRule="auto"/>
        <w:rPr>
          <w:rFonts w:eastAsia="仿宋" w:cs="Times New Roman"/>
          <w:b/>
          <w:szCs w:val="21"/>
        </w:rPr>
      </w:pPr>
      <w:r>
        <w:rPr>
          <w:rFonts w:eastAsia="仿宋" w:cs="Times New Roman"/>
          <w:b/>
          <w:szCs w:val="21"/>
          <w:lang w:eastAsia="zh-TW"/>
        </w:rPr>
        <w:t xml:space="preserve">SIGNED BY </w:t>
      </w:r>
    </w:p>
    <w:p w14:paraId="0680F23F">
      <w:pPr>
        <w:spacing w:line="240" w:lineRule="auto"/>
        <w:rPr>
          <w:rFonts w:eastAsia="仿宋" w:cs="Times New Roman"/>
          <w:b/>
          <w:szCs w:val="21"/>
          <w:lang w:eastAsia="zh-TW"/>
        </w:rPr>
      </w:pPr>
    </w:p>
    <w:p w14:paraId="2EBDD426">
      <w:pPr>
        <w:spacing w:line="240" w:lineRule="auto"/>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14:paraId="4B1D2939">
      <w:pPr>
        <w:spacing w:line="240" w:lineRule="auto"/>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14:paraId="0422040F">
      <w:pPr>
        <w:spacing w:line="240" w:lineRule="auto"/>
        <w:rPr>
          <w:rFonts w:eastAsia="仿宋" w:cs="Times New Roman"/>
          <w:b/>
          <w:szCs w:val="21"/>
        </w:rPr>
      </w:pPr>
    </w:p>
    <w:p w14:paraId="4C8D0902">
      <w:pPr>
        <w:spacing w:line="240" w:lineRule="auto"/>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14:paraId="3D023821">
      <w:pPr>
        <w:spacing w:line="240" w:lineRule="auto"/>
        <w:rPr>
          <w:rFonts w:eastAsia="仿宋" w:cs="Times New Roman"/>
          <w:b/>
          <w:szCs w:val="21"/>
        </w:rPr>
      </w:pPr>
      <w:r>
        <w:rPr>
          <w:rFonts w:eastAsia="仿宋" w:cs="Times New Roman"/>
          <w:b/>
          <w:szCs w:val="21"/>
        </w:rPr>
        <w:t>Signature date</w:t>
      </w:r>
    </w:p>
    <w:p w14:paraId="6BBDA222">
      <w:pPr>
        <w:spacing w:line="240" w:lineRule="auto"/>
        <w:rPr>
          <w:rFonts w:eastAsia="仿宋" w:cs="Times New Roman"/>
          <w:b/>
          <w:szCs w:val="21"/>
        </w:rPr>
      </w:pPr>
      <w:r>
        <w:rPr>
          <w:rFonts w:eastAsia="仿宋" w:cs="Times New Roman"/>
          <w:b/>
          <w:szCs w:val="21"/>
        </w:rPr>
        <w:t>签字日期：</w:t>
      </w:r>
    </w:p>
    <w:p w14:paraId="4A678370">
      <w:pPr>
        <w:spacing w:line="240" w:lineRule="auto"/>
        <w:rPr>
          <w:rFonts w:eastAsia="仿宋" w:cs="Times New Roman"/>
          <w:b/>
          <w:szCs w:val="21"/>
        </w:rPr>
      </w:pPr>
    </w:p>
    <w:p w14:paraId="44236D39">
      <w:pPr>
        <w:spacing w:line="240" w:lineRule="auto"/>
        <w:rPr>
          <w:rFonts w:eastAsia="仿宋" w:cs="Times New Roman"/>
          <w:b/>
          <w:szCs w:val="21"/>
        </w:rPr>
      </w:pPr>
      <w:r>
        <w:rPr>
          <w:rFonts w:eastAsia="仿宋" w:cs="Times New Roman"/>
          <w:b/>
          <w:szCs w:val="21"/>
        </w:rPr>
        <w:t>The Enduser最终用户</w:t>
      </w:r>
    </w:p>
    <w:p w14:paraId="0456F256">
      <w:pPr>
        <w:spacing w:line="240" w:lineRule="auto"/>
        <w:rPr>
          <w:rFonts w:eastAsia="仿宋" w:cs="Times New Roman"/>
          <w:b/>
          <w:szCs w:val="21"/>
        </w:rPr>
      </w:pPr>
      <w:r>
        <w:rPr>
          <w:rFonts w:eastAsia="仿宋" w:cs="Times New Roman"/>
          <w:b/>
          <w:szCs w:val="21"/>
          <w:lang w:eastAsia="zh-TW"/>
        </w:rPr>
        <w:t>SIGNED BY</w:t>
      </w:r>
    </w:p>
    <w:p w14:paraId="7319B1E0">
      <w:pPr>
        <w:spacing w:line="240" w:lineRule="auto"/>
        <w:rPr>
          <w:rFonts w:eastAsia="仿宋" w:cs="Times New Roman"/>
          <w:b/>
          <w:szCs w:val="21"/>
          <w:lang w:eastAsia="zh-TW"/>
        </w:rPr>
      </w:pPr>
    </w:p>
    <w:p w14:paraId="2993DD0E">
      <w:pPr>
        <w:spacing w:line="240" w:lineRule="auto"/>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14:paraId="421D7400">
      <w:pPr>
        <w:spacing w:line="240" w:lineRule="auto"/>
        <w:rPr>
          <w:rFonts w:eastAsia="仿宋" w:cs="Times New Roman"/>
          <w:b/>
          <w:szCs w:val="21"/>
        </w:rPr>
      </w:pPr>
      <w:r>
        <w:rPr>
          <w:rFonts w:eastAsia="仿宋" w:cs="Times New Roman"/>
          <w:b/>
          <w:szCs w:val="21"/>
          <w:lang w:eastAsia="zh-TW"/>
        </w:rPr>
        <w:t>for and on behalf of</w:t>
      </w:r>
    </w:p>
    <w:p w14:paraId="061DB5F3">
      <w:pPr>
        <w:spacing w:line="240" w:lineRule="auto"/>
        <w:rPr>
          <w:rFonts w:eastAsia="仿宋" w:cs="Times New Roman"/>
          <w:b/>
          <w:szCs w:val="21"/>
          <w:lang w:eastAsia="zh-TW"/>
        </w:rPr>
      </w:pPr>
    </w:p>
    <w:p w14:paraId="0BDD6D81">
      <w:pPr>
        <w:spacing w:line="240" w:lineRule="auto"/>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14:paraId="2C842DF3">
      <w:pPr>
        <w:spacing w:line="240" w:lineRule="auto"/>
        <w:rPr>
          <w:rFonts w:eastAsia="仿宋" w:cs="Times New Roman"/>
          <w:b/>
          <w:szCs w:val="21"/>
        </w:rPr>
      </w:pPr>
      <w:r>
        <w:rPr>
          <w:rFonts w:eastAsia="仿宋" w:cs="Times New Roman"/>
          <w:b/>
          <w:szCs w:val="21"/>
        </w:rPr>
        <w:t>Signature date</w:t>
      </w:r>
    </w:p>
    <w:p w14:paraId="6DD393E7">
      <w:pPr>
        <w:spacing w:line="240" w:lineRule="auto"/>
        <w:rPr>
          <w:rFonts w:eastAsia="仿宋" w:cs="Times New Roman"/>
          <w:b/>
          <w:szCs w:val="21"/>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r>
        <w:rPr>
          <w:rFonts w:eastAsia="仿宋" w:cs="Times New Roman"/>
          <w:b/>
          <w:szCs w:val="21"/>
        </w:rPr>
        <w:t>签字日期</w:t>
      </w:r>
      <w:bookmarkEnd w:id="45"/>
      <w:bookmarkStart w:id="69" w:name="_Toc29691"/>
    </w:p>
    <w:p w14:paraId="02B44C89">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5589A5B9">
      <w:pPr>
        <w:pStyle w:val="12"/>
        <w:spacing w:before="8"/>
        <w:ind w:left="0" w:firstLine="0"/>
        <w:rPr>
          <w:rFonts w:ascii="楷体" w:hAnsi="楷体" w:eastAsia="楷体" w:cs="楷体"/>
          <w:sz w:val="44"/>
          <w:szCs w:val="28"/>
        </w:rPr>
      </w:pPr>
    </w:p>
    <w:p w14:paraId="0A27033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6B78C43A">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74ED11A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2BB2B51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583433C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5AC5D37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4145499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73D26C4D">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29DB0C3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08A16C9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691BC7D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50FFE0A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0AEB9E2C">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7912973F">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08B8D8F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22B8BEA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038F265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9B32B8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646AE9E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6EC8E26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537013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490DCCC">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29AD145A">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5003EBB">
      <w:pPr>
        <w:pStyle w:val="129"/>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4DBA6D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CB5C060">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7A3200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3850CCC">
      <w:pPr>
        <w:pStyle w:val="12"/>
        <w:spacing w:before="9"/>
        <w:ind w:left="0" w:firstLine="0"/>
        <w:rPr>
          <w:rFonts w:ascii="楷体" w:hAnsi="楷体" w:eastAsia="楷体" w:cs="楷体"/>
          <w:sz w:val="40"/>
          <w:szCs w:val="28"/>
        </w:rPr>
      </w:pPr>
    </w:p>
    <w:p w14:paraId="773D3DAA">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6CC39427">
      <w:pPr>
        <w:pStyle w:val="12"/>
        <w:ind w:left="0" w:firstLine="0"/>
        <w:rPr>
          <w:rFonts w:ascii="楷体" w:hAnsi="楷体" w:eastAsia="楷体" w:cs="楷体"/>
          <w:b/>
          <w:sz w:val="24"/>
          <w:szCs w:val="28"/>
        </w:rPr>
      </w:pPr>
    </w:p>
    <w:p w14:paraId="1C1B0714">
      <w:pPr>
        <w:pStyle w:val="12"/>
        <w:spacing w:before="1"/>
        <w:ind w:left="0" w:firstLine="0"/>
        <w:rPr>
          <w:rFonts w:ascii="楷体" w:hAnsi="楷体" w:eastAsia="楷体" w:cs="楷体"/>
          <w:b/>
          <w:sz w:val="24"/>
          <w:szCs w:val="28"/>
        </w:rPr>
      </w:pPr>
    </w:p>
    <w:p w14:paraId="747F88B3">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7FCCB4E2">
      <w:pPr>
        <w:pStyle w:val="12"/>
        <w:ind w:left="0" w:firstLine="0"/>
        <w:rPr>
          <w:rFonts w:ascii="楷体" w:hAnsi="楷体" w:eastAsia="楷体" w:cs="楷体"/>
          <w:b/>
          <w:sz w:val="24"/>
          <w:szCs w:val="28"/>
        </w:rPr>
      </w:pPr>
    </w:p>
    <w:p w14:paraId="7EB997BB">
      <w:pPr>
        <w:pStyle w:val="12"/>
        <w:spacing w:before="4"/>
        <w:ind w:left="0" w:firstLine="0"/>
        <w:rPr>
          <w:rFonts w:ascii="楷体" w:hAnsi="楷体" w:eastAsia="楷体" w:cs="楷体"/>
          <w:b/>
          <w:sz w:val="24"/>
          <w:szCs w:val="28"/>
        </w:rPr>
      </w:pPr>
    </w:p>
    <w:p w14:paraId="4F3EEE78">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05B68E4F">
      <w:pPr>
        <w:spacing w:line="240" w:lineRule="auto"/>
        <w:rPr>
          <w:rFonts w:hint="eastAsia" w:eastAsia="仿宋" w:cs="Times New Roman"/>
          <w:b/>
          <w:szCs w:val="21"/>
        </w:rPr>
      </w:pPr>
    </w:p>
    <w:p w14:paraId="6119993E">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9810C5A">
      <w:pPr>
        <w:keepNext/>
        <w:keepLines/>
        <w:jc w:val="center"/>
        <w:outlineLvl w:val="0"/>
        <w:rPr>
          <w:rFonts w:ascii="Times New Roman" w:hAnsi="Times New Roman" w:eastAsia="宋体" w:cs="Times New Roman"/>
          <w:b/>
          <w:bCs/>
          <w:color w:val="000000"/>
          <w:sz w:val="24"/>
          <w:szCs w:val="2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9"/>
    </w:p>
    <w:p w14:paraId="37C35C92">
      <w:pPr>
        <w:spacing w:line="420" w:lineRule="exact"/>
        <w:ind w:firstLine="560" w:firstLineChars="200"/>
        <w:rPr>
          <w:rFonts w:hint="eastAsia" w:ascii="宋体" w:hAnsi="宋体" w:eastAsia="宋体" w:cs="宋体"/>
          <w:sz w:val="28"/>
          <w:szCs w:val="28"/>
        </w:rPr>
      </w:pPr>
    </w:p>
    <w:p w14:paraId="76AB5F9D">
      <w:pPr>
        <w:spacing w:line="420" w:lineRule="exact"/>
        <w:ind w:firstLine="560" w:firstLineChars="200"/>
        <w:rPr>
          <w:rFonts w:hint="eastAsia" w:ascii="宋体" w:hAnsi="宋体" w:eastAsia="宋体" w:cs="宋体"/>
          <w:sz w:val="28"/>
          <w:szCs w:val="28"/>
        </w:rPr>
      </w:pPr>
    </w:p>
    <w:p w14:paraId="3E5D94E7">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说明：</w:t>
      </w:r>
    </w:p>
    <w:p w14:paraId="7569371F">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投标人须认真填写和提交本部分中的附件文件；</w:t>
      </w:r>
    </w:p>
    <w:p w14:paraId="7296F1A3">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对附件文件中所要求的内容应给予明确的答复；</w:t>
      </w:r>
    </w:p>
    <w:p w14:paraId="02F65316">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附件文件的签字人应保证其对一切问题的答复、所做的声明及出具的资格资质文件、资料等具有真实性和准确性；</w:t>
      </w:r>
    </w:p>
    <w:p w14:paraId="37FACAB0">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val="en-US" w:eastAsia="zh-CN"/>
        </w:rPr>
        <w:t>.</w:t>
      </w:r>
      <w:r>
        <w:rPr>
          <w:rFonts w:hint="eastAsia" w:ascii="宋体" w:hAnsi="宋体" w:eastAsia="宋体" w:cs="宋体"/>
          <w:sz w:val="28"/>
          <w:szCs w:val="28"/>
        </w:rPr>
        <w:t>招标人将对投标人提交的文件、资料等内容予以保密，但不退还；</w:t>
      </w:r>
    </w:p>
    <w:p w14:paraId="188F8B5D">
      <w:pPr>
        <w:spacing w:line="420" w:lineRule="exact"/>
        <w:ind w:firstLine="560" w:firstLineChars="200"/>
        <w:rPr>
          <w:rFonts w:ascii="Times New Roman" w:hAnsi="Times New Roman" w:eastAsia="宋体" w:cs="Times New Roman"/>
          <w:b/>
          <w:bCs/>
          <w:color w:val="000000"/>
          <w:sz w:val="24"/>
          <w:szCs w:val="24"/>
        </w:rPr>
      </w:pPr>
      <w:r>
        <w:rPr>
          <w:rFonts w:hint="eastAsia" w:ascii="宋体" w:hAnsi="宋体" w:eastAsia="宋体" w:cs="宋体"/>
          <w:sz w:val="28"/>
          <w:szCs w:val="28"/>
        </w:rPr>
        <w:t>5</w:t>
      </w:r>
      <w:r>
        <w:rPr>
          <w:rFonts w:hint="eastAsia" w:ascii="宋体" w:hAnsi="宋体" w:eastAsia="宋体" w:cs="宋体"/>
          <w:sz w:val="28"/>
          <w:szCs w:val="28"/>
          <w:lang w:val="en-US" w:eastAsia="zh-CN"/>
        </w:rPr>
        <w:t>.</w:t>
      </w:r>
      <w:r>
        <w:rPr>
          <w:rFonts w:hint="eastAsia" w:ascii="宋体" w:hAnsi="宋体" w:eastAsia="宋体" w:cs="宋体"/>
          <w:sz w:val="28"/>
          <w:szCs w:val="28"/>
        </w:rPr>
        <w:t>所有附件文件应以中文书写，作为投标文件的组成部分。</w:t>
      </w:r>
    </w:p>
    <w:p w14:paraId="6335621B"/>
    <w:p w14:paraId="32AEF65B">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238C00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70" w:name="_Toc639004"/>
      <w:bookmarkStart w:id="71" w:name="_Toc25811"/>
      <w:bookmarkStart w:id="72" w:name="_Toc353881012"/>
      <w:bookmarkStart w:id="73"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70"/>
      <w:bookmarkEnd w:id="71"/>
      <w:bookmarkEnd w:id="72"/>
      <w:bookmarkEnd w:id="73"/>
    </w:p>
    <w:p w14:paraId="3666D8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750C60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lang w:eastAsia="zh-CN"/>
        </w:rPr>
        <w:t>AMT变速箱疲劳寿命试验台项目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副本</w:t>
      </w:r>
      <w:r>
        <w:rPr>
          <w:rFonts w:hint="eastAsia" w:ascii="宋体" w:hAnsi="宋体" w:eastAsia="宋体" w:cs="Times New Roman"/>
          <w:color w:val="000000"/>
          <w:sz w:val="24"/>
          <w:szCs w:val="24"/>
          <w:highlight w:val="yellow"/>
          <w:lang w:val="en-US" w:eastAsia="zh-CN"/>
        </w:rPr>
        <w:t>四</w:t>
      </w:r>
      <w:r>
        <w:rPr>
          <w:rFonts w:hint="eastAsia" w:ascii="宋体" w:hAnsi="宋体" w:eastAsia="宋体" w:cs="Times New Roman"/>
          <w:color w:val="000000"/>
          <w:sz w:val="24"/>
          <w:szCs w:val="24"/>
          <w:lang w:val="en-US" w:eastAsia="zh-CN"/>
        </w:rPr>
        <w:t>份</w:t>
      </w:r>
      <w:r>
        <w:rPr>
          <w:rFonts w:hint="eastAsia" w:ascii="宋体" w:hAnsi="宋体" w:eastAsia="宋体" w:cs="Times New Roman"/>
          <w:color w:val="000000"/>
          <w:sz w:val="24"/>
          <w:szCs w:val="24"/>
        </w:rPr>
        <w:t>；电子版投标文件</w:t>
      </w:r>
      <w:r>
        <w:rPr>
          <w:rFonts w:hint="eastAsia" w:ascii="宋体" w:hAnsi="宋体" w:eastAsia="宋体" w:cs="Times New Roman"/>
          <w:color w:val="000000"/>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一份。</w:t>
      </w:r>
    </w:p>
    <w:p w14:paraId="2013F0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170421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C0EF71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0A432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95581D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308F81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FFBB53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847223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B1B65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4DBF7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77A90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59996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1E14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2D0DB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861A6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87888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41AF603">
      <w:pPr>
        <w:rPr>
          <w:rFonts w:ascii="黑体" w:hAnsi="Calibri" w:eastAsia="黑体" w:cs="Times New Roman"/>
          <w:color w:val="000000"/>
          <w:sz w:val="24"/>
          <w:szCs w:val="24"/>
        </w:rPr>
      </w:pPr>
    </w:p>
    <w:p w14:paraId="7B44B5AC">
      <w:pPr>
        <w:pStyle w:val="17"/>
        <w:rPr>
          <w:rFonts w:ascii="黑体" w:hAnsi="Calibri" w:eastAsia="黑体" w:cs="Times New Roman"/>
          <w:color w:val="000000"/>
          <w:sz w:val="24"/>
          <w:szCs w:val="24"/>
        </w:rPr>
      </w:pPr>
    </w:p>
    <w:p w14:paraId="48C55613">
      <w:pPr>
        <w:pStyle w:val="17"/>
        <w:rPr>
          <w:rFonts w:ascii="黑体" w:hAnsi="Calibri" w:eastAsia="黑体" w:cs="Times New Roman"/>
          <w:color w:val="000000"/>
          <w:sz w:val="24"/>
          <w:szCs w:val="24"/>
        </w:rPr>
      </w:pPr>
    </w:p>
    <w:p w14:paraId="1BBB75E6">
      <w:pPr>
        <w:pStyle w:val="17"/>
        <w:rPr>
          <w:rFonts w:ascii="黑体" w:hAnsi="Calibri" w:eastAsia="黑体" w:cs="Times New Roman"/>
          <w:color w:val="000000"/>
          <w:sz w:val="24"/>
          <w:szCs w:val="24"/>
        </w:rPr>
      </w:pPr>
    </w:p>
    <w:p w14:paraId="6A2FFB57">
      <w:pPr>
        <w:pStyle w:val="17"/>
        <w:rPr>
          <w:rFonts w:ascii="黑体" w:hAnsi="Calibri" w:eastAsia="黑体" w:cs="Times New Roman"/>
          <w:color w:val="000000"/>
          <w:sz w:val="24"/>
          <w:szCs w:val="24"/>
        </w:rPr>
      </w:pPr>
    </w:p>
    <w:p w14:paraId="1F0F7CA3">
      <w:pPr>
        <w:rPr>
          <w:rFonts w:ascii="黑体" w:hAnsi="Calibri" w:eastAsia="黑体" w:cs="Times New Roman"/>
          <w:color w:val="000000"/>
          <w:sz w:val="24"/>
          <w:szCs w:val="24"/>
        </w:rPr>
      </w:pPr>
    </w:p>
    <w:p w14:paraId="32E67CF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AC26E0F">
      <w:pPr>
        <w:adjustRightInd w:val="0"/>
        <w:snapToGrid w:val="0"/>
        <w:spacing w:before="93" w:beforeLines="30" w:line="240" w:lineRule="exact"/>
        <w:jc w:val="center"/>
        <w:rPr>
          <w:rFonts w:ascii="宋体" w:hAnsi="Calibri" w:eastAsia="宋体" w:cs="Times New Roman"/>
          <w:sz w:val="24"/>
          <w:szCs w:val="20"/>
        </w:rPr>
      </w:pPr>
    </w:p>
    <w:p w14:paraId="56DCC0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eastAsia="zh-CN"/>
        </w:rPr>
        <w:t>AMT变速箱疲劳寿命试验台项目（</w:t>
      </w:r>
      <w:r>
        <w:rPr>
          <w:rFonts w:hint="eastAsia" w:ascii="宋体" w:hAnsi="宋体" w:eastAsia="宋体" w:cs="宋体"/>
          <w:b/>
          <w:bCs/>
          <w:sz w:val="24"/>
          <w:szCs w:val="24"/>
          <w:u w:val="single"/>
          <w:lang w:eastAsia="zh-CN"/>
        </w:rPr>
        <w:t>CGZX2025040095</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0C26F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D0CDB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A6AE40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B4FAB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212A37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4303A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B9540B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5129E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144D1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FC1DF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765385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90A9A0">
      <w:pPr>
        <w:rPr>
          <w:rFonts w:ascii="Calibri" w:hAnsi="Calibri" w:eastAsia="黑体" w:cs="Times New Roman"/>
          <w:b/>
          <w:bCs/>
          <w:color w:val="000000"/>
          <w:sz w:val="28"/>
          <w:szCs w:val="20"/>
        </w:rPr>
      </w:pPr>
    </w:p>
    <w:p w14:paraId="142479DD">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125F29AB">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40CD5D0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2538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7ACEB83">
            <w:pPr>
              <w:pStyle w:val="133"/>
              <w:spacing w:before="114"/>
              <w:ind w:left="720"/>
            </w:pPr>
            <w:r>
              <w:t xml:space="preserve">企业名称 </w:t>
            </w:r>
          </w:p>
        </w:tc>
        <w:tc>
          <w:tcPr>
            <w:tcW w:w="4680" w:type="dxa"/>
            <w:gridSpan w:val="4"/>
            <w:vAlign w:val="center"/>
          </w:tcPr>
          <w:p w14:paraId="51CDDFE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57CAD8D">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8F898D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BF8B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C234B37">
            <w:pPr>
              <w:pStyle w:val="133"/>
              <w:spacing w:before="114"/>
              <w:ind w:left="720"/>
            </w:pPr>
            <w:r>
              <w:t xml:space="preserve">企业地址 </w:t>
            </w:r>
          </w:p>
        </w:tc>
        <w:tc>
          <w:tcPr>
            <w:tcW w:w="4680" w:type="dxa"/>
            <w:gridSpan w:val="4"/>
            <w:vAlign w:val="center"/>
          </w:tcPr>
          <w:p w14:paraId="7D800D29">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A9AAE00">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1DB7133">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761A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1E75E5C">
            <w:pPr>
              <w:pStyle w:val="133"/>
              <w:spacing w:before="111"/>
              <w:ind w:left="720"/>
            </w:pPr>
            <w:r>
              <w:t xml:space="preserve">企业性质 </w:t>
            </w:r>
          </w:p>
        </w:tc>
        <w:tc>
          <w:tcPr>
            <w:tcW w:w="4680" w:type="dxa"/>
            <w:gridSpan w:val="4"/>
            <w:vAlign w:val="center"/>
          </w:tcPr>
          <w:p w14:paraId="5A18E9A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AF651A2">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255880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01BB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3AE9802">
            <w:pPr>
              <w:pStyle w:val="133"/>
              <w:spacing w:before="111"/>
              <w:ind w:left="509"/>
              <w:rPr>
                <w:highlight w:val="yellow"/>
              </w:rPr>
            </w:pPr>
            <w:r>
              <w:t xml:space="preserve">企业法人代表  </w:t>
            </w:r>
          </w:p>
        </w:tc>
        <w:tc>
          <w:tcPr>
            <w:tcW w:w="4680" w:type="dxa"/>
            <w:gridSpan w:val="4"/>
          </w:tcPr>
          <w:p w14:paraId="13D3FF9A">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111D973E">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FA5B01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9B23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B8BFD0D">
            <w:pPr>
              <w:pStyle w:val="133"/>
              <w:spacing w:before="114"/>
              <w:ind w:left="720"/>
            </w:pPr>
            <w:r>
              <w:t xml:space="preserve">品牌区分 </w:t>
            </w:r>
          </w:p>
        </w:tc>
        <w:tc>
          <w:tcPr>
            <w:tcW w:w="7500" w:type="dxa"/>
            <w:gridSpan w:val="6"/>
          </w:tcPr>
          <w:p w14:paraId="357927B6">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F94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93FE53C">
            <w:pPr>
              <w:pStyle w:val="133"/>
              <w:spacing w:before="178"/>
              <w:ind w:left="720"/>
            </w:pPr>
            <w:r>
              <w:t xml:space="preserve">品牌名称 </w:t>
            </w:r>
          </w:p>
        </w:tc>
        <w:tc>
          <w:tcPr>
            <w:tcW w:w="3583" w:type="dxa"/>
            <w:gridSpan w:val="3"/>
            <w:vAlign w:val="center"/>
          </w:tcPr>
          <w:p w14:paraId="5D8356EB">
            <w:pPr>
              <w:widowControl/>
              <w:rPr>
                <w:rFonts w:ascii="宋体" w:hAnsi="宋体" w:eastAsia="仿宋_GB2312"/>
                <w:kern w:val="0"/>
                <w:szCs w:val="21"/>
                <w:lang w:bidi="ar"/>
              </w:rPr>
            </w:pPr>
          </w:p>
        </w:tc>
        <w:tc>
          <w:tcPr>
            <w:tcW w:w="1097" w:type="dxa"/>
          </w:tcPr>
          <w:p w14:paraId="5DFA77AC">
            <w:pPr>
              <w:pStyle w:val="133"/>
              <w:spacing w:before="15"/>
              <w:ind w:left="279"/>
            </w:pPr>
            <w:r>
              <w:rPr>
                <w:spacing w:val="-2"/>
              </w:rPr>
              <w:t>质量</w:t>
            </w:r>
            <w:r>
              <w:t xml:space="preserve"> </w:t>
            </w:r>
          </w:p>
          <w:p w14:paraId="2A99D453">
            <w:pPr>
              <w:pStyle w:val="133"/>
              <w:spacing w:before="30" w:line="277" w:lineRule="exact"/>
              <w:ind w:left="279"/>
            </w:pPr>
            <w:r>
              <w:rPr>
                <w:rFonts w:hint="eastAsia"/>
              </w:rPr>
              <w:t>体系</w:t>
            </w:r>
          </w:p>
        </w:tc>
        <w:tc>
          <w:tcPr>
            <w:tcW w:w="2820" w:type="dxa"/>
            <w:gridSpan w:val="2"/>
          </w:tcPr>
          <w:p w14:paraId="18FCA63B">
            <w:pPr>
              <w:pStyle w:val="133"/>
              <w:spacing w:before="158"/>
              <w:jc w:val="center"/>
              <w:rPr>
                <w:sz w:val="24"/>
              </w:rPr>
            </w:pPr>
          </w:p>
        </w:tc>
      </w:tr>
      <w:tr w14:paraId="72ACA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27392F6">
            <w:pPr>
              <w:pStyle w:val="133"/>
              <w:spacing w:before="149"/>
              <w:ind w:left="3345" w:right="3223"/>
              <w:jc w:val="center"/>
            </w:pPr>
            <w:r>
              <w:rPr>
                <w:rFonts w:hint="eastAsia"/>
                <w:szCs w:val="21"/>
              </w:rPr>
              <w:t>单位概况</w:t>
            </w:r>
          </w:p>
        </w:tc>
      </w:tr>
      <w:tr w14:paraId="400AE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B24B5C0">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4CA724DF">
            <w:pPr>
              <w:widowControl/>
              <w:textAlignment w:val="center"/>
              <w:rPr>
                <w:rFonts w:ascii="宋体" w:hAnsi="宋体" w:eastAsia="宋体" w:cs="宋体"/>
                <w:szCs w:val="21"/>
              </w:rPr>
            </w:pPr>
          </w:p>
        </w:tc>
        <w:tc>
          <w:tcPr>
            <w:tcW w:w="1530" w:type="dxa"/>
            <w:vAlign w:val="center"/>
          </w:tcPr>
          <w:p w14:paraId="091C0AF2">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A66DF3C">
            <w:pPr>
              <w:widowControl/>
              <w:jc w:val="center"/>
              <w:textAlignment w:val="center"/>
              <w:rPr>
                <w:rFonts w:ascii="宋体" w:hAnsi="宋体" w:eastAsia="宋体" w:cs="宋体"/>
                <w:szCs w:val="21"/>
              </w:rPr>
            </w:pPr>
          </w:p>
        </w:tc>
        <w:tc>
          <w:tcPr>
            <w:tcW w:w="1097" w:type="dxa"/>
            <w:vAlign w:val="center"/>
          </w:tcPr>
          <w:p w14:paraId="3FB9C3E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F24EB99">
            <w:pPr>
              <w:widowControl/>
              <w:jc w:val="center"/>
              <w:textAlignment w:val="center"/>
              <w:rPr>
                <w:rFonts w:ascii="宋体" w:hAnsi="宋体" w:eastAsia="宋体" w:cs="宋体"/>
                <w:szCs w:val="21"/>
              </w:rPr>
            </w:pPr>
          </w:p>
        </w:tc>
      </w:tr>
      <w:tr w14:paraId="2E47D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D23577F">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2055DA7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6299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D8B7B7D">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E94AF5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D9FC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8AA8E0E">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86F8A6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F312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AAC5325">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FA495B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8788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EF652A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EFD723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F5F1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9EF6A7D">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2742C4A1">
            <w:pPr>
              <w:widowControl/>
              <w:jc w:val="left"/>
              <w:rPr>
                <w:rFonts w:ascii="宋体" w:hAnsi="宋体" w:eastAsia="宋体" w:cs="宋体"/>
                <w:kern w:val="0"/>
                <w:szCs w:val="21"/>
                <w:lang w:bidi="ar"/>
              </w:rPr>
            </w:pPr>
          </w:p>
        </w:tc>
      </w:tr>
    </w:tbl>
    <w:p w14:paraId="3E235635">
      <w:pPr>
        <w:pStyle w:val="17"/>
        <w:rPr>
          <w:rFonts w:ascii="Times New Roman" w:hAnsi="Times New Roman" w:eastAsia="宋体" w:cs="Times New Roman"/>
          <w:b/>
          <w:bCs/>
          <w:color w:val="000000"/>
          <w:sz w:val="24"/>
          <w:szCs w:val="24"/>
        </w:rPr>
      </w:pPr>
    </w:p>
    <w:p w14:paraId="2B6EB490">
      <w:pPr>
        <w:pStyle w:val="17"/>
        <w:rPr>
          <w:rFonts w:ascii="Times New Roman" w:hAnsi="Times New Roman" w:eastAsia="宋体" w:cs="Times New Roman"/>
          <w:b/>
          <w:bCs/>
          <w:color w:val="000000"/>
          <w:sz w:val="24"/>
          <w:szCs w:val="24"/>
        </w:rPr>
      </w:pPr>
    </w:p>
    <w:p w14:paraId="5D4AE48B">
      <w:pPr>
        <w:pStyle w:val="17"/>
        <w:rPr>
          <w:rFonts w:ascii="Times New Roman" w:hAnsi="Times New Roman" w:eastAsia="宋体" w:cs="Times New Roman"/>
          <w:b/>
          <w:bCs/>
          <w:color w:val="000000"/>
          <w:sz w:val="24"/>
          <w:szCs w:val="24"/>
        </w:rPr>
      </w:pPr>
    </w:p>
    <w:p w14:paraId="3258A66F">
      <w:pPr>
        <w:pStyle w:val="17"/>
        <w:rPr>
          <w:rFonts w:ascii="Times New Roman" w:hAnsi="Times New Roman" w:eastAsia="宋体" w:cs="Times New Roman"/>
          <w:b/>
          <w:bCs/>
          <w:color w:val="000000"/>
          <w:sz w:val="24"/>
          <w:szCs w:val="24"/>
        </w:rPr>
      </w:pPr>
    </w:p>
    <w:p w14:paraId="31D0E201">
      <w:pPr>
        <w:pStyle w:val="17"/>
        <w:rPr>
          <w:rFonts w:ascii="Times New Roman" w:hAnsi="Times New Roman" w:eastAsia="宋体" w:cs="Times New Roman"/>
          <w:b/>
          <w:bCs/>
          <w:color w:val="000000"/>
          <w:sz w:val="24"/>
          <w:szCs w:val="24"/>
        </w:rPr>
      </w:pPr>
    </w:p>
    <w:p w14:paraId="74F2EF25">
      <w:pPr>
        <w:pStyle w:val="17"/>
        <w:rPr>
          <w:rFonts w:ascii="Times New Roman" w:hAnsi="Times New Roman" w:eastAsia="宋体" w:cs="Times New Roman"/>
          <w:b/>
          <w:bCs/>
          <w:color w:val="000000"/>
          <w:sz w:val="24"/>
          <w:szCs w:val="24"/>
        </w:rPr>
      </w:pPr>
    </w:p>
    <w:p w14:paraId="49F3CE04">
      <w:pPr>
        <w:pStyle w:val="17"/>
        <w:rPr>
          <w:rFonts w:ascii="Times New Roman" w:hAnsi="Times New Roman" w:eastAsia="宋体" w:cs="Times New Roman"/>
          <w:b/>
          <w:bCs/>
          <w:color w:val="000000"/>
          <w:sz w:val="24"/>
          <w:szCs w:val="24"/>
        </w:rPr>
      </w:pPr>
    </w:p>
    <w:p w14:paraId="1F7A313B">
      <w:pPr>
        <w:pStyle w:val="17"/>
        <w:rPr>
          <w:rFonts w:ascii="Times New Roman" w:hAnsi="Times New Roman" w:eastAsia="宋体" w:cs="Times New Roman"/>
          <w:b/>
          <w:bCs/>
          <w:color w:val="000000"/>
          <w:sz w:val="24"/>
          <w:szCs w:val="24"/>
        </w:rPr>
      </w:pPr>
    </w:p>
    <w:p w14:paraId="6227C492">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79F0CAE">
      <w:pPr>
        <w:pStyle w:val="17"/>
        <w:rPr>
          <w:rFonts w:ascii="Times New Roman" w:hAnsi="Times New Roman" w:eastAsia="宋体" w:cs="Times New Roman"/>
          <w:b/>
          <w:bCs/>
          <w:color w:val="000000"/>
          <w:sz w:val="24"/>
          <w:szCs w:val="24"/>
        </w:rPr>
      </w:pPr>
    </w:p>
    <w:tbl>
      <w:tblPr>
        <w:tblStyle w:val="3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1415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188044B7">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39C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67D97EC">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14:paraId="3C75D17E">
            <w:pPr>
              <w:spacing w:line="440" w:lineRule="exact"/>
              <w:jc w:val="center"/>
              <w:rPr>
                <w:rFonts w:ascii="宋体" w:hAnsi="宋体"/>
                <w:color w:val="000000"/>
                <w:sz w:val="24"/>
                <w:szCs w:val="24"/>
              </w:rPr>
            </w:pPr>
          </w:p>
        </w:tc>
      </w:tr>
      <w:tr w14:paraId="0AE1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233CB81">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14:paraId="6E7CCF11">
            <w:pPr>
              <w:spacing w:line="440" w:lineRule="exact"/>
              <w:jc w:val="center"/>
              <w:rPr>
                <w:rFonts w:ascii="宋体" w:hAnsi="宋体"/>
                <w:color w:val="000000"/>
                <w:sz w:val="24"/>
                <w:szCs w:val="24"/>
              </w:rPr>
            </w:pPr>
          </w:p>
        </w:tc>
      </w:tr>
      <w:tr w14:paraId="2257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87E92F2">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14:paraId="34C20189">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650" w:type="dxa"/>
            <w:vAlign w:val="center"/>
          </w:tcPr>
          <w:p w14:paraId="41BE6125">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590" w:type="dxa"/>
            <w:vAlign w:val="center"/>
          </w:tcPr>
          <w:p w14:paraId="11897E9D">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450" w:type="dxa"/>
            <w:vAlign w:val="center"/>
          </w:tcPr>
          <w:p w14:paraId="360BD0A4">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0968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8E81819">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14:paraId="3B58CE68">
            <w:pPr>
              <w:spacing w:line="440" w:lineRule="exact"/>
              <w:jc w:val="center"/>
              <w:rPr>
                <w:rFonts w:ascii="宋体" w:hAnsi="宋体"/>
                <w:color w:val="000000"/>
                <w:sz w:val="24"/>
                <w:szCs w:val="24"/>
              </w:rPr>
            </w:pPr>
          </w:p>
        </w:tc>
        <w:tc>
          <w:tcPr>
            <w:tcW w:w="1650" w:type="dxa"/>
          </w:tcPr>
          <w:p w14:paraId="3A2332D9">
            <w:pPr>
              <w:spacing w:line="440" w:lineRule="exact"/>
              <w:jc w:val="center"/>
              <w:rPr>
                <w:rFonts w:ascii="宋体" w:hAnsi="宋体"/>
                <w:color w:val="000000"/>
                <w:sz w:val="24"/>
                <w:szCs w:val="24"/>
              </w:rPr>
            </w:pPr>
          </w:p>
        </w:tc>
        <w:tc>
          <w:tcPr>
            <w:tcW w:w="1590" w:type="dxa"/>
          </w:tcPr>
          <w:p w14:paraId="177F13F1">
            <w:pPr>
              <w:spacing w:line="440" w:lineRule="exact"/>
              <w:jc w:val="center"/>
              <w:rPr>
                <w:rFonts w:ascii="宋体" w:hAnsi="宋体"/>
                <w:color w:val="000000"/>
                <w:sz w:val="24"/>
                <w:szCs w:val="24"/>
              </w:rPr>
            </w:pPr>
          </w:p>
        </w:tc>
        <w:tc>
          <w:tcPr>
            <w:tcW w:w="1450" w:type="dxa"/>
          </w:tcPr>
          <w:p w14:paraId="5928797E">
            <w:pPr>
              <w:spacing w:line="440" w:lineRule="exact"/>
              <w:jc w:val="center"/>
              <w:rPr>
                <w:rFonts w:ascii="宋体" w:hAnsi="宋体"/>
                <w:color w:val="000000"/>
                <w:sz w:val="24"/>
                <w:szCs w:val="24"/>
              </w:rPr>
            </w:pPr>
          </w:p>
        </w:tc>
      </w:tr>
      <w:tr w14:paraId="22DB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DEDDC20">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14:paraId="452E2F49">
            <w:pPr>
              <w:spacing w:line="440" w:lineRule="exact"/>
              <w:jc w:val="center"/>
              <w:rPr>
                <w:rFonts w:ascii="宋体" w:hAnsi="宋体"/>
                <w:color w:val="000000"/>
                <w:sz w:val="24"/>
                <w:szCs w:val="24"/>
              </w:rPr>
            </w:pPr>
          </w:p>
        </w:tc>
        <w:tc>
          <w:tcPr>
            <w:tcW w:w="1650" w:type="dxa"/>
          </w:tcPr>
          <w:p w14:paraId="2E39C530">
            <w:pPr>
              <w:spacing w:line="440" w:lineRule="exact"/>
              <w:jc w:val="center"/>
              <w:rPr>
                <w:rFonts w:ascii="宋体" w:hAnsi="宋体"/>
                <w:color w:val="000000"/>
                <w:sz w:val="24"/>
                <w:szCs w:val="24"/>
              </w:rPr>
            </w:pPr>
          </w:p>
        </w:tc>
        <w:tc>
          <w:tcPr>
            <w:tcW w:w="1590" w:type="dxa"/>
          </w:tcPr>
          <w:p w14:paraId="405C2332">
            <w:pPr>
              <w:spacing w:line="440" w:lineRule="exact"/>
              <w:jc w:val="center"/>
              <w:rPr>
                <w:rFonts w:ascii="宋体" w:hAnsi="宋体"/>
                <w:color w:val="000000"/>
                <w:sz w:val="24"/>
                <w:szCs w:val="24"/>
              </w:rPr>
            </w:pPr>
          </w:p>
        </w:tc>
        <w:tc>
          <w:tcPr>
            <w:tcW w:w="1450" w:type="dxa"/>
          </w:tcPr>
          <w:p w14:paraId="5F02C87D">
            <w:pPr>
              <w:spacing w:line="440" w:lineRule="exact"/>
              <w:jc w:val="center"/>
              <w:rPr>
                <w:rFonts w:ascii="宋体" w:hAnsi="宋体"/>
                <w:color w:val="000000"/>
                <w:sz w:val="24"/>
                <w:szCs w:val="24"/>
              </w:rPr>
            </w:pPr>
          </w:p>
        </w:tc>
      </w:tr>
      <w:tr w14:paraId="1721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A6936B">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14:paraId="5B28AEEB">
            <w:pPr>
              <w:spacing w:line="440" w:lineRule="exact"/>
              <w:jc w:val="center"/>
              <w:rPr>
                <w:rFonts w:ascii="宋体" w:hAnsi="宋体"/>
                <w:color w:val="000000"/>
                <w:sz w:val="24"/>
                <w:szCs w:val="24"/>
                <w:highlight w:val="yellow"/>
              </w:rPr>
            </w:pPr>
          </w:p>
        </w:tc>
        <w:tc>
          <w:tcPr>
            <w:tcW w:w="1650" w:type="dxa"/>
          </w:tcPr>
          <w:p w14:paraId="2B61337C">
            <w:pPr>
              <w:spacing w:line="440" w:lineRule="exact"/>
              <w:jc w:val="center"/>
              <w:rPr>
                <w:rFonts w:ascii="宋体" w:hAnsi="宋体"/>
                <w:color w:val="000000"/>
                <w:sz w:val="24"/>
                <w:szCs w:val="24"/>
                <w:highlight w:val="yellow"/>
              </w:rPr>
            </w:pPr>
          </w:p>
        </w:tc>
        <w:tc>
          <w:tcPr>
            <w:tcW w:w="1590" w:type="dxa"/>
          </w:tcPr>
          <w:p w14:paraId="3DEDE551">
            <w:pPr>
              <w:spacing w:line="440" w:lineRule="exact"/>
              <w:jc w:val="center"/>
              <w:rPr>
                <w:rFonts w:ascii="宋体" w:hAnsi="宋体"/>
                <w:color w:val="000000"/>
                <w:sz w:val="24"/>
                <w:szCs w:val="24"/>
                <w:highlight w:val="yellow"/>
              </w:rPr>
            </w:pPr>
          </w:p>
        </w:tc>
        <w:tc>
          <w:tcPr>
            <w:tcW w:w="1450" w:type="dxa"/>
          </w:tcPr>
          <w:p w14:paraId="3DD0C820">
            <w:pPr>
              <w:spacing w:line="440" w:lineRule="exact"/>
              <w:jc w:val="center"/>
              <w:rPr>
                <w:rFonts w:ascii="宋体" w:hAnsi="宋体"/>
                <w:color w:val="000000"/>
                <w:sz w:val="24"/>
                <w:szCs w:val="24"/>
                <w:highlight w:val="yellow"/>
              </w:rPr>
            </w:pPr>
          </w:p>
        </w:tc>
      </w:tr>
      <w:tr w14:paraId="2F5B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D36C1AE">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14:paraId="06C78D31">
            <w:pPr>
              <w:spacing w:line="440" w:lineRule="exact"/>
              <w:jc w:val="center"/>
              <w:rPr>
                <w:rFonts w:ascii="宋体" w:hAnsi="宋体"/>
                <w:color w:val="000000"/>
                <w:sz w:val="24"/>
                <w:szCs w:val="24"/>
              </w:rPr>
            </w:pPr>
          </w:p>
        </w:tc>
        <w:tc>
          <w:tcPr>
            <w:tcW w:w="1650" w:type="dxa"/>
          </w:tcPr>
          <w:p w14:paraId="7C9FD94A">
            <w:pPr>
              <w:spacing w:line="440" w:lineRule="exact"/>
              <w:jc w:val="center"/>
              <w:rPr>
                <w:rFonts w:ascii="宋体" w:hAnsi="宋体"/>
                <w:color w:val="000000"/>
                <w:sz w:val="24"/>
                <w:szCs w:val="24"/>
              </w:rPr>
            </w:pPr>
          </w:p>
        </w:tc>
        <w:tc>
          <w:tcPr>
            <w:tcW w:w="1590" w:type="dxa"/>
          </w:tcPr>
          <w:p w14:paraId="18F5CC68">
            <w:pPr>
              <w:spacing w:line="440" w:lineRule="exact"/>
              <w:jc w:val="center"/>
              <w:rPr>
                <w:rFonts w:ascii="宋体" w:hAnsi="宋体"/>
                <w:color w:val="000000"/>
                <w:sz w:val="24"/>
                <w:szCs w:val="24"/>
              </w:rPr>
            </w:pPr>
          </w:p>
        </w:tc>
        <w:tc>
          <w:tcPr>
            <w:tcW w:w="1450" w:type="dxa"/>
          </w:tcPr>
          <w:p w14:paraId="7E78DE14">
            <w:pPr>
              <w:spacing w:line="440" w:lineRule="exact"/>
              <w:jc w:val="center"/>
              <w:rPr>
                <w:rFonts w:ascii="宋体" w:hAnsi="宋体"/>
                <w:color w:val="000000"/>
                <w:sz w:val="24"/>
                <w:szCs w:val="24"/>
              </w:rPr>
            </w:pPr>
          </w:p>
        </w:tc>
      </w:tr>
      <w:tr w14:paraId="7749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14:paraId="528DEED5">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14:paraId="0894EF17">
            <w:pPr>
              <w:spacing w:line="440" w:lineRule="exact"/>
              <w:jc w:val="center"/>
              <w:rPr>
                <w:rFonts w:ascii="宋体" w:hAnsi="宋体"/>
                <w:color w:val="000000"/>
                <w:sz w:val="24"/>
                <w:szCs w:val="24"/>
              </w:rPr>
            </w:pPr>
          </w:p>
        </w:tc>
        <w:tc>
          <w:tcPr>
            <w:tcW w:w="1650" w:type="dxa"/>
          </w:tcPr>
          <w:p w14:paraId="044A8CEB">
            <w:pPr>
              <w:spacing w:line="440" w:lineRule="exact"/>
              <w:jc w:val="center"/>
              <w:rPr>
                <w:rFonts w:ascii="宋体" w:hAnsi="宋体"/>
                <w:color w:val="000000"/>
                <w:sz w:val="24"/>
                <w:szCs w:val="24"/>
              </w:rPr>
            </w:pPr>
          </w:p>
        </w:tc>
        <w:tc>
          <w:tcPr>
            <w:tcW w:w="1590" w:type="dxa"/>
          </w:tcPr>
          <w:p w14:paraId="04105321">
            <w:pPr>
              <w:spacing w:line="440" w:lineRule="exact"/>
              <w:jc w:val="center"/>
              <w:rPr>
                <w:rFonts w:ascii="宋体" w:hAnsi="宋体"/>
                <w:color w:val="000000"/>
                <w:sz w:val="24"/>
                <w:szCs w:val="24"/>
              </w:rPr>
            </w:pPr>
          </w:p>
        </w:tc>
        <w:tc>
          <w:tcPr>
            <w:tcW w:w="1450" w:type="dxa"/>
          </w:tcPr>
          <w:p w14:paraId="33CF7327">
            <w:pPr>
              <w:spacing w:line="440" w:lineRule="exact"/>
              <w:jc w:val="center"/>
              <w:rPr>
                <w:rFonts w:ascii="宋体" w:hAnsi="宋体"/>
                <w:color w:val="000000"/>
                <w:sz w:val="24"/>
                <w:szCs w:val="24"/>
              </w:rPr>
            </w:pPr>
          </w:p>
        </w:tc>
      </w:tr>
      <w:tr w14:paraId="491E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jc w:val="center"/>
        </w:trPr>
        <w:tc>
          <w:tcPr>
            <w:tcW w:w="2519" w:type="dxa"/>
            <w:vAlign w:val="center"/>
          </w:tcPr>
          <w:p w14:paraId="34CAA7D4">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14:paraId="20701A9B">
            <w:pPr>
              <w:spacing w:line="440" w:lineRule="exact"/>
              <w:jc w:val="center"/>
              <w:rPr>
                <w:rFonts w:ascii="宋体" w:hAnsi="宋体"/>
                <w:color w:val="000000"/>
                <w:sz w:val="24"/>
                <w:szCs w:val="24"/>
                <w:highlight w:val="yellow"/>
              </w:rPr>
            </w:pPr>
          </w:p>
        </w:tc>
        <w:tc>
          <w:tcPr>
            <w:tcW w:w="1650" w:type="dxa"/>
          </w:tcPr>
          <w:p w14:paraId="7244B865">
            <w:pPr>
              <w:spacing w:line="440" w:lineRule="exact"/>
              <w:jc w:val="center"/>
              <w:rPr>
                <w:rFonts w:ascii="宋体" w:hAnsi="宋体"/>
                <w:color w:val="000000"/>
                <w:sz w:val="24"/>
                <w:szCs w:val="24"/>
                <w:highlight w:val="yellow"/>
              </w:rPr>
            </w:pPr>
          </w:p>
        </w:tc>
        <w:tc>
          <w:tcPr>
            <w:tcW w:w="1590" w:type="dxa"/>
          </w:tcPr>
          <w:p w14:paraId="536ED00B">
            <w:pPr>
              <w:spacing w:line="440" w:lineRule="exact"/>
              <w:jc w:val="center"/>
              <w:rPr>
                <w:rFonts w:ascii="宋体" w:hAnsi="宋体"/>
                <w:color w:val="000000"/>
                <w:sz w:val="24"/>
                <w:szCs w:val="24"/>
                <w:highlight w:val="yellow"/>
              </w:rPr>
            </w:pPr>
          </w:p>
        </w:tc>
        <w:tc>
          <w:tcPr>
            <w:tcW w:w="1450" w:type="dxa"/>
          </w:tcPr>
          <w:p w14:paraId="5E9CEF5F">
            <w:pPr>
              <w:spacing w:line="440" w:lineRule="exact"/>
              <w:jc w:val="center"/>
              <w:rPr>
                <w:rFonts w:ascii="宋体" w:hAnsi="宋体"/>
                <w:color w:val="000000"/>
                <w:sz w:val="24"/>
                <w:szCs w:val="24"/>
                <w:highlight w:val="yellow"/>
              </w:rPr>
            </w:pPr>
          </w:p>
        </w:tc>
      </w:tr>
      <w:tr w14:paraId="2CAE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961BF5">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14:paraId="4EE0080E">
            <w:pPr>
              <w:spacing w:line="440" w:lineRule="exact"/>
              <w:jc w:val="center"/>
              <w:rPr>
                <w:rFonts w:ascii="宋体" w:hAnsi="宋体"/>
                <w:color w:val="000000"/>
                <w:sz w:val="24"/>
                <w:szCs w:val="24"/>
                <w:highlight w:val="yellow"/>
              </w:rPr>
            </w:pPr>
          </w:p>
        </w:tc>
        <w:tc>
          <w:tcPr>
            <w:tcW w:w="1650" w:type="dxa"/>
          </w:tcPr>
          <w:p w14:paraId="3BE31C8F">
            <w:pPr>
              <w:spacing w:line="440" w:lineRule="exact"/>
              <w:jc w:val="center"/>
              <w:rPr>
                <w:rFonts w:ascii="宋体" w:hAnsi="宋体"/>
                <w:color w:val="000000"/>
                <w:sz w:val="24"/>
                <w:szCs w:val="24"/>
                <w:highlight w:val="yellow"/>
              </w:rPr>
            </w:pPr>
          </w:p>
        </w:tc>
        <w:tc>
          <w:tcPr>
            <w:tcW w:w="1590" w:type="dxa"/>
          </w:tcPr>
          <w:p w14:paraId="652FE6EE">
            <w:pPr>
              <w:spacing w:line="440" w:lineRule="exact"/>
              <w:jc w:val="center"/>
              <w:rPr>
                <w:rFonts w:ascii="宋体" w:hAnsi="宋体"/>
                <w:color w:val="000000"/>
                <w:sz w:val="24"/>
                <w:szCs w:val="24"/>
                <w:highlight w:val="yellow"/>
              </w:rPr>
            </w:pPr>
          </w:p>
        </w:tc>
        <w:tc>
          <w:tcPr>
            <w:tcW w:w="1450" w:type="dxa"/>
          </w:tcPr>
          <w:p w14:paraId="4002467F">
            <w:pPr>
              <w:spacing w:line="440" w:lineRule="exact"/>
              <w:jc w:val="center"/>
              <w:rPr>
                <w:rFonts w:ascii="宋体" w:hAnsi="宋体"/>
                <w:color w:val="000000"/>
                <w:sz w:val="24"/>
                <w:szCs w:val="24"/>
                <w:highlight w:val="yellow"/>
              </w:rPr>
            </w:pPr>
          </w:p>
        </w:tc>
      </w:tr>
      <w:tr w14:paraId="7591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836318F">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14:paraId="19182871">
            <w:pPr>
              <w:spacing w:line="440" w:lineRule="exact"/>
              <w:jc w:val="center"/>
              <w:rPr>
                <w:rFonts w:ascii="宋体" w:hAnsi="宋体"/>
                <w:color w:val="000000"/>
                <w:sz w:val="24"/>
                <w:szCs w:val="24"/>
              </w:rPr>
            </w:pPr>
          </w:p>
        </w:tc>
        <w:tc>
          <w:tcPr>
            <w:tcW w:w="1650" w:type="dxa"/>
          </w:tcPr>
          <w:p w14:paraId="4B81611E">
            <w:pPr>
              <w:spacing w:line="440" w:lineRule="exact"/>
              <w:jc w:val="center"/>
              <w:rPr>
                <w:rFonts w:ascii="宋体" w:hAnsi="宋体"/>
                <w:color w:val="000000"/>
                <w:sz w:val="24"/>
                <w:szCs w:val="24"/>
              </w:rPr>
            </w:pPr>
          </w:p>
        </w:tc>
        <w:tc>
          <w:tcPr>
            <w:tcW w:w="1590" w:type="dxa"/>
          </w:tcPr>
          <w:p w14:paraId="4DD85315">
            <w:pPr>
              <w:spacing w:line="440" w:lineRule="exact"/>
              <w:jc w:val="center"/>
              <w:rPr>
                <w:rFonts w:ascii="宋体" w:hAnsi="宋体"/>
                <w:color w:val="000000"/>
                <w:sz w:val="24"/>
                <w:szCs w:val="24"/>
              </w:rPr>
            </w:pPr>
          </w:p>
        </w:tc>
        <w:tc>
          <w:tcPr>
            <w:tcW w:w="1450" w:type="dxa"/>
          </w:tcPr>
          <w:p w14:paraId="19380F24">
            <w:pPr>
              <w:spacing w:line="440" w:lineRule="exact"/>
              <w:jc w:val="center"/>
              <w:rPr>
                <w:rFonts w:ascii="宋体" w:hAnsi="宋体"/>
                <w:color w:val="000000"/>
                <w:sz w:val="24"/>
                <w:szCs w:val="24"/>
              </w:rPr>
            </w:pPr>
          </w:p>
        </w:tc>
      </w:tr>
      <w:tr w14:paraId="0AEA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14:paraId="73E4DE55">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14:paraId="61DE1349">
            <w:pPr>
              <w:spacing w:line="440" w:lineRule="exact"/>
              <w:jc w:val="center"/>
              <w:rPr>
                <w:rFonts w:ascii="宋体" w:hAnsi="宋体"/>
                <w:color w:val="000000"/>
                <w:sz w:val="24"/>
                <w:szCs w:val="24"/>
              </w:rPr>
            </w:pPr>
          </w:p>
        </w:tc>
        <w:tc>
          <w:tcPr>
            <w:tcW w:w="1650" w:type="dxa"/>
          </w:tcPr>
          <w:p w14:paraId="4A874ADA">
            <w:pPr>
              <w:spacing w:line="440" w:lineRule="exact"/>
              <w:jc w:val="center"/>
              <w:rPr>
                <w:rFonts w:ascii="宋体" w:hAnsi="宋体"/>
                <w:color w:val="000000"/>
                <w:sz w:val="24"/>
                <w:szCs w:val="24"/>
              </w:rPr>
            </w:pPr>
          </w:p>
        </w:tc>
        <w:tc>
          <w:tcPr>
            <w:tcW w:w="1590" w:type="dxa"/>
          </w:tcPr>
          <w:p w14:paraId="0EA02587">
            <w:pPr>
              <w:spacing w:line="440" w:lineRule="exact"/>
              <w:jc w:val="center"/>
              <w:rPr>
                <w:rFonts w:ascii="宋体" w:hAnsi="宋体"/>
                <w:color w:val="000000"/>
                <w:sz w:val="24"/>
                <w:szCs w:val="24"/>
              </w:rPr>
            </w:pPr>
          </w:p>
        </w:tc>
        <w:tc>
          <w:tcPr>
            <w:tcW w:w="1450" w:type="dxa"/>
          </w:tcPr>
          <w:p w14:paraId="57DE1AD5">
            <w:pPr>
              <w:spacing w:line="440" w:lineRule="exact"/>
              <w:jc w:val="center"/>
              <w:rPr>
                <w:rFonts w:ascii="宋体" w:hAnsi="宋体"/>
                <w:color w:val="000000"/>
                <w:sz w:val="24"/>
                <w:szCs w:val="24"/>
              </w:rPr>
            </w:pPr>
          </w:p>
        </w:tc>
      </w:tr>
      <w:tr w14:paraId="6FB2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D4A946D">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14:paraId="457E6630">
            <w:pPr>
              <w:spacing w:line="440" w:lineRule="exact"/>
              <w:jc w:val="center"/>
              <w:rPr>
                <w:rFonts w:ascii="宋体" w:hAnsi="宋体"/>
                <w:color w:val="000000"/>
                <w:sz w:val="24"/>
                <w:szCs w:val="24"/>
              </w:rPr>
            </w:pPr>
          </w:p>
        </w:tc>
        <w:tc>
          <w:tcPr>
            <w:tcW w:w="1650" w:type="dxa"/>
          </w:tcPr>
          <w:p w14:paraId="2EFED431">
            <w:pPr>
              <w:spacing w:line="440" w:lineRule="exact"/>
              <w:jc w:val="center"/>
              <w:rPr>
                <w:rFonts w:ascii="宋体" w:hAnsi="宋体"/>
                <w:color w:val="000000"/>
                <w:sz w:val="24"/>
                <w:szCs w:val="24"/>
              </w:rPr>
            </w:pPr>
          </w:p>
        </w:tc>
        <w:tc>
          <w:tcPr>
            <w:tcW w:w="1590" w:type="dxa"/>
          </w:tcPr>
          <w:p w14:paraId="2922F9BB">
            <w:pPr>
              <w:spacing w:line="440" w:lineRule="exact"/>
              <w:jc w:val="center"/>
              <w:rPr>
                <w:rFonts w:ascii="宋体" w:hAnsi="宋体"/>
                <w:color w:val="000000"/>
                <w:sz w:val="24"/>
                <w:szCs w:val="24"/>
              </w:rPr>
            </w:pPr>
          </w:p>
        </w:tc>
        <w:tc>
          <w:tcPr>
            <w:tcW w:w="1450" w:type="dxa"/>
          </w:tcPr>
          <w:p w14:paraId="27B8B4F3">
            <w:pPr>
              <w:spacing w:line="440" w:lineRule="exact"/>
              <w:jc w:val="center"/>
              <w:rPr>
                <w:rFonts w:ascii="宋体" w:hAnsi="宋体"/>
                <w:color w:val="000000"/>
                <w:sz w:val="24"/>
                <w:szCs w:val="24"/>
              </w:rPr>
            </w:pPr>
          </w:p>
        </w:tc>
      </w:tr>
    </w:tbl>
    <w:p w14:paraId="200DFA9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DD56EB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C0F184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EA573A1">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7DADF47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C5549E6">
      <w:pPr>
        <w:spacing w:line="240" w:lineRule="exact"/>
        <w:jc w:val="center"/>
        <w:rPr>
          <w:rFonts w:ascii="宋体" w:hAnsi="Calibri" w:eastAsia="宋体" w:cs="Times New Roman"/>
          <w:b/>
          <w:bCs/>
          <w:sz w:val="36"/>
          <w:szCs w:val="20"/>
        </w:rPr>
      </w:pPr>
    </w:p>
    <w:p w14:paraId="779BCE2C">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eastAsia="zh-CN"/>
        </w:rPr>
        <w:t>AMT变速箱疲劳寿命试验台项目</w:t>
      </w:r>
    </w:p>
    <w:p w14:paraId="2C01E59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4F353FD">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0B69DDA4">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A3830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0FC87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644F5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2CD6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1544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F037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0763D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E509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0BCA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5E8D7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7172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562D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A366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2DC764">
      <w:pPr>
        <w:spacing w:line="360" w:lineRule="auto"/>
        <w:ind w:firstLine="480" w:firstLineChars="200"/>
        <w:rPr>
          <w:rFonts w:ascii="宋体" w:hAnsi="宋体" w:eastAsia="宋体" w:cs="Times New Roman"/>
          <w:sz w:val="24"/>
          <w:szCs w:val="20"/>
          <w:u w:val="single"/>
        </w:rPr>
      </w:pPr>
    </w:p>
    <w:p w14:paraId="1FD364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41D8E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711B0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1D2E69A">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566352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29E3EB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u w:val="single"/>
          <w:lang w:eastAsia="zh-CN"/>
        </w:rPr>
        <w:t>AMT变速箱疲劳寿命试验台项目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D38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47419B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1ABFC1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F5BA6F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408D0B0">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252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DBD3B6B">
            <w:pPr>
              <w:jc w:val="center"/>
              <w:rPr>
                <w:rFonts w:ascii="Times New Roman" w:hAnsi="Times New Roman" w:eastAsia="宋体" w:cs="Times New Roman"/>
                <w:b/>
                <w:sz w:val="24"/>
                <w:szCs w:val="20"/>
              </w:rPr>
            </w:pPr>
          </w:p>
        </w:tc>
        <w:tc>
          <w:tcPr>
            <w:tcW w:w="3449" w:type="dxa"/>
          </w:tcPr>
          <w:p w14:paraId="60A4DAD7">
            <w:pPr>
              <w:jc w:val="center"/>
              <w:rPr>
                <w:rFonts w:ascii="Times New Roman" w:hAnsi="Times New Roman" w:eastAsia="宋体" w:cs="Times New Roman"/>
                <w:b/>
                <w:sz w:val="24"/>
                <w:szCs w:val="20"/>
              </w:rPr>
            </w:pPr>
          </w:p>
        </w:tc>
        <w:tc>
          <w:tcPr>
            <w:tcW w:w="2414" w:type="dxa"/>
          </w:tcPr>
          <w:p w14:paraId="389C9920">
            <w:pPr>
              <w:jc w:val="center"/>
              <w:rPr>
                <w:rFonts w:ascii="Times New Roman" w:hAnsi="Times New Roman" w:eastAsia="宋体" w:cs="Times New Roman"/>
                <w:b/>
                <w:sz w:val="24"/>
                <w:szCs w:val="20"/>
              </w:rPr>
            </w:pPr>
          </w:p>
        </w:tc>
        <w:tc>
          <w:tcPr>
            <w:tcW w:w="1608" w:type="dxa"/>
          </w:tcPr>
          <w:p w14:paraId="14495F98">
            <w:pPr>
              <w:jc w:val="center"/>
              <w:rPr>
                <w:rFonts w:ascii="Times New Roman" w:hAnsi="Times New Roman" w:eastAsia="宋体" w:cs="Times New Roman"/>
                <w:b/>
                <w:sz w:val="24"/>
                <w:szCs w:val="20"/>
              </w:rPr>
            </w:pPr>
          </w:p>
        </w:tc>
      </w:tr>
      <w:tr w14:paraId="1FD5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613D345">
            <w:pPr>
              <w:jc w:val="center"/>
              <w:rPr>
                <w:rFonts w:ascii="Times New Roman" w:hAnsi="Times New Roman" w:eastAsia="宋体" w:cs="Times New Roman"/>
                <w:b/>
                <w:sz w:val="24"/>
                <w:szCs w:val="20"/>
              </w:rPr>
            </w:pPr>
          </w:p>
        </w:tc>
        <w:tc>
          <w:tcPr>
            <w:tcW w:w="3449" w:type="dxa"/>
          </w:tcPr>
          <w:p w14:paraId="2D710551">
            <w:pPr>
              <w:jc w:val="center"/>
              <w:rPr>
                <w:rFonts w:ascii="Times New Roman" w:hAnsi="Times New Roman" w:eastAsia="宋体" w:cs="Times New Roman"/>
                <w:b/>
                <w:sz w:val="24"/>
                <w:szCs w:val="20"/>
              </w:rPr>
            </w:pPr>
          </w:p>
        </w:tc>
        <w:tc>
          <w:tcPr>
            <w:tcW w:w="2414" w:type="dxa"/>
          </w:tcPr>
          <w:p w14:paraId="269DD35D">
            <w:pPr>
              <w:jc w:val="center"/>
              <w:rPr>
                <w:rFonts w:ascii="Times New Roman" w:hAnsi="Times New Roman" w:eastAsia="宋体" w:cs="Times New Roman"/>
                <w:b/>
                <w:sz w:val="24"/>
                <w:szCs w:val="20"/>
              </w:rPr>
            </w:pPr>
          </w:p>
        </w:tc>
        <w:tc>
          <w:tcPr>
            <w:tcW w:w="1608" w:type="dxa"/>
          </w:tcPr>
          <w:p w14:paraId="057BAE2D">
            <w:pPr>
              <w:jc w:val="center"/>
              <w:rPr>
                <w:rFonts w:ascii="Times New Roman" w:hAnsi="Times New Roman" w:eastAsia="宋体" w:cs="Times New Roman"/>
                <w:b/>
                <w:sz w:val="24"/>
                <w:szCs w:val="20"/>
              </w:rPr>
            </w:pPr>
          </w:p>
        </w:tc>
      </w:tr>
      <w:tr w14:paraId="04E1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731BBF">
            <w:pPr>
              <w:jc w:val="center"/>
              <w:rPr>
                <w:rFonts w:ascii="Times New Roman" w:hAnsi="Times New Roman" w:eastAsia="宋体" w:cs="Times New Roman"/>
                <w:b/>
                <w:sz w:val="24"/>
                <w:szCs w:val="20"/>
              </w:rPr>
            </w:pPr>
          </w:p>
        </w:tc>
        <w:tc>
          <w:tcPr>
            <w:tcW w:w="3449" w:type="dxa"/>
          </w:tcPr>
          <w:p w14:paraId="44067A16">
            <w:pPr>
              <w:jc w:val="center"/>
              <w:rPr>
                <w:rFonts w:ascii="Times New Roman" w:hAnsi="Times New Roman" w:eastAsia="宋体" w:cs="Times New Roman"/>
                <w:b/>
                <w:sz w:val="24"/>
                <w:szCs w:val="20"/>
              </w:rPr>
            </w:pPr>
          </w:p>
        </w:tc>
        <w:tc>
          <w:tcPr>
            <w:tcW w:w="2414" w:type="dxa"/>
          </w:tcPr>
          <w:p w14:paraId="6CA548C2">
            <w:pPr>
              <w:jc w:val="center"/>
              <w:rPr>
                <w:rFonts w:ascii="Times New Roman" w:hAnsi="Times New Roman" w:eastAsia="宋体" w:cs="Times New Roman"/>
                <w:b/>
                <w:sz w:val="24"/>
                <w:szCs w:val="20"/>
              </w:rPr>
            </w:pPr>
          </w:p>
        </w:tc>
        <w:tc>
          <w:tcPr>
            <w:tcW w:w="1608" w:type="dxa"/>
          </w:tcPr>
          <w:p w14:paraId="1CB93936">
            <w:pPr>
              <w:jc w:val="center"/>
              <w:rPr>
                <w:rFonts w:ascii="Times New Roman" w:hAnsi="Times New Roman" w:eastAsia="宋体" w:cs="Times New Roman"/>
                <w:b/>
                <w:sz w:val="24"/>
                <w:szCs w:val="20"/>
              </w:rPr>
            </w:pPr>
          </w:p>
        </w:tc>
      </w:tr>
      <w:tr w14:paraId="35A3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395AC8C">
            <w:pPr>
              <w:jc w:val="center"/>
              <w:rPr>
                <w:rFonts w:ascii="Times New Roman" w:hAnsi="Times New Roman" w:eastAsia="宋体" w:cs="Times New Roman"/>
                <w:b/>
                <w:sz w:val="24"/>
                <w:szCs w:val="20"/>
              </w:rPr>
            </w:pPr>
          </w:p>
        </w:tc>
        <w:tc>
          <w:tcPr>
            <w:tcW w:w="3449" w:type="dxa"/>
          </w:tcPr>
          <w:p w14:paraId="77C674CA">
            <w:pPr>
              <w:jc w:val="center"/>
              <w:rPr>
                <w:rFonts w:ascii="Times New Roman" w:hAnsi="Times New Roman" w:eastAsia="宋体" w:cs="Times New Roman"/>
                <w:b/>
                <w:sz w:val="24"/>
                <w:szCs w:val="20"/>
              </w:rPr>
            </w:pPr>
          </w:p>
        </w:tc>
        <w:tc>
          <w:tcPr>
            <w:tcW w:w="2414" w:type="dxa"/>
          </w:tcPr>
          <w:p w14:paraId="0480FA9E">
            <w:pPr>
              <w:jc w:val="center"/>
              <w:rPr>
                <w:rFonts w:ascii="Times New Roman" w:hAnsi="Times New Roman" w:eastAsia="宋体" w:cs="Times New Roman"/>
                <w:b/>
                <w:sz w:val="24"/>
                <w:szCs w:val="20"/>
              </w:rPr>
            </w:pPr>
          </w:p>
        </w:tc>
        <w:tc>
          <w:tcPr>
            <w:tcW w:w="1608" w:type="dxa"/>
          </w:tcPr>
          <w:p w14:paraId="360A5F78">
            <w:pPr>
              <w:jc w:val="center"/>
              <w:rPr>
                <w:rFonts w:ascii="Times New Roman" w:hAnsi="Times New Roman" w:eastAsia="宋体" w:cs="Times New Roman"/>
                <w:b/>
                <w:sz w:val="24"/>
                <w:szCs w:val="20"/>
              </w:rPr>
            </w:pPr>
          </w:p>
        </w:tc>
      </w:tr>
      <w:tr w14:paraId="3E70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4E22B4D">
            <w:pPr>
              <w:jc w:val="center"/>
              <w:rPr>
                <w:rFonts w:ascii="Times New Roman" w:hAnsi="Times New Roman" w:eastAsia="宋体" w:cs="Times New Roman"/>
                <w:b/>
                <w:sz w:val="24"/>
                <w:szCs w:val="20"/>
              </w:rPr>
            </w:pPr>
          </w:p>
        </w:tc>
        <w:tc>
          <w:tcPr>
            <w:tcW w:w="3449" w:type="dxa"/>
          </w:tcPr>
          <w:p w14:paraId="0B6BE431">
            <w:pPr>
              <w:jc w:val="center"/>
              <w:rPr>
                <w:rFonts w:ascii="Times New Roman" w:hAnsi="Times New Roman" w:eastAsia="宋体" w:cs="Times New Roman"/>
                <w:b/>
                <w:sz w:val="24"/>
                <w:szCs w:val="20"/>
              </w:rPr>
            </w:pPr>
          </w:p>
        </w:tc>
        <w:tc>
          <w:tcPr>
            <w:tcW w:w="2414" w:type="dxa"/>
          </w:tcPr>
          <w:p w14:paraId="1930E668">
            <w:pPr>
              <w:jc w:val="center"/>
              <w:rPr>
                <w:rFonts w:ascii="Times New Roman" w:hAnsi="Times New Roman" w:eastAsia="宋体" w:cs="Times New Roman"/>
                <w:b/>
                <w:sz w:val="24"/>
                <w:szCs w:val="20"/>
              </w:rPr>
            </w:pPr>
          </w:p>
        </w:tc>
        <w:tc>
          <w:tcPr>
            <w:tcW w:w="1608" w:type="dxa"/>
          </w:tcPr>
          <w:p w14:paraId="75764D15">
            <w:pPr>
              <w:jc w:val="center"/>
              <w:rPr>
                <w:rFonts w:ascii="Times New Roman" w:hAnsi="Times New Roman" w:eastAsia="宋体" w:cs="Times New Roman"/>
                <w:b/>
                <w:sz w:val="24"/>
                <w:szCs w:val="20"/>
              </w:rPr>
            </w:pPr>
          </w:p>
        </w:tc>
      </w:tr>
      <w:tr w14:paraId="3EEB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39616FA">
            <w:pPr>
              <w:jc w:val="center"/>
              <w:rPr>
                <w:rFonts w:ascii="Times New Roman" w:hAnsi="Times New Roman" w:eastAsia="宋体" w:cs="Times New Roman"/>
                <w:b/>
                <w:sz w:val="24"/>
                <w:szCs w:val="20"/>
              </w:rPr>
            </w:pPr>
          </w:p>
        </w:tc>
        <w:tc>
          <w:tcPr>
            <w:tcW w:w="3449" w:type="dxa"/>
          </w:tcPr>
          <w:p w14:paraId="27E4BD4C">
            <w:pPr>
              <w:jc w:val="center"/>
              <w:rPr>
                <w:rFonts w:ascii="Times New Roman" w:hAnsi="Times New Roman" w:eastAsia="宋体" w:cs="Times New Roman"/>
                <w:b/>
                <w:sz w:val="24"/>
                <w:szCs w:val="20"/>
              </w:rPr>
            </w:pPr>
          </w:p>
        </w:tc>
        <w:tc>
          <w:tcPr>
            <w:tcW w:w="2414" w:type="dxa"/>
          </w:tcPr>
          <w:p w14:paraId="296B5653">
            <w:pPr>
              <w:jc w:val="center"/>
              <w:rPr>
                <w:rFonts w:ascii="Times New Roman" w:hAnsi="Times New Roman" w:eastAsia="宋体" w:cs="Times New Roman"/>
                <w:b/>
                <w:sz w:val="24"/>
                <w:szCs w:val="20"/>
              </w:rPr>
            </w:pPr>
          </w:p>
        </w:tc>
        <w:tc>
          <w:tcPr>
            <w:tcW w:w="1608" w:type="dxa"/>
          </w:tcPr>
          <w:p w14:paraId="3E59F76F">
            <w:pPr>
              <w:jc w:val="center"/>
              <w:rPr>
                <w:rFonts w:ascii="Times New Roman" w:hAnsi="Times New Roman" w:eastAsia="宋体" w:cs="Times New Roman"/>
                <w:b/>
                <w:sz w:val="24"/>
                <w:szCs w:val="20"/>
              </w:rPr>
            </w:pPr>
          </w:p>
        </w:tc>
      </w:tr>
      <w:tr w14:paraId="4874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40F68E6">
            <w:pPr>
              <w:jc w:val="center"/>
              <w:rPr>
                <w:rFonts w:ascii="Times New Roman" w:hAnsi="Times New Roman" w:eastAsia="宋体" w:cs="Times New Roman"/>
                <w:b/>
                <w:sz w:val="24"/>
                <w:szCs w:val="20"/>
              </w:rPr>
            </w:pPr>
          </w:p>
        </w:tc>
        <w:tc>
          <w:tcPr>
            <w:tcW w:w="3449" w:type="dxa"/>
          </w:tcPr>
          <w:p w14:paraId="35FA4A22">
            <w:pPr>
              <w:jc w:val="center"/>
              <w:rPr>
                <w:rFonts w:ascii="Times New Roman" w:hAnsi="Times New Roman" w:eastAsia="宋体" w:cs="Times New Roman"/>
                <w:b/>
                <w:sz w:val="24"/>
                <w:szCs w:val="20"/>
              </w:rPr>
            </w:pPr>
          </w:p>
        </w:tc>
        <w:tc>
          <w:tcPr>
            <w:tcW w:w="2414" w:type="dxa"/>
          </w:tcPr>
          <w:p w14:paraId="6D038438">
            <w:pPr>
              <w:jc w:val="center"/>
              <w:rPr>
                <w:rFonts w:ascii="Times New Roman" w:hAnsi="Times New Roman" w:eastAsia="宋体" w:cs="Times New Roman"/>
                <w:b/>
                <w:sz w:val="24"/>
                <w:szCs w:val="20"/>
              </w:rPr>
            </w:pPr>
          </w:p>
        </w:tc>
        <w:tc>
          <w:tcPr>
            <w:tcW w:w="1608" w:type="dxa"/>
          </w:tcPr>
          <w:p w14:paraId="74A1207E">
            <w:pPr>
              <w:jc w:val="center"/>
              <w:rPr>
                <w:rFonts w:ascii="Times New Roman" w:hAnsi="Times New Roman" w:eastAsia="宋体" w:cs="Times New Roman"/>
                <w:b/>
                <w:sz w:val="24"/>
                <w:szCs w:val="20"/>
              </w:rPr>
            </w:pPr>
          </w:p>
        </w:tc>
      </w:tr>
      <w:tr w14:paraId="4AA8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197D446">
            <w:pPr>
              <w:jc w:val="center"/>
              <w:rPr>
                <w:rFonts w:ascii="Times New Roman" w:hAnsi="Times New Roman" w:eastAsia="宋体" w:cs="Times New Roman"/>
                <w:b/>
                <w:sz w:val="24"/>
                <w:szCs w:val="20"/>
              </w:rPr>
            </w:pPr>
          </w:p>
        </w:tc>
        <w:tc>
          <w:tcPr>
            <w:tcW w:w="3449" w:type="dxa"/>
          </w:tcPr>
          <w:p w14:paraId="3224D2E2">
            <w:pPr>
              <w:jc w:val="center"/>
              <w:rPr>
                <w:rFonts w:ascii="Times New Roman" w:hAnsi="Times New Roman" w:eastAsia="宋体" w:cs="Times New Roman"/>
                <w:b/>
                <w:sz w:val="24"/>
                <w:szCs w:val="20"/>
              </w:rPr>
            </w:pPr>
          </w:p>
        </w:tc>
        <w:tc>
          <w:tcPr>
            <w:tcW w:w="2414" w:type="dxa"/>
          </w:tcPr>
          <w:p w14:paraId="3B87D7D5">
            <w:pPr>
              <w:jc w:val="center"/>
              <w:rPr>
                <w:rFonts w:ascii="Times New Roman" w:hAnsi="Times New Roman" w:eastAsia="宋体" w:cs="Times New Roman"/>
                <w:b/>
                <w:sz w:val="24"/>
                <w:szCs w:val="20"/>
              </w:rPr>
            </w:pPr>
          </w:p>
        </w:tc>
        <w:tc>
          <w:tcPr>
            <w:tcW w:w="1608" w:type="dxa"/>
          </w:tcPr>
          <w:p w14:paraId="5652CC17">
            <w:pPr>
              <w:jc w:val="center"/>
              <w:rPr>
                <w:rFonts w:ascii="Times New Roman" w:hAnsi="Times New Roman" w:eastAsia="宋体" w:cs="Times New Roman"/>
                <w:b/>
                <w:sz w:val="24"/>
                <w:szCs w:val="20"/>
              </w:rPr>
            </w:pPr>
          </w:p>
        </w:tc>
      </w:tr>
      <w:tr w14:paraId="5F21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1A31C4B">
            <w:pPr>
              <w:jc w:val="center"/>
              <w:rPr>
                <w:rFonts w:ascii="Times New Roman" w:hAnsi="Times New Roman" w:eastAsia="宋体" w:cs="Times New Roman"/>
                <w:b/>
                <w:sz w:val="24"/>
                <w:szCs w:val="20"/>
              </w:rPr>
            </w:pPr>
          </w:p>
        </w:tc>
        <w:tc>
          <w:tcPr>
            <w:tcW w:w="3449" w:type="dxa"/>
          </w:tcPr>
          <w:p w14:paraId="2D7F2083">
            <w:pPr>
              <w:jc w:val="center"/>
              <w:rPr>
                <w:rFonts w:ascii="Times New Roman" w:hAnsi="Times New Roman" w:eastAsia="宋体" w:cs="Times New Roman"/>
                <w:b/>
                <w:sz w:val="24"/>
                <w:szCs w:val="20"/>
              </w:rPr>
            </w:pPr>
          </w:p>
        </w:tc>
        <w:tc>
          <w:tcPr>
            <w:tcW w:w="2414" w:type="dxa"/>
          </w:tcPr>
          <w:p w14:paraId="327F718B">
            <w:pPr>
              <w:jc w:val="center"/>
              <w:rPr>
                <w:rFonts w:ascii="Times New Roman" w:hAnsi="Times New Roman" w:eastAsia="宋体" w:cs="Times New Roman"/>
                <w:b/>
                <w:sz w:val="24"/>
                <w:szCs w:val="20"/>
              </w:rPr>
            </w:pPr>
          </w:p>
        </w:tc>
        <w:tc>
          <w:tcPr>
            <w:tcW w:w="1608" w:type="dxa"/>
          </w:tcPr>
          <w:p w14:paraId="0B30BD2E">
            <w:pPr>
              <w:jc w:val="center"/>
              <w:rPr>
                <w:rFonts w:ascii="Times New Roman" w:hAnsi="Times New Roman" w:eastAsia="宋体" w:cs="Times New Roman"/>
                <w:b/>
                <w:sz w:val="24"/>
                <w:szCs w:val="20"/>
              </w:rPr>
            </w:pPr>
          </w:p>
        </w:tc>
      </w:tr>
      <w:tr w14:paraId="1080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C8EDDEA">
            <w:pPr>
              <w:jc w:val="center"/>
              <w:rPr>
                <w:rFonts w:ascii="Times New Roman" w:hAnsi="Times New Roman" w:eastAsia="宋体" w:cs="Times New Roman"/>
                <w:b/>
                <w:sz w:val="24"/>
                <w:szCs w:val="20"/>
              </w:rPr>
            </w:pPr>
          </w:p>
        </w:tc>
        <w:tc>
          <w:tcPr>
            <w:tcW w:w="3449" w:type="dxa"/>
          </w:tcPr>
          <w:p w14:paraId="2F8642E7">
            <w:pPr>
              <w:jc w:val="center"/>
              <w:rPr>
                <w:rFonts w:ascii="Times New Roman" w:hAnsi="Times New Roman" w:eastAsia="宋体" w:cs="Times New Roman"/>
                <w:b/>
                <w:sz w:val="24"/>
                <w:szCs w:val="20"/>
              </w:rPr>
            </w:pPr>
          </w:p>
        </w:tc>
        <w:tc>
          <w:tcPr>
            <w:tcW w:w="2414" w:type="dxa"/>
          </w:tcPr>
          <w:p w14:paraId="54F95533">
            <w:pPr>
              <w:jc w:val="center"/>
              <w:rPr>
                <w:rFonts w:ascii="Times New Roman" w:hAnsi="Times New Roman" w:eastAsia="宋体" w:cs="Times New Roman"/>
                <w:b/>
                <w:sz w:val="24"/>
                <w:szCs w:val="20"/>
              </w:rPr>
            </w:pPr>
          </w:p>
        </w:tc>
        <w:tc>
          <w:tcPr>
            <w:tcW w:w="1608" w:type="dxa"/>
          </w:tcPr>
          <w:p w14:paraId="7DEA78D7">
            <w:pPr>
              <w:jc w:val="center"/>
              <w:rPr>
                <w:rFonts w:ascii="Times New Roman" w:hAnsi="Times New Roman" w:eastAsia="宋体" w:cs="Times New Roman"/>
                <w:b/>
                <w:sz w:val="24"/>
                <w:szCs w:val="20"/>
              </w:rPr>
            </w:pPr>
          </w:p>
        </w:tc>
      </w:tr>
      <w:tr w14:paraId="645C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7B5016">
            <w:pPr>
              <w:jc w:val="center"/>
              <w:rPr>
                <w:rFonts w:ascii="Times New Roman" w:hAnsi="Times New Roman" w:eastAsia="宋体" w:cs="Times New Roman"/>
                <w:b/>
                <w:sz w:val="24"/>
                <w:szCs w:val="20"/>
              </w:rPr>
            </w:pPr>
          </w:p>
        </w:tc>
        <w:tc>
          <w:tcPr>
            <w:tcW w:w="3449" w:type="dxa"/>
          </w:tcPr>
          <w:p w14:paraId="37BC437B">
            <w:pPr>
              <w:jc w:val="center"/>
              <w:rPr>
                <w:rFonts w:ascii="Times New Roman" w:hAnsi="Times New Roman" w:eastAsia="宋体" w:cs="Times New Roman"/>
                <w:b/>
                <w:sz w:val="24"/>
                <w:szCs w:val="20"/>
              </w:rPr>
            </w:pPr>
          </w:p>
        </w:tc>
        <w:tc>
          <w:tcPr>
            <w:tcW w:w="2414" w:type="dxa"/>
          </w:tcPr>
          <w:p w14:paraId="42B0A93E">
            <w:pPr>
              <w:jc w:val="center"/>
              <w:rPr>
                <w:rFonts w:ascii="Times New Roman" w:hAnsi="Times New Roman" w:eastAsia="宋体" w:cs="Times New Roman"/>
                <w:b/>
                <w:sz w:val="24"/>
                <w:szCs w:val="20"/>
              </w:rPr>
            </w:pPr>
          </w:p>
        </w:tc>
        <w:tc>
          <w:tcPr>
            <w:tcW w:w="1608" w:type="dxa"/>
          </w:tcPr>
          <w:p w14:paraId="66EB3D6F">
            <w:pPr>
              <w:jc w:val="center"/>
              <w:rPr>
                <w:rFonts w:ascii="Times New Roman" w:hAnsi="Times New Roman" w:eastAsia="宋体" w:cs="Times New Roman"/>
                <w:b/>
                <w:sz w:val="24"/>
                <w:szCs w:val="20"/>
              </w:rPr>
            </w:pPr>
          </w:p>
        </w:tc>
      </w:tr>
      <w:tr w14:paraId="2BB6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B17CEE">
            <w:pPr>
              <w:jc w:val="center"/>
              <w:rPr>
                <w:rFonts w:ascii="Times New Roman" w:hAnsi="Times New Roman" w:eastAsia="宋体" w:cs="Times New Roman"/>
                <w:b/>
                <w:sz w:val="24"/>
                <w:szCs w:val="20"/>
              </w:rPr>
            </w:pPr>
          </w:p>
        </w:tc>
        <w:tc>
          <w:tcPr>
            <w:tcW w:w="3449" w:type="dxa"/>
          </w:tcPr>
          <w:p w14:paraId="40480661">
            <w:pPr>
              <w:jc w:val="center"/>
              <w:rPr>
                <w:rFonts w:ascii="Times New Roman" w:hAnsi="Times New Roman" w:eastAsia="宋体" w:cs="Times New Roman"/>
                <w:b/>
                <w:sz w:val="24"/>
                <w:szCs w:val="20"/>
              </w:rPr>
            </w:pPr>
          </w:p>
        </w:tc>
        <w:tc>
          <w:tcPr>
            <w:tcW w:w="2414" w:type="dxa"/>
          </w:tcPr>
          <w:p w14:paraId="1B54E8B3">
            <w:pPr>
              <w:jc w:val="center"/>
              <w:rPr>
                <w:rFonts w:ascii="Times New Roman" w:hAnsi="Times New Roman" w:eastAsia="宋体" w:cs="Times New Roman"/>
                <w:b/>
                <w:sz w:val="24"/>
                <w:szCs w:val="20"/>
              </w:rPr>
            </w:pPr>
          </w:p>
        </w:tc>
        <w:tc>
          <w:tcPr>
            <w:tcW w:w="1608" w:type="dxa"/>
          </w:tcPr>
          <w:p w14:paraId="3117E914">
            <w:pPr>
              <w:jc w:val="center"/>
              <w:rPr>
                <w:rFonts w:ascii="Times New Roman" w:hAnsi="Times New Roman" w:eastAsia="宋体" w:cs="Times New Roman"/>
                <w:b/>
                <w:sz w:val="24"/>
                <w:szCs w:val="20"/>
              </w:rPr>
            </w:pPr>
          </w:p>
        </w:tc>
      </w:tr>
      <w:tr w14:paraId="6587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490197D">
            <w:pPr>
              <w:jc w:val="center"/>
              <w:rPr>
                <w:rFonts w:ascii="Times New Roman" w:hAnsi="Times New Roman" w:eastAsia="宋体" w:cs="Times New Roman"/>
                <w:b/>
                <w:sz w:val="24"/>
                <w:szCs w:val="20"/>
              </w:rPr>
            </w:pPr>
          </w:p>
        </w:tc>
        <w:tc>
          <w:tcPr>
            <w:tcW w:w="3449" w:type="dxa"/>
          </w:tcPr>
          <w:p w14:paraId="1E878627">
            <w:pPr>
              <w:jc w:val="center"/>
              <w:rPr>
                <w:rFonts w:ascii="Times New Roman" w:hAnsi="Times New Roman" w:eastAsia="宋体" w:cs="Times New Roman"/>
                <w:b/>
                <w:sz w:val="24"/>
                <w:szCs w:val="20"/>
              </w:rPr>
            </w:pPr>
          </w:p>
        </w:tc>
        <w:tc>
          <w:tcPr>
            <w:tcW w:w="2414" w:type="dxa"/>
          </w:tcPr>
          <w:p w14:paraId="36B896A8">
            <w:pPr>
              <w:jc w:val="center"/>
              <w:rPr>
                <w:rFonts w:ascii="Times New Roman" w:hAnsi="Times New Roman" w:eastAsia="宋体" w:cs="Times New Roman"/>
                <w:b/>
                <w:sz w:val="24"/>
                <w:szCs w:val="20"/>
              </w:rPr>
            </w:pPr>
          </w:p>
        </w:tc>
        <w:tc>
          <w:tcPr>
            <w:tcW w:w="1608" w:type="dxa"/>
          </w:tcPr>
          <w:p w14:paraId="77CA8A2D">
            <w:pPr>
              <w:jc w:val="center"/>
              <w:rPr>
                <w:rFonts w:ascii="Times New Roman" w:hAnsi="Times New Roman" w:eastAsia="宋体" w:cs="Times New Roman"/>
                <w:b/>
                <w:sz w:val="24"/>
                <w:szCs w:val="20"/>
              </w:rPr>
            </w:pPr>
          </w:p>
        </w:tc>
      </w:tr>
      <w:tr w14:paraId="37FF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9F06809">
            <w:pPr>
              <w:jc w:val="center"/>
              <w:rPr>
                <w:rFonts w:ascii="Times New Roman" w:hAnsi="Times New Roman" w:eastAsia="宋体" w:cs="Times New Roman"/>
                <w:b/>
                <w:sz w:val="24"/>
                <w:szCs w:val="20"/>
              </w:rPr>
            </w:pPr>
          </w:p>
        </w:tc>
        <w:tc>
          <w:tcPr>
            <w:tcW w:w="3449" w:type="dxa"/>
          </w:tcPr>
          <w:p w14:paraId="4654D8CF">
            <w:pPr>
              <w:jc w:val="center"/>
              <w:rPr>
                <w:rFonts w:ascii="Times New Roman" w:hAnsi="Times New Roman" w:eastAsia="宋体" w:cs="Times New Roman"/>
                <w:b/>
                <w:sz w:val="24"/>
                <w:szCs w:val="20"/>
              </w:rPr>
            </w:pPr>
          </w:p>
        </w:tc>
        <w:tc>
          <w:tcPr>
            <w:tcW w:w="2414" w:type="dxa"/>
          </w:tcPr>
          <w:p w14:paraId="77CB0BF8">
            <w:pPr>
              <w:jc w:val="center"/>
              <w:rPr>
                <w:rFonts w:ascii="Times New Roman" w:hAnsi="Times New Roman" w:eastAsia="宋体" w:cs="Times New Roman"/>
                <w:b/>
                <w:sz w:val="24"/>
                <w:szCs w:val="20"/>
              </w:rPr>
            </w:pPr>
          </w:p>
        </w:tc>
        <w:tc>
          <w:tcPr>
            <w:tcW w:w="1608" w:type="dxa"/>
          </w:tcPr>
          <w:p w14:paraId="15A7D50D">
            <w:pPr>
              <w:jc w:val="center"/>
              <w:rPr>
                <w:rFonts w:ascii="Times New Roman" w:hAnsi="Times New Roman" w:eastAsia="宋体" w:cs="Times New Roman"/>
                <w:b/>
                <w:sz w:val="24"/>
                <w:szCs w:val="20"/>
              </w:rPr>
            </w:pPr>
          </w:p>
        </w:tc>
      </w:tr>
    </w:tbl>
    <w:p w14:paraId="61E1596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447A5CB">
      <w:pPr>
        <w:spacing w:line="660" w:lineRule="exact"/>
        <w:rPr>
          <w:rFonts w:hint="eastAsia" w:ascii="宋体" w:hAnsi="宋体" w:eastAsia="宋体" w:cs="Times New Roman"/>
          <w:sz w:val="24"/>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57F22AB0">
      <w:pPr>
        <w:keepNext/>
        <w:keepLines/>
        <w:outlineLvl w:val="2"/>
        <w:rPr>
          <w:rFonts w:hint="eastAsia" w:ascii="Times New Roman" w:hAnsi="Times New Roman" w:eastAsia="宋体" w:cs="宋体"/>
          <w:b/>
          <w:bCs/>
          <w:color w:val="000000"/>
          <w:sz w:val="24"/>
          <w:szCs w:val="24"/>
          <w:lang w:eastAsia="zh-CN"/>
        </w:rPr>
      </w:pPr>
      <w:r>
        <w:rPr>
          <w:rFonts w:hint="eastAsia" w:ascii="Times New Roman" w:hAnsi="Times New Roman" w:eastAsia="宋体" w:cs="宋体"/>
          <w:b/>
          <w:bCs/>
          <w:color w:val="000000"/>
          <w:sz w:val="24"/>
          <w:szCs w:val="24"/>
          <w:lang w:val="en-US" w:eastAsia="zh-CN"/>
        </w:rPr>
        <w:t>附件</w:t>
      </w:r>
      <w:r>
        <w:rPr>
          <w:rFonts w:hint="eastAsia"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5</w:t>
      </w:r>
      <w:r>
        <w:rPr>
          <w:rFonts w:hint="eastAsia" w:ascii="Times New Roman" w:hAnsi="Times New Roman" w:eastAsia="宋体" w:cs="宋体"/>
          <w:b/>
          <w:bCs/>
          <w:color w:val="000000"/>
          <w:sz w:val="24"/>
          <w:szCs w:val="24"/>
        </w:rPr>
        <w:t>-</w:t>
      </w:r>
      <w:r>
        <w:rPr>
          <w:rFonts w:hint="eastAsia" w:ascii="Times New Roman" w:hAnsi="Times New Roman" w:eastAsia="宋体" w:cs="宋体"/>
          <w:b/>
          <w:bCs/>
          <w:color w:val="000000"/>
          <w:sz w:val="24"/>
          <w:szCs w:val="24"/>
          <w:lang w:val="en-US" w:eastAsia="zh-CN"/>
        </w:rPr>
        <w:t xml:space="preserve">2 </w:t>
      </w:r>
      <w:r>
        <w:rPr>
          <w:rFonts w:hint="eastAsia" w:ascii="Times New Roman" w:hAnsi="Times New Roman" w:eastAsia="宋体" w:cs="宋体"/>
          <w:b/>
          <w:bCs/>
          <w:color w:val="000000"/>
          <w:sz w:val="24"/>
          <w:szCs w:val="24"/>
        </w:rPr>
        <w:t>设备分项</w:t>
      </w:r>
      <w:r>
        <w:rPr>
          <w:rFonts w:hint="eastAsia" w:ascii="Times New Roman" w:hAnsi="Times New Roman" w:eastAsia="宋体" w:cs="宋体"/>
          <w:b/>
          <w:bCs/>
          <w:color w:val="000000"/>
          <w:sz w:val="24"/>
          <w:szCs w:val="24"/>
          <w:lang w:val="en-US" w:eastAsia="zh-CN"/>
        </w:rPr>
        <w:t>配置</w:t>
      </w:r>
      <w:r>
        <w:rPr>
          <w:rFonts w:hint="eastAsia" w:ascii="Times New Roman" w:hAnsi="Times New Roman" w:eastAsia="宋体" w:cs="宋体"/>
          <w:b/>
          <w:bCs/>
          <w:color w:val="000000"/>
          <w:sz w:val="24"/>
          <w:szCs w:val="24"/>
        </w:rPr>
        <w:t>表</w:t>
      </w:r>
    </w:p>
    <w:p w14:paraId="05ED8A9E">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tbl>
      <w:tblPr>
        <w:tblStyle w:val="131"/>
        <w:tblpPr w:leftFromText="180" w:rightFromText="180" w:vertAnchor="text" w:horzAnchor="page" w:tblpX="1403" w:tblpY="295"/>
        <w:tblOverlap w:val="never"/>
        <w:tblW w:w="93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9"/>
        <w:gridCol w:w="4101"/>
        <w:gridCol w:w="1188"/>
        <w:gridCol w:w="564"/>
        <w:gridCol w:w="672"/>
        <w:gridCol w:w="1092"/>
        <w:gridCol w:w="769"/>
      </w:tblGrid>
      <w:tr w14:paraId="5A978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989" w:type="dxa"/>
            <w:vAlign w:val="center"/>
          </w:tcPr>
          <w:p w14:paraId="24134F61">
            <w:pPr>
              <w:spacing w:line="240" w:lineRule="exact"/>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序号</w:t>
            </w:r>
          </w:p>
        </w:tc>
        <w:tc>
          <w:tcPr>
            <w:tcW w:w="4101" w:type="dxa"/>
            <w:vAlign w:val="center"/>
          </w:tcPr>
          <w:p w14:paraId="13D8F32A">
            <w:pPr>
              <w:spacing w:line="240" w:lineRule="exact"/>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子系统关键组成部分</w:t>
            </w:r>
          </w:p>
        </w:tc>
        <w:tc>
          <w:tcPr>
            <w:tcW w:w="1188" w:type="dxa"/>
            <w:vAlign w:val="center"/>
          </w:tcPr>
          <w:p w14:paraId="04F54B35">
            <w:pPr>
              <w:spacing w:line="240" w:lineRule="exact"/>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型号和规格</w:t>
            </w:r>
          </w:p>
        </w:tc>
        <w:tc>
          <w:tcPr>
            <w:tcW w:w="564" w:type="dxa"/>
            <w:vAlign w:val="center"/>
          </w:tcPr>
          <w:p w14:paraId="5152E587">
            <w:pPr>
              <w:spacing w:line="240" w:lineRule="exact"/>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单位</w:t>
            </w:r>
          </w:p>
        </w:tc>
        <w:tc>
          <w:tcPr>
            <w:tcW w:w="672" w:type="dxa"/>
            <w:vAlign w:val="center"/>
          </w:tcPr>
          <w:p w14:paraId="743C4B80">
            <w:pPr>
              <w:spacing w:line="240" w:lineRule="exact"/>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数量</w:t>
            </w:r>
          </w:p>
        </w:tc>
        <w:tc>
          <w:tcPr>
            <w:tcW w:w="1092" w:type="dxa"/>
            <w:tcBorders>
              <w:right w:val="single" w:color="000000" w:sz="4" w:space="0"/>
            </w:tcBorders>
            <w:vAlign w:val="center"/>
          </w:tcPr>
          <w:p w14:paraId="48295713">
            <w:pPr>
              <w:spacing w:line="240" w:lineRule="exact"/>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原产地和制造商名称</w:t>
            </w:r>
          </w:p>
        </w:tc>
        <w:tc>
          <w:tcPr>
            <w:tcW w:w="769" w:type="dxa"/>
            <w:vAlign w:val="center"/>
          </w:tcPr>
          <w:p w14:paraId="74FE4B31">
            <w:pPr>
              <w:spacing w:line="240" w:lineRule="exact"/>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备注</w:t>
            </w:r>
          </w:p>
        </w:tc>
      </w:tr>
      <w:tr w14:paraId="731A8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024CCCC6">
            <w:pPr>
              <w:spacing w:before="100" w:beforeAutospacing="1" w:after="100" w:afterAutospacing="1"/>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1</w:t>
            </w:r>
          </w:p>
        </w:tc>
        <w:tc>
          <w:tcPr>
            <w:tcW w:w="4101" w:type="dxa"/>
            <w:vAlign w:val="center"/>
          </w:tcPr>
          <w:p w14:paraId="5758896A">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机械部分</w:t>
            </w:r>
          </w:p>
        </w:tc>
        <w:tc>
          <w:tcPr>
            <w:tcW w:w="1188" w:type="dxa"/>
            <w:vAlign w:val="center"/>
          </w:tcPr>
          <w:p w14:paraId="7A9C9E45">
            <w:pPr>
              <w:spacing w:line="240" w:lineRule="exact"/>
              <w:jc w:val="center"/>
              <w:rPr>
                <w:rFonts w:hint="eastAsia" w:eastAsia="宋体"/>
                <w:color w:val="000000" w:themeColor="text1"/>
                <w:szCs w:val="21"/>
                <w14:textFill>
                  <w14:solidFill>
                    <w14:schemeClr w14:val="tx1"/>
                  </w14:solidFill>
                </w14:textFill>
              </w:rPr>
            </w:pPr>
          </w:p>
        </w:tc>
        <w:tc>
          <w:tcPr>
            <w:tcW w:w="564" w:type="dxa"/>
            <w:vAlign w:val="center"/>
          </w:tcPr>
          <w:p w14:paraId="6570AA16">
            <w:pPr>
              <w:spacing w:line="240" w:lineRule="exact"/>
              <w:jc w:val="center"/>
              <w:rPr>
                <w:rFonts w:hint="eastAsia" w:eastAsia="宋体"/>
                <w:color w:val="000000" w:themeColor="text1"/>
                <w:szCs w:val="21"/>
                <w14:textFill>
                  <w14:solidFill>
                    <w14:schemeClr w14:val="tx1"/>
                  </w14:solidFill>
                </w14:textFill>
              </w:rPr>
            </w:pPr>
          </w:p>
        </w:tc>
        <w:tc>
          <w:tcPr>
            <w:tcW w:w="672" w:type="dxa"/>
            <w:vAlign w:val="center"/>
          </w:tcPr>
          <w:p w14:paraId="2E39F2EC">
            <w:pPr>
              <w:spacing w:line="240" w:lineRule="exact"/>
              <w:jc w:val="center"/>
              <w:rPr>
                <w:rFonts w:hint="eastAsia" w:eastAsia="宋体"/>
                <w:color w:val="000000" w:themeColor="text1"/>
                <w:szCs w:val="21"/>
                <w14:textFill>
                  <w14:solidFill>
                    <w14:schemeClr w14:val="tx1"/>
                  </w14:solidFill>
                </w14:textFill>
              </w:rPr>
            </w:pPr>
          </w:p>
        </w:tc>
        <w:tc>
          <w:tcPr>
            <w:tcW w:w="1092" w:type="dxa"/>
            <w:tcBorders>
              <w:right w:val="single" w:color="000000" w:sz="4" w:space="0"/>
            </w:tcBorders>
            <w:vAlign w:val="center"/>
          </w:tcPr>
          <w:p w14:paraId="002914EA">
            <w:pPr>
              <w:spacing w:line="240" w:lineRule="exact"/>
              <w:jc w:val="center"/>
              <w:rPr>
                <w:rFonts w:hint="eastAsia" w:eastAsia="宋体"/>
                <w:color w:val="000000" w:themeColor="text1"/>
                <w:szCs w:val="21"/>
                <w14:textFill>
                  <w14:solidFill>
                    <w14:schemeClr w14:val="tx1"/>
                  </w14:solidFill>
                </w14:textFill>
              </w:rPr>
            </w:pPr>
          </w:p>
        </w:tc>
        <w:tc>
          <w:tcPr>
            <w:tcW w:w="769" w:type="dxa"/>
            <w:vAlign w:val="center"/>
          </w:tcPr>
          <w:p w14:paraId="43140BEE">
            <w:pPr>
              <w:spacing w:line="240" w:lineRule="exact"/>
              <w:jc w:val="center"/>
              <w:rPr>
                <w:rFonts w:hint="eastAsia" w:eastAsia="宋体"/>
                <w:color w:val="000000" w:themeColor="text1"/>
                <w:szCs w:val="21"/>
                <w14:textFill>
                  <w14:solidFill>
                    <w14:schemeClr w14:val="tx1"/>
                  </w14:solidFill>
                </w14:textFill>
              </w:rPr>
            </w:pPr>
          </w:p>
        </w:tc>
      </w:tr>
      <w:tr w14:paraId="62994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5BFDD797">
            <w:pPr>
              <w:spacing w:before="100" w:beforeAutospacing="1" w:after="100" w:afterAutospacing="1"/>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2</w:t>
            </w:r>
          </w:p>
        </w:tc>
        <w:tc>
          <w:tcPr>
            <w:tcW w:w="4101" w:type="dxa"/>
            <w:vAlign w:val="center"/>
          </w:tcPr>
          <w:p w14:paraId="34449698">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电气部分</w:t>
            </w:r>
          </w:p>
        </w:tc>
        <w:tc>
          <w:tcPr>
            <w:tcW w:w="1188" w:type="dxa"/>
            <w:vAlign w:val="center"/>
          </w:tcPr>
          <w:p w14:paraId="46521DC9">
            <w:pPr>
              <w:spacing w:line="240" w:lineRule="exact"/>
              <w:jc w:val="center"/>
              <w:rPr>
                <w:rFonts w:hint="eastAsia" w:eastAsia="宋体"/>
                <w:color w:val="000000" w:themeColor="text1"/>
                <w:szCs w:val="21"/>
                <w14:textFill>
                  <w14:solidFill>
                    <w14:schemeClr w14:val="tx1"/>
                  </w14:solidFill>
                </w14:textFill>
              </w:rPr>
            </w:pPr>
          </w:p>
        </w:tc>
        <w:tc>
          <w:tcPr>
            <w:tcW w:w="564" w:type="dxa"/>
            <w:vAlign w:val="center"/>
          </w:tcPr>
          <w:p w14:paraId="574D7652">
            <w:pPr>
              <w:spacing w:line="240" w:lineRule="exact"/>
              <w:jc w:val="center"/>
              <w:rPr>
                <w:rFonts w:hint="eastAsia" w:eastAsia="宋体"/>
                <w:color w:val="000000" w:themeColor="text1"/>
                <w:szCs w:val="21"/>
                <w14:textFill>
                  <w14:solidFill>
                    <w14:schemeClr w14:val="tx1"/>
                  </w14:solidFill>
                </w14:textFill>
              </w:rPr>
            </w:pPr>
          </w:p>
        </w:tc>
        <w:tc>
          <w:tcPr>
            <w:tcW w:w="672" w:type="dxa"/>
            <w:vAlign w:val="center"/>
          </w:tcPr>
          <w:p w14:paraId="51C0FA82">
            <w:pPr>
              <w:spacing w:line="240" w:lineRule="exact"/>
              <w:jc w:val="center"/>
              <w:rPr>
                <w:rFonts w:hint="eastAsia" w:eastAsia="宋体"/>
                <w:color w:val="000000" w:themeColor="text1"/>
                <w:szCs w:val="21"/>
                <w14:textFill>
                  <w14:solidFill>
                    <w14:schemeClr w14:val="tx1"/>
                  </w14:solidFill>
                </w14:textFill>
              </w:rPr>
            </w:pPr>
          </w:p>
        </w:tc>
        <w:tc>
          <w:tcPr>
            <w:tcW w:w="1092" w:type="dxa"/>
            <w:tcBorders>
              <w:right w:val="single" w:color="000000" w:sz="4" w:space="0"/>
            </w:tcBorders>
            <w:vAlign w:val="center"/>
          </w:tcPr>
          <w:p w14:paraId="73573B71">
            <w:pPr>
              <w:spacing w:line="240" w:lineRule="exact"/>
              <w:jc w:val="center"/>
              <w:rPr>
                <w:rFonts w:hint="eastAsia" w:eastAsia="宋体"/>
                <w:color w:val="000000" w:themeColor="text1"/>
                <w:szCs w:val="21"/>
                <w14:textFill>
                  <w14:solidFill>
                    <w14:schemeClr w14:val="tx1"/>
                  </w14:solidFill>
                </w14:textFill>
              </w:rPr>
            </w:pPr>
          </w:p>
        </w:tc>
        <w:tc>
          <w:tcPr>
            <w:tcW w:w="769" w:type="dxa"/>
            <w:vAlign w:val="center"/>
          </w:tcPr>
          <w:p w14:paraId="749065AB">
            <w:pPr>
              <w:spacing w:line="240" w:lineRule="exact"/>
              <w:jc w:val="center"/>
              <w:rPr>
                <w:rFonts w:hint="eastAsia" w:eastAsia="宋体"/>
                <w:color w:val="000000" w:themeColor="text1"/>
                <w:szCs w:val="21"/>
                <w14:textFill>
                  <w14:solidFill>
                    <w14:schemeClr w14:val="tx1"/>
                  </w14:solidFill>
                </w14:textFill>
              </w:rPr>
            </w:pPr>
          </w:p>
        </w:tc>
      </w:tr>
      <w:tr w14:paraId="4F2DE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2D843DE7">
            <w:pPr>
              <w:spacing w:before="100" w:beforeAutospacing="1" w:after="100" w:afterAutospacing="1"/>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3</w:t>
            </w:r>
          </w:p>
        </w:tc>
        <w:tc>
          <w:tcPr>
            <w:tcW w:w="4101" w:type="dxa"/>
            <w:vAlign w:val="center"/>
          </w:tcPr>
          <w:p w14:paraId="45479298">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数据采集/测量和控制部分</w:t>
            </w:r>
          </w:p>
        </w:tc>
        <w:tc>
          <w:tcPr>
            <w:tcW w:w="1188" w:type="dxa"/>
            <w:vAlign w:val="center"/>
          </w:tcPr>
          <w:p w14:paraId="65CFBC97">
            <w:pPr>
              <w:spacing w:line="240" w:lineRule="exact"/>
              <w:jc w:val="center"/>
              <w:rPr>
                <w:rFonts w:hint="eastAsia" w:eastAsia="宋体"/>
                <w:color w:val="000000" w:themeColor="text1"/>
                <w:szCs w:val="21"/>
                <w14:textFill>
                  <w14:solidFill>
                    <w14:schemeClr w14:val="tx1"/>
                  </w14:solidFill>
                </w14:textFill>
              </w:rPr>
            </w:pPr>
          </w:p>
        </w:tc>
        <w:tc>
          <w:tcPr>
            <w:tcW w:w="564" w:type="dxa"/>
            <w:vAlign w:val="center"/>
          </w:tcPr>
          <w:p w14:paraId="6D82D1DB">
            <w:pPr>
              <w:spacing w:line="240" w:lineRule="exact"/>
              <w:jc w:val="center"/>
              <w:rPr>
                <w:rFonts w:hint="eastAsia" w:eastAsia="宋体"/>
                <w:color w:val="000000" w:themeColor="text1"/>
                <w:szCs w:val="21"/>
                <w14:textFill>
                  <w14:solidFill>
                    <w14:schemeClr w14:val="tx1"/>
                  </w14:solidFill>
                </w14:textFill>
              </w:rPr>
            </w:pPr>
          </w:p>
        </w:tc>
        <w:tc>
          <w:tcPr>
            <w:tcW w:w="672" w:type="dxa"/>
            <w:vAlign w:val="center"/>
          </w:tcPr>
          <w:p w14:paraId="4EB9B911">
            <w:pPr>
              <w:spacing w:line="240" w:lineRule="exact"/>
              <w:jc w:val="center"/>
              <w:rPr>
                <w:rFonts w:hint="eastAsia" w:eastAsia="宋体"/>
                <w:color w:val="000000" w:themeColor="text1"/>
                <w:szCs w:val="21"/>
                <w14:textFill>
                  <w14:solidFill>
                    <w14:schemeClr w14:val="tx1"/>
                  </w14:solidFill>
                </w14:textFill>
              </w:rPr>
            </w:pPr>
          </w:p>
        </w:tc>
        <w:tc>
          <w:tcPr>
            <w:tcW w:w="1092" w:type="dxa"/>
            <w:tcBorders>
              <w:right w:val="single" w:color="000000" w:sz="4" w:space="0"/>
            </w:tcBorders>
            <w:vAlign w:val="center"/>
          </w:tcPr>
          <w:p w14:paraId="45FD9A6A">
            <w:pPr>
              <w:spacing w:line="240" w:lineRule="exact"/>
              <w:jc w:val="center"/>
              <w:rPr>
                <w:rFonts w:hint="eastAsia" w:eastAsia="宋体"/>
                <w:color w:val="000000" w:themeColor="text1"/>
                <w:szCs w:val="21"/>
                <w14:textFill>
                  <w14:solidFill>
                    <w14:schemeClr w14:val="tx1"/>
                  </w14:solidFill>
                </w14:textFill>
              </w:rPr>
            </w:pPr>
          </w:p>
        </w:tc>
        <w:tc>
          <w:tcPr>
            <w:tcW w:w="769" w:type="dxa"/>
            <w:vAlign w:val="center"/>
          </w:tcPr>
          <w:p w14:paraId="2D19BB29">
            <w:pPr>
              <w:spacing w:line="240" w:lineRule="exact"/>
              <w:jc w:val="center"/>
              <w:rPr>
                <w:rFonts w:hint="eastAsia" w:eastAsia="宋体"/>
                <w:color w:val="000000" w:themeColor="text1"/>
                <w:szCs w:val="21"/>
                <w14:textFill>
                  <w14:solidFill>
                    <w14:schemeClr w14:val="tx1"/>
                  </w14:solidFill>
                </w14:textFill>
              </w:rPr>
            </w:pPr>
          </w:p>
        </w:tc>
      </w:tr>
      <w:tr w14:paraId="7891E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2F25E10F">
            <w:pPr>
              <w:spacing w:before="100" w:beforeAutospacing="1" w:after="100" w:afterAutospacing="1"/>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4</w:t>
            </w:r>
          </w:p>
        </w:tc>
        <w:tc>
          <w:tcPr>
            <w:tcW w:w="4101" w:type="dxa"/>
            <w:vAlign w:val="center"/>
          </w:tcPr>
          <w:p w14:paraId="5B37BE03">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冷却温控单元</w:t>
            </w:r>
          </w:p>
        </w:tc>
        <w:tc>
          <w:tcPr>
            <w:tcW w:w="1188" w:type="dxa"/>
            <w:vAlign w:val="center"/>
          </w:tcPr>
          <w:p w14:paraId="04815076">
            <w:pPr>
              <w:spacing w:line="240" w:lineRule="exact"/>
              <w:jc w:val="center"/>
              <w:rPr>
                <w:rFonts w:hint="eastAsia" w:eastAsia="宋体"/>
                <w:color w:val="000000" w:themeColor="text1"/>
                <w:szCs w:val="21"/>
                <w14:textFill>
                  <w14:solidFill>
                    <w14:schemeClr w14:val="tx1"/>
                  </w14:solidFill>
                </w14:textFill>
              </w:rPr>
            </w:pPr>
          </w:p>
        </w:tc>
        <w:tc>
          <w:tcPr>
            <w:tcW w:w="564" w:type="dxa"/>
            <w:vAlign w:val="center"/>
          </w:tcPr>
          <w:p w14:paraId="6FF86A66">
            <w:pPr>
              <w:spacing w:line="240" w:lineRule="exact"/>
              <w:jc w:val="center"/>
              <w:rPr>
                <w:rFonts w:hint="eastAsia" w:eastAsia="宋体"/>
                <w:color w:val="000000" w:themeColor="text1"/>
                <w:szCs w:val="21"/>
                <w14:textFill>
                  <w14:solidFill>
                    <w14:schemeClr w14:val="tx1"/>
                  </w14:solidFill>
                </w14:textFill>
              </w:rPr>
            </w:pPr>
          </w:p>
        </w:tc>
        <w:tc>
          <w:tcPr>
            <w:tcW w:w="672" w:type="dxa"/>
            <w:vAlign w:val="center"/>
          </w:tcPr>
          <w:p w14:paraId="2816B95A">
            <w:pPr>
              <w:spacing w:line="240" w:lineRule="exact"/>
              <w:jc w:val="center"/>
              <w:rPr>
                <w:rFonts w:hint="eastAsia" w:eastAsia="宋体"/>
                <w:color w:val="000000" w:themeColor="text1"/>
                <w:szCs w:val="21"/>
                <w14:textFill>
                  <w14:solidFill>
                    <w14:schemeClr w14:val="tx1"/>
                  </w14:solidFill>
                </w14:textFill>
              </w:rPr>
            </w:pPr>
          </w:p>
        </w:tc>
        <w:tc>
          <w:tcPr>
            <w:tcW w:w="1092" w:type="dxa"/>
            <w:tcBorders>
              <w:right w:val="single" w:color="000000" w:sz="4" w:space="0"/>
            </w:tcBorders>
            <w:vAlign w:val="center"/>
          </w:tcPr>
          <w:p w14:paraId="0AD17390">
            <w:pPr>
              <w:spacing w:line="240" w:lineRule="exact"/>
              <w:jc w:val="center"/>
              <w:rPr>
                <w:rFonts w:hint="eastAsia" w:eastAsia="宋体"/>
                <w:color w:val="000000" w:themeColor="text1"/>
                <w:szCs w:val="21"/>
                <w14:textFill>
                  <w14:solidFill>
                    <w14:schemeClr w14:val="tx1"/>
                  </w14:solidFill>
                </w14:textFill>
              </w:rPr>
            </w:pPr>
          </w:p>
        </w:tc>
        <w:tc>
          <w:tcPr>
            <w:tcW w:w="769" w:type="dxa"/>
            <w:vAlign w:val="center"/>
          </w:tcPr>
          <w:p w14:paraId="204B01D4">
            <w:pPr>
              <w:spacing w:line="240" w:lineRule="exact"/>
              <w:jc w:val="center"/>
              <w:rPr>
                <w:rFonts w:hint="eastAsia" w:eastAsia="宋体"/>
                <w:color w:val="000000" w:themeColor="text1"/>
                <w:szCs w:val="21"/>
                <w14:textFill>
                  <w14:solidFill>
                    <w14:schemeClr w14:val="tx1"/>
                  </w14:solidFill>
                </w14:textFill>
              </w:rPr>
            </w:pPr>
          </w:p>
        </w:tc>
      </w:tr>
      <w:tr w14:paraId="7C314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0FCEBC65">
            <w:pPr>
              <w:spacing w:before="100" w:beforeAutospacing="1" w:after="100" w:afterAutospacing="1"/>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5</w:t>
            </w:r>
          </w:p>
        </w:tc>
        <w:tc>
          <w:tcPr>
            <w:tcW w:w="4101" w:type="dxa"/>
            <w:vAlign w:val="center"/>
          </w:tcPr>
          <w:p w14:paraId="091E2278">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人工成本（设计、管理、安装调试等）</w:t>
            </w:r>
          </w:p>
        </w:tc>
        <w:tc>
          <w:tcPr>
            <w:tcW w:w="1188" w:type="dxa"/>
            <w:vAlign w:val="center"/>
          </w:tcPr>
          <w:p w14:paraId="641D1CC6">
            <w:pPr>
              <w:spacing w:line="240" w:lineRule="exact"/>
              <w:jc w:val="center"/>
              <w:rPr>
                <w:rFonts w:hint="eastAsia" w:eastAsia="宋体"/>
                <w:color w:val="000000" w:themeColor="text1"/>
                <w:szCs w:val="21"/>
                <w14:textFill>
                  <w14:solidFill>
                    <w14:schemeClr w14:val="tx1"/>
                  </w14:solidFill>
                </w14:textFill>
              </w:rPr>
            </w:pPr>
          </w:p>
        </w:tc>
        <w:tc>
          <w:tcPr>
            <w:tcW w:w="564" w:type="dxa"/>
            <w:vAlign w:val="center"/>
          </w:tcPr>
          <w:p w14:paraId="4BE5C733">
            <w:pPr>
              <w:spacing w:line="240" w:lineRule="exact"/>
              <w:jc w:val="center"/>
              <w:rPr>
                <w:rFonts w:hint="eastAsia" w:eastAsia="宋体"/>
                <w:color w:val="000000" w:themeColor="text1"/>
                <w:szCs w:val="21"/>
                <w14:textFill>
                  <w14:solidFill>
                    <w14:schemeClr w14:val="tx1"/>
                  </w14:solidFill>
                </w14:textFill>
              </w:rPr>
            </w:pPr>
          </w:p>
        </w:tc>
        <w:tc>
          <w:tcPr>
            <w:tcW w:w="672" w:type="dxa"/>
            <w:vAlign w:val="center"/>
          </w:tcPr>
          <w:p w14:paraId="4917BF40">
            <w:pPr>
              <w:spacing w:line="240" w:lineRule="exact"/>
              <w:jc w:val="center"/>
              <w:rPr>
                <w:rFonts w:hint="eastAsia" w:eastAsia="宋体"/>
                <w:color w:val="000000" w:themeColor="text1"/>
                <w:szCs w:val="21"/>
                <w14:textFill>
                  <w14:solidFill>
                    <w14:schemeClr w14:val="tx1"/>
                  </w14:solidFill>
                </w14:textFill>
              </w:rPr>
            </w:pPr>
          </w:p>
        </w:tc>
        <w:tc>
          <w:tcPr>
            <w:tcW w:w="1092" w:type="dxa"/>
            <w:tcBorders>
              <w:right w:val="single" w:color="000000" w:sz="4" w:space="0"/>
            </w:tcBorders>
            <w:vAlign w:val="center"/>
          </w:tcPr>
          <w:p w14:paraId="2F10DE48">
            <w:pPr>
              <w:spacing w:line="240" w:lineRule="exact"/>
              <w:jc w:val="center"/>
              <w:rPr>
                <w:rFonts w:hint="eastAsia" w:eastAsia="宋体"/>
                <w:color w:val="000000" w:themeColor="text1"/>
                <w:szCs w:val="21"/>
                <w14:textFill>
                  <w14:solidFill>
                    <w14:schemeClr w14:val="tx1"/>
                  </w14:solidFill>
                </w14:textFill>
              </w:rPr>
            </w:pPr>
          </w:p>
        </w:tc>
        <w:tc>
          <w:tcPr>
            <w:tcW w:w="769" w:type="dxa"/>
            <w:vAlign w:val="center"/>
          </w:tcPr>
          <w:p w14:paraId="352C3671">
            <w:pPr>
              <w:spacing w:line="240" w:lineRule="exact"/>
              <w:jc w:val="center"/>
              <w:rPr>
                <w:rFonts w:hint="eastAsia" w:eastAsia="宋体"/>
                <w:color w:val="000000" w:themeColor="text1"/>
                <w:szCs w:val="21"/>
                <w14:textFill>
                  <w14:solidFill>
                    <w14:schemeClr w14:val="tx1"/>
                  </w14:solidFill>
                </w14:textFill>
              </w:rPr>
            </w:pPr>
          </w:p>
        </w:tc>
      </w:tr>
      <w:tr w14:paraId="55CB7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14:paraId="0AB2F3A1">
            <w:pPr>
              <w:spacing w:before="100" w:beforeAutospacing="1" w:after="100" w:afterAutospacing="1"/>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6</w:t>
            </w:r>
          </w:p>
        </w:tc>
        <w:tc>
          <w:tcPr>
            <w:tcW w:w="4101" w:type="dxa"/>
            <w:vAlign w:val="center"/>
          </w:tcPr>
          <w:p w14:paraId="0E3920A9">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包装和装运</w:t>
            </w:r>
          </w:p>
        </w:tc>
        <w:tc>
          <w:tcPr>
            <w:tcW w:w="1188" w:type="dxa"/>
            <w:vAlign w:val="center"/>
          </w:tcPr>
          <w:p w14:paraId="40A6BD93">
            <w:pPr>
              <w:spacing w:line="240" w:lineRule="exact"/>
              <w:jc w:val="center"/>
              <w:rPr>
                <w:rFonts w:hint="eastAsia" w:eastAsia="宋体"/>
                <w:color w:val="000000" w:themeColor="text1"/>
                <w:szCs w:val="21"/>
                <w14:textFill>
                  <w14:solidFill>
                    <w14:schemeClr w14:val="tx1"/>
                  </w14:solidFill>
                </w14:textFill>
              </w:rPr>
            </w:pPr>
          </w:p>
        </w:tc>
        <w:tc>
          <w:tcPr>
            <w:tcW w:w="564" w:type="dxa"/>
            <w:vAlign w:val="center"/>
          </w:tcPr>
          <w:p w14:paraId="57C3837F">
            <w:pPr>
              <w:spacing w:line="240" w:lineRule="exact"/>
              <w:jc w:val="center"/>
              <w:rPr>
                <w:rFonts w:hint="eastAsia" w:eastAsia="宋体"/>
                <w:color w:val="000000" w:themeColor="text1"/>
                <w:szCs w:val="21"/>
                <w14:textFill>
                  <w14:solidFill>
                    <w14:schemeClr w14:val="tx1"/>
                  </w14:solidFill>
                </w14:textFill>
              </w:rPr>
            </w:pPr>
          </w:p>
        </w:tc>
        <w:tc>
          <w:tcPr>
            <w:tcW w:w="672" w:type="dxa"/>
            <w:vAlign w:val="center"/>
          </w:tcPr>
          <w:p w14:paraId="029889D7">
            <w:pPr>
              <w:spacing w:line="240" w:lineRule="exact"/>
              <w:jc w:val="center"/>
              <w:rPr>
                <w:rFonts w:hint="eastAsia" w:eastAsia="宋体"/>
                <w:color w:val="000000" w:themeColor="text1"/>
                <w:szCs w:val="21"/>
                <w14:textFill>
                  <w14:solidFill>
                    <w14:schemeClr w14:val="tx1"/>
                  </w14:solidFill>
                </w14:textFill>
              </w:rPr>
            </w:pPr>
          </w:p>
        </w:tc>
        <w:tc>
          <w:tcPr>
            <w:tcW w:w="1092" w:type="dxa"/>
            <w:tcBorders>
              <w:right w:val="single" w:color="000000" w:sz="4" w:space="0"/>
            </w:tcBorders>
            <w:vAlign w:val="center"/>
          </w:tcPr>
          <w:p w14:paraId="30ECA365">
            <w:pPr>
              <w:spacing w:line="240" w:lineRule="exact"/>
              <w:jc w:val="center"/>
              <w:rPr>
                <w:rFonts w:hint="eastAsia" w:eastAsia="宋体"/>
                <w:color w:val="000000" w:themeColor="text1"/>
                <w:szCs w:val="21"/>
                <w14:textFill>
                  <w14:solidFill>
                    <w14:schemeClr w14:val="tx1"/>
                  </w14:solidFill>
                </w14:textFill>
              </w:rPr>
            </w:pPr>
          </w:p>
        </w:tc>
        <w:tc>
          <w:tcPr>
            <w:tcW w:w="769" w:type="dxa"/>
            <w:vAlign w:val="center"/>
          </w:tcPr>
          <w:p w14:paraId="01452C92">
            <w:pPr>
              <w:spacing w:line="240" w:lineRule="exact"/>
              <w:jc w:val="center"/>
              <w:rPr>
                <w:rFonts w:hint="eastAsia" w:eastAsia="宋体"/>
                <w:color w:val="000000" w:themeColor="text1"/>
                <w:szCs w:val="21"/>
                <w14:textFill>
                  <w14:solidFill>
                    <w14:schemeClr w14:val="tx1"/>
                  </w14:solidFill>
                </w14:textFill>
              </w:rPr>
            </w:pPr>
          </w:p>
        </w:tc>
      </w:tr>
      <w:tr w14:paraId="25507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989" w:type="dxa"/>
            <w:vAlign w:val="center"/>
          </w:tcPr>
          <w:p w14:paraId="465F906F">
            <w:pPr>
              <w:spacing w:line="240" w:lineRule="exact"/>
              <w:jc w:val="center"/>
              <w:rPr>
                <w:rFonts w:hint="eastAsia" w:ascii="宋体" w:hAnsi="宋体" w:eastAsia="宋体" w:cs="宋体"/>
                <w:color w:val="000000" w:themeColor="text1"/>
                <w14:textFill>
                  <w14:solidFill>
                    <w14:schemeClr w14:val="tx1"/>
                  </w14:solidFill>
                </w14:textFill>
              </w:rPr>
            </w:pPr>
          </w:p>
        </w:tc>
        <w:tc>
          <w:tcPr>
            <w:tcW w:w="4101" w:type="dxa"/>
            <w:vAlign w:val="center"/>
          </w:tcPr>
          <w:p w14:paraId="5B34CF02">
            <w:pPr>
              <w:spacing w:line="240" w:lineRule="exact"/>
              <w:jc w:val="center"/>
              <w:rPr>
                <w:rFonts w:hint="eastAsia" w:ascii="Arial"/>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以上投标设备不足之处请往下添加序号自行补充</w:t>
            </w:r>
          </w:p>
        </w:tc>
        <w:tc>
          <w:tcPr>
            <w:tcW w:w="1188" w:type="dxa"/>
            <w:vAlign w:val="center"/>
          </w:tcPr>
          <w:p w14:paraId="13F67405">
            <w:pPr>
              <w:spacing w:line="240" w:lineRule="exact"/>
              <w:jc w:val="center"/>
              <w:rPr>
                <w:rFonts w:hint="eastAsia" w:ascii="Arial"/>
                <w:color w:val="000000" w:themeColor="text1"/>
                <w14:textFill>
                  <w14:solidFill>
                    <w14:schemeClr w14:val="tx1"/>
                  </w14:solidFill>
                </w14:textFill>
              </w:rPr>
            </w:pPr>
          </w:p>
        </w:tc>
        <w:tc>
          <w:tcPr>
            <w:tcW w:w="564" w:type="dxa"/>
            <w:vAlign w:val="center"/>
          </w:tcPr>
          <w:p w14:paraId="70CD93B1">
            <w:pPr>
              <w:adjustRightInd w:val="0"/>
              <w:snapToGrid w:val="0"/>
              <w:spacing w:before="156" w:beforeLines="50" w:after="156" w:afterLines="50" w:line="240" w:lineRule="exact"/>
              <w:jc w:val="center"/>
              <w:rPr>
                <w:rFonts w:hint="eastAsia" w:ascii="宋体" w:hAnsi="宋体" w:cs="宋体"/>
                <w:color w:val="000000" w:themeColor="text1"/>
                <w:szCs w:val="21"/>
                <w14:textFill>
                  <w14:solidFill>
                    <w14:schemeClr w14:val="tx1"/>
                  </w14:solidFill>
                </w14:textFill>
              </w:rPr>
            </w:pPr>
          </w:p>
        </w:tc>
        <w:tc>
          <w:tcPr>
            <w:tcW w:w="672" w:type="dxa"/>
            <w:vAlign w:val="center"/>
          </w:tcPr>
          <w:p w14:paraId="19A7F021">
            <w:pPr>
              <w:spacing w:line="240" w:lineRule="exact"/>
              <w:jc w:val="center"/>
              <w:rPr>
                <w:rFonts w:hint="eastAsia" w:ascii="Arial"/>
                <w:color w:val="000000" w:themeColor="text1"/>
                <w14:textFill>
                  <w14:solidFill>
                    <w14:schemeClr w14:val="tx1"/>
                  </w14:solidFill>
                </w14:textFill>
              </w:rPr>
            </w:pPr>
          </w:p>
        </w:tc>
        <w:tc>
          <w:tcPr>
            <w:tcW w:w="1092" w:type="dxa"/>
            <w:tcBorders>
              <w:right w:val="single" w:color="000000" w:sz="4" w:space="0"/>
            </w:tcBorders>
            <w:vAlign w:val="center"/>
          </w:tcPr>
          <w:p w14:paraId="5AB3DB28">
            <w:pPr>
              <w:spacing w:line="240" w:lineRule="exact"/>
              <w:jc w:val="center"/>
              <w:rPr>
                <w:rFonts w:hint="eastAsia" w:ascii="Arial"/>
                <w:color w:val="000000" w:themeColor="text1"/>
                <w14:textFill>
                  <w14:solidFill>
                    <w14:schemeClr w14:val="tx1"/>
                  </w14:solidFill>
                </w14:textFill>
              </w:rPr>
            </w:pPr>
          </w:p>
        </w:tc>
        <w:tc>
          <w:tcPr>
            <w:tcW w:w="769" w:type="dxa"/>
            <w:vAlign w:val="center"/>
          </w:tcPr>
          <w:p w14:paraId="40EB7E13">
            <w:pPr>
              <w:spacing w:line="240" w:lineRule="exact"/>
              <w:jc w:val="center"/>
              <w:rPr>
                <w:rFonts w:hint="eastAsia" w:ascii="Arial"/>
                <w:color w:val="000000" w:themeColor="text1"/>
                <w14:textFill>
                  <w14:solidFill>
                    <w14:schemeClr w14:val="tx1"/>
                  </w14:solidFill>
                </w14:textFill>
              </w:rPr>
            </w:pPr>
          </w:p>
        </w:tc>
      </w:tr>
    </w:tbl>
    <w:p w14:paraId="5687E2F0">
      <w:pPr>
        <w:spacing w:before="52" w:line="221" w:lineRule="auto"/>
        <w:ind w:left="9"/>
        <w:jc w:val="right"/>
        <w:rPr>
          <w:rFonts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4FAD26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F2F2BBB">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5684DF6C">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285773EF">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19F44BD">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7E689ACF">
      <w:pPr>
        <w:spacing w:before="78" w:line="219" w:lineRule="auto"/>
        <w:ind w:left="431"/>
        <w:rPr>
          <w:rFonts w:hint="eastAsia" w:ascii="宋体" w:hAnsi="宋体" w:eastAsia="宋体" w:cs="宋体"/>
          <w:spacing w:val="-6"/>
          <w:szCs w:val="21"/>
          <w:lang w:val="en-US" w:eastAsia="zh-CN"/>
        </w:rPr>
      </w:pPr>
    </w:p>
    <w:p w14:paraId="72456EE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10F2E79">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6CDB910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40B961E">
      <w:pPr>
        <w:keepNext/>
        <w:keepLines/>
        <w:outlineLvl w:val="2"/>
        <w:rPr>
          <w:rFonts w:hint="eastAsia" w:ascii="Times New Roman" w:hAnsi="Times New Roman" w:eastAsia="宋体" w:cs="Times New Roman"/>
          <w:b/>
          <w:bCs/>
          <w:color w:val="000000"/>
          <w:sz w:val="24"/>
          <w:szCs w:val="24"/>
        </w:rPr>
        <w:sectPr>
          <w:pgSz w:w="11906" w:h="16838"/>
          <w:pgMar w:top="1588" w:right="1418" w:bottom="1134" w:left="1418" w:header="851" w:footer="992" w:gutter="0"/>
          <w:pgNumType w:fmt="decimal"/>
          <w:cols w:space="720" w:num="1"/>
          <w:titlePg/>
          <w:docGrid w:type="lines" w:linePitch="312" w:charSpace="0"/>
        </w:sectPr>
      </w:pPr>
    </w:p>
    <w:p w14:paraId="3F753BF1">
      <w:pPr>
        <w:keepNext/>
        <w:keepLines/>
        <w:outlineLvl w:val="2"/>
        <w:rPr>
          <w:rFonts w:ascii="Times New Roman" w:hAnsi="Times New Roman" w:eastAsia="宋体" w:cs="Times New Roman"/>
          <w:b/>
          <w:bCs/>
          <w:color w:val="000000"/>
          <w:sz w:val="24"/>
          <w:szCs w:val="24"/>
          <w:highlight w:val="yellow"/>
        </w:rPr>
      </w:pPr>
      <w:r>
        <w:rPr>
          <w:rFonts w:hint="eastAsia" w:ascii="Times New Roman" w:hAnsi="Times New Roman" w:eastAsia="宋体" w:cs="Times New Roman"/>
          <w:b/>
          <w:bCs/>
          <w:color w:val="000000"/>
          <w:sz w:val="24"/>
          <w:szCs w:val="24"/>
          <w:highlight w:val="yellow"/>
        </w:rPr>
        <w:t>附件6</w:t>
      </w:r>
      <w:r>
        <w:rPr>
          <w:rFonts w:ascii="Times New Roman" w:hAnsi="Times New Roman" w:eastAsia="宋体" w:cs="Times New Roman"/>
          <w:b/>
          <w:bCs/>
          <w:color w:val="000000"/>
          <w:sz w:val="24"/>
          <w:szCs w:val="24"/>
          <w:highlight w:val="yellow"/>
        </w:rPr>
        <w:t xml:space="preserve"> </w:t>
      </w:r>
      <w:r>
        <w:rPr>
          <w:rFonts w:hint="eastAsia" w:ascii="Times New Roman" w:hAnsi="Times New Roman" w:eastAsia="宋体" w:cs="Times New Roman"/>
          <w:b/>
          <w:bCs/>
          <w:color w:val="000000"/>
          <w:sz w:val="24"/>
          <w:szCs w:val="24"/>
          <w:highlight w:val="yellow"/>
        </w:rPr>
        <w:t>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项目名称：</w:t>
      </w:r>
      <w:r>
        <w:rPr>
          <w:rFonts w:hint="eastAsia" w:ascii="宋体" w:hAnsi="宋体" w:eastAsia="宋体" w:cs="Times New Roman"/>
          <w:color w:val="000000"/>
          <w:sz w:val="24"/>
          <w:szCs w:val="24"/>
          <w:highlight w:val="yellow"/>
          <w:lang w:eastAsia="zh-CN"/>
        </w:rPr>
        <w:t>AMT变速箱疲劳寿命试验台项目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FEF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65245AD">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F4F596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0DC2C08">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367B6D7B">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6C6F07C8">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22ADE24">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20A9D14D">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1F398702">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2733A4CF">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BD4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2B03FD7">
            <w:pPr>
              <w:ind w:left="420" w:hanging="420"/>
              <w:rPr>
                <w:rFonts w:ascii="宋体" w:hAnsi="Times New Roman" w:eastAsia="宋体" w:cs="Times New Roman"/>
                <w:b/>
                <w:szCs w:val="20"/>
              </w:rPr>
            </w:pPr>
          </w:p>
        </w:tc>
        <w:tc>
          <w:tcPr>
            <w:tcW w:w="2082" w:type="dxa"/>
            <w:vAlign w:val="center"/>
          </w:tcPr>
          <w:p w14:paraId="41A95F37">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5B5D5F30">
            <w:pPr>
              <w:ind w:left="420" w:hanging="420"/>
              <w:rPr>
                <w:rFonts w:ascii="宋体" w:hAnsi="Times New Roman" w:eastAsia="宋体" w:cs="Times New Roman"/>
                <w:b/>
                <w:szCs w:val="20"/>
              </w:rPr>
            </w:pPr>
          </w:p>
        </w:tc>
        <w:tc>
          <w:tcPr>
            <w:tcW w:w="826" w:type="dxa"/>
          </w:tcPr>
          <w:p w14:paraId="3EF94319">
            <w:pPr>
              <w:ind w:left="420" w:hanging="420"/>
              <w:rPr>
                <w:rFonts w:ascii="宋体" w:hAnsi="Times New Roman" w:eastAsia="宋体" w:cs="Times New Roman"/>
                <w:b/>
                <w:szCs w:val="20"/>
              </w:rPr>
            </w:pPr>
          </w:p>
        </w:tc>
        <w:tc>
          <w:tcPr>
            <w:tcW w:w="1320" w:type="dxa"/>
          </w:tcPr>
          <w:p w14:paraId="4B14147E">
            <w:pPr>
              <w:ind w:left="420" w:hanging="420"/>
              <w:rPr>
                <w:rFonts w:ascii="宋体" w:hAnsi="Times New Roman" w:eastAsia="宋体" w:cs="Times New Roman"/>
                <w:b/>
                <w:szCs w:val="20"/>
              </w:rPr>
            </w:pPr>
          </w:p>
        </w:tc>
        <w:tc>
          <w:tcPr>
            <w:tcW w:w="1023" w:type="dxa"/>
          </w:tcPr>
          <w:p w14:paraId="0637391E">
            <w:pPr>
              <w:ind w:left="420" w:hanging="420"/>
              <w:rPr>
                <w:rFonts w:ascii="宋体" w:hAnsi="Times New Roman" w:eastAsia="宋体" w:cs="Times New Roman"/>
                <w:b/>
                <w:szCs w:val="20"/>
              </w:rPr>
            </w:pPr>
          </w:p>
        </w:tc>
        <w:tc>
          <w:tcPr>
            <w:tcW w:w="1590" w:type="dxa"/>
          </w:tcPr>
          <w:p w14:paraId="0FF603CA">
            <w:pPr>
              <w:ind w:left="420" w:hanging="420"/>
              <w:rPr>
                <w:rFonts w:ascii="宋体" w:hAnsi="Times New Roman" w:eastAsia="宋体" w:cs="Times New Roman"/>
                <w:b/>
                <w:szCs w:val="20"/>
              </w:rPr>
            </w:pPr>
          </w:p>
        </w:tc>
      </w:tr>
      <w:tr w14:paraId="2C4A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4320BC">
            <w:pPr>
              <w:ind w:left="420" w:hanging="420"/>
              <w:rPr>
                <w:rFonts w:ascii="宋体" w:hAnsi="Times New Roman" w:eastAsia="宋体" w:cs="Times New Roman"/>
                <w:b/>
                <w:szCs w:val="20"/>
              </w:rPr>
            </w:pPr>
          </w:p>
        </w:tc>
        <w:tc>
          <w:tcPr>
            <w:tcW w:w="2082" w:type="dxa"/>
            <w:vAlign w:val="center"/>
          </w:tcPr>
          <w:p w14:paraId="0E3E1B74">
            <w:pPr>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6CC814D0">
            <w:pPr>
              <w:ind w:left="420" w:hanging="420"/>
              <w:rPr>
                <w:rFonts w:ascii="宋体" w:hAnsi="Times New Roman" w:eastAsia="宋体" w:cs="Times New Roman"/>
                <w:b/>
                <w:szCs w:val="20"/>
              </w:rPr>
            </w:pPr>
          </w:p>
        </w:tc>
        <w:tc>
          <w:tcPr>
            <w:tcW w:w="826" w:type="dxa"/>
          </w:tcPr>
          <w:p w14:paraId="5C152923">
            <w:pPr>
              <w:ind w:left="420" w:hanging="420"/>
              <w:rPr>
                <w:rFonts w:ascii="宋体" w:hAnsi="Times New Roman" w:eastAsia="宋体" w:cs="Times New Roman"/>
                <w:b/>
                <w:szCs w:val="20"/>
              </w:rPr>
            </w:pPr>
          </w:p>
        </w:tc>
        <w:tc>
          <w:tcPr>
            <w:tcW w:w="1320" w:type="dxa"/>
          </w:tcPr>
          <w:p w14:paraId="2CF285C2">
            <w:pPr>
              <w:ind w:left="420" w:hanging="420"/>
              <w:rPr>
                <w:rFonts w:ascii="宋体" w:hAnsi="Times New Roman" w:eastAsia="宋体" w:cs="Times New Roman"/>
                <w:b/>
                <w:szCs w:val="20"/>
              </w:rPr>
            </w:pPr>
          </w:p>
        </w:tc>
        <w:tc>
          <w:tcPr>
            <w:tcW w:w="1023" w:type="dxa"/>
          </w:tcPr>
          <w:p w14:paraId="3BC318E5">
            <w:pPr>
              <w:ind w:left="420" w:hanging="420"/>
              <w:rPr>
                <w:rFonts w:ascii="宋体" w:hAnsi="Times New Roman" w:eastAsia="宋体" w:cs="Times New Roman"/>
                <w:b/>
                <w:szCs w:val="20"/>
              </w:rPr>
            </w:pPr>
          </w:p>
        </w:tc>
        <w:tc>
          <w:tcPr>
            <w:tcW w:w="1590" w:type="dxa"/>
          </w:tcPr>
          <w:p w14:paraId="40F0B89D">
            <w:pPr>
              <w:ind w:left="420" w:hanging="420"/>
              <w:rPr>
                <w:rFonts w:ascii="宋体" w:hAnsi="Times New Roman" w:eastAsia="宋体" w:cs="Times New Roman"/>
                <w:b/>
                <w:szCs w:val="20"/>
              </w:rPr>
            </w:pPr>
          </w:p>
        </w:tc>
      </w:tr>
      <w:tr w14:paraId="2D3A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D5FB88C">
            <w:pPr>
              <w:ind w:left="420" w:hanging="420"/>
              <w:rPr>
                <w:rFonts w:ascii="宋体" w:hAnsi="Times New Roman" w:eastAsia="宋体" w:cs="Times New Roman"/>
                <w:b/>
                <w:szCs w:val="20"/>
              </w:rPr>
            </w:pPr>
          </w:p>
        </w:tc>
        <w:tc>
          <w:tcPr>
            <w:tcW w:w="2082" w:type="dxa"/>
            <w:vAlign w:val="center"/>
          </w:tcPr>
          <w:p w14:paraId="0AC3280E">
            <w:pPr>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374D77E2">
            <w:pPr>
              <w:ind w:left="420" w:hanging="420"/>
              <w:rPr>
                <w:rFonts w:ascii="宋体" w:hAnsi="Times New Roman" w:eastAsia="宋体" w:cs="Times New Roman"/>
                <w:b/>
                <w:szCs w:val="20"/>
              </w:rPr>
            </w:pPr>
          </w:p>
        </w:tc>
        <w:tc>
          <w:tcPr>
            <w:tcW w:w="826" w:type="dxa"/>
          </w:tcPr>
          <w:p w14:paraId="68DCA02A">
            <w:pPr>
              <w:ind w:left="420" w:hanging="420"/>
              <w:rPr>
                <w:rFonts w:ascii="宋体" w:hAnsi="Times New Roman" w:eastAsia="宋体" w:cs="Times New Roman"/>
                <w:b/>
                <w:szCs w:val="20"/>
              </w:rPr>
            </w:pPr>
          </w:p>
        </w:tc>
        <w:tc>
          <w:tcPr>
            <w:tcW w:w="1320" w:type="dxa"/>
          </w:tcPr>
          <w:p w14:paraId="7D2567C1">
            <w:pPr>
              <w:ind w:left="420" w:hanging="420"/>
              <w:rPr>
                <w:rFonts w:ascii="宋体" w:hAnsi="Times New Roman" w:eastAsia="宋体" w:cs="Times New Roman"/>
                <w:b/>
                <w:szCs w:val="20"/>
              </w:rPr>
            </w:pPr>
          </w:p>
        </w:tc>
        <w:tc>
          <w:tcPr>
            <w:tcW w:w="1023" w:type="dxa"/>
          </w:tcPr>
          <w:p w14:paraId="16A8794B">
            <w:pPr>
              <w:ind w:left="420" w:hanging="420"/>
              <w:rPr>
                <w:rFonts w:ascii="宋体" w:hAnsi="Times New Roman" w:eastAsia="宋体" w:cs="Times New Roman"/>
                <w:b/>
                <w:szCs w:val="20"/>
              </w:rPr>
            </w:pPr>
          </w:p>
        </w:tc>
        <w:tc>
          <w:tcPr>
            <w:tcW w:w="1590" w:type="dxa"/>
          </w:tcPr>
          <w:p w14:paraId="575B4185">
            <w:pPr>
              <w:ind w:left="420" w:hanging="420"/>
              <w:rPr>
                <w:rFonts w:ascii="宋体" w:hAnsi="Times New Roman" w:eastAsia="宋体" w:cs="Times New Roman"/>
                <w:b/>
                <w:szCs w:val="20"/>
              </w:rPr>
            </w:pPr>
          </w:p>
        </w:tc>
      </w:tr>
      <w:tr w14:paraId="7DCC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306E55">
            <w:pPr>
              <w:ind w:left="420" w:hanging="420"/>
              <w:rPr>
                <w:rFonts w:ascii="宋体" w:hAnsi="Times New Roman" w:eastAsia="宋体" w:cs="Times New Roman"/>
                <w:b/>
                <w:szCs w:val="20"/>
              </w:rPr>
            </w:pPr>
          </w:p>
        </w:tc>
        <w:tc>
          <w:tcPr>
            <w:tcW w:w="2082" w:type="dxa"/>
            <w:vAlign w:val="center"/>
          </w:tcPr>
          <w:p w14:paraId="10946404">
            <w:pPr>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45EE90BC">
            <w:pPr>
              <w:ind w:left="420" w:hanging="420"/>
              <w:rPr>
                <w:rFonts w:ascii="宋体" w:hAnsi="Times New Roman" w:eastAsia="宋体" w:cs="Times New Roman"/>
                <w:b/>
                <w:szCs w:val="20"/>
              </w:rPr>
            </w:pPr>
          </w:p>
        </w:tc>
        <w:tc>
          <w:tcPr>
            <w:tcW w:w="826" w:type="dxa"/>
          </w:tcPr>
          <w:p w14:paraId="47D04F77">
            <w:pPr>
              <w:ind w:left="420" w:hanging="420"/>
              <w:rPr>
                <w:rFonts w:ascii="宋体" w:hAnsi="Times New Roman" w:eastAsia="宋体" w:cs="Times New Roman"/>
                <w:b/>
                <w:szCs w:val="20"/>
              </w:rPr>
            </w:pPr>
          </w:p>
        </w:tc>
        <w:tc>
          <w:tcPr>
            <w:tcW w:w="1320" w:type="dxa"/>
          </w:tcPr>
          <w:p w14:paraId="6DB2F3EF">
            <w:pPr>
              <w:ind w:left="420" w:hanging="420"/>
              <w:rPr>
                <w:rFonts w:ascii="宋体" w:hAnsi="Times New Roman" w:eastAsia="宋体" w:cs="Times New Roman"/>
                <w:b/>
                <w:szCs w:val="20"/>
              </w:rPr>
            </w:pPr>
          </w:p>
        </w:tc>
        <w:tc>
          <w:tcPr>
            <w:tcW w:w="1023" w:type="dxa"/>
          </w:tcPr>
          <w:p w14:paraId="520E544B">
            <w:pPr>
              <w:ind w:left="420" w:hanging="420"/>
              <w:rPr>
                <w:rFonts w:ascii="宋体" w:hAnsi="Times New Roman" w:eastAsia="宋体" w:cs="Times New Roman"/>
                <w:b/>
                <w:szCs w:val="20"/>
              </w:rPr>
            </w:pPr>
          </w:p>
        </w:tc>
        <w:tc>
          <w:tcPr>
            <w:tcW w:w="1590" w:type="dxa"/>
          </w:tcPr>
          <w:p w14:paraId="690AF37E">
            <w:pPr>
              <w:ind w:left="420" w:hanging="420"/>
              <w:rPr>
                <w:rFonts w:ascii="宋体" w:hAnsi="Times New Roman" w:eastAsia="宋体" w:cs="Times New Roman"/>
                <w:b/>
                <w:szCs w:val="20"/>
              </w:rPr>
            </w:pPr>
          </w:p>
        </w:tc>
      </w:tr>
      <w:tr w14:paraId="5CFA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EF040E">
            <w:pPr>
              <w:ind w:left="420" w:hanging="420"/>
              <w:rPr>
                <w:rFonts w:ascii="宋体" w:hAnsi="Times New Roman" w:eastAsia="宋体" w:cs="Times New Roman"/>
                <w:b/>
                <w:szCs w:val="20"/>
              </w:rPr>
            </w:pPr>
          </w:p>
        </w:tc>
        <w:tc>
          <w:tcPr>
            <w:tcW w:w="2082" w:type="dxa"/>
            <w:vAlign w:val="center"/>
          </w:tcPr>
          <w:p w14:paraId="1C985AF9">
            <w:pPr>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53ABCC68">
            <w:pPr>
              <w:ind w:left="420" w:hanging="420"/>
              <w:rPr>
                <w:rFonts w:ascii="宋体" w:hAnsi="Times New Roman" w:eastAsia="宋体" w:cs="Times New Roman"/>
                <w:b/>
                <w:szCs w:val="20"/>
              </w:rPr>
            </w:pPr>
          </w:p>
        </w:tc>
        <w:tc>
          <w:tcPr>
            <w:tcW w:w="826" w:type="dxa"/>
          </w:tcPr>
          <w:p w14:paraId="6A2A9785">
            <w:pPr>
              <w:ind w:left="420" w:hanging="420"/>
              <w:rPr>
                <w:rFonts w:ascii="宋体" w:hAnsi="Times New Roman" w:eastAsia="宋体" w:cs="Times New Roman"/>
                <w:b/>
                <w:szCs w:val="20"/>
              </w:rPr>
            </w:pPr>
          </w:p>
        </w:tc>
        <w:tc>
          <w:tcPr>
            <w:tcW w:w="1320" w:type="dxa"/>
          </w:tcPr>
          <w:p w14:paraId="25B6E47E">
            <w:pPr>
              <w:ind w:left="420" w:hanging="420"/>
              <w:rPr>
                <w:rFonts w:ascii="宋体" w:hAnsi="Times New Roman" w:eastAsia="宋体" w:cs="Times New Roman"/>
                <w:b/>
                <w:szCs w:val="20"/>
              </w:rPr>
            </w:pPr>
          </w:p>
        </w:tc>
        <w:tc>
          <w:tcPr>
            <w:tcW w:w="1023" w:type="dxa"/>
          </w:tcPr>
          <w:p w14:paraId="63D98745">
            <w:pPr>
              <w:ind w:left="420" w:hanging="420"/>
              <w:rPr>
                <w:rFonts w:ascii="宋体" w:hAnsi="Times New Roman" w:eastAsia="宋体" w:cs="Times New Roman"/>
                <w:b/>
                <w:szCs w:val="20"/>
              </w:rPr>
            </w:pPr>
          </w:p>
        </w:tc>
        <w:tc>
          <w:tcPr>
            <w:tcW w:w="1590" w:type="dxa"/>
          </w:tcPr>
          <w:p w14:paraId="257A59E1">
            <w:pPr>
              <w:ind w:left="420" w:hanging="420"/>
              <w:rPr>
                <w:rFonts w:ascii="宋体" w:hAnsi="Times New Roman" w:eastAsia="宋体" w:cs="Times New Roman"/>
                <w:b/>
                <w:szCs w:val="20"/>
              </w:rPr>
            </w:pPr>
          </w:p>
        </w:tc>
      </w:tr>
      <w:tr w14:paraId="5680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6B0774">
            <w:pPr>
              <w:ind w:left="420" w:hanging="420"/>
              <w:rPr>
                <w:rFonts w:ascii="宋体" w:hAnsi="Times New Roman" w:eastAsia="宋体" w:cs="Times New Roman"/>
                <w:b/>
                <w:szCs w:val="20"/>
              </w:rPr>
            </w:pPr>
          </w:p>
        </w:tc>
        <w:tc>
          <w:tcPr>
            <w:tcW w:w="2082" w:type="dxa"/>
            <w:vAlign w:val="center"/>
          </w:tcPr>
          <w:p w14:paraId="7ADAE669">
            <w:pPr>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384E1D74">
            <w:pPr>
              <w:ind w:left="420" w:hanging="420"/>
              <w:rPr>
                <w:rFonts w:ascii="宋体" w:hAnsi="Times New Roman" w:eastAsia="宋体" w:cs="Times New Roman"/>
                <w:b/>
                <w:szCs w:val="20"/>
              </w:rPr>
            </w:pPr>
          </w:p>
        </w:tc>
        <w:tc>
          <w:tcPr>
            <w:tcW w:w="826" w:type="dxa"/>
          </w:tcPr>
          <w:p w14:paraId="546FFD4A">
            <w:pPr>
              <w:ind w:left="420" w:hanging="420"/>
              <w:rPr>
                <w:rFonts w:ascii="宋体" w:hAnsi="Times New Roman" w:eastAsia="宋体" w:cs="Times New Roman"/>
                <w:b/>
                <w:szCs w:val="20"/>
              </w:rPr>
            </w:pPr>
          </w:p>
        </w:tc>
        <w:tc>
          <w:tcPr>
            <w:tcW w:w="1320" w:type="dxa"/>
          </w:tcPr>
          <w:p w14:paraId="50204CFF">
            <w:pPr>
              <w:ind w:left="420" w:hanging="420"/>
              <w:rPr>
                <w:rFonts w:ascii="宋体" w:hAnsi="Times New Roman" w:eastAsia="宋体" w:cs="Times New Roman"/>
                <w:b/>
                <w:szCs w:val="20"/>
              </w:rPr>
            </w:pPr>
          </w:p>
        </w:tc>
        <w:tc>
          <w:tcPr>
            <w:tcW w:w="1023" w:type="dxa"/>
          </w:tcPr>
          <w:p w14:paraId="672BAC3C">
            <w:pPr>
              <w:ind w:left="420" w:hanging="420"/>
              <w:rPr>
                <w:rFonts w:ascii="宋体" w:hAnsi="Times New Roman" w:eastAsia="宋体" w:cs="Times New Roman"/>
                <w:b/>
                <w:szCs w:val="20"/>
              </w:rPr>
            </w:pPr>
          </w:p>
        </w:tc>
        <w:tc>
          <w:tcPr>
            <w:tcW w:w="1590" w:type="dxa"/>
          </w:tcPr>
          <w:p w14:paraId="73E3EDD3">
            <w:pPr>
              <w:ind w:left="420" w:hanging="420"/>
              <w:rPr>
                <w:rFonts w:ascii="宋体" w:hAnsi="Times New Roman" w:eastAsia="宋体" w:cs="Times New Roman"/>
                <w:b/>
                <w:szCs w:val="20"/>
              </w:rPr>
            </w:pPr>
          </w:p>
        </w:tc>
      </w:tr>
      <w:tr w14:paraId="52C5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4921DEE">
            <w:pPr>
              <w:ind w:left="420" w:hanging="420"/>
              <w:rPr>
                <w:rFonts w:ascii="宋体" w:hAnsi="Times New Roman" w:eastAsia="宋体" w:cs="Times New Roman"/>
                <w:b/>
                <w:szCs w:val="20"/>
              </w:rPr>
            </w:pPr>
          </w:p>
        </w:tc>
        <w:tc>
          <w:tcPr>
            <w:tcW w:w="2082" w:type="dxa"/>
          </w:tcPr>
          <w:p w14:paraId="34A4354E">
            <w:pPr>
              <w:ind w:left="420" w:hanging="420"/>
              <w:rPr>
                <w:rFonts w:ascii="宋体" w:hAnsi="Times New Roman" w:eastAsia="宋体" w:cs="Times New Roman"/>
                <w:b/>
                <w:szCs w:val="20"/>
              </w:rPr>
            </w:pPr>
          </w:p>
        </w:tc>
        <w:tc>
          <w:tcPr>
            <w:tcW w:w="1355" w:type="dxa"/>
          </w:tcPr>
          <w:p w14:paraId="6141642D">
            <w:pPr>
              <w:ind w:left="420" w:hanging="420"/>
              <w:rPr>
                <w:rFonts w:ascii="宋体" w:hAnsi="Times New Roman" w:eastAsia="宋体" w:cs="Times New Roman"/>
                <w:b/>
                <w:szCs w:val="20"/>
              </w:rPr>
            </w:pPr>
          </w:p>
        </w:tc>
        <w:tc>
          <w:tcPr>
            <w:tcW w:w="826" w:type="dxa"/>
          </w:tcPr>
          <w:p w14:paraId="3E714CF5">
            <w:pPr>
              <w:ind w:left="420" w:hanging="420"/>
              <w:rPr>
                <w:rFonts w:ascii="宋体" w:hAnsi="Times New Roman" w:eastAsia="宋体" w:cs="Times New Roman"/>
                <w:b/>
                <w:szCs w:val="20"/>
              </w:rPr>
            </w:pPr>
          </w:p>
        </w:tc>
        <w:tc>
          <w:tcPr>
            <w:tcW w:w="1320" w:type="dxa"/>
          </w:tcPr>
          <w:p w14:paraId="28C67839">
            <w:pPr>
              <w:ind w:left="420" w:hanging="420"/>
              <w:rPr>
                <w:rFonts w:ascii="宋体" w:hAnsi="Times New Roman" w:eastAsia="宋体" w:cs="Times New Roman"/>
                <w:b/>
                <w:szCs w:val="20"/>
              </w:rPr>
            </w:pPr>
          </w:p>
        </w:tc>
        <w:tc>
          <w:tcPr>
            <w:tcW w:w="1023" w:type="dxa"/>
          </w:tcPr>
          <w:p w14:paraId="2328A930">
            <w:pPr>
              <w:ind w:left="420" w:hanging="420"/>
              <w:rPr>
                <w:rFonts w:ascii="宋体" w:hAnsi="Times New Roman" w:eastAsia="宋体" w:cs="Times New Roman"/>
                <w:b/>
                <w:szCs w:val="20"/>
              </w:rPr>
            </w:pPr>
          </w:p>
        </w:tc>
        <w:tc>
          <w:tcPr>
            <w:tcW w:w="1590" w:type="dxa"/>
          </w:tcPr>
          <w:p w14:paraId="6DBBE3AB">
            <w:pPr>
              <w:ind w:left="420" w:hanging="420"/>
              <w:rPr>
                <w:rFonts w:ascii="宋体" w:hAnsi="Times New Roman" w:eastAsia="宋体" w:cs="Times New Roman"/>
                <w:b/>
                <w:szCs w:val="20"/>
              </w:rPr>
            </w:pPr>
          </w:p>
        </w:tc>
      </w:tr>
      <w:tr w14:paraId="2815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AAB3D9">
            <w:pPr>
              <w:ind w:left="420" w:hanging="420"/>
              <w:rPr>
                <w:rFonts w:ascii="宋体" w:hAnsi="Times New Roman" w:eastAsia="宋体" w:cs="Times New Roman"/>
                <w:b/>
                <w:szCs w:val="20"/>
              </w:rPr>
            </w:pPr>
          </w:p>
        </w:tc>
        <w:tc>
          <w:tcPr>
            <w:tcW w:w="2082" w:type="dxa"/>
          </w:tcPr>
          <w:p w14:paraId="18B88EC7">
            <w:pPr>
              <w:ind w:left="420" w:hanging="420"/>
              <w:rPr>
                <w:rFonts w:ascii="宋体" w:hAnsi="Times New Roman" w:eastAsia="宋体" w:cs="Times New Roman"/>
                <w:b/>
                <w:szCs w:val="20"/>
              </w:rPr>
            </w:pPr>
          </w:p>
        </w:tc>
        <w:tc>
          <w:tcPr>
            <w:tcW w:w="1355" w:type="dxa"/>
          </w:tcPr>
          <w:p w14:paraId="0119FBDD">
            <w:pPr>
              <w:ind w:left="420" w:hanging="420"/>
              <w:rPr>
                <w:rFonts w:ascii="宋体" w:hAnsi="Times New Roman" w:eastAsia="宋体" w:cs="Times New Roman"/>
                <w:b/>
                <w:szCs w:val="20"/>
              </w:rPr>
            </w:pPr>
          </w:p>
        </w:tc>
        <w:tc>
          <w:tcPr>
            <w:tcW w:w="826" w:type="dxa"/>
          </w:tcPr>
          <w:p w14:paraId="3DD81688">
            <w:pPr>
              <w:ind w:left="420" w:hanging="420"/>
              <w:rPr>
                <w:rFonts w:ascii="宋体" w:hAnsi="Times New Roman" w:eastAsia="宋体" w:cs="Times New Roman"/>
                <w:b/>
                <w:szCs w:val="20"/>
              </w:rPr>
            </w:pPr>
          </w:p>
        </w:tc>
        <w:tc>
          <w:tcPr>
            <w:tcW w:w="1320" w:type="dxa"/>
          </w:tcPr>
          <w:p w14:paraId="36DC01EF">
            <w:pPr>
              <w:ind w:left="420" w:hanging="420"/>
              <w:rPr>
                <w:rFonts w:ascii="宋体" w:hAnsi="Times New Roman" w:eastAsia="宋体" w:cs="Times New Roman"/>
                <w:b/>
                <w:szCs w:val="20"/>
              </w:rPr>
            </w:pPr>
          </w:p>
        </w:tc>
        <w:tc>
          <w:tcPr>
            <w:tcW w:w="1023" w:type="dxa"/>
          </w:tcPr>
          <w:p w14:paraId="77A7C860">
            <w:pPr>
              <w:ind w:left="420" w:hanging="420"/>
              <w:rPr>
                <w:rFonts w:ascii="宋体" w:hAnsi="Times New Roman" w:eastAsia="宋体" w:cs="Times New Roman"/>
                <w:b/>
                <w:szCs w:val="20"/>
              </w:rPr>
            </w:pPr>
          </w:p>
        </w:tc>
        <w:tc>
          <w:tcPr>
            <w:tcW w:w="1590" w:type="dxa"/>
          </w:tcPr>
          <w:p w14:paraId="42CFDB57">
            <w:pPr>
              <w:ind w:left="420" w:hanging="420"/>
              <w:rPr>
                <w:rFonts w:ascii="宋体" w:hAnsi="Times New Roman" w:eastAsia="宋体" w:cs="Times New Roman"/>
                <w:b/>
                <w:szCs w:val="20"/>
              </w:rPr>
            </w:pPr>
          </w:p>
        </w:tc>
      </w:tr>
      <w:tr w14:paraId="3D2D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B58F03">
            <w:pPr>
              <w:ind w:left="420" w:hanging="420"/>
              <w:rPr>
                <w:rFonts w:ascii="宋体" w:hAnsi="Times New Roman" w:eastAsia="宋体" w:cs="Times New Roman"/>
                <w:b/>
                <w:szCs w:val="20"/>
              </w:rPr>
            </w:pPr>
          </w:p>
        </w:tc>
        <w:tc>
          <w:tcPr>
            <w:tcW w:w="2082" w:type="dxa"/>
          </w:tcPr>
          <w:p w14:paraId="18A40F1F">
            <w:pPr>
              <w:ind w:left="420" w:hanging="420"/>
              <w:rPr>
                <w:rFonts w:ascii="宋体" w:hAnsi="Times New Roman" w:eastAsia="宋体" w:cs="Times New Roman"/>
                <w:b/>
                <w:szCs w:val="20"/>
              </w:rPr>
            </w:pPr>
          </w:p>
        </w:tc>
        <w:tc>
          <w:tcPr>
            <w:tcW w:w="1355" w:type="dxa"/>
          </w:tcPr>
          <w:p w14:paraId="488CEE40">
            <w:pPr>
              <w:ind w:left="420" w:hanging="420"/>
              <w:rPr>
                <w:rFonts w:ascii="宋体" w:hAnsi="Times New Roman" w:eastAsia="宋体" w:cs="Times New Roman"/>
                <w:b/>
                <w:szCs w:val="20"/>
              </w:rPr>
            </w:pPr>
          </w:p>
        </w:tc>
        <w:tc>
          <w:tcPr>
            <w:tcW w:w="826" w:type="dxa"/>
          </w:tcPr>
          <w:p w14:paraId="53D2421F">
            <w:pPr>
              <w:ind w:left="420" w:hanging="420"/>
              <w:rPr>
                <w:rFonts w:ascii="宋体" w:hAnsi="Times New Roman" w:eastAsia="宋体" w:cs="Times New Roman"/>
                <w:b/>
                <w:szCs w:val="20"/>
              </w:rPr>
            </w:pPr>
          </w:p>
        </w:tc>
        <w:tc>
          <w:tcPr>
            <w:tcW w:w="1320" w:type="dxa"/>
          </w:tcPr>
          <w:p w14:paraId="24992153">
            <w:pPr>
              <w:ind w:left="420" w:hanging="420"/>
              <w:rPr>
                <w:rFonts w:ascii="宋体" w:hAnsi="Times New Roman" w:eastAsia="宋体" w:cs="Times New Roman"/>
                <w:b/>
                <w:szCs w:val="20"/>
              </w:rPr>
            </w:pPr>
          </w:p>
        </w:tc>
        <w:tc>
          <w:tcPr>
            <w:tcW w:w="1023" w:type="dxa"/>
          </w:tcPr>
          <w:p w14:paraId="6436B55B">
            <w:pPr>
              <w:ind w:left="420" w:hanging="420"/>
              <w:rPr>
                <w:rFonts w:ascii="宋体" w:hAnsi="Times New Roman" w:eastAsia="宋体" w:cs="Times New Roman"/>
                <w:b/>
                <w:szCs w:val="20"/>
              </w:rPr>
            </w:pPr>
          </w:p>
        </w:tc>
        <w:tc>
          <w:tcPr>
            <w:tcW w:w="1590" w:type="dxa"/>
          </w:tcPr>
          <w:p w14:paraId="793C7390">
            <w:pPr>
              <w:ind w:left="420" w:hanging="420"/>
              <w:rPr>
                <w:rFonts w:ascii="宋体" w:hAnsi="Times New Roman" w:eastAsia="宋体" w:cs="Times New Roman"/>
                <w:b/>
                <w:szCs w:val="20"/>
              </w:rPr>
            </w:pPr>
          </w:p>
        </w:tc>
      </w:tr>
      <w:tr w14:paraId="57B9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69D1A3">
            <w:pPr>
              <w:ind w:left="420" w:hanging="420"/>
              <w:rPr>
                <w:rFonts w:ascii="宋体" w:hAnsi="Times New Roman" w:eastAsia="宋体" w:cs="Times New Roman"/>
                <w:b/>
                <w:szCs w:val="20"/>
              </w:rPr>
            </w:pPr>
          </w:p>
        </w:tc>
        <w:tc>
          <w:tcPr>
            <w:tcW w:w="2082" w:type="dxa"/>
          </w:tcPr>
          <w:p w14:paraId="60DC641C">
            <w:pPr>
              <w:ind w:left="420" w:hanging="420"/>
              <w:rPr>
                <w:rFonts w:ascii="宋体" w:hAnsi="Times New Roman" w:eastAsia="宋体" w:cs="Times New Roman"/>
                <w:b/>
                <w:szCs w:val="20"/>
              </w:rPr>
            </w:pPr>
          </w:p>
        </w:tc>
        <w:tc>
          <w:tcPr>
            <w:tcW w:w="1355" w:type="dxa"/>
          </w:tcPr>
          <w:p w14:paraId="22687494">
            <w:pPr>
              <w:ind w:left="420" w:hanging="420"/>
              <w:rPr>
                <w:rFonts w:ascii="宋体" w:hAnsi="Times New Roman" w:eastAsia="宋体" w:cs="Times New Roman"/>
                <w:b/>
                <w:szCs w:val="20"/>
              </w:rPr>
            </w:pPr>
          </w:p>
        </w:tc>
        <w:tc>
          <w:tcPr>
            <w:tcW w:w="826" w:type="dxa"/>
          </w:tcPr>
          <w:p w14:paraId="1AF75126">
            <w:pPr>
              <w:ind w:left="420" w:hanging="420"/>
              <w:rPr>
                <w:rFonts w:ascii="宋体" w:hAnsi="Times New Roman" w:eastAsia="宋体" w:cs="Times New Roman"/>
                <w:b/>
                <w:szCs w:val="20"/>
              </w:rPr>
            </w:pPr>
          </w:p>
        </w:tc>
        <w:tc>
          <w:tcPr>
            <w:tcW w:w="1320" w:type="dxa"/>
          </w:tcPr>
          <w:p w14:paraId="18A11E46">
            <w:pPr>
              <w:ind w:left="420" w:hanging="420"/>
              <w:rPr>
                <w:rFonts w:ascii="宋体" w:hAnsi="Times New Roman" w:eastAsia="宋体" w:cs="Times New Roman"/>
                <w:b/>
                <w:szCs w:val="20"/>
              </w:rPr>
            </w:pPr>
          </w:p>
        </w:tc>
        <w:tc>
          <w:tcPr>
            <w:tcW w:w="1023" w:type="dxa"/>
          </w:tcPr>
          <w:p w14:paraId="3AA53B49">
            <w:pPr>
              <w:ind w:left="420" w:hanging="420"/>
              <w:rPr>
                <w:rFonts w:ascii="宋体" w:hAnsi="Times New Roman" w:eastAsia="宋体" w:cs="Times New Roman"/>
                <w:b/>
                <w:szCs w:val="20"/>
              </w:rPr>
            </w:pPr>
          </w:p>
        </w:tc>
        <w:tc>
          <w:tcPr>
            <w:tcW w:w="1590" w:type="dxa"/>
          </w:tcPr>
          <w:p w14:paraId="57906A33">
            <w:pPr>
              <w:ind w:left="420" w:hanging="420"/>
              <w:rPr>
                <w:rFonts w:ascii="宋体" w:hAnsi="Times New Roman" w:eastAsia="宋体" w:cs="Times New Roman"/>
                <w:b/>
                <w:szCs w:val="20"/>
              </w:rPr>
            </w:pPr>
          </w:p>
        </w:tc>
      </w:tr>
      <w:tr w14:paraId="1975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5D8550">
            <w:pPr>
              <w:ind w:left="420" w:hanging="420"/>
              <w:rPr>
                <w:rFonts w:ascii="宋体" w:hAnsi="Times New Roman" w:eastAsia="宋体" w:cs="Times New Roman"/>
                <w:b/>
                <w:szCs w:val="20"/>
              </w:rPr>
            </w:pPr>
          </w:p>
        </w:tc>
        <w:tc>
          <w:tcPr>
            <w:tcW w:w="2082" w:type="dxa"/>
          </w:tcPr>
          <w:p w14:paraId="67DC299A">
            <w:pPr>
              <w:ind w:left="420" w:hanging="420"/>
              <w:rPr>
                <w:rFonts w:ascii="宋体" w:hAnsi="Times New Roman" w:eastAsia="宋体" w:cs="Times New Roman"/>
                <w:b/>
                <w:szCs w:val="20"/>
              </w:rPr>
            </w:pPr>
          </w:p>
        </w:tc>
        <w:tc>
          <w:tcPr>
            <w:tcW w:w="1355" w:type="dxa"/>
          </w:tcPr>
          <w:p w14:paraId="69E7875C">
            <w:pPr>
              <w:ind w:left="420" w:hanging="420"/>
              <w:rPr>
                <w:rFonts w:ascii="宋体" w:hAnsi="Times New Roman" w:eastAsia="宋体" w:cs="Times New Roman"/>
                <w:b/>
                <w:szCs w:val="20"/>
              </w:rPr>
            </w:pPr>
          </w:p>
        </w:tc>
        <w:tc>
          <w:tcPr>
            <w:tcW w:w="826" w:type="dxa"/>
          </w:tcPr>
          <w:p w14:paraId="2FF35366">
            <w:pPr>
              <w:ind w:left="420" w:hanging="420"/>
              <w:rPr>
                <w:rFonts w:ascii="宋体" w:hAnsi="Times New Roman" w:eastAsia="宋体" w:cs="Times New Roman"/>
                <w:b/>
                <w:szCs w:val="20"/>
              </w:rPr>
            </w:pPr>
          </w:p>
        </w:tc>
        <w:tc>
          <w:tcPr>
            <w:tcW w:w="1320" w:type="dxa"/>
          </w:tcPr>
          <w:p w14:paraId="16ADF479">
            <w:pPr>
              <w:ind w:left="420" w:hanging="420"/>
              <w:rPr>
                <w:rFonts w:ascii="宋体" w:hAnsi="Times New Roman" w:eastAsia="宋体" w:cs="Times New Roman"/>
                <w:b/>
                <w:szCs w:val="20"/>
              </w:rPr>
            </w:pPr>
          </w:p>
        </w:tc>
        <w:tc>
          <w:tcPr>
            <w:tcW w:w="1023" w:type="dxa"/>
          </w:tcPr>
          <w:p w14:paraId="3A86CDE8">
            <w:pPr>
              <w:ind w:left="420" w:hanging="420"/>
              <w:rPr>
                <w:rFonts w:ascii="宋体" w:hAnsi="Times New Roman" w:eastAsia="宋体" w:cs="Times New Roman"/>
                <w:b/>
                <w:szCs w:val="20"/>
              </w:rPr>
            </w:pPr>
          </w:p>
        </w:tc>
        <w:tc>
          <w:tcPr>
            <w:tcW w:w="1590" w:type="dxa"/>
          </w:tcPr>
          <w:p w14:paraId="4A077724">
            <w:pPr>
              <w:ind w:left="420" w:hanging="420"/>
              <w:rPr>
                <w:rFonts w:ascii="宋体" w:hAnsi="Times New Roman" w:eastAsia="宋体" w:cs="Times New Roman"/>
                <w:b/>
                <w:szCs w:val="20"/>
              </w:rPr>
            </w:pPr>
          </w:p>
        </w:tc>
      </w:tr>
      <w:tr w14:paraId="5538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5E89A4">
            <w:pPr>
              <w:ind w:left="420" w:hanging="420"/>
              <w:rPr>
                <w:rFonts w:ascii="宋体" w:hAnsi="Times New Roman" w:eastAsia="宋体" w:cs="Times New Roman"/>
                <w:b/>
                <w:szCs w:val="20"/>
              </w:rPr>
            </w:pPr>
          </w:p>
        </w:tc>
        <w:tc>
          <w:tcPr>
            <w:tcW w:w="2082" w:type="dxa"/>
          </w:tcPr>
          <w:p w14:paraId="0634614E">
            <w:pPr>
              <w:ind w:left="420" w:hanging="420"/>
              <w:rPr>
                <w:rFonts w:ascii="宋体" w:hAnsi="Times New Roman" w:eastAsia="宋体" w:cs="Times New Roman"/>
                <w:b/>
                <w:szCs w:val="20"/>
              </w:rPr>
            </w:pPr>
          </w:p>
        </w:tc>
        <w:tc>
          <w:tcPr>
            <w:tcW w:w="1355" w:type="dxa"/>
          </w:tcPr>
          <w:p w14:paraId="4DBB1B3D">
            <w:pPr>
              <w:ind w:left="420" w:hanging="420"/>
              <w:rPr>
                <w:rFonts w:ascii="宋体" w:hAnsi="Times New Roman" w:eastAsia="宋体" w:cs="Times New Roman"/>
                <w:b/>
                <w:szCs w:val="20"/>
              </w:rPr>
            </w:pPr>
          </w:p>
        </w:tc>
        <w:tc>
          <w:tcPr>
            <w:tcW w:w="826" w:type="dxa"/>
          </w:tcPr>
          <w:p w14:paraId="2474ACC4">
            <w:pPr>
              <w:ind w:left="420" w:hanging="420"/>
              <w:rPr>
                <w:rFonts w:ascii="宋体" w:hAnsi="Times New Roman" w:eastAsia="宋体" w:cs="Times New Roman"/>
                <w:b/>
                <w:szCs w:val="20"/>
              </w:rPr>
            </w:pPr>
          </w:p>
        </w:tc>
        <w:tc>
          <w:tcPr>
            <w:tcW w:w="1320" w:type="dxa"/>
          </w:tcPr>
          <w:p w14:paraId="45D8B591">
            <w:pPr>
              <w:ind w:left="420" w:hanging="420"/>
              <w:rPr>
                <w:rFonts w:ascii="宋体" w:hAnsi="Times New Roman" w:eastAsia="宋体" w:cs="Times New Roman"/>
                <w:b/>
                <w:szCs w:val="20"/>
              </w:rPr>
            </w:pPr>
          </w:p>
        </w:tc>
        <w:tc>
          <w:tcPr>
            <w:tcW w:w="1023" w:type="dxa"/>
          </w:tcPr>
          <w:p w14:paraId="33D2222D">
            <w:pPr>
              <w:ind w:left="420" w:hanging="420"/>
              <w:rPr>
                <w:rFonts w:ascii="宋体" w:hAnsi="Times New Roman" w:eastAsia="宋体" w:cs="Times New Roman"/>
                <w:b/>
                <w:szCs w:val="20"/>
              </w:rPr>
            </w:pPr>
          </w:p>
        </w:tc>
        <w:tc>
          <w:tcPr>
            <w:tcW w:w="1590" w:type="dxa"/>
          </w:tcPr>
          <w:p w14:paraId="498E4BC3">
            <w:pPr>
              <w:ind w:left="420" w:hanging="420"/>
              <w:rPr>
                <w:rFonts w:ascii="宋体" w:hAnsi="Times New Roman" w:eastAsia="宋体" w:cs="Times New Roman"/>
                <w:b/>
                <w:szCs w:val="20"/>
              </w:rPr>
            </w:pPr>
          </w:p>
        </w:tc>
      </w:tr>
      <w:tr w14:paraId="4D28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139CBBE5">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所有业绩合同总额汇总（必填</w:t>
            </w:r>
            <w:r>
              <w:rPr>
                <w:rFonts w:hint="eastAsia" w:ascii="宋体" w:hAnsi="宋体" w:eastAsia="宋体" w:cs="宋体"/>
                <w:sz w:val="24"/>
                <w:szCs w:val="24"/>
                <w:highlight w:val="yellow"/>
                <w:lang w:eastAsia="zh-CN"/>
              </w:rPr>
              <w:t>）</w:t>
            </w:r>
          </w:p>
        </w:tc>
        <w:tc>
          <w:tcPr>
            <w:tcW w:w="826" w:type="dxa"/>
          </w:tcPr>
          <w:p w14:paraId="73155D97">
            <w:pPr>
              <w:ind w:left="420" w:hanging="420"/>
              <w:rPr>
                <w:rFonts w:ascii="宋体" w:hAnsi="Times New Roman" w:eastAsia="宋体" w:cs="Times New Roman"/>
                <w:b/>
                <w:szCs w:val="20"/>
              </w:rPr>
            </w:pPr>
          </w:p>
        </w:tc>
        <w:tc>
          <w:tcPr>
            <w:tcW w:w="1320" w:type="dxa"/>
          </w:tcPr>
          <w:p w14:paraId="7BCADCA0">
            <w:pPr>
              <w:ind w:left="420" w:hanging="420"/>
              <w:rPr>
                <w:rFonts w:ascii="宋体" w:hAnsi="Times New Roman" w:eastAsia="宋体" w:cs="Times New Roman"/>
                <w:b/>
                <w:szCs w:val="20"/>
              </w:rPr>
            </w:pPr>
          </w:p>
        </w:tc>
        <w:tc>
          <w:tcPr>
            <w:tcW w:w="1023" w:type="dxa"/>
          </w:tcPr>
          <w:p w14:paraId="7886B88E">
            <w:pPr>
              <w:ind w:left="420" w:hanging="420"/>
              <w:rPr>
                <w:rFonts w:ascii="宋体" w:hAnsi="Times New Roman" w:eastAsia="宋体" w:cs="Times New Roman"/>
                <w:b/>
                <w:szCs w:val="20"/>
              </w:rPr>
            </w:pPr>
          </w:p>
        </w:tc>
        <w:tc>
          <w:tcPr>
            <w:tcW w:w="1590" w:type="dxa"/>
          </w:tcPr>
          <w:p w14:paraId="62EF5293">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AFB0EBC">
      <w:pPr>
        <w:keepNext/>
        <w:keepLines/>
        <w:outlineLvl w:val="2"/>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1B0F26F">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4088BC6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65ADDD1">
      <w:pPr>
        <w:spacing w:line="240" w:lineRule="exact"/>
        <w:rPr>
          <w:rFonts w:ascii="宋体" w:hAnsi="宋体" w:eastAsia="宋体" w:cs="Times New Roman"/>
          <w:szCs w:val="20"/>
        </w:rPr>
      </w:pPr>
      <w:r>
        <w:rPr>
          <w:rFonts w:ascii="宋体" w:hAnsi="宋体" w:eastAsia="宋体" w:cs="Times New Roman"/>
          <w:szCs w:val="20"/>
        </w:rPr>
        <w:t xml:space="preserve">                                               </w:t>
      </w:r>
    </w:p>
    <w:p w14:paraId="629C8B1F">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eastAsia="zh-CN"/>
        </w:rPr>
        <w:t>AMT变速箱疲劳寿命试验台项目</w:t>
      </w:r>
    </w:p>
    <w:p w14:paraId="6DCF336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D2FA739">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F0011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90A6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A542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EC61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AE54E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800C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E2B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8258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DA15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E0DE0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D38C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D83C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EB3F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EB0B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2E29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CB39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4522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427B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B74BD2">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B15A09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6D537C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6D932D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5F9016B">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1AB04A8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5ABF6F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3166E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u w:val="single"/>
          <w:lang w:eastAsia="zh-CN"/>
        </w:rPr>
        <w:t>AMT变速箱疲劳寿命试验台项目</w:t>
      </w:r>
      <w:r>
        <w:rPr>
          <w:rFonts w:ascii="宋体" w:hAnsi="宋体" w:eastAsia="宋体" w:cs="Times New Roman"/>
          <w:color w:val="000000"/>
          <w:sz w:val="24"/>
          <w:szCs w:val="24"/>
        </w:rPr>
        <w:t xml:space="preserve">                                                        </w:t>
      </w:r>
    </w:p>
    <w:tbl>
      <w:tblPr>
        <w:tblStyle w:val="37"/>
        <w:tblW w:w="13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259"/>
        <w:gridCol w:w="582"/>
        <w:gridCol w:w="2538"/>
        <w:gridCol w:w="2204"/>
        <w:gridCol w:w="1844"/>
        <w:gridCol w:w="973"/>
        <w:gridCol w:w="1277"/>
        <w:gridCol w:w="1194"/>
        <w:gridCol w:w="1146"/>
      </w:tblGrid>
      <w:tr w14:paraId="2AAA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399" w:type="dxa"/>
            <w:vAlign w:val="center"/>
          </w:tcPr>
          <w:p w14:paraId="3CEE2EBA">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259" w:type="dxa"/>
            <w:vAlign w:val="center"/>
          </w:tcPr>
          <w:p w14:paraId="42F48DB0">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582" w:type="dxa"/>
            <w:vAlign w:val="center"/>
          </w:tcPr>
          <w:p w14:paraId="46E2392A">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538" w:type="dxa"/>
            <w:vAlign w:val="center"/>
          </w:tcPr>
          <w:p w14:paraId="2419405A">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投标总价（进口货物报价+国内货物报价）（</w:t>
            </w:r>
            <w:r>
              <w:rPr>
                <w:rFonts w:hint="eastAsia" w:ascii="Times New Roman" w:hAnsi="Times New Roman" w:eastAsia="宋体" w:cs="Times New Roman"/>
                <w:b/>
                <w:szCs w:val="20"/>
                <w:lang w:val="en-US" w:eastAsia="zh-CN"/>
              </w:rPr>
              <w:t>人民币/</w:t>
            </w:r>
            <w:r>
              <w:rPr>
                <w:rFonts w:hint="eastAsia" w:ascii="Times New Roman" w:hAnsi="Times New Roman" w:eastAsia="宋体" w:cs="Times New Roman"/>
                <w:b/>
                <w:szCs w:val="20"/>
              </w:rPr>
              <w:t>元</w:t>
            </w:r>
            <w:r>
              <w:rPr>
                <w:rFonts w:hint="eastAsia" w:ascii="Times New Roman" w:hAnsi="Times New Roman" w:eastAsia="宋体" w:cs="Times New Roman"/>
                <w:b/>
                <w:szCs w:val="20"/>
                <w:lang w:eastAsia="zh-CN"/>
              </w:rPr>
              <w:t>，</w:t>
            </w:r>
            <w:r>
              <w:rPr>
                <w:rFonts w:hint="eastAsia" w:ascii="Times New Roman" w:hAnsi="Times New Roman" w:eastAsia="宋体" w:cs="Times New Roman"/>
                <w:b/>
                <w:szCs w:val="20"/>
                <w:lang w:val="en-US" w:eastAsia="zh-CN"/>
              </w:rPr>
              <w:t>含税</w:t>
            </w:r>
            <w:r>
              <w:rPr>
                <w:rFonts w:hint="eastAsia" w:ascii="Times New Roman" w:hAnsi="Times New Roman" w:eastAsia="宋体" w:cs="Times New Roman"/>
                <w:b/>
                <w:szCs w:val="20"/>
              </w:rPr>
              <w:t>）</w:t>
            </w:r>
          </w:p>
        </w:tc>
        <w:tc>
          <w:tcPr>
            <w:tcW w:w="2204" w:type="dxa"/>
            <w:vAlign w:val="center"/>
          </w:tcPr>
          <w:p w14:paraId="2D212CED">
            <w:pPr>
              <w:jc w:val="center"/>
              <w:rPr>
                <w:rFonts w:ascii="Times New Roman" w:hAnsi="Times New Roman" w:eastAsia="宋体" w:cs="Times New Roman"/>
                <w:b/>
                <w:szCs w:val="20"/>
              </w:rPr>
            </w:pPr>
            <w:r>
              <w:rPr>
                <w:rFonts w:hint="eastAsia" w:ascii="Times New Roman" w:hAnsi="Times New Roman" w:eastAsia="宋体" w:cs="Times New Roman"/>
                <w:b/>
                <w:szCs w:val="20"/>
              </w:rPr>
              <w:t>进口货物报价</w:t>
            </w:r>
          </w:p>
        </w:tc>
        <w:tc>
          <w:tcPr>
            <w:tcW w:w="1844" w:type="dxa"/>
            <w:vAlign w:val="center"/>
          </w:tcPr>
          <w:p w14:paraId="37030425">
            <w:pPr>
              <w:jc w:val="center"/>
              <w:rPr>
                <w:rFonts w:ascii="Times New Roman" w:hAnsi="Times New Roman" w:eastAsia="宋体" w:cs="Times New Roman"/>
                <w:b/>
                <w:szCs w:val="20"/>
              </w:rPr>
            </w:pPr>
            <w:r>
              <w:rPr>
                <w:rFonts w:hint="eastAsia" w:ascii="Times New Roman" w:hAnsi="Times New Roman" w:eastAsia="宋体" w:cs="Times New Roman"/>
                <w:b/>
                <w:szCs w:val="20"/>
              </w:rPr>
              <w:t>国内货物报价</w:t>
            </w:r>
          </w:p>
        </w:tc>
        <w:tc>
          <w:tcPr>
            <w:tcW w:w="973" w:type="dxa"/>
            <w:vAlign w:val="center"/>
          </w:tcPr>
          <w:p w14:paraId="04DB4A70">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77" w:type="dxa"/>
            <w:vAlign w:val="center"/>
          </w:tcPr>
          <w:p w14:paraId="646611BB">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DEF546E">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194" w:type="dxa"/>
            <w:vAlign w:val="center"/>
          </w:tcPr>
          <w:p w14:paraId="0551A3D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46" w:type="dxa"/>
            <w:vAlign w:val="center"/>
          </w:tcPr>
          <w:p w14:paraId="61E2722C">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13C7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399" w:type="dxa"/>
            <w:vAlign w:val="center"/>
          </w:tcPr>
          <w:p w14:paraId="39CD392D">
            <w:pPr>
              <w:jc w:val="center"/>
              <w:rPr>
                <w:rFonts w:hint="eastAsia" w:ascii="宋体" w:hAnsi="宋体" w:eastAsia="宋体" w:cs="宋体"/>
                <w:b/>
                <w:bCs w:val="0"/>
                <w:szCs w:val="20"/>
              </w:rPr>
            </w:pPr>
            <w:r>
              <w:rPr>
                <w:rFonts w:hint="eastAsia" w:ascii="宋体" w:hAnsi="宋体" w:eastAsia="宋体" w:cs="宋体"/>
                <w:b/>
                <w:bCs w:val="0"/>
                <w:szCs w:val="20"/>
              </w:rPr>
              <w:t>1</w:t>
            </w:r>
          </w:p>
        </w:tc>
        <w:tc>
          <w:tcPr>
            <w:tcW w:w="1259" w:type="dxa"/>
            <w:vAlign w:val="center"/>
          </w:tcPr>
          <w:p w14:paraId="3D9B9FEC">
            <w:pPr>
              <w:jc w:val="center"/>
              <w:rPr>
                <w:rFonts w:hint="eastAsia" w:ascii="宋体" w:hAnsi="宋体" w:eastAsia="宋体" w:cs="宋体"/>
                <w:b/>
                <w:bCs w:val="0"/>
                <w:szCs w:val="20"/>
                <w:lang w:eastAsia="zh-CN"/>
              </w:rPr>
            </w:pPr>
            <w:r>
              <w:rPr>
                <w:rFonts w:hint="eastAsia" w:ascii="Times New Roman" w:hAnsi="Times New Roman" w:eastAsia="宋体" w:cs="Times New Roman"/>
                <w:b/>
                <w:szCs w:val="20"/>
                <w:lang w:eastAsia="zh-CN"/>
              </w:rPr>
              <w:t>AMT变速箱疲劳寿命试验台项目</w:t>
            </w:r>
          </w:p>
        </w:tc>
        <w:tc>
          <w:tcPr>
            <w:tcW w:w="582" w:type="dxa"/>
            <w:vAlign w:val="center"/>
          </w:tcPr>
          <w:p w14:paraId="0EB91637">
            <w:pPr>
              <w:jc w:val="center"/>
              <w:rPr>
                <w:rFonts w:hint="eastAsia" w:ascii="宋体" w:hAnsi="宋体" w:eastAsia="宋体" w:cs="宋体"/>
                <w:b/>
                <w:bCs w:val="0"/>
                <w:szCs w:val="20"/>
                <w:lang w:val="en-US" w:eastAsia="zh-CN"/>
              </w:rPr>
            </w:pPr>
            <w:r>
              <w:rPr>
                <w:rFonts w:hint="eastAsia" w:ascii="宋体" w:hAnsi="宋体" w:eastAsia="宋体" w:cs="宋体"/>
                <w:b/>
                <w:bCs w:val="0"/>
                <w:szCs w:val="20"/>
                <w:lang w:val="en-US" w:eastAsia="zh-CN"/>
              </w:rPr>
              <w:t>1</w:t>
            </w:r>
          </w:p>
        </w:tc>
        <w:tc>
          <w:tcPr>
            <w:tcW w:w="2538" w:type="dxa"/>
            <w:vAlign w:val="center"/>
          </w:tcPr>
          <w:p w14:paraId="60477DCB">
            <w:pPr>
              <w:jc w:val="center"/>
              <w:rPr>
                <w:rFonts w:hint="eastAsia" w:ascii="宋体" w:hAnsi="宋体" w:eastAsia="宋体" w:cs="宋体"/>
                <w:b/>
                <w:bCs w:val="0"/>
                <w:szCs w:val="20"/>
              </w:rPr>
            </w:pPr>
            <w:r>
              <w:rPr>
                <w:rFonts w:hint="eastAsia" w:ascii="宋体" w:hAnsi="宋体" w:eastAsia="宋体" w:cs="宋体"/>
                <w:b/>
                <w:bCs w:val="0"/>
                <w:szCs w:val="20"/>
                <w:lang w:val="en-US" w:eastAsia="zh-CN"/>
              </w:rPr>
              <w:t>总价：</w:t>
            </w:r>
            <w:r>
              <w:rPr>
                <w:rFonts w:hint="eastAsia" w:ascii="宋体" w:hAnsi="宋体" w:eastAsia="宋体" w:cs="宋体"/>
                <w:b/>
                <w:bCs w:val="0"/>
                <w:szCs w:val="20"/>
                <w:u w:val="single"/>
                <w:lang w:val="en-US" w:eastAsia="zh-CN"/>
              </w:rPr>
              <w:t xml:space="preserve">        </w:t>
            </w:r>
            <w:r>
              <w:rPr>
                <w:rFonts w:hint="eastAsia" w:ascii="宋体" w:hAnsi="宋体" w:eastAsia="宋体" w:cs="宋体"/>
                <w:b/>
                <w:bCs w:val="0"/>
                <w:szCs w:val="20"/>
                <w:lang w:val="en-US" w:eastAsia="zh-CN"/>
              </w:rPr>
              <w:t>元（大写：</w:t>
            </w:r>
            <w:r>
              <w:rPr>
                <w:rFonts w:hint="eastAsia" w:ascii="宋体" w:hAnsi="宋体" w:eastAsia="宋体" w:cs="宋体"/>
                <w:b/>
                <w:bCs w:val="0"/>
                <w:szCs w:val="20"/>
                <w:u w:val="single"/>
                <w:lang w:val="en-US" w:eastAsia="zh-CN"/>
              </w:rPr>
              <w:t xml:space="preserve">       </w:t>
            </w:r>
            <w:r>
              <w:rPr>
                <w:rFonts w:hint="eastAsia" w:ascii="宋体" w:hAnsi="宋体" w:eastAsia="宋体" w:cs="宋体"/>
                <w:b/>
                <w:bCs w:val="0"/>
                <w:szCs w:val="20"/>
                <w:lang w:val="en-US" w:eastAsia="zh-CN"/>
              </w:rPr>
              <w:t>）</w:t>
            </w:r>
          </w:p>
        </w:tc>
        <w:tc>
          <w:tcPr>
            <w:tcW w:w="2204" w:type="dxa"/>
            <w:vAlign w:val="center"/>
          </w:tcPr>
          <w:p w14:paraId="7F31CAC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rPr>
              <w:t>实际支付币种及金额</w:t>
            </w:r>
            <w:r>
              <w:rPr>
                <w:rFonts w:hint="eastAsia" w:ascii="宋体" w:hAnsi="宋体" w:eastAsia="宋体" w:cs="宋体"/>
                <w:b/>
                <w:bCs w:val="0"/>
                <w:lang w:eastAsia="zh-CN"/>
              </w:rPr>
              <w:t>：</w:t>
            </w:r>
            <w:r>
              <w:rPr>
                <w:rFonts w:hint="eastAsia" w:ascii="宋体" w:hAnsi="宋体" w:eastAsia="宋体" w:cs="宋体"/>
                <w:b/>
                <w:bCs w:val="0"/>
                <w:u w:val="single"/>
                <w:lang w:val="en-US" w:eastAsia="zh-CN"/>
              </w:rPr>
              <w:t xml:space="preserve">      </w:t>
            </w:r>
          </w:p>
          <w:p w14:paraId="5BBDC5DB">
            <w:pPr>
              <w:pStyle w:val="3"/>
              <w:keepNext/>
              <w:keepLines/>
              <w:pageBreakBefore w:val="0"/>
              <w:widowControl w:val="0"/>
              <w:kinsoku/>
              <w:wordWrap/>
              <w:overflowPunct/>
              <w:topLinePunct w:val="0"/>
              <w:autoSpaceDE/>
              <w:autoSpaceDN/>
              <w:bidi w:val="0"/>
              <w:adjustRightInd w:val="0"/>
              <w:snapToGrid w:val="0"/>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lang w:val="en-US" w:eastAsia="zh-CN"/>
              </w:rPr>
              <w:t>汇率：</w:t>
            </w:r>
            <w:r>
              <w:rPr>
                <w:rFonts w:hint="eastAsia" w:ascii="宋体" w:hAnsi="宋体" w:eastAsia="宋体" w:cs="宋体"/>
                <w:b/>
                <w:bCs w:val="0"/>
                <w:u w:val="single"/>
                <w:lang w:val="en-US" w:eastAsia="zh-CN"/>
              </w:rPr>
              <w:t xml:space="preserve">    </w:t>
            </w:r>
          </w:p>
          <w:p w14:paraId="0D4FACD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rPr>
              <w:t>折算人民币：</w:t>
            </w:r>
            <w:r>
              <w:rPr>
                <w:rFonts w:hint="eastAsia" w:ascii="宋体" w:hAnsi="宋体" w:eastAsia="宋体" w:cs="宋体"/>
                <w:b/>
                <w:bCs w:val="0"/>
                <w:u w:val="single"/>
                <w:lang w:val="en-US" w:eastAsia="zh-CN"/>
              </w:rPr>
              <w:t xml:space="preserve">     </w:t>
            </w:r>
          </w:p>
          <w:p w14:paraId="5C3B1A89">
            <w:pPr>
              <w:rPr>
                <w:rFonts w:hint="eastAsia" w:ascii="宋体" w:hAnsi="宋体" w:eastAsia="宋体" w:cs="宋体"/>
                <w:b/>
                <w:bCs w:val="0"/>
                <w:lang w:eastAsia="zh-CN"/>
              </w:rPr>
            </w:pPr>
          </w:p>
        </w:tc>
        <w:tc>
          <w:tcPr>
            <w:tcW w:w="1844" w:type="dxa"/>
            <w:vAlign w:val="center"/>
          </w:tcPr>
          <w:p w14:paraId="4C2810F4">
            <w:pPr>
              <w:jc w:val="left"/>
              <w:rPr>
                <w:rFonts w:hint="default" w:ascii="宋体" w:hAnsi="宋体" w:eastAsia="宋体" w:cs="宋体"/>
                <w:b/>
                <w:bCs w:val="0"/>
                <w:szCs w:val="20"/>
                <w:lang w:val="en-US" w:eastAsia="zh-CN"/>
              </w:rPr>
            </w:pPr>
            <w:r>
              <w:rPr>
                <w:rFonts w:hint="eastAsia" w:ascii="宋体" w:hAnsi="宋体" w:eastAsia="宋体" w:cs="宋体"/>
                <w:b/>
                <w:bCs w:val="0"/>
                <w:szCs w:val="20"/>
              </w:rPr>
              <w:t>含税价格：</w:t>
            </w:r>
            <w:r>
              <w:rPr>
                <w:rFonts w:hint="eastAsia" w:ascii="宋体" w:hAnsi="宋体" w:eastAsia="宋体" w:cs="宋体"/>
                <w:b/>
                <w:bCs w:val="0"/>
                <w:szCs w:val="20"/>
                <w:u w:val="single"/>
                <w:lang w:val="en-US" w:eastAsia="zh-CN"/>
              </w:rPr>
              <w:t xml:space="preserve">   </w:t>
            </w:r>
          </w:p>
          <w:p w14:paraId="396B555E">
            <w:pPr>
              <w:jc w:val="left"/>
              <w:rPr>
                <w:rFonts w:hint="default" w:ascii="宋体" w:hAnsi="宋体" w:eastAsia="宋体" w:cs="宋体"/>
                <w:b/>
                <w:bCs w:val="0"/>
                <w:lang w:val="en-US" w:eastAsia="zh-CN"/>
              </w:rPr>
            </w:pPr>
            <w:r>
              <w:rPr>
                <w:rFonts w:hint="eastAsia" w:ascii="宋体" w:hAnsi="宋体" w:eastAsia="宋体" w:cs="宋体"/>
                <w:b/>
                <w:bCs w:val="0"/>
                <w:szCs w:val="20"/>
              </w:rPr>
              <w:t>不含税价：</w:t>
            </w:r>
            <w:r>
              <w:rPr>
                <w:rFonts w:hint="eastAsia" w:ascii="宋体" w:hAnsi="宋体" w:eastAsia="宋体" w:cs="宋体"/>
                <w:b/>
                <w:bCs w:val="0"/>
                <w:szCs w:val="20"/>
                <w:u w:val="single"/>
                <w:lang w:val="en-US" w:eastAsia="zh-CN"/>
              </w:rPr>
              <w:t xml:space="preserve">   </w:t>
            </w:r>
          </w:p>
          <w:p w14:paraId="284FEE14">
            <w:pPr>
              <w:jc w:val="left"/>
              <w:rPr>
                <w:rFonts w:hint="default" w:ascii="宋体" w:hAnsi="宋体" w:eastAsia="宋体" w:cs="宋体"/>
                <w:b/>
                <w:bCs w:val="0"/>
                <w:szCs w:val="20"/>
                <w:lang w:val="en-US" w:eastAsia="zh-CN"/>
              </w:rPr>
            </w:pPr>
            <w:r>
              <w:rPr>
                <w:rFonts w:hint="eastAsia" w:ascii="宋体" w:hAnsi="宋体" w:eastAsia="宋体" w:cs="宋体"/>
                <w:b/>
                <w:bCs w:val="0"/>
                <w:szCs w:val="20"/>
              </w:rPr>
              <w:t>税率：</w:t>
            </w:r>
            <w:r>
              <w:rPr>
                <w:rFonts w:hint="eastAsia" w:ascii="宋体" w:hAnsi="宋体" w:eastAsia="宋体" w:cs="宋体"/>
                <w:b/>
                <w:bCs w:val="0"/>
                <w:szCs w:val="20"/>
                <w:u w:val="single"/>
                <w:lang w:val="en-US" w:eastAsia="zh-CN"/>
              </w:rPr>
              <w:t xml:space="preserve">    </w:t>
            </w:r>
          </w:p>
        </w:tc>
        <w:tc>
          <w:tcPr>
            <w:tcW w:w="973" w:type="dxa"/>
            <w:vAlign w:val="center"/>
          </w:tcPr>
          <w:p w14:paraId="749C3689">
            <w:pPr>
              <w:jc w:val="center"/>
              <w:rPr>
                <w:rFonts w:ascii="Times New Roman" w:hAnsi="Times New Roman" w:eastAsia="宋体" w:cs="Times New Roman"/>
                <w:b/>
                <w:szCs w:val="20"/>
              </w:rPr>
            </w:pPr>
          </w:p>
        </w:tc>
        <w:tc>
          <w:tcPr>
            <w:tcW w:w="1277" w:type="dxa"/>
            <w:vAlign w:val="center"/>
          </w:tcPr>
          <w:p w14:paraId="5F906304">
            <w:pPr>
              <w:jc w:val="center"/>
              <w:rPr>
                <w:rFonts w:ascii="Times New Roman" w:hAnsi="Times New Roman" w:eastAsia="宋体" w:cs="Times New Roman"/>
                <w:b/>
                <w:szCs w:val="20"/>
              </w:rPr>
            </w:pPr>
          </w:p>
        </w:tc>
        <w:tc>
          <w:tcPr>
            <w:tcW w:w="1194" w:type="dxa"/>
            <w:vAlign w:val="center"/>
          </w:tcPr>
          <w:p w14:paraId="2E684BD7">
            <w:pPr>
              <w:jc w:val="center"/>
              <w:rPr>
                <w:rFonts w:ascii="Times New Roman" w:hAnsi="Times New Roman" w:eastAsia="宋体" w:cs="Times New Roman"/>
                <w:b/>
                <w:szCs w:val="20"/>
              </w:rPr>
            </w:pPr>
          </w:p>
        </w:tc>
        <w:tc>
          <w:tcPr>
            <w:tcW w:w="1146" w:type="dxa"/>
            <w:vAlign w:val="center"/>
          </w:tcPr>
          <w:p w14:paraId="0AE64721">
            <w:pPr>
              <w:jc w:val="center"/>
              <w:rPr>
                <w:rFonts w:ascii="Times New Roman" w:hAnsi="Times New Roman" w:eastAsia="宋体" w:cs="Times New Roman"/>
                <w:b/>
                <w:szCs w:val="20"/>
              </w:rPr>
            </w:pPr>
          </w:p>
        </w:tc>
      </w:tr>
    </w:tbl>
    <w:p w14:paraId="549C3BA3">
      <w:pPr>
        <w:rPr>
          <w:rFonts w:ascii="宋体" w:hAnsi="Arial" w:eastAsia="宋体" w:cs="Times New Roman"/>
          <w:sz w:val="24"/>
          <w:szCs w:val="24"/>
        </w:rPr>
      </w:pPr>
    </w:p>
    <w:p w14:paraId="6BBD0C1D">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7A61C99">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FFAD841">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430DEEB">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759C4EC0">
      <w:pPr>
        <w:pStyle w:val="17"/>
        <w:rPr>
          <w:rFonts w:hint="eastAsia" w:hAnsi="宋体" w:eastAsia="宋体" w:cs="Times New Roman"/>
          <w:b/>
          <w:bCs/>
          <w:szCs w:val="21"/>
          <w:highlight w:val="yellow"/>
        </w:rPr>
      </w:pPr>
      <w:r>
        <w:rPr>
          <w:rFonts w:hint="eastAsia" w:hAnsi="宋体" w:eastAsia="宋体" w:cs="宋体"/>
          <w:b/>
          <w:szCs w:val="20"/>
          <w:highlight w:val="yellow"/>
        </w:rPr>
        <w:t>4.投标总价包括设备费、调试费、备品备件、特殊工具、运杂费、装卸费、技术服务费、保险费及增值税和其它税费</w:t>
      </w:r>
      <w:r>
        <w:rPr>
          <w:rFonts w:hint="eastAsia" w:hAnsi="宋体" w:eastAsia="宋体" w:cs="宋体"/>
          <w:b/>
          <w:szCs w:val="20"/>
          <w:highlight w:val="yellow"/>
          <w:lang w:eastAsia="zh-CN"/>
        </w:rPr>
        <w:t>（</w:t>
      </w:r>
      <w:r>
        <w:rPr>
          <w:rFonts w:hint="eastAsia" w:hAnsi="宋体" w:eastAsia="宋体" w:cs="宋体"/>
          <w:b/>
          <w:szCs w:val="20"/>
          <w:highlight w:val="yellow"/>
          <w:lang w:val="en-US" w:eastAsia="zh-CN"/>
        </w:rPr>
        <w:t>进口货物运杂费、保险费</w:t>
      </w:r>
      <w:r>
        <w:rPr>
          <w:rFonts w:hint="eastAsia" w:hAnsi="宋体" w:eastAsia="宋体" w:cs="Times New Roman"/>
          <w:b/>
          <w:bCs/>
          <w:szCs w:val="21"/>
          <w:highlight w:val="yellow"/>
          <w:lang w:val="en-US" w:eastAsia="zh-CN"/>
        </w:rPr>
        <w:t>为CIF报价</w:t>
      </w:r>
      <w:r>
        <w:rPr>
          <w:rFonts w:hint="eastAsia" w:hAnsi="宋体" w:eastAsia="宋体" w:cs="宋体"/>
          <w:b/>
          <w:szCs w:val="20"/>
          <w:highlight w:val="yellow"/>
          <w:lang w:eastAsia="zh-CN"/>
        </w:rPr>
        <w:t>）</w:t>
      </w:r>
      <w:r>
        <w:rPr>
          <w:rFonts w:hint="eastAsia" w:hAnsi="宋体" w:eastAsia="宋体" w:cs="Times New Roman"/>
          <w:b/>
          <w:bCs/>
          <w:szCs w:val="21"/>
          <w:highlight w:val="yellow"/>
        </w:rPr>
        <w:t>。</w:t>
      </w:r>
    </w:p>
    <w:p w14:paraId="5CDD6035">
      <w:pPr>
        <w:pStyle w:val="17"/>
        <w:rPr>
          <w:rFonts w:hAnsi="宋体" w:eastAsia="宋体" w:cs="Times New Roman"/>
          <w:b/>
          <w:bCs/>
          <w:szCs w:val="21"/>
          <w:highlight w:val="yellow"/>
        </w:rPr>
      </w:pPr>
      <w:r>
        <w:rPr>
          <w:rFonts w:hint="eastAsia" w:hAnsi="宋体" w:eastAsia="宋体" w:cs="Times New Roman"/>
          <w:b/>
          <w:bCs/>
          <w:szCs w:val="21"/>
          <w:highlight w:val="yellow"/>
          <w:lang w:val="en-US" w:eastAsia="zh-CN"/>
        </w:rPr>
        <w:t>5.本表内投标总价：</w:t>
      </w:r>
      <w:r>
        <w:rPr>
          <w:rFonts w:hint="eastAsia" w:hAnsi="宋体" w:eastAsia="宋体" w:cs="Times New Roman"/>
          <w:b/>
          <w:bCs/>
          <w:szCs w:val="21"/>
          <w:highlight w:val="yellow"/>
        </w:rPr>
        <w:t>进口货物报价需按发标日</w:t>
      </w:r>
      <w:r>
        <w:rPr>
          <w:rFonts w:hint="eastAsia" w:ascii="宋体" w:hAnsi="宋体" w:eastAsia="宋体" w:cs="Times New Roman"/>
          <w:b/>
          <w:bCs/>
          <w:sz w:val="24"/>
          <w:szCs w:val="24"/>
          <w:highlight w:val="yellow"/>
          <w:lang w:eastAsia="zh-CN"/>
        </w:rPr>
        <w:t>（</w:t>
      </w:r>
      <w:r>
        <w:rPr>
          <w:rFonts w:hint="eastAsia" w:ascii="宋体" w:hAnsi="宋体" w:eastAsia="宋体" w:cs="Times New Roman"/>
          <w:b/>
          <w:bCs/>
          <w:sz w:val="24"/>
          <w:szCs w:val="24"/>
          <w:highlight w:val="yellow"/>
          <w:lang w:val="en-US" w:eastAsia="zh-CN"/>
        </w:rPr>
        <w:t>202</w:t>
      </w:r>
      <w:r>
        <w:rPr>
          <w:rFonts w:hint="eastAsia" w:hAnsi="宋体" w:eastAsia="宋体" w:cs="Times New Roman"/>
          <w:b/>
          <w:bCs/>
          <w:sz w:val="24"/>
          <w:szCs w:val="24"/>
          <w:highlight w:val="yellow"/>
          <w:lang w:val="en-US" w:eastAsia="zh-CN"/>
        </w:rPr>
        <w:t>5</w:t>
      </w:r>
      <w:r>
        <w:rPr>
          <w:rFonts w:hint="eastAsia" w:ascii="宋体" w:hAnsi="宋体" w:eastAsia="宋体" w:cs="Times New Roman"/>
          <w:b/>
          <w:bCs/>
          <w:sz w:val="24"/>
          <w:szCs w:val="24"/>
          <w:highlight w:val="yellow"/>
          <w:lang w:val="en-US" w:eastAsia="zh-CN"/>
        </w:rPr>
        <w:t>年</w:t>
      </w:r>
      <w:r>
        <w:rPr>
          <w:rFonts w:hint="eastAsia" w:hAnsi="宋体" w:eastAsia="宋体" w:cs="Times New Roman"/>
          <w:b/>
          <w:bCs/>
          <w:sz w:val="24"/>
          <w:szCs w:val="24"/>
          <w:highlight w:val="yellow"/>
          <w:lang w:val="en-US" w:eastAsia="zh-CN"/>
        </w:rPr>
        <w:t>4</w:t>
      </w:r>
      <w:r>
        <w:rPr>
          <w:rFonts w:hint="eastAsia" w:ascii="宋体" w:hAnsi="宋体" w:eastAsia="宋体" w:cs="Times New Roman"/>
          <w:b/>
          <w:bCs/>
          <w:sz w:val="24"/>
          <w:szCs w:val="24"/>
          <w:highlight w:val="yellow"/>
          <w:lang w:val="en-US" w:eastAsia="zh-CN"/>
        </w:rPr>
        <w:t>月</w:t>
      </w:r>
      <w:r>
        <w:rPr>
          <w:rFonts w:hint="eastAsia" w:hAnsi="宋体" w:eastAsia="宋体" w:cs="Times New Roman"/>
          <w:b/>
          <w:bCs/>
          <w:sz w:val="24"/>
          <w:szCs w:val="24"/>
          <w:highlight w:val="yellow"/>
          <w:lang w:val="en-US" w:eastAsia="zh-CN"/>
        </w:rPr>
        <w:t>**</w:t>
      </w:r>
      <w:r>
        <w:rPr>
          <w:rFonts w:hint="eastAsia" w:ascii="宋体" w:hAnsi="宋体" w:eastAsia="宋体" w:cs="Times New Roman"/>
          <w:b/>
          <w:bCs/>
          <w:sz w:val="24"/>
          <w:szCs w:val="24"/>
          <w:highlight w:val="yellow"/>
          <w:lang w:val="en-US" w:eastAsia="zh-CN"/>
        </w:rPr>
        <w:t>日</w:t>
      </w:r>
      <w:r>
        <w:rPr>
          <w:rFonts w:hint="eastAsia" w:ascii="宋体" w:hAnsi="宋体" w:eastAsia="宋体" w:cs="Times New Roman"/>
          <w:b/>
          <w:bCs/>
          <w:sz w:val="24"/>
          <w:szCs w:val="24"/>
          <w:highlight w:val="yellow"/>
          <w:lang w:eastAsia="zh-CN"/>
        </w:rPr>
        <w:t>）</w:t>
      </w:r>
      <w:r>
        <w:rPr>
          <w:rFonts w:hint="eastAsia" w:hAnsi="宋体" w:eastAsia="宋体" w:cs="Times New Roman"/>
          <w:b/>
          <w:bCs/>
          <w:szCs w:val="21"/>
          <w:highlight w:val="yellow"/>
        </w:rPr>
        <w:t>中国人民银行公示的汇率中间价折算成人民币</w:t>
      </w:r>
      <w:r>
        <w:rPr>
          <w:rFonts w:hint="eastAsia" w:hAnsi="宋体" w:eastAsia="宋体" w:cs="Times New Roman"/>
          <w:b/>
          <w:bCs/>
          <w:szCs w:val="21"/>
          <w:highlight w:val="yellow"/>
          <w:lang w:eastAsia="zh-CN"/>
        </w:rPr>
        <w:t>（</w:t>
      </w:r>
      <w:r>
        <w:rPr>
          <w:rFonts w:hint="eastAsia" w:hAnsi="宋体" w:eastAsia="宋体" w:cs="Times New Roman"/>
          <w:b/>
          <w:bCs/>
          <w:szCs w:val="21"/>
          <w:highlight w:val="yellow"/>
          <w:lang w:val="en-US" w:eastAsia="zh-CN"/>
        </w:rPr>
        <w:t>外币金额*汇率，CIF价格，未税</w:t>
      </w:r>
      <w:r>
        <w:rPr>
          <w:rFonts w:hint="eastAsia" w:hAnsi="宋体" w:eastAsia="宋体" w:cs="Times New Roman"/>
          <w:b/>
          <w:bCs/>
          <w:szCs w:val="21"/>
          <w:highlight w:val="yellow"/>
          <w:lang w:eastAsia="zh-CN"/>
        </w:rPr>
        <w:t>）</w:t>
      </w:r>
      <w:r>
        <w:rPr>
          <w:rFonts w:hint="eastAsia" w:hAnsi="宋体" w:eastAsia="宋体" w:cs="Times New Roman"/>
          <w:b/>
          <w:bCs/>
          <w:szCs w:val="21"/>
          <w:highlight w:val="yellow"/>
        </w:rPr>
        <w:t>，并注明实际支付币种及金额。</w:t>
      </w:r>
    </w:p>
    <w:p w14:paraId="43F8CCA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68613C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09DB2F9">
      <w:pPr>
        <w:spacing w:line="660" w:lineRule="exact"/>
        <w:rPr>
          <w:rFonts w:ascii="宋体" w:hAnsi="Calibri" w:eastAsia="宋体" w:cs="Times New Roman"/>
          <w:color w:val="000000"/>
          <w:sz w:val="24"/>
          <w:szCs w:val="24"/>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DAD4DD6">
      <w:pPr>
        <w:pStyle w:val="17"/>
        <w:sectPr>
          <w:pgSz w:w="16838" w:h="11906" w:orient="landscape"/>
          <w:pgMar w:top="1418" w:right="1588" w:bottom="1418" w:left="1134" w:header="851" w:footer="992" w:gutter="0"/>
          <w:cols w:space="720" w:num="1"/>
          <w:titlePg/>
          <w:docGrid w:type="lines" w:linePitch="312" w:charSpace="0"/>
        </w:sectPr>
      </w:pPr>
    </w:p>
    <w:p w14:paraId="299D9847">
      <w:pPr>
        <w:rPr>
          <w:rFonts w:ascii="宋体" w:hAnsi="宋体" w:cs="宋体"/>
          <w:color w:val="000000"/>
          <w:sz w:val="24"/>
          <w:szCs w:val="24"/>
        </w:rPr>
      </w:pPr>
    </w:p>
    <w:p w14:paraId="61C0312E">
      <w:pPr>
        <w:pStyle w:val="4"/>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4F87903">
      <w:pPr>
        <w:pStyle w:val="5"/>
        <w:spacing w:before="140" w:after="140" w:line="240" w:lineRule="auto"/>
        <w:jc w:val="left"/>
        <w:outlineLvl w:val="3"/>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p>
    <w:p w14:paraId="5CBD8D5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一</w:t>
      </w:r>
    </w:p>
    <w:p w14:paraId="558F11A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500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7"/>
        <w:gridCol w:w="1704"/>
        <w:gridCol w:w="1987"/>
        <w:gridCol w:w="544"/>
        <w:gridCol w:w="2371"/>
        <w:gridCol w:w="2763"/>
        <w:gridCol w:w="2721"/>
        <w:gridCol w:w="1219"/>
      </w:tblGrid>
      <w:tr w14:paraId="4AD2C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vAlign w:val="center"/>
          </w:tcPr>
          <w:p w14:paraId="75B87A95">
            <w:pPr>
              <w:spacing w:before="100" w:beforeAutospacing="1" w:after="100" w:afterAutospacing="1"/>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1</w:t>
            </w:r>
          </w:p>
        </w:tc>
        <w:tc>
          <w:tcPr>
            <w:tcW w:w="608" w:type="pct"/>
            <w:vAlign w:val="center"/>
          </w:tcPr>
          <w:p w14:paraId="41439447">
            <w:pPr>
              <w:spacing w:before="100" w:beforeAutospacing="1" w:after="100" w:afterAutospacing="1"/>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2</w:t>
            </w:r>
          </w:p>
        </w:tc>
        <w:tc>
          <w:tcPr>
            <w:tcW w:w="709" w:type="pct"/>
            <w:vAlign w:val="center"/>
          </w:tcPr>
          <w:p w14:paraId="589C32CC">
            <w:pPr>
              <w:spacing w:before="100" w:beforeAutospacing="1" w:after="100" w:afterAutospacing="1"/>
              <w:jc w:val="center"/>
              <w:rPr>
                <w:rFonts w:hint="eastAsia" w:ascii="宋体" w:hAnsi="宋体" w:eastAsia="宋体" w:cs="宋体"/>
                <w:b/>
                <w:bCs/>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3</w:t>
            </w:r>
          </w:p>
        </w:tc>
        <w:tc>
          <w:tcPr>
            <w:tcW w:w="194" w:type="pct"/>
            <w:vAlign w:val="center"/>
          </w:tcPr>
          <w:p w14:paraId="7B558F20">
            <w:pPr>
              <w:spacing w:before="100" w:beforeAutospacing="1" w:after="100" w:afterAutospacing="1"/>
              <w:jc w:val="center"/>
              <w:rPr>
                <w:rFonts w:hint="eastAsia" w:ascii="宋体" w:hAnsi="宋体" w:eastAsia="宋体" w:cs="宋体"/>
                <w:b/>
                <w:bCs/>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4</w:t>
            </w:r>
          </w:p>
        </w:tc>
        <w:tc>
          <w:tcPr>
            <w:tcW w:w="846" w:type="pct"/>
            <w:vAlign w:val="center"/>
          </w:tcPr>
          <w:p w14:paraId="1C60C8B8">
            <w:pPr>
              <w:spacing w:before="100" w:beforeAutospacing="1" w:after="100" w:afterAutospacing="1"/>
              <w:jc w:val="center"/>
              <w:rPr>
                <w:rFonts w:hint="eastAsia" w:ascii="宋体" w:hAnsi="宋体" w:eastAsia="宋体" w:cs="宋体"/>
                <w:b/>
                <w:bCs/>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5</w:t>
            </w:r>
          </w:p>
        </w:tc>
        <w:tc>
          <w:tcPr>
            <w:tcW w:w="985" w:type="pct"/>
            <w:tcBorders>
              <w:right w:val="single" w:color="000000" w:sz="4" w:space="0"/>
            </w:tcBorders>
            <w:vAlign w:val="center"/>
          </w:tcPr>
          <w:p w14:paraId="48010BB1">
            <w:pPr>
              <w:spacing w:before="100" w:beforeAutospacing="1" w:after="100" w:afterAutospacing="1"/>
              <w:jc w:val="center"/>
              <w:rPr>
                <w:rFonts w:hint="eastAsia" w:ascii="宋体" w:hAnsi="宋体" w:eastAsia="宋体" w:cs="宋体"/>
                <w:b/>
                <w:bCs/>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6</w:t>
            </w:r>
          </w:p>
        </w:tc>
        <w:tc>
          <w:tcPr>
            <w:tcW w:w="971" w:type="pct"/>
            <w:tcBorders>
              <w:left w:val="single" w:color="000000" w:sz="4" w:space="0"/>
            </w:tcBorders>
            <w:vAlign w:val="center"/>
          </w:tcPr>
          <w:p w14:paraId="6B2A5EC3">
            <w:pPr>
              <w:spacing w:before="100" w:beforeAutospacing="1" w:after="100" w:afterAutospacing="1"/>
              <w:jc w:val="center"/>
              <w:rPr>
                <w:rFonts w:hint="eastAsia" w:ascii="宋体" w:hAnsi="宋体" w:eastAsia="宋体" w:cs="宋体"/>
                <w:b/>
                <w:bCs/>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7</w:t>
            </w:r>
          </w:p>
        </w:tc>
        <w:tc>
          <w:tcPr>
            <w:tcW w:w="435" w:type="pct"/>
            <w:vAlign w:val="center"/>
          </w:tcPr>
          <w:p w14:paraId="53825A65">
            <w:pPr>
              <w:spacing w:before="100" w:beforeAutospacing="1" w:after="100" w:afterAutospacing="1"/>
              <w:jc w:val="center"/>
              <w:rPr>
                <w:rFonts w:hint="eastAsia" w:ascii="宋体" w:hAnsi="宋体" w:eastAsia="宋体" w:cs="宋体"/>
                <w:b/>
                <w:bCs/>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8</w:t>
            </w:r>
          </w:p>
        </w:tc>
      </w:tr>
      <w:tr w14:paraId="4E47F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vAlign w:val="center"/>
          </w:tcPr>
          <w:p w14:paraId="1286862A">
            <w:pPr>
              <w:spacing w:before="100" w:beforeAutospacing="1" w:after="100" w:afterAutospacing="1"/>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t>序</w:t>
            </w:r>
            <w:r>
              <w:rPr>
                <w:rFonts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号</w:t>
            </w:r>
          </w:p>
        </w:tc>
        <w:tc>
          <w:tcPr>
            <w:tcW w:w="608" w:type="pct"/>
            <w:vAlign w:val="center"/>
          </w:tcPr>
          <w:p w14:paraId="4DD5AC22">
            <w:pPr>
              <w:spacing w:before="100" w:beforeAutospacing="1" w:after="100" w:afterAutospacing="1"/>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t>货物名</w:t>
            </w:r>
            <w:r>
              <w:rPr>
                <w:rFonts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称</w:t>
            </w:r>
          </w:p>
        </w:tc>
        <w:tc>
          <w:tcPr>
            <w:tcW w:w="709" w:type="pct"/>
            <w:vAlign w:val="center"/>
          </w:tcPr>
          <w:p w14:paraId="19397B02">
            <w:pPr>
              <w:spacing w:before="100" w:beforeAutospacing="1" w:after="100" w:afterAutospacing="1"/>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t>型号和</w:t>
            </w:r>
            <w:r>
              <w:rPr>
                <w:rFonts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规格</w:t>
            </w:r>
          </w:p>
        </w:tc>
        <w:tc>
          <w:tcPr>
            <w:tcW w:w="194" w:type="pct"/>
            <w:vAlign w:val="center"/>
          </w:tcPr>
          <w:p w14:paraId="4D30A95B">
            <w:pPr>
              <w:spacing w:before="100" w:beforeAutospacing="1" w:after="100" w:afterAutospacing="1"/>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t>数量</w:t>
            </w:r>
          </w:p>
        </w:tc>
        <w:tc>
          <w:tcPr>
            <w:tcW w:w="846" w:type="pct"/>
            <w:vAlign w:val="center"/>
          </w:tcPr>
          <w:p w14:paraId="5EDDF9A6">
            <w:pPr>
              <w:spacing w:before="100" w:beforeAutospacing="1" w:after="100" w:afterAutospacing="1"/>
              <w:ind w:right="308"/>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t>原</w:t>
            </w:r>
            <w:r>
              <w:rPr>
                <w:rFonts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t>产地和</w:t>
            </w:r>
            <w:r>
              <w:rPr>
                <w:rFonts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制造商名</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称</w:t>
            </w:r>
          </w:p>
        </w:tc>
        <w:tc>
          <w:tcPr>
            <w:tcW w:w="985" w:type="pct"/>
            <w:tcBorders>
              <w:right w:val="single" w:color="000000" w:sz="4" w:space="0"/>
            </w:tcBorders>
            <w:vAlign w:val="center"/>
          </w:tcPr>
          <w:p w14:paraId="04BF3D3C">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单</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价</w:t>
            </w:r>
            <w: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t>（不含税）</w:t>
            </w:r>
            <w:r>
              <w:rPr>
                <w:rFonts w:ascii="宋体" w:hAnsi="宋体" w:eastAsia="宋体" w:cs="宋体"/>
                <w:color w:val="000000" w:themeColor="text1"/>
                <w:spacing w:val="-16"/>
                <w:szCs w:val="21"/>
                <w14:textOutline w14:w="3835" w14:cap="flat" w14:cmpd="sng" w14:algn="ctr">
                  <w14:solidFill>
                    <w14:srgbClr w14:val="000000"/>
                  </w14:solidFill>
                  <w14:prstDash w14:val="solid"/>
                  <w14:miter w14:val="0"/>
                </w14:textOutline>
                <w14:textFill>
                  <w14:solidFill>
                    <w14:schemeClr w14:val="tx1"/>
                  </w14:solidFill>
                </w14:textFill>
              </w:rPr>
              <w:t>(</w:t>
            </w:r>
            <w:r>
              <w:rPr>
                <w:rFonts w:ascii="宋体" w:hAnsi="宋体" w:eastAsia="宋体" w:cs="宋体"/>
                <w:color w:val="000000" w:themeColor="text1"/>
                <w:spacing w:val="-14"/>
                <w:szCs w:val="21"/>
                <w14:textOutline w14:w="3835" w14:cap="flat" w14:cmpd="sng" w14:algn="ctr">
                  <w14:solidFill>
                    <w14:srgbClr w14:val="000000"/>
                  </w14:solidFill>
                  <w14:prstDash w14:val="solid"/>
                  <w14:miter w14:val="0"/>
                </w14:textOutline>
                <w14:textFill>
                  <w14:solidFill>
                    <w14:schemeClr w14:val="tx1"/>
                  </w14:solidFill>
                </w14:textFill>
              </w:rPr>
              <w:t>元)</w:t>
            </w:r>
          </w:p>
        </w:tc>
        <w:tc>
          <w:tcPr>
            <w:tcW w:w="971" w:type="pct"/>
            <w:tcBorders>
              <w:left w:val="single" w:color="000000" w:sz="4" w:space="0"/>
            </w:tcBorders>
            <w:vAlign w:val="center"/>
          </w:tcPr>
          <w:p w14:paraId="379CD7CD">
            <w:pPr>
              <w:spacing w:before="100" w:beforeAutospacing="1" w:after="100" w:afterAutospacing="1"/>
              <w:jc w:val="cente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总价[4</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×6]</w:t>
            </w:r>
            <w: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t>（不含税）</w:t>
            </w:r>
            <w:r>
              <w:rPr>
                <w:rFonts w:ascii="宋体" w:hAnsi="宋体" w:eastAsia="宋体" w:cs="宋体"/>
                <w:color w:val="000000" w:themeColor="text1"/>
                <w:spacing w:val="27"/>
                <w:szCs w:val="21"/>
                <w14:textOutline w14:w="3835" w14:cap="flat" w14:cmpd="sng" w14:algn="ctr">
                  <w14:solidFill>
                    <w14:srgbClr w14:val="000000"/>
                  </w14:solidFill>
                  <w14:prstDash w14:val="solid"/>
                  <w14:miter w14:val="0"/>
                </w14:textOutline>
                <w14:textFill>
                  <w14:solidFill>
                    <w14:schemeClr w14:val="tx1"/>
                  </w14:solidFill>
                </w14:textFill>
              </w:rPr>
              <w:t>(</w:t>
            </w:r>
            <w:r>
              <w:rPr>
                <w:rFonts w:ascii="宋体" w:hAnsi="宋体" w:eastAsia="宋体" w:cs="宋体"/>
                <w:color w:val="000000" w:themeColor="text1"/>
                <w:spacing w:val="26"/>
                <w:szCs w:val="21"/>
                <w14:textOutline w14:w="3835" w14:cap="flat" w14:cmpd="sng" w14:algn="ctr">
                  <w14:solidFill>
                    <w14:srgbClr w14:val="000000"/>
                  </w14:solidFill>
                  <w14:prstDash w14:val="solid"/>
                  <w14:miter w14:val="0"/>
                </w14:textOutline>
                <w14:textFill>
                  <w14:solidFill>
                    <w14:schemeClr w14:val="tx1"/>
                  </w14:solidFill>
                </w14:textFill>
              </w:rPr>
              <w:t>元)</w:t>
            </w:r>
          </w:p>
        </w:tc>
        <w:tc>
          <w:tcPr>
            <w:tcW w:w="435" w:type="pct"/>
            <w:vAlign w:val="center"/>
          </w:tcPr>
          <w:p w14:paraId="170FA55F">
            <w:pPr>
              <w:spacing w:before="100" w:beforeAutospacing="1" w:after="100" w:afterAutospacing="1"/>
              <w:jc w:val="center"/>
              <w:rPr>
                <w:rFonts w:hint="eastAsia" w:ascii="宋体" w:hAnsi="宋体" w:eastAsia="宋体" w:cs="宋体"/>
                <w:b/>
                <w:bCs/>
                <w:color w:val="000000" w:themeColor="text1"/>
                <w:szCs w:val="21"/>
                <w14:textFill>
                  <w14:solidFill>
                    <w14:schemeClr w14:val="tx1"/>
                  </w14:solidFill>
                </w14:textFill>
              </w:rPr>
            </w:pPr>
            <w:r>
              <w:rPr>
                <w:rFonts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t>备</w:t>
            </w:r>
            <w:r>
              <w:rPr>
                <w:rFonts w:ascii="宋体" w:hAnsi="宋体" w:eastAsia="宋体" w:cs="宋体"/>
                <w:color w:val="000000" w:themeColor="text1"/>
                <w:szCs w:val="21"/>
                <w14:textFill>
                  <w14:solidFill>
                    <w14:schemeClr w14:val="tx1"/>
                  </w14:solidFill>
                </w14:textFill>
              </w:rPr>
              <w:t xml:space="preserve">  </w:t>
            </w:r>
            <w:r>
              <w:rPr>
                <w:rFonts w:ascii="宋体" w:hAnsi="宋体" w:eastAsia="宋体" w:cs="宋体"/>
                <w:color w:val="000000" w:themeColor="text1"/>
                <w:szCs w:val="21"/>
                <w14:textOutline w14:w="3835" w14:cap="flat" w14:cmpd="sng" w14:algn="ctr">
                  <w14:solidFill>
                    <w14:srgbClr w14:val="000000"/>
                  </w14:solidFill>
                  <w14:prstDash w14:val="solid"/>
                  <w14:miter w14:val="0"/>
                </w14:textOutline>
                <w14:textFill>
                  <w14:solidFill>
                    <w14:schemeClr w14:val="tx1"/>
                  </w14:solidFill>
                </w14:textFill>
              </w:rPr>
              <w:t>注</w:t>
            </w:r>
          </w:p>
        </w:tc>
      </w:tr>
      <w:tr w14:paraId="6C612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shd w:val="clear" w:color="auto" w:fill="auto"/>
            <w:vAlign w:val="center"/>
          </w:tcPr>
          <w:p w14:paraId="399FD847">
            <w:pPr>
              <w:spacing w:before="100" w:beforeAutospacing="1" w:after="100" w:afterAutospacing="1"/>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1</w:t>
            </w:r>
          </w:p>
        </w:tc>
        <w:tc>
          <w:tcPr>
            <w:tcW w:w="608" w:type="pct"/>
            <w:vAlign w:val="center"/>
          </w:tcPr>
          <w:p w14:paraId="4438E8AB">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机械部分</w:t>
            </w:r>
          </w:p>
        </w:tc>
        <w:tc>
          <w:tcPr>
            <w:tcW w:w="709" w:type="pct"/>
            <w:vAlign w:val="center"/>
          </w:tcPr>
          <w:p w14:paraId="5642CFE5">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194" w:type="pct"/>
            <w:vAlign w:val="center"/>
          </w:tcPr>
          <w:p w14:paraId="5C2E73FC">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846" w:type="pct"/>
            <w:vAlign w:val="center"/>
          </w:tcPr>
          <w:p w14:paraId="7D2464AF">
            <w:pPr>
              <w:spacing w:before="100" w:beforeAutospacing="1" w:after="100" w:afterAutospacing="1"/>
              <w:ind w:right="308"/>
              <w:jc w:val="cente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85" w:type="pct"/>
            <w:tcBorders>
              <w:right w:val="single" w:color="000000" w:sz="4" w:space="0"/>
            </w:tcBorders>
            <w:vAlign w:val="center"/>
          </w:tcPr>
          <w:p w14:paraId="78377B1E">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71" w:type="pct"/>
            <w:tcBorders>
              <w:left w:val="single" w:color="000000" w:sz="4" w:space="0"/>
            </w:tcBorders>
            <w:vAlign w:val="center"/>
          </w:tcPr>
          <w:p w14:paraId="037B1D52">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435" w:type="pct"/>
            <w:vAlign w:val="center"/>
          </w:tcPr>
          <w:p w14:paraId="25208A2A">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r>
      <w:tr w14:paraId="0C4AA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shd w:val="clear" w:color="auto" w:fill="auto"/>
            <w:vAlign w:val="center"/>
          </w:tcPr>
          <w:p w14:paraId="6687AE94">
            <w:pPr>
              <w:spacing w:before="100" w:beforeAutospacing="1" w:after="100" w:afterAutospacing="1"/>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2</w:t>
            </w:r>
          </w:p>
        </w:tc>
        <w:tc>
          <w:tcPr>
            <w:tcW w:w="608" w:type="pct"/>
            <w:vAlign w:val="center"/>
          </w:tcPr>
          <w:p w14:paraId="7E41458B">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电气部分</w:t>
            </w:r>
          </w:p>
        </w:tc>
        <w:tc>
          <w:tcPr>
            <w:tcW w:w="709" w:type="pct"/>
            <w:vAlign w:val="center"/>
          </w:tcPr>
          <w:p w14:paraId="2915E746">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194" w:type="pct"/>
            <w:vAlign w:val="center"/>
          </w:tcPr>
          <w:p w14:paraId="485632FC">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846" w:type="pct"/>
            <w:vAlign w:val="center"/>
          </w:tcPr>
          <w:p w14:paraId="2DEEBD1F">
            <w:pPr>
              <w:spacing w:before="100" w:beforeAutospacing="1" w:after="100" w:afterAutospacing="1"/>
              <w:ind w:right="308"/>
              <w:jc w:val="cente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85" w:type="pct"/>
            <w:tcBorders>
              <w:right w:val="single" w:color="000000" w:sz="4" w:space="0"/>
            </w:tcBorders>
            <w:vAlign w:val="center"/>
          </w:tcPr>
          <w:p w14:paraId="3ADA245B">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71" w:type="pct"/>
            <w:tcBorders>
              <w:left w:val="single" w:color="000000" w:sz="4" w:space="0"/>
            </w:tcBorders>
            <w:vAlign w:val="center"/>
          </w:tcPr>
          <w:p w14:paraId="5DB18595">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435" w:type="pct"/>
            <w:vAlign w:val="center"/>
          </w:tcPr>
          <w:p w14:paraId="7E5E8CC0">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r>
      <w:tr w14:paraId="6CCC8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shd w:val="clear" w:color="auto" w:fill="auto"/>
            <w:vAlign w:val="center"/>
          </w:tcPr>
          <w:p w14:paraId="276771A0">
            <w:pPr>
              <w:spacing w:before="100" w:beforeAutospacing="1" w:after="100" w:afterAutospacing="1"/>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3</w:t>
            </w:r>
          </w:p>
        </w:tc>
        <w:tc>
          <w:tcPr>
            <w:tcW w:w="608" w:type="pct"/>
            <w:vAlign w:val="center"/>
          </w:tcPr>
          <w:p w14:paraId="467EDB7F">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数据采集/测量和控制部分</w:t>
            </w:r>
          </w:p>
        </w:tc>
        <w:tc>
          <w:tcPr>
            <w:tcW w:w="709" w:type="pct"/>
            <w:vAlign w:val="center"/>
          </w:tcPr>
          <w:p w14:paraId="0BB75ED9">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194" w:type="pct"/>
            <w:vAlign w:val="center"/>
          </w:tcPr>
          <w:p w14:paraId="14BE57CB">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846" w:type="pct"/>
            <w:vAlign w:val="center"/>
          </w:tcPr>
          <w:p w14:paraId="653AB99F">
            <w:pPr>
              <w:spacing w:before="100" w:beforeAutospacing="1" w:after="100" w:afterAutospacing="1"/>
              <w:ind w:right="308"/>
              <w:jc w:val="cente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85" w:type="pct"/>
            <w:tcBorders>
              <w:right w:val="single" w:color="000000" w:sz="4" w:space="0"/>
            </w:tcBorders>
            <w:vAlign w:val="center"/>
          </w:tcPr>
          <w:p w14:paraId="18EFEF6B">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71" w:type="pct"/>
            <w:tcBorders>
              <w:left w:val="single" w:color="000000" w:sz="4" w:space="0"/>
            </w:tcBorders>
            <w:vAlign w:val="center"/>
          </w:tcPr>
          <w:p w14:paraId="47C08981">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435" w:type="pct"/>
            <w:vAlign w:val="center"/>
          </w:tcPr>
          <w:p w14:paraId="4067E517">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r>
      <w:tr w14:paraId="07916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shd w:val="clear" w:color="auto" w:fill="auto"/>
            <w:vAlign w:val="center"/>
          </w:tcPr>
          <w:p w14:paraId="7E082085">
            <w:pPr>
              <w:spacing w:before="100" w:beforeAutospacing="1" w:after="100" w:afterAutospacing="1"/>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4</w:t>
            </w:r>
          </w:p>
        </w:tc>
        <w:tc>
          <w:tcPr>
            <w:tcW w:w="608" w:type="pct"/>
            <w:vAlign w:val="center"/>
          </w:tcPr>
          <w:p w14:paraId="18D486BB">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冷却温控单元</w:t>
            </w:r>
          </w:p>
        </w:tc>
        <w:tc>
          <w:tcPr>
            <w:tcW w:w="709" w:type="pct"/>
            <w:vAlign w:val="center"/>
          </w:tcPr>
          <w:p w14:paraId="2C416384">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194" w:type="pct"/>
            <w:vAlign w:val="center"/>
          </w:tcPr>
          <w:p w14:paraId="63937F8A">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846" w:type="pct"/>
            <w:vAlign w:val="center"/>
          </w:tcPr>
          <w:p w14:paraId="2C90C101">
            <w:pPr>
              <w:spacing w:before="100" w:beforeAutospacing="1" w:after="100" w:afterAutospacing="1"/>
              <w:ind w:right="308"/>
              <w:jc w:val="cente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85" w:type="pct"/>
            <w:tcBorders>
              <w:right w:val="single" w:color="000000" w:sz="4" w:space="0"/>
            </w:tcBorders>
            <w:vAlign w:val="center"/>
          </w:tcPr>
          <w:p w14:paraId="4848FE1B">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71" w:type="pct"/>
            <w:tcBorders>
              <w:left w:val="single" w:color="000000" w:sz="4" w:space="0"/>
            </w:tcBorders>
            <w:vAlign w:val="center"/>
          </w:tcPr>
          <w:p w14:paraId="33493B3C">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435" w:type="pct"/>
            <w:vAlign w:val="center"/>
          </w:tcPr>
          <w:p w14:paraId="1B723614">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r>
      <w:tr w14:paraId="3117F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shd w:val="clear" w:color="auto" w:fill="auto"/>
            <w:vAlign w:val="center"/>
          </w:tcPr>
          <w:p w14:paraId="7087F004">
            <w:pPr>
              <w:spacing w:before="100" w:beforeAutospacing="1" w:after="100" w:afterAutospacing="1"/>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5</w:t>
            </w:r>
          </w:p>
        </w:tc>
        <w:tc>
          <w:tcPr>
            <w:tcW w:w="608" w:type="pct"/>
            <w:vAlign w:val="center"/>
          </w:tcPr>
          <w:p w14:paraId="2A0FB7F9">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人工成本（设计、管理、安装调试等）</w:t>
            </w:r>
          </w:p>
        </w:tc>
        <w:tc>
          <w:tcPr>
            <w:tcW w:w="709" w:type="pct"/>
            <w:vAlign w:val="center"/>
          </w:tcPr>
          <w:p w14:paraId="3811A24D">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194" w:type="pct"/>
            <w:vAlign w:val="center"/>
          </w:tcPr>
          <w:p w14:paraId="178C2B75">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846" w:type="pct"/>
            <w:vAlign w:val="center"/>
          </w:tcPr>
          <w:p w14:paraId="776BE5EB">
            <w:pPr>
              <w:spacing w:before="100" w:beforeAutospacing="1" w:after="100" w:afterAutospacing="1"/>
              <w:ind w:right="308"/>
              <w:jc w:val="cente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85" w:type="pct"/>
            <w:tcBorders>
              <w:right w:val="single" w:color="000000" w:sz="4" w:space="0"/>
            </w:tcBorders>
            <w:vAlign w:val="center"/>
          </w:tcPr>
          <w:p w14:paraId="01604DFA">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71" w:type="pct"/>
            <w:tcBorders>
              <w:left w:val="single" w:color="000000" w:sz="4" w:space="0"/>
            </w:tcBorders>
            <w:vAlign w:val="center"/>
          </w:tcPr>
          <w:p w14:paraId="669C2EFC">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435" w:type="pct"/>
            <w:vAlign w:val="center"/>
          </w:tcPr>
          <w:p w14:paraId="10C3581C">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r>
      <w:tr w14:paraId="03FBE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vAlign w:val="center"/>
          </w:tcPr>
          <w:p w14:paraId="7EA9F7ED">
            <w:pPr>
              <w:spacing w:before="100" w:beforeAutospacing="1" w:after="100" w:afterAutospacing="1"/>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6</w:t>
            </w:r>
          </w:p>
        </w:tc>
        <w:tc>
          <w:tcPr>
            <w:tcW w:w="608" w:type="pct"/>
            <w:vAlign w:val="center"/>
          </w:tcPr>
          <w:p w14:paraId="59993A94">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其他</w:t>
            </w:r>
          </w:p>
        </w:tc>
        <w:tc>
          <w:tcPr>
            <w:tcW w:w="709" w:type="pct"/>
            <w:vAlign w:val="center"/>
          </w:tcPr>
          <w:p w14:paraId="666926CA">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194" w:type="pct"/>
            <w:vAlign w:val="center"/>
          </w:tcPr>
          <w:p w14:paraId="6B020A37">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846" w:type="pct"/>
            <w:vAlign w:val="center"/>
          </w:tcPr>
          <w:p w14:paraId="484EE354">
            <w:pPr>
              <w:spacing w:before="100" w:beforeAutospacing="1" w:after="100" w:afterAutospacing="1"/>
              <w:ind w:right="308"/>
              <w:jc w:val="center"/>
              <w:rPr>
                <w:rFonts w:hint="eastAsia" w:ascii="宋体" w:hAnsi="宋体" w:eastAsia="宋体" w:cs="宋体"/>
                <w:color w:val="000000" w:themeColor="text1"/>
                <w:spacing w:val="-3"/>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85" w:type="pct"/>
            <w:tcBorders>
              <w:right w:val="single" w:color="000000" w:sz="4" w:space="0"/>
            </w:tcBorders>
            <w:vAlign w:val="center"/>
          </w:tcPr>
          <w:p w14:paraId="1573F764">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971" w:type="pct"/>
            <w:tcBorders>
              <w:left w:val="single" w:color="000000" w:sz="4" w:space="0"/>
            </w:tcBorders>
            <w:vAlign w:val="center"/>
          </w:tcPr>
          <w:p w14:paraId="1CE6840F">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435" w:type="pct"/>
            <w:vAlign w:val="center"/>
          </w:tcPr>
          <w:p w14:paraId="5264E6ED">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p>
        </w:tc>
      </w:tr>
      <w:tr w14:paraId="3D5EB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vAlign w:val="center"/>
          </w:tcPr>
          <w:p w14:paraId="01727E06">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608" w:type="pct"/>
            <w:vAlign w:val="center"/>
          </w:tcPr>
          <w:p w14:paraId="12C3A5BD">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p>
        </w:tc>
        <w:tc>
          <w:tcPr>
            <w:tcW w:w="2735" w:type="pct"/>
            <w:gridSpan w:val="4"/>
            <w:tcBorders>
              <w:right w:val="single" w:color="000000" w:sz="4" w:space="0"/>
            </w:tcBorders>
            <w:vAlign w:val="center"/>
          </w:tcPr>
          <w:p w14:paraId="2B65989E">
            <w:pPr>
              <w:spacing w:before="100" w:beforeAutospacing="1" w:after="100" w:afterAutospacing="1"/>
              <w:jc w:val="center"/>
              <w:rPr>
                <w:rFonts w:ascii="宋体" w:hAnsi="宋体" w:eastAsia="宋体" w:cs="宋体"/>
                <w:color w:val="000000" w:themeColor="text1"/>
                <w:spacing w:val="-6"/>
                <w:szCs w:val="21"/>
                <w14:textFill>
                  <w14:solidFill>
                    <w14:schemeClr w14:val="tx1"/>
                  </w14:solidFill>
                </w14:textFill>
              </w:rPr>
            </w:pPr>
            <w:r>
              <w:rPr>
                <w:rFonts w:hint="eastAsia" w:ascii="宋体" w:hAnsi="宋体" w:eastAsia="宋体" w:cs="宋体"/>
                <w:spacing w:val="-6"/>
                <w:szCs w:val="21"/>
                <w:lang w:val="en-US" w:eastAsia="zh-CN"/>
              </w:rPr>
              <w:t>小计</w:t>
            </w:r>
          </w:p>
        </w:tc>
        <w:tc>
          <w:tcPr>
            <w:tcW w:w="1406" w:type="pct"/>
            <w:gridSpan w:val="2"/>
            <w:tcBorders>
              <w:left w:val="single" w:color="000000" w:sz="4" w:space="0"/>
            </w:tcBorders>
            <w:vAlign w:val="center"/>
          </w:tcPr>
          <w:p w14:paraId="2A08BFF6">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4B8B50E6">
            <w:pPr>
              <w:jc w:val="left"/>
              <w:rPr>
                <w:rFonts w:hint="eastAsia"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发标日（2025年4月**日）汇率：</w:t>
            </w:r>
            <w:r>
              <w:rPr>
                <w:rFonts w:hint="eastAsia" w:ascii="宋体" w:hAnsi="宋体" w:eastAsia="宋体" w:cs="宋体"/>
                <w:b/>
                <w:bCs/>
                <w:szCs w:val="21"/>
                <w:u w:val="single"/>
                <w:lang w:val="en-US" w:eastAsia="zh-CN"/>
              </w:rPr>
              <w:t xml:space="preserve">     </w:t>
            </w:r>
          </w:p>
          <w:p w14:paraId="58372943">
            <w:pPr>
              <w:jc w:val="left"/>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14:paraId="15EB9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249" w:type="pct"/>
            <w:vAlign w:val="center"/>
          </w:tcPr>
          <w:p w14:paraId="058EC175">
            <w:pPr>
              <w:spacing w:before="100" w:beforeAutospacing="1" w:after="100" w:afterAutospacing="1"/>
              <w:jc w:val="center"/>
              <w:rPr>
                <w:rFonts w:hint="eastAsia" w:ascii="宋体" w:hAnsi="宋体" w:eastAsia="宋体" w:cs="宋体"/>
                <w:color w:val="000000" w:themeColor="text1"/>
                <w:spacing w:val="-2"/>
                <w:szCs w:val="21"/>
                <w14:textOutline w14:w="3835" w14:cap="flat" w14:cmpd="sng" w14:algn="ctr">
                  <w14:solidFill>
                    <w14:srgbClr w14:val="000000"/>
                  </w14:solidFill>
                  <w14:prstDash w14:val="solid"/>
                  <w14:miter w14:val="0"/>
                </w14:textOutline>
                <w14:textFill>
                  <w14:solidFill>
                    <w14:schemeClr w14:val="tx1"/>
                  </w14:solidFill>
                </w14:textFill>
              </w:rPr>
            </w:pPr>
          </w:p>
        </w:tc>
        <w:tc>
          <w:tcPr>
            <w:tcW w:w="608" w:type="pct"/>
            <w:vAlign w:val="center"/>
          </w:tcPr>
          <w:p w14:paraId="20594F8C">
            <w:pPr>
              <w:spacing w:before="100" w:beforeAutospacing="1" w:after="100" w:afterAutospacing="1"/>
              <w:jc w:val="center"/>
              <w:rPr>
                <w:rFonts w:hint="eastAsia" w:ascii="宋体" w:hAnsi="宋体" w:eastAsia="宋体" w:cs="宋体"/>
                <w:color w:val="000000" w:themeColor="text1"/>
                <w:szCs w:val="21"/>
                <w14:textFill>
                  <w14:solidFill>
                    <w14:schemeClr w14:val="tx1"/>
                  </w14:solidFill>
                </w14:textFill>
              </w:rPr>
            </w:pPr>
          </w:p>
        </w:tc>
        <w:tc>
          <w:tcPr>
            <w:tcW w:w="2735" w:type="pct"/>
            <w:gridSpan w:val="4"/>
            <w:tcBorders>
              <w:right w:val="single" w:color="000000" w:sz="4" w:space="0"/>
            </w:tcBorders>
            <w:vAlign w:val="center"/>
          </w:tcPr>
          <w:p w14:paraId="1D4D7D83">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ascii="宋体" w:hAnsi="宋体" w:eastAsia="宋体" w:cs="宋体"/>
                <w:color w:val="000000" w:themeColor="text1"/>
                <w:spacing w:val="-6"/>
                <w:szCs w:val="21"/>
                <w14:textFill>
                  <w14:solidFill>
                    <w14:schemeClr w14:val="tx1"/>
                  </w14:solidFill>
                </w14:textFill>
              </w:rPr>
              <w:t>总</w:t>
            </w:r>
            <w:r>
              <w:rPr>
                <w:rFonts w:ascii="宋体" w:hAnsi="宋体" w:eastAsia="宋体" w:cs="宋体"/>
                <w:color w:val="000000" w:themeColor="text1"/>
                <w:spacing w:val="-4"/>
                <w:szCs w:val="21"/>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14:textFill>
                  <w14:solidFill>
                    <w14:schemeClr w14:val="tx1"/>
                  </w14:solidFill>
                </w14:textFill>
              </w:rPr>
              <w:t>9</w:t>
            </w:r>
            <w:r>
              <w:rPr>
                <w:rFonts w:ascii="宋体" w:hAnsi="宋体" w:eastAsia="宋体" w:cs="宋体"/>
                <w:color w:val="000000" w:themeColor="text1"/>
                <w:spacing w:val="-4"/>
                <w:szCs w:val="21"/>
                <w14:textFill>
                  <w14:solidFill>
                    <w14:schemeClr w14:val="tx1"/>
                  </w14:solidFill>
                </w14:textFill>
              </w:rPr>
              <w:t>-</w:t>
            </w:r>
            <w:r>
              <w:rPr>
                <w:rFonts w:hint="eastAsia" w:ascii="宋体" w:hAnsi="宋体" w:eastAsia="宋体" w:cs="宋体"/>
                <w:color w:val="000000" w:themeColor="text1"/>
                <w:spacing w:val="-4"/>
                <w:szCs w:val="21"/>
                <w14:textFill>
                  <w14:solidFill>
                    <w14:schemeClr w14:val="tx1"/>
                  </w14:solidFill>
                </w14:textFill>
              </w:rPr>
              <w:t>5</w:t>
            </w:r>
          </w:p>
        </w:tc>
        <w:tc>
          <w:tcPr>
            <w:tcW w:w="1406" w:type="pct"/>
            <w:gridSpan w:val="2"/>
            <w:tcBorders>
              <w:left w:val="single" w:color="000000" w:sz="4" w:space="0"/>
            </w:tcBorders>
            <w:vAlign w:val="center"/>
          </w:tcPr>
          <w:p w14:paraId="3EC13A6F">
            <w:pPr>
              <w:spacing w:before="100" w:beforeAutospacing="1" w:after="100" w:afterAutospacing="1"/>
              <w:jc w:val="center"/>
              <w:rPr>
                <w:rFonts w:hint="eastAsia" w:ascii="宋体" w:hAnsi="宋体" w:eastAsia="宋体" w:cs="宋体"/>
                <w:color w:val="000000" w:themeColor="text1"/>
                <w:spacing w:val="-1"/>
                <w:szCs w:val="21"/>
                <w14:textOutline w14:w="3835" w14:cap="flat" w14:cmpd="sng" w14:algn="ctr">
                  <w14:solidFill>
                    <w14:srgbClr w14:val="000000"/>
                  </w14:solidFill>
                  <w14:prstDash w14:val="solid"/>
                  <w14:miter w14:val="0"/>
                </w14:textOutline>
                <w14:textFill>
                  <w14:solidFill>
                    <w14:schemeClr w14:val="tx1"/>
                  </w14:solidFill>
                </w14:textFill>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602D0B8E">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703B4FC">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6DF2B79A">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65B4C53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44AE09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D8602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5C3B5B5">
      <w:pPr>
        <w:spacing w:before="40" w:line="186" w:lineRule="auto"/>
        <w:rPr>
          <w:rFonts w:ascii="宋体" w:hAnsi="宋体" w:eastAsia="宋体" w:cs="宋体"/>
          <w:spacing w:val="-2"/>
          <w:sz w:val="24"/>
          <w:szCs w:val="24"/>
        </w:rPr>
        <w:sectPr>
          <w:footerReference r:id="rId26"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ascii="宋体" w:hAnsi="宋体" w:eastAsia="宋体" w:cs="宋体"/>
          <w:spacing w:val="3"/>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2129357">
      <w:pPr>
        <w:spacing w:before="40" w:line="186" w:lineRule="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3"/>
          <w:sz w:val="24"/>
          <w:szCs w:val="24"/>
        </w:rPr>
        <w:t xml:space="preserve">  </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122796CE">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9FBA85A">
      <w:pPr>
        <w:spacing w:before="132" w:line="221" w:lineRule="auto"/>
        <w:ind w:left="310"/>
        <w:jc w:val="right"/>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7FF8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9" w:type="dxa"/>
            <w:vMerge w:val="restart"/>
            <w:tcBorders>
              <w:bottom w:val="nil"/>
            </w:tcBorders>
          </w:tcPr>
          <w:p w14:paraId="7A2EA686">
            <w:pPr>
              <w:spacing w:line="296" w:lineRule="auto"/>
              <w:rPr>
                <w:rFonts w:ascii="Arial"/>
              </w:rPr>
            </w:pPr>
          </w:p>
          <w:p w14:paraId="4570DAB3">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50689EE">
            <w:pPr>
              <w:spacing w:line="295" w:lineRule="auto"/>
              <w:rPr>
                <w:rFonts w:ascii="Arial"/>
              </w:rPr>
            </w:pPr>
          </w:p>
          <w:p w14:paraId="31BDB696">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0A08108">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B505545">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4696ABFE">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448D56D">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3713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B67477E">
            <w:pPr>
              <w:rPr>
                <w:rFonts w:ascii="Arial"/>
              </w:rPr>
            </w:pPr>
          </w:p>
        </w:tc>
        <w:tc>
          <w:tcPr>
            <w:tcW w:w="3530" w:type="dxa"/>
            <w:vMerge w:val="continue"/>
            <w:tcBorders>
              <w:top w:val="nil"/>
            </w:tcBorders>
          </w:tcPr>
          <w:p w14:paraId="5AE7DDDE">
            <w:pPr>
              <w:rPr>
                <w:rFonts w:ascii="Arial"/>
              </w:rPr>
            </w:pPr>
          </w:p>
        </w:tc>
        <w:tc>
          <w:tcPr>
            <w:tcW w:w="2159" w:type="dxa"/>
          </w:tcPr>
          <w:p w14:paraId="6ED81459">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7C2BE663">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3173D9B5">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14424E69">
            <w:pPr>
              <w:spacing w:before="161" w:line="185" w:lineRule="auto"/>
              <w:ind w:left="1031"/>
              <w:rPr>
                <w:rFonts w:ascii="宋体" w:hAnsi="宋体" w:eastAsia="宋体" w:cs="宋体"/>
                <w:szCs w:val="21"/>
              </w:rPr>
            </w:pPr>
            <w:r>
              <w:rPr>
                <w:rFonts w:ascii="宋体" w:hAnsi="宋体" w:eastAsia="宋体" w:cs="宋体"/>
                <w:szCs w:val="21"/>
              </w:rPr>
              <w:t>4</w:t>
            </w:r>
          </w:p>
        </w:tc>
      </w:tr>
      <w:tr w14:paraId="089E7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445732F">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60E7E0A0">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22AA4243">
            <w:pPr>
              <w:rPr>
                <w:rFonts w:ascii="Arial"/>
              </w:rPr>
            </w:pPr>
          </w:p>
        </w:tc>
        <w:tc>
          <w:tcPr>
            <w:tcW w:w="2186" w:type="dxa"/>
          </w:tcPr>
          <w:p w14:paraId="2AF62CC5">
            <w:pPr>
              <w:rPr>
                <w:rFonts w:ascii="Arial"/>
              </w:rPr>
            </w:pPr>
          </w:p>
        </w:tc>
        <w:tc>
          <w:tcPr>
            <w:tcW w:w="2596" w:type="dxa"/>
          </w:tcPr>
          <w:p w14:paraId="7001BD07">
            <w:pPr>
              <w:rPr>
                <w:rFonts w:ascii="Arial"/>
              </w:rPr>
            </w:pPr>
          </w:p>
        </w:tc>
        <w:tc>
          <w:tcPr>
            <w:tcW w:w="2164" w:type="dxa"/>
          </w:tcPr>
          <w:p w14:paraId="5C02D043">
            <w:pPr>
              <w:rPr>
                <w:rFonts w:ascii="Arial"/>
              </w:rPr>
            </w:pPr>
          </w:p>
        </w:tc>
      </w:tr>
      <w:tr w14:paraId="70F7A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8B09B50">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D1B8046">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23182AF7">
            <w:pPr>
              <w:rPr>
                <w:rFonts w:ascii="Arial"/>
              </w:rPr>
            </w:pPr>
          </w:p>
        </w:tc>
        <w:tc>
          <w:tcPr>
            <w:tcW w:w="2186" w:type="dxa"/>
          </w:tcPr>
          <w:p w14:paraId="38B5AF3D">
            <w:pPr>
              <w:rPr>
                <w:rFonts w:ascii="Arial"/>
              </w:rPr>
            </w:pPr>
          </w:p>
        </w:tc>
        <w:tc>
          <w:tcPr>
            <w:tcW w:w="2596" w:type="dxa"/>
          </w:tcPr>
          <w:p w14:paraId="590EDF72">
            <w:pPr>
              <w:rPr>
                <w:rFonts w:ascii="Arial"/>
              </w:rPr>
            </w:pPr>
          </w:p>
        </w:tc>
        <w:tc>
          <w:tcPr>
            <w:tcW w:w="2164" w:type="dxa"/>
            <w:vMerge w:val="restart"/>
            <w:tcBorders>
              <w:bottom w:val="nil"/>
            </w:tcBorders>
          </w:tcPr>
          <w:p w14:paraId="5B783CF2">
            <w:pPr>
              <w:spacing w:line="295" w:lineRule="auto"/>
              <w:rPr>
                <w:rFonts w:ascii="Arial"/>
              </w:rPr>
            </w:pPr>
          </w:p>
          <w:p w14:paraId="69C9940A">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7C1A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58AC0E9">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38036C0F">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0F705E98">
            <w:pPr>
              <w:rPr>
                <w:rFonts w:ascii="Arial"/>
              </w:rPr>
            </w:pPr>
          </w:p>
        </w:tc>
        <w:tc>
          <w:tcPr>
            <w:tcW w:w="2186" w:type="dxa"/>
          </w:tcPr>
          <w:p w14:paraId="366FF0E5">
            <w:pPr>
              <w:rPr>
                <w:rFonts w:ascii="Arial"/>
              </w:rPr>
            </w:pPr>
          </w:p>
        </w:tc>
        <w:tc>
          <w:tcPr>
            <w:tcW w:w="2596" w:type="dxa"/>
          </w:tcPr>
          <w:p w14:paraId="00CC46AB">
            <w:pPr>
              <w:rPr>
                <w:rFonts w:ascii="Arial"/>
              </w:rPr>
            </w:pPr>
          </w:p>
        </w:tc>
        <w:tc>
          <w:tcPr>
            <w:tcW w:w="2164" w:type="dxa"/>
            <w:vMerge w:val="continue"/>
            <w:tcBorders>
              <w:top w:val="nil"/>
            </w:tcBorders>
          </w:tcPr>
          <w:p w14:paraId="3EC85425">
            <w:pPr>
              <w:rPr>
                <w:rFonts w:ascii="Arial"/>
              </w:rPr>
            </w:pPr>
          </w:p>
        </w:tc>
      </w:tr>
      <w:tr w14:paraId="05F43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10B3A77">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268AF711">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2E4A41E4">
            <w:pPr>
              <w:rPr>
                <w:rFonts w:ascii="Arial"/>
              </w:rPr>
            </w:pPr>
          </w:p>
        </w:tc>
        <w:tc>
          <w:tcPr>
            <w:tcW w:w="2186" w:type="dxa"/>
          </w:tcPr>
          <w:p w14:paraId="719974E4">
            <w:pPr>
              <w:rPr>
                <w:rFonts w:ascii="Arial"/>
              </w:rPr>
            </w:pPr>
          </w:p>
        </w:tc>
        <w:tc>
          <w:tcPr>
            <w:tcW w:w="2596" w:type="dxa"/>
          </w:tcPr>
          <w:p w14:paraId="66AA7DFA">
            <w:pPr>
              <w:rPr>
                <w:rFonts w:ascii="Arial"/>
              </w:rPr>
            </w:pPr>
          </w:p>
        </w:tc>
        <w:tc>
          <w:tcPr>
            <w:tcW w:w="2164" w:type="dxa"/>
          </w:tcPr>
          <w:p w14:paraId="21AC9694">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3B4B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C1F3DC6">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37D88E6C">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3EC4EED0">
            <w:pPr>
              <w:rPr>
                <w:rFonts w:ascii="Arial"/>
              </w:rPr>
            </w:pPr>
          </w:p>
        </w:tc>
        <w:tc>
          <w:tcPr>
            <w:tcW w:w="2186" w:type="dxa"/>
          </w:tcPr>
          <w:p w14:paraId="2B9055B4">
            <w:pPr>
              <w:rPr>
                <w:rFonts w:ascii="Arial"/>
              </w:rPr>
            </w:pPr>
          </w:p>
        </w:tc>
        <w:tc>
          <w:tcPr>
            <w:tcW w:w="2596" w:type="dxa"/>
          </w:tcPr>
          <w:p w14:paraId="45FC5A6F">
            <w:pPr>
              <w:rPr>
                <w:rFonts w:ascii="Arial"/>
              </w:rPr>
            </w:pPr>
          </w:p>
        </w:tc>
        <w:tc>
          <w:tcPr>
            <w:tcW w:w="2164" w:type="dxa"/>
          </w:tcPr>
          <w:p w14:paraId="54136F42">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51CE4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vAlign w:val="center"/>
          </w:tcPr>
          <w:p w14:paraId="2A600F4F">
            <w:pPr>
              <w:jc w:val="center"/>
              <w:rPr>
                <w:rFonts w:ascii="宋体" w:hAnsi="宋体" w:eastAsia="宋体" w:cs="宋体"/>
                <w:spacing w:val="-6"/>
                <w:szCs w:val="21"/>
              </w:rPr>
            </w:pPr>
            <w:r>
              <w:rPr>
                <w:rFonts w:hint="eastAsia" w:ascii="宋体" w:hAnsi="宋体" w:eastAsia="宋体" w:cs="宋体"/>
                <w:spacing w:val="-6"/>
                <w:szCs w:val="21"/>
                <w:lang w:val="en-US" w:eastAsia="zh-CN"/>
              </w:rPr>
              <w:t>小计</w:t>
            </w:r>
          </w:p>
        </w:tc>
        <w:tc>
          <w:tcPr>
            <w:tcW w:w="4760" w:type="dxa"/>
            <w:gridSpan w:val="2"/>
            <w:vAlign w:val="center"/>
          </w:tcPr>
          <w:p w14:paraId="31FC00E0">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6FDCA8C5">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发标日（2025年4月**日）汇率：</w:t>
            </w:r>
            <w:r>
              <w:rPr>
                <w:rFonts w:hint="eastAsia" w:ascii="宋体" w:hAnsi="宋体" w:eastAsia="宋体" w:cs="宋体"/>
                <w:b/>
                <w:bCs/>
                <w:szCs w:val="21"/>
                <w:u w:val="single"/>
                <w:lang w:val="en-US" w:eastAsia="zh-CN"/>
              </w:rPr>
              <w:t xml:space="preserve">     </w:t>
            </w:r>
          </w:p>
          <w:p w14:paraId="761ECC31">
            <w:pPr>
              <w:jc w:val="left"/>
              <w:rPr>
                <w:rFonts w:ascii="宋体" w:hAnsi="宋体" w:eastAsia="宋体" w:cs="宋体"/>
                <w:b/>
                <w:bCs/>
                <w:szCs w:val="21"/>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14:paraId="0B931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6141D15">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08A6FCA8">
            <w:pPr>
              <w:spacing w:before="211"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22FFA01C">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784F701">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5CB54D19">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C7007FF">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1FCD7F3">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E4ECE88">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4BF1B8D">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4BEA3065">
      <w:pPr>
        <w:rPr>
          <w:sz w:val="24"/>
          <w:szCs w:val="24"/>
        </w:rPr>
        <w:sectPr>
          <w:footerReference r:id="rId27" w:type="default"/>
          <w:pgSz w:w="16841" w:h="11907"/>
          <w:pgMar w:top="400" w:right="1699" w:bottom="1184" w:left="1481" w:header="0" w:footer="1022" w:gutter="0"/>
          <w:cols w:space="720" w:num="1"/>
        </w:sectPr>
      </w:pPr>
    </w:p>
    <w:p w14:paraId="5C3BE5A0">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60C1529F">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67C2D0C">
      <w:pPr>
        <w:spacing w:before="134" w:line="221" w:lineRule="auto"/>
        <w:ind w:left="212"/>
        <w:jc w:val="right"/>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8375E9D">
      <w:pPr>
        <w:spacing w:line="20" w:lineRule="exact"/>
      </w:pPr>
    </w:p>
    <w:tbl>
      <w:tblPr>
        <w:tblStyle w:val="131"/>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14:paraId="5C788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783" w:type="dxa"/>
          </w:tcPr>
          <w:p w14:paraId="03053D39">
            <w:pPr>
              <w:spacing w:before="267" w:line="222"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995" w:type="dxa"/>
          </w:tcPr>
          <w:p w14:paraId="3B9F0A1A">
            <w:pPr>
              <w:spacing w:before="266" w:line="221"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241" w:type="dxa"/>
          </w:tcPr>
          <w:p w14:paraId="3D99787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255" w:type="dxa"/>
          </w:tcPr>
          <w:p w14:paraId="7B81752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699" w:type="dxa"/>
          </w:tcPr>
          <w:p w14:paraId="6758751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3668" w:type="dxa"/>
          </w:tcPr>
          <w:p w14:paraId="200F1EC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D4B2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tcPr>
          <w:p w14:paraId="1EC64023">
            <w:pPr>
              <w:spacing w:before="300" w:line="186" w:lineRule="auto"/>
              <w:ind w:left="443"/>
              <w:rPr>
                <w:rFonts w:ascii="宋体" w:hAnsi="宋体" w:eastAsia="宋体" w:cs="宋体"/>
                <w:szCs w:val="21"/>
              </w:rPr>
            </w:pPr>
            <w:r>
              <w:rPr>
                <w:rFonts w:ascii="宋体" w:hAnsi="宋体" w:eastAsia="宋体" w:cs="宋体"/>
                <w:szCs w:val="21"/>
              </w:rPr>
              <w:t>1</w:t>
            </w:r>
          </w:p>
        </w:tc>
        <w:tc>
          <w:tcPr>
            <w:tcW w:w="3995" w:type="dxa"/>
          </w:tcPr>
          <w:p w14:paraId="03A70593">
            <w:pPr>
              <w:spacing w:before="266" w:line="221" w:lineRule="auto"/>
              <w:jc w:val="center"/>
              <w:rPr>
                <w:rFonts w:ascii="宋体" w:hAnsi="宋体" w:eastAsia="宋体" w:cs="宋体"/>
                <w:color w:val="FF0000"/>
                <w:szCs w:val="21"/>
              </w:rPr>
            </w:pPr>
            <w:r>
              <w:rPr>
                <w:rFonts w:ascii="宋体" w:hAnsi="宋体" w:eastAsia="宋体" w:cs="宋体"/>
                <w:color w:val="FF0000"/>
                <w:spacing w:val="-1"/>
                <w:szCs w:val="21"/>
              </w:rPr>
              <w:t>现场安装</w:t>
            </w:r>
          </w:p>
        </w:tc>
        <w:tc>
          <w:tcPr>
            <w:tcW w:w="1241" w:type="dxa"/>
          </w:tcPr>
          <w:p w14:paraId="2D3A5AAD">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14:paraId="5422679D">
            <w:pPr>
              <w:spacing w:before="266" w:line="221" w:lineRule="auto"/>
              <w:jc w:val="center"/>
              <w:rPr>
                <w:rFonts w:ascii="宋体" w:hAnsi="宋体" w:eastAsia="宋体" w:cs="宋体"/>
                <w:spacing w:val="-2"/>
                <w:szCs w:val="21"/>
              </w:rPr>
            </w:pPr>
          </w:p>
        </w:tc>
        <w:tc>
          <w:tcPr>
            <w:tcW w:w="2699" w:type="dxa"/>
          </w:tcPr>
          <w:p w14:paraId="6728FE5D">
            <w:pPr>
              <w:rPr>
                <w:rFonts w:ascii="Arial"/>
              </w:rPr>
            </w:pPr>
          </w:p>
        </w:tc>
        <w:tc>
          <w:tcPr>
            <w:tcW w:w="3668" w:type="dxa"/>
          </w:tcPr>
          <w:p w14:paraId="3FDA355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801B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 w:hRule="atLeast"/>
        </w:trPr>
        <w:tc>
          <w:tcPr>
            <w:tcW w:w="783" w:type="dxa"/>
          </w:tcPr>
          <w:p w14:paraId="6F266E67">
            <w:pPr>
              <w:spacing w:before="302" w:line="185" w:lineRule="auto"/>
              <w:ind w:left="430"/>
              <w:rPr>
                <w:rFonts w:ascii="宋体" w:hAnsi="宋体" w:eastAsia="宋体" w:cs="宋体"/>
                <w:szCs w:val="21"/>
              </w:rPr>
            </w:pPr>
            <w:r>
              <w:rPr>
                <w:rFonts w:ascii="宋体" w:hAnsi="宋体" w:eastAsia="宋体" w:cs="宋体"/>
                <w:szCs w:val="21"/>
              </w:rPr>
              <w:t>2</w:t>
            </w:r>
          </w:p>
        </w:tc>
        <w:tc>
          <w:tcPr>
            <w:tcW w:w="3995" w:type="dxa"/>
          </w:tcPr>
          <w:p w14:paraId="039CA140">
            <w:pPr>
              <w:spacing w:before="266" w:line="221" w:lineRule="auto"/>
              <w:jc w:val="center"/>
              <w:rPr>
                <w:rFonts w:ascii="宋体" w:hAnsi="宋体" w:eastAsia="宋体" w:cs="宋体"/>
                <w:color w:val="FF0000"/>
                <w:szCs w:val="21"/>
              </w:rPr>
            </w:pPr>
            <w:r>
              <w:rPr>
                <w:rFonts w:ascii="宋体" w:hAnsi="宋体" w:eastAsia="宋体" w:cs="宋体"/>
                <w:color w:val="FF0000"/>
                <w:spacing w:val="-1"/>
                <w:szCs w:val="21"/>
              </w:rPr>
              <w:t>现场调试、</w:t>
            </w:r>
            <w:r>
              <w:rPr>
                <w:rFonts w:ascii="宋体" w:hAnsi="宋体" w:eastAsia="宋体" w:cs="宋体"/>
                <w:color w:val="FF0000"/>
                <w:szCs w:val="21"/>
              </w:rPr>
              <w:t>试车</w:t>
            </w:r>
          </w:p>
        </w:tc>
        <w:tc>
          <w:tcPr>
            <w:tcW w:w="1241" w:type="dxa"/>
          </w:tcPr>
          <w:p w14:paraId="0B9813D5">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14:paraId="1EBC8D8E">
            <w:pPr>
              <w:spacing w:before="266" w:line="221" w:lineRule="auto"/>
              <w:jc w:val="center"/>
              <w:rPr>
                <w:rFonts w:ascii="宋体" w:hAnsi="宋体" w:eastAsia="宋体" w:cs="宋体"/>
                <w:spacing w:val="-2"/>
                <w:szCs w:val="21"/>
              </w:rPr>
            </w:pPr>
          </w:p>
        </w:tc>
        <w:tc>
          <w:tcPr>
            <w:tcW w:w="2699" w:type="dxa"/>
          </w:tcPr>
          <w:p w14:paraId="02AFF8ED">
            <w:pPr>
              <w:rPr>
                <w:rFonts w:ascii="Arial"/>
              </w:rPr>
            </w:pPr>
          </w:p>
        </w:tc>
        <w:tc>
          <w:tcPr>
            <w:tcW w:w="3668" w:type="dxa"/>
          </w:tcPr>
          <w:p w14:paraId="75949EA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663E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83" w:type="dxa"/>
          </w:tcPr>
          <w:p w14:paraId="6080B515">
            <w:pPr>
              <w:spacing w:before="301" w:line="185" w:lineRule="auto"/>
              <w:ind w:left="427"/>
              <w:rPr>
                <w:rFonts w:ascii="宋体" w:hAnsi="宋体" w:eastAsia="宋体" w:cs="宋体"/>
                <w:szCs w:val="21"/>
              </w:rPr>
            </w:pPr>
            <w:r>
              <w:rPr>
                <w:rFonts w:hint="eastAsia" w:ascii="宋体" w:hAnsi="宋体" w:eastAsia="宋体" w:cs="宋体"/>
                <w:szCs w:val="21"/>
              </w:rPr>
              <w:t>3</w:t>
            </w:r>
          </w:p>
        </w:tc>
        <w:tc>
          <w:tcPr>
            <w:tcW w:w="3995" w:type="dxa"/>
          </w:tcPr>
          <w:p w14:paraId="3F9E94E8">
            <w:pPr>
              <w:spacing w:before="266" w:line="221" w:lineRule="auto"/>
              <w:jc w:val="center"/>
              <w:rPr>
                <w:rFonts w:ascii="宋体" w:hAnsi="宋体" w:eastAsia="宋体" w:cs="宋体"/>
                <w:color w:val="FF0000"/>
                <w:szCs w:val="21"/>
              </w:rPr>
            </w:pPr>
            <w:r>
              <w:rPr>
                <w:rFonts w:hint="eastAsia" w:ascii="宋体" w:hAnsi="宋体" w:eastAsia="宋体" w:cs="宋体"/>
                <w:color w:val="FF0000"/>
                <w:szCs w:val="21"/>
              </w:rPr>
              <w:t>现场技术支持解决技术难题</w:t>
            </w:r>
          </w:p>
        </w:tc>
        <w:tc>
          <w:tcPr>
            <w:tcW w:w="1241" w:type="dxa"/>
          </w:tcPr>
          <w:p w14:paraId="061A910C">
            <w:pPr>
              <w:spacing w:before="266" w:line="221" w:lineRule="auto"/>
              <w:jc w:val="center"/>
              <w:rPr>
                <w:rFonts w:ascii="宋体" w:hAnsi="宋体" w:eastAsia="宋体" w:cs="宋体"/>
                <w:spacing w:val="-2"/>
                <w:szCs w:val="21"/>
              </w:rPr>
            </w:pPr>
            <w:r>
              <w:rPr>
                <w:rFonts w:hint="eastAsia" w:ascii="宋体" w:hAnsi="宋体" w:eastAsia="宋体" w:cs="宋体"/>
                <w:spacing w:val="-1"/>
                <w:szCs w:val="21"/>
              </w:rPr>
              <w:t>人▪</w:t>
            </w:r>
            <w:r>
              <w:rPr>
                <w:rFonts w:ascii="宋体" w:hAnsi="宋体" w:eastAsia="宋体" w:cs="宋体"/>
                <w:spacing w:val="-1"/>
                <w:szCs w:val="21"/>
              </w:rPr>
              <w:t>天</w:t>
            </w:r>
          </w:p>
        </w:tc>
        <w:tc>
          <w:tcPr>
            <w:tcW w:w="1255" w:type="dxa"/>
          </w:tcPr>
          <w:p w14:paraId="73565D47">
            <w:pPr>
              <w:spacing w:before="266" w:line="221" w:lineRule="auto"/>
              <w:jc w:val="center"/>
              <w:rPr>
                <w:rFonts w:ascii="宋体" w:hAnsi="宋体" w:eastAsia="宋体" w:cs="宋体"/>
                <w:spacing w:val="-2"/>
                <w:szCs w:val="21"/>
              </w:rPr>
            </w:pPr>
          </w:p>
        </w:tc>
        <w:tc>
          <w:tcPr>
            <w:tcW w:w="2699" w:type="dxa"/>
          </w:tcPr>
          <w:p w14:paraId="20845F20">
            <w:pPr>
              <w:rPr>
                <w:rFonts w:ascii="Arial"/>
              </w:rPr>
            </w:pPr>
          </w:p>
        </w:tc>
        <w:tc>
          <w:tcPr>
            <w:tcW w:w="3668" w:type="dxa"/>
          </w:tcPr>
          <w:p w14:paraId="1AFE32C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95E7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3" w:type="dxa"/>
          </w:tcPr>
          <w:p w14:paraId="5DFB6D45">
            <w:pPr>
              <w:spacing w:before="306" w:line="182" w:lineRule="auto"/>
              <w:ind w:left="432"/>
              <w:rPr>
                <w:rFonts w:ascii="宋体" w:hAnsi="宋体" w:eastAsia="宋体" w:cs="宋体"/>
                <w:szCs w:val="21"/>
              </w:rPr>
            </w:pPr>
            <w:r>
              <w:rPr>
                <w:rFonts w:hint="eastAsia" w:ascii="宋体" w:hAnsi="宋体" w:eastAsia="宋体" w:cs="宋体"/>
                <w:szCs w:val="21"/>
              </w:rPr>
              <w:t>4</w:t>
            </w:r>
          </w:p>
        </w:tc>
        <w:tc>
          <w:tcPr>
            <w:tcW w:w="3995" w:type="dxa"/>
          </w:tcPr>
          <w:p w14:paraId="46BD8F5C">
            <w:pPr>
              <w:spacing w:before="268" w:line="221" w:lineRule="auto"/>
              <w:jc w:val="center"/>
              <w:rPr>
                <w:rFonts w:ascii="宋体" w:hAnsi="宋体" w:eastAsia="宋体" w:cs="宋体"/>
                <w:color w:val="FF0000"/>
                <w:szCs w:val="21"/>
              </w:rPr>
            </w:pPr>
            <w:r>
              <w:rPr>
                <w:rFonts w:hint="eastAsia" w:ascii="宋体" w:hAnsi="宋体" w:eastAsia="宋体" w:cs="宋体"/>
                <w:color w:val="FF0000"/>
                <w:szCs w:val="21"/>
                <w:lang w:bidi="ar"/>
              </w:rPr>
              <w:t>企业管理费</w:t>
            </w:r>
          </w:p>
        </w:tc>
        <w:tc>
          <w:tcPr>
            <w:tcW w:w="1241" w:type="dxa"/>
          </w:tcPr>
          <w:p w14:paraId="78CA47C7">
            <w:pPr>
              <w:spacing w:before="266" w:line="221" w:lineRule="auto"/>
              <w:jc w:val="center"/>
              <w:rPr>
                <w:rFonts w:ascii="宋体" w:hAnsi="宋体" w:eastAsia="宋体" w:cs="宋体"/>
                <w:spacing w:val="-2"/>
                <w:szCs w:val="21"/>
              </w:rPr>
            </w:pPr>
          </w:p>
        </w:tc>
        <w:tc>
          <w:tcPr>
            <w:tcW w:w="1255" w:type="dxa"/>
          </w:tcPr>
          <w:p w14:paraId="32724FED">
            <w:pPr>
              <w:spacing w:before="266" w:line="221" w:lineRule="auto"/>
              <w:jc w:val="center"/>
              <w:rPr>
                <w:rFonts w:ascii="宋体" w:hAnsi="宋体" w:eastAsia="宋体" w:cs="宋体"/>
                <w:spacing w:val="-2"/>
                <w:szCs w:val="21"/>
              </w:rPr>
            </w:pPr>
          </w:p>
        </w:tc>
        <w:tc>
          <w:tcPr>
            <w:tcW w:w="2699" w:type="dxa"/>
          </w:tcPr>
          <w:p w14:paraId="402F50EA">
            <w:pPr>
              <w:rPr>
                <w:rFonts w:ascii="Arial"/>
              </w:rPr>
            </w:pPr>
          </w:p>
        </w:tc>
        <w:tc>
          <w:tcPr>
            <w:tcW w:w="3668" w:type="dxa"/>
          </w:tcPr>
          <w:p w14:paraId="5BAEAEA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108E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3" w:type="dxa"/>
          </w:tcPr>
          <w:p w14:paraId="0BCED8A2">
            <w:pPr>
              <w:spacing w:before="306" w:line="182" w:lineRule="auto"/>
              <w:ind w:left="432"/>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995" w:type="dxa"/>
          </w:tcPr>
          <w:p w14:paraId="69EEDBB5">
            <w:pPr>
              <w:spacing w:before="268" w:line="221" w:lineRule="auto"/>
              <w:jc w:val="center"/>
              <w:rPr>
                <w:rFonts w:hint="eastAsia" w:ascii="宋体" w:hAnsi="宋体" w:eastAsia="宋体" w:cs="宋体"/>
                <w:color w:val="FF0000"/>
                <w:szCs w:val="21"/>
                <w:lang w:val="en-US" w:eastAsia="zh-CN" w:bidi="ar"/>
              </w:rPr>
            </w:pPr>
            <w:r>
              <w:rPr>
                <w:rFonts w:hint="eastAsia" w:ascii="宋体" w:hAnsi="宋体" w:eastAsia="宋体" w:cs="宋体"/>
                <w:color w:val="FF0000"/>
                <w:szCs w:val="21"/>
                <w:lang w:val="en-US" w:eastAsia="zh-CN" w:bidi="ar"/>
              </w:rPr>
              <w:t>设计费</w:t>
            </w:r>
          </w:p>
        </w:tc>
        <w:tc>
          <w:tcPr>
            <w:tcW w:w="1241" w:type="dxa"/>
          </w:tcPr>
          <w:p w14:paraId="5F364E92">
            <w:pPr>
              <w:spacing w:before="266" w:line="221" w:lineRule="auto"/>
              <w:jc w:val="center"/>
              <w:rPr>
                <w:rFonts w:ascii="宋体" w:hAnsi="宋体" w:eastAsia="宋体" w:cs="宋体"/>
                <w:spacing w:val="-2"/>
                <w:szCs w:val="21"/>
              </w:rPr>
            </w:pPr>
          </w:p>
        </w:tc>
        <w:tc>
          <w:tcPr>
            <w:tcW w:w="1255" w:type="dxa"/>
          </w:tcPr>
          <w:p w14:paraId="662B0891">
            <w:pPr>
              <w:spacing w:before="266" w:line="221" w:lineRule="auto"/>
              <w:jc w:val="center"/>
              <w:rPr>
                <w:rFonts w:ascii="宋体" w:hAnsi="宋体" w:eastAsia="宋体" w:cs="宋体"/>
                <w:spacing w:val="-2"/>
                <w:szCs w:val="21"/>
              </w:rPr>
            </w:pPr>
          </w:p>
        </w:tc>
        <w:tc>
          <w:tcPr>
            <w:tcW w:w="2699" w:type="dxa"/>
          </w:tcPr>
          <w:p w14:paraId="1DCABCC6">
            <w:pPr>
              <w:rPr>
                <w:rFonts w:ascii="Arial"/>
              </w:rPr>
            </w:pPr>
          </w:p>
        </w:tc>
        <w:tc>
          <w:tcPr>
            <w:tcW w:w="3668" w:type="dxa"/>
          </w:tcPr>
          <w:p w14:paraId="187675F5">
            <w:pPr>
              <w:spacing w:before="266" w:line="221" w:lineRule="auto"/>
              <w:jc w:val="center"/>
              <w:rPr>
                <w:rFonts w:ascii="宋体" w:hAnsi="宋体" w:eastAsia="宋体" w:cs="宋体"/>
                <w:spacing w:val="-1"/>
                <w:szCs w:val="21"/>
              </w:rPr>
            </w:pPr>
          </w:p>
        </w:tc>
      </w:tr>
      <w:tr w14:paraId="4680B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 w:hRule="atLeast"/>
        </w:trPr>
        <w:tc>
          <w:tcPr>
            <w:tcW w:w="783" w:type="dxa"/>
          </w:tcPr>
          <w:p w14:paraId="0B38A8C3">
            <w:pPr>
              <w:spacing w:before="306" w:line="182" w:lineRule="auto"/>
              <w:ind w:left="432"/>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3995" w:type="dxa"/>
          </w:tcPr>
          <w:p w14:paraId="3FE83E86">
            <w:pPr>
              <w:spacing w:before="268" w:line="221" w:lineRule="auto"/>
              <w:jc w:val="center"/>
              <w:rPr>
                <w:rFonts w:ascii="宋体" w:hAnsi="宋体" w:eastAsia="宋体" w:cs="宋体"/>
                <w:color w:val="FF0000"/>
                <w:spacing w:val="15"/>
                <w:szCs w:val="21"/>
              </w:rPr>
            </w:pPr>
            <w:r>
              <w:rPr>
                <w:rFonts w:hint="eastAsia" w:ascii="宋体" w:hAnsi="宋体" w:eastAsia="宋体" w:cs="宋体"/>
                <w:color w:val="FF0000"/>
                <w:szCs w:val="21"/>
                <w:lang w:bidi="ar"/>
              </w:rPr>
              <w:t>检验检测费</w:t>
            </w:r>
          </w:p>
        </w:tc>
        <w:tc>
          <w:tcPr>
            <w:tcW w:w="1241" w:type="dxa"/>
          </w:tcPr>
          <w:p w14:paraId="710BE04F">
            <w:pPr>
              <w:spacing w:before="266" w:line="221" w:lineRule="auto"/>
              <w:jc w:val="center"/>
              <w:rPr>
                <w:rFonts w:ascii="宋体" w:hAnsi="宋体" w:eastAsia="宋体" w:cs="宋体"/>
                <w:spacing w:val="-2"/>
                <w:szCs w:val="21"/>
              </w:rPr>
            </w:pPr>
          </w:p>
        </w:tc>
        <w:tc>
          <w:tcPr>
            <w:tcW w:w="1255" w:type="dxa"/>
          </w:tcPr>
          <w:p w14:paraId="54489DB1">
            <w:pPr>
              <w:spacing w:before="266" w:line="221" w:lineRule="auto"/>
              <w:jc w:val="center"/>
              <w:rPr>
                <w:rFonts w:ascii="宋体" w:hAnsi="宋体" w:eastAsia="宋体" w:cs="宋体"/>
                <w:spacing w:val="-2"/>
                <w:szCs w:val="21"/>
              </w:rPr>
            </w:pPr>
          </w:p>
        </w:tc>
        <w:tc>
          <w:tcPr>
            <w:tcW w:w="2699" w:type="dxa"/>
          </w:tcPr>
          <w:p w14:paraId="496F7A73">
            <w:pPr>
              <w:rPr>
                <w:rFonts w:ascii="Arial"/>
              </w:rPr>
            </w:pPr>
          </w:p>
        </w:tc>
        <w:tc>
          <w:tcPr>
            <w:tcW w:w="3668" w:type="dxa"/>
          </w:tcPr>
          <w:p w14:paraId="7D2AE2BB">
            <w:pPr>
              <w:spacing w:before="266" w:line="221" w:lineRule="auto"/>
              <w:jc w:val="center"/>
              <w:rPr>
                <w:rFonts w:ascii="宋体" w:hAnsi="宋体" w:eastAsia="宋体" w:cs="宋体"/>
                <w:spacing w:val="-1"/>
                <w:szCs w:val="21"/>
              </w:rPr>
            </w:pPr>
          </w:p>
        </w:tc>
      </w:tr>
      <w:tr w14:paraId="1BF17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83" w:type="dxa"/>
          </w:tcPr>
          <w:p w14:paraId="6C82045F">
            <w:pPr>
              <w:spacing w:before="306" w:line="182" w:lineRule="auto"/>
              <w:ind w:left="432"/>
              <w:rPr>
                <w:rFonts w:ascii="宋体" w:hAnsi="宋体" w:eastAsia="宋体" w:cs="宋体"/>
                <w:szCs w:val="21"/>
              </w:rPr>
            </w:pPr>
          </w:p>
        </w:tc>
        <w:tc>
          <w:tcPr>
            <w:tcW w:w="3995" w:type="dxa"/>
          </w:tcPr>
          <w:p w14:paraId="085C1916">
            <w:pPr>
              <w:spacing w:before="268" w:line="221" w:lineRule="auto"/>
              <w:jc w:val="center"/>
              <w:rPr>
                <w:rFonts w:ascii="宋体" w:hAnsi="宋体" w:eastAsia="宋体" w:cs="宋体"/>
                <w:color w:val="FF0000"/>
                <w:spacing w:val="15"/>
                <w:szCs w:val="21"/>
              </w:rPr>
            </w:pPr>
            <w:r>
              <w:rPr>
                <w:rFonts w:ascii="宋体" w:hAnsi="宋体" w:eastAsia="宋体" w:cs="宋体"/>
                <w:color w:val="FF0000"/>
                <w:spacing w:val="-1"/>
                <w:szCs w:val="21"/>
              </w:rPr>
              <w:t>.......以上不足之处请往下添加序号自行补充</w:t>
            </w:r>
          </w:p>
        </w:tc>
        <w:tc>
          <w:tcPr>
            <w:tcW w:w="1241" w:type="dxa"/>
          </w:tcPr>
          <w:p w14:paraId="65E079E7">
            <w:pPr>
              <w:spacing w:before="266" w:line="221" w:lineRule="auto"/>
              <w:jc w:val="center"/>
              <w:rPr>
                <w:rFonts w:ascii="宋体" w:hAnsi="宋体" w:eastAsia="宋体" w:cs="宋体"/>
                <w:spacing w:val="-2"/>
                <w:szCs w:val="21"/>
              </w:rPr>
            </w:pPr>
          </w:p>
        </w:tc>
        <w:tc>
          <w:tcPr>
            <w:tcW w:w="1255" w:type="dxa"/>
          </w:tcPr>
          <w:p w14:paraId="0E2BC1C9">
            <w:pPr>
              <w:spacing w:before="266" w:line="221" w:lineRule="auto"/>
              <w:jc w:val="center"/>
              <w:rPr>
                <w:rFonts w:ascii="宋体" w:hAnsi="宋体" w:eastAsia="宋体" w:cs="宋体"/>
                <w:spacing w:val="-2"/>
                <w:szCs w:val="21"/>
              </w:rPr>
            </w:pPr>
          </w:p>
        </w:tc>
        <w:tc>
          <w:tcPr>
            <w:tcW w:w="2699" w:type="dxa"/>
          </w:tcPr>
          <w:p w14:paraId="788AAF57">
            <w:pPr>
              <w:rPr>
                <w:rFonts w:ascii="Arial"/>
              </w:rPr>
            </w:pPr>
          </w:p>
        </w:tc>
        <w:tc>
          <w:tcPr>
            <w:tcW w:w="3668" w:type="dxa"/>
          </w:tcPr>
          <w:p w14:paraId="172AFA63">
            <w:pPr>
              <w:spacing w:before="266" w:line="221" w:lineRule="auto"/>
              <w:jc w:val="center"/>
              <w:rPr>
                <w:rFonts w:ascii="宋体" w:hAnsi="宋体" w:eastAsia="宋体" w:cs="宋体"/>
                <w:spacing w:val="-1"/>
                <w:szCs w:val="21"/>
              </w:rPr>
            </w:pPr>
          </w:p>
        </w:tc>
      </w:tr>
      <w:tr w14:paraId="41D5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vAlign w:val="center"/>
          </w:tcPr>
          <w:p w14:paraId="3235F12B">
            <w:pPr>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lang w:val="en-US" w:eastAsia="zh-CN"/>
              </w:rPr>
              <w:t>小计</w:t>
            </w:r>
          </w:p>
        </w:tc>
        <w:tc>
          <w:tcPr>
            <w:tcW w:w="6367" w:type="dxa"/>
            <w:gridSpan w:val="2"/>
            <w:vAlign w:val="center"/>
          </w:tcPr>
          <w:p w14:paraId="1F94C472">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20806D05">
            <w:pPr>
              <w:jc w:val="left"/>
              <w:rPr>
                <w:rFonts w:hint="eastAsia"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发标日（2025年4月**日）汇率：</w:t>
            </w:r>
            <w:r>
              <w:rPr>
                <w:rFonts w:hint="eastAsia" w:ascii="宋体" w:hAnsi="宋体" w:eastAsia="宋体" w:cs="宋体"/>
                <w:b/>
                <w:bCs/>
                <w:szCs w:val="21"/>
                <w:u w:val="single"/>
                <w:lang w:val="en-US" w:eastAsia="zh-CN"/>
              </w:rPr>
              <w:t xml:space="preserve">     </w:t>
            </w:r>
          </w:p>
          <w:p w14:paraId="43691093">
            <w:pPr>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14:paraId="2C6BF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tcPr>
          <w:p w14:paraId="0F9C4BC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6367" w:type="dxa"/>
            <w:gridSpan w:val="2"/>
          </w:tcPr>
          <w:p w14:paraId="2F2232F3">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19F4D4F5">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9CB7BB9">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25DF092">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A7B765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23FC38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09E7C5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3C044D0"/>
    <w:p w14:paraId="32675C30">
      <w:pPr>
        <w:pStyle w:val="17"/>
      </w:pPr>
    </w:p>
    <w:p w14:paraId="78C75840">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222034A9">
      <w:pPr>
        <w:spacing w:before="35" w:line="239" w:lineRule="auto"/>
        <w:ind w:left="724"/>
        <w:rPr>
          <w:rFonts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14:paraId="49E024D8">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45368731">
      <w:pPr>
        <w:spacing w:before="125" w:line="294" w:lineRule="auto"/>
        <w:ind w:left="6150" w:right="1626" w:hanging="4500"/>
        <w:jc w:val="center"/>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222984E">
      <w:pPr>
        <w:spacing w:line="220" w:lineRule="auto"/>
        <w:ind w:left="1"/>
        <w:jc w:val="right"/>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14:paraId="4C8F7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70E01E6F">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7A443F3">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72B6EA05">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7E717D8C">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940" w:type="dxa"/>
          </w:tcPr>
          <w:p w14:paraId="09DC514D">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770" w:type="dxa"/>
          </w:tcPr>
          <w:p w14:paraId="725E7582">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88" w:type="dxa"/>
          </w:tcPr>
          <w:p w14:paraId="3695A55A">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03C758F">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5ECD8DCA">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024F7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14:paraId="132D57C7">
            <w:pPr>
              <w:spacing w:before="146" w:line="211" w:lineRule="auto"/>
              <w:ind w:left="89"/>
              <w:rPr>
                <w:rFonts w:ascii="宋体" w:hAnsi="宋体" w:eastAsia="宋体" w:cs="宋体"/>
                <w:szCs w:val="21"/>
              </w:rPr>
            </w:pPr>
            <w:r>
              <w:rPr>
                <w:rFonts w:ascii="宋体" w:hAnsi="宋体" w:eastAsia="宋体" w:cs="宋体"/>
                <w:spacing w:val="4"/>
                <w:szCs w:val="21"/>
                <w14:textOutline w14:w="3835" w14:cap="flat" w14:cmpd="sng" w14:algn="ctr">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5" w14:cap="flat" w14:cmpd="sng" w14:algn="ctr">
                  <w14:solidFill>
                    <w14:srgbClr w14:val="000000"/>
                  </w14:solidFill>
                  <w14:prstDash w14:val="solid"/>
                  <w14:miter w14:val="0"/>
                </w14:textOutline>
              </w:rPr>
              <w:t>号</w:t>
            </w:r>
          </w:p>
        </w:tc>
        <w:tc>
          <w:tcPr>
            <w:tcW w:w="2543" w:type="dxa"/>
          </w:tcPr>
          <w:p w14:paraId="6F4B711C">
            <w:pPr>
              <w:spacing w:before="252" w:line="221" w:lineRule="auto"/>
              <w:ind w:left="53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ascii="宋体" w:hAnsi="宋体" w:eastAsia="宋体" w:cs="宋体"/>
                <w:szCs w:val="21"/>
                <w14:textOutline w14:w="3835" w14:cap="flat" w14:cmpd="sng" w14:algn="ctr">
                  <w14:solidFill>
                    <w14:srgbClr w14:val="000000"/>
                  </w14:solidFill>
                  <w14:prstDash w14:val="solid"/>
                  <w14:miter w14:val="0"/>
                </w14:textOutline>
              </w:rPr>
              <w:t>工具名称</w:t>
            </w:r>
          </w:p>
        </w:tc>
        <w:tc>
          <w:tcPr>
            <w:tcW w:w="2100" w:type="dxa"/>
          </w:tcPr>
          <w:p w14:paraId="3B9C5EFD">
            <w:pPr>
              <w:spacing w:before="252" w:line="221" w:lineRule="auto"/>
              <w:ind w:left="534"/>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tcPr>
          <w:p w14:paraId="4D5F0710">
            <w:pPr>
              <w:spacing w:before="252" w:line="221" w:lineRule="auto"/>
              <w:ind w:left="21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1940" w:type="dxa"/>
          </w:tcPr>
          <w:p w14:paraId="24B2313A">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原产地</w:t>
            </w:r>
            <w:r>
              <w:rPr>
                <w:rFonts w:ascii="宋体" w:hAnsi="宋体" w:eastAsia="宋体" w:cs="宋体"/>
                <w:spacing w:val="-1"/>
                <w:position w:val="8"/>
                <w:szCs w:val="21"/>
                <w14:textOutline w14:w="3835" w14:cap="flat" w14:cmpd="sng" w14:algn="ctr">
                  <w14:solidFill>
                    <w14:srgbClr w14:val="000000"/>
                  </w14:solidFill>
                  <w14:prstDash w14:val="solid"/>
                  <w14:miter w14:val="0"/>
                </w14:textOutline>
              </w:rPr>
              <w:t>和</w:t>
            </w:r>
          </w:p>
          <w:p w14:paraId="395D75A2">
            <w:pPr>
              <w:spacing w:line="221" w:lineRule="auto"/>
              <w:ind w:left="59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ascii="宋体" w:hAnsi="宋体" w:eastAsia="宋体" w:cs="宋体"/>
                <w:szCs w:val="21"/>
                <w14:textOutline w14:w="3835" w14:cap="flat" w14:cmpd="sng" w14:algn="ctr">
                  <w14:solidFill>
                    <w14:srgbClr w14:val="000000"/>
                  </w14:solidFill>
                  <w14:prstDash w14:val="solid"/>
                  <w14:miter w14:val="0"/>
                </w14:textOutline>
              </w:rPr>
              <w:t>名称</w:t>
            </w:r>
          </w:p>
        </w:tc>
        <w:tc>
          <w:tcPr>
            <w:tcW w:w="1770" w:type="dxa"/>
          </w:tcPr>
          <w:p w14:paraId="20406AC2">
            <w:pPr>
              <w:spacing w:before="90" w:line="219"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14:paraId="32EF41CD">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1888" w:type="dxa"/>
          </w:tcPr>
          <w:p w14:paraId="3D12F5CB">
            <w:pPr>
              <w:spacing w:before="90" w:line="219" w:lineRule="auto"/>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ascii="宋体" w:hAnsi="宋体" w:eastAsia="宋体" w:cs="宋体"/>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14:paraId="03C5060E">
            <w:pPr>
              <w:spacing w:before="77" w:line="221" w:lineRule="auto"/>
              <w:ind w:left="747"/>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120" w:type="dxa"/>
          </w:tcPr>
          <w:p w14:paraId="0C197006">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5" w14:cap="flat" w14:cmpd="sng" w14:algn="ctr">
                  <w14:solidFill>
                    <w14:srgbClr w14:val="000000"/>
                  </w14:solidFill>
                  <w14:prstDash w14:val="solid"/>
                  <w14:miter w14:val="0"/>
                </w14:textOutline>
              </w:rPr>
              <w:t>更</w:t>
            </w: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换</w:t>
            </w:r>
          </w:p>
          <w:p w14:paraId="74546075">
            <w:pPr>
              <w:spacing w:line="221" w:lineRule="auto"/>
              <w:ind w:left="358"/>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周期</w:t>
            </w:r>
          </w:p>
        </w:tc>
        <w:tc>
          <w:tcPr>
            <w:tcW w:w="1125" w:type="dxa"/>
          </w:tcPr>
          <w:p w14:paraId="57007A73">
            <w:pPr>
              <w:spacing w:before="253" w:line="222" w:lineRule="auto"/>
              <w:ind w:left="252"/>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14:paraId="1F756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09" w:type="dxa"/>
            <w:vAlign w:val="center"/>
          </w:tcPr>
          <w:p w14:paraId="524CB2DA">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14:paraId="739B3C8F">
            <w:pPr>
              <w:pStyle w:val="128"/>
              <w:spacing w:before="60" w:after="60"/>
              <w:jc w:val="center"/>
              <w:rPr>
                <w:rFonts w:ascii="宋体" w:hAnsi="宋体" w:eastAsia="宋体" w:cs="宋体"/>
                <w:color w:val="FF0000"/>
                <w:szCs w:val="21"/>
              </w:rPr>
            </w:pPr>
          </w:p>
        </w:tc>
        <w:tc>
          <w:tcPr>
            <w:tcW w:w="2100" w:type="dxa"/>
            <w:vAlign w:val="center"/>
          </w:tcPr>
          <w:p w14:paraId="7DDEECEC">
            <w:pPr>
              <w:jc w:val="center"/>
              <w:rPr>
                <w:rFonts w:ascii="Arial"/>
                <w:color w:val="FF0000"/>
              </w:rPr>
            </w:pPr>
          </w:p>
        </w:tc>
        <w:tc>
          <w:tcPr>
            <w:tcW w:w="840" w:type="dxa"/>
            <w:vAlign w:val="center"/>
          </w:tcPr>
          <w:p w14:paraId="632995B3">
            <w:pPr>
              <w:spacing w:line="360" w:lineRule="auto"/>
              <w:jc w:val="center"/>
              <w:textAlignment w:val="center"/>
              <w:rPr>
                <w:rFonts w:ascii="宋体" w:hAnsi="宋体" w:eastAsia="宋体" w:cs="宋体"/>
                <w:szCs w:val="21"/>
              </w:rPr>
            </w:pPr>
          </w:p>
        </w:tc>
        <w:tc>
          <w:tcPr>
            <w:tcW w:w="1940" w:type="dxa"/>
          </w:tcPr>
          <w:p w14:paraId="26A7D1D1">
            <w:pPr>
              <w:rPr>
                <w:rFonts w:ascii="Arial"/>
              </w:rPr>
            </w:pPr>
          </w:p>
        </w:tc>
        <w:tc>
          <w:tcPr>
            <w:tcW w:w="1770" w:type="dxa"/>
          </w:tcPr>
          <w:p w14:paraId="34CEE072"/>
        </w:tc>
        <w:tc>
          <w:tcPr>
            <w:tcW w:w="1888" w:type="dxa"/>
          </w:tcPr>
          <w:p w14:paraId="79EDBD1C">
            <w:pPr>
              <w:rPr>
                <w:rFonts w:ascii="Arial"/>
              </w:rPr>
            </w:pPr>
          </w:p>
        </w:tc>
        <w:tc>
          <w:tcPr>
            <w:tcW w:w="1120" w:type="dxa"/>
          </w:tcPr>
          <w:p w14:paraId="5B5B5B00">
            <w:pPr>
              <w:rPr>
                <w:rFonts w:ascii="Arial"/>
              </w:rPr>
            </w:pPr>
          </w:p>
        </w:tc>
        <w:tc>
          <w:tcPr>
            <w:tcW w:w="1125" w:type="dxa"/>
          </w:tcPr>
          <w:p w14:paraId="4898A1EC">
            <w:pPr>
              <w:rPr>
                <w:rFonts w:ascii="Arial"/>
              </w:rPr>
            </w:pPr>
          </w:p>
        </w:tc>
      </w:tr>
      <w:tr w14:paraId="10E05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8" w:hRule="atLeast"/>
        </w:trPr>
        <w:tc>
          <w:tcPr>
            <w:tcW w:w="509" w:type="dxa"/>
            <w:vAlign w:val="center"/>
          </w:tcPr>
          <w:p w14:paraId="580D1E52">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14:paraId="7984F055">
            <w:pPr>
              <w:pStyle w:val="128"/>
              <w:spacing w:before="60" w:after="60"/>
              <w:rPr>
                <w:rFonts w:ascii="宋体" w:hAnsi="宋体" w:eastAsia="宋体" w:cs="宋体"/>
                <w:color w:val="FF0000"/>
                <w:szCs w:val="21"/>
              </w:rPr>
            </w:pPr>
          </w:p>
        </w:tc>
        <w:tc>
          <w:tcPr>
            <w:tcW w:w="2100" w:type="dxa"/>
            <w:vAlign w:val="center"/>
          </w:tcPr>
          <w:p w14:paraId="654D5FB6">
            <w:pPr>
              <w:jc w:val="center"/>
              <w:rPr>
                <w:rFonts w:ascii="Arial"/>
                <w:color w:val="FF0000"/>
              </w:rPr>
            </w:pPr>
          </w:p>
        </w:tc>
        <w:tc>
          <w:tcPr>
            <w:tcW w:w="840" w:type="dxa"/>
            <w:vAlign w:val="center"/>
          </w:tcPr>
          <w:p w14:paraId="2ED5B5F3">
            <w:pPr>
              <w:spacing w:line="360" w:lineRule="auto"/>
              <w:jc w:val="center"/>
              <w:textAlignment w:val="center"/>
              <w:rPr>
                <w:rFonts w:ascii="宋体" w:hAnsi="宋体" w:eastAsia="宋体" w:cs="宋体"/>
                <w:szCs w:val="21"/>
              </w:rPr>
            </w:pPr>
          </w:p>
        </w:tc>
        <w:tc>
          <w:tcPr>
            <w:tcW w:w="1940" w:type="dxa"/>
          </w:tcPr>
          <w:p w14:paraId="730D8925">
            <w:pPr>
              <w:rPr>
                <w:rFonts w:ascii="Arial"/>
              </w:rPr>
            </w:pPr>
          </w:p>
        </w:tc>
        <w:tc>
          <w:tcPr>
            <w:tcW w:w="1770" w:type="dxa"/>
          </w:tcPr>
          <w:p w14:paraId="3A30CD50">
            <w:pPr>
              <w:rPr>
                <w:rFonts w:ascii="Arial"/>
              </w:rPr>
            </w:pPr>
          </w:p>
        </w:tc>
        <w:tc>
          <w:tcPr>
            <w:tcW w:w="1888" w:type="dxa"/>
          </w:tcPr>
          <w:p w14:paraId="09B00D77">
            <w:pPr>
              <w:rPr>
                <w:rFonts w:ascii="Arial"/>
              </w:rPr>
            </w:pPr>
          </w:p>
        </w:tc>
        <w:tc>
          <w:tcPr>
            <w:tcW w:w="1120" w:type="dxa"/>
          </w:tcPr>
          <w:p w14:paraId="26C462F2">
            <w:pPr>
              <w:rPr>
                <w:rFonts w:ascii="Arial"/>
              </w:rPr>
            </w:pPr>
          </w:p>
        </w:tc>
        <w:tc>
          <w:tcPr>
            <w:tcW w:w="1125" w:type="dxa"/>
          </w:tcPr>
          <w:p w14:paraId="10494356">
            <w:pPr>
              <w:rPr>
                <w:rFonts w:ascii="Arial"/>
              </w:rPr>
            </w:pPr>
          </w:p>
        </w:tc>
      </w:tr>
      <w:tr w14:paraId="7E13E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09" w:type="dxa"/>
            <w:vAlign w:val="center"/>
          </w:tcPr>
          <w:p w14:paraId="271A7271">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14:paraId="516962FD">
            <w:pPr>
              <w:pStyle w:val="128"/>
              <w:spacing w:before="60" w:after="60"/>
              <w:rPr>
                <w:rFonts w:ascii="宋体" w:hAnsi="宋体" w:eastAsia="宋体" w:cs="宋体"/>
                <w:color w:val="FF0000"/>
                <w:szCs w:val="21"/>
              </w:rPr>
            </w:pPr>
          </w:p>
        </w:tc>
        <w:tc>
          <w:tcPr>
            <w:tcW w:w="2100" w:type="dxa"/>
            <w:vAlign w:val="center"/>
          </w:tcPr>
          <w:p w14:paraId="5392DC01">
            <w:pPr>
              <w:jc w:val="center"/>
              <w:rPr>
                <w:rFonts w:ascii="Arial"/>
                <w:color w:val="FF0000"/>
              </w:rPr>
            </w:pPr>
          </w:p>
        </w:tc>
        <w:tc>
          <w:tcPr>
            <w:tcW w:w="840" w:type="dxa"/>
            <w:vAlign w:val="center"/>
          </w:tcPr>
          <w:p w14:paraId="5200AD37">
            <w:pPr>
              <w:spacing w:line="360" w:lineRule="auto"/>
              <w:jc w:val="center"/>
              <w:textAlignment w:val="center"/>
              <w:rPr>
                <w:rFonts w:ascii="宋体" w:hAnsi="宋体" w:eastAsia="宋体" w:cs="宋体"/>
                <w:szCs w:val="21"/>
              </w:rPr>
            </w:pPr>
          </w:p>
        </w:tc>
        <w:tc>
          <w:tcPr>
            <w:tcW w:w="1940" w:type="dxa"/>
          </w:tcPr>
          <w:p w14:paraId="0B105773">
            <w:pPr>
              <w:rPr>
                <w:rFonts w:ascii="Arial"/>
              </w:rPr>
            </w:pPr>
          </w:p>
        </w:tc>
        <w:tc>
          <w:tcPr>
            <w:tcW w:w="1770" w:type="dxa"/>
          </w:tcPr>
          <w:p w14:paraId="4785CFC7">
            <w:pPr>
              <w:rPr>
                <w:rFonts w:ascii="Arial"/>
              </w:rPr>
            </w:pPr>
          </w:p>
        </w:tc>
        <w:tc>
          <w:tcPr>
            <w:tcW w:w="1888" w:type="dxa"/>
          </w:tcPr>
          <w:p w14:paraId="1A46FC9A">
            <w:pPr>
              <w:rPr>
                <w:rFonts w:ascii="Arial"/>
              </w:rPr>
            </w:pPr>
          </w:p>
        </w:tc>
        <w:tc>
          <w:tcPr>
            <w:tcW w:w="1120" w:type="dxa"/>
          </w:tcPr>
          <w:p w14:paraId="1AED9735">
            <w:pPr>
              <w:rPr>
                <w:rFonts w:ascii="Arial"/>
              </w:rPr>
            </w:pPr>
          </w:p>
        </w:tc>
        <w:tc>
          <w:tcPr>
            <w:tcW w:w="1125" w:type="dxa"/>
          </w:tcPr>
          <w:p w14:paraId="7A494604">
            <w:pPr>
              <w:rPr>
                <w:rFonts w:ascii="Arial"/>
              </w:rPr>
            </w:pPr>
          </w:p>
        </w:tc>
      </w:tr>
      <w:tr w14:paraId="23F51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09" w:type="dxa"/>
            <w:vAlign w:val="center"/>
          </w:tcPr>
          <w:p w14:paraId="363F5729">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14:paraId="7E7C55BA">
            <w:pPr>
              <w:pStyle w:val="128"/>
              <w:spacing w:before="60" w:after="60"/>
              <w:rPr>
                <w:rFonts w:ascii="宋体" w:hAnsi="宋体" w:eastAsia="宋体" w:cs="宋体"/>
                <w:color w:val="FF0000"/>
                <w:szCs w:val="21"/>
              </w:rPr>
            </w:pPr>
          </w:p>
        </w:tc>
        <w:tc>
          <w:tcPr>
            <w:tcW w:w="2100" w:type="dxa"/>
            <w:vAlign w:val="center"/>
          </w:tcPr>
          <w:p w14:paraId="0A1149C2">
            <w:pPr>
              <w:jc w:val="center"/>
              <w:rPr>
                <w:rFonts w:ascii="Arial"/>
                <w:color w:val="FF0000"/>
              </w:rPr>
            </w:pPr>
          </w:p>
        </w:tc>
        <w:tc>
          <w:tcPr>
            <w:tcW w:w="840" w:type="dxa"/>
            <w:vAlign w:val="center"/>
          </w:tcPr>
          <w:p w14:paraId="3104BFAB">
            <w:pPr>
              <w:spacing w:line="360" w:lineRule="auto"/>
              <w:jc w:val="center"/>
              <w:textAlignment w:val="center"/>
              <w:rPr>
                <w:rFonts w:ascii="宋体" w:hAnsi="宋体" w:eastAsia="宋体" w:cs="宋体"/>
                <w:szCs w:val="21"/>
              </w:rPr>
            </w:pPr>
          </w:p>
        </w:tc>
        <w:tc>
          <w:tcPr>
            <w:tcW w:w="1940" w:type="dxa"/>
          </w:tcPr>
          <w:p w14:paraId="6C4F3078">
            <w:pPr>
              <w:rPr>
                <w:rFonts w:ascii="Arial"/>
              </w:rPr>
            </w:pPr>
          </w:p>
        </w:tc>
        <w:tc>
          <w:tcPr>
            <w:tcW w:w="1770" w:type="dxa"/>
          </w:tcPr>
          <w:p w14:paraId="127488F9">
            <w:pPr>
              <w:rPr>
                <w:rFonts w:ascii="Arial"/>
              </w:rPr>
            </w:pPr>
          </w:p>
        </w:tc>
        <w:tc>
          <w:tcPr>
            <w:tcW w:w="1888" w:type="dxa"/>
          </w:tcPr>
          <w:p w14:paraId="5A3619AC">
            <w:pPr>
              <w:rPr>
                <w:rFonts w:ascii="Arial"/>
              </w:rPr>
            </w:pPr>
          </w:p>
        </w:tc>
        <w:tc>
          <w:tcPr>
            <w:tcW w:w="1120" w:type="dxa"/>
          </w:tcPr>
          <w:p w14:paraId="16BF1E64">
            <w:pPr>
              <w:rPr>
                <w:rFonts w:ascii="Arial"/>
              </w:rPr>
            </w:pPr>
          </w:p>
        </w:tc>
        <w:tc>
          <w:tcPr>
            <w:tcW w:w="1125" w:type="dxa"/>
          </w:tcPr>
          <w:p w14:paraId="65F1B53B">
            <w:pPr>
              <w:rPr>
                <w:rFonts w:ascii="Arial"/>
              </w:rPr>
            </w:pPr>
          </w:p>
        </w:tc>
      </w:tr>
      <w:tr w14:paraId="611E8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2D2CAAD1">
            <w:pPr>
              <w:pStyle w:val="128"/>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vAlign w:val="center"/>
          </w:tcPr>
          <w:p w14:paraId="70365CAC">
            <w:pPr>
              <w:pStyle w:val="128"/>
              <w:spacing w:before="60" w:after="60"/>
              <w:rPr>
                <w:rFonts w:ascii="宋体" w:hAnsi="宋体" w:eastAsia="宋体" w:cs="宋体"/>
                <w:color w:val="FF0000"/>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00" w:type="dxa"/>
            <w:vAlign w:val="center"/>
          </w:tcPr>
          <w:p w14:paraId="16E879FC">
            <w:pPr>
              <w:jc w:val="center"/>
              <w:rPr>
                <w:rFonts w:ascii="Arial"/>
                <w:color w:val="FF0000"/>
              </w:rPr>
            </w:pPr>
          </w:p>
        </w:tc>
        <w:tc>
          <w:tcPr>
            <w:tcW w:w="840" w:type="dxa"/>
            <w:vAlign w:val="center"/>
          </w:tcPr>
          <w:p w14:paraId="0088C4FC">
            <w:pPr>
              <w:spacing w:line="360" w:lineRule="auto"/>
              <w:jc w:val="center"/>
              <w:textAlignment w:val="center"/>
              <w:rPr>
                <w:rFonts w:ascii="宋体" w:hAnsi="宋体" w:eastAsia="宋体" w:cs="宋体"/>
                <w:szCs w:val="21"/>
              </w:rPr>
            </w:pPr>
          </w:p>
        </w:tc>
        <w:tc>
          <w:tcPr>
            <w:tcW w:w="1940" w:type="dxa"/>
          </w:tcPr>
          <w:p w14:paraId="5503DA93">
            <w:pPr>
              <w:rPr>
                <w:rFonts w:ascii="Arial"/>
              </w:rPr>
            </w:pPr>
          </w:p>
        </w:tc>
        <w:tc>
          <w:tcPr>
            <w:tcW w:w="1770" w:type="dxa"/>
          </w:tcPr>
          <w:p w14:paraId="3F35A231"/>
        </w:tc>
        <w:tc>
          <w:tcPr>
            <w:tcW w:w="1888" w:type="dxa"/>
          </w:tcPr>
          <w:p w14:paraId="1AE8DA19">
            <w:pPr>
              <w:rPr>
                <w:rFonts w:ascii="Arial"/>
              </w:rPr>
            </w:pPr>
          </w:p>
        </w:tc>
        <w:tc>
          <w:tcPr>
            <w:tcW w:w="1120" w:type="dxa"/>
          </w:tcPr>
          <w:p w14:paraId="144C6913">
            <w:pPr>
              <w:rPr>
                <w:rFonts w:ascii="Arial"/>
              </w:rPr>
            </w:pPr>
          </w:p>
        </w:tc>
        <w:tc>
          <w:tcPr>
            <w:tcW w:w="1125" w:type="dxa"/>
          </w:tcPr>
          <w:p w14:paraId="1E7070BF">
            <w:pPr>
              <w:rPr>
                <w:rFonts w:ascii="Arial"/>
              </w:rPr>
            </w:pPr>
          </w:p>
        </w:tc>
      </w:tr>
      <w:tr w14:paraId="23D33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vAlign w:val="center"/>
          </w:tcPr>
          <w:p w14:paraId="70DDC25F">
            <w:pPr>
              <w:jc w:val="center"/>
              <w:rPr>
                <w:rFonts w:ascii="宋体" w:hAnsi="宋体" w:eastAsia="宋体" w:cs="宋体"/>
                <w:spacing w:val="-6"/>
                <w:szCs w:val="21"/>
              </w:rPr>
            </w:pPr>
            <w:r>
              <w:rPr>
                <w:rFonts w:hint="eastAsia" w:ascii="宋体" w:hAnsi="宋体" w:eastAsia="宋体" w:cs="宋体"/>
                <w:spacing w:val="-6"/>
                <w:szCs w:val="21"/>
                <w:lang w:val="en-US" w:eastAsia="zh-CN"/>
              </w:rPr>
              <w:t>小计</w:t>
            </w:r>
          </w:p>
        </w:tc>
        <w:tc>
          <w:tcPr>
            <w:tcW w:w="4133" w:type="dxa"/>
            <w:gridSpan w:val="3"/>
            <w:vAlign w:val="center"/>
          </w:tcPr>
          <w:p w14:paraId="77792B2C">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12F25E94">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发标日（2025年4月**日）汇率：</w:t>
            </w:r>
            <w:r>
              <w:rPr>
                <w:rFonts w:hint="eastAsia" w:ascii="宋体" w:hAnsi="宋体" w:eastAsia="宋体" w:cs="宋体"/>
                <w:b/>
                <w:bCs/>
                <w:szCs w:val="21"/>
                <w:u w:val="single"/>
                <w:lang w:val="en-US" w:eastAsia="zh-CN"/>
              </w:rPr>
              <w:t xml:space="preserve">     </w:t>
            </w:r>
          </w:p>
          <w:p w14:paraId="7F2D184D">
            <w:pPr>
              <w:jc w:val="left"/>
              <w:rPr>
                <w:rFonts w:ascii="宋体" w:hAnsi="宋体" w:eastAsia="宋体" w:cs="宋体"/>
                <w:szCs w:val="21"/>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14:paraId="41115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14:paraId="5EB0A5B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33" w:type="dxa"/>
            <w:gridSpan w:val="3"/>
          </w:tcPr>
          <w:p w14:paraId="03DBFEF8">
            <w:pPr>
              <w:spacing w:before="207"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0329E8CD">
      <w:pPr>
        <w:spacing w:before="69" w:line="219" w:lineRule="auto"/>
        <w:rPr>
          <w:rFonts w:ascii="宋体" w:hAnsi="宋体" w:eastAsia="宋体" w:cs="宋体"/>
          <w:spacing w:val="-3"/>
          <w:szCs w:val="21"/>
        </w:rPr>
      </w:pPr>
    </w:p>
    <w:p w14:paraId="7491A8E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B0B2D58">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B0D4A61">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1E6ACF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762172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096E7B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9082F4A">
      <w:pPr>
        <w:spacing w:before="140" w:line="220" w:lineRule="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18D5F5">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294E8CF">
      <w:pPr>
        <w:spacing w:before="87" w:line="198" w:lineRule="auto"/>
        <w:ind w:left="411"/>
        <w:rPr>
          <w:rFonts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14:paraId="2D4D5A53">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4EFD60AA">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520A782">
      <w:pPr>
        <w:spacing w:before="24" w:line="221" w:lineRule="auto"/>
        <w:ind w:left="211" w:firstLine="416" w:firstLineChars="20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9F0527C">
      <w:pPr>
        <w:spacing w:line="127" w:lineRule="exact"/>
      </w:pPr>
    </w:p>
    <w:tbl>
      <w:tblPr>
        <w:tblStyle w:val="131"/>
        <w:tblW w:w="13785"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8"/>
        <w:gridCol w:w="5765"/>
        <w:gridCol w:w="3354"/>
        <w:gridCol w:w="3128"/>
      </w:tblGrid>
      <w:tr w14:paraId="437F6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538" w:type="dxa"/>
          </w:tcPr>
          <w:p w14:paraId="07FDE42B">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69D61676">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891384A">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128" w:type="dxa"/>
          </w:tcPr>
          <w:p w14:paraId="7643AB70">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1C1A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538" w:type="dxa"/>
          </w:tcPr>
          <w:p w14:paraId="204D1821">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7BB8FEA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A07FA9E">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3D41E814">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14:paraId="420EB937">
            <w:pPr>
              <w:rPr>
                <w:rFonts w:hint="eastAsia" w:ascii="Arial"/>
                <w:lang w:val="en-US" w:eastAsia="zh-CN"/>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14:paraId="24C34869">
            <w:pPr>
              <w:rPr>
                <w:rFonts w:ascii="Arial"/>
              </w:rPr>
            </w:pPr>
          </w:p>
        </w:tc>
      </w:tr>
      <w:tr w14:paraId="6FC20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538" w:type="dxa"/>
          </w:tcPr>
          <w:p w14:paraId="3E7CE4B8">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9EEE9CC">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23C59C80">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3DC47E00">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14:paraId="19D4E60F">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14:paraId="7F9C720F">
            <w:pPr>
              <w:rPr>
                <w:rFonts w:ascii="Arial"/>
              </w:rPr>
            </w:pPr>
          </w:p>
        </w:tc>
      </w:tr>
      <w:tr w14:paraId="3D41B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538" w:type="dxa"/>
          </w:tcPr>
          <w:p w14:paraId="761DD599">
            <w:pPr>
              <w:rPr>
                <w:rFonts w:ascii="Arial"/>
              </w:rPr>
            </w:pPr>
          </w:p>
          <w:p w14:paraId="223FB312">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67D3E301">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BE3CC4C">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3AA8D79F">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14:paraId="1DEDEA33">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14:paraId="35D207F3">
            <w:pPr>
              <w:rPr>
                <w:rFonts w:ascii="Arial"/>
              </w:rPr>
            </w:pPr>
          </w:p>
        </w:tc>
      </w:tr>
      <w:tr w14:paraId="795B2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538" w:type="dxa"/>
          </w:tcPr>
          <w:p w14:paraId="4B3403C6">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0AF80EE">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DC494CA">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36D8285E">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14:paraId="2950426B">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14:paraId="7749E147">
            <w:pPr>
              <w:rPr>
                <w:rFonts w:ascii="Arial"/>
              </w:rPr>
            </w:pPr>
          </w:p>
        </w:tc>
      </w:tr>
      <w:tr w14:paraId="34D86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14:paraId="696623A4">
            <w:pPr>
              <w:spacing w:before="266" w:line="221" w:lineRule="auto"/>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小计</w:t>
            </w:r>
          </w:p>
        </w:tc>
        <w:tc>
          <w:tcPr>
            <w:tcW w:w="6482" w:type="dxa"/>
            <w:gridSpan w:val="2"/>
          </w:tcPr>
          <w:p w14:paraId="698FB6B7">
            <w:pPr>
              <w:jc w:val="left"/>
              <w:rPr>
                <w:rFonts w:hint="eastAsia" w:ascii="宋体" w:hAnsi="宋体" w:eastAsia="宋体" w:cs="宋体"/>
                <w:b/>
                <w:bCs/>
                <w:spacing w:val="-3"/>
                <w:szCs w:val="21"/>
                <w:lang w:eastAsia="zh-CN"/>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小</w:t>
            </w:r>
            <w:r>
              <w:rPr>
                <w:rFonts w:ascii="宋体" w:hAnsi="宋体" w:eastAsia="宋体" w:cs="宋体"/>
                <w:spacing w:val="-1"/>
                <w:szCs w:val="21"/>
                <w14:textOutline w14:w="3835" w14:cap="flat" w14:cmpd="sng" w14:algn="ctr">
                  <w14:solidFill>
                    <w14:srgbClr w14:val="000000"/>
                  </w14:solidFill>
                  <w14:prstDash w14:val="solid"/>
                  <w14:miter w14:val="0"/>
                </w14:textOutline>
              </w:rPr>
              <w:t>计</w:t>
            </w:r>
            <w:r>
              <w:rPr>
                <w:rFonts w:hint="eastAsia" w:ascii="宋体" w:hAnsi="宋体" w:eastAsia="宋体" w:cs="宋体"/>
                <w:b/>
                <w:bCs/>
                <w:spacing w:val="-3"/>
                <w:szCs w:val="21"/>
              </w:rPr>
              <w:t>（</w:t>
            </w:r>
            <w:r>
              <w:rPr>
                <w:rFonts w:hint="eastAsia" w:ascii="宋体" w:hAnsi="宋体" w:eastAsia="宋体" w:cs="宋体"/>
                <w:b/>
                <w:bCs/>
                <w:color w:val="FF0000"/>
                <w:spacing w:val="-3"/>
                <w:szCs w:val="21"/>
              </w:rPr>
              <w:t>不含税</w:t>
            </w:r>
            <w:r>
              <w:rPr>
                <w:rFonts w:hint="eastAsia" w:ascii="宋体" w:hAnsi="宋体" w:eastAsia="宋体" w:cs="宋体"/>
                <w:b/>
                <w:bCs/>
                <w:spacing w:val="-3"/>
                <w:szCs w:val="21"/>
              </w:rPr>
              <w:t>）</w:t>
            </w:r>
            <w:r>
              <w:rPr>
                <w:rFonts w:hint="eastAsia" w:ascii="宋体" w:hAnsi="宋体" w:eastAsia="宋体" w:cs="宋体"/>
                <w:b/>
                <w:bCs/>
                <w:spacing w:val="-3"/>
                <w:szCs w:val="21"/>
                <w:lang w:eastAsia="zh-CN"/>
              </w:rPr>
              <w:t>：</w:t>
            </w:r>
          </w:p>
          <w:p w14:paraId="389F8163">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14:paraId="216D81D2">
            <w:pPr>
              <w:jc w:val="left"/>
              <w:rPr>
                <w:rFonts w:hint="eastAsia"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14:paraId="750FF05F">
            <w:pPr>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14:paraId="28273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14:paraId="167BF59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6482" w:type="dxa"/>
            <w:gridSpan w:val="2"/>
          </w:tcPr>
          <w:p w14:paraId="1372FEA7">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w:t>
            </w:r>
            <w:r>
              <w:rPr>
                <w:rFonts w:hint="eastAsia" w:ascii="宋体" w:hAnsi="宋体" w:eastAsia="宋体" w:cs="宋体"/>
                <w:b/>
                <w:bCs/>
                <w:color w:val="FF0000"/>
                <w:szCs w:val="21"/>
              </w:rPr>
              <w:t>含税</w:t>
            </w:r>
            <w:r>
              <w:rPr>
                <w:rFonts w:hint="eastAsia" w:ascii="宋体" w:hAnsi="宋体" w:eastAsia="宋体" w:cs="宋体"/>
                <w:b/>
                <w:bCs/>
                <w:szCs w:val="21"/>
              </w:rPr>
              <w:t>）</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1587F8AD">
      <w:pPr>
        <w:spacing w:line="291" w:lineRule="auto"/>
        <w:rPr>
          <w:rFonts w:ascii="Arial"/>
        </w:rPr>
      </w:pPr>
    </w:p>
    <w:p w14:paraId="64810AF6">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740D751">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7A76B534">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2DA9B95">
      <w:pPr>
        <w:pStyle w:val="17"/>
      </w:pPr>
    </w:p>
    <w:p w14:paraId="09A36BC0">
      <w:pPr>
        <w:pStyle w:val="17"/>
      </w:pPr>
    </w:p>
    <w:p w14:paraId="426A83A2">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12BF4A8">
      <w:pPr>
        <w:sectPr>
          <w:footerReference r:id="rId30" w:type="default"/>
          <w:pgSz w:w="16841" w:h="11907"/>
          <w:pgMar w:top="400" w:right="1699" w:bottom="1168" w:left="1481" w:header="0" w:footer="990" w:gutter="0"/>
          <w:cols w:equalWidth="0" w:num="1">
            <w:col w:w="13660"/>
          </w:cols>
        </w:sectPr>
      </w:pPr>
    </w:p>
    <w:p w14:paraId="3818706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4B1A9747">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6"/>
        <w:gridCol w:w="2830"/>
        <w:gridCol w:w="2885"/>
        <w:gridCol w:w="1645"/>
      </w:tblGrid>
      <w:tr w14:paraId="48E5A4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74F1B96E">
            <w:pPr>
              <w:jc w:val="center"/>
              <w:rPr>
                <w:rFonts w:hint="eastAsia" w:ascii="Times New Roman" w:hAnsi="Times New Roman" w:eastAsia="宋体" w:cs="Times New Roman"/>
                <w:b/>
                <w:szCs w:val="20"/>
                <w:lang w:eastAsia="zh-CN"/>
              </w:rPr>
            </w:pPr>
            <w:r>
              <w:rPr>
                <w:rFonts w:hint="eastAsia" w:ascii="宋体" w:hAnsi="宋体" w:eastAsia="宋体" w:cs="宋体"/>
                <w:b/>
                <w:szCs w:val="20"/>
                <w:lang w:eastAsia="zh-CN"/>
              </w:rPr>
              <w:t>AMT变速箱疲劳寿命试验台项目</w:t>
            </w:r>
          </w:p>
        </w:tc>
        <w:tc>
          <w:tcPr>
            <w:tcW w:w="2830" w:type="dxa"/>
            <w:tcBorders>
              <w:top w:val="single" w:color="auto" w:sz="4" w:space="0"/>
              <w:left w:val="single" w:color="auto" w:sz="4" w:space="0"/>
              <w:bottom w:val="single" w:color="auto" w:sz="4" w:space="0"/>
              <w:right w:val="single" w:color="auto" w:sz="4" w:space="0"/>
            </w:tcBorders>
            <w:vAlign w:val="center"/>
          </w:tcPr>
          <w:p w14:paraId="694424B8">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5F9F45C">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11FA9D2">
            <w:pPr>
              <w:jc w:val="center"/>
              <w:rPr>
                <w:rFonts w:ascii="Times New Roman" w:hAnsi="Times New Roman" w:eastAsia="宋体" w:cs="Times New Roman"/>
                <w:b/>
                <w:szCs w:val="20"/>
              </w:rPr>
            </w:pPr>
            <w:r>
              <w:rPr>
                <w:rFonts w:hint="eastAsia" w:ascii="宋体" w:hAnsi="宋体" w:eastAsia="宋体" w:cs="宋体"/>
                <w:b/>
                <w:szCs w:val="20"/>
              </w:rPr>
              <w:t>是否偏离</w:t>
            </w:r>
          </w:p>
          <w:p w14:paraId="7CDC179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3126B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34DBF519">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30" w:type="dxa"/>
            <w:tcBorders>
              <w:top w:val="single" w:color="auto" w:sz="4" w:space="0"/>
              <w:left w:val="single" w:color="auto" w:sz="4" w:space="0"/>
              <w:bottom w:val="single" w:color="auto" w:sz="4" w:space="0"/>
              <w:right w:val="single" w:color="auto" w:sz="4" w:space="0"/>
            </w:tcBorders>
            <w:vAlign w:val="center"/>
          </w:tcPr>
          <w:p w14:paraId="36D4D50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C12F8B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DDB2228">
            <w:pPr>
              <w:jc w:val="center"/>
              <w:rPr>
                <w:rFonts w:ascii="Times New Roman" w:hAnsi="Times New Roman" w:eastAsia="宋体" w:cs="Times New Roman"/>
                <w:b/>
                <w:szCs w:val="20"/>
              </w:rPr>
            </w:pPr>
          </w:p>
        </w:tc>
      </w:tr>
      <w:tr w14:paraId="6B164F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52484FD3">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30" w:type="dxa"/>
            <w:tcBorders>
              <w:top w:val="single" w:color="auto" w:sz="4" w:space="0"/>
              <w:left w:val="single" w:color="auto" w:sz="4" w:space="0"/>
              <w:bottom w:val="single" w:color="auto" w:sz="4" w:space="0"/>
              <w:right w:val="single" w:color="auto" w:sz="4" w:space="0"/>
            </w:tcBorders>
            <w:vAlign w:val="center"/>
          </w:tcPr>
          <w:p w14:paraId="5DCA7D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00CF9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8204394">
            <w:pPr>
              <w:jc w:val="center"/>
              <w:rPr>
                <w:rFonts w:ascii="Times New Roman" w:hAnsi="Times New Roman" w:eastAsia="宋体" w:cs="Times New Roman"/>
                <w:b/>
                <w:szCs w:val="21"/>
              </w:rPr>
            </w:pPr>
          </w:p>
        </w:tc>
      </w:tr>
      <w:tr w14:paraId="337D2B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3A07A21F">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30" w:type="dxa"/>
            <w:tcBorders>
              <w:top w:val="single" w:color="auto" w:sz="4" w:space="0"/>
              <w:left w:val="single" w:color="auto" w:sz="4" w:space="0"/>
              <w:bottom w:val="single" w:color="auto" w:sz="4" w:space="0"/>
              <w:right w:val="single" w:color="auto" w:sz="4" w:space="0"/>
            </w:tcBorders>
          </w:tcPr>
          <w:p w14:paraId="29243F7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350AC2F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D5A6AC1">
            <w:pPr>
              <w:jc w:val="center"/>
              <w:rPr>
                <w:rFonts w:ascii="Times New Roman" w:hAnsi="Times New Roman" w:eastAsia="宋体" w:cs="Times New Roman"/>
                <w:b/>
                <w:szCs w:val="20"/>
              </w:rPr>
            </w:pPr>
          </w:p>
        </w:tc>
      </w:tr>
      <w:tr w14:paraId="5B723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62B0AC44">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30" w:type="dxa"/>
            <w:tcBorders>
              <w:top w:val="single" w:color="auto" w:sz="4" w:space="0"/>
              <w:left w:val="single" w:color="auto" w:sz="4" w:space="0"/>
              <w:bottom w:val="single" w:color="auto" w:sz="4" w:space="0"/>
              <w:right w:val="single" w:color="auto" w:sz="4" w:space="0"/>
            </w:tcBorders>
            <w:vAlign w:val="center"/>
          </w:tcPr>
          <w:p w14:paraId="1D7763F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23081C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FBDB3">
            <w:pPr>
              <w:jc w:val="center"/>
              <w:rPr>
                <w:rFonts w:ascii="Times New Roman" w:hAnsi="Times New Roman" w:eastAsia="宋体" w:cs="Times New Roman"/>
                <w:b/>
                <w:szCs w:val="21"/>
              </w:rPr>
            </w:pPr>
          </w:p>
          <w:p w14:paraId="3532DC4F">
            <w:pPr>
              <w:jc w:val="center"/>
              <w:rPr>
                <w:rFonts w:ascii="Times New Roman" w:hAnsi="Times New Roman" w:eastAsia="宋体" w:cs="Times New Roman"/>
                <w:b/>
                <w:szCs w:val="21"/>
              </w:rPr>
            </w:pPr>
          </w:p>
          <w:p w14:paraId="51C44874">
            <w:pPr>
              <w:jc w:val="center"/>
              <w:rPr>
                <w:rFonts w:ascii="Times New Roman" w:hAnsi="Times New Roman" w:eastAsia="宋体" w:cs="Times New Roman"/>
                <w:b/>
                <w:szCs w:val="21"/>
              </w:rPr>
            </w:pPr>
          </w:p>
          <w:p w14:paraId="1570318E">
            <w:pPr>
              <w:jc w:val="center"/>
              <w:rPr>
                <w:rFonts w:ascii="Times New Roman" w:hAnsi="Times New Roman" w:eastAsia="宋体" w:cs="Times New Roman"/>
                <w:b/>
                <w:szCs w:val="21"/>
              </w:rPr>
            </w:pPr>
          </w:p>
          <w:p w14:paraId="0DACB339">
            <w:pPr>
              <w:jc w:val="center"/>
              <w:rPr>
                <w:rFonts w:ascii="Times New Roman" w:hAnsi="Times New Roman" w:eastAsia="宋体" w:cs="Times New Roman"/>
                <w:b/>
                <w:szCs w:val="21"/>
              </w:rPr>
            </w:pPr>
          </w:p>
          <w:p w14:paraId="08D9C4B1">
            <w:pPr>
              <w:jc w:val="center"/>
              <w:rPr>
                <w:rFonts w:ascii="Times New Roman" w:hAnsi="Times New Roman" w:eastAsia="宋体" w:cs="Times New Roman"/>
                <w:b/>
                <w:szCs w:val="21"/>
              </w:rPr>
            </w:pPr>
          </w:p>
          <w:p w14:paraId="0FD9234C">
            <w:pPr>
              <w:jc w:val="center"/>
              <w:rPr>
                <w:rFonts w:ascii="Times New Roman" w:hAnsi="Times New Roman" w:eastAsia="宋体" w:cs="Times New Roman"/>
                <w:b/>
                <w:szCs w:val="21"/>
              </w:rPr>
            </w:pPr>
          </w:p>
          <w:p w14:paraId="04C0FE26">
            <w:pPr>
              <w:jc w:val="center"/>
              <w:rPr>
                <w:rFonts w:ascii="Times New Roman" w:hAnsi="Times New Roman" w:eastAsia="宋体" w:cs="Times New Roman"/>
                <w:b/>
                <w:szCs w:val="21"/>
              </w:rPr>
            </w:pPr>
          </w:p>
          <w:p w14:paraId="4E7C1084">
            <w:pPr>
              <w:jc w:val="center"/>
              <w:rPr>
                <w:rFonts w:ascii="Times New Roman" w:hAnsi="Times New Roman" w:eastAsia="宋体" w:cs="Times New Roman"/>
                <w:b/>
                <w:szCs w:val="21"/>
              </w:rPr>
            </w:pPr>
          </w:p>
          <w:p w14:paraId="52E4AA44">
            <w:pPr>
              <w:jc w:val="center"/>
              <w:rPr>
                <w:rFonts w:ascii="Times New Roman" w:hAnsi="Times New Roman" w:eastAsia="宋体" w:cs="Times New Roman"/>
                <w:b/>
                <w:szCs w:val="21"/>
              </w:rPr>
            </w:pPr>
          </w:p>
          <w:p w14:paraId="0DF20B82">
            <w:pPr>
              <w:jc w:val="center"/>
              <w:rPr>
                <w:rFonts w:ascii="Times New Roman" w:hAnsi="Times New Roman" w:eastAsia="宋体" w:cs="Times New Roman"/>
                <w:b/>
                <w:szCs w:val="21"/>
              </w:rPr>
            </w:pPr>
          </w:p>
          <w:p w14:paraId="5AB95D4E">
            <w:pPr>
              <w:jc w:val="center"/>
              <w:rPr>
                <w:rFonts w:ascii="Times New Roman" w:hAnsi="Times New Roman" w:eastAsia="宋体" w:cs="Times New Roman"/>
                <w:b/>
                <w:szCs w:val="21"/>
              </w:rPr>
            </w:pPr>
          </w:p>
          <w:p w14:paraId="45959A83">
            <w:pPr>
              <w:jc w:val="center"/>
              <w:rPr>
                <w:rFonts w:ascii="Times New Roman" w:hAnsi="Times New Roman" w:eastAsia="宋体" w:cs="Times New Roman"/>
                <w:b/>
                <w:szCs w:val="21"/>
              </w:rPr>
            </w:pPr>
          </w:p>
          <w:p w14:paraId="1CCF8B79">
            <w:pPr>
              <w:jc w:val="center"/>
              <w:rPr>
                <w:rFonts w:ascii="Times New Roman" w:hAnsi="Times New Roman" w:eastAsia="宋体" w:cs="Times New Roman"/>
                <w:b/>
                <w:szCs w:val="21"/>
              </w:rPr>
            </w:pPr>
          </w:p>
          <w:p w14:paraId="37A24F5F">
            <w:pPr>
              <w:jc w:val="center"/>
              <w:rPr>
                <w:rFonts w:ascii="Times New Roman" w:hAnsi="Times New Roman" w:eastAsia="宋体" w:cs="Times New Roman"/>
                <w:b/>
                <w:szCs w:val="21"/>
              </w:rPr>
            </w:pPr>
          </w:p>
          <w:p w14:paraId="5CD5CAF7">
            <w:pPr>
              <w:jc w:val="center"/>
              <w:rPr>
                <w:rFonts w:ascii="Times New Roman" w:hAnsi="Times New Roman" w:eastAsia="宋体" w:cs="Times New Roman"/>
                <w:b/>
                <w:szCs w:val="21"/>
              </w:rPr>
            </w:pPr>
          </w:p>
          <w:p w14:paraId="19BF9A22">
            <w:pPr>
              <w:jc w:val="center"/>
              <w:rPr>
                <w:rFonts w:ascii="Times New Roman" w:hAnsi="Times New Roman" w:eastAsia="宋体" w:cs="Times New Roman"/>
                <w:b/>
                <w:szCs w:val="20"/>
              </w:rPr>
            </w:pPr>
          </w:p>
        </w:tc>
      </w:tr>
      <w:tr w14:paraId="493C73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10D6C84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30" w:type="dxa"/>
            <w:tcBorders>
              <w:top w:val="single" w:color="auto" w:sz="4" w:space="0"/>
              <w:left w:val="single" w:color="auto" w:sz="4" w:space="0"/>
              <w:bottom w:val="single" w:color="auto" w:sz="4" w:space="0"/>
              <w:right w:val="single" w:color="auto" w:sz="4" w:space="0"/>
            </w:tcBorders>
            <w:vAlign w:val="center"/>
          </w:tcPr>
          <w:p w14:paraId="78D2EA32">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1143B50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78ECFF0">
            <w:pPr>
              <w:jc w:val="center"/>
              <w:rPr>
                <w:rFonts w:ascii="Times New Roman" w:hAnsi="Times New Roman" w:eastAsia="宋体" w:cs="Times New Roman"/>
                <w:b/>
                <w:szCs w:val="20"/>
              </w:rPr>
            </w:pPr>
          </w:p>
        </w:tc>
      </w:tr>
    </w:tbl>
    <w:p w14:paraId="01542F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5E6163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79928A6">
      <w:pPr>
        <w:rPr>
          <w:rFonts w:ascii="宋体" w:hAnsi="Calibri" w:eastAsia="宋体" w:cs="Times New Roman"/>
          <w:szCs w:val="20"/>
        </w:rPr>
      </w:pPr>
    </w:p>
    <w:p w14:paraId="23BE55FB">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64500826">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A757E00">
      <w:pPr>
        <w:spacing w:line="272" w:lineRule="auto"/>
        <w:rPr>
          <w:rFonts w:ascii="Arial"/>
        </w:rPr>
      </w:pPr>
    </w:p>
    <w:p w14:paraId="2366966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pacing w:val="-5"/>
          <w:sz w:val="24"/>
          <w:szCs w:val="24"/>
          <w:u w:val="single"/>
          <w:lang w:eastAsia="zh-CN"/>
        </w:rPr>
        <w:t>AMT变速箱疲劳寿命试验台项目</w:t>
      </w:r>
      <w:r>
        <w:rPr>
          <w:rFonts w:ascii="宋体" w:hAnsi="宋体" w:eastAsia="宋体" w:cs="宋体"/>
          <w:spacing w:val="-5"/>
          <w:sz w:val="24"/>
          <w:szCs w:val="24"/>
          <w:u w:val="single"/>
        </w:rPr>
        <w:t xml:space="preserve"> </w:t>
      </w:r>
    </w:p>
    <w:p w14:paraId="4BC6E5D7">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EC47BC7"/>
    <w:p w14:paraId="3E46FA1C">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6FC4E3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64CA402">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1EA37DA4">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643C272">
      <w:pPr>
        <w:keepNext/>
        <w:keepLines/>
        <w:rPr>
          <w:rFonts w:ascii="Times New Roman" w:hAnsi="Times New Roman" w:eastAsia="宋体" w:cs="Times New Roman"/>
          <w:b/>
          <w:bCs/>
          <w:color w:val="000000"/>
          <w:sz w:val="24"/>
          <w:szCs w:val="24"/>
        </w:rPr>
      </w:pPr>
    </w:p>
    <w:p w14:paraId="07A9C8EE">
      <w:pPr>
        <w:spacing w:before="75" w:line="227" w:lineRule="auto"/>
        <w:ind w:left="135"/>
        <w:rPr>
          <w:rFonts w:ascii="宋体" w:hAnsi="宋体" w:eastAsia="宋体" w:cs="宋体"/>
          <w:spacing w:val="-2"/>
          <w:sz w:val="24"/>
          <w:szCs w:val="24"/>
        </w:rPr>
      </w:pPr>
    </w:p>
    <w:p w14:paraId="6EC38138">
      <w:pPr>
        <w:spacing w:before="75" w:line="227" w:lineRule="auto"/>
        <w:ind w:left="135"/>
        <w:rPr>
          <w:rFonts w:ascii="宋体" w:hAnsi="宋体" w:eastAsia="宋体" w:cs="宋体"/>
          <w:spacing w:val="-2"/>
          <w:sz w:val="24"/>
          <w:szCs w:val="24"/>
        </w:rPr>
      </w:pPr>
    </w:p>
    <w:p w14:paraId="66826F86">
      <w:pPr>
        <w:spacing w:before="75" w:line="227" w:lineRule="auto"/>
        <w:ind w:left="135"/>
        <w:rPr>
          <w:rFonts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066E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9EA99EF">
      <w:pPr>
        <w:spacing w:line="240" w:lineRule="exact"/>
        <w:jc w:val="center"/>
        <w:rPr>
          <w:rFonts w:ascii="宋体" w:hAnsi="Calibri" w:eastAsia="宋体" w:cs="Times New Roman"/>
          <w:b/>
          <w:bCs/>
          <w:sz w:val="36"/>
          <w:szCs w:val="20"/>
        </w:rPr>
      </w:pPr>
    </w:p>
    <w:p w14:paraId="58BE7808">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宋体"/>
          <w:spacing w:val="-5"/>
          <w:sz w:val="24"/>
          <w:szCs w:val="24"/>
          <w:u w:val="single"/>
          <w:lang w:eastAsia="zh-CN"/>
        </w:rPr>
        <w:t>AMT变速箱疲劳寿命试验台项目</w:t>
      </w:r>
    </w:p>
    <w:p w14:paraId="5EB23BC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1C94F2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4C5A369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DEE1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59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ED805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843C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5984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65098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7BD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9C5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065E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1168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36BD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1ABF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D9F1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903D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E8B3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A887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B53AC2">
      <w:pPr>
        <w:spacing w:line="360" w:lineRule="auto"/>
        <w:ind w:firstLine="480" w:firstLineChars="200"/>
        <w:rPr>
          <w:rFonts w:ascii="宋体" w:hAnsi="宋体" w:eastAsia="宋体" w:cs="Times New Roman"/>
          <w:sz w:val="24"/>
          <w:szCs w:val="20"/>
          <w:u w:val="single"/>
        </w:rPr>
      </w:pPr>
    </w:p>
    <w:p w14:paraId="49C3044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B33E21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0482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8A83C48">
      <w:pPr>
        <w:rPr>
          <w:rFonts w:ascii="宋体" w:hAnsi="Calibri" w:eastAsia="宋体" w:cs="宋体"/>
          <w:b/>
          <w:bCs/>
          <w:color w:val="000000"/>
          <w:sz w:val="28"/>
          <w:szCs w:val="20"/>
        </w:rPr>
      </w:pPr>
    </w:p>
    <w:p w14:paraId="3AF705AD">
      <w:pPr>
        <w:pStyle w:val="17"/>
        <w:rPr>
          <w:rFonts w:hAnsi="Calibri" w:eastAsia="宋体" w:cs="宋体"/>
          <w:b/>
          <w:bCs/>
          <w:color w:val="000000"/>
          <w:sz w:val="28"/>
          <w:szCs w:val="20"/>
        </w:rPr>
      </w:pPr>
    </w:p>
    <w:p w14:paraId="1EB38E33">
      <w:pPr>
        <w:rPr>
          <w:rFonts w:ascii="宋体" w:hAnsi="Calibri" w:eastAsia="宋体" w:cs="宋体"/>
          <w:b/>
          <w:bCs/>
          <w:color w:val="000000"/>
          <w:sz w:val="28"/>
          <w:szCs w:val="20"/>
        </w:rPr>
      </w:pPr>
    </w:p>
    <w:p w14:paraId="2B20F99B">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0E238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09BA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34C1CF0">
            <w:pPr>
              <w:jc w:val="center"/>
              <w:rPr>
                <w:rFonts w:ascii="Times New Roman" w:hAnsi="Times New Roman" w:eastAsia="宋体" w:cs="Times New Roman"/>
                <w:b/>
                <w:szCs w:val="20"/>
              </w:rPr>
            </w:pPr>
          </w:p>
          <w:p w14:paraId="4F71FB93">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BF23FCD">
            <w:pPr>
              <w:rPr>
                <w:rFonts w:ascii="Times New Roman" w:hAnsi="Times New Roman" w:eastAsia="等线" w:cs="Times New Roman"/>
                <w:b/>
                <w:sz w:val="30"/>
                <w:szCs w:val="30"/>
              </w:rPr>
            </w:pPr>
          </w:p>
          <w:p w14:paraId="6D64AE1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4</w:t>
            </w:r>
            <w:r>
              <w:rPr>
                <w:rFonts w:hint="eastAsia" w:ascii="宋体" w:hAnsi="宋体" w:eastAsia="宋体" w:cs="宋体"/>
                <w:b/>
                <w:sz w:val="30"/>
                <w:szCs w:val="30"/>
              </w:rPr>
              <w:t>副本）</w:t>
            </w:r>
          </w:p>
          <w:p w14:paraId="37C407D9">
            <w:pPr>
              <w:jc w:val="center"/>
              <w:rPr>
                <w:rFonts w:ascii="Times New Roman" w:hAnsi="Times New Roman" w:eastAsia="宋体" w:cs="Times New Roman"/>
                <w:b/>
                <w:szCs w:val="20"/>
              </w:rPr>
            </w:pPr>
          </w:p>
          <w:p w14:paraId="32E13ADF">
            <w:pPr>
              <w:jc w:val="center"/>
              <w:rPr>
                <w:rFonts w:ascii="Times New Roman" w:hAnsi="Times New Roman" w:eastAsia="宋体" w:cs="Times New Roman"/>
                <w:b/>
                <w:szCs w:val="20"/>
              </w:rPr>
            </w:pPr>
          </w:p>
          <w:p w14:paraId="052899F3">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宋体"/>
                <w:b/>
                <w:szCs w:val="20"/>
                <w:lang w:eastAsia="zh-CN"/>
              </w:rPr>
              <w:t>AMT变速箱疲劳寿命试验台项目</w:t>
            </w:r>
          </w:p>
          <w:p w14:paraId="73B4FF42">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BFF1D2E">
            <w:pPr>
              <w:jc w:val="center"/>
              <w:rPr>
                <w:rFonts w:ascii="Times New Roman" w:hAnsi="Times New Roman" w:eastAsia="宋体" w:cs="Times New Roman"/>
                <w:b/>
                <w:szCs w:val="20"/>
              </w:rPr>
            </w:pPr>
            <w:r>
              <w:rPr>
                <w:rFonts w:hint="eastAsia" w:ascii="宋体" w:hAnsi="宋体" w:eastAsia="宋体" w:cs="宋体"/>
                <w:b/>
                <w:szCs w:val="20"/>
              </w:rPr>
              <w:t>地址：</w:t>
            </w:r>
          </w:p>
          <w:p w14:paraId="0AFA371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98C14F0">
            <w:pPr>
              <w:jc w:val="center"/>
              <w:rPr>
                <w:rFonts w:ascii="Times New Roman" w:hAnsi="Times New Roman" w:eastAsia="宋体" w:cs="Times New Roman"/>
                <w:b/>
                <w:szCs w:val="20"/>
              </w:rPr>
            </w:pPr>
            <w:r>
              <w:rPr>
                <w:rFonts w:hint="eastAsia" w:ascii="宋体" w:hAnsi="宋体" w:eastAsia="宋体" w:cs="宋体"/>
                <w:b/>
                <w:szCs w:val="20"/>
              </w:rPr>
              <w:t>传真：</w:t>
            </w:r>
          </w:p>
          <w:p w14:paraId="08297E89">
            <w:pPr>
              <w:jc w:val="center"/>
              <w:rPr>
                <w:rFonts w:ascii="Times New Roman" w:hAnsi="Times New Roman" w:eastAsia="宋体" w:cs="Times New Roman"/>
                <w:b/>
                <w:szCs w:val="20"/>
              </w:rPr>
            </w:pPr>
          </w:p>
          <w:p w14:paraId="3F552FA7">
            <w:pPr>
              <w:jc w:val="center"/>
              <w:rPr>
                <w:rFonts w:ascii="Times New Roman" w:hAnsi="Times New Roman" w:eastAsia="宋体" w:cs="Times New Roman"/>
                <w:b/>
                <w:szCs w:val="20"/>
              </w:rPr>
            </w:pPr>
          </w:p>
        </w:tc>
      </w:tr>
    </w:tbl>
    <w:p w14:paraId="00E2E60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93CD693">
      <w:pPr>
        <w:rPr>
          <w:rFonts w:asciiTheme="minorEastAsia" w:hAnsiTheme="minorEastAsia" w:cstheme="minorEastAsia"/>
          <w:sz w:val="20"/>
          <w:szCs w:val="20"/>
        </w:rPr>
      </w:pPr>
      <w:r>
        <w:rPr>
          <w:rFonts w:asciiTheme="minorEastAsia" w:hAnsiTheme="minorEastAsia" w:cstheme="minorEastAsia"/>
          <w:sz w:val="20"/>
          <w:szCs w:val="20"/>
        </w:rPr>
        <w:br w:type="page"/>
      </w:r>
    </w:p>
    <w:p w14:paraId="4BD7B7C9">
      <w:pPr>
        <w:pStyle w:val="3"/>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p>
    <w:p w14:paraId="741AF982">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附件14评分标准</w:t>
      </w:r>
    </w:p>
    <w:p w14:paraId="1077B3F0">
      <w:pPr>
        <w:jc w:val="center"/>
        <w:outlineLvl w:val="9"/>
        <w:rPr>
          <w:rFonts w:ascii="宋体" w:hAnsi="宋体"/>
          <w:szCs w:val="24"/>
        </w:rPr>
      </w:pPr>
      <w:r>
        <w:rPr>
          <w:rFonts w:hint="eastAsia" w:ascii="宋体" w:hAnsi="宋体"/>
          <w:szCs w:val="24"/>
        </w:rPr>
        <w:t>技术标评审表（</w:t>
      </w:r>
      <w:r>
        <w:rPr>
          <w:rFonts w:hint="eastAsia" w:ascii="宋体" w:hAnsi="宋体"/>
          <w:szCs w:val="24"/>
          <w:lang w:val="en-US" w:eastAsia="zh-CN"/>
        </w:rPr>
        <w:t>100</w:t>
      </w:r>
      <w:r>
        <w:rPr>
          <w:rFonts w:hint="eastAsia" w:ascii="宋体" w:hAnsi="宋体"/>
          <w:szCs w:val="24"/>
        </w:rPr>
        <w:t>分）</w:t>
      </w:r>
    </w:p>
    <w:tbl>
      <w:tblPr>
        <w:tblStyle w:val="37"/>
        <w:tblW w:w="52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615"/>
        <w:gridCol w:w="3499"/>
        <w:gridCol w:w="920"/>
        <w:gridCol w:w="3978"/>
      </w:tblGrid>
      <w:tr w14:paraId="48C6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414" w:type="pct"/>
            <w:vAlign w:val="center"/>
          </w:tcPr>
          <w:p w14:paraId="2D3EC20C">
            <w:pPr>
              <w:jc w:val="center"/>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评价类型</w:t>
            </w:r>
          </w:p>
        </w:tc>
        <w:tc>
          <w:tcPr>
            <w:tcW w:w="313" w:type="pct"/>
            <w:vAlign w:val="center"/>
          </w:tcPr>
          <w:p w14:paraId="5490B65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序号</w:t>
            </w:r>
          </w:p>
        </w:tc>
        <w:tc>
          <w:tcPr>
            <w:tcW w:w="1780" w:type="pct"/>
            <w:vAlign w:val="center"/>
          </w:tcPr>
          <w:p w14:paraId="20AEF413">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内   容</w:t>
            </w:r>
          </w:p>
        </w:tc>
        <w:tc>
          <w:tcPr>
            <w:tcW w:w="468" w:type="pct"/>
            <w:vAlign w:val="center"/>
          </w:tcPr>
          <w:p w14:paraId="2FF9150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标准分</w:t>
            </w:r>
          </w:p>
        </w:tc>
        <w:tc>
          <w:tcPr>
            <w:tcW w:w="2023" w:type="pct"/>
            <w:vAlign w:val="center"/>
          </w:tcPr>
          <w:p w14:paraId="10B7F2F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评分标准</w:t>
            </w:r>
          </w:p>
        </w:tc>
      </w:tr>
      <w:tr w14:paraId="0AC7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1" w:hRule="atLeast"/>
          <w:jc w:val="center"/>
        </w:trPr>
        <w:tc>
          <w:tcPr>
            <w:tcW w:w="414" w:type="pct"/>
            <w:vMerge w:val="restart"/>
            <w:vAlign w:val="center"/>
          </w:tcPr>
          <w:p w14:paraId="0FF78C2A">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技术</w:t>
            </w:r>
          </w:p>
          <w:p w14:paraId="1B9B9612">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100分</w:t>
            </w:r>
          </w:p>
        </w:tc>
        <w:tc>
          <w:tcPr>
            <w:tcW w:w="313" w:type="pct"/>
            <w:vAlign w:val="center"/>
          </w:tcPr>
          <w:p w14:paraId="6231316D">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1780" w:type="pct"/>
            <w:vAlign w:val="center"/>
          </w:tcPr>
          <w:p w14:paraId="18C5114F">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设备制造商产品技术先进性、成熟度，性能稳定性，操作方便性，产品附件备品备件配置完整性、合理性</w:t>
            </w:r>
            <w:r>
              <w:rPr>
                <w:rFonts w:hint="eastAsia" w:ascii="宋体" w:hAnsi="宋体" w:eastAsia="宋体" w:cs="宋体"/>
                <w:color w:val="000000" w:themeColor="text1"/>
                <w:szCs w:val="21"/>
                <w:lang w:val="en-US"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装备制造能力、生产设备、加工工艺</w:t>
            </w:r>
          </w:p>
        </w:tc>
        <w:tc>
          <w:tcPr>
            <w:tcW w:w="468" w:type="pct"/>
            <w:vAlign w:val="center"/>
          </w:tcPr>
          <w:p w14:paraId="76B4530C">
            <w:pPr>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45</w:t>
            </w:r>
          </w:p>
        </w:tc>
        <w:tc>
          <w:tcPr>
            <w:tcW w:w="2023" w:type="pct"/>
            <w:vAlign w:val="center"/>
          </w:tcPr>
          <w:p w14:paraId="1FF7E0C8">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由评标委员会成员独立进行客观、公正的评价，按照优、良、一般进行赋分，优得</w:t>
            </w:r>
            <w:r>
              <w:rPr>
                <w:rFonts w:hint="eastAsia" w:ascii="宋体" w:hAnsi="宋体" w:eastAsia="宋体" w:cs="宋体"/>
                <w:color w:val="000000" w:themeColor="text1"/>
                <w:szCs w:val="21"/>
                <w:lang w:val="en-US" w:eastAsia="zh-CN"/>
                <w14:textFill>
                  <w14:solidFill>
                    <w14:schemeClr w14:val="tx1"/>
                  </w14:solidFill>
                </w14:textFill>
              </w:rPr>
              <w:t>40</w:t>
            </w: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45</w:t>
            </w:r>
            <w:r>
              <w:rPr>
                <w:rFonts w:hint="eastAsia" w:ascii="宋体" w:hAnsi="宋体" w:eastAsia="宋体" w:cs="宋体"/>
                <w:color w:val="000000" w:themeColor="text1"/>
                <w:szCs w:val="21"/>
                <w14:textFill>
                  <w14:solidFill>
                    <w14:schemeClr w14:val="tx1"/>
                  </w14:solidFill>
                </w14:textFill>
              </w:rPr>
              <w:t>分，良得</w:t>
            </w:r>
            <w:r>
              <w:rPr>
                <w:rFonts w:hint="eastAsia" w:ascii="宋体" w:hAnsi="宋体" w:eastAsia="宋体" w:cs="宋体"/>
                <w:color w:val="000000" w:themeColor="text1"/>
                <w:szCs w:val="21"/>
                <w:lang w:val="en-US" w:eastAsia="zh-CN"/>
                <w14:textFill>
                  <w14:solidFill>
                    <w14:schemeClr w14:val="tx1"/>
                  </w14:solidFill>
                </w14:textFill>
              </w:rPr>
              <w:t>30</w:t>
            </w: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40</w:t>
            </w:r>
            <w:r>
              <w:rPr>
                <w:rFonts w:hint="eastAsia" w:ascii="宋体" w:hAnsi="宋体" w:eastAsia="宋体" w:cs="宋体"/>
                <w:color w:val="000000" w:themeColor="text1"/>
                <w:szCs w:val="21"/>
                <w14:textFill>
                  <w14:solidFill>
                    <w14:schemeClr w14:val="tx1"/>
                  </w14:solidFill>
                </w14:textFill>
              </w:rPr>
              <w:t>分，一般得10-</w:t>
            </w:r>
            <w:r>
              <w:rPr>
                <w:rFonts w:hint="eastAsia" w:ascii="宋体" w:hAnsi="宋体" w:eastAsia="宋体" w:cs="宋体"/>
                <w:color w:val="000000" w:themeColor="text1"/>
                <w:szCs w:val="21"/>
                <w:lang w:val="en-US" w:eastAsia="zh-CN"/>
                <w14:textFill>
                  <w14:solidFill>
                    <w14:schemeClr w14:val="tx1"/>
                  </w14:solidFill>
                </w14:textFill>
              </w:rPr>
              <w:t>3</w:t>
            </w:r>
            <w:r>
              <w:rPr>
                <w:rFonts w:hint="eastAsia" w:ascii="宋体" w:hAnsi="宋体" w:eastAsia="宋体" w:cs="宋体"/>
                <w:color w:val="000000" w:themeColor="text1"/>
                <w:szCs w:val="21"/>
                <w14:textFill>
                  <w14:solidFill>
                    <w14:schemeClr w14:val="tx1"/>
                  </w14:solidFill>
                </w14:textFill>
              </w:rPr>
              <w:t>0分</w:t>
            </w:r>
          </w:p>
        </w:tc>
      </w:tr>
      <w:tr w14:paraId="0C8C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2" w:hRule="atLeast"/>
          <w:jc w:val="center"/>
        </w:trPr>
        <w:tc>
          <w:tcPr>
            <w:tcW w:w="414" w:type="pct"/>
            <w:vMerge w:val="continue"/>
            <w:vAlign w:val="center"/>
          </w:tcPr>
          <w:p w14:paraId="05F7F5BA">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3" w:type="pct"/>
            <w:vAlign w:val="center"/>
          </w:tcPr>
          <w:p w14:paraId="19166F4E">
            <w:pPr>
              <w:jc w:val="lef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w:t>
            </w:r>
          </w:p>
        </w:tc>
        <w:tc>
          <w:tcPr>
            <w:tcW w:w="1780" w:type="pct"/>
            <w:vAlign w:val="center"/>
          </w:tcPr>
          <w:p w14:paraId="632A064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现场安装、调试、验收阶段的的组织管理措施；技术培训方案安排科学、合理、可行性；售后服务质量及质保期长短；维保专业技术人员实力</w:t>
            </w:r>
          </w:p>
        </w:tc>
        <w:tc>
          <w:tcPr>
            <w:tcW w:w="468" w:type="pct"/>
            <w:vAlign w:val="center"/>
          </w:tcPr>
          <w:p w14:paraId="13448F6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w:t>
            </w:r>
          </w:p>
        </w:tc>
        <w:tc>
          <w:tcPr>
            <w:tcW w:w="2023" w:type="pct"/>
            <w:vAlign w:val="center"/>
          </w:tcPr>
          <w:p w14:paraId="507B0F1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由评标委员会成员独立进行客观、公正的评价，按照优、良、一般进行赋分，优得8-10分，良得6-8分，一般得2-6分。</w:t>
            </w:r>
          </w:p>
        </w:tc>
      </w:tr>
      <w:tr w14:paraId="0408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4" w:type="pct"/>
            <w:vMerge w:val="continue"/>
            <w:vAlign w:val="center"/>
          </w:tcPr>
          <w:p w14:paraId="253A052C">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3" w:type="pct"/>
            <w:vAlign w:val="center"/>
          </w:tcPr>
          <w:p w14:paraId="6D2028A6">
            <w:pPr>
              <w:jc w:val="lef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w:t>
            </w:r>
          </w:p>
        </w:tc>
        <w:tc>
          <w:tcPr>
            <w:tcW w:w="1780" w:type="pct"/>
            <w:vAlign w:val="center"/>
          </w:tcPr>
          <w:p w14:paraId="6850231D">
            <w:pPr>
              <w:jc w:val="lef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设备制造商同类型项目业绩</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品牌市场认可度较高，能够提供重要或者权威客户产品认可证明文件（客户签字盖章）</w:t>
            </w:r>
          </w:p>
        </w:tc>
        <w:tc>
          <w:tcPr>
            <w:tcW w:w="468" w:type="pct"/>
            <w:vAlign w:val="center"/>
          </w:tcPr>
          <w:p w14:paraId="58859CE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w:t>
            </w:r>
          </w:p>
        </w:tc>
        <w:tc>
          <w:tcPr>
            <w:tcW w:w="2023" w:type="pct"/>
            <w:vAlign w:val="center"/>
          </w:tcPr>
          <w:p w14:paraId="3F9D589E">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已交付使用的与本次招标项目同类产品业绩，提供合同原件（包含详细的产品明细清单）；按照业绩进行排名，优得8-10分，良得6-8分，一般得2-6分。</w:t>
            </w:r>
          </w:p>
        </w:tc>
      </w:tr>
      <w:tr w14:paraId="141C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4" w:type="pct"/>
            <w:vMerge w:val="continue"/>
            <w:vAlign w:val="center"/>
          </w:tcPr>
          <w:p w14:paraId="29EDA459">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3" w:type="pct"/>
            <w:vAlign w:val="center"/>
          </w:tcPr>
          <w:p w14:paraId="233AA778">
            <w:pPr>
              <w:jc w:val="lef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w:t>
            </w:r>
          </w:p>
        </w:tc>
        <w:tc>
          <w:tcPr>
            <w:tcW w:w="1780" w:type="pct"/>
            <w:vAlign w:val="center"/>
          </w:tcPr>
          <w:p w14:paraId="14E59059">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供货周期及工期进度计划</w:t>
            </w:r>
          </w:p>
        </w:tc>
        <w:tc>
          <w:tcPr>
            <w:tcW w:w="468" w:type="pct"/>
            <w:vAlign w:val="center"/>
          </w:tcPr>
          <w:p w14:paraId="46CA3FD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w:t>
            </w:r>
          </w:p>
        </w:tc>
        <w:tc>
          <w:tcPr>
            <w:tcW w:w="2023" w:type="pct"/>
            <w:vAlign w:val="center"/>
          </w:tcPr>
          <w:p w14:paraId="0D659111">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交货期14个月以内得12-15分</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14</w:t>
            </w:r>
            <w:r>
              <w:rPr>
                <w:rFonts w:hint="eastAsia" w:ascii="宋体" w:hAnsi="宋体" w:eastAsia="宋体" w:cs="宋体"/>
                <w:color w:val="000000" w:themeColor="text1"/>
                <w:szCs w:val="21"/>
                <w:lang w:val="en-US"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15个月得8-12分，15个月以上得4-8分。</w:t>
            </w:r>
          </w:p>
        </w:tc>
      </w:tr>
      <w:tr w14:paraId="0B79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414" w:type="pct"/>
            <w:vMerge w:val="continue"/>
            <w:vAlign w:val="center"/>
          </w:tcPr>
          <w:p w14:paraId="7D823413">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3" w:type="pct"/>
            <w:vAlign w:val="center"/>
          </w:tcPr>
          <w:p w14:paraId="5C133204">
            <w:pPr>
              <w:jc w:val="lef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5</w:t>
            </w:r>
          </w:p>
        </w:tc>
        <w:tc>
          <w:tcPr>
            <w:tcW w:w="1780" w:type="pct"/>
            <w:vAlign w:val="center"/>
          </w:tcPr>
          <w:p w14:paraId="13C430F0">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响应及偏离</w:t>
            </w:r>
          </w:p>
        </w:tc>
        <w:tc>
          <w:tcPr>
            <w:tcW w:w="468" w:type="pct"/>
            <w:vAlign w:val="center"/>
          </w:tcPr>
          <w:p w14:paraId="2A80B3CA">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w:t>
            </w:r>
          </w:p>
        </w:tc>
        <w:tc>
          <w:tcPr>
            <w:tcW w:w="2023" w:type="pct"/>
            <w:vAlign w:val="center"/>
          </w:tcPr>
          <w:p w14:paraId="53F212B7">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一般偏离每一项扣2分，较大偏离每一项扣3分。</w:t>
            </w:r>
          </w:p>
        </w:tc>
      </w:tr>
      <w:tr w14:paraId="3096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jc w:val="center"/>
        </w:trPr>
        <w:tc>
          <w:tcPr>
            <w:tcW w:w="414" w:type="pct"/>
            <w:vMerge w:val="continue"/>
            <w:vAlign w:val="center"/>
          </w:tcPr>
          <w:p w14:paraId="0BD1A8A9">
            <w:pPr>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p>
        </w:tc>
        <w:tc>
          <w:tcPr>
            <w:tcW w:w="313" w:type="pct"/>
            <w:vAlign w:val="center"/>
          </w:tcPr>
          <w:p w14:paraId="6F9B9BAB">
            <w:pPr>
              <w:jc w:val="left"/>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6</w:t>
            </w:r>
          </w:p>
        </w:tc>
        <w:tc>
          <w:tcPr>
            <w:tcW w:w="1780" w:type="pct"/>
            <w:vAlign w:val="center"/>
          </w:tcPr>
          <w:p w14:paraId="2B3E179C">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现场答疑</w:t>
            </w:r>
          </w:p>
        </w:tc>
        <w:tc>
          <w:tcPr>
            <w:tcW w:w="468" w:type="pct"/>
            <w:vAlign w:val="center"/>
          </w:tcPr>
          <w:p w14:paraId="5CD4BCCB">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w:t>
            </w:r>
          </w:p>
        </w:tc>
        <w:tc>
          <w:tcPr>
            <w:tcW w:w="2023" w:type="pct"/>
            <w:vAlign w:val="center"/>
          </w:tcPr>
          <w:p w14:paraId="64E82686">
            <w:pPr>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投标人代表对方案、技术优势的讲解，以及就该项目难点回答评标专家现场提问，0-10分。</w:t>
            </w:r>
          </w:p>
        </w:tc>
      </w:tr>
    </w:tbl>
    <w:p w14:paraId="089657EA">
      <w:pPr>
        <w:keepNext/>
        <w:keepLines/>
        <w:spacing w:line="400" w:lineRule="exact"/>
        <w:jc w:val="center"/>
        <w:outlineLvl w:val="1"/>
        <w:rPr>
          <w:rFonts w:ascii="宋体" w:hAnsi="宋体" w:eastAsia="宋体" w:cs="Times New Roman"/>
          <w:b/>
          <w:bCs/>
          <w:sz w:val="24"/>
          <w:szCs w:val="24"/>
          <w:highlight w:val="yellow"/>
        </w:rPr>
      </w:pPr>
      <w:r>
        <w:rPr>
          <w:rFonts w:hint="eastAsia" w:ascii="宋体" w:hAnsi="宋体" w:eastAsia="宋体" w:cs="Times New Roman"/>
          <w:b/>
          <w:bCs/>
          <w:sz w:val="24"/>
          <w:szCs w:val="24"/>
          <w:highlight w:val="yellow"/>
        </w:rPr>
        <w:t>附件</w:t>
      </w:r>
      <w:r>
        <w:rPr>
          <w:rFonts w:ascii="宋体" w:hAnsi="宋体" w:eastAsia="宋体" w:cs="Times New Roman"/>
          <w:b/>
          <w:bCs/>
          <w:sz w:val="24"/>
          <w:szCs w:val="24"/>
          <w:highlight w:val="yellow"/>
        </w:rPr>
        <w:t xml:space="preserve">2  </w:t>
      </w:r>
      <w:r>
        <w:rPr>
          <w:rFonts w:hint="eastAsia" w:ascii="宋体" w:hAnsi="宋体" w:eastAsia="宋体" w:cs="Times New Roman"/>
          <w:b/>
          <w:bCs/>
          <w:sz w:val="24"/>
          <w:szCs w:val="24"/>
          <w:highlight w:val="yellow"/>
        </w:rPr>
        <w:t>商务评价表（</w:t>
      </w:r>
      <w:r>
        <w:rPr>
          <w:rFonts w:hint="eastAsia" w:ascii="宋体" w:hAnsi="宋体" w:eastAsia="宋体" w:cs="Times New Roman"/>
          <w:b/>
          <w:bCs/>
          <w:sz w:val="24"/>
          <w:szCs w:val="24"/>
          <w:highlight w:val="yellow"/>
          <w:lang w:val="en-US" w:eastAsia="zh-CN"/>
        </w:rPr>
        <w:t>10</w:t>
      </w:r>
      <w:r>
        <w:rPr>
          <w:rFonts w:ascii="宋体" w:hAnsi="宋体" w:eastAsia="宋体" w:cs="Times New Roman"/>
          <w:b/>
          <w:bCs/>
          <w:sz w:val="24"/>
          <w:szCs w:val="24"/>
          <w:highlight w:val="yellow"/>
        </w:rPr>
        <w:t>0</w:t>
      </w:r>
      <w:r>
        <w:rPr>
          <w:rFonts w:hint="eastAsia" w:ascii="宋体" w:hAnsi="宋体" w:eastAsia="宋体" w:cs="Times New Roman"/>
          <w:b/>
          <w:bCs/>
          <w:sz w:val="24"/>
          <w:szCs w:val="24"/>
          <w:highlight w:val="yellow"/>
        </w:rPr>
        <w:t>分）</w:t>
      </w:r>
    </w:p>
    <w:tbl>
      <w:tblPr>
        <w:tblStyle w:val="37"/>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999"/>
        <w:gridCol w:w="689"/>
        <w:gridCol w:w="7413"/>
      </w:tblGrid>
      <w:tr w14:paraId="358C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97" w:type="dxa"/>
            <w:vAlign w:val="center"/>
          </w:tcPr>
          <w:p w14:paraId="0A01B71E">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评价类型</w:t>
            </w:r>
          </w:p>
        </w:tc>
        <w:tc>
          <w:tcPr>
            <w:tcW w:w="999" w:type="dxa"/>
            <w:vAlign w:val="center"/>
          </w:tcPr>
          <w:p w14:paraId="1826EEB1">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内   容</w:t>
            </w:r>
          </w:p>
        </w:tc>
        <w:tc>
          <w:tcPr>
            <w:tcW w:w="689" w:type="dxa"/>
            <w:vAlign w:val="center"/>
          </w:tcPr>
          <w:p w14:paraId="31CC9F3B">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标准分</w:t>
            </w:r>
          </w:p>
        </w:tc>
        <w:tc>
          <w:tcPr>
            <w:tcW w:w="7413" w:type="dxa"/>
            <w:vAlign w:val="center"/>
          </w:tcPr>
          <w:p w14:paraId="5A97FA9F">
            <w:pPr>
              <w:jc w:val="center"/>
              <w:rPr>
                <w:rFonts w:hint="eastAsia" w:ascii="宋体" w:hAnsi="宋体" w:eastAsia="宋体" w:cs="Times New Roman"/>
                <w:b/>
                <w:bCs w:val="0"/>
                <w:szCs w:val="21"/>
                <w:highlight w:val="yellow"/>
              </w:rPr>
            </w:pPr>
            <w:r>
              <w:rPr>
                <w:rFonts w:hint="eastAsia" w:ascii="宋体" w:hAnsi="宋体" w:eastAsia="宋体" w:cs="Times New Roman"/>
                <w:b/>
                <w:bCs w:val="0"/>
                <w:szCs w:val="21"/>
                <w:highlight w:val="yellow"/>
              </w:rPr>
              <w:t>评分标准</w:t>
            </w:r>
          </w:p>
        </w:tc>
      </w:tr>
      <w:tr w14:paraId="1708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697" w:type="dxa"/>
            <w:vAlign w:val="center"/>
          </w:tcPr>
          <w:p w14:paraId="45FBDB3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w:t>
            </w:r>
          </w:p>
          <w:p w14:paraId="6CFB5E50">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w:t>
            </w:r>
          </w:p>
        </w:tc>
        <w:tc>
          <w:tcPr>
            <w:tcW w:w="999" w:type="dxa"/>
            <w:vAlign w:val="center"/>
          </w:tcPr>
          <w:p w14:paraId="470B2695">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商务评分计算</w:t>
            </w:r>
          </w:p>
        </w:tc>
        <w:tc>
          <w:tcPr>
            <w:tcW w:w="689" w:type="dxa"/>
            <w:vAlign w:val="center"/>
          </w:tcPr>
          <w:p w14:paraId="786E5FE6">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w:t>
            </w:r>
          </w:p>
        </w:tc>
        <w:tc>
          <w:tcPr>
            <w:tcW w:w="7413" w:type="dxa"/>
            <w:vAlign w:val="center"/>
          </w:tcPr>
          <w:p w14:paraId="6F77510F">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评标基准价： </w:t>
            </w:r>
          </w:p>
          <w:p w14:paraId="524691F3">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1、评标基准价为所有合理有效的最终投标报价的最低价。</w:t>
            </w:r>
          </w:p>
          <w:p w14:paraId="2F50CDD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2、有效的评标基准价得</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0分；其他投标人的价格得分按下列公式计算：投标价格得分=</w:t>
            </w:r>
            <w:r>
              <w:rPr>
                <w:rFonts w:hint="eastAsia" w:ascii="宋体" w:hAnsi="宋体" w:eastAsia="宋体" w:cs="Times New Roman"/>
                <w:bCs/>
                <w:szCs w:val="21"/>
                <w:highlight w:val="yellow"/>
                <w:lang w:val="en-US" w:eastAsia="zh-CN"/>
              </w:rPr>
              <w:t>10</w:t>
            </w:r>
            <w:r>
              <w:rPr>
                <w:rFonts w:hint="eastAsia" w:ascii="宋体" w:hAnsi="宋体" w:eastAsia="宋体" w:cs="Times New Roman"/>
                <w:bCs/>
                <w:szCs w:val="21"/>
                <w:highlight w:val="yellow"/>
              </w:rPr>
              <w:t>0×（评标基准价/投标报价）。</w:t>
            </w:r>
          </w:p>
          <w:p w14:paraId="07D898C9">
            <w:pPr>
              <w:jc w:val="left"/>
              <w:rPr>
                <w:rFonts w:hint="eastAsia" w:ascii="宋体" w:hAnsi="宋体" w:eastAsia="宋体" w:cs="Times New Roman"/>
                <w:bCs/>
                <w:szCs w:val="21"/>
                <w:highlight w:val="yellow"/>
              </w:rPr>
            </w:pPr>
            <w:r>
              <w:rPr>
                <w:rFonts w:hint="eastAsia" w:ascii="宋体" w:hAnsi="宋体" w:eastAsia="宋体" w:cs="Times New Roman"/>
                <w:bCs/>
                <w:szCs w:val="21"/>
                <w:highlight w:val="yellow"/>
              </w:rPr>
              <w:t xml:space="preserve">注：得分值取小数点后两位，不足一个百分点的，按照四舍五入法计算。 </w:t>
            </w:r>
          </w:p>
        </w:tc>
      </w:tr>
    </w:tbl>
    <w:p w14:paraId="51E50824">
      <w:pPr>
        <w:spacing w:line="360" w:lineRule="auto"/>
        <w:ind w:firstLine="482" w:firstLineChars="200"/>
        <w:rPr>
          <w:rFonts w:ascii="宋体" w:hAnsi="宋体" w:eastAsia="宋体" w:cs="宋体"/>
          <w:color w:val="000000"/>
          <w:sz w:val="24"/>
          <w:szCs w:val="24"/>
        </w:rPr>
      </w:pPr>
      <w:r>
        <w:rPr>
          <w:rFonts w:hint="eastAsia" w:hAnsi="宋体" w:eastAsia="宋体" w:cs="宋体"/>
          <w:b/>
          <w:bCs/>
          <w:color w:val="000000"/>
          <w:sz w:val="24"/>
          <w:szCs w:val="24"/>
          <w:highlight w:val="yellow"/>
          <w:lang w:val="en-US" w:eastAsia="zh-CN"/>
        </w:rPr>
        <w:t>综合得分=技术标得分*0.3+商务标得分*0.7。</w:t>
      </w:r>
    </w:p>
    <w:p w14:paraId="2934FEC7">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2F7AE62B">
      <w:pPr>
        <w:pStyle w:val="17"/>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6DF1250F">
      <w:pPr>
        <w:adjustRightInd w:val="0"/>
        <w:snapToGrid w:val="0"/>
        <w:jc w:val="left"/>
        <w:rPr>
          <w:rFonts w:ascii="宋体" w:hAnsi="宋体" w:eastAsia="宋体" w:cs="宋体"/>
          <w:sz w:val="24"/>
          <w:szCs w:val="24"/>
        </w:rPr>
      </w:pPr>
    </w:p>
    <w:p w14:paraId="50A727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5095734">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31DF21B">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8796F2D">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1B0A7058">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02A3F186">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022A4387">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47F7FFE">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2E04798B">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DB24514">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207F02CE">
      <w:pPr>
        <w:numPr>
          <w:ilvl w:val="0"/>
          <w:numId w:val="21"/>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w:t>
      </w:r>
      <w:r>
        <w:rPr>
          <w:rFonts w:hint="eastAsia" w:ascii="宋体" w:hAnsi="宋体" w:eastAsia="宋体" w:cs="宋体"/>
          <w:color w:val="000000"/>
          <w:sz w:val="24"/>
          <w:szCs w:val="28"/>
          <w:lang w:eastAsia="zh-CN"/>
        </w:rPr>
        <w:t>（</w:t>
      </w:r>
      <w:r>
        <w:rPr>
          <w:rFonts w:hint="eastAsia" w:ascii="宋体" w:hAnsi="宋体" w:eastAsia="宋体" w:cs="宋体"/>
          <w:color w:val="000000"/>
          <w:sz w:val="24"/>
          <w:szCs w:val="28"/>
          <w:lang w:val="en-US" w:eastAsia="zh-CN"/>
        </w:rPr>
        <w:t>产品试验检测中心</w:t>
      </w:r>
      <w:r>
        <w:rPr>
          <w:rFonts w:hint="eastAsia" w:ascii="宋体" w:hAnsi="宋体" w:eastAsia="宋体" w:cs="宋体"/>
          <w:color w:val="000000"/>
          <w:sz w:val="24"/>
          <w:szCs w:val="28"/>
          <w:lang w:eastAsia="zh-CN"/>
        </w:rPr>
        <w:t>）</w:t>
      </w:r>
      <w:r>
        <w:rPr>
          <w:rFonts w:ascii="宋体" w:hAnsi="宋体" w:eastAsia="宋体" w:cs="宋体"/>
          <w:color w:val="000000"/>
          <w:sz w:val="24"/>
          <w:szCs w:val="28"/>
        </w:rPr>
        <w:t>，最后提交审批</w:t>
      </w:r>
    </w:p>
    <w:p w14:paraId="21EBB131">
      <w:pPr>
        <w:rPr>
          <w:rFonts w:eastAsia="宋体"/>
        </w:rPr>
      </w:pPr>
      <w:r>
        <w:rPr>
          <w:rFonts w:hint="eastAsia"/>
        </w:rPr>
        <w:t>审批通过后，注意记录本单位的“供应商代码”，代码用于登录系统后应标。登录信息如下：</w:t>
      </w:r>
    </w:p>
    <w:p w14:paraId="179335B9">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763AC2C6">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031A0B9A">
      <w:pPr>
        <w:pStyle w:val="17"/>
        <w:numPr>
          <w:ilvl w:val="0"/>
          <w:numId w:val="0"/>
        </w:numPr>
      </w:pPr>
    </w:p>
    <w:p w14:paraId="76603FF4">
      <w:pPr>
        <w:rPr>
          <w:rFonts w:ascii="宋体" w:hAnsi="宋体" w:eastAsia="宋体" w:cs="宋体"/>
          <w:color w:val="000000"/>
        </w:rPr>
      </w:pPr>
    </w:p>
    <w:p w14:paraId="4E1478A6">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2CE00FB1">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520133E6">
      <w:pPr>
        <w:pStyle w:val="17"/>
      </w:pPr>
    </w:p>
    <w:p w14:paraId="71C32B4F">
      <w:pPr>
        <w:pStyle w:val="17"/>
      </w:pPr>
    </w:p>
    <w:p w14:paraId="0923BCE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0D0623AB">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54CACA0D">
      <w:pPr>
        <w:pStyle w:val="17"/>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研发试验类设备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0141FA1F">
      <w:pPr>
        <w:pStyle w:val="17"/>
        <w:sectPr>
          <w:pgSz w:w="11906" w:h="16838"/>
          <w:pgMar w:top="1588" w:right="1418" w:bottom="1134" w:left="1418" w:header="851" w:footer="992" w:gutter="0"/>
          <w:cols w:space="720" w:num="1"/>
          <w:titlePg/>
          <w:docGrid w:type="lines" w:linePitch="312" w:charSpace="0"/>
        </w:sectPr>
      </w:pPr>
    </w:p>
    <w:p w14:paraId="0EDE0C05">
      <w:pPr>
        <w:pStyle w:val="1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422E51EA">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p>
    <w:p w14:paraId="799A85B1">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3C8554C3">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2D2DC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54FA68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952E3F">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697D3FC">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3"/>
                    <a:stretch>
                      <a:fillRect/>
                    </a:stretch>
                  </pic:blipFill>
                  <pic:spPr>
                    <a:xfrm>
                      <a:off x="0" y="0"/>
                      <a:ext cx="5760085" cy="2269864"/>
                    </a:xfrm>
                    <a:prstGeom prst="rect">
                      <a:avLst/>
                    </a:prstGeom>
                  </pic:spPr>
                </pic:pic>
              </a:graphicData>
            </a:graphic>
          </wp:inline>
        </w:drawing>
      </w:r>
    </w:p>
    <w:p w14:paraId="7C1E355F"/>
    <w:p w14:paraId="5CE60CA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A77EDC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ABC459C">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4"/>
                    <a:stretch>
                      <a:fillRect/>
                    </a:stretch>
                  </pic:blipFill>
                  <pic:spPr>
                    <a:xfrm>
                      <a:off x="0" y="0"/>
                      <a:ext cx="5760085" cy="2125673"/>
                    </a:xfrm>
                    <a:prstGeom prst="rect">
                      <a:avLst/>
                    </a:prstGeom>
                  </pic:spPr>
                </pic:pic>
              </a:graphicData>
            </a:graphic>
          </wp:inline>
        </w:drawing>
      </w:r>
    </w:p>
    <w:p w14:paraId="7E97624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2A3D842">
      <w:pPr>
        <w:pStyle w:val="1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0D3E8670">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5"/>
                    <a:stretch>
                      <a:fillRect/>
                    </a:stretch>
                  </pic:blipFill>
                  <pic:spPr>
                    <a:xfrm>
                      <a:off x="0" y="0"/>
                      <a:ext cx="5490210" cy="2669498"/>
                    </a:xfrm>
                    <a:prstGeom prst="rect">
                      <a:avLst/>
                    </a:prstGeom>
                  </pic:spPr>
                </pic:pic>
              </a:graphicData>
            </a:graphic>
          </wp:inline>
        </w:drawing>
      </w:r>
    </w:p>
    <w:p w14:paraId="7E79F72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6D0CA5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EB4D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789B4FF">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6"/>
                    <a:stretch>
                      <a:fillRect/>
                    </a:stretch>
                  </pic:blipFill>
                  <pic:spPr>
                    <a:xfrm>
                      <a:off x="0" y="0"/>
                      <a:ext cx="5490210" cy="1992743"/>
                    </a:xfrm>
                    <a:prstGeom prst="rect">
                      <a:avLst/>
                    </a:prstGeom>
                  </pic:spPr>
                </pic:pic>
              </a:graphicData>
            </a:graphic>
          </wp:inline>
        </w:drawing>
      </w:r>
    </w:p>
    <w:p w14:paraId="2AD896D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DB14FA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6DA91EC">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B2389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559DB7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4CE74EE">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65F9167">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7"/>
                    <a:stretch>
                      <a:fillRect/>
                    </a:stretch>
                  </pic:blipFill>
                  <pic:spPr>
                    <a:xfrm>
                      <a:off x="0" y="0"/>
                      <a:ext cx="5490210" cy="2544669"/>
                    </a:xfrm>
                    <a:prstGeom prst="rect">
                      <a:avLst/>
                    </a:prstGeom>
                  </pic:spPr>
                </pic:pic>
              </a:graphicData>
            </a:graphic>
          </wp:inline>
        </w:drawing>
      </w:r>
    </w:p>
    <w:p w14:paraId="1F188D2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DD1F1C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B818EA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6E28FFF8">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8"/>
                    <a:stretch>
                      <a:fillRect/>
                    </a:stretch>
                  </pic:blipFill>
                  <pic:spPr>
                    <a:xfrm>
                      <a:off x="0" y="0"/>
                      <a:ext cx="5760085" cy="1956600"/>
                    </a:xfrm>
                    <a:prstGeom prst="rect">
                      <a:avLst/>
                    </a:prstGeom>
                  </pic:spPr>
                </pic:pic>
              </a:graphicData>
            </a:graphic>
          </wp:inline>
        </w:drawing>
      </w:r>
    </w:p>
    <w:p w14:paraId="2A2257B1">
      <w:pPr>
        <w:pStyle w:val="17"/>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AD252">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19654">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03F19654">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64264">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1E057">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26B1E057">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EF344">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551F58">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67551F58">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4E776">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B8311">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14:paraId="774B8311">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78EFA">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2DA88">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14:paraId="3702DA88">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0A716">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4B3FE2">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174B3FE2">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DBFD8">
    <w:pPr>
      <w:pStyle w:val="2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426B4">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5B7426B4">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13D76">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19286">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14:paraId="28E19286">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F485D">
    <w:pPr>
      <w:pStyle w:val="22"/>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50CAF">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14:paraId="1A450CAF">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698FF">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FE6FF">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14:paraId="6FDFE6FF">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00029">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939B0">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14:paraId="7E1939B0">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974D5">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ADEA6">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417ADEA6">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296A">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0EDB42">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14:paraId="630EDB42">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4452E">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25CFC">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14:paraId="47F25CFC">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6F3D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4E858B">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5ln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y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DmWdCwCAABZBAAADgAAAAAAAAABACAAAAAfAQAAZHJzL2Uyb0RvYy54bWxQSwUGAAAAAAYA&#10;BgBZAQAAvQUAAAAA&#10;">
              <v:fill on="f" focussize="0,0"/>
              <v:stroke on="f" weight="0.5pt"/>
              <v:imagedata o:title=""/>
              <o:lock v:ext="edit" aspectratio="f"/>
              <v:textbox inset="0mm,0mm,0mm,0mm" style="mso-fit-shape-to-text:t;">
                <w:txbxContent>
                  <w:p w14:paraId="114E858B">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2B791">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95EB1">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14:paraId="22495EB1">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F5744">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E8B36C">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14:paraId="7BE8B36C">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6FA1E">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8E17F">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14:paraId="4318E17F">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83A04">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C98E38">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14:paraId="4AC98E38">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BDEDB">
    <w:pPr>
      <w:pStyle w:val="2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9F37E0">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14:paraId="0E9F37E0">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F315D">
    <w:pPr>
      <w:pStyle w:val="2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8A1F2">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73A8A1F2">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BA245">
    <w:pPr>
      <w:pStyle w:val="22"/>
      <w:jc w:val="center"/>
    </w:pPr>
    <w:r>
      <w:rPr>
        <w:rFonts w:hint="eastAsia"/>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D21D7">
    <w:pPr>
      <w:pStyle w:val="22"/>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A7052">
                          <w:pPr>
                            <w:pStyle w:val="2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87A7052">
                    <w:pPr>
                      <w:pStyle w:val="2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E3E38">
    <w:pPr>
      <w:pStyle w:val="22"/>
      <w:jc w:val="center"/>
    </w:pPr>
    <w:r>
      <mc:AlternateContent>
        <mc:Choice Requires="wps">
          <w:drawing>
            <wp:anchor distT="0" distB="0" distL="114300" distR="114300" simplePos="0" relativeHeight="251679744" behindDoc="0" locked="0" layoutInCell="1" allowOverlap="1">
              <wp:simplePos x="0" y="0"/>
              <wp:positionH relativeFrom="margin">
                <wp:posOffset>2846070</wp:posOffset>
              </wp:positionH>
              <wp:positionV relativeFrom="paragraph">
                <wp:posOffset>0</wp:posOffset>
              </wp:positionV>
              <wp:extent cx="153035" cy="13589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52881" cy="1355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D80CB">
                          <w:pPr>
                            <w:pStyle w:val="2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4.1pt;margin-top:0pt;height:10.7pt;width:12.05pt;mso-position-horizontal-relative:margin;z-index:251679744;mso-width-relative:page;mso-height-relative:page;" filled="f" stroked="f" coordsize="21600,21600" o:gfxdata="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A9GVvWAAAABwEAAA8AAAAAAAAAAQAgAAAAIgAAAGRycy9kb3ducmV2LnhtbFBL&#10;AQIUABQAAAAIAIdO4kDYt+foMQIAAFUEAAAOAAAAAAAAAAEAIAAAACUBAABkcnMvZTJvRG9jLnht&#10;bFBLBQYAAAAABgAGAFkBAADIBQAAAAA=&#10;">
              <v:fill on="f" focussize="0,0"/>
              <v:stroke on="f" weight="0.5pt"/>
              <v:imagedata o:title=""/>
              <o:lock v:ext="edit" aspectratio="f"/>
              <v:textbox inset="0mm,0mm,0mm,0mm">
                <w:txbxContent>
                  <w:p w14:paraId="5D2D80CB">
                    <w:pPr>
                      <w:pStyle w:val="2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2531A">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1F654">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A41F654">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D9F20">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DCE10">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hAB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F3TVTqPjpx/fT&#10;z4fTr28EZxCotX6GuHuLyNC9Mx3aZjj3OIy8u8qp+AUjAj/kPV7kFV0gPF6aTqbTHC4O37ABfvZ4&#10;3Tof3gujSDQK6lC/JCs7bHzoQ4eQmE2bdSNlqqHUpC3o1es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GEAFywCAABXBAAADgAAAAAAAAABACAAAAAfAQAAZHJzL2Uyb0RvYy54bWxQSwUGAAAAAAYA&#10;BgBZAQAAvQUAAAAA&#10;">
              <v:fill on="f" focussize="0,0"/>
              <v:stroke on="f" weight="0.5pt"/>
              <v:imagedata o:title=""/>
              <o:lock v:ext="edit" aspectratio="f"/>
              <v:textbox inset="0mm,0mm,0mm,0mm" style="mso-fit-shape-to-text:t;">
                <w:txbxContent>
                  <w:p w14:paraId="1C5DCE10">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31FBF">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05FF1">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14:paraId="6D905FF1">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ACDDF">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BF232">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2DD3D">
    <w:pPr>
      <w:pStyle w:val="23"/>
    </w:pPr>
    <w:r>
      <w:rPr>
        <w:sz w:val="18"/>
      </w:rPr>
      <w:pict>
        <v:shape id="PowerPlusWaterMarkObject7816373" o:spid="_x0000_s3073" o:spt="136" type="#_x0000_t136" style="position:absolute;left:0pt;margin-left:472.35pt;margin-top:400.05pt;height:14pt;width:129pt;mso-position-horizontal-relative:margin;mso-position-vertical-relative:margin;rotation:-2949120f;z-index:-251622400;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7628223" o:spid="_x0000_s3074" o:spt="136" type="#_x0000_t136" style="position:absolute;left:0pt;margin-left:359.95pt;margin-top:512.5pt;height:14pt;width:129pt;mso-position-horizontal-relative:margin;mso-position-vertical-relative:margin;rotation:-2949120f;z-index:-251623424;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6628665" o:spid="_x0000_s3075" o:spt="136" type="#_x0000_t136" style="position:absolute;left:0pt;margin-left:247.5pt;margin-top:624.9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6544427" o:spid="_x0000_s3076" o:spt="136" type="#_x0000_t136" style="position:absolute;left:0pt;margin-left:135.05pt;margin-top:737.35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5658989" o:spid="_x0000_s3077" o:spt="136" type="#_x0000_t136" style="position:absolute;left:0pt;margin-left:472.35pt;margin-top:40.7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5576347" o:spid="_x0000_s3078" o:spt="136" type="#_x0000_t136" style="position:absolute;left:0pt;margin-left:359.95pt;margin-top:153.1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4691201" o:spid="_x0000_s3079" o:spt="136" type="#_x0000_t136" style="position:absolute;left:0pt;margin-left:247.5pt;margin-top:265.6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3890595" o:spid="_x0000_s3080" o:spt="136" type="#_x0000_t136" style="position:absolute;left:0pt;margin-left:135.05pt;margin-top:378.0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3686065" o:spid="_x0000_s3081" o:spt="136" type="#_x0000_t136" style="position:absolute;left:0pt;margin-left:22.65pt;margin-top:490.4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3443108" o:spid="_x0000_s3082" o:spt="136" type="#_x0000_t136" style="position:absolute;left:0pt;margin-left:-89.8pt;margin-top:602.9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3149564" o:spid="_x0000_s3083" o:spt="136" type="#_x0000_t136" style="position:absolute;left:0pt;margin-left:247.5pt;margin-top:-93.7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2198832" o:spid="_x0000_s3084" o:spt="136" type="#_x0000_t136" style="position:absolute;left:0pt;margin-left:135.05pt;margin-top:18.7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1298393" o:spid="_x0000_s3085" o:spt="136" type="#_x0000_t136" style="position:absolute;left:0pt;margin-left:22.65pt;margin-top:131.1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r>
      <w:rPr>
        <w:sz w:val="18"/>
      </w:rPr>
      <w:pict>
        <v:shape id="PowerPlusWaterMarkObject386039" o:spid="_x0000_s3086" o:spt="136" type="#_x0000_t136" style="position:absolute;left:0pt;margin-left:-89.8pt;margin-top:243.5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5-23"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8A1CB">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E9940">
    <w:pPr>
      <w:pStyle w:val="23"/>
    </w:pPr>
  </w:p>
  <w:p w14:paraId="32367499">
    <w:pPr>
      <w:pStyle w:val="2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3DF6F">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685C15C"/>
    <w:multiLevelType w:val="singleLevel"/>
    <w:tmpl w:val="D685C15C"/>
    <w:lvl w:ilvl="0" w:tentative="0">
      <w:start w:val="5"/>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C8F73B9"/>
    <w:multiLevelType w:val="multilevel"/>
    <w:tmpl w:val="EC8F73B9"/>
    <w:lvl w:ilvl="0" w:tentative="0">
      <w:start w:val="17"/>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6D00F7"/>
    <w:multiLevelType w:val="multilevel"/>
    <w:tmpl w:val="076D00F7"/>
    <w:lvl w:ilvl="0" w:tentative="0">
      <w:start w:val="1"/>
      <w:numFmt w:val="lowerLetter"/>
      <w:lvlText w:val="(%1)"/>
      <w:lvlJc w:val="left"/>
      <w:pPr>
        <w:tabs>
          <w:tab w:val="left" w:pos="903"/>
        </w:tabs>
        <w:ind w:left="903"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A72708B"/>
    <w:multiLevelType w:val="multilevel"/>
    <w:tmpl w:val="0A72708B"/>
    <w:lvl w:ilvl="0" w:tentative="0">
      <w:start w:val="9"/>
      <w:numFmt w:val="decimal"/>
      <w:lvlText w:val="%1"/>
      <w:lvlJc w:val="left"/>
      <w:pPr>
        <w:tabs>
          <w:tab w:val="left" w:pos="360"/>
        </w:tabs>
        <w:ind w:left="360" w:hanging="360"/>
      </w:pPr>
      <w:rPr>
        <w:rFonts w:hint="default"/>
      </w:rPr>
    </w:lvl>
    <w:lvl w:ilvl="1" w:tentative="0">
      <w:start w:val="2"/>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7">
    <w:nsid w:val="1A816D65"/>
    <w:multiLevelType w:val="multilevel"/>
    <w:tmpl w:val="1A816D65"/>
    <w:lvl w:ilvl="0" w:tentative="0">
      <w:start w:val="8"/>
      <w:numFmt w:val="decimal"/>
      <w:lvlText w:val="%1"/>
      <w:lvlJc w:val="left"/>
      <w:pPr>
        <w:tabs>
          <w:tab w:val="left" w:pos="360"/>
        </w:tabs>
        <w:ind w:left="360" w:hanging="360"/>
      </w:pPr>
      <w:rPr>
        <w:rFonts w:hint="default"/>
      </w:rPr>
    </w:lvl>
    <w:lvl w:ilvl="1" w:tentative="0">
      <w:start w:val="3"/>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31763B91"/>
    <w:multiLevelType w:val="singleLevel"/>
    <w:tmpl w:val="31763B91"/>
    <w:lvl w:ilvl="0" w:tentative="0">
      <w:start w:val="1"/>
      <w:numFmt w:val="bullet"/>
      <w:lvlText w:val=""/>
      <w:lvlJc w:val="left"/>
      <w:pPr>
        <w:ind w:left="420" w:hanging="420"/>
      </w:pPr>
      <w:rPr>
        <w:rFonts w:hint="default" w:ascii="Wingdings" w:hAnsi="Wingdings"/>
      </w:rPr>
    </w:lvl>
  </w:abstractNum>
  <w:abstractNum w:abstractNumId="12">
    <w:nsid w:val="363426D8"/>
    <w:multiLevelType w:val="multilevel"/>
    <w:tmpl w:val="363426D8"/>
    <w:lvl w:ilvl="0" w:tentative="0">
      <w:start w:val="1"/>
      <w:numFmt w:val="decimal"/>
      <w:lvlText w:val="（%1）"/>
      <w:lvlJc w:val="left"/>
      <w:pPr>
        <w:tabs>
          <w:tab w:val="left" w:pos="720"/>
        </w:tabs>
        <w:ind w:left="720" w:hanging="7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pStyle w:val="136"/>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3B10072A"/>
    <w:multiLevelType w:val="multilevel"/>
    <w:tmpl w:val="3B10072A"/>
    <w:lvl w:ilvl="0" w:tentative="0">
      <w:start w:val="2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5">
    <w:nsid w:val="4AF71A9B"/>
    <w:multiLevelType w:val="multilevel"/>
    <w:tmpl w:val="4AF71A9B"/>
    <w:lvl w:ilvl="0" w:tentative="0">
      <w:start w:val="1"/>
      <w:numFmt w:val="lowerLetter"/>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6">
    <w:nsid w:val="4EF9949A"/>
    <w:multiLevelType w:val="singleLevel"/>
    <w:tmpl w:val="4EF9949A"/>
    <w:lvl w:ilvl="0" w:tentative="0">
      <w:start w:val="1"/>
      <w:numFmt w:val="upperRoman"/>
      <w:suff w:val="space"/>
      <w:lvlText w:val="(%1)"/>
      <w:lvlJc w:val="left"/>
    </w:lvl>
  </w:abstractNum>
  <w:abstractNum w:abstractNumId="17">
    <w:nsid w:val="51E758E6"/>
    <w:multiLevelType w:val="multilevel"/>
    <w:tmpl w:val="51E758E6"/>
    <w:lvl w:ilvl="0" w:tentative="0">
      <w:start w:val="1"/>
      <w:numFmt w:val="decimal"/>
      <w:lvlText w:val="(%1)"/>
      <w:lvlJc w:val="left"/>
      <w:pPr>
        <w:tabs>
          <w:tab w:val="left" w:pos="720"/>
        </w:tabs>
        <w:ind w:left="720" w:hanging="36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61750F57"/>
    <w:multiLevelType w:val="multilevel"/>
    <w:tmpl w:val="61750F57"/>
    <w:lvl w:ilvl="0" w:tentative="0">
      <w:start w:val="1"/>
      <w:numFmt w:val="lowerLetter"/>
      <w:lvlText w:val="(%1)"/>
      <w:lvlJc w:val="left"/>
      <w:pPr>
        <w:tabs>
          <w:tab w:val="left" w:pos="933"/>
        </w:tabs>
        <w:ind w:left="933" w:hanging="39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6E8C6948"/>
    <w:multiLevelType w:val="singleLevel"/>
    <w:tmpl w:val="6E8C6948"/>
    <w:lvl w:ilvl="0" w:tentative="0">
      <w:start w:val="1"/>
      <w:numFmt w:val="chineseCounting"/>
      <w:suff w:val="space"/>
      <w:lvlText w:val="第%1部分"/>
      <w:lvlJc w:val="left"/>
      <w:rPr>
        <w:rFonts w:hint="eastAsia"/>
      </w:rPr>
    </w:lvl>
  </w:abstractNum>
  <w:abstractNum w:abstractNumId="20">
    <w:nsid w:val="75C551E8"/>
    <w:multiLevelType w:val="multilevel"/>
    <w:tmpl w:val="75C551E8"/>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2"/>
  </w:num>
  <w:num w:numId="2">
    <w:abstractNumId w:val="19"/>
  </w:num>
  <w:num w:numId="3">
    <w:abstractNumId w:val="0"/>
  </w:num>
  <w:num w:numId="4">
    <w:abstractNumId w:val="9"/>
  </w:num>
  <w:num w:numId="5">
    <w:abstractNumId w:val="4"/>
  </w:num>
  <w:num w:numId="6">
    <w:abstractNumId w:val="14"/>
  </w:num>
  <w:num w:numId="7">
    <w:abstractNumId w:val="2"/>
  </w:num>
  <w:num w:numId="8">
    <w:abstractNumId w:val="10"/>
  </w:num>
  <w:num w:numId="9">
    <w:abstractNumId w:val="8"/>
  </w:num>
  <w:num w:numId="10">
    <w:abstractNumId w:val="11"/>
  </w:num>
  <w:num w:numId="11">
    <w:abstractNumId w:val="7"/>
  </w:num>
  <w:num w:numId="12">
    <w:abstractNumId w:val="20"/>
  </w:num>
  <w:num w:numId="13">
    <w:abstractNumId w:val="6"/>
  </w:num>
  <w:num w:numId="14">
    <w:abstractNumId w:val="17"/>
  </w:num>
  <w:num w:numId="15">
    <w:abstractNumId w:val="5"/>
  </w:num>
  <w:num w:numId="16">
    <w:abstractNumId w:val="16"/>
  </w:num>
  <w:num w:numId="17">
    <w:abstractNumId w:val="18"/>
  </w:num>
  <w:num w:numId="18">
    <w:abstractNumId w:val="15"/>
  </w:num>
  <w:num w:numId="19">
    <w:abstractNumId w:val="3"/>
  </w:num>
  <w:num w:numId="20">
    <w:abstractNumId w:val="1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3f94176b-c6e5-4a35-bceb-00d97f8336d8"/>
  </w:docVars>
  <w:rsids>
    <w:rsidRoot w:val="0056018A"/>
    <w:rsid w:val="0000344B"/>
    <w:rsid w:val="00004AE2"/>
    <w:rsid w:val="00005742"/>
    <w:rsid w:val="00005DE3"/>
    <w:rsid w:val="00006ACA"/>
    <w:rsid w:val="000074E0"/>
    <w:rsid w:val="000118ED"/>
    <w:rsid w:val="00012EE1"/>
    <w:rsid w:val="000139F5"/>
    <w:rsid w:val="00013AF9"/>
    <w:rsid w:val="0001756F"/>
    <w:rsid w:val="00022B06"/>
    <w:rsid w:val="00024229"/>
    <w:rsid w:val="00027254"/>
    <w:rsid w:val="0003107B"/>
    <w:rsid w:val="00032998"/>
    <w:rsid w:val="000335E7"/>
    <w:rsid w:val="00036836"/>
    <w:rsid w:val="0004157E"/>
    <w:rsid w:val="00042C90"/>
    <w:rsid w:val="000444D7"/>
    <w:rsid w:val="00044EDD"/>
    <w:rsid w:val="00045968"/>
    <w:rsid w:val="000461C2"/>
    <w:rsid w:val="00046230"/>
    <w:rsid w:val="00047C31"/>
    <w:rsid w:val="000521B7"/>
    <w:rsid w:val="00052B1D"/>
    <w:rsid w:val="00053A98"/>
    <w:rsid w:val="00054508"/>
    <w:rsid w:val="00056803"/>
    <w:rsid w:val="0005777A"/>
    <w:rsid w:val="00057D69"/>
    <w:rsid w:val="00061EF5"/>
    <w:rsid w:val="00063033"/>
    <w:rsid w:val="000632CC"/>
    <w:rsid w:val="00065382"/>
    <w:rsid w:val="000725A1"/>
    <w:rsid w:val="000728AA"/>
    <w:rsid w:val="000753F9"/>
    <w:rsid w:val="000770EF"/>
    <w:rsid w:val="00080223"/>
    <w:rsid w:val="00080C06"/>
    <w:rsid w:val="00082367"/>
    <w:rsid w:val="00084C12"/>
    <w:rsid w:val="00091339"/>
    <w:rsid w:val="00092FED"/>
    <w:rsid w:val="00094EC2"/>
    <w:rsid w:val="000A305B"/>
    <w:rsid w:val="000A36AF"/>
    <w:rsid w:val="000A4CB3"/>
    <w:rsid w:val="000A5309"/>
    <w:rsid w:val="000A664C"/>
    <w:rsid w:val="000B081A"/>
    <w:rsid w:val="000B27AB"/>
    <w:rsid w:val="000B6B49"/>
    <w:rsid w:val="000C0057"/>
    <w:rsid w:val="000C28E3"/>
    <w:rsid w:val="000C4015"/>
    <w:rsid w:val="000C53A7"/>
    <w:rsid w:val="000C6BE3"/>
    <w:rsid w:val="000C7C11"/>
    <w:rsid w:val="000D6A51"/>
    <w:rsid w:val="000F2BF0"/>
    <w:rsid w:val="000F2FAC"/>
    <w:rsid w:val="000F45A3"/>
    <w:rsid w:val="000F489E"/>
    <w:rsid w:val="00100760"/>
    <w:rsid w:val="00101992"/>
    <w:rsid w:val="00102A5F"/>
    <w:rsid w:val="00107502"/>
    <w:rsid w:val="00110547"/>
    <w:rsid w:val="00116759"/>
    <w:rsid w:val="0012053F"/>
    <w:rsid w:val="00122A5E"/>
    <w:rsid w:val="001240BC"/>
    <w:rsid w:val="00124515"/>
    <w:rsid w:val="0012736D"/>
    <w:rsid w:val="00131BE5"/>
    <w:rsid w:val="0013700C"/>
    <w:rsid w:val="00146B8D"/>
    <w:rsid w:val="001475D5"/>
    <w:rsid w:val="00153841"/>
    <w:rsid w:val="00153BD7"/>
    <w:rsid w:val="001543D6"/>
    <w:rsid w:val="0015579F"/>
    <w:rsid w:val="001616B1"/>
    <w:rsid w:val="001636A0"/>
    <w:rsid w:val="00164E8C"/>
    <w:rsid w:val="0016584F"/>
    <w:rsid w:val="00165C77"/>
    <w:rsid w:val="001704B5"/>
    <w:rsid w:val="00173BD7"/>
    <w:rsid w:val="00173E90"/>
    <w:rsid w:val="00176B22"/>
    <w:rsid w:val="00180E59"/>
    <w:rsid w:val="001821CA"/>
    <w:rsid w:val="0018236B"/>
    <w:rsid w:val="00192B63"/>
    <w:rsid w:val="00195466"/>
    <w:rsid w:val="00195D33"/>
    <w:rsid w:val="001A56FA"/>
    <w:rsid w:val="001B2A52"/>
    <w:rsid w:val="001B4458"/>
    <w:rsid w:val="001B6E24"/>
    <w:rsid w:val="001C02D0"/>
    <w:rsid w:val="001C1EE3"/>
    <w:rsid w:val="001C284F"/>
    <w:rsid w:val="001C5565"/>
    <w:rsid w:val="001C630E"/>
    <w:rsid w:val="001C713C"/>
    <w:rsid w:val="001D0CEA"/>
    <w:rsid w:val="001D75B9"/>
    <w:rsid w:val="001E59F5"/>
    <w:rsid w:val="001E5C04"/>
    <w:rsid w:val="001F21BF"/>
    <w:rsid w:val="001F4A3A"/>
    <w:rsid w:val="001F6329"/>
    <w:rsid w:val="00200EA6"/>
    <w:rsid w:val="00200F05"/>
    <w:rsid w:val="002023A1"/>
    <w:rsid w:val="00202C59"/>
    <w:rsid w:val="0020386D"/>
    <w:rsid w:val="00203AE1"/>
    <w:rsid w:val="00203BAA"/>
    <w:rsid w:val="00212C27"/>
    <w:rsid w:val="00216B42"/>
    <w:rsid w:val="00217B79"/>
    <w:rsid w:val="00220056"/>
    <w:rsid w:val="00221FF8"/>
    <w:rsid w:val="00222D33"/>
    <w:rsid w:val="00224F73"/>
    <w:rsid w:val="00227943"/>
    <w:rsid w:val="00227B98"/>
    <w:rsid w:val="00230062"/>
    <w:rsid w:val="00230474"/>
    <w:rsid w:val="002308E5"/>
    <w:rsid w:val="00233296"/>
    <w:rsid w:val="00236395"/>
    <w:rsid w:val="0024547B"/>
    <w:rsid w:val="0025142F"/>
    <w:rsid w:val="00251589"/>
    <w:rsid w:val="002522D8"/>
    <w:rsid w:val="00255A2F"/>
    <w:rsid w:val="00255CF1"/>
    <w:rsid w:val="00255F5A"/>
    <w:rsid w:val="002602AB"/>
    <w:rsid w:val="00260543"/>
    <w:rsid w:val="002626ED"/>
    <w:rsid w:val="002627E8"/>
    <w:rsid w:val="002631FB"/>
    <w:rsid w:val="0026541A"/>
    <w:rsid w:val="00265A40"/>
    <w:rsid w:val="00265F73"/>
    <w:rsid w:val="002676D4"/>
    <w:rsid w:val="00267893"/>
    <w:rsid w:val="00272C1A"/>
    <w:rsid w:val="00272D11"/>
    <w:rsid w:val="00282FDE"/>
    <w:rsid w:val="002849C3"/>
    <w:rsid w:val="0029130A"/>
    <w:rsid w:val="002915F2"/>
    <w:rsid w:val="0029562F"/>
    <w:rsid w:val="002A0B96"/>
    <w:rsid w:val="002A1CA2"/>
    <w:rsid w:val="002A31F5"/>
    <w:rsid w:val="002A3F4F"/>
    <w:rsid w:val="002A6C6A"/>
    <w:rsid w:val="002B12F2"/>
    <w:rsid w:val="002B15AF"/>
    <w:rsid w:val="002B2809"/>
    <w:rsid w:val="002B4A1E"/>
    <w:rsid w:val="002C246D"/>
    <w:rsid w:val="002C2B20"/>
    <w:rsid w:val="002C4144"/>
    <w:rsid w:val="002C7D96"/>
    <w:rsid w:val="002D6690"/>
    <w:rsid w:val="002E179E"/>
    <w:rsid w:val="002E4B2B"/>
    <w:rsid w:val="002E79DB"/>
    <w:rsid w:val="002E7A99"/>
    <w:rsid w:val="002F05B6"/>
    <w:rsid w:val="002F0A87"/>
    <w:rsid w:val="002F0FC5"/>
    <w:rsid w:val="002F2292"/>
    <w:rsid w:val="002F25FD"/>
    <w:rsid w:val="002F38BD"/>
    <w:rsid w:val="002F6301"/>
    <w:rsid w:val="00302231"/>
    <w:rsid w:val="00310813"/>
    <w:rsid w:val="003112D5"/>
    <w:rsid w:val="00315FA4"/>
    <w:rsid w:val="00316FCA"/>
    <w:rsid w:val="0032235A"/>
    <w:rsid w:val="003257F7"/>
    <w:rsid w:val="0032597C"/>
    <w:rsid w:val="0032769F"/>
    <w:rsid w:val="00330D3C"/>
    <w:rsid w:val="00330D97"/>
    <w:rsid w:val="003320CC"/>
    <w:rsid w:val="00334124"/>
    <w:rsid w:val="00335D3F"/>
    <w:rsid w:val="00337283"/>
    <w:rsid w:val="00337834"/>
    <w:rsid w:val="00340233"/>
    <w:rsid w:val="00342A2C"/>
    <w:rsid w:val="00343BD7"/>
    <w:rsid w:val="0034622D"/>
    <w:rsid w:val="00346DF3"/>
    <w:rsid w:val="00360D6F"/>
    <w:rsid w:val="00363AE4"/>
    <w:rsid w:val="00373943"/>
    <w:rsid w:val="00375073"/>
    <w:rsid w:val="00375D5C"/>
    <w:rsid w:val="00383039"/>
    <w:rsid w:val="00383E66"/>
    <w:rsid w:val="00383EE3"/>
    <w:rsid w:val="003877CD"/>
    <w:rsid w:val="00390FB2"/>
    <w:rsid w:val="00393912"/>
    <w:rsid w:val="00393BDA"/>
    <w:rsid w:val="0039542F"/>
    <w:rsid w:val="003A2EE2"/>
    <w:rsid w:val="003A32CA"/>
    <w:rsid w:val="003A4382"/>
    <w:rsid w:val="003A4540"/>
    <w:rsid w:val="003A61B2"/>
    <w:rsid w:val="003B1C2B"/>
    <w:rsid w:val="003B1E06"/>
    <w:rsid w:val="003B2849"/>
    <w:rsid w:val="003B3D52"/>
    <w:rsid w:val="003B4D7D"/>
    <w:rsid w:val="003B706A"/>
    <w:rsid w:val="003B7CDC"/>
    <w:rsid w:val="003C0BA4"/>
    <w:rsid w:val="003C208A"/>
    <w:rsid w:val="003C21F8"/>
    <w:rsid w:val="003C61E4"/>
    <w:rsid w:val="003D6561"/>
    <w:rsid w:val="003E0AB3"/>
    <w:rsid w:val="003F750D"/>
    <w:rsid w:val="003F7959"/>
    <w:rsid w:val="004013CA"/>
    <w:rsid w:val="00401C42"/>
    <w:rsid w:val="00406D2C"/>
    <w:rsid w:val="004076DE"/>
    <w:rsid w:val="00413D86"/>
    <w:rsid w:val="0041440A"/>
    <w:rsid w:val="00446232"/>
    <w:rsid w:val="00446B25"/>
    <w:rsid w:val="0045011A"/>
    <w:rsid w:val="00450142"/>
    <w:rsid w:val="00452676"/>
    <w:rsid w:val="004532C9"/>
    <w:rsid w:val="00455F17"/>
    <w:rsid w:val="00457BA8"/>
    <w:rsid w:val="00460AFB"/>
    <w:rsid w:val="00466039"/>
    <w:rsid w:val="00470130"/>
    <w:rsid w:val="0047251F"/>
    <w:rsid w:val="00475A85"/>
    <w:rsid w:val="004767BE"/>
    <w:rsid w:val="00476A00"/>
    <w:rsid w:val="00482B2B"/>
    <w:rsid w:val="00483B0A"/>
    <w:rsid w:val="00486529"/>
    <w:rsid w:val="004877C0"/>
    <w:rsid w:val="0049064A"/>
    <w:rsid w:val="00494169"/>
    <w:rsid w:val="0049457D"/>
    <w:rsid w:val="004953BE"/>
    <w:rsid w:val="004A2CD5"/>
    <w:rsid w:val="004A39F1"/>
    <w:rsid w:val="004A6352"/>
    <w:rsid w:val="004B04B8"/>
    <w:rsid w:val="004B0EBB"/>
    <w:rsid w:val="004B5126"/>
    <w:rsid w:val="004B5831"/>
    <w:rsid w:val="004B5AAF"/>
    <w:rsid w:val="004C093E"/>
    <w:rsid w:val="004C2CBC"/>
    <w:rsid w:val="004C37FE"/>
    <w:rsid w:val="004C44BD"/>
    <w:rsid w:val="004C458A"/>
    <w:rsid w:val="004C7C93"/>
    <w:rsid w:val="004C7D75"/>
    <w:rsid w:val="004D32F6"/>
    <w:rsid w:val="004E3B6C"/>
    <w:rsid w:val="004E3D1C"/>
    <w:rsid w:val="004E5459"/>
    <w:rsid w:val="004E6DAF"/>
    <w:rsid w:val="004F4658"/>
    <w:rsid w:val="004F7838"/>
    <w:rsid w:val="00501230"/>
    <w:rsid w:val="005021D0"/>
    <w:rsid w:val="00502563"/>
    <w:rsid w:val="00503391"/>
    <w:rsid w:val="00506DC7"/>
    <w:rsid w:val="00513258"/>
    <w:rsid w:val="00513612"/>
    <w:rsid w:val="0051451D"/>
    <w:rsid w:val="0052203A"/>
    <w:rsid w:val="00523001"/>
    <w:rsid w:val="0052498D"/>
    <w:rsid w:val="00525A9A"/>
    <w:rsid w:val="00530187"/>
    <w:rsid w:val="00530B38"/>
    <w:rsid w:val="00533162"/>
    <w:rsid w:val="0053375F"/>
    <w:rsid w:val="005419BC"/>
    <w:rsid w:val="00550A68"/>
    <w:rsid w:val="00552960"/>
    <w:rsid w:val="00555360"/>
    <w:rsid w:val="0056018A"/>
    <w:rsid w:val="0056193B"/>
    <w:rsid w:val="00562CB6"/>
    <w:rsid w:val="005637CE"/>
    <w:rsid w:val="0056531B"/>
    <w:rsid w:val="00566D19"/>
    <w:rsid w:val="00567344"/>
    <w:rsid w:val="005722E4"/>
    <w:rsid w:val="00572D37"/>
    <w:rsid w:val="0057339B"/>
    <w:rsid w:val="005744B6"/>
    <w:rsid w:val="0057594A"/>
    <w:rsid w:val="00576CA0"/>
    <w:rsid w:val="00577245"/>
    <w:rsid w:val="0057780C"/>
    <w:rsid w:val="005829DC"/>
    <w:rsid w:val="0059251F"/>
    <w:rsid w:val="005943C2"/>
    <w:rsid w:val="00595CC4"/>
    <w:rsid w:val="00597985"/>
    <w:rsid w:val="005A1F31"/>
    <w:rsid w:val="005A33D7"/>
    <w:rsid w:val="005A3497"/>
    <w:rsid w:val="005B1A29"/>
    <w:rsid w:val="005B6185"/>
    <w:rsid w:val="005B721A"/>
    <w:rsid w:val="005B7FE4"/>
    <w:rsid w:val="005C0B4E"/>
    <w:rsid w:val="005C0F18"/>
    <w:rsid w:val="005C307A"/>
    <w:rsid w:val="005C3F7D"/>
    <w:rsid w:val="005C421F"/>
    <w:rsid w:val="005C5556"/>
    <w:rsid w:val="005D03F4"/>
    <w:rsid w:val="005D579B"/>
    <w:rsid w:val="005E29A2"/>
    <w:rsid w:val="005E5EBB"/>
    <w:rsid w:val="005E7A6E"/>
    <w:rsid w:val="005F148C"/>
    <w:rsid w:val="005F16F0"/>
    <w:rsid w:val="005F3F45"/>
    <w:rsid w:val="005F54A1"/>
    <w:rsid w:val="006043F2"/>
    <w:rsid w:val="00605511"/>
    <w:rsid w:val="00615209"/>
    <w:rsid w:val="00616513"/>
    <w:rsid w:val="0063004E"/>
    <w:rsid w:val="00637535"/>
    <w:rsid w:val="00641772"/>
    <w:rsid w:val="00644F89"/>
    <w:rsid w:val="00645022"/>
    <w:rsid w:val="00645873"/>
    <w:rsid w:val="006462FB"/>
    <w:rsid w:val="0065185D"/>
    <w:rsid w:val="00653F92"/>
    <w:rsid w:val="00655B13"/>
    <w:rsid w:val="006651D4"/>
    <w:rsid w:val="006676DF"/>
    <w:rsid w:val="00670BDF"/>
    <w:rsid w:val="00680629"/>
    <w:rsid w:val="00686C52"/>
    <w:rsid w:val="00691285"/>
    <w:rsid w:val="00696664"/>
    <w:rsid w:val="006A041E"/>
    <w:rsid w:val="006A0ECC"/>
    <w:rsid w:val="006A3C25"/>
    <w:rsid w:val="006A4103"/>
    <w:rsid w:val="006A58C9"/>
    <w:rsid w:val="006B132C"/>
    <w:rsid w:val="006B1F87"/>
    <w:rsid w:val="006B2EF2"/>
    <w:rsid w:val="006C39CD"/>
    <w:rsid w:val="006C6481"/>
    <w:rsid w:val="006C7755"/>
    <w:rsid w:val="006D1581"/>
    <w:rsid w:val="006D51E3"/>
    <w:rsid w:val="006D5433"/>
    <w:rsid w:val="006E2F84"/>
    <w:rsid w:val="006E5323"/>
    <w:rsid w:val="006E5E25"/>
    <w:rsid w:val="006F115C"/>
    <w:rsid w:val="006F1414"/>
    <w:rsid w:val="006F358B"/>
    <w:rsid w:val="006F6623"/>
    <w:rsid w:val="006F6FA6"/>
    <w:rsid w:val="006F7788"/>
    <w:rsid w:val="0070714B"/>
    <w:rsid w:val="00711C72"/>
    <w:rsid w:val="007160E8"/>
    <w:rsid w:val="007178AE"/>
    <w:rsid w:val="00727B8E"/>
    <w:rsid w:val="007316EF"/>
    <w:rsid w:val="00736BD7"/>
    <w:rsid w:val="00740BCA"/>
    <w:rsid w:val="007432BF"/>
    <w:rsid w:val="00743C2A"/>
    <w:rsid w:val="00743C8F"/>
    <w:rsid w:val="007440C5"/>
    <w:rsid w:val="007457A1"/>
    <w:rsid w:val="007525BF"/>
    <w:rsid w:val="00753421"/>
    <w:rsid w:val="007534C2"/>
    <w:rsid w:val="00756A37"/>
    <w:rsid w:val="0076634E"/>
    <w:rsid w:val="00773303"/>
    <w:rsid w:val="007800DC"/>
    <w:rsid w:val="00782D24"/>
    <w:rsid w:val="007838AA"/>
    <w:rsid w:val="00783D5E"/>
    <w:rsid w:val="00785FD6"/>
    <w:rsid w:val="00787C14"/>
    <w:rsid w:val="00791389"/>
    <w:rsid w:val="007970ED"/>
    <w:rsid w:val="00797790"/>
    <w:rsid w:val="007A1B34"/>
    <w:rsid w:val="007A1F01"/>
    <w:rsid w:val="007A2F8B"/>
    <w:rsid w:val="007A3B10"/>
    <w:rsid w:val="007A516F"/>
    <w:rsid w:val="007A623D"/>
    <w:rsid w:val="007B212D"/>
    <w:rsid w:val="007B3671"/>
    <w:rsid w:val="007B380A"/>
    <w:rsid w:val="007C0B20"/>
    <w:rsid w:val="007C5982"/>
    <w:rsid w:val="007D10C3"/>
    <w:rsid w:val="007D11EB"/>
    <w:rsid w:val="007D2DCC"/>
    <w:rsid w:val="007D373F"/>
    <w:rsid w:val="007D717A"/>
    <w:rsid w:val="007E2662"/>
    <w:rsid w:val="007E41D7"/>
    <w:rsid w:val="007F327F"/>
    <w:rsid w:val="007F3556"/>
    <w:rsid w:val="007F511B"/>
    <w:rsid w:val="007F702F"/>
    <w:rsid w:val="00800CB7"/>
    <w:rsid w:val="008014E1"/>
    <w:rsid w:val="0080192E"/>
    <w:rsid w:val="00803989"/>
    <w:rsid w:val="00806A61"/>
    <w:rsid w:val="00807E23"/>
    <w:rsid w:val="008155A8"/>
    <w:rsid w:val="0081741E"/>
    <w:rsid w:val="008201AC"/>
    <w:rsid w:val="0082195A"/>
    <w:rsid w:val="00821D8A"/>
    <w:rsid w:val="00823EAE"/>
    <w:rsid w:val="00824B1D"/>
    <w:rsid w:val="00824BFD"/>
    <w:rsid w:val="00826BC0"/>
    <w:rsid w:val="008275A6"/>
    <w:rsid w:val="008318A4"/>
    <w:rsid w:val="00836ADC"/>
    <w:rsid w:val="00841253"/>
    <w:rsid w:val="008429A9"/>
    <w:rsid w:val="00843AB4"/>
    <w:rsid w:val="008453B3"/>
    <w:rsid w:val="00855777"/>
    <w:rsid w:val="00857F5E"/>
    <w:rsid w:val="00860A8E"/>
    <w:rsid w:val="00860EA1"/>
    <w:rsid w:val="00861187"/>
    <w:rsid w:val="0086454F"/>
    <w:rsid w:val="00867CB2"/>
    <w:rsid w:val="00870A7E"/>
    <w:rsid w:val="0087205A"/>
    <w:rsid w:val="008736E3"/>
    <w:rsid w:val="00874891"/>
    <w:rsid w:val="00874DD4"/>
    <w:rsid w:val="00875DF4"/>
    <w:rsid w:val="00877077"/>
    <w:rsid w:val="00885F54"/>
    <w:rsid w:val="008901B7"/>
    <w:rsid w:val="008917AA"/>
    <w:rsid w:val="00892530"/>
    <w:rsid w:val="00896A94"/>
    <w:rsid w:val="008A4EE5"/>
    <w:rsid w:val="008A6678"/>
    <w:rsid w:val="008B0CCE"/>
    <w:rsid w:val="008B180D"/>
    <w:rsid w:val="008B25A1"/>
    <w:rsid w:val="008B4352"/>
    <w:rsid w:val="008B5614"/>
    <w:rsid w:val="008C4204"/>
    <w:rsid w:val="008C51DC"/>
    <w:rsid w:val="008C6366"/>
    <w:rsid w:val="008D3B56"/>
    <w:rsid w:val="008D4742"/>
    <w:rsid w:val="008D5CEF"/>
    <w:rsid w:val="008E07A1"/>
    <w:rsid w:val="008E0EF2"/>
    <w:rsid w:val="008E723E"/>
    <w:rsid w:val="008F18AA"/>
    <w:rsid w:val="008F6A61"/>
    <w:rsid w:val="009021C8"/>
    <w:rsid w:val="00906356"/>
    <w:rsid w:val="00906B9E"/>
    <w:rsid w:val="00906DAB"/>
    <w:rsid w:val="0091006D"/>
    <w:rsid w:val="0091190D"/>
    <w:rsid w:val="00915EE8"/>
    <w:rsid w:val="00931980"/>
    <w:rsid w:val="009360F9"/>
    <w:rsid w:val="00937D41"/>
    <w:rsid w:val="009405DA"/>
    <w:rsid w:val="0094165A"/>
    <w:rsid w:val="0094372A"/>
    <w:rsid w:val="00945180"/>
    <w:rsid w:val="00946C8E"/>
    <w:rsid w:val="00953451"/>
    <w:rsid w:val="009571FF"/>
    <w:rsid w:val="00960BAD"/>
    <w:rsid w:val="00962479"/>
    <w:rsid w:val="009629F9"/>
    <w:rsid w:val="00964F00"/>
    <w:rsid w:val="00970C06"/>
    <w:rsid w:val="009746FF"/>
    <w:rsid w:val="009758E4"/>
    <w:rsid w:val="0097607C"/>
    <w:rsid w:val="0098245C"/>
    <w:rsid w:val="00986927"/>
    <w:rsid w:val="009908A5"/>
    <w:rsid w:val="009910B2"/>
    <w:rsid w:val="0099547C"/>
    <w:rsid w:val="00995C51"/>
    <w:rsid w:val="009969B2"/>
    <w:rsid w:val="009A0362"/>
    <w:rsid w:val="009A403F"/>
    <w:rsid w:val="009A42DB"/>
    <w:rsid w:val="009A54A4"/>
    <w:rsid w:val="009B112C"/>
    <w:rsid w:val="009B1C44"/>
    <w:rsid w:val="009B3D84"/>
    <w:rsid w:val="009B511E"/>
    <w:rsid w:val="009B5907"/>
    <w:rsid w:val="009C1615"/>
    <w:rsid w:val="009D46EB"/>
    <w:rsid w:val="009E02E2"/>
    <w:rsid w:val="009E0461"/>
    <w:rsid w:val="009E0F5E"/>
    <w:rsid w:val="009E1897"/>
    <w:rsid w:val="009E3207"/>
    <w:rsid w:val="009E3346"/>
    <w:rsid w:val="009E6B4F"/>
    <w:rsid w:val="009F334A"/>
    <w:rsid w:val="009F4A9C"/>
    <w:rsid w:val="009F60C8"/>
    <w:rsid w:val="009F70ED"/>
    <w:rsid w:val="009F79CE"/>
    <w:rsid w:val="00A1372D"/>
    <w:rsid w:val="00A13FAA"/>
    <w:rsid w:val="00A14B6A"/>
    <w:rsid w:val="00A15489"/>
    <w:rsid w:val="00A21EB2"/>
    <w:rsid w:val="00A313C2"/>
    <w:rsid w:val="00A31561"/>
    <w:rsid w:val="00A33DC8"/>
    <w:rsid w:val="00A42CA3"/>
    <w:rsid w:val="00A46AF9"/>
    <w:rsid w:val="00A52952"/>
    <w:rsid w:val="00A546A9"/>
    <w:rsid w:val="00A54E81"/>
    <w:rsid w:val="00A54E95"/>
    <w:rsid w:val="00A60709"/>
    <w:rsid w:val="00A64672"/>
    <w:rsid w:val="00A64FA5"/>
    <w:rsid w:val="00A661AB"/>
    <w:rsid w:val="00A66D84"/>
    <w:rsid w:val="00A67D18"/>
    <w:rsid w:val="00A73385"/>
    <w:rsid w:val="00A74876"/>
    <w:rsid w:val="00A75CE3"/>
    <w:rsid w:val="00A764AE"/>
    <w:rsid w:val="00A7765E"/>
    <w:rsid w:val="00A80564"/>
    <w:rsid w:val="00A819BB"/>
    <w:rsid w:val="00A82813"/>
    <w:rsid w:val="00A84227"/>
    <w:rsid w:val="00A8466A"/>
    <w:rsid w:val="00A8485C"/>
    <w:rsid w:val="00A8525E"/>
    <w:rsid w:val="00A91C3A"/>
    <w:rsid w:val="00A95CA3"/>
    <w:rsid w:val="00A960B2"/>
    <w:rsid w:val="00A97FA1"/>
    <w:rsid w:val="00AA00F2"/>
    <w:rsid w:val="00AA17A6"/>
    <w:rsid w:val="00AA66A4"/>
    <w:rsid w:val="00AA7A1A"/>
    <w:rsid w:val="00AA7DF9"/>
    <w:rsid w:val="00AB1938"/>
    <w:rsid w:val="00AB37BA"/>
    <w:rsid w:val="00AB6411"/>
    <w:rsid w:val="00AC18E4"/>
    <w:rsid w:val="00AC1BB2"/>
    <w:rsid w:val="00AC2FC2"/>
    <w:rsid w:val="00AC64FA"/>
    <w:rsid w:val="00AC6AFC"/>
    <w:rsid w:val="00AC6C65"/>
    <w:rsid w:val="00AD1AFD"/>
    <w:rsid w:val="00AD2364"/>
    <w:rsid w:val="00AD6B44"/>
    <w:rsid w:val="00AE2BE3"/>
    <w:rsid w:val="00AE484B"/>
    <w:rsid w:val="00AE50E6"/>
    <w:rsid w:val="00AE6633"/>
    <w:rsid w:val="00AF27DF"/>
    <w:rsid w:val="00AF59BB"/>
    <w:rsid w:val="00AF6954"/>
    <w:rsid w:val="00B003A5"/>
    <w:rsid w:val="00B01FF1"/>
    <w:rsid w:val="00B0476B"/>
    <w:rsid w:val="00B058AD"/>
    <w:rsid w:val="00B11846"/>
    <w:rsid w:val="00B141C7"/>
    <w:rsid w:val="00B17076"/>
    <w:rsid w:val="00B20E3D"/>
    <w:rsid w:val="00B23961"/>
    <w:rsid w:val="00B260A0"/>
    <w:rsid w:val="00B26258"/>
    <w:rsid w:val="00B2752D"/>
    <w:rsid w:val="00B3700D"/>
    <w:rsid w:val="00B37482"/>
    <w:rsid w:val="00B440B3"/>
    <w:rsid w:val="00B45B0A"/>
    <w:rsid w:val="00B54400"/>
    <w:rsid w:val="00B54472"/>
    <w:rsid w:val="00B603A8"/>
    <w:rsid w:val="00B622D5"/>
    <w:rsid w:val="00B6248A"/>
    <w:rsid w:val="00B64CF2"/>
    <w:rsid w:val="00B701C2"/>
    <w:rsid w:val="00B71C67"/>
    <w:rsid w:val="00B72516"/>
    <w:rsid w:val="00B725D2"/>
    <w:rsid w:val="00B772B1"/>
    <w:rsid w:val="00B85BAE"/>
    <w:rsid w:val="00B862B2"/>
    <w:rsid w:val="00B87074"/>
    <w:rsid w:val="00B87218"/>
    <w:rsid w:val="00B8772E"/>
    <w:rsid w:val="00B92C97"/>
    <w:rsid w:val="00B95BF5"/>
    <w:rsid w:val="00B96BEB"/>
    <w:rsid w:val="00BA164B"/>
    <w:rsid w:val="00BA1F27"/>
    <w:rsid w:val="00BA22A3"/>
    <w:rsid w:val="00BA3C70"/>
    <w:rsid w:val="00BB462B"/>
    <w:rsid w:val="00BB4E42"/>
    <w:rsid w:val="00BC1799"/>
    <w:rsid w:val="00BC2137"/>
    <w:rsid w:val="00BC406F"/>
    <w:rsid w:val="00BD4454"/>
    <w:rsid w:val="00BD482F"/>
    <w:rsid w:val="00BD48DB"/>
    <w:rsid w:val="00BD533C"/>
    <w:rsid w:val="00BD590A"/>
    <w:rsid w:val="00BD7B45"/>
    <w:rsid w:val="00BE4BDC"/>
    <w:rsid w:val="00BE4BEB"/>
    <w:rsid w:val="00BE4E6B"/>
    <w:rsid w:val="00C01073"/>
    <w:rsid w:val="00C018F6"/>
    <w:rsid w:val="00C02BA2"/>
    <w:rsid w:val="00C02DFC"/>
    <w:rsid w:val="00C0347A"/>
    <w:rsid w:val="00C0451E"/>
    <w:rsid w:val="00C05D59"/>
    <w:rsid w:val="00C076F2"/>
    <w:rsid w:val="00C07723"/>
    <w:rsid w:val="00C07BC8"/>
    <w:rsid w:val="00C11C6C"/>
    <w:rsid w:val="00C14296"/>
    <w:rsid w:val="00C158F0"/>
    <w:rsid w:val="00C17F56"/>
    <w:rsid w:val="00C20947"/>
    <w:rsid w:val="00C27028"/>
    <w:rsid w:val="00C33D2F"/>
    <w:rsid w:val="00C357A4"/>
    <w:rsid w:val="00C36B23"/>
    <w:rsid w:val="00C429DC"/>
    <w:rsid w:val="00C44C4E"/>
    <w:rsid w:val="00C55033"/>
    <w:rsid w:val="00C6069E"/>
    <w:rsid w:val="00C60ADE"/>
    <w:rsid w:val="00C62367"/>
    <w:rsid w:val="00C63FB1"/>
    <w:rsid w:val="00C64A3F"/>
    <w:rsid w:val="00C66D9D"/>
    <w:rsid w:val="00C74F46"/>
    <w:rsid w:val="00C75264"/>
    <w:rsid w:val="00C76292"/>
    <w:rsid w:val="00C77A2D"/>
    <w:rsid w:val="00C84485"/>
    <w:rsid w:val="00C855F6"/>
    <w:rsid w:val="00C86991"/>
    <w:rsid w:val="00C86C51"/>
    <w:rsid w:val="00C9064C"/>
    <w:rsid w:val="00C9108D"/>
    <w:rsid w:val="00C92944"/>
    <w:rsid w:val="00C92F53"/>
    <w:rsid w:val="00C97601"/>
    <w:rsid w:val="00C9784E"/>
    <w:rsid w:val="00CA1259"/>
    <w:rsid w:val="00CA5334"/>
    <w:rsid w:val="00CA6948"/>
    <w:rsid w:val="00CA6F40"/>
    <w:rsid w:val="00CB64FE"/>
    <w:rsid w:val="00CB753A"/>
    <w:rsid w:val="00CC105B"/>
    <w:rsid w:val="00CD0040"/>
    <w:rsid w:val="00CD2F3F"/>
    <w:rsid w:val="00CD46FA"/>
    <w:rsid w:val="00CD5223"/>
    <w:rsid w:val="00CD73C8"/>
    <w:rsid w:val="00CE0692"/>
    <w:rsid w:val="00CE0A95"/>
    <w:rsid w:val="00CE185B"/>
    <w:rsid w:val="00CE4A92"/>
    <w:rsid w:val="00CE5010"/>
    <w:rsid w:val="00CE537E"/>
    <w:rsid w:val="00CE6E17"/>
    <w:rsid w:val="00CF080D"/>
    <w:rsid w:val="00CF5E7B"/>
    <w:rsid w:val="00CF738A"/>
    <w:rsid w:val="00D0376A"/>
    <w:rsid w:val="00D0528A"/>
    <w:rsid w:val="00D064F3"/>
    <w:rsid w:val="00D10055"/>
    <w:rsid w:val="00D11B37"/>
    <w:rsid w:val="00D15B6B"/>
    <w:rsid w:val="00D20C23"/>
    <w:rsid w:val="00D24747"/>
    <w:rsid w:val="00D31EF2"/>
    <w:rsid w:val="00D3523B"/>
    <w:rsid w:val="00D37B5D"/>
    <w:rsid w:val="00D408EF"/>
    <w:rsid w:val="00D42379"/>
    <w:rsid w:val="00D467AE"/>
    <w:rsid w:val="00D4714D"/>
    <w:rsid w:val="00D5145C"/>
    <w:rsid w:val="00D5235F"/>
    <w:rsid w:val="00D53E20"/>
    <w:rsid w:val="00D5468E"/>
    <w:rsid w:val="00D552BC"/>
    <w:rsid w:val="00D64DAE"/>
    <w:rsid w:val="00D6722B"/>
    <w:rsid w:val="00D7137D"/>
    <w:rsid w:val="00D727CF"/>
    <w:rsid w:val="00D729A1"/>
    <w:rsid w:val="00D81581"/>
    <w:rsid w:val="00D81C55"/>
    <w:rsid w:val="00D81E69"/>
    <w:rsid w:val="00D82AD8"/>
    <w:rsid w:val="00D842E9"/>
    <w:rsid w:val="00D94C86"/>
    <w:rsid w:val="00DA336D"/>
    <w:rsid w:val="00DA5F70"/>
    <w:rsid w:val="00DA6406"/>
    <w:rsid w:val="00DB3448"/>
    <w:rsid w:val="00DB5225"/>
    <w:rsid w:val="00DC05BA"/>
    <w:rsid w:val="00DC0987"/>
    <w:rsid w:val="00DC2B7B"/>
    <w:rsid w:val="00DD1E5E"/>
    <w:rsid w:val="00DE23BB"/>
    <w:rsid w:val="00DE6417"/>
    <w:rsid w:val="00DF1686"/>
    <w:rsid w:val="00DF7A2F"/>
    <w:rsid w:val="00E03389"/>
    <w:rsid w:val="00E067D8"/>
    <w:rsid w:val="00E1627A"/>
    <w:rsid w:val="00E2137E"/>
    <w:rsid w:val="00E264DD"/>
    <w:rsid w:val="00E30265"/>
    <w:rsid w:val="00E30F72"/>
    <w:rsid w:val="00E345D6"/>
    <w:rsid w:val="00E34C35"/>
    <w:rsid w:val="00E368F4"/>
    <w:rsid w:val="00E37E12"/>
    <w:rsid w:val="00E37F87"/>
    <w:rsid w:val="00E4136A"/>
    <w:rsid w:val="00E44B34"/>
    <w:rsid w:val="00E45970"/>
    <w:rsid w:val="00E46E10"/>
    <w:rsid w:val="00E51995"/>
    <w:rsid w:val="00E52FCE"/>
    <w:rsid w:val="00E650A8"/>
    <w:rsid w:val="00E828C3"/>
    <w:rsid w:val="00E83A8B"/>
    <w:rsid w:val="00E85253"/>
    <w:rsid w:val="00E878B4"/>
    <w:rsid w:val="00E878C9"/>
    <w:rsid w:val="00E95684"/>
    <w:rsid w:val="00EA3E07"/>
    <w:rsid w:val="00EA7B24"/>
    <w:rsid w:val="00EB0C00"/>
    <w:rsid w:val="00EB10E4"/>
    <w:rsid w:val="00EB3D00"/>
    <w:rsid w:val="00EB7DDC"/>
    <w:rsid w:val="00EC004D"/>
    <w:rsid w:val="00ED3322"/>
    <w:rsid w:val="00ED40D0"/>
    <w:rsid w:val="00ED54E3"/>
    <w:rsid w:val="00ED7307"/>
    <w:rsid w:val="00ED7342"/>
    <w:rsid w:val="00ED7DDD"/>
    <w:rsid w:val="00EE1C41"/>
    <w:rsid w:val="00EF11E2"/>
    <w:rsid w:val="00EF421E"/>
    <w:rsid w:val="00EF4D50"/>
    <w:rsid w:val="00EF6BCF"/>
    <w:rsid w:val="00EF7597"/>
    <w:rsid w:val="00F011A5"/>
    <w:rsid w:val="00F1084E"/>
    <w:rsid w:val="00F1627D"/>
    <w:rsid w:val="00F16B1F"/>
    <w:rsid w:val="00F201E7"/>
    <w:rsid w:val="00F3039F"/>
    <w:rsid w:val="00F342E7"/>
    <w:rsid w:val="00F34754"/>
    <w:rsid w:val="00F4160D"/>
    <w:rsid w:val="00F41BB6"/>
    <w:rsid w:val="00F45912"/>
    <w:rsid w:val="00F461B1"/>
    <w:rsid w:val="00F509DA"/>
    <w:rsid w:val="00F51563"/>
    <w:rsid w:val="00F51ECC"/>
    <w:rsid w:val="00F547D9"/>
    <w:rsid w:val="00F566E5"/>
    <w:rsid w:val="00F6072F"/>
    <w:rsid w:val="00F6136F"/>
    <w:rsid w:val="00F61D52"/>
    <w:rsid w:val="00F62C70"/>
    <w:rsid w:val="00F630D4"/>
    <w:rsid w:val="00F649F9"/>
    <w:rsid w:val="00F71720"/>
    <w:rsid w:val="00F71A75"/>
    <w:rsid w:val="00F72AE4"/>
    <w:rsid w:val="00F7343D"/>
    <w:rsid w:val="00F80728"/>
    <w:rsid w:val="00F84B4C"/>
    <w:rsid w:val="00F8637F"/>
    <w:rsid w:val="00F87E0F"/>
    <w:rsid w:val="00F94C99"/>
    <w:rsid w:val="00F94DFA"/>
    <w:rsid w:val="00FA0A44"/>
    <w:rsid w:val="00FA579E"/>
    <w:rsid w:val="00FA64EE"/>
    <w:rsid w:val="00FA6A73"/>
    <w:rsid w:val="00FA6F6D"/>
    <w:rsid w:val="00FB651B"/>
    <w:rsid w:val="00FB6918"/>
    <w:rsid w:val="00FC1AE7"/>
    <w:rsid w:val="00FC2431"/>
    <w:rsid w:val="00FD26DE"/>
    <w:rsid w:val="00FD3AC1"/>
    <w:rsid w:val="00FD47E9"/>
    <w:rsid w:val="00FD5697"/>
    <w:rsid w:val="00FE040F"/>
    <w:rsid w:val="00FE1302"/>
    <w:rsid w:val="00FE2E32"/>
    <w:rsid w:val="00FE3DD3"/>
    <w:rsid w:val="00FE42B3"/>
    <w:rsid w:val="00FE4D88"/>
    <w:rsid w:val="00FF13FA"/>
    <w:rsid w:val="00FF47C3"/>
    <w:rsid w:val="00FF4CFC"/>
    <w:rsid w:val="014832F2"/>
    <w:rsid w:val="014A7FD7"/>
    <w:rsid w:val="014D51C1"/>
    <w:rsid w:val="01835747"/>
    <w:rsid w:val="01A32794"/>
    <w:rsid w:val="01C43A72"/>
    <w:rsid w:val="01C52478"/>
    <w:rsid w:val="02094A42"/>
    <w:rsid w:val="02355837"/>
    <w:rsid w:val="027408EE"/>
    <w:rsid w:val="02873BB9"/>
    <w:rsid w:val="02963F39"/>
    <w:rsid w:val="02BA7274"/>
    <w:rsid w:val="02DF57A3"/>
    <w:rsid w:val="03251978"/>
    <w:rsid w:val="0325718A"/>
    <w:rsid w:val="03545DBF"/>
    <w:rsid w:val="037B371D"/>
    <w:rsid w:val="03BA08C7"/>
    <w:rsid w:val="042921B6"/>
    <w:rsid w:val="04356A9C"/>
    <w:rsid w:val="04904FA7"/>
    <w:rsid w:val="04A5009E"/>
    <w:rsid w:val="04AD02B8"/>
    <w:rsid w:val="04DF17D4"/>
    <w:rsid w:val="05412745"/>
    <w:rsid w:val="054702E8"/>
    <w:rsid w:val="05491761"/>
    <w:rsid w:val="05726DA2"/>
    <w:rsid w:val="05A351AD"/>
    <w:rsid w:val="05F9748A"/>
    <w:rsid w:val="06266F78"/>
    <w:rsid w:val="063E7B7A"/>
    <w:rsid w:val="06510766"/>
    <w:rsid w:val="06582413"/>
    <w:rsid w:val="067375A5"/>
    <w:rsid w:val="067E33B8"/>
    <w:rsid w:val="069A3EBB"/>
    <w:rsid w:val="06A95914"/>
    <w:rsid w:val="06D118A6"/>
    <w:rsid w:val="06E82FCB"/>
    <w:rsid w:val="06F34B95"/>
    <w:rsid w:val="071535E2"/>
    <w:rsid w:val="07571DAC"/>
    <w:rsid w:val="07BE7CD4"/>
    <w:rsid w:val="08D8507E"/>
    <w:rsid w:val="08E64121"/>
    <w:rsid w:val="0942017F"/>
    <w:rsid w:val="09676C13"/>
    <w:rsid w:val="097144E5"/>
    <w:rsid w:val="098350DA"/>
    <w:rsid w:val="09A3345C"/>
    <w:rsid w:val="09BA1FBB"/>
    <w:rsid w:val="09CB139F"/>
    <w:rsid w:val="0A0106F5"/>
    <w:rsid w:val="0A112AB7"/>
    <w:rsid w:val="0AD71BC7"/>
    <w:rsid w:val="0AD81455"/>
    <w:rsid w:val="0AF420EB"/>
    <w:rsid w:val="0B2B2BF5"/>
    <w:rsid w:val="0B2F3908"/>
    <w:rsid w:val="0B3F6206"/>
    <w:rsid w:val="0BE12DB6"/>
    <w:rsid w:val="0C626CE4"/>
    <w:rsid w:val="0C897AA5"/>
    <w:rsid w:val="0D0C2B7B"/>
    <w:rsid w:val="0D9308F8"/>
    <w:rsid w:val="0E1A1D85"/>
    <w:rsid w:val="0E750568"/>
    <w:rsid w:val="0EF95ECE"/>
    <w:rsid w:val="0F2D7A80"/>
    <w:rsid w:val="0F4277E5"/>
    <w:rsid w:val="0F647FFD"/>
    <w:rsid w:val="0FA75561"/>
    <w:rsid w:val="0FB83603"/>
    <w:rsid w:val="0FBC07B0"/>
    <w:rsid w:val="0FCA77F1"/>
    <w:rsid w:val="101C3295"/>
    <w:rsid w:val="10270545"/>
    <w:rsid w:val="103539E9"/>
    <w:rsid w:val="108A1D4B"/>
    <w:rsid w:val="109457E5"/>
    <w:rsid w:val="10A10111"/>
    <w:rsid w:val="10BE093E"/>
    <w:rsid w:val="10D64E7C"/>
    <w:rsid w:val="111B0FE9"/>
    <w:rsid w:val="115F67A8"/>
    <w:rsid w:val="119A7465"/>
    <w:rsid w:val="11C07DA5"/>
    <w:rsid w:val="11F76665"/>
    <w:rsid w:val="12096398"/>
    <w:rsid w:val="12491386"/>
    <w:rsid w:val="128F607B"/>
    <w:rsid w:val="129F2533"/>
    <w:rsid w:val="12A04F4F"/>
    <w:rsid w:val="12E60579"/>
    <w:rsid w:val="13695B36"/>
    <w:rsid w:val="1372609F"/>
    <w:rsid w:val="13755ED0"/>
    <w:rsid w:val="13AE369B"/>
    <w:rsid w:val="13BA3B64"/>
    <w:rsid w:val="13E57CC1"/>
    <w:rsid w:val="13EC6C09"/>
    <w:rsid w:val="13FA7090"/>
    <w:rsid w:val="141605EF"/>
    <w:rsid w:val="14193377"/>
    <w:rsid w:val="143F0F15"/>
    <w:rsid w:val="145A6A37"/>
    <w:rsid w:val="1467440F"/>
    <w:rsid w:val="147A6974"/>
    <w:rsid w:val="15433A9B"/>
    <w:rsid w:val="154371B0"/>
    <w:rsid w:val="1574321C"/>
    <w:rsid w:val="158A65B6"/>
    <w:rsid w:val="15A71F89"/>
    <w:rsid w:val="15A97AFC"/>
    <w:rsid w:val="15B40B18"/>
    <w:rsid w:val="15FC2F04"/>
    <w:rsid w:val="16181FAC"/>
    <w:rsid w:val="16282DBB"/>
    <w:rsid w:val="16750AB1"/>
    <w:rsid w:val="168756A0"/>
    <w:rsid w:val="16F94849"/>
    <w:rsid w:val="17045E51"/>
    <w:rsid w:val="172011D4"/>
    <w:rsid w:val="17252C3B"/>
    <w:rsid w:val="173F0A2E"/>
    <w:rsid w:val="17770BC2"/>
    <w:rsid w:val="17A119AA"/>
    <w:rsid w:val="18480522"/>
    <w:rsid w:val="18586F2B"/>
    <w:rsid w:val="192A2804"/>
    <w:rsid w:val="195B507D"/>
    <w:rsid w:val="19A766B9"/>
    <w:rsid w:val="19CE76BA"/>
    <w:rsid w:val="19E96D90"/>
    <w:rsid w:val="19F26070"/>
    <w:rsid w:val="19FF46E1"/>
    <w:rsid w:val="1A1523CE"/>
    <w:rsid w:val="1A4008D5"/>
    <w:rsid w:val="1AA730BD"/>
    <w:rsid w:val="1B111D18"/>
    <w:rsid w:val="1B264783"/>
    <w:rsid w:val="1B333D5D"/>
    <w:rsid w:val="1B587618"/>
    <w:rsid w:val="1B5F19C7"/>
    <w:rsid w:val="1BCC093D"/>
    <w:rsid w:val="1C024584"/>
    <w:rsid w:val="1C1C709B"/>
    <w:rsid w:val="1CEF4A97"/>
    <w:rsid w:val="1D5C514E"/>
    <w:rsid w:val="1D7F72F5"/>
    <w:rsid w:val="1D865D14"/>
    <w:rsid w:val="1D8705EC"/>
    <w:rsid w:val="1DEC1347"/>
    <w:rsid w:val="1E43150B"/>
    <w:rsid w:val="1EA93E80"/>
    <w:rsid w:val="1ED33FB6"/>
    <w:rsid w:val="1EE81332"/>
    <w:rsid w:val="1F32415A"/>
    <w:rsid w:val="1F4719E1"/>
    <w:rsid w:val="1FC55BA1"/>
    <w:rsid w:val="1FD925EF"/>
    <w:rsid w:val="20107567"/>
    <w:rsid w:val="20390044"/>
    <w:rsid w:val="20AB56C6"/>
    <w:rsid w:val="21104A68"/>
    <w:rsid w:val="21602B55"/>
    <w:rsid w:val="2176507C"/>
    <w:rsid w:val="217F0425"/>
    <w:rsid w:val="219D4B44"/>
    <w:rsid w:val="21BE35AF"/>
    <w:rsid w:val="21C11174"/>
    <w:rsid w:val="21DC5877"/>
    <w:rsid w:val="21ED1832"/>
    <w:rsid w:val="22244B28"/>
    <w:rsid w:val="223B5680"/>
    <w:rsid w:val="22467FD4"/>
    <w:rsid w:val="225936CC"/>
    <w:rsid w:val="229451FD"/>
    <w:rsid w:val="22A12DB6"/>
    <w:rsid w:val="23C962E8"/>
    <w:rsid w:val="247E4FED"/>
    <w:rsid w:val="24B30BE8"/>
    <w:rsid w:val="24E34060"/>
    <w:rsid w:val="25012CF2"/>
    <w:rsid w:val="251F7F55"/>
    <w:rsid w:val="253A0491"/>
    <w:rsid w:val="25E036B2"/>
    <w:rsid w:val="25E9082A"/>
    <w:rsid w:val="25F42473"/>
    <w:rsid w:val="26AF2D79"/>
    <w:rsid w:val="26B34B91"/>
    <w:rsid w:val="270D66E8"/>
    <w:rsid w:val="27231852"/>
    <w:rsid w:val="273E7E29"/>
    <w:rsid w:val="278B0DAB"/>
    <w:rsid w:val="278F1E9D"/>
    <w:rsid w:val="27A64735"/>
    <w:rsid w:val="27C923FA"/>
    <w:rsid w:val="27CC4DF2"/>
    <w:rsid w:val="27ED433A"/>
    <w:rsid w:val="281864F2"/>
    <w:rsid w:val="286903EF"/>
    <w:rsid w:val="287F5DD3"/>
    <w:rsid w:val="288047CB"/>
    <w:rsid w:val="289E62FA"/>
    <w:rsid w:val="28BC3D0D"/>
    <w:rsid w:val="2916410F"/>
    <w:rsid w:val="291E2CA6"/>
    <w:rsid w:val="29331862"/>
    <w:rsid w:val="298F561F"/>
    <w:rsid w:val="299E147F"/>
    <w:rsid w:val="29CF26DC"/>
    <w:rsid w:val="29D1744E"/>
    <w:rsid w:val="2A1C5DA0"/>
    <w:rsid w:val="2A200D39"/>
    <w:rsid w:val="2A507EFF"/>
    <w:rsid w:val="2ABF3E12"/>
    <w:rsid w:val="2ADC05A4"/>
    <w:rsid w:val="2B6F0D7F"/>
    <w:rsid w:val="2B8716BD"/>
    <w:rsid w:val="2B894C74"/>
    <w:rsid w:val="2C7F39CF"/>
    <w:rsid w:val="2D025012"/>
    <w:rsid w:val="2D4178F0"/>
    <w:rsid w:val="2D54644E"/>
    <w:rsid w:val="2DAE631A"/>
    <w:rsid w:val="2DD877E0"/>
    <w:rsid w:val="2DDB2E87"/>
    <w:rsid w:val="2DE616C9"/>
    <w:rsid w:val="2DFC2451"/>
    <w:rsid w:val="2E6E566D"/>
    <w:rsid w:val="2E7F188E"/>
    <w:rsid w:val="2E8B1366"/>
    <w:rsid w:val="2EBC0905"/>
    <w:rsid w:val="2EC73739"/>
    <w:rsid w:val="2EDC1C09"/>
    <w:rsid w:val="2F1E7104"/>
    <w:rsid w:val="2F4A1E0C"/>
    <w:rsid w:val="2F5C684F"/>
    <w:rsid w:val="2F6B3D97"/>
    <w:rsid w:val="305A7CF6"/>
    <w:rsid w:val="307776D1"/>
    <w:rsid w:val="30862574"/>
    <w:rsid w:val="308F1FEB"/>
    <w:rsid w:val="30B631E1"/>
    <w:rsid w:val="311933AA"/>
    <w:rsid w:val="317D15BB"/>
    <w:rsid w:val="31D07E6C"/>
    <w:rsid w:val="321F266A"/>
    <w:rsid w:val="32203942"/>
    <w:rsid w:val="323F65DA"/>
    <w:rsid w:val="32412074"/>
    <w:rsid w:val="32DE0199"/>
    <w:rsid w:val="33353039"/>
    <w:rsid w:val="335B2774"/>
    <w:rsid w:val="339A479B"/>
    <w:rsid w:val="33A4642E"/>
    <w:rsid w:val="33D4039C"/>
    <w:rsid w:val="33D47E05"/>
    <w:rsid w:val="3413677D"/>
    <w:rsid w:val="342B544B"/>
    <w:rsid w:val="34395261"/>
    <w:rsid w:val="349A7C69"/>
    <w:rsid w:val="34C06413"/>
    <w:rsid w:val="34DE1E4F"/>
    <w:rsid w:val="34F07DB1"/>
    <w:rsid w:val="35B2048C"/>
    <w:rsid w:val="35D354B8"/>
    <w:rsid w:val="35D4025C"/>
    <w:rsid w:val="360B5E16"/>
    <w:rsid w:val="362666BC"/>
    <w:rsid w:val="367B5207"/>
    <w:rsid w:val="368A6B11"/>
    <w:rsid w:val="36A302BA"/>
    <w:rsid w:val="36E65423"/>
    <w:rsid w:val="36F37E4A"/>
    <w:rsid w:val="37085B1F"/>
    <w:rsid w:val="372E04CB"/>
    <w:rsid w:val="372F117B"/>
    <w:rsid w:val="38C017FC"/>
    <w:rsid w:val="390D33AB"/>
    <w:rsid w:val="391E6D06"/>
    <w:rsid w:val="3986014B"/>
    <w:rsid w:val="39900E42"/>
    <w:rsid w:val="39DF52AB"/>
    <w:rsid w:val="3A074847"/>
    <w:rsid w:val="3A2B7BBB"/>
    <w:rsid w:val="3A583210"/>
    <w:rsid w:val="3A942275"/>
    <w:rsid w:val="3A944AE9"/>
    <w:rsid w:val="3A9B19D4"/>
    <w:rsid w:val="3AA90FE6"/>
    <w:rsid w:val="3AA9318F"/>
    <w:rsid w:val="3AB62DA0"/>
    <w:rsid w:val="3B7D3FD5"/>
    <w:rsid w:val="3B7F12F6"/>
    <w:rsid w:val="3B823DDF"/>
    <w:rsid w:val="3C237ED3"/>
    <w:rsid w:val="3CAA596A"/>
    <w:rsid w:val="3CB1587B"/>
    <w:rsid w:val="3CB735F2"/>
    <w:rsid w:val="3D0D25E5"/>
    <w:rsid w:val="3D186684"/>
    <w:rsid w:val="3D8B2178"/>
    <w:rsid w:val="3DA32BB0"/>
    <w:rsid w:val="3DD115F5"/>
    <w:rsid w:val="3DE435F0"/>
    <w:rsid w:val="3DE5122C"/>
    <w:rsid w:val="3DF37E53"/>
    <w:rsid w:val="3ED26DE9"/>
    <w:rsid w:val="3EED17D0"/>
    <w:rsid w:val="3F0C0304"/>
    <w:rsid w:val="3FC25C2F"/>
    <w:rsid w:val="3FEC147E"/>
    <w:rsid w:val="40376375"/>
    <w:rsid w:val="407209E5"/>
    <w:rsid w:val="40B31894"/>
    <w:rsid w:val="412732B7"/>
    <w:rsid w:val="4127791F"/>
    <w:rsid w:val="41281794"/>
    <w:rsid w:val="413C1FDF"/>
    <w:rsid w:val="418331C2"/>
    <w:rsid w:val="41B0259C"/>
    <w:rsid w:val="41BC6F1C"/>
    <w:rsid w:val="41EF2363"/>
    <w:rsid w:val="41F77860"/>
    <w:rsid w:val="42025BE2"/>
    <w:rsid w:val="42323A7F"/>
    <w:rsid w:val="424A4B98"/>
    <w:rsid w:val="42581D3A"/>
    <w:rsid w:val="42584B94"/>
    <w:rsid w:val="42AD752A"/>
    <w:rsid w:val="42FE0080"/>
    <w:rsid w:val="431467C7"/>
    <w:rsid w:val="43315D2E"/>
    <w:rsid w:val="434D1CD9"/>
    <w:rsid w:val="43824A1C"/>
    <w:rsid w:val="43D110E1"/>
    <w:rsid w:val="43E873C9"/>
    <w:rsid w:val="440178DB"/>
    <w:rsid w:val="44905B1F"/>
    <w:rsid w:val="44DC7EDD"/>
    <w:rsid w:val="44E22FFB"/>
    <w:rsid w:val="45316885"/>
    <w:rsid w:val="45421DBD"/>
    <w:rsid w:val="457E43CC"/>
    <w:rsid w:val="45A95EE9"/>
    <w:rsid w:val="45FB0F21"/>
    <w:rsid w:val="465B4795"/>
    <w:rsid w:val="46F60D44"/>
    <w:rsid w:val="470D5A07"/>
    <w:rsid w:val="47200EE3"/>
    <w:rsid w:val="472753AE"/>
    <w:rsid w:val="472E3BD0"/>
    <w:rsid w:val="47435AC2"/>
    <w:rsid w:val="47544B78"/>
    <w:rsid w:val="47587AF7"/>
    <w:rsid w:val="47745A86"/>
    <w:rsid w:val="47E239AC"/>
    <w:rsid w:val="480F4B73"/>
    <w:rsid w:val="48DB38E3"/>
    <w:rsid w:val="48DD0A15"/>
    <w:rsid w:val="49001B5E"/>
    <w:rsid w:val="49376DB0"/>
    <w:rsid w:val="49804BB7"/>
    <w:rsid w:val="49826DCB"/>
    <w:rsid w:val="499013E7"/>
    <w:rsid w:val="49C8088A"/>
    <w:rsid w:val="4A301C93"/>
    <w:rsid w:val="4A3302AB"/>
    <w:rsid w:val="4A4A4BFA"/>
    <w:rsid w:val="4AC85D49"/>
    <w:rsid w:val="4AE308A9"/>
    <w:rsid w:val="4B9A1456"/>
    <w:rsid w:val="4BA32C82"/>
    <w:rsid w:val="4BE70627"/>
    <w:rsid w:val="4C0A5AE1"/>
    <w:rsid w:val="4C130AB8"/>
    <w:rsid w:val="4C5A284D"/>
    <w:rsid w:val="4C9C05BC"/>
    <w:rsid w:val="4CB96B43"/>
    <w:rsid w:val="4CD63947"/>
    <w:rsid w:val="4CFC49F4"/>
    <w:rsid w:val="4D073D73"/>
    <w:rsid w:val="4D1E27BA"/>
    <w:rsid w:val="4D23574A"/>
    <w:rsid w:val="4D2E3A85"/>
    <w:rsid w:val="4D4C4DB0"/>
    <w:rsid w:val="4D7322D5"/>
    <w:rsid w:val="4DD7034C"/>
    <w:rsid w:val="4DE312CB"/>
    <w:rsid w:val="4E0D4016"/>
    <w:rsid w:val="4E1F4862"/>
    <w:rsid w:val="4E2E4393"/>
    <w:rsid w:val="4E535EF2"/>
    <w:rsid w:val="4EAA19A9"/>
    <w:rsid w:val="4EDD4BFC"/>
    <w:rsid w:val="4F017C92"/>
    <w:rsid w:val="4F08773C"/>
    <w:rsid w:val="4F31409F"/>
    <w:rsid w:val="4F817C52"/>
    <w:rsid w:val="4F846A83"/>
    <w:rsid w:val="50070E2C"/>
    <w:rsid w:val="504B57F2"/>
    <w:rsid w:val="50C62BC7"/>
    <w:rsid w:val="50E65BBF"/>
    <w:rsid w:val="50ED1473"/>
    <w:rsid w:val="50F72A66"/>
    <w:rsid w:val="5123368C"/>
    <w:rsid w:val="5130747C"/>
    <w:rsid w:val="515C765A"/>
    <w:rsid w:val="51905BB3"/>
    <w:rsid w:val="51946FCB"/>
    <w:rsid w:val="51A52CE0"/>
    <w:rsid w:val="51DD796B"/>
    <w:rsid w:val="51DF373B"/>
    <w:rsid w:val="51F43C48"/>
    <w:rsid w:val="520D3136"/>
    <w:rsid w:val="529E3882"/>
    <w:rsid w:val="52EF4CB5"/>
    <w:rsid w:val="52F959F0"/>
    <w:rsid w:val="5302488E"/>
    <w:rsid w:val="53357698"/>
    <w:rsid w:val="539A4AC7"/>
    <w:rsid w:val="54345897"/>
    <w:rsid w:val="54672CD7"/>
    <w:rsid w:val="54A61722"/>
    <w:rsid w:val="54B31FAF"/>
    <w:rsid w:val="55326D63"/>
    <w:rsid w:val="5550794C"/>
    <w:rsid w:val="555D1A10"/>
    <w:rsid w:val="569C26D6"/>
    <w:rsid w:val="56AC4A78"/>
    <w:rsid w:val="56DB16B9"/>
    <w:rsid w:val="56F91B04"/>
    <w:rsid w:val="571A77B4"/>
    <w:rsid w:val="571B3530"/>
    <w:rsid w:val="577A3463"/>
    <w:rsid w:val="57E718ED"/>
    <w:rsid w:val="57F967AD"/>
    <w:rsid w:val="58052975"/>
    <w:rsid w:val="58E525CA"/>
    <w:rsid w:val="593D045A"/>
    <w:rsid w:val="5960739E"/>
    <w:rsid w:val="59715A31"/>
    <w:rsid w:val="59796F2C"/>
    <w:rsid w:val="598879D9"/>
    <w:rsid w:val="59896D0A"/>
    <w:rsid w:val="59B72684"/>
    <w:rsid w:val="5A373CAC"/>
    <w:rsid w:val="5A9579AE"/>
    <w:rsid w:val="5AAC290A"/>
    <w:rsid w:val="5AC468CD"/>
    <w:rsid w:val="5B342B9A"/>
    <w:rsid w:val="5B426256"/>
    <w:rsid w:val="5B630802"/>
    <w:rsid w:val="5B807F68"/>
    <w:rsid w:val="5B9A0FAF"/>
    <w:rsid w:val="5BC743E9"/>
    <w:rsid w:val="5C034D53"/>
    <w:rsid w:val="5CA36CB7"/>
    <w:rsid w:val="5DFC697C"/>
    <w:rsid w:val="5E1D6F56"/>
    <w:rsid w:val="5E52187F"/>
    <w:rsid w:val="5E620850"/>
    <w:rsid w:val="5E6A13CD"/>
    <w:rsid w:val="5E705D15"/>
    <w:rsid w:val="5E93326C"/>
    <w:rsid w:val="5EFB4BA4"/>
    <w:rsid w:val="5F5F46B5"/>
    <w:rsid w:val="5F7C1227"/>
    <w:rsid w:val="5FBA3CC0"/>
    <w:rsid w:val="5FD90D61"/>
    <w:rsid w:val="60177697"/>
    <w:rsid w:val="602329DB"/>
    <w:rsid w:val="607777D6"/>
    <w:rsid w:val="60BC76A1"/>
    <w:rsid w:val="60DF7FBD"/>
    <w:rsid w:val="60F11A9E"/>
    <w:rsid w:val="610B7637"/>
    <w:rsid w:val="61446072"/>
    <w:rsid w:val="615F5624"/>
    <w:rsid w:val="61D215CF"/>
    <w:rsid w:val="62087F4C"/>
    <w:rsid w:val="625C563D"/>
    <w:rsid w:val="626A1704"/>
    <w:rsid w:val="629F5C4E"/>
    <w:rsid w:val="62B362C8"/>
    <w:rsid w:val="62BE098C"/>
    <w:rsid w:val="62C1330E"/>
    <w:rsid w:val="62C90F25"/>
    <w:rsid w:val="6342085E"/>
    <w:rsid w:val="63631E53"/>
    <w:rsid w:val="636F415C"/>
    <w:rsid w:val="63E92F01"/>
    <w:rsid w:val="646E3CD1"/>
    <w:rsid w:val="6472739A"/>
    <w:rsid w:val="64786E14"/>
    <w:rsid w:val="647E0640"/>
    <w:rsid w:val="64917820"/>
    <w:rsid w:val="64AA1CC5"/>
    <w:rsid w:val="64BE25DF"/>
    <w:rsid w:val="65463A24"/>
    <w:rsid w:val="656B2909"/>
    <w:rsid w:val="65A3045D"/>
    <w:rsid w:val="65D97752"/>
    <w:rsid w:val="65E25E59"/>
    <w:rsid w:val="66307F76"/>
    <w:rsid w:val="66580EAF"/>
    <w:rsid w:val="666176C6"/>
    <w:rsid w:val="66694D0D"/>
    <w:rsid w:val="66C67BED"/>
    <w:rsid w:val="66F041A8"/>
    <w:rsid w:val="6721178A"/>
    <w:rsid w:val="6739399A"/>
    <w:rsid w:val="673F39DE"/>
    <w:rsid w:val="674C5D22"/>
    <w:rsid w:val="67604F32"/>
    <w:rsid w:val="67663AF8"/>
    <w:rsid w:val="67762CFD"/>
    <w:rsid w:val="677A678D"/>
    <w:rsid w:val="68011379"/>
    <w:rsid w:val="68252C37"/>
    <w:rsid w:val="68817BAC"/>
    <w:rsid w:val="689A5E59"/>
    <w:rsid w:val="68EE72DF"/>
    <w:rsid w:val="69485FEA"/>
    <w:rsid w:val="69677DC0"/>
    <w:rsid w:val="69937EC7"/>
    <w:rsid w:val="69D64558"/>
    <w:rsid w:val="6A042548"/>
    <w:rsid w:val="6A471EFD"/>
    <w:rsid w:val="6AB57116"/>
    <w:rsid w:val="6B17424A"/>
    <w:rsid w:val="6B2218FA"/>
    <w:rsid w:val="6B5E00AD"/>
    <w:rsid w:val="6B691672"/>
    <w:rsid w:val="6B9E7DD5"/>
    <w:rsid w:val="6BC93025"/>
    <w:rsid w:val="6C5E6A51"/>
    <w:rsid w:val="6C6513C3"/>
    <w:rsid w:val="6C744268"/>
    <w:rsid w:val="6CAB788B"/>
    <w:rsid w:val="6CD62D03"/>
    <w:rsid w:val="6CD97FB6"/>
    <w:rsid w:val="6CE36A9C"/>
    <w:rsid w:val="6D4F2BB4"/>
    <w:rsid w:val="6D770CE9"/>
    <w:rsid w:val="6D930013"/>
    <w:rsid w:val="6E1204FC"/>
    <w:rsid w:val="6E1A1656"/>
    <w:rsid w:val="6E597A63"/>
    <w:rsid w:val="6E5A5288"/>
    <w:rsid w:val="6E5F44EB"/>
    <w:rsid w:val="6EE013EE"/>
    <w:rsid w:val="6EE079F1"/>
    <w:rsid w:val="6EE42C42"/>
    <w:rsid w:val="6F7F7CB0"/>
    <w:rsid w:val="6FC30AAA"/>
    <w:rsid w:val="6FD64C81"/>
    <w:rsid w:val="6FE0165C"/>
    <w:rsid w:val="6FF354DE"/>
    <w:rsid w:val="70222744"/>
    <w:rsid w:val="706D2B21"/>
    <w:rsid w:val="707B1384"/>
    <w:rsid w:val="70857A34"/>
    <w:rsid w:val="70985D3C"/>
    <w:rsid w:val="71047C73"/>
    <w:rsid w:val="7109004F"/>
    <w:rsid w:val="71103167"/>
    <w:rsid w:val="712E56F7"/>
    <w:rsid w:val="71691ABB"/>
    <w:rsid w:val="71AE1AEA"/>
    <w:rsid w:val="71CF3B6C"/>
    <w:rsid w:val="722922C6"/>
    <w:rsid w:val="724B1497"/>
    <w:rsid w:val="732D4B5D"/>
    <w:rsid w:val="73393C88"/>
    <w:rsid w:val="7362513F"/>
    <w:rsid w:val="73771D49"/>
    <w:rsid w:val="73A1354E"/>
    <w:rsid w:val="73A63AAE"/>
    <w:rsid w:val="73E93C17"/>
    <w:rsid w:val="747E3B9D"/>
    <w:rsid w:val="74A11E7D"/>
    <w:rsid w:val="74B23C98"/>
    <w:rsid w:val="755269DA"/>
    <w:rsid w:val="75590B0A"/>
    <w:rsid w:val="7582279F"/>
    <w:rsid w:val="758D1214"/>
    <w:rsid w:val="75BB71AF"/>
    <w:rsid w:val="75DE488F"/>
    <w:rsid w:val="75F01962"/>
    <w:rsid w:val="75F56562"/>
    <w:rsid w:val="760E19DF"/>
    <w:rsid w:val="765D721E"/>
    <w:rsid w:val="76676A53"/>
    <w:rsid w:val="76A853AA"/>
    <w:rsid w:val="76B620A1"/>
    <w:rsid w:val="76E52316"/>
    <w:rsid w:val="77462524"/>
    <w:rsid w:val="77A21064"/>
    <w:rsid w:val="77DF044B"/>
    <w:rsid w:val="77E34EB2"/>
    <w:rsid w:val="77FB6A67"/>
    <w:rsid w:val="781564B8"/>
    <w:rsid w:val="78224ACF"/>
    <w:rsid w:val="78A26DFF"/>
    <w:rsid w:val="78CD6DCC"/>
    <w:rsid w:val="78D07CAF"/>
    <w:rsid w:val="78DE12D7"/>
    <w:rsid w:val="79210683"/>
    <w:rsid w:val="799C3465"/>
    <w:rsid w:val="79B14EC4"/>
    <w:rsid w:val="79B46E76"/>
    <w:rsid w:val="7A2A6B4A"/>
    <w:rsid w:val="7A666C01"/>
    <w:rsid w:val="7A681070"/>
    <w:rsid w:val="7A7632E8"/>
    <w:rsid w:val="7A860C7C"/>
    <w:rsid w:val="7AB879FE"/>
    <w:rsid w:val="7B167D97"/>
    <w:rsid w:val="7B3264DD"/>
    <w:rsid w:val="7B81188A"/>
    <w:rsid w:val="7B9E2902"/>
    <w:rsid w:val="7BA9149B"/>
    <w:rsid w:val="7BC854E2"/>
    <w:rsid w:val="7C0562EC"/>
    <w:rsid w:val="7C213CD7"/>
    <w:rsid w:val="7C27683F"/>
    <w:rsid w:val="7CB14B4D"/>
    <w:rsid w:val="7CD25041"/>
    <w:rsid w:val="7CF26969"/>
    <w:rsid w:val="7D1B0177"/>
    <w:rsid w:val="7D5B4BF4"/>
    <w:rsid w:val="7DA44165"/>
    <w:rsid w:val="7DB23041"/>
    <w:rsid w:val="7E5F7809"/>
    <w:rsid w:val="7EBC3294"/>
    <w:rsid w:val="7ED56C53"/>
    <w:rsid w:val="7EEA1BAF"/>
    <w:rsid w:val="7F3D63C9"/>
    <w:rsid w:val="7FD34D39"/>
    <w:rsid w:val="7FF440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autoRedefine/>
    <w:qFormat/>
    <w:uiPriority w:val="0"/>
    <w:pPr>
      <w:keepNext/>
      <w:keepLines/>
      <w:jc w:val="center"/>
      <w:outlineLvl w:val="0"/>
    </w:pPr>
    <w:rPr>
      <w:b/>
      <w:bCs/>
      <w:kern w:val="44"/>
      <w:sz w:val="36"/>
      <w:szCs w:val="44"/>
    </w:rPr>
  </w:style>
  <w:style w:type="paragraph" w:styleId="3">
    <w:name w:val="heading 2"/>
    <w:basedOn w:val="1"/>
    <w:next w:val="1"/>
    <w:link w:val="49"/>
    <w:autoRedefine/>
    <w:qFormat/>
    <w:uiPriority w:val="9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autoRedefine/>
    <w:unhideWhenUsed/>
    <w:qFormat/>
    <w:uiPriority w:val="0"/>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99"/>
    <w:pPr>
      <w:ind w:left="1440"/>
      <w:jc w:val="left"/>
    </w:pPr>
    <w:rPr>
      <w:rFonts w:ascii="Calibri" w:hAnsi="Calibri" w:eastAsia="宋体" w:cs="Times New Roman"/>
      <w:sz w:val="18"/>
      <w:szCs w:val="18"/>
    </w:rPr>
  </w:style>
  <w:style w:type="paragraph" w:styleId="7">
    <w:name w:val="caption"/>
    <w:basedOn w:val="1"/>
    <w:next w:val="1"/>
    <w:autoRedefine/>
    <w:qFormat/>
    <w:uiPriority w:val="99"/>
    <w:pPr>
      <w:spacing w:before="152" w:after="160"/>
    </w:pPr>
    <w:rPr>
      <w:rFonts w:ascii="Arial" w:hAnsi="Arial" w:eastAsia="黑体" w:cs="Arial"/>
      <w:sz w:val="20"/>
      <w:szCs w:val="20"/>
    </w:rPr>
  </w:style>
  <w:style w:type="paragraph" w:styleId="8">
    <w:name w:val="Document Map"/>
    <w:basedOn w:val="1"/>
    <w:link w:val="72"/>
    <w:autoRedefine/>
    <w:qFormat/>
    <w:uiPriority w:val="99"/>
    <w:pPr>
      <w:shd w:val="clear" w:color="auto" w:fill="000080"/>
    </w:pPr>
    <w:rPr>
      <w:sz w:val="24"/>
    </w:rPr>
  </w:style>
  <w:style w:type="paragraph" w:styleId="9">
    <w:name w:val="toa heading"/>
    <w:basedOn w:val="1"/>
    <w:next w:val="1"/>
    <w:autoRedefine/>
    <w:qFormat/>
    <w:uiPriority w:val="0"/>
    <w:pPr>
      <w:spacing w:before="120"/>
    </w:pPr>
    <w:rPr>
      <w:rFonts w:ascii="Arial" w:hAnsi="Arial" w:eastAsia="宋体" w:cs="Arial"/>
      <w:sz w:val="24"/>
      <w:szCs w:val="24"/>
    </w:rPr>
  </w:style>
  <w:style w:type="paragraph" w:styleId="10">
    <w:name w:val="annotation text"/>
    <w:basedOn w:val="1"/>
    <w:link w:val="63"/>
    <w:autoRedefine/>
    <w:qFormat/>
    <w:uiPriority w:val="0"/>
    <w:pPr>
      <w:jc w:val="left"/>
    </w:pPr>
  </w:style>
  <w:style w:type="paragraph" w:styleId="11">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link w:val="84"/>
    <w:autoRedefine/>
    <w:qFormat/>
    <w:uiPriority w:val="0"/>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4">
    <w:name w:val="index 4"/>
    <w:basedOn w:val="1"/>
    <w:next w:val="1"/>
    <w:autoRedefine/>
    <w:qFormat/>
    <w:uiPriority w:val="0"/>
    <w:pPr>
      <w:ind w:left="600" w:leftChars="600"/>
    </w:pPr>
  </w:style>
  <w:style w:type="paragraph" w:styleId="15">
    <w:name w:val="toc 5"/>
    <w:basedOn w:val="1"/>
    <w:next w:val="1"/>
    <w:autoRedefine/>
    <w:qFormat/>
    <w:uiPriority w:val="99"/>
    <w:pPr>
      <w:ind w:left="960"/>
      <w:jc w:val="left"/>
    </w:pPr>
    <w:rPr>
      <w:rFonts w:ascii="Calibri" w:hAnsi="Calibri" w:eastAsia="宋体" w:cs="Times New Roman"/>
      <w:sz w:val="18"/>
      <w:szCs w:val="18"/>
    </w:rPr>
  </w:style>
  <w:style w:type="paragraph" w:styleId="16">
    <w:name w:val="toc 3"/>
    <w:basedOn w:val="1"/>
    <w:next w:val="1"/>
    <w:autoRedefine/>
    <w:qFormat/>
    <w:uiPriority w:val="99"/>
    <w:pPr>
      <w:ind w:left="480"/>
      <w:jc w:val="left"/>
    </w:pPr>
    <w:rPr>
      <w:rFonts w:ascii="Calibri" w:hAnsi="Calibri" w:eastAsia="宋体" w:cs="Times New Roman"/>
      <w:i/>
      <w:iCs/>
      <w:sz w:val="20"/>
      <w:szCs w:val="20"/>
    </w:rPr>
  </w:style>
  <w:style w:type="paragraph" w:styleId="17">
    <w:name w:val="Plain Text"/>
    <w:basedOn w:val="1"/>
    <w:link w:val="74"/>
    <w:autoRedefine/>
    <w:qFormat/>
    <w:uiPriority w:val="0"/>
    <w:rPr>
      <w:rFonts w:ascii="宋体" w:hAnsi="Courier New"/>
    </w:rPr>
  </w:style>
  <w:style w:type="paragraph" w:styleId="18">
    <w:name w:val="toc 8"/>
    <w:basedOn w:val="1"/>
    <w:next w:val="1"/>
    <w:autoRedefine/>
    <w:qFormat/>
    <w:uiPriority w:val="99"/>
    <w:pPr>
      <w:ind w:left="1680"/>
      <w:jc w:val="left"/>
    </w:pPr>
    <w:rPr>
      <w:rFonts w:ascii="Calibri" w:hAnsi="Calibri" w:eastAsia="宋体" w:cs="Times New Roman"/>
      <w:sz w:val="18"/>
      <w:szCs w:val="18"/>
    </w:rPr>
  </w:style>
  <w:style w:type="paragraph" w:styleId="19">
    <w:name w:val="Date"/>
    <w:basedOn w:val="1"/>
    <w:next w:val="1"/>
    <w:link w:val="65"/>
    <w:autoRedefine/>
    <w:qFormat/>
    <w:uiPriority w:val="99"/>
    <w:pPr>
      <w:ind w:left="100" w:leftChars="2500"/>
    </w:pPr>
    <w:rPr>
      <w:sz w:val="24"/>
    </w:rPr>
  </w:style>
  <w:style w:type="paragraph" w:styleId="20">
    <w:name w:val="Body Text Indent 2"/>
    <w:basedOn w:val="1"/>
    <w:link w:val="52"/>
    <w:autoRedefine/>
    <w:qFormat/>
    <w:uiPriority w:val="99"/>
    <w:pPr>
      <w:spacing w:after="120" w:line="480" w:lineRule="auto"/>
      <w:ind w:left="420" w:leftChars="200"/>
    </w:pPr>
  </w:style>
  <w:style w:type="paragraph" w:styleId="21">
    <w:name w:val="Balloon Text"/>
    <w:basedOn w:val="1"/>
    <w:link w:val="69"/>
    <w:autoRedefine/>
    <w:qFormat/>
    <w:uiPriority w:val="99"/>
    <w:rPr>
      <w:sz w:val="18"/>
    </w:rPr>
  </w:style>
  <w:style w:type="paragraph" w:styleId="22">
    <w:name w:val="footer"/>
    <w:basedOn w:val="1"/>
    <w:link w:val="75"/>
    <w:autoRedefine/>
    <w:qFormat/>
    <w:uiPriority w:val="99"/>
    <w:pPr>
      <w:tabs>
        <w:tab w:val="center" w:pos="4153"/>
        <w:tab w:val="right" w:pos="8306"/>
      </w:tabs>
      <w:snapToGrid w:val="0"/>
      <w:jc w:val="left"/>
    </w:pPr>
    <w:rPr>
      <w:sz w:val="18"/>
    </w:rPr>
  </w:style>
  <w:style w:type="paragraph" w:styleId="23">
    <w:name w:val="header"/>
    <w:basedOn w:val="1"/>
    <w:link w:val="60"/>
    <w:autoRedefine/>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99"/>
    <w:pPr>
      <w:ind w:left="720"/>
      <w:jc w:val="left"/>
    </w:pPr>
    <w:rPr>
      <w:rFonts w:ascii="Calibri" w:hAnsi="Calibri" w:eastAsia="宋体" w:cs="Times New Roman"/>
      <w:sz w:val="18"/>
      <w:szCs w:val="18"/>
    </w:rPr>
  </w:style>
  <w:style w:type="paragraph" w:styleId="26">
    <w:name w:val="List"/>
    <w:basedOn w:val="1"/>
    <w:autoRedefine/>
    <w:qFormat/>
    <w:uiPriority w:val="0"/>
    <w:pPr>
      <w:ind w:left="420" w:hanging="420"/>
    </w:pPr>
    <w:rPr>
      <w:rFonts w:ascii="Times New Roman" w:hAnsi="Times New Roman" w:eastAsia="宋体" w:cs="Times New Roman"/>
      <w:szCs w:val="20"/>
    </w:rPr>
  </w:style>
  <w:style w:type="paragraph" w:styleId="27">
    <w:name w:val="toc 6"/>
    <w:basedOn w:val="1"/>
    <w:next w:val="1"/>
    <w:autoRedefine/>
    <w:qFormat/>
    <w:uiPriority w:val="99"/>
    <w:pPr>
      <w:ind w:left="1200"/>
      <w:jc w:val="left"/>
    </w:pPr>
    <w:rPr>
      <w:rFonts w:ascii="Calibri" w:hAnsi="Calibri" w:eastAsia="宋体" w:cs="Times New Roman"/>
      <w:sz w:val="18"/>
      <w:szCs w:val="18"/>
    </w:rPr>
  </w:style>
  <w:style w:type="paragraph" w:styleId="28">
    <w:name w:val="Body Text Indent 3"/>
    <w:basedOn w:val="1"/>
    <w:link w:val="54"/>
    <w:autoRedefine/>
    <w:qFormat/>
    <w:uiPriority w:val="99"/>
    <w:pPr>
      <w:spacing w:after="120"/>
      <w:ind w:left="420" w:leftChars="200"/>
    </w:pPr>
    <w:rPr>
      <w:sz w:val="16"/>
    </w:rPr>
  </w:style>
  <w:style w:type="paragraph" w:styleId="29">
    <w:name w:val="index 9"/>
    <w:basedOn w:val="1"/>
    <w:next w:val="1"/>
    <w:autoRedefine/>
    <w:unhideWhenUsed/>
    <w:qFormat/>
    <w:uiPriority w:val="0"/>
    <w:pPr>
      <w:ind w:left="2520" w:hanging="280"/>
    </w:pPr>
    <w:rPr>
      <w:rFonts w:eastAsia="仿宋"/>
      <w:sz w:val="28"/>
    </w:rPr>
  </w:style>
  <w:style w:type="paragraph" w:styleId="30">
    <w:name w:val="toc 2"/>
    <w:basedOn w:val="1"/>
    <w:next w:val="1"/>
    <w:autoRedefine/>
    <w:unhideWhenUsed/>
    <w:qFormat/>
    <w:uiPriority w:val="39"/>
    <w:pPr>
      <w:ind w:left="420" w:leftChars="200"/>
    </w:pPr>
    <w:rPr>
      <w:rFonts w:ascii="Calibri" w:hAnsi="Calibri" w:eastAsia="宋体" w:cs="Times New Roman"/>
      <w:szCs w:val="20"/>
    </w:rPr>
  </w:style>
  <w:style w:type="paragraph" w:styleId="31">
    <w:name w:val="toc 9"/>
    <w:basedOn w:val="1"/>
    <w:next w:val="1"/>
    <w:autoRedefine/>
    <w:qFormat/>
    <w:uiPriority w:val="99"/>
    <w:pPr>
      <w:ind w:left="1920"/>
      <w:jc w:val="left"/>
    </w:pPr>
    <w:rPr>
      <w:rFonts w:ascii="Calibri" w:hAnsi="Calibri" w:eastAsia="宋体" w:cs="Times New Roman"/>
      <w:sz w:val="18"/>
      <w:szCs w:val="18"/>
    </w:rPr>
  </w:style>
  <w:style w:type="paragraph" w:styleId="32">
    <w:name w:val="Normal (Web)"/>
    <w:basedOn w:val="1"/>
    <w:autoRedefine/>
    <w:qFormat/>
    <w:uiPriority w:val="99"/>
    <w:rPr>
      <w:rFonts w:ascii="Calibri" w:hAnsi="Calibri" w:eastAsia="宋体" w:cs="Times New Roman"/>
      <w:sz w:val="24"/>
      <w:szCs w:val="20"/>
    </w:rPr>
  </w:style>
  <w:style w:type="paragraph" w:styleId="33">
    <w:name w:val="index 1"/>
    <w:basedOn w:val="1"/>
    <w:next w:val="1"/>
    <w:autoRedefine/>
    <w:qFormat/>
    <w:uiPriority w:val="99"/>
    <w:rPr>
      <w:rFonts w:ascii="Calibri" w:hAnsi="Calibri" w:eastAsia="宋体" w:cs="Times New Roman"/>
      <w:sz w:val="24"/>
      <w:szCs w:val="24"/>
    </w:rPr>
  </w:style>
  <w:style w:type="paragraph" w:styleId="34">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0"/>
    <w:next w:val="10"/>
    <w:link w:val="53"/>
    <w:autoRedefine/>
    <w:qFormat/>
    <w:uiPriority w:val="0"/>
    <w:rPr>
      <w:b/>
    </w:rPr>
  </w:style>
  <w:style w:type="paragraph" w:styleId="36">
    <w:name w:val="Body Text First Indent 2"/>
    <w:basedOn w:val="13"/>
    <w:autoRedefine/>
    <w:semiHidden/>
    <w:qFormat/>
    <w:uiPriority w:val="99"/>
    <w:pPr>
      <w:spacing w:line="276" w:lineRule="auto"/>
      <w:ind w:firstLine="420" w:firstLineChars="200"/>
      <w:jc w:val="left"/>
    </w:pPr>
  </w:style>
  <w:style w:type="table" w:styleId="38">
    <w:name w:val="Table Grid"/>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9">
    <w:name w:val="Table Theme"/>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0"/>
    <w:rPr>
      <w:b/>
    </w:rPr>
  </w:style>
  <w:style w:type="character" w:styleId="42">
    <w:name w:val="page number"/>
    <w:basedOn w:val="40"/>
    <w:autoRedefine/>
    <w:qFormat/>
    <w:uiPriority w:val="99"/>
    <w:rPr>
      <w:rFonts w:cs="Times New Roman"/>
    </w:rPr>
  </w:style>
  <w:style w:type="character" w:styleId="43">
    <w:name w:val="FollowedHyperlink"/>
    <w:basedOn w:val="40"/>
    <w:autoRedefine/>
    <w:qFormat/>
    <w:uiPriority w:val="99"/>
    <w:rPr>
      <w:color w:val="800080"/>
      <w:u w:val="single"/>
    </w:rPr>
  </w:style>
  <w:style w:type="character" w:styleId="44">
    <w:name w:val="Emphasis"/>
    <w:autoRedefine/>
    <w:qFormat/>
    <w:uiPriority w:val="99"/>
    <w:rPr>
      <w:rFonts w:cs="Times New Roman"/>
      <w:color w:val="auto"/>
    </w:rPr>
  </w:style>
  <w:style w:type="character" w:styleId="45">
    <w:name w:val="HTML Acronym"/>
    <w:basedOn w:val="40"/>
    <w:autoRedefine/>
    <w:qFormat/>
    <w:uiPriority w:val="99"/>
  </w:style>
  <w:style w:type="character" w:styleId="46">
    <w:name w:val="Hyperlink"/>
    <w:basedOn w:val="40"/>
    <w:autoRedefine/>
    <w:qFormat/>
    <w:uiPriority w:val="99"/>
    <w:rPr>
      <w:color w:val="1F4F88"/>
      <w:u w:val="none"/>
    </w:rPr>
  </w:style>
  <w:style w:type="character" w:styleId="47">
    <w:name w:val="annotation reference"/>
    <w:basedOn w:val="40"/>
    <w:autoRedefine/>
    <w:qFormat/>
    <w:uiPriority w:val="99"/>
    <w:rPr>
      <w:sz w:val="21"/>
    </w:rPr>
  </w:style>
  <w:style w:type="character" w:customStyle="1" w:styleId="48">
    <w:name w:val="标题 1 字符"/>
    <w:basedOn w:val="40"/>
    <w:link w:val="2"/>
    <w:autoRedefine/>
    <w:qFormat/>
    <w:uiPriority w:val="0"/>
    <w:rPr>
      <w:rFonts w:ascii="Calibri" w:hAnsi="Calibri" w:eastAsia="宋体" w:cs="Times New Roman"/>
      <w:b/>
      <w:bCs/>
      <w:kern w:val="44"/>
      <w:sz w:val="36"/>
      <w:szCs w:val="44"/>
    </w:rPr>
  </w:style>
  <w:style w:type="character" w:customStyle="1" w:styleId="49">
    <w:name w:val="标题 2 字符"/>
    <w:basedOn w:val="40"/>
    <w:link w:val="3"/>
    <w:autoRedefine/>
    <w:qFormat/>
    <w:uiPriority w:val="99"/>
    <w:rPr>
      <w:rFonts w:ascii="Arial" w:hAnsi="Arial" w:eastAsia="宋体" w:cs="Times New Roman"/>
      <w:b/>
      <w:bCs/>
      <w:sz w:val="24"/>
      <w:szCs w:val="32"/>
    </w:rPr>
  </w:style>
  <w:style w:type="character" w:customStyle="1" w:styleId="50">
    <w:name w:val="标题 3 字符"/>
    <w:basedOn w:val="40"/>
    <w:link w:val="4"/>
    <w:autoRedefine/>
    <w:semiHidden/>
    <w:qFormat/>
    <w:uiPriority w:val="0"/>
    <w:rPr>
      <w:rFonts w:ascii="Calibri" w:hAnsi="Calibri" w:eastAsia="宋体" w:cs="Times New Roman"/>
      <w:b/>
      <w:bCs/>
      <w:sz w:val="32"/>
      <w:szCs w:val="32"/>
    </w:rPr>
  </w:style>
  <w:style w:type="character" w:customStyle="1" w:styleId="51">
    <w:name w:val="Char Char3"/>
    <w:autoRedefine/>
    <w:qFormat/>
    <w:uiPriority w:val="0"/>
    <w:rPr>
      <w:rFonts w:ascii="宋体" w:hAnsi="Courier New" w:eastAsia="宋体"/>
      <w:kern w:val="2"/>
      <w:sz w:val="21"/>
      <w:lang w:val="en-US" w:eastAsia="zh-CN"/>
    </w:rPr>
  </w:style>
  <w:style w:type="character" w:customStyle="1" w:styleId="52">
    <w:name w:val="正文文本缩进 2 字符"/>
    <w:link w:val="20"/>
    <w:autoRedefine/>
    <w:qFormat/>
    <w:locked/>
    <w:uiPriority w:val="99"/>
  </w:style>
  <w:style w:type="character" w:customStyle="1" w:styleId="53">
    <w:name w:val="批注主题 字符"/>
    <w:link w:val="35"/>
    <w:autoRedefine/>
    <w:qFormat/>
    <w:locked/>
    <w:uiPriority w:val="0"/>
    <w:rPr>
      <w:b/>
    </w:rPr>
  </w:style>
  <w:style w:type="character" w:customStyle="1" w:styleId="54">
    <w:name w:val="正文文本缩进 3 字符"/>
    <w:link w:val="28"/>
    <w:autoRedefine/>
    <w:qFormat/>
    <w:locked/>
    <w:uiPriority w:val="99"/>
    <w:rPr>
      <w:sz w:val="16"/>
    </w:rPr>
  </w:style>
  <w:style w:type="character" w:customStyle="1" w:styleId="55">
    <w:name w:val="纯文本 Char"/>
    <w:autoRedefine/>
    <w:qFormat/>
    <w:uiPriority w:val="0"/>
    <w:rPr>
      <w:rFonts w:ascii="宋体" w:hAnsi="Courier New" w:eastAsia="宋体"/>
      <w:kern w:val="2"/>
      <w:sz w:val="21"/>
      <w:lang w:val="en-US" w:eastAsia="zh-CN"/>
    </w:rPr>
  </w:style>
  <w:style w:type="character" w:customStyle="1" w:styleId="56">
    <w:name w:val="Char Char2"/>
    <w:autoRedefine/>
    <w:qFormat/>
    <w:uiPriority w:val="0"/>
    <w:rPr>
      <w:rFonts w:ascii="宋体" w:hAnsi="Courier New"/>
      <w:kern w:val="2"/>
      <w:sz w:val="21"/>
    </w:rPr>
  </w:style>
  <w:style w:type="character" w:customStyle="1" w:styleId="57">
    <w:name w:val="列出段落 字符"/>
    <w:link w:val="58"/>
    <w:autoRedefine/>
    <w:qFormat/>
    <w:locked/>
    <w:uiPriority w:val="34"/>
    <w:rPr>
      <w:sz w:val="22"/>
    </w:rPr>
  </w:style>
  <w:style w:type="paragraph" w:customStyle="1" w:styleId="58">
    <w:name w:val="列出段落1"/>
    <w:basedOn w:val="1"/>
    <w:link w:val="57"/>
    <w:autoRedefine/>
    <w:qFormat/>
    <w:uiPriority w:val="34"/>
    <w:pPr>
      <w:ind w:firstLine="420" w:firstLineChars="200"/>
    </w:pPr>
    <w:rPr>
      <w:sz w:val="22"/>
    </w:rPr>
  </w:style>
  <w:style w:type="character" w:customStyle="1" w:styleId="59">
    <w:name w:val="apple-converted-space"/>
    <w:basedOn w:val="40"/>
    <w:autoRedefine/>
    <w:qFormat/>
    <w:uiPriority w:val="0"/>
    <w:rPr>
      <w:rFonts w:cs="Times New Roman"/>
    </w:rPr>
  </w:style>
  <w:style w:type="character" w:customStyle="1" w:styleId="60">
    <w:name w:val="页眉 字符"/>
    <w:link w:val="23"/>
    <w:autoRedefine/>
    <w:qFormat/>
    <w:locked/>
    <w:uiPriority w:val="99"/>
    <w:rPr>
      <w:sz w:val="18"/>
    </w:rPr>
  </w:style>
  <w:style w:type="character" w:customStyle="1" w:styleId="61">
    <w:name w:val="BODY TEXT Char"/>
    <w:link w:val="62"/>
    <w:autoRedefine/>
    <w:qFormat/>
    <w:locked/>
    <w:uiPriority w:val="0"/>
    <w:rPr>
      <w:rFonts w:eastAsia="新宋体"/>
      <w:kern w:val="2"/>
      <w:sz w:val="21"/>
    </w:rPr>
  </w:style>
  <w:style w:type="paragraph" w:customStyle="1" w:styleId="62">
    <w:name w:val="正文文本1"/>
    <w:basedOn w:val="1"/>
    <w:link w:val="61"/>
    <w:autoRedefine/>
    <w:qFormat/>
    <w:uiPriority w:val="0"/>
    <w:pPr>
      <w:adjustRightInd w:val="0"/>
      <w:spacing w:before="120" w:after="120" w:afterLines="50" w:line="280" w:lineRule="atLeast"/>
      <w:textAlignment w:val="baseline"/>
    </w:pPr>
    <w:rPr>
      <w:rFonts w:ascii="Times New Roman" w:hAnsi="Times New Roman" w:eastAsia="新宋体" w:cs="Times New Roman"/>
      <w:szCs w:val="20"/>
    </w:rPr>
  </w:style>
  <w:style w:type="character" w:customStyle="1" w:styleId="63">
    <w:name w:val="批注文字 字符"/>
    <w:link w:val="10"/>
    <w:autoRedefine/>
    <w:qFormat/>
    <w:locked/>
    <w:uiPriority w:val="0"/>
  </w:style>
  <w:style w:type="character" w:customStyle="1" w:styleId="64">
    <w:name w:val="标题 字符"/>
    <w:link w:val="34"/>
    <w:autoRedefine/>
    <w:qFormat/>
    <w:locked/>
    <w:uiPriority w:val="0"/>
    <w:rPr>
      <w:rFonts w:ascii="Arial" w:hAnsi="Arial"/>
      <w:b/>
      <w:sz w:val="32"/>
    </w:rPr>
  </w:style>
  <w:style w:type="character" w:customStyle="1" w:styleId="65">
    <w:name w:val="日期 字符"/>
    <w:link w:val="19"/>
    <w:autoRedefine/>
    <w:qFormat/>
    <w:locked/>
    <w:uiPriority w:val="99"/>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字符"/>
    <w:link w:val="21"/>
    <w:autoRedefine/>
    <w:qFormat/>
    <w:locked/>
    <w:uiPriority w:val="99"/>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字符"/>
    <w:link w:val="8"/>
    <w:autoRedefine/>
    <w:qFormat/>
    <w:locked/>
    <w:uiPriority w:val="99"/>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字符"/>
    <w:link w:val="17"/>
    <w:autoRedefine/>
    <w:qFormat/>
    <w:locked/>
    <w:uiPriority w:val="0"/>
    <w:rPr>
      <w:rFonts w:ascii="宋体" w:hAnsi="Courier New"/>
    </w:rPr>
  </w:style>
  <w:style w:type="character" w:customStyle="1" w:styleId="75">
    <w:name w:val="页脚 字符"/>
    <w:link w:val="22"/>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0"/>
    <w:autoRedefine/>
    <w:qFormat/>
    <w:uiPriority w:val="0"/>
  </w:style>
  <w:style w:type="character" w:customStyle="1" w:styleId="80">
    <w:name w:val="批注文字 字符11"/>
    <w:basedOn w:val="40"/>
    <w:autoRedefine/>
    <w:qFormat/>
    <w:uiPriority w:val="0"/>
    <w:rPr>
      <w:rFonts w:cs="Times New Roman"/>
      <w:kern w:val="2"/>
      <w:sz w:val="21"/>
    </w:rPr>
  </w:style>
  <w:style w:type="character" w:customStyle="1" w:styleId="81">
    <w:name w:val="正文文本缩进 字符"/>
    <w:basedOn w:val="40"/>
    <w:link w:val="13"/>
    <w:autoRedefine/>
    <w:qFormat/>
    <w:uiPriority w:val="99"/>
    <w:rPr>
      <w:rFonts w:ascii="Calibri" w:hAnsi="Calibri" w:eastAsia="宋体" w:cs="Times New Roman"/>
      <w:szCs w:val="20"/>
    </w:rPr>
  </w:style>
  <w:style w:type="character" w:customStyle="1" w:styleId="82">
    <w:name w:val="文档结构图 字符1"/>
    <w:basedOn w:val="40"/>
    <w:autoRedefine/>
    <w:semiHidden/>
    <w:qFormat/>
    <w:uiPriority w:val="99"/>
    <w:rPr>
      <w:rFonts w:ascii="Microsoft YaHei UI" w:eastAsia="Microsoft YaHei UI"/>
      <w:sz w:val="18"/>
      <w:szCs w:val="18"/>
    </w:rPr>
  </w:style>
  <w:style w:type="character" w:customStyle="1" w:styleId="83">
    <w:name w:val="文档结构图 字符11"/>
    <w:basedOn w:val="40"/>
    <w:autoRedefine/>
    <w:semiHidden/>
    <w:qFormat/>
    <w:uiPriority w:val="99"/>
    <w:rPr>
      <w:rFonts w:ascii="Microsoft YaHei UI" w:eastAsia="Microsoft YaHei UI" w:cs="Times New Roman"/>
      <w:kern w:val="2"/>
      <w:sz w:val="18"/>
      <w:szCs w:val="18"/>
    </w:rPr>
  </w:style>
  <w:style w:type="character" w:customStyle="1" w:styleId="84">
    <w:name w:val="正文文本 字符"/>
    <w:basedOn w:val="40"/>
    <w:link w:val="12"/>
    <w:autoRedefine/>
    <w:qFormat/>
    <w:uiPriority w:val="99"/>
    <w:rPr>
      <w:rFonts w:ascii="Calibri" w:hAnsi="Calibri" w:eastAsia="新宋体" w:cs="Times New Roman"/>
      <w:szCs w:val="21"/>
    </w:rPr>
  </w:style>
  <w:style w:type="character" w:customStyle="1" w:styleId="85">
    <w:name w:val="纯文本 字符1"/>
    <w:basedOn w:val="40"/>
    <w:autoRedefine/>
    <w:qFormat/>
    <w:uiPriority w:val="0"/>
    <w:rPr>
      <w:rFonts w:hAnsi="Courier New" w:cs="Courier New" w:asciiTheme="minorEastAsia"/>
    </w:rPr>
  </w:style>
  <w:style w:type="character" w:customStyle="1" w:styleId="86">
    <w:name w:val="纯文本 字符11"/>
    <w:basedOn w:val="40"/>
    <w:autoRedefine/>
    <w:qFormat/>
    <w:uiPriority w:val="0"/>
    <w:rPr>
      <w:rFonts w:hAnsi="Courier New" w:cs="Courier New" w:asciiTheme="minorEastAsia" w:eastAsiaTheme="minorEastAsia"/>
      <w:kern w:val="2"/>
      <w:sz w:val="21"/>
    </w:rPr>
  </w:style>
  <w:style w:type="character" w:customStyle="1" w:styleId="87">
    <w:name w:val="页眉 字符1"/>
    <w:basedOn w:val="40"/>
    <w:autoRedefine/>
    <w:semiHidden/>
    <w:qFormat/>
    <w:uiPriority w:val="99"/>
    <w:rPr>
      <w:sz w:val="18"/>
      <w:szCs w:val="18"/>
    </w:rPr>
  </w:style>
  <w:style w:type="character" w:customStyle="1" w:styleId="88">
    <w:name w:val="页眉 字符11"/>
    <w:basedOn w:val="40"/>
    <w:autoRedefine/>
    <w:semiHidden/>
    <w:qFormat/>
    <w:uiPriority w:val="99"/>
    <w:rPr>
      <w:rFonts w:cs="Times New Roman"/>
      <w:kern w:val="2"/>
      <w:sz w:val="18"/>
      <w:szCs w:val="18"/>
    </w:rPr>
  </w:style>
  <w:style w:type="character" w:customStyle="1" w:styleId="89">
    <w:name w:val="批注框文本 字符1"/>
    <w:basedOn w:val="40"/>
    <w:autoRedefine/>
    <w:semiHidden/>
    <w:qFormat/>
    <w:uiPriority w:val="99"/>
    <w:rPr>
      <w:sz w:val="18"/>
      <w:szCs w:val="18"/>
    </w:rPr>
  </w:style>
  <w:style w:type="character" w:customStyle="1" w:styleId="90">
    <w:name w:val="批注框文本 字符11"/>
    <w:basedOn w:val="40"/>
    <w:autoRedefine/>
    <w:semiHidden/>
    <w:qFormat/>
    <w:uiPriority w:val="99"/>
    <w:rPr>
      <w:rFonts w:cs="Times New Roman"/>
      <w:kern w:val="2"/>
      <w:sz w:val="18"/>
      <w:szCs w:val="18"/>
    </w:rPr>
  </w:style>
  <w:style w:type="character" w:customStyle="1" w:styleId="91">
    <w:name w:val="日期 字符1"/>
    <w:basedOn w:val="40"/>
    <w:autoRedefine/>
    <w:semiHidden/>
    <w:qFormat/>
    <w:uiPriority w:val="99"/>
  </w:style>
  <w:style w:type="character" w:customStyle="1" w:styleId="92">
    <w:name w:val="日期 字符11"/>
    <w:basedOn w:val="40"/>
    <w:autoRedefine/>
    <w:semiHidden/>
    <w:qFormat/>
    <w:uiPriority w:val="99"/>
    <w:rPr>
      <w:rFonts w:cs="Times New Roman"/>
      <w:kern w:val="2"/>
      <w:sz w:val="21"/>
    </w:rPr>
  </w:style>
  <w:style w:type="character" w:customStyle="1" w:styleId="93">
    <w:name w:val="页脚 字符1"/>
    <w:basedOn w:val="40"/>
    <w:autoRedefine/>
    <w:semiHidden/>
    <w:qFormat/>
    <w:uiPriority w:val="99"/>
    <w:rPr>
      <w:sz w:val="18"/>
      <w:szCs w:val="18"/>
    </w:rPr>
  </w:style>
  <w:style w:type="character" w:customStyle="1" w:styleId="94">
    <w:name w:val="页脚 字符11"/>
    <w:basedOn w:val="40"/>
    <w:autoRedefine/>
    <w:semiHidden/>
    <w:qFormat/>
    <w:uiPriority w:val="99"/>
    <w:rPr>
      <w:rFonts w:cs="Times New Roman"/>
      <w:kern w:val="2"/>
      <w:sz w:val="18"/>
      <w:szCs w:val="18"/>
    </w:rPr>
  </w:style>
  <w:style w:type="character" w:customStyle="1" w:styleId="95">
    <w:name w:val="正文文本缩进 2 字符1"/>
    <w:basedOn w:val="40"/>
    <w:autoRedefine/>
    <w:semiHidden/>
    <w:qFormat/>
    <w:uiPriority w:val="99"/>
  </w:style>
  <w:style w:type="character" w:customStyle="1" w:styleId="96">
    <w:name w:val="正文文本缩进 2 字符11"/>
    <w:basedOn w:val="40"/>
    <w:autoRedefine/>
    <w:semiHidden/>
    <w:qFormat/>
    <w:uiPriority w:val="99"/>
    <w:rPr>
      <w:rFonts w:cs="Times New Roman"/>
      <w:kern w:val="2"/>
      <w:sz w:val="21"/>
    </w:rPr>
  </w:style>
  <w:style w:type="character" w:customStyle="1" w:styleId="97">
    <w:name w:val="正文文本缩进 3 字符1"/>
    <w:basedOn w:val="40"/>
    <w:autoRedefine/>
    <w:semiHidden/>
    <w:qFormat/>
    <w:uiPriority w:val="99"/>
    <w:rPr>
      <w:sz w:val="16"/>
      <w:szCs w:val="16"/>
    </w:rPr>
  </w:style>
  <w:style w:type="character" w:customStyle="1" w:styleId="98">
    <w:name w:val="正文文本缩进 3 字符11"/>
    <w:basedOn w:val="40"/>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0"/>
    <w:autoRedefine/>
    <w:qFormat/>
    <w:uiPriority w:val="10"/>
    <w:rPr>
      <w:rFonts w:asciiTheme="majorHAnsi" w:hAnsiTheme="majorHAnsi" w:eastAsiaTheme="majorEastAsia" w:cstheme="majorBidi"/>
      <w:b/>
      <w:bCs/>
      <w:sz w:val="32"/>
      <w:szCs w:val="32"/>
    </w:rPr>
  </w:style>
  <w:style w:type="character" w:customStyle="1" w:styleId="102">
    <w:name w:val="标题 字符11"/>
    <w:basedOn w:val="40"/>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7"/>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locked/>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locked/>
    <w:uiPriority w:val="0"/>
    <w:rPr>
      <w:rFonts w:ascii="宋体" w:hAnsi="宋体" w:eastAsia="黑体" w:cs="Times New Roman"/>
      <w:bCs/>
      <w:sz w:val="28"/>
      <w:szCs w:val="30"/>
    </w:rPr>
  </w:style>
  <w:style w:type="character" w:customStyle="1" w:styleId="120">
    <w:name w:val="标书表格 字符"/>
    <w:link w:val="118"/>
    <w:autoRedefine/>
    <w:qFormat/>
    <w:locked/>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locked/>
    <w:uiPriority w:val="0"/>
    <w:rPr>
      <w:b/>
      <w:color w:val="000000"/>
      <w:sz w:val="24"/>
    </w:rPr>
  </w:style>
  <w:style w:type="paragraph" w:customStyle="1" w:styleId="124">
    <w:name w:val="标三级标题"/>
    <w:basedOn w:val="121"/>
    <w:link w:val="123"/>
    <w:autoRedefine/>
    <w:qFormat/>
    <w:uiPriority w:val="0"/>
    <w:rPr>
      <w:rFonts w:asciiTheme="minorHAnsi" w:hAnsiTheme="minorHAnsi" w:eastAsiaTheme="minorEastAsia" w:cstheme="minorBidi"/>
      <w:bCs w:val="0"/>
      <w:szCs w:val="22"/>
    </w:rPr>
  </w:style>
  <w:style w:type="character" w:customStyle="1" w:styleId="125">
    <w:name w:val="标正文 字符"/>
    <w:link w:val="126"/>
    <w:autoRedefine/>
    <w:qFormat/>
    <w:locked/>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eastAsia="宋体" w:hAnsiTheme="minorHAnsi"/>
      <w:szCs w:val="22"/>
    </w:rPr>
  </w:style>
  <w:style w:type="paragraph" w:customStyle="1" w:styleId="127">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34"/>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semiHidden/>
    <w:unhideWhenUsed/>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link w:val="138"/>
    <w:autoRedefine/>
    <w:qFormat/>
    <w:uiPriority w:val="0"/>
    <w:rPr>
      <w:rFonts w:eastAsia="黑体"/>
      <w:b w:val="0"/>
      <w:color w:val="000000"/>
      <w:sz w:val="30"/>
      <w:szCs w:val="24"/>
    </w:rPr>
  </w:style>
  <w:style w:type="paragraph" w:customStyle="1" w:styleId="135">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36">
    <w:name w:val="一级条标题"/>
    <w:next w:val="1"/>
    <w:autoRedefine/>
    <w:qFormat/>
    <w:uiPriority w:val="0"/>
    <w:pPr>
      <w:numPr>
        <w:ilvl w:val="2"/>
        <w:numId w:val="1"/>
      </w:numPr>
      <w:outlineLvl w:val="2"/>
    </w:pPr>
    <w:rPr>
      <w:rFonts w:ascii="Times New Roman" w:hAnsi="Times New Roman" w:eastAsia="黑体" w:cs="Times New Roman"/>
      <w:sz w:val="21"/>
      <w:lang w:val="en-US" w:eastAsia="zh-CN" w:bidi="ar-SA"/>
    </w:rPr>
  </w:style>
  <w:style w:type="character" w:customStyle="1" w:styleId="137">
    <w:name w:val="Char Char31"/>
    <w:autoRedefine/>
    <w:qFormat/>
    <w:uiPriority w:val="0"/>
    <w:rPr>
      <w:rFonts w:ascii="宋体" w:hAnsi="Courier New" w:eastAsia="宋体"/>
      <w:kern w:val="2"/>
      <w:sz w:val="21"/>
      <w:lang w:val="en-US" w:eastAsia="zh-CN" w:bidi="ar-SA"/>
    </w:rPr>
  </w:style>
  <w:style w:type="character" w:customStyle="1" w:styleId="138">
    <w:name w:val="标书一级标题 字符"/>
    <w:link w:val="134"/>
    <w:autoRedefine/>
    <w:qFormat/>
    <w:uiPriority w:val="0"/>
    <w:rPr>
      <w:rFonts w:eastAsia="黑体" w:asciiTheme="minorHAnsi" w:hAnsiTheme="minorHAnsi" w:cstheme="minorBidi"/>
      <w:bCs/>
      <w:color w:val="000000"/>
      <w:kern w:val="44"/>
      <w:sz w:val="30"/>
      <w:szCs w:val="24"/>
    </w:rPr>
  </w:style>
  <w:style w:type="character" w:customStyle="1" w:styleId="139">
    <w:name w:val="Char Char21"/>
    <w:autoRedefine/>
    <w:qFormat/>
    <w:uiPriority w:val="0"/>
    <w:rPr>
      <w:rFonts w:ascii="宋体" w:hAnsi="Courier New" w:cs="宋体"/>
      <w:kern w:val="2"/>
      <w:sz w:val="21"/>
      <w:szCs w:val="21"/>
    </w:rPr>
  </w:style>
  <w:style w:type="character" w:customStyle="1" w:styleId="140">
    <w:name w:val="Char Char51"/>
    <w:autoRedefine/>
    <w:qFormat/>
    <w:uiPriority w:val="0"/>
    <w:rPr>
      <w:rFonts w:ascii="宋体" w:hAnsi="Courier New" w:eastAsia="宋体"/>
      <w:kern w:val="2"/>
      <w:sz w:val="21"/>
      <w:lang w:val="en-US" w:eastAsia="zh-CN" w:bidi="ar-SA"/>
    </w:rPr>
  </w:style>
  <w:style w:type="paragraph" w:customStyle="1" w:styleId="141">
    <w:name w:val="列表段落1"/>
    <w:basedOn w:val="1"/>
    <w:autoRedefine/>
    <w:qFormat/>
    <w:uiPriority w:val="0"/>
    <w:pPr>
      <w:ind w:firstLine="420" w:firstLineChars="200"/>
    </w:pPr>
    <w:rPr>
      <w:rFonts w:ascii="Calibri" w:hAnsi="Calibri" w:eastAsia="宋体" w:cs="Times New Roman"/>
    </w:rPr>
  </w:style>
  <w:style w:type="paragraph" w:customStyle="1" w:styleId="14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rPr>
  </w:style>
  <w:style w:type="character" w:customStyle="1" w:styleId="143">
    <w:name w:val="纯文本 Char2"/>
    <w:autoRedefine/>
    <w:qFormat/>
    <w:uiPriority w:val="0"/>
    <w:rPr>
      <w:rFonts w:ascii="宋体" w:hAnsi="Courier New" w:eastAsia="宋体"/>
      <w:kern w:val="2"/>
      <w:sz w:val="21"/>
      <w:lang w:val="en-US" w:eastAsia="zh-CN" w:bidi="ar-SA"/>
    </w:rPr>
  </w:style>
  <w:style w:type="character" w:customStyle="1" w:styleId="144">
    <w:name w:val="HR正文 Char1"/>
    <w:link w:val="145"/>
    <w:autoRedefine/>
    <w:qFormat/>
    <w:uiPriority w:val="0"/>
    <w:rPr>
      <w:kern w:val="2"/>
      <w:sz w:val="24"/>
      <w:szCs w:val="24"/>
    </w:rPr>
  </w:style>
  <w:style w:type="paragraph" w:customStyle="1" w:styleId="145">
    <w:name w:val="HR正文"/>
    <w:basedOn w:val="1"/>
    <w:link w:val="144"/>
    <w:autoRedefine/>
    <w:qFormat/>
    <w:uiPriority w:val="0"/>
    <w:pPr>
      <w:spacing w:line="300" w:lineRule="auto"/>
      <w:ind w:firstLine="200" w:firstLineChars="200"/>
    </w:pPr>
    <w:rPr>
      <w:rFonts w:ascii="Times New Roman" w:hAnsi="Times New Roman" w:eastAsia="宋体" w:cs="Times New Roman"/>
      <w:sz w:val="24"/>
      <w:szCs w:val="24"/>
    </w:rPr>
  </w:style>
  <w:style w:type="character" w:customStyle="1" w:styleId="146">
    <w:name w:val="纯文本 Char1"/>
    <w:autoRedefine/>
    <w:qFormat/>
    <w:uiPriority w:val="0"/>
    <w:rPr>
      <w:rFonts w:ascii="宋体" w:hAnsi="Courier New"/>
      <w:kern w:val="2"/>
      <w:sz w:val="21"/>
    </w:rPr>
  </w:style>
  <w:style w:type="paragraph" w:customStyle="1" w:styleId="147">
    <w:name w:val="Revision"/>
    <w:autoRedefine/>
    <w:unhideWhenUsed/>
    <w:qFormat/>
    <w:uiPriority w:val="99"/>
    <w:rPr>
      <w:rFonts w:ascii="Times New Roman" w:hAnsi="Times New Roman" w:eastAsia="宋体" w:cs="Times New Roman"/>
      <w:kern w:val="2"/>
      <w:sz w:val="21"/>
      <w:lang w:val="en-US" w:eastAsia="zh-CN" w:bidi="ar-SA"/>
    </w:rPr>
  </w:style>
  <w:style w:type="paragraph" w:customStyle="1" w:styleId="148">
    <w:name w:val="_Style 105"/>
    <w:basedOn w:val="1"/>
    <w:next w:val="129"/>
    <w:link w:val="149"/>
    <w:autoRedefine/>
    <w:qFormat/>
    <w:uiPriority w:val="34"/>
    <w:pPr>
      <w:ind w:firstLine="420" w:firstLineChars="200"/>
    </w:pPr>
    <w:rPr>
      <w:rFonts w:ascii="Calibri" w:hAnsi="Calibri" w:eastAsia="宋体" w:cs="Times New Roman"/>
    </w:rPr>
  </w:style>
  <w:style w:type="character" w:customStyle="1" w:styleId="149">
    <w:name w:val="列表段落 字符"/>
    <w:link w:val="148"/>
    <w:autoRedefine/>
    <w:qFormat/>
    <w:locked/>
    <w:uiPriority w:val="34"/>
    <w:rPr>
      <w:rFonts w:ascii="Calibri" w:hAnsi="Calibri"/>
      <w:kern w:val="2"/>
      <w:sz w:val="21"/>
      <w:szCs w:val="22"/>
    </w:rPr>
  </w:style>
  <w:style w:type="paragraph" w:customStyle="1" w:styleId="150">
    <w:name w:val="正文文本11"/>
    <w:basedOn w:val="1"/>
    <w:autoRedefine/>
    <w:qFormat/>
    <w:uiPriority w:val="0"/>
    <w:pPr>
      <w:adjustRightInd w:val="0"/>
      <w:spacing w:before="120" w:afterLines="50" w:line="280" w:lineRule="atLeast"/>
      <w:textAlignment w:val="baseline"/>
    </w:pPr>
    <w:rPr>
      <w:rFonts w:ascii="Calibri" w:hAnsi="Calibri" w:eastAsia="新宋体" w:cs="Times New Roman"/>
      <w:szCs w:val="21"/>
    </w:rPr>
  </w:style>
  <w:style w:type="paragraph" w:customStyle="1" w:styleId="151">
    <w:name w:val="List Paragraph1"/>
    <w:basedOn w:val="1"/>
    <w:autoRedefine/>
    <w:qFormat/>
    <w:uiPriority w:val="0"/>
    <w:pPr>
      <w:ind w:firstLine="420" w:firstLineChars="200"/>
    </w:pPr>
    <w:rPr>
      <w:rFonts w:ascii="Calibri" w:hAnsi="Calibri" w:eastAsia="宋体" w:cs="Times New Roman"/>
    </w:rPr>
  </w:style>
  <w:style w:type="paragraph" w:customStyle="1" w:styleId="152">
    <w:name w:val="ATXT_Standard_1"/>
    <w:autoRedefine/>
    <w:qFormat/>
    <w:uiPriority w:val="99"/>
    <w:pPr>
      <w:jc w:val="both"/>
    </w:pPr>
    <w:rPr>
      <w:rFonts w:ascii="Arial" w:hAnsi="Arial" w:eastAsia="宋体" w:cs="Times New Roman"/>
      <w:lang w:val="de-DE" w:eastAsia="zh-CN" w:bidi="th-TH"/>
    </w:rPr>
  </w:style>
  <w:style w:type="paragraph" w:customStyle="1" w:styleId="153">
    <w:name w:val="Normal_2"/>
    <w:autoRedefine/>
    <w:qFormat/>
    <w:uiPriority w:val="0"/>
    <w:pPr>
      <w:spacing w:after="160" w:line="259" w:lineRule="auto"/>
    </w:pPr>
    <w:rPr>
      <w:rFonts w:ascii="Arial" w:hAnsi="Arial" w:eastAsia="等线" w:cs="Arial"/>
      <w:szCs w:val="28"/>
      <w:lang w:val="de-DE" w:eastAsia="zh-CN" w:bidi="th-TH"/>
    </w:rPr>
  </w:style>
  <w:style w:type="character" w:customStyle="1" w:styleId="154">
    <w:name w:val="Char Char32"/>
    <w:autoRedefine/>
    <w:qFormat/>
    <w:uiPriority w:val="0"/>
    <w:rPr>
      <w:rFonts w:ascii="宋体" w:hAnsi="Courier New" w:eastAsia="宋体"/>
      <w:kern w:val="2"/>
      <w:sz w:val="21"/>
      <w:lang w:val="en-US" w:eastAsia="zh-CN" w:bidi="ar-SA"/>
    </w:rPr>
  </w:style>
  <w:style w:type="character" w:customStyle="1" w:styleId="155">
    <w:name w:val="Char Char22"/>
    <w:autoRedefine/>
    <w:qFormat/>
    <w:uiPriority w:val="0"/>
    <w:rPr>
      <w:rFonts w:ascii="宋体" w:hAnsi="Courier New" w:cs="宋体"/>
      <w:kern w:val="2"/>
      <w:sz w:val="21"/>
      <w:szCs w:val="21"/>
    </w:rPr>
  </w:style>
  <w:style w:type="paragraph" w:customStyle="1" w:styleId="156">
    <w:name w:val="正文文本2"/>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57">
    <w:name w:val="Char Char52"/>
    <w:autoRedefine/>
    <w:qFormat/>
    <w:uiPriority w:val="0"/>
    <w:rPr>
      <w:rFonts w:ascii="宋体" w:hAnsi="Courier New" w:eastAsia="宋体"/>
      <w:kern w:val="2"/>
      <w:sz w:val="21"/>
      <w:lang w:val="en-US" w:eastAsia="zh-CN" w:bidi="ar-SA"/>
    </w:rPr>
  </w:style>
  <w:style w:type="paragraph" w:customStyle="1" w:styleId="158">
    <w:name w:val="列表段落2"/>
    <w:basedOn w:val="1"/>
    <w:autoRedefine/>
    <w:qFormat/>
    <w:uiPriority w:val="0"/>
    <w:pPr>
      <w:ind w:firstLine="420" w:firstLineChars="200"/>
    </w:pPr>
    <w:rPr>
      <w:rFonts w:ascii="Calibri" w:hAnsi="Calibri" w:eastAsia="宋体" w:cs="Times New Roman"/>
    </w:rPr>
  </w:style>
  <w:style w:type="character" w:customStyle="1" w:styleId="159">
    <w:name w:val="Char Char33"/>
    <w:autoRedefine/>
    <w:qFormat/>
    <w:uiPriority w:val="0"/>
    <w:rPr>
      <w:rFonts w:ascii="宋体" w:hAnsi="Courier New" w:eastAsia="宋体"/>
      <w:kern w:val="2"/>
      <w:sz w:val="21"/>
      <w:lang w:val="en-US" w:eastAsia="zh-CN" w:bidi="ar-SA"/>
    </w:rPr>
  </w:style>
  <w:style w:type="character" w:customStyle="1" w:styleId="160">
    <w:name w:val="Char Char23"/>
    <w:autoRedefine/>
    <w:qFormat/>
    <w:uiPriority w:val="0"/>
    <w:rPr>
      <w:rFonts w:ascii="宋体" w:hAnsi="Courier New" w:cs="宋体"/>
      <w:kern w:val="2"/>
      <w:sz w:val="21"/>
      <w:szCs w:val="21"/>
    </w:rPr>
  </w:style>
  <w:style w:type="paragraph" w:customStyle="1" w:styleId="161">
    <w:name w:val="正文文本3"/>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62">
    <w:name w:val="Char Char53"/>
    <w:autoRedefine/>
    <w:qFormat/>
    <w:uiPriority w:val="0"/>
    <w:rPr>
      <w:rFonts w:ascii="宋体" w:hAnsi="Courier New" w:eastAsia="宋体"/>
      <w:kern w:val="2"/>
      <w:sz w:val="21"/>
      <w:lang w:val="en-US" w:eastAsia="zh-CN" w:bidi="ar-SA"/>
    </w:rPr>
  </w:style>
  <w:style w:type="paragraph" w:customStyle="1" w:styleId="163">
    <w:name w:val="列表段落3"/>
    <w:basedOn w:val="1"/>
    <w:autoRedefine/>
    <w:qFormat/>
    <w:uiPriority w:val="0"/>
    <w:pPr>
      <w:ind w:firstLine="420" w:firstLineChars="200"/>
    </w:pPr>
    <w:rPr>
      <w:rFonts w:ascii="Calibri" w:hAnsi="Calibri" w:eastAsia="宋体" w:cs="Times New Roman"/>
    </w:rPr>
  </w:style>
  <w:style w:type="character" w:customStyle="1" w:styleId="164">
    <w:name w:val="cf01"/>
    <w:basedOn w:val="40"/>
    <w:autoRedefine/>
    <w:qFormat/>
    <w:uiPriority w:val="0"/>
    <w:rPr>
      <w:rFonts w:hint="eastAsia" w:ascii="Microsoft YaHei UI" w:hAnsi="Microsoft YaHei UI" w:eastAsia="Microsoft YaHei UI"/>
      <w:sz w:val="18"/>
      <w:szCs w:val="18"/>
    </w:rPr>
  </w:style>
  <w:style w:type="character" w:customStyle="1" w:styleId="165">
    <w:name w:val="cf11"/>
    <w:basedOn w:val="40"/>
    <w:autoRedefine/>
    <w:qFormat/>
    <w:uiPriority w:val="0"/>
    <w:rPr>
      <w:rFonts w:hint="eastAsia" w:ascii="Microsoft YaHei UI" w:hAnsi="Microsoft YaHei UI" w:eastAsia="Microsoft YaHei UI"/>
      <w:sz w:val="18"/>
      <w:szCs w:val="18"/>
    </w:rPr>
  </w:style>
  <w:style w:type="character" w:customStyle="1" w:styleId="166">
    <w:name w:val="cf21"/>
    <w:basedOn w:val="40"/>
    <w:autoRedefine/>
    <w:qFormat/>
    <w:uiPriority w:val="0"/>
    <w:rPr>
      <w:rFonts w:hint="eastAsia" w:ascii="Microsoft YaHei UI" w:hAnsi="Microsoft YaHei UI" w:eastAsia="Microsoft YaHei UI"/>
      <w:sz w:val="18"/>
      <w:szCs w:val="18"/>
    </w:rPr>
  </w:style>
  <w:style w:type="paragraph" w:customStyle="1" w:styleId="167">
    <w:name w:val="pf0"/>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8">
    <w:name w:val="cf31"/>
    <w:basedOn w:val="40"/>
    <w:autoRedefine/>
    <w:qFormat/>
    <w:uiPriority w:val="0"/>
    <w:rPr>
      <w:rFonts w:hint="eastAsia" w:ascii="Microsoft YaHei UI" w:hAnsi="Microsoft YaHei UI" w:eastAsia="Microsoft YaHei UI"/>
      <w:sz w:val="18"/>
      <w:szCs w:val="18"/>
    </w:rPr>
  </w:style>
  <w:style w:type="character" w:customStyle="1" w:styleId="169">
    <w:name w:val="cf41"/>
    <w:basedOn w:val="40"/>
    <w:autoRedefine/>
    <w:qFormat/>
    <w:uiPriority w:val="0"/>
    <w:rPr>
      <w:rFonts w:hint="eastAsia" w:ascii="Microsoft YaHei UI" w:hAnsi="Microsoft YaHei UI" w:eastAsia="Microsoft YaHei UI"/>
      <w:sz w:val="18"/>
      <w:szCs w:val="18"/>
    </w:rPr>
  </w:style>
  <w:style w:type="paragraph" w:customStyle="1" w:styleId="170">
    <w:name w:val="ATXT_Bullets_1_6"/>
    <w:basedOn w:val="1"/>
    <w:autoRedefine/>
    <w:qFormat/>
    <w:uiPriority w:val="99"/>
    <w:pPr>
      <w:widowControl/>
      <w:tabs>
        <w:tab w:val="left" w:pos="360"/>
      </w:tabs>
      <w:ind w:left="1418" w:hanging="284"/>
      <w:jc w:val="left"/>
    </w:pPr>
    <w:rPr>
      <w:rFonts w:ascii="Arial" w:hAnsi="Arial" w:cs="Arial"/>
      <w:kern w:val="0"/>
      <w:sz w:val="20"/>
      <w:szCs w:val="20"/>
      <w:lang w:val="de-AT" w:eastAsia="ja-JP"/>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114</Pages>
  <Words>8331</Words>
  <Characters>8963</Characters>
  <Lines>103</Lines>
  <Paragraphs>97</Paragraphs>
  <TotalTime>9</TotalTime>
  <ScaleCrop>false</ScaleCrop>
  <LinksUpToDate>false</LinksUpToDate>
  <CharactersWithSpaces>9082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2023-04-10T06:57:00Z</cp:lastPrinted>
  <dcterms:modified xsi:type="dcterms:W3CDTF">2025-04-18T03:34:12Z</dcterms:modified>
  <cp:revision>672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eyJoZGlkIjoiNWM4YzFjOWU0Nzg0NmRkMzI1ZDk2YmYxNGU0NmE0YTUiLCJ1c2VySWQiOiIyMzM1Mzg3MjEifQ==</vt:lpwstr>
  </property>
</Properties>
</file>