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b w:val="0"/>
          <w:bCs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28"/>
          <w:highlight w:val="none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 w:val="0"/>
          <w:sz w:val="44"/>
          <w:szCs w:val="44"/>
          <w:highlight w:val="none"/>
          <w:lang w:val="en-US" w:eastAsia="zh-CN"/>
        </w:rPr>
        <w:t>投标系统操作步骤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b/>
          <w:sz w:val="32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val="en-US" w:eastAsia="zh-CN"/>
        </w:rPr>
        <w:t>一、应标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eastAsia="仿宋_GB2312"/>
          <w:sz w:val="32"/>
          <w:szCs w:val="28"/>
          <w:highlight w:val="none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1.应标时间：</w:t>
      </w:r>
      <w:r>
        <w:rPr>
          <w:rFonts w:eastAsia="仿宋_GB2312"/>
          <w:sz w:val="32"/>
          <w:szCs w:val="28"/>
          <w:highlight w:val="none"/>
        </w:rPr>
        <w:t>20</w:t>
      </w:r>
      <w:r>
        <w:rPr>
          <w:rFonts w:hint="eastAsia" w:eastAsia="仿宋_GB2312"/>
          <w:sz w:val="32"/>
          <w:szCs w:val="28"/>
          <w:highlight w:val="none"/>
        </w:rPr>
        <w:t>2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4</w:t>
      </w:r>
      <w:r>
        <w:rPr>
          <w:rFonts w:eastAsia="仿宋_GB2312"/>
          <w:sz w:val="32"/>
          <w:szCs w:val="28"/>
          <w:highlight w:val="none"/>
        </w:rPr>
        <w:t>年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8</w:t>
      </w:r>
      <w:r>
        <w:rPr>
          <w:rFonts w:eastAsia="仿宋_GB2312"/>
          <w:sz w:val="32"/>
          <w:szCs w:val="28"/>
          <w:highlight w:val="none"/>
        </w:rPr>
        <w:t>月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14</w:t>
      </w:r>
      <w:r>
        <w:rPr>
          <w:rFonts w:hint="eastAsia" w:eastAsia="仿宋_GB2312"/>
          <w:sz w:val="32"/>
          <w:szCs w:val="28"/>
          <w:highlight w:val="none"/>
        </w:rPr>
        <w:t>日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下午5</w:t>
      </w:r>
      <w:r>
        <w:rPr>
          <w:rFonts w:hint="eastAsia" w:eastAsia="仿宋_GB2312"/>
          <w:sz w:val="32"/>
          <w:szCs w:val="28"/>
          <w:highlight w:val="none"/>
          <w:lang w:eastAsia="zh-CN"/>
        </w:rPr>
        <w:t>：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00前</w:t>
      </w:r>
      <w:r>
        <w:rPr>
          <w:rFonts w:eastAsia="仿宋_GB2312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2.应标方式</w:t>
      </w:r>
      <w:r>
        <w:rPr>
          <w:rFonts w:ascii="Times New Roman" w:hAnsi="Times New Roman" w:eastAsia="仿宋_GB2312" w:cs="Times New Roman"/>
          <w:b/>
          <w:bCs/>
          <w:sz w:val="32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拟投标人在“中国重汽e采通”平台应标。按照“中国重汽e采通”《SRM非生产供应商注册手册》进行注册、《操作手册》进行操作，登录后进入“供应商应标”，选择对应的项目，点击“应标”后上传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《投标文件——资格标》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，资质审查通过即为投标成功。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val="en-US" w:eastAsia="zh-CN"/>
        </w:rPr>
        <w:t>二、递交投标文件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eastAsia="仿宋_GB2312"/>
          <w:sz w:val="32"/>
          <w:szCs w:val="28"/>
          <w:highlight w:val="none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1.递交时间：</w:t>
      </w:r>
      <w:r>
        <w:rPr>
          <w:rFonts w:eastAsia="仿宋_GB2312"/>
          <w:sz w:val="32"/>
          <w:szCs w:val="28"/>
          <w:highlight w:val="none"/>
        </w:rPr>
        <w:t>20</w:t>
      </w:r>
      <w:r>
        <w:rPr>
          <w:rFonts w:hint="eastAsia" w:eastAsia="仿宋_GB2312"/>
          <w:sz w:val="32"/>
          <w:szCs w:val="28"/>
          <w:highlight w:val="none"/>
        </w:rPr>
        <w:t>2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4</w:t>
      </w:r>
      <w:r>
        <w:rPr>
          <w:rFonts w:eastAsia="仿宋_GB2312"/>
          <w:sz w:val="32"/>
          <w:szCs w:val="28"/>
          <w:highlight w:val="none"/>
        </w:rPr>
        <w:t>年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8</w:t>
      </w:r>
      <w:r>
        <w:rPr>
          <w:rFonts w:eastAsia="仿宋_GB2312"/>
          <w:sz w:val="32"/>
          <w:szCs w:val="28"/>
          <w:highlight w:val="none"/>
        </w:rPr>
        <w:t>月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15</w:t>
      </w:r>
      <w:r>
        <w:rPr>
          <w:rFonts w:hint="eastAsia" w:eastAsia="仿宋_GB2312"/>
          <w:sz w:val="32"/>
          <w:szCs w:val="28"/>
          <w:highlight w:val="none"/>
        </w:rPr>
        <w:t>日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下午5</w:t>
      </w:r>
      <w:r>
        <w:rPr>
          <w:rFonts w:hint="eastAsia" w:eastAsia="仿宋_GB2312"/>
          <w:sz w:val="32"/>
          <w:szCs w:val="28"/>
          <w:highlight w:val="none"/>
          <w:lang w:eastAsia="zh-CN"/>
        </w:rPr>
        <w:t>：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00前</w:t>
      </w:r>
      <w:r>
        <w:rPr>
          <w:rFonts w:eastAsia="仿宋_GB2312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2.递交方式：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通过资质审查后，按照“SRM系统供应商用户操作手册”，在重汽e采通平台投递电子标书（包含资质标、技术标、商务标）。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highlight w:val="none"/>
          <w:lang w:val="en-US" w:eastAsia="zh-CN"/>
        </w:rPr>
        <w:t>三、开标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eastAsia="仿宋_GB2312"/>
          <w:sz w:val="32"/>
          <w:szCs w:val="28"/>
          <w:highlight w:val="none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1.开标时间：</w:t>
      </w:r>
      <w:r>
        <w:rPr>
          <w:rFonts w:eastAsia="仿宋_GB2312"/>
          <w:sz w:val="32"/>
          <w:szCs w:val="28"/>
          <w:highlight w:val="none"/>
        </w:rPr>
        <w:t>20</w:t>
      </w:r>
      <w:r>
        <w:rPr>
          <w:rFonts w:hint="eastAsia" w:eastAsia="仿宋_GB2312"/>
          <w:sz w:val="32"/>
          <w:szCs w:val="28"/>
          <w:highlight w:val="none"/>
        </w:rPr>
        <w:t>2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4</w:t>
      </w:r>
      <w:r>
        <w:rPr>
          <w:rFonts w:eastAsia="仿宋_GB2312"/>
          <w:sz w:val="32"/>
          <w:szCs w:val="28"/>
          <w:highlight w:val="none"/>
        </w:rPr>
        <w:t>年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8</w:t>
      </w:r>
      <w:r>
        <w:rPr>
          <w:rFonts w:eastAsia="仿宋_GB2312"/>
          <w:sz w:val="32"/>
          <w:szCs w:val="28"/>
          <w:highlight w:val="none"/>
        </w:rPr>
        <w:t>月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16</w:t>
      </w:r>
      <w:r>
        <w:rPr>
          <w:rFonts w:hint="eastAsia" w:eastAsia="仿宋_GB2312"/>
          <w:sz w:val="32"/>
          <w:szCs w:val="28"/>
          <w:highlight w:val="none"/>
        </w:rPr>
        <w:t>日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上午9</w:t>
      </w:r>
      <w:r>
        <w:rPr>
          <w:rFonts w:hint="eastAsia" w:eastAsia="仿宋_GB2312"/>
          <w:sz w:val="32"/>
          <w:szCs w:val="28"/>
          <w:highlight w:val="none"/>
          <w:lang w:eastAsia="zh-CN"/>
        </w:rPr>
        <w:t>：</w:t>
      </w:r>
      <w:r>
        <w:rPr>
          <w:rFonts w:hint="eastAsia" w:eastAsia="仿宋_GB2312"/>
          <w:sz w:val="32"/>
          <w:szCs w:val="28"/>
          <w:highlight w:val="none"/>
          <w:lang w:val="en-US" w:eastAsia="zh-CN"/>
        </w:rPr>
        <w:t>00</w:t>
      </w:r>
      <w:r>
        <w:rPr>
          <w:rFonts w:eastAsia="仿宋_GB2312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2.开唱标：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对通过应标资质审查单位的商务标报价进行开唱标。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3.技术标评审：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技术标评标专家组，通过重汽e采通平台，对投标人的《投标文件——技术标》进行综合评审；评审期间产生的技术澄清均由投标人在重汽e采通平台内完成提交；评审合格进入商务标评审环节。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28"/>
          <w:highlight w:val="none"/>
          <w:lang w:val="en-US" w:eastAsia="zh-CN"/>
        </w:rPr>
        <w:t>4.商务标评审：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公开唱标→商务条款相应确认→价格澄清→商务标评审；评审期间产生的商务价格澄清均由投标人在重汽e采通平台内限时完成提交；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具体技术标评分标准如下：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2"/>
        <w:gridCol w:w="567"/>
        <w:gridCol w:w="1058"/>
        <w:gridCol w:w="709"/>
        <w:gridCol w:w="5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评标因素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总分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评审内容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最高</w:t>
            </w:r>
          </w:p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得分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34" w:rightChars="16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技术标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保险方案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1.完全满足招标文件要求得基础分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2.有实质性增项、确有使用价值且为被保险人所需，每项酌情加0.5-1分，最多加5分；</w:t>
            </w:r>
          </w:p>
          <w:p>
            <w:pPr>
              <w:widowControl/>
              <w:tabs>
                <w:tab w:val="left" w:pos="7854"/>
              </w:tabs>
              <w:spacing w:line="28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3.有缺项但对投保无实质性影响，每项酌情减0.5-1分，减完为止；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4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总公司经营规模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年保费规模达到1000亿（含）及以上，得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00亿（含）至1000亿（不含）得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分；400亿（含）至600亿（不含）得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分；2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0亿（含）至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400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亿（不含）得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注：投标时提供加盖投标人总公司公章的财务审计报告相关页证明材料。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理赔经验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投标人总公司20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年1月1日至今（以出险日期为准），列明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公众责任险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案件项目：每个项目得1分，最高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注：提供加盖投标人总公司公章案件项目赔款计算书。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服务团队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根据服务团队构成是否具有较高的保险专业能力，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并且具有车辆试验场地保险、经营场所公众责任险的承保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与理赔经验，由评委在0-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分区间内酌情打分。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理赔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服务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bidi="ar"/>
              </w:rPr>
              <w:t>方案流程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保险理赔网点丰富，服务措施具有可操作性和规范性，理赔流程清晰、明确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由评委在0-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分区间内酌情打分。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政策支持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年1月1日至今为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中国重汽集团及其权属公司主业经营、产品销售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提供过保险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政策支持，且取得实际效果的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，由评委在0-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分区间内酌情打分。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highlight w:val="none"/>
          <w:lang w:val="en-US" w:eastAsia="zh-CN"/>
        </w:rPr>
        <w:t>注意：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  <w:t>投标人需自带笔记本电脑在重汽e采通平台自主进行投标和提交澄清函；投标和提交澄清函均有时间限制，超时未提交的</w:t>
      </w:r>
      <w:r>
        <w:rPr>
          <w:rFonts w:hint="eastAsia" w:ascii="Times New Roman" w:hAnsi="Times New Roman" w:eastAsia="仿宋_GB2312" w:cs="Times New Roman"/>
          <w:sz w:val="28"/>
          <w:highlight w:val="none"/>
          <w:lang w:val="en-US" w:eastAsia="zh-CN"/>
        </w:rPr>
        <w:t>按无效处理。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3CC1"/>
    <w:rsid w:val="65C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2024-08-05T01:48:00Z</dcterms:created>
  <dc:creator>Administrator</dc:creator>
  <cp:lastModifiedBy>Administrator</cp:lastModifiedBy>
  <dcterms:modified xsi:type="dcterms:W3CDTF">2024-08-05T01:56:19Z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58B169F104B645DF90BA7F52B7C6BB4C</vt:lpwstr>
  </property>
</Properties>
</file>