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宋体" w:cs="Times New Roman"/>
          <w:color w:val="000000"/>
          <w:sz w:val="30"/>
          <w:szCs w:val="30"/>
        </w:rPr>
      </w:pPr>
    </w:p>
    <w:p>
      <w:pPr>
        <w:spacing w:line="276" w:lineRule="auto"/>
        <w:jc w:val="center"/>
        <w:rPr>
          <w:rFonts w:hint="default" w:ascii="Times New Roman" w:hAnsi="Times New Roman" w:eastAsia="宋体" w:cs="Times New Roman"/>
          <w:b/>
          <w:bCs/>
          <w:color w:val="000000"/>
          <w:spacing w:val="-8"/>
          <w:sz w:val="48"/>
          <w:szCs w:val="44"/>
        </w:rPr>
      </w:pPr>
      <w:r>
        <w:rPr>
          <w:rFonts w:hint="default" w:ascii="Times New Roman" w:hAnsi="Times New Roman" w:eastAsia="宋体" w:cs="Times New Roman"/>
          <w:b/>
          <w:bCs/>
          <w:color w:val="000000"/>
          <w:spacing w:val="-8"/>
          <w:sz w:val="48"/>
          <w:szCs w:val="44"/>
        </w:rPr>
        <w:t>中国重汽集团济南动力有限公司</w:t>
      </w:r>
    </w:p>
    <w:p>
      <w:pPr>
        <w:spacing w:line="276" w:lineRule="auto"/>
        <w:jc w:val="center"/>
        <w:rPr>
          <w:rFonts w:hint="default" w:ascii="Times New Roman" w:hAnsi="Times New Roman" w:eastAsia="宋体" w:cs="Times New Roman"/>
          <w:b/>
          <w:bCs/>
          <w:color w:val="000000"/>
          <w:spacing w:val="-8"/>
          <w:sz w:val="48"/>
          <w:szCs w:val="44"/>
        </w:rPr>
      </w:pPr>
      <w:r>
        <w:rPr>
          <w:rFonts w:hint="default" w:ascii="Times New Roman" w:hAnsi="Times New Roman" w:eastAsia="宋体" w:cs="Times New Roman"/>
          <w:b/>
          <w:bCs/>
          <w:color w:val="000000"/>
          <w:spacing w:val="-8"/>
          <w:sz w:val="48"/>
          <w:szCs w:val="44"/>
        </w:rPr>
        <w:t>车轮六分力传感器及配套设备采购项目</w:t>
      </w:r>
    </w:p>
    <w:p>
      <w:pPr>
        <w:jc w:val="right"/>
        <w:rPr>
          <w:rFonts w:hint="default" w:ascii="Times New Roman" w:hAnsi="Times New Roman" w:eastAsia="宋体" w:cs="Times New Roman"/>
          <w:color w:val="000000"/>
          <w:sz w:val="28"/>
          <w:szCs w:val="28"/>
        </w:rPr>
      </w:pPr>
    </w:p>
    <w:p>
      <w:pPr>
        <w:jc w:val="right"/>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 xml:space="preserve"> </w:t>
      </w:r>
    </w:p>
    <w:p>
      <w:pPr>
        <w:rPr>
          <w:rFonts w:hint="default" w:ascii="Times New Roman" w:hAnsi="Times New Roman" w:cs="Times New Roman"/>
          <w:color w:val="000000"/>
          <w:sz w:val="28"/>
          <w:szCs w:val="28"/>
        </w:rPr>
      </w:pPr>
    </w:p>
    <w:p>
      <w:pPr>
        <w:rPr>
          <w:rFonts w:hint="default" w:ascii="Times New Roman" w:hAnsi="Times New Roman" w:cs="Times New Roman"/>
        </w:rPr>
      </w:pPr>
    </w:p>
    <w:p>
      <w:pPr>
        <w:jc w:val="right"/>
        <w:rPr>
          <w:rFonts w:hint="default" w:ascii="Times New Roman" w:hAnsi="Times New Roman" w:eastAsia="宋体" w:cs="Times New Roman"/>
          <w:color w:val="000000"/>
          <w:sz w:val="28"/>
          <w:szCs w:val="28"/>
        </w:rPr>
      </w:pPr>
    </w:p>
    <w:p>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招</w:t>
      </w:r>
    </w:p>
    <w:p>
      <w:pPr>
        <w:jc w:val="center"/>
        <w:rPr>
          <w:rFonts w:hint="default" w:ascii="Times New Roman" w:hAnsi="Times New Roman" w:eastAsia="黑体" w:cs="Times New Roman"/>
          <w:color w:val="000000"/>
          <w:sz w:val="72"/>
          <w:szCs w:val="72"/>
        </w:rPr>
      </w:pPr>
    </w:p>
    <w:p>
      <w:pPr>
        <w:jc w:val="center"/>
        <w:rPr>
          <w:rFonts w:hint="default" w:ascii="Times New Roman" w:hAnsi="Times New Roman" w:eastAsia="黑体" w:cs="Times New Roman"/>
          <w:color w:val="000000"/>
          <w:sz w:val="72"/>
          <w:szCs w:val="72"/>
        </w:rPr>
      </w:pPr>
      <w:r>
        <w:rPr>
          <w:rFonts w:hint="default" w:ascii="Times New Roman" w:hAnsi="Times New Roman" w:eastAsia="黑体" w:cs="Times New Roman"/>
          <w:color w:val="000000"/>
          <w:sz w:val="72"/>
          <w:szCs w:val="72"/>
        </w:rPr>
        <w:t>标</w:t>
      </w:r>
    </w:p>
    <w:p>
      <w:pPr>
        <w:jc w:val="center"/>
        <w:rPr>
          <w:rFonts w:hint="default" w:ascii="Times New Roman" w:hAnsi="Times New Roman" w:eastAsia="黑体" w:cs="Times New Roman"/>
          <w:color w:val="000000"/>
          <w:sz w:val="72"/>
          <w:szCs w:val="72"/>
        </w:rPr>
      </w:pPr>
    </w:p>
    <w:p>
      <w:pPr>
        <w:jc w:val="center"/>
        <w:rPr>
          <w:rFonts w:hint="default" w:ascii="Times New Roman" w:hAnsi="Times New Roman" w:eastAsia="宋体" w:cs="Times New Roman"/>
          <w:color w:val="000000"/>
          <w:sz w:val="28"/>
          <w:szCs w:val="28"/>
        </w:rPr>
      </w:pPr>
      <w:r>
        <w:rPr>
          <w:rFonts w:hint="default" w:ascii="Times New Roman" w:hAnsi="Times New Roman" w:eastAsia="黑体" w:cs="Times New Roman"/>
          <w:color w:val="000000"/>
          <w:sz w:val="72"/>
          <w:szCs w:val="72"/>
        </w:rPr>
        <w:t>书</w:t>
      </w:r>
    </w:p>
    <w:p>
      <w:pPr>
        <w:spacing w:line="860" w:lineRule="exact"/>
        <w:rPr>
          <w:rFonts w:hint="default" w:ascii="Times New Roman" w:hAnsi="Times New Roman" w:eastAsia="华文仿宋" w:cs="Times New Roman"/>
          <w:b/>
          <w:bCs/>
          <w:sz w:val="32"/>
          <w:szCs w:val="28"/>
        </w:rPr>
      </w:pPr>
      <w:r>
        <w:rPr>
          <w:rFonts w:hint="default" w:ascii="Times New Roman" w:hAnsi="Times New Roman" w:eastAsia="华文仿宋" w:cs="Times New Roman"/>
          <w:sz w:val="32"/>
          <w:szCs w:val="28"/>
        </w:rPr>
        <w:t xml:space="preserve">                </w:t>
      </w:r>
      <w:r>
        <w:rPr>
          <w:rFonts w:hint="default" w:ascii="Times New Roman" w:hAnsi="Times New Roman" w:eastAsia="华文仿宋" w:cs="Times New Roman"/>
          <w:b/>
          <w:bCs/>
          <w:sz w:val="32"/>
          <w:szCs w:val="28"/>
        </w:rPr>
        <w:t xml:space="preserve"> 编制：             </w:t>
      </w:r>
    </w:p>
    <w:p>
      <w:pPr>
        <w:spacing w:line="860" w:lineRule="exact"/>
        <w:rPr>
          <w:rFonts w:hint="default" w:ascii="Times New Roman" w:hAnsi="Times New Roman" w:eastAsia="华文仿宋" w:cs="Times New Roman"/>
          <w:b/>
          <w:bCs/>
          <w:sz w:val="32"/>
          <w:szCs w:val="28"/>
        </w:rPr>
      </w:pPr>
      <w:r>
        <w:rPr>
          <w:rFonts w:hint="default" w:ascii="Times New Roman" w:hAnsi="Times New Roman" w:eastAsia="华文仿宋" w:cs="Times New Roman"/>
          <w:b/>
          <w:bCs/>
          <w:sz w:val="32"/>
          <w:szCs w:val="28"/>
        </w:rPr>
        <w:t xml:space="preserve">                 审核：             </w:t>
      </w:r>
    </w:p>
    <w:p>
      <w:pPr>
        <w:spacing w:line="860" w:lineRule="exact"/>
        <w:rPr>
          <w:rFonts w:hint="default" w:ascii="Times New Roman" w:hAnsi="Times New Roman" w:eastAsia="华文仿宋" w:cs="Times New Roman"/>
          <w:b/>
          <w:bCs/>
          <w:sz w:val="32"/>
          <w:szCs w:val="28"/>
        </w:rPr>
      </w:pPr>
      <w:r>
        <w:rPr>
          <w:rFonts w:hint="default" w:ascii="Times New Roman" w:hAnsi="Times New Roman" w:eastAsia="华文仿宋" w:cs="Times New Roman"/>
          <w:b/>
          <w:bCs/>
          <w:sz w:val="32"/>
          <w:szCs w:val="28"/>
        </w:rPr>
        <w:t xml:space="preserve">                 批准：     </w:t>
      </w:r>
    </w:p>
    <w:p>
      <w:pPr>
        <w:pStyle w:val="21"/>
        <w:rPr>
          <w:rFonts w:hint="default" w:ascii="Times New Roman" w:hAnsi="Times New Roman" w:cs="Times New Roman"/>
          <w:b/>
          <w:bCs/>
        </w:rPr>
      </w:pPr>
    </w:p>
    <w:p>
      <w:pPr>
        <w:jc w:val="center"/>
        <w:rPr>
          <w:rFonts w:hint="default" w:ascii="Times New Roman" w:hAnsi="Times New Roman" w:eastAsia="宋体" w:cs="Times New Roman"/>
          <w:color w:val="000000"/>
          <w:sz w:val="28"/>
          <w:szCs w:val="28"/>
        </w:rPr>
      </w:pPr>
      <w:r>
        <w:rPr>
          <w:rFonts w:hint="default" w:ascii="Times New Roman" w:hAnsi="Times New Roman" w:eastAsia="宋体" w:cs="Times New Roman"/>
          <w:color w:val="000000"/>
          <w:sz w:val="28"/>
          <w:szCs w:val="28"/>
        </w:rPr>
        <w:t>招 标 人：中国重汽集团济南</w:t>
      </w:r>
      <w:r>
        <w:rPr>
          <w:rFonts w:hint="eastAsia" w:ascii="Times New Roman" w:hAnsi="Times New Roman" w:eastAsia="宋体" w:cs="Times New Roman"/>
          <w:color w:val="000000"/>
          <w:sz w:val="28"/>
          <w:szCs w:val="28"/>
          <w:lang w:val="en-US" w:eastAsia="zh-CN"/>
        </w:rPr>
        <w:t>动力有限</w:t>
      </w:r>
      <w:r>
        <w:rPr>
          <w:rFonts w:hint="default" w:ascii="Times New Roman" w:hAnsi="Times New Roman" w:eastAsia="宋体" w:cs="Times New Roman"/>
          <w:color w:val="000000"/>
          <w:sz w:val="28"/>
          <w:szCs w:val="28"/>
        </w:rPr>
        <w:t>公司</w:t>
      </w:r>
    </w:p>
    <w:p>
      <w:pPr>
        <w:jc w:val="center"/>
        <w:rPr>
          <w:rFonts w:hint="eastAsia" w:ascii="Times New Roman" w:hAnsi="Times New Roman" w:eastAsia="宋体" w:cs="Times New Roman"/>
          <w:color w:val="000000"/>
          <w:sz w:val="28"/>
          <w:szCs w:val="28"/>
          <w:lang w:eastAsia="zh-CN"/>
        </w:rPr>
      </w:pPr>
      <w:r>
        <w:rPr>
          <w:rFonts w:hint="eastAsia" w:ascii="Times New Roman" w:hAnsi="Times New Roman" w:eastAsia="宋体" w:cs="Times New Roman"/>
          <w:color w:val="000000"/>
          <w:sz w:val="28"/>
          <w:szCs w:val="28"/>
          <w:lang w:eastAsia="zh-CN"/>
        </w:rPr>
        <w:t>2024年7月</w:t>
      </w:r>
    </w:p>
    <w:p>
      <w:pPr>
        <w:rPr>
          <w:rFonts w:hint="default" w:ascii="Times New Roman" w:hAnsi="Times New Roman" w:cs="Times New Roman"/>
        </w:rPr>
        <w:sectPr>
          <w:headerReference r:id="rId4" w:type="first"/>
          <w:footerReference r:id="rId6" w:type="first"/>
          <w:headerReference r:id="rId3" w:type="default"/>
          <w:footerReference r:id="rId5"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pPr>
    </w:p>
    <w:p>
      <w:pPr>
        <w:spacing w:line="480" w:lineRule="auto"/>
        <w:jc w:val="center"/>
        <w:rPr>
          <w:rFonts w:hint="default" w:ascii="Times New Roman" w:hAnsi="Times New Roman" w:cs="Times New Roman"/>
          <w:b/>
          <w:bCs/>
          <w:sz w:val="48"/>
          <w:szCs w:val="48"/>
        </w:rPr>
      </w:pPr>
      <w:r>
        <w:rPr>
          <w:rFonts w:hint="default" w:ascii="Times New Roman" w:hAnsi="Times New Roman" w:eastAsia="宋体" w:cs="Times New Roman"/>
          <w:b/>
          <w:bCs/>
          <w:sz w:val="48"/>
          <w:szCs w:val="48"/>
        </w:rPr>
        <w:t>目录</w:t>
      </w:r>
    </w:p>
    <w:p>
      <w:pPr>
        <w:pStyle w:val="28"/>
        <w:tabs>
          <w:tab w:val="right" w:leader="dot" w:pos="9071"/>
        </w:tabs>
        <w:rPr>
          <w:rFonts w:hint="default" w:ascii="Times New Roman" w:hAnsi="Times New Roman" w:cs="Times New Roman"/>
          <w:color w:val="auto"/>
          <w:sz w:val="28"/>
          <w:szCs w:val="28"/>
        </w:rPr>
      </w:pP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TOC \o "1-1" \h \u </w:instrText>
      </w:r>
      <w:r>
        <w:rPr>
          <w:rFonts w:hint="default" w:ascii="Times New Roman" w:hAnsi="Times New Roman" w:cs="Times New Roman"/>
          <w:color w:val="auto"/>
          <w:sz w:val="28"/>
          <w:szCs w:val="28"/>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"_Toc11166" </w:instrText>
      </w:r>
      <w:r>
        <w:rPr>
          <w:rFonts w:hint="default" w:ascii="Times New Roman" w:hAnsi="Times New Roman" w:cs="Times New Roman"/>
        </w:rPr>
        <w:fldChar w:fldCharType="separate"/>
      </w:r>
      <w:r>
        <w:rPr>
          <w:rFonts w:hint="default" w:ascii="Times New Roman" w:hAnsi="Times New Roman" w:cs="Times New Roman"/>
          <w:bCs/>
          <w:color w:val="auto"/>
          <w:kern w:val="44"/>
          <w:sz w:val="28"/>
          <w:szCs w:val="28"/>
        </w:rPr>
        <w:t>第一部分 投标须知前附表</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_Toc11166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28"/>
        <w:tabs>
          <w:tab w:val="right" w:leader="dot" w:pos="9071"/>
        </w:tabs>
        <w:rPr>
          <w:rFonts w:hint="default" w:ascii="Times New Roman" w:hAnsi="Times New Roman" w:cs="Times New Roman"/>
          <w:color w:val="auto"/>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"_Toc7177" </w:instrText>
      </w:r>
      <w:r>
        <w:rPr>
          <w:rFonts w:hint="default" w:ascii="Times New Roman" w:hAnsi="Times New Roman" w:cs="Times New Roman"/>
        </w:rPr>
        <w:fldChar w:fldCharType="separate"/>
      </w:r>
      <w:r>
        <w:rPr>
          <w:rFonts w:hint="default" w:ascii="Times New Roman" w:hAnsi="Times New Roman" w:cs="Times New Roman"/>
          <w:bCs/>
          <w:color w:val="auto"/>
          <w:kern w:val="44"/>
          <w:sz w:val="28"/>
          <w:szCs w:val="28"/>
        </w:rPr>
        <w:t>第二部分 投标须知</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_Toc7177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28"/>
        <w:tabs>
          <w:tab w:val="right" w:leader="dot" w:pos="9071"/>
        </w:tabs>
        <w:rPr>
          <w:rFonts w:hint="default" w:ascii="Times New Roman" w:hAnsi="Times New Roman" w:cs="Times New Roman"/>
          <w:color w:val="auto"/>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"_Toc3457" </w:instrText>
      </w:r>
      <w:r>
        <w:rPr>
          <w:rFonts w:hint="default" w:ascii="Times New Roman" w:hAnsi="Times New Roman" w:cs="Times New Roman"/>
        </w:rPr>
        <w:fldChar w:fldCharType="separate"/>
      </w:r>
      <w:r>
        <w:rPr>
          <w:rFonts w:hint="default" w:ascii="Times New Roman" w:hAnsi="Times New Roman" w:cs="Times New Roman"/>
          <w:bCs/>
          <w:color w:val="auto"/>
          <w:kern w:val="44"/>
          <w:sz w:val="28"/>
          <w:szCs w:val="28"/>
        </w:rPr>
        <w:t>第三部分 投标文件编制</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_Toc3457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12</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28"/>
        <w:tabs>
          <w:tab w:val="right" w:leader="dot" w:pos="9071"/>
        </w:tabs>
        <w:rPr>
          <w:rFonts w:hint="default" w:ascii="Times New Roman" w:hAnsi="Times New Roman" w:cs="Times New Roman"/>
          <w:color w:val="auto"/>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"_Toc24094" </w:instrText>
      </w:r>
      <w:r>
        <w:rPr>
          <w:rFonts w:hint="default" w:ascii="Times New Roman" w:hAnsi="Times New Roman" w:cs="Times New Roman"/>
        </w:rPr>
        <w:fldChar w:fldCharType="separate"/>
      </w:r>
      <w:r>
        <w:rPr>
          <w:rFonts w:hint="default" w:ascii="Times New Roman" w:hAnsi="Times New Roman" w:cs="Times New Roman"/>
          <w:bCs/>
          <w:color w:val="auto"/>
          <w:kern w:val="44"/>
          <w:sz w:val="28"/>
          <w:szCs w:val="28"/>
        </w:rPr>
        <w:t>第四部分 技术标书</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_Toc24094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15</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28"/>
        <w:tabs>
          <w:tab w:val="right" w:leader="dot" w:pos="9071"/>
        </w:tabs>
        <w:rPr>
          <w:rFonts w:hint="default" w:ascii="Times New Roman" w:hAnsi="Times New Roman" w:cs="Times New Roman"/>
          <w:color w:val="auto"/>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"_Toc30124" </w:instrText>
      </w:r>
      <w:r>
        <w:rPr>
          <w:rFonts w:hint="default" w:ascii="Times New Roman" w:hAnsi="Times New Roman" w:cs="Times New Roman"/>
        </w:rPr>
        <w:fldChar w:fldCharType="separate"/>
      </w:r>
      <w:r>
        <w:rPr>
          <w:rFonts w:hint="default" w:ascii="Times New Roman" w:hAnsi="Times New Roman" w:cs="Times New Roman"/>
          <w:color w:val="auto"/>
          <w:sz w:val="28"/>
          <w:szCs w:val="28"/>
        </w:rPr>
        <w:t>第五部分 设备采购合同</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_Toc30124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36</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28"/>
        <w:tabs>
          <w:tab w:val="right" w:leader="dot" w:pos="9071"/>
        </w:tabs>
        <w:rPr>
          <w:rFonts w:hint="default" w:ascii="Times New Roman" w:hAnsi="Times New Roman" w:cs="Times New Roman"/>
          <w:color w:val="auto"/>
          <w:sz w:val="28"/>
          <w:szCs w:val="28"/>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"_Toc27009" </w:instrText>
      </w:r>
      <w:r>
        <w:rPr>
          <w:rFonts w:hint="default" w:ascii="Times New Roman" w:hAnsi="Times New Roman" w:cs="Times New Roman"/>
        </w:rPr>
        <w:fldChar w:fldCharType="separate"/>
      </w:r>
      <w:r>
        <w:rPr>
          <w:rFonts w:hint="default" w:ascii="Times New Roman" w:hAnsi="Times New Roman" w:cs="Times New Roman"/>
          <w:bCs/>
          <w:color w:val="auto"/>
          <w:kern w:val="44"/>
          <w:sz w:val="28"/>
          <w:szCs w:val="28"/>
        </w:rPr>
        <w:t>第六部分 投标文件附件</w:t>
      </w:r>
      <w:r>
        <w:rPr>
          <w:rFonts w:hint="default" w:ascii="Times New Roman" w:hAnsi="Times New Roman" w:cs="Times New Roman"/>
          <w:color w:val="auto"/>
          <w:sz w:val="28"/>
          <w:szCs w:val="28"/>
        </w:rPr>
        <w:tab/>
      </w:r>
      <w:r>
        <w:rPr>
          <w:rFonts w:hint="default" w:ascii="Times New Roman" w:hAnsi="Times New Roman" w:cs="Times New Roman"/>
          <w:color w:val="auto"/>
          <w:sz w:val="28"/>
          <w:szCs w:val="28"/>
        </w:rPr>
        <w:fldChar w:fldCharType="begin"/>
      </w:r>
      <w:r>
        <w:rPr>
          <w:rFonts w:hint="default" w:ascii="Times New Roman" w:hAnsi="Times New Roman" w:cs="Times New Roman"/>
          <w:color w:val="auto"/>
          <w:sz w:val="28"/>
          <w:szCs w:val="28"/>
        </w:rPr>
        <w:instrText xml:space="preserve"> PAGEREF _Toc27009 \h </w:instrText>
      </w:r>
      <w:r>
        <w:rPr>
          <w:rFonts w:hint="default" w:ascii="Times New Roman" w:hAnsi="Times New Roman" w:cs="Times New Roman"/>
          <w:color w:val="auto"/>
          <w:sz w:val="28"/>
          <w:szCs w:val="28"/>
        </w:rPr>
        <w:fldChar w:fldCharType="separate"/>
      </w:r>
      <w:r>
        <w:rPr>
          <w:rFonts w:hint="default" w:ascii="Times New Roman" w:hAnsi="Times New Roman" w:cs="Times New Roman"/>
          <w:color w:val="auto"/>
          <w:sz w:val="28"/>
          <w:szCs w:val="28"/>
        </w:rPr>
        <w:t>49</w:t>
      </w:r>
      <w:r>
        <w:rPr>
          <w:rFonts w:hint="default" w:ascii="Times New Roman" w:hAnsi="Times New Roman" w:cs="Times New Roman"/>
          <w:color w:val="auto"/>
          <w:sz w:val="28"/>
          <w:szCs w:val="28"/>
        </w:rPr>
        <w:fldChar w:fldCharType="end"/>
      </w:r>
      <w:r>
        <w:rPr>
          <w:rFonts w:hint="default" w:ascii="Times New Roman" w:hAnsi="Times New Roman" w:cs="Times New Roman"/>
          <w:color w:val="auto"/>
          <w:sz w:val="28"/>
          <w:szCs w:val="28"/>
        </w:rPr>
        <w:fldChar w:fldCharType="end"/>
      </w:r>
    </w:p>
    <w:p>
      <w:pPr>
        <w:pStyle w:val="28"/>
        <w:rPr>
          <w:rFonts w:hint="default" w:ascii="Times New Roman" w:hAnsi="Times New Roman" w:cs="Times New Roman"/>
          <w:bCs/>
          <w:kern w:val="44"/>
          <w:szCs w:val="24"/>
        </w:rPr>
      </w:pPr>
      <w:r>
        <w:rPr>
          <w:rFonts w:hint="default" w:ascii="Times New Roman" w:hAnsi="Times New Roman" w:cs="Times New Roman"/>
          <w:color w:val="auto"/>
          <w:sz w:val="28"/>
          <w:szCs w:val="28"/>
        </w:rPr>
        <w:fldChar w:fldCharType="end"/>
      </w:r>
    </w:p>
    <w:p>
      <w:pPr>
        <w:rPr>
          <w:rFonts w:hint="default" w:ascii="Times New Roman" w:hAnsi="Times New Roman" w:cs="Times New Roman"/>
        </w:rPr>
        <w:sectPr>
          <w:headerReference r:id="rId7" w:type="default"/>
          <w:footerReference r:id="rId8" w:type="default"/>
          <w:pgSz w:w="11907" w:h="16840"/>
          <w:pgMar w:top="1304" w:right="1418" w:bottom="1304" w:left="1418" w:header="724" w:footer="851" w:gutter="0"/>
          <w:pgBorders>
            <w:top w:val="none" w:sz="0" w:space="0"/>
            <w:left w:val="none" w:sz="0" w:space="0"/>
            <w:bottom w:val="none" w:sz="0" w:space="0"/>
            <w:right w:val="none" w:sz="0" w:space="0"/>
          </w:pgBorders>
          <w:pgNumType w:start="1"/>
          <w:cols w:space="720" w:num="1"/>
          <w:docGrid w:linePitch="290" w:charSpace="-3931"/>
        </w:sectPr>
      </w:pPr>
    </w:p>
    <w:p>
      <w:pPr>
        <w:pStyle w:val="21"/>
        <w:numPr>
          <w:ilvl w:val="0"/>
          <w:numId w:val="1"/>
        </w:numPr>
        <w:jc w:val="center"/>
        <w:outlineLvl w:val="0"/>
        <w:rPr>
          <w:rFonts w:hint="default" w:ascii="Times New Roman" w:hAnsi="Times New Roman" w:eastAsia="宋体" w:cs="Times New Roman"/>
          <w:b/>
          <w:bCs/>
          <w:kern w:val="44"/>
          <w:sz w:val="36"/>
          <w:szCs w:val="44"/>
        </w:rPr>
      </w:pPr>
      <w:bookmarkStart w:id="0" w:name="_Toc25915"/>
      <w:r>
        <w:rPr>
          <w:rFonts w:hint="default" w:ascii="Times New Roman" w:hAnsi="Times New Roman" w:eastAsia="宋体" w:cs="Times New Roman"/>
          <w:b/>
          <w:bCs/>
          <w:kern w:val="44"/>
          <w:sz w:val="36"/>
          <w:szCs w:val="44"/>
        </w:rPr>
        <w:t xml:space="preserve"> </w:t>
      </w:r>
      <w:bookmarkStart w:id="1" w:name="_Toc11166"/>
      <w:bookmarkStart w:id="2" w:name="_Toc11119"/>
      <w:r>
        <w:rPr>
          <w:rFonts w:hint="default" w:ascii="Times New Roman" w:hAnsi="Times New Roman" w:eastAsia="宋体" w:cs="Times New Roman"/>
          <w:b/>
          <w:bCs/>
          <w:kern w:val="44"/>
          <w:sz w:val="36"/>
          <w:szCs w:val="44"/>
        </w:rPr>
        <w:t>投标须知前附表</w:t>
      </w:r>
      <w:bookmarkEnd w:id="0"/>
      <w:bookmarkEnd w:id="1"/>
      <w:bookmarkEnd w:id="2"/>
    </w:p>
    <w:p>
      <w:pPr>
        <w:pStyle w:val="21"/>
        <w:jc w:val="center"/>
        <w:rPr>
          <w:rFonts w:hint="default" w:ascii="Times New Roman" w:hAnsi="Times New Roman" w:eastAsia="宋体" w:cs="Times New Roman"/>
          <w:b/>
          <w:bCs/>
          <w:kern w:val="44"/>
          <w:sz w:val="36"/>
          <w:szCs w:val="44"/>
        </w:rPr>
      </w:pPr>
    </w:p>
    <w:p>
      <w:pPr>
        <w:spacing w:line="360" w:lineRule="auto"/>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本部分是对“投标须知”正文的具体补充和修改，如有不一致，以“前附表”为准。</w:t>
      </w:r>
    </w:p>
    <w:tbl>
      <w:tblPr>
        <w:tblStyle w:val="40"/>
        <w:tblpPr w:leftFromText="180" w:rightFromText="180" w:vertAnchor="text" w:tblpXSpec="center" w:tblpY="1"/>
        <w:tblOverlap w:val="never"/>
        <w:tblW w:w="895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Fonts w:hint="default" w:ascii="Times New Roman" w:hAnsi="Times New Roman" w:eastAsia="宋体" w:cs="Times New Roman"/>
                <w:b/>
                <w:sz w:val="28"/>
                <w:szCs w:val="28"/>
              </w:rPr>
            </w:pPr>
            <w:r>
              <w:rPr>
                <w:rStyle w:val="101"/>
                <w:rFonts w:hint="default" w:ascii="Times New Roman" w:hAnsi="Times New Roman" w:eastAsia="宋体" w:cs="Times New Roman"/>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hint="default" w:ascii="Times New Roman" w:hAnsi="Times New Roman" w:eastAsia="宋体" w:cs="Times New Roman"/>
                <w:b/>
                <w:bCs/>
                <w:sz w:val="28"/>
                <w:szCs w:val="28"/>
              </w:rPr>
            </w:pPr>
            <w:r>
              <w:rPr>
                <w:rStyle w:val="101"/>
                <w:rFonts w:hint="default" w:ascii="Times New Roman" w:hAnsi="Times New Roman" w:eastAsia="宋体" w:cs="Times New Roman"/>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360" w:lineRule="auto"/>
              <w:ind w:left="-27"/>
              <w:jc w:val="center"/>
              <w:rPr>
                <w:rFonts w:hint="default" w:ascii="Times New Roman" w:hAnsi="Times New Roman" w:cs="Times New Roman"/>
                <w:b/>
                <w:bCs/>
                <w:sz w:val="24"/>
                <w:szCs w:val="24"/>
              </w:rPr>
            </w:pPr>
            <w:r>
              <w:rPr>
                <w:rFonts w:hint="default" w:ascii="Times New Roman" w:hAnsi="Times New Roman" w:eastAsia="宋体" w:cs="Times New Roman"/>
                <w:b/>
                <w:bCs/>
                <w:sz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Times New Roman" w:hAnsi="Times New Roman" w:eastAsia="宋体" w:cs="Times New Roman"/>
                <w:sz w:val="24"/>
                <w:szCs w:val="24"/>
                <w:lang w:eastAsia="zh-CN"/>
              </w:rPr>
            </w:pPr>
            <w:r>
              <w:rPr>
                <w:rFonts w:hint="default" w:ascii="Times New Roman" w:hAnsi="Times New Roman" w:eastAsia="宋体" w:cs="Times New Roman"/>
                <w:b/>
                <w:bCs/>
                <w:sz w:val="24"/>
                <w:szCs w:val="24"/>
              </w:rPr>
              <w:t>项目名称：</w:t>
            </w:r>
            <w:r>
              <w:rPr>
                <w:rFonts w:hint="default" w:ascii="Times New Roman" w:hAnsi="Times New Roman" w:eastAsia="宋体" w:cs="Times New Roman"/>
                <w:sz w:val="24"/>
                <w:szCs w:val="24"/>
                <w:u w:val="single"/>
                <w:lang w:val="en-US" w:eastAsia="zh-CN" w:bidi="ar"/>
              </w:rPr>
              <w:t>中国重汽集团济南动力有限公司车轮六分力传感器及配套设备采购项目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default" w:ascii="Times New Roman" w:hAnsi="Times New Roman" w:cs="Times New Roman"/>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Times New Roman" w:hAnsi="Times New Roman" w:eastAsia="宋体" w:cs="Times New Roman"/>
                <w:b/>
                <w:bCs/>
                <w:sz w:val="24"/>
                <w:szCs w:val="24"/>
                <w:lang w:eastAsia="zh-CN"/>
              </w:rPr>
            </w:pPr>
            <w:r>
              <w:rPr>
                <w:rFonts w:hint="default" w:ascii="Times New Roman" w:hAnsi="Times New Roman" w:eastAsia="宋体" w:cs="Times New Roman"/>
                <w:b/>
                <w:bCs/>
                <w:sz w:val="24"/>
                <w:szCs w:val="24"/>
              </w:rPr>
              <w:t>项目编号：</w:t>
            </w:r>
            <w:r>
              <w:rPr>
                <w:rFonts w:hint="eastAsia" w:ascii="Times New Roman" w:hAnsi="Times New Roman" w:eastAsia="宋体" w:cs="Times New Roman"/>
                <w:sz w:val="24"/>
                <w:szCs w:val="24"/>
                <w:highlight w:val="yellow"/>
                <w:u w:val="single"/>
                <w:lang w:eastAsia="zh-CN"/>
              </w:rPr>
              <w:t>CGZX2024070129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招标内容：</w:t>
            </w:r>
            <w:r>
              <w:rPr>
                <w:rFonts w:hint="default" w:ascii="Times New Roman" w:hAnsi="Times New Roman" w:eastAsia="宋体" w:cs="Times New Roman"/>
                <w:sz w:val="24"/>
                <w:szCs w:val="24"/>
                <w:u w:val="single"/>
                <w:lang w:val="en-US" w:eastAsia="zh-CN" w:bidi="ar"/>
              </w:rPr>
              <w:t>车轮六分力传感器及配套设备采购项目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rFonts w:hint="default" w:ascii="Times New Roman" w:hAnsi="Times New Roman" w:cs="Times New Roman"/>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招标形式：</w:t>
            </w:r>
            <w:r>
              <w:rPr>
                <w:rFonts w:hint="default" w:ascii="Times New Roman" w:hAnsi="Times New Roman" w:eastAsia="宋体" w:cs="Times New Roman"/>
                <w:sz w:val="24"/>
                <w:szCs w:val="24"/>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Times New Roman" w:hAnsi="Times New Roman" w:eastAsia="宋体" w:cs="Times New Roman"/>
                <w:bCs/>
                <w:snapToGrid w:val="0"/>
                <w:kern w:val="0"/>
                <w:sz w:val="24"/>
                <w:szCs w:val="24"/>
              </w:rPr>
            </w:pPr>
            <w:r>
              <w:rPr>
                <w:rFonts w:hint="default" w:ascii="Times New Roman" w:hAnsi="Times New Roman" w:eastAsia="宋体" w:cs="Times New Roman"/>
                <w:b/>
                <w:snapToGrid w:val="0"/>
                <w:kern w:val="0"/>
                <w:sz w:val="24"/>
                <w:szCs w:val="24"/>
              </w:rPr>
              <w:t>招标人名称：</w:t>
            </w:r>
            <w:r>
              <w:rPr>
                <w:rFonts w:hint="default" w:ascii="Times New Roman" w:hAnsi="Times New Roman" w:eastAsia="宋体" w:cs="Times New Roman"/>
                <w:sz w:val="24"/>
                <w:szCs w:val="24"/>
                <w:u w:val="single"/>
              </w:rPr>
              <w:t>中国重汽集团济南</w:t>
            </w:r>
            <w:r>
              <w:rPr>
                <w:rFonts w:hint="eastAsia" w:ascii="Times New Roman" w:hAnsi="Times New Roman" w:eastAsia="宋体" w:cs="Times New Roman"/>
                <w:sz w:val="24"/>
                <w:szCs w:val="24"/>
                <w:u w:val="single"/>
                <w:lang w:val="en-US" w:eastAsia="zh-CN"/>
              </w:rPr>
              <w:t>动力有限</w:t>
            </w:r>
            <w:r>
              <w:rPr>
                <w:rFonts w:hint="default" w:ascii="Times New Roman" w:hAnsi="Times New Roman" w:eastAsia="宋体" w:cs="Times New Roman"/>
                <w:sz w:val="24"/>
                <w:szCs w:val="24"/>
                <w:u w:val="single"/>
              </w:rPr>
              <w:t>公司</w:t>
            </w:r>
            <w:r>
              <w:rPr>
                <w:rFonts w:hint="default" w:ascii="Times New Roman" w:hAnsi="Times New Roman" w:eastAsia="宋体" w:cs="Times New Roman"/>
                <w:bCs/>
                <w:snapToGrid w:val="0"/>
                <w:kern w:val="0"/>
                <w:sz w:val="24"/>
                <w:szCs w:val="24"/>
              </w:rPr>
              <w:t xml:space="preserve"> </w:t>
            </w:r>
          </w:p>
          <w:p>
            <w:pPr>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b/>
                <w:snapToGrid w:val="0"/>
                <w:kern w:val="0"/>
                <w:sz w:val="24"/>
                <w:szCs w:val="24"/>
              </w:rPr>
              <w:t>招标人地址：</w:t>
            </w:r>
            <w:r>
              <w:rPr>
                <w:rFonts w:hint="default" w:ascii="Times New Roman" w:hAnsi="Times New Roman" w:eastAsia="宋体" w:cs="Times New Roman"/>
                <w:sz w:val="24"/>
                <w:szCs w:val="24"/>
                <w:u w:val="single"/>
              </w:rPr>
              <w:t>济南市高新区华奥路777号</w:t>
            </w:r>
            <w:r>
              <w:rPr>
                <w:rFonts w:hint="default" w:ascii="Times New Roman" w:hAnsi="Times New Roman" w:eastAsia="宋体" w:cs="Times New Roman"/>
                <w:sz w:val="24"/>
                <w:szCs w:val="24"/>
              </w:rPr>
              <w:t xml:space="preserve"> </w:t>
            </w:r>
          </w:p>
          <w:p>
            <w:pPr>
              <w:ind w:firstLine="482" w:firstLineChars="200"/>
              <w:rPr>
                <w:rFonts w:hint="eastAsia" w:ascii="Times New Roman" w:hAnsi="Times New Roman" w:eastAsia="宋体" w:cs="Times New Roman"/>
                <w:bCs/>
                <w:snapToGrid w:val="0"/>
                <w:kern w:val="0"/>
                <w:sz w:val="24"/>
                <w:szCs w:val="24"/>
                <w:lang w:eastAsia="zh-CN"/>
              </w:rPr>
            </w:pPr>
            <w:r>
              <w:rPr>
                <w:rFonts w:hint="default" w:ascii="Times New Roman" w:hAnsi="Times New Roman" w:eastAsia="宋体" w:cs="Times New Roman"/>
                <w:b/>
                <w:snapToGrid w:val="0"/>
                <w:kern w:val="0"/>
                <w:sz w:val="24"/>
                <w:szCs w:val="24"/>
              </w:rPr>
              <w:t>商务联系人：</w:t>
            </w:r>
            <w:r>
              <w:rPr>
                <w:rFonts w:hint="eastAsia" w:ascii="Times New Roman" w:hAnsi="Times New Roman" w:eastAsia="宋体" w:cs="Times New Roman"/>
                <w:bCs/>
                <w:snapToGrid w:val="0"/>
                <w:kern w:val="0"/>
                <w:sz w:val="24"/>
                <w:szCs w:val="24"/>
                <w:highlight w:val="yellow"/>
                <w:lang w:val="en-US" w:eastAsia="zh-CN"/>
              </w:rPr>
              <w:t>林保良</w:t>
            </w:r>
          </w:p>
          <w:p>
            <w:pPr>
              <w:ind w:firstLine="482" w:firstLineChars="200"/>
              <w:rPr>
                <w:rFonts w:hint="default" w:ascii="Times New Roman" w:hAnsi="Times New Roman" w:eastAsia="宋体" w:cs="Times New Roman"/>
                <w:bCs/>
                <w:snapToGrid w:val="0"/>
                <w:kern w:val="0"/>
                <w:sz w:val="24"/>
                <w:szCs w:val="24"/>
                <w:lang w:val="en-US" w:eastAsia="zh-CN"/>
              </w:rPr>
            </w:pPr>
            <w:r>
              <w:rPr>
                <w:rFonts w:hint="default" w:ascii="Times New Roman" w:hAnsi="Times New Roman" w:eastAsia="宋体" w:cs="Times New Roman"/>
                <w:b/>
                <w:snapToGrid w:val="0"/>
                <w:kern w:val="0"/>
                <w:sz w:val="24"/>
                <w:szCs w:val="24"/>
              </w:rPr>
              <w:t>电话：</w:t>
            </w:r>
            <w:r>
              <w:rPr>
                <w:rFonts w:hint="eastAsia" w:ascii="Times New Roman" w:hAnsi="Times New Roman" w:eastAsia="宋体" w:cs="Times New Roman"/>
                <w:bCs/>
                <w:snapToGrid w:val="0"/>
                <w:kern w:val="0"/>
                <w:sz w:val="24"/>
                <w:szCs w:val="24"/>
                <w:highlight w:val="yellow"/>
                <w:lang w:val="en-US" w:eastAsia="zh-CN"/>
              </w:rPr>
              <w:t>13668829221</w:t>
            </w:r>
          </w:p>
          <w:p>
            <w:pPr>
              <w:ind w:firstLine="482" w:firstLineChars="200"/>
              <w:rPr>
                <w:rFonts w:hint="default" w:ascii="Times New Roman" w:hAnsi="Times New Roman" w:eastAsia="宋体" w:cs="Times New Roman"/>
                <w:bCs/>
                <w:snapToGrid w:val="0"/>
                <w:kern w:val="0"/>
                <w:sz w:val="24"/>
                <w:szCs w:val="24"/>
              </w:rPr>
            </w:pPr>
            <w:r>
              <w:rPr>
                <w:rFonts w:hint="default" w:ascii="Times New Roman" w:hAnsi="Times New Roman" w:eastAsia="宋体" w:cs="Times New Roman"/>
                <w:b/>
                <w:snapToGrid w:val="0"/>
                <w:kern w:val="0"/>
                <w:sz w:val="24"/>
                <w:szCs w:val="24"/>
              </w:rPr>
              <w:t>邮箱：</w:t>
            </w:r>
            <w:r>
              <w:rPr>
                <w:rFonts w:hint="default" w:ascii="Times New Roman" w:hAnsi="Times New Roman" w:cs="Times New Roman"/>
              </w:rPr>
              <w:fldChar w:fldCharType="begin"/>
            </w:r>
            <w:r>
              <w:rPr>
                <w:rFonts w:hint="default" w:ascii="Times New Roman" w:hAnsi="Times New Roman" w:cs="Times New Roman"/>
              </w:rPr>
              <w:instrText xml:space="preserve"> HYPERLINK "mailto:kongmingwei@sinotruk.com" </w:instrText>
            </w:r>
            <w:r>
              <w:rPr>
                <w:rFonts w:hint="default" w:ascii="Times New Roman" w:hAnsi="Times New Roman" w:cs="Times New Roman"/>
              </w:rPr>
              <w:fldChar w:fldCharType="separate"/>
            </w:r>
            <w:r>
              <w:rPr>
                <w:rStyle w:val="48"/>
                <w:rFonts w:hint="eastAsia" w:ascii="Times New Roman" w:hAnsi="Times New Roman" w:eastAsia="宋体" w:cs="Times New Roman"/>
                <w:bCs/>
                <w:snapToGrid w:val="0"/>
                <w:color w:val="auto"/>
                <w:kern w:val="0"/>
                <w:sz w:val="24"/>
                <w:szCs w:val="24"/>
                <w:lang w:val="en-US" w:eastAsia="zh-CN"/>
              </w:rPr>
              <w:t>linbl</w:t>
            </w:r>
            <w:r>
              <w:rPr>
                <w:rStyle w:val="48"/>
                <w:rFonts w:hint="default" w:ascii="Times New Roman" w:hAnsi="Times New Roman" w:eastAsia="宋体" w:cs="Times New Roman"/>
                <w:bCs/>
                <w:snapToGrid w:val="0"/>
                <w:color w:val="auto"/>
                <w:kern w:val="0"/>
                <w:sz w:val="24"/>
                <w:szCs w:val="24"/>
              </w:rPr>
              <w:t>@sinotruk.com</w:t>
            </w:r>
            <w:r>
              <w:rPr>
                <w:rStyle w:val="48"/>
                <w:rFonts w:hint="default" w:ascii="Times New Roman" w:hAnsi="Times New Roman" w:eastAsia="宋体" w:cs="Times New Roman"/>
                <w:bCs/>
                <w:snapToGrid w:val="0"/>
                <w:color w:val="auto"/>
                <w:kern w:val="0"/>
                <w:sz w:val="24"/>
                <w:szCs w:val="24"/>
              </w:rPr>
              <w:fldChar w:fldCharType="end"/>
            </w:r>
          </w:p>
          <w:p>
            <w:pPr>
              <w:ind w:firstLine="482" w:firstLineChars="200"/>
              <w:rPr>
                <w:rFonts w:hint="eastAsia" w:ascii="Times New Roman" w:hAnsi="Times New Roman" w:eastAsia="宋体" w:cs="Times New Roman"/>
                <w:bCs/>
                <w:snapToGrid w:val="0"/>
                <w:kern w:val="0"/>
                <w:sz w:val="24"/>
                <w:szCs w:val="24"/>
                <w:highlight w:val="yellow"/>
                <w:lang w:eastAsia="zh-CN"/>
              </w:rPr>
            </w:pPr>
            <w:r>
              <w:rPr>
                <w:rFonts w:hint="default" w:ascii="Times New Roman" w:hAnsi="Times New Roman" w:eastAsia="宋体" w:cs="Times New Roman"/>
                <w:b/>
                <w:snapToGrid w:val="0"/>
                <w:kern w:val="0"/>
                <w:sz w:val="24"/>
                <w:szCs w:val="24"/>
                <w:highlight w:val="yellow"/>
              </w:rPr>
              <w:t>技术联系人：</w:t>
            </w:r>
            <w:r>
              <w:rPr>
                <w:rFonts w:hint="eastAsia" w:ascii="Times New Roman" w:hAnsi="Times New Roman" w:eastAsia="宋体" w:cs="Times New Roman"/>
                <w:bCs/>
                <w:snapToGrid w:val="0"/>
                <w:kern w:val="0"/>
                <w:sz w:val="24"/>
                <w:szCs w:val="24"/>
                <w:highlight w:val="yellow"/>
                <w:lang w:val="en-US" w:eastAsia="zh-CN"/>
              </w:rPr>
              <w:t>侯新华</w:t>
            </w:r>
          </w:p>
          <w:p>
            <w:pPr>
              <w:pStyle w:val="21"/>
              <w:ind w:firstLine="482" w:firstLineChars="200"/>
              <w:rPr>
                <w:rFonts w:hint="default" w:ascii="Times New Roman" w:hAnsi="Times New Roman" w:eastAsia="宋体" w:cs="Times New Roman"/>
                <w:highlight w:val="yellow"/>
                <w:lang w:val="en-US" w:eastAsia="zh-CN"/>
              </w:rPr>
            </w:pPr>
            <w:r>
              <w:rPr>
                <w:rFonts w:hint="default" w:ascii="Times New Roman" w:hAnsi="Times New Roman" w:eastAsia="宋体" w:cs="Times New Roman"/>
                <w:b/>
                <w:snapToGrid w:val="0"/>
                <w:kern w:val="0"/>
                <w:sz w:val="24"/>
                <w:szCs w:val="24"/>
                <w:highlight w:val="yellow"/>
              </w:rPr>
              <w:t>电话：</w:t>
            </w:r>
            <w:r>
              <w:rPr>
                <w:rFonts w:hint="default" w:ascii="Times New Roman" w:hAnsi="Times New Roman" w:eastAsia="宋体" w:cs="Times New Roman"/>
                <w:bCs/>
                <w:snapToGrid w:val="0"/>
                <w:kern w:val="0"/>
                <w:sz w:val="24"/>
                <w:szCs w:val="24"/>
                <w:highlight w:val="yellow"/>
              </w:rPr>
              <w:t>15253106396</w:t>
            </w:r>
          </w:p>
          <w:p>
            <w:pPr>
              <w:pStyle w:val="21"/>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b/>
                <w:snapToGrid w:val="0"/>
                <w:kern w:val="0"/>
                <w:sz w:val="24"/>
                <w:szCs w:val="24"/>
                <w:highlight w:val="yellow"/>
              </w:rPr>
              <w:t>邮箱：</w:t>
            </w:r>
            <w:r>
              <w:rPr>
                <w:rFonts w:hint="eastAsia" w:ascii="Times New Roman" w:hAnsi="Times New Roman" w:eastAsia="宋体" w:cs="Times New Roman"/>
                <w:bCs/>
                <w:snapToGrid w:val="0"/>
                <w:kern w:val="0"/>
                <w:sz w:val="24"/>
                <w:szCs w:val="24"/>
                <w:highlight w:val="yellow"/>
                <w:lang w:val="en-US" w:eastAsia="zh-CN"/>
              </w:rPr>
              <w:t>houxinhua</w:t>
            </w:r>
            <w:r>
              <w:rPr>
                <w:rFonts w:hint="default" w:ascii="Times New Roman" w:hAnsi="Times New Roman" w:eastAsia="宋体" w:cs="Times New Roman"/>
                <w:bCs/>
                <w:snapToGrid w:val="0"/>
                <w:kern w:val="0"/>
                <w:sz w:val="24"/>
                <w:szCs w:val="24"/>
                <w:highlight w:val="yellow"/>
              </w:rPr>
              <w:t>@sinotruk.com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资金来源：</w:t>
            </w:r>
            <w:r>
              <w:rPr>
                <w:rFonts w:hint="default" w:ascii="Times New Roman" w:hAnsi="Times New Roman" w:eastAsia="宋体" w:cs="Times New Roman"/>
                <w:kern w:val="0"/>
                <w:sz w:val="24"/>
                <w:szCs w:val="24"/>
              </w:rPr>
              <w:t>企业自筹，已落实。</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b/>
                <w:bCs/>
                <w:sz w:val="24"/>
                <w:szCs w:val="24"/>
              </w:rPr>
              <w:t>报价：</w:t>
            </w:r>
            <w:r>
              <w:rPr>
                <w:rFonts w:hint="default" w:ascii="Times New Roman" w:hAnsi="Times New Roman" w:eastAsia="宋体" w:cs="Times New Roman"/>
                <w:sz w:val="24"/>
                <w:szCs w:val="24"/>
              </w:rPr>
              <w:t>如需要，由</w:t>
            </w:r>
            <w:r>
              <w:rPr>
                <w:rFonts w:hint="default" w:ascii="Times New Roman" w:hAnsi="Times New Roman" w:eastAsia="宋体" w:cs="Times New Roman"/>
                <w:color w:val="000000"/>
                <w:sz w:val="24"/>
                <w:szCs w:val="24"/>
              </w:rPr>
              <w:t>投标人自行勘察现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pPr>
              <w:ind w:firstLine="482"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报价货币：</w:t>
            </w:r>
            <w:r>
              <w:rPr>
                <w:rFonts w:hint="default" w:ascii="Times New Roman" w:hAnsi="Times New Roman" w:eastAsia="宋体" w:cs="Times New Roman"/>
                <w:color w:val="000000"/>
                <w:sz w:val="24"/>
                <w:szCs w:val="24"/>
              </w:rPr>
              <w:t>人民币（</w:t>
            </w:r>
            <w:r>
              <w:rPr>
                <w:rFonts w:hint="default" w:ascii="Times New Roman" w:hAnsi="Times New Roman" w:eastAsia="宋体" w:cs="Times New Roman"/>
                <w:b/>
                <w:bCs/>
                <w:color w:val="000000"/>
                <w:sz w:val="24"/>
                <w:szCs w:val="24"/>
              </w:rPr>
              <w:t>应同时报含税价和不含税价，写明税率</w:t>
            </w:r>
            <w:r>
              <w:rPr>
                <w:rFonts w:hint="default" w:ascii="Times New Roman" w:hAnsi="Times New Roman" w:eastAsia="宋体" w:cs="Times New Roman"/>
                <w:color w:val="000000"/>
                <w:sz w:val="24"/>
                <w:szCs w:val="24"/>
              </w:rPr>
              <w:t>）。</w:t>
            </w:r>
          </w:p>
          <w:p>
            <w:pPr>
              <w:pStyle w:val="21"/>
              <w:ind w:firstLine="482" w:firstLineChars="200"/>
              <w:rPr>
                <w:rFonts w:hint="default" w:ascii="Times New Roman" w:hAnsi="Times New Roman" w:cs="Times New Roman"/>
              </w:rPr>
            </w:pPr>
            <w:r>
              <w:rPr>
                <w:rFonts w:hint="default" w:ascii="Times New Roman" w:hAnsi="Times New Roman" w:eastAsia="宋体" w:cs="Times New Roman"/>
                <w:b/>
                <w:bCs/>
                <w:color w:val="000000"/>
                <w:sz w:val="24"/>
                <w:szCs w:val="24"/>
              </w:rPr>
              <w:t>投标限价:</w:t>
            </w:r>
            <w:r>
              <w:rPr>
                <w:rFonts w:hint="default" w:ascii="Times New Roman" w:hAnsi="Times New Roman" w:eastAsia="宋体" w:cs="Times New Roman"/>
                <w:color w:val="000000"/>
                <w:sz w:val="24"/>
                <w:szCs w:val="24"/>
              </w:rPr>
              <w:t xml:space="preserve"> 人民币 </w:t>
            </w:r>
            <w:r>
              <w:rPr>
                <w:rFonts w:hint="eastAsia" w:ascii="Times New Roman" w:hAnsi="Times New Roman" w:eastAsia="宋体" w:cs="Times New Roman"/>
                <w:color w:val="000000"/>
                <w:sz w:val="24"/>
                <w:szCs w:val="24"/>
                <w:highlight w:val="yellow"/>
                <w:lang w:val="en-US" w:eastAsia="zh-CN"/>
              </w:rPr>
              <w:t>606</w:t>
            </w:r>
            <w:r>
              <w:rPr>
                <w:rFonts w:hint="default" w:ascii="Times New Roman" w:hAnsi="Times New Roman" w:eastAsia="宋体" w:cs="Times New Roman"/>
                <w:color w:val="000000"/>
                <w:sz w:val="24"/>
                <w:szCs w:val="24"/>
              </w:rPr>
              <w:t xml:space="preserve"> 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0" w:firstLineChars="200"/>
              <w:rPr>
                <w:rFonts w:hint="default" w:ascii="Times New Roman" w:hAnsi="Times New Roman" w:eastAsia="宋体" w:cs="Times New Roman"/>
                <w:b/>
                <w:bCs/>
                <w:color w:val="000000"/>
                <w:sz w:val="24"/>
                <w:szCs w:val="24"/>
              </w:rPr>
            </w:pPr>
            <w:r>
              <w:rPr>
                <w:rFonts w:hint="default" w:ascii="Times New Roman" w:hAnsi="Times New Roman" w:cs="Times New Roman"/>
                <w:b/>
                <w:bCs/>
                <w:sz w:val="24"/>
                <w:szCs w:val="24"/>
              </w:rPr>
              <w:t>投标人条件如下：</w:t>
            </w:r>
          </w:p>
          <w:p>
            <w:pPr>
              <w:pStyle w:val="21"/>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1.拟投标人必须是在中华人民共和国境内注册的独立法人机构，具有独立承担民事责任能力；注册资金不少于</w:t>
            </w:r>
            <w:r>
              <w:rPr>
                <w:rFonts w:hint="eastAsia" w:ascii="Times New Roman" w:hAnsi="Times New Roman" w:eastAsia="宋体" w:cs="Times New Roman"/>
                <w:b/>
                <w:bCs/>
                <w:color w:val="000000"/>
                <w:sz w:val="24"/>
                <w:szCs w:val="24"/>
                <w:highlight w:val="yellow"/>
                <w:u w:val="single"/>
                <w:lang w:val="en-US" w:eastAsia="zh-CN"/>
              </w:rPr>
              <w:t>5</w:t>
            </w:r>
            <w:r>
              <w:rPr>
                <w:rFonts w:hint="default" w:ascii="Times New Roman" w:hAnsi="Times New Roman" w:eastAsia="宋体" w:cs="Times New Roman"/>
                <w:b/>
                <w:bCs/>
                <w:color w:val="000000"/>
                <w:sz w:val="24"/>
                <w:szCs w:val="24"/>
                <w:highlight w:val="yellow"/>
                <w:u w:val="single"/>
              </w:rPr>
              <w:t>00万</w:t>
            </w:r>
            <w:r>
              <w:rPr>
                <w:rFonts w:hint="default" w:ascii="Times New Roman" w:hAnsi="Times New Roman" w:eastAsia="宋体" w:cs="Times New Roman"/>
                <w:color w:val="000000"/>
                <w:sz w:val="24"/>
                <w:szCs w:val="24"/>
              </w:rPr>
              <w:t>人民币（或等值其他货币）；公司成立</w:t>
            </w:r>
            <w:r>
              <w:rPr>
                <w:rFonts w:hint="default" w:ascii="Times New Roman" w:hAnsi="Times New Roman" w:eastAsia="宋体" w:cs="Times New Roman"/>
                <w:b/>
                <w:color w:val="000000"/>
                <w:sz w:val="24"/>
                <w:szCs w:val="24"/>
                <w:u w:val="single"/>
              </w:rPr>
              <w:t>三年以上</w:t>
            </w:r>
            <w:r>
              <w:rPr>
                <w:rFonts w:hint="default" w:ascii="Times New Roman" w:hAnsi="Times New Roman" w:eastAsia="宋体" w:cs="Times New Roman"/>
                <w:color w:val="000000"/>
                <w:sz w:val="24"/>
                <w:szCs w:val="24"/>
              </w:rPr>
              <w:t>（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pPr>
              <w:pStyle w:val="21"/>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2.拟投标人应提供营业执照</w:t>
            </w:r>
            <w:r>
              <w:rPr>
                <w:rFonts w:hint="default" w:ascii="Times New Roman" w:hAnsi="Times New Roman" w:eastAsia="宋体" w:cs="Times New Roman"/>
                <w:b/>
                <w:sz w:val="24"/>
                <w:szCs w:val="24"/>
              </w:rPr>
              <w:t>副本原件和扫描件（需盖章）</w:t>
            </w:r>
            <w:r>
              <w:rPr>
                <w:rFonts w:hint="default" w:ascii="Times New Roman" w:hAnsi="Times New Roman" w:eastAsia="宋体" w:cs="Times New Roman"/>
                <w:color w:val="000000"/>
                <w:sz w:val="24"/>
                <w:szCs w:val="24"/>
              </w:rPr>
              <w:t>；</w:t>
            </w:r>
          </w:p>
          <w:p>
            <w:pPr>
              <w:pStyle w:val="21"/>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3.拟投标人应提供法定代表人资格证明文件；</w:t>
            </w:r>
          </w:p>
          <w:p>
            <w:pPr>
              <w:pStyle w:val="21"/>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4.拟投标人在国家市场监督管理总局的《国家企业信用信息公示系统》</w:t>
            </w:r>
            <w:r>
              <w:rPr>
                <w:rFonts w:hint="default" w:ascii="Times New Roman" w:hAnsi="Times New Roman" w:eastAsia="宋体" w:cs="Times New Roman"/>
                <w:sz w:val="24"/>
                <w:szCs w:val="24"/>
              </w:rPr>
              <w:t>等信息平台中，无行政处罚及失信记录等信息</w:t>
            </w:r>
            <w:r>
              <w:rPr>
                <w:rFonts w:hint="default" w:ascii="Times New Roman" w:hAnsi="Times New Roman" w:eastAsia="宋体" w:cs="Times New Roman"/>
                <w:color w:val="000000"/>
                <w:sz w:val="24"/>
                <w:szCs w:val="24"/>
              </w:rPr>
              <w:t>；</w:t>
            </w:r>
          </w:p>
          <w:p>
            <w:pPr>
              <w:pStyle w:val="21"/>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5.拟投标人不存在严重违规或被列入招标人“黑名单”的声明；</w:t>
            </w:r>
          </w:p>
          <w:p>
            <w:pPr>
              <w:pStyle w:val="21"/>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6.拟投标人应提供</w:t>
            </w:r>
            <w:r>
              <w:rPr>
                <w:rFonts w:hint="default" w:ascii="Times New Roman" w:hAnsi="Times New Roman" w:eastAsia="宋体" w:cs="Times New Roman"/>
                <w:sz w:val="24"/>
                <w:szCs w:val="24"/>
              </w:rPr>
              <w:t>2020年1月1日至今</w:t>
            </w:r>
            <w:r>
              <w:rPr>
                <w:rFonts w:hint="default" w:ascii="Times New Roman" w:hAnsi="Times New Roman" w:eastAsia="宋体" w:cs="Times New Roman"/>
                <w:color w:val="000000"/>
                <w:sz w:val="24"/>
                <w:szCs w:val="24"/>
              </w:rPr>
              <w:t>经会计师事务所审计且出具无保留意见的财务审计报告，并加盖公章，（如投标人公司没有经审计的财务报告，可提供加盖公章的近三年财务报表，包括但不限于资产负债表、利润表、现金流量表），且未显示异常；</w:t>
            </w:r>
          </w:p>
          <w:p>
            <w:pPr>
              <w:pStyle w:val="21"/>
              <w:ind w:firstLine="480" w:firstLineChars="200"/>
              <w:rPr>
                <w:rFonts w:hint="default" w:ascii="Times New Roman" w:hAnsi="Times New Roman" w:eastAsia="宋体" w:cs="Times New Roman"/>
                <w:kern w:val="0"/>
                <w:sz w:val="24"/>
                <w:szCs w:val="24"/>
                <w:lang w:bidi="ar"/>
              </w:rPr>
            </w:pPr>
            <w:r>
              <w:rPr>
                <w:rFonts w:hint="default" w:ascii="Times New Roman" w:hAnsi="Times New Roman" w:eastAsia="宋体" w:cs="Times New Roman"/>
                <w:color w:val="000000"/>
                <w:kern w:val="0"/>
                <w:sz w:val="24"/>
                <w:szCs w:val="24"/>
              </w:rPr>
              <w:t>7.拟投标人近3年（2020年1月1日至采购截止时间，以销售合同签订时间为准）所投标段同类业绩。须提供中标通知书（如有）、合同协议书复印件（须包含合同标的、金额、签字盖章等关键页）、发票等相关证明材料，且近2年内无因服务不当而造成重大事故；</w:t>
            </w:r>
          </w:p>
          <w:p>
            <w:pPr>
              <w:pStyle w:val="21"/>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8.拟投标人近三年内在经营活动中无与本项目有关的违法及重大违规情况；</w:t>
            </w:r>
          </w:p>
          <w:p>
            <w:pPr>
              <w:pStyle w:val="21"/>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9.投标人须认可招标人的工作指令，包括节、假日能正常开展工作的要求；</w:t>
            </w:r>
          </w:p>
          <w:p>
            <w:pPr>
              <w:pStyle w:val="21"/>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10.投标人最近半年纳税正常；</w:t>
            </w:r>
          </w:p>
          <w:p>
            <w:pPr>
              <w:pStyle w:val="21"/>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11.没有被我公司列入黑名单；</w:t>
            </w:r>
          </w:p>
          <w:p>
            <w:pPr>
              <w:pStyle w:val="21"/>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12.投标人信用证明材料（征信报告）未显示异常；</w:t>
            </w:r>
          </w:p>
          <w:p>
            <w:pPr>
              <w:pStyle w:val="21"/>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13.供方的直接或间接股东、法定代表人、董事、监事、高管非重汽员工及其亲属；</w:t>
            </w:r>
          </w:p>
          <w:p>
            <w:pPr>
              <w:pStyle w:val="21"/>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14.如为代理商投标，需获得生产厂家正式授权，提供授权书原件，保证提供原厂售后服务并提供原厂售后服务承诺书原件（包括所代理品牌针对项目的唯一授权书）。</w:t>
            </w:r>
          </w:p>
          <w:p>
            <w:pPr>
              <w:pStyle w:val="21"/>
              <w:spacing w:line="3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w:t>
            </w:r>
            <w:r>
              <w:rPr>
                <w:rFonts w:hint="default" w:ascii="Times New Roman" w:hAnsi="Times New Roman" w:eastAsia="宋体" w:cs="Times New Roman"/>
                <w:color w:val="000000"/>
                <w:sz w:val="24"/>
                <w:szCs w:val="24"/>
              </w:rPr>
              <w:t>本项目不接受联合体投标，</w:t>
            </w:r>
            <w:r>
              <w:rPr>
                <w:rFonts w:hint="default" w:ascii="Times New Roman" w:hAnsi="Times New Roman" w:eastAsia="宋体" w:cs="Times New Roman"/>
                <w:sz w:val="24"/>
                <w:szCs w:val="24"/>
              </w:rPr>
              <w:t>拟投标人必须是最终投标单位、签订合同单位，不得以任何形式分包或转包给其他单位；</w:t>
            </w:r>
          </w:p>
          <w:p>
            <w:pPr>
              <w:pStyle w:val="21"/>
              <w:spacing w:line="32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16.</w:t>
            </w:r>
            <w:r>
              <w:rPr>
                <w:rFonts w:hint="default" w:ascii="Times New Roman" w:hAnsi="Times New Roman" w:eastAsia="宋体" w:cs="Times New Roman"/>
                <w:sz w:val="24"/>
                <w:szCs w:val="24"/>
              </w:rPr>
              <w:t>与招标人存在利害关系可能影响招标公正性的法人、其他组织或者个人，不得参加投标。</w:t>
            </w:r>
          </w:p>
          <w:p>
            <w:pPr>
              <w:pStyle w:val="21"/>
              <w:ind w:firstLine="480" w:firstLineChars="200"/>
              <w:rPr>
                <w:rFonts w:hint="default" w:ascii="Times New Roman" w:hAnsi="Times New Roman" w:eastAsia="宋体" w:cs="Times New Roman"/>
                <w:color w:val="000000"/>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b/>
                <w:bCs/>
                <w:sz w:val="24"/>
                <w:szCs w:val="24"/>
              </w:rPr>
            </w:pPr>
            <w:bookmarkStart w:id="3" w:name="_Toc346372875"/>
            <w:r>
              <w:rPr>
                <w:rFonts w:hint="default" w:ascii="Times New Roman" w:hAnsi="Times New Roman" w:eastAsia="宋体" w:cs="Times New Roman"/>
                <w:b/>
                <w:bCs/>
                <w:sz w:val="24"/>
                <w:szCs w:val="24"/>
              </w:rPr>
              <w:t>2.招标文件的答疑、澄清、修改、应标及投标报名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发标时间：</w:t>
            </w:r>
            <w:r>
              <w:rPr>
                <w:rFonts w:hint="eastAsia" w:ascii="Times New Roman" w:hAnsi="Times New Roman" w:eastAsia="宋体" w:cs="Times New Roman"/>
                <w:bCs/>
                <w:sz w:val="24"/>
                <w:szCs w:val="24"/>
                <w:highlight w:val="yellow"/>
                <w:lang w:eastAsia="zh-CN"/>
              </w:rPr>
              <w:t>2024年7月</w:t>
            </w:r>
            <w:r>
              <w:rPr>
                <w:rFonts w:hint="eastAsia" w:ascii="Times New Roman" w:hAnsi="Times New Roman" w:eastAsia="宋体" w:cs="Times New Roman"/>
                <w:bCs/>
                <w:sz w:val="24"/>
                <w:szCs w:val="24"/>
                <w:highlight w:val="yellow"/>
                <w:u w:val="single"/>
                <w:lang w:val="en-US" w:eastAsia="zh-CN"/>
              </w:rPr>
              <w:t>30</w:t>
            </w:r>
            <w:r>
              <w:rPr>
                <w:rFonts w:hint="default" w:ascii="Times New Roman" w:hAnsi="Times New Roman" w:eastAsia="宋体" w:cs="Times New Roman"/>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rFonts w:hint="default" w:ascii="Times New Roman" w:hAnsi="Times New Roman" w:cs="Times New Roman"/>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default" w:ascii="Times New Roman" w:hAnsi="Times New Roman" w:cs="Times New Roman"/>
              </w:rPr>
            </w:pPr>
            <w:r>
              <w:rPr>
                <w:rFonts w:hint="default" w:ascii="Times New Roman" w:hAnsi="Times New Roman" w:eastAsia="宋体" w:cs="Times New Roman"/>
                <w:sz w:val="24"/>
                <w:szCs w:val="24"/>
              </w:rPr>
              <w:t>发标方式：中国重汽官网、山东省阳光采购服务平台、中国招标投标公共服务平台等公开媒体</w:t>
            </w:r>
            <w:r>
              <w:rPr>
                <w:rFonts w:hint="default" w:ascii="Times New Roman" w:hAnsi="Times New Roman" w:eastAsia="宋体" w:cs="Times New Roman"/>
                <w:color w:val="000000"/>
                <w:sz w:val="24"/>
                <w:szCs w:val="24"/>
              </w:rPr>
              <w:t>公布。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hint="default" w:ascii="Times New Roman" w:hAnsi="Times New Roman" w:eastAsia="宋体" w:cs="Times New Roman"/>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sz w:val="24"/>
                <w:szCs w:val="24"/>
              </w:rPr>
              <w:t>如果投标人对招标文件商务部分、技术部分有疑问，请各投标人在本答疑环节提出。</w:t>
            </w:r>
          </w:p>
          <w:p>
            <w:pPr>
              <w:ind w:firstLine="482"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提交疑问截至时间：</w:t>
            </w:r>
            <w:r>
              <w:rPr>
                <w:rFonts w:hint="default" w:ascii="Times New Roman" w:hAnsi="Times New Roman" w:eastAsia="宋体" w:cs="Times New Roman"/>
                <w:bCs/>
                <w:sz w:val="24"/>
                <w:szCs w:val="24"/>
                <w:highlight w:val="yellow"/>
              </w:rPr>
              <w:t>2024年</w:t>
            </w:r>
            <w:r>
              <w:rPr>
                <w:rFonts w:hint="eastAsia" w:ascii="Times New Roman" w:hAnsi="Times New Roman" w:eastAsia="宋体" w:cs="Times New Roman"/>
                <w:bCs/>
                <w:sz w:val="24"/>
                <w:szCs w:val="24"/>
                <w:highlight w:val="yellow"/>
                <w:lang w:val="en-US" w:eastAsia="zh-CN"/>
              </w:rPr>
              <w:t>8</w:t>
            </w:r>
            <w:r>
              <w:rPr>
                <w:rFonts w:hint="default" w:ascii="Times New Roman" w:hAnsi="Times New Roman" w:eastAsia="宋体" w:cs="Times New Roman"/>
                <w:bCs/>
                <w:sz w:val="24"/>
                <w:szCs w:val="24"/>
                <w:highlight w:val="yellow"/>
              </w:rPr>
              <w:t>月</w:t>
            </w:r>
            <w:r>
              <w:rPr>
                <w:rFonts w:hint="eastAsia" w:ascii="Times New Roman" w:hAnsi="Times New Roman" w:eastAsia="宋体" w:cs="Times New Roman"/>
                <w:bCs/>
                <w:sz w:val="24"/>
                <w:szCs w:val="24"/>
                <w:highlight w:val="yellow"/>
                <w:lang w:val="en-US" w:eastAsia="zh-CN"/>
              </w:rPr>
              <w:t>5</w:t>
            </w:r>
            <w:r>
              <w:rPr>
                <w:rFonts w:hint="default" w:ascii="Times New Roman" w:hAnsi="Times New Roman" w:eastAsia="宋体" w:cs="Times New Roman"/>
                <w:bCs/>
                <w:sz w:val="24"/>
                <w:szCs w:val="24"/>
                <w:highlight w:val="yellow"/>
              </w:rPr>
              <w:t>日1</w:t>
            </w:r>
            <w:r>
              <w:rPr>
                <w:rFonts w:hint="eastAsia" w:ascii="Times New Roman" w:hAnsi="Times New Roman" w:eastAsia="宋体" w:cs="Times New Roman"/>
                <w:bCs/>
                <w:sz w:val="24"/>
                <w:szCs w:val="24"/>
                <w:highlight w:val="yellow"/>
                <w:lang w:val="en-US" w:eastAsia="zh-CN"/>
              </w:rPr>
              <w:t>7</w:t>
            </w:r>
            <w:r>
              <w:rPr>
                <w:rFonts w:hint="default" w:ascii="Times New Roman" w:hAnsi="Times New Roman" w:eastAsia="宋体" w:cs="Times New Roman"/>
                <w:bCs/>
                <w:sz w:val="24"/>
                <w:szCs w:val="24"/>
                <w:highlight w:val="yellow"/>
              </w:rPr>
              <w:t>:00:00前；</w:t>
            </w:r>
          </w:p>
          <w:p>
            <w:pPr>
              <w:ind w:firstLine="482" w:firstLineChars="200"/>
              <w:jc w:val="left"/>
              <w:rPr>
                <w:rFonts w:hint="default" w:ascii="Times New Roman" w:hAnsi="Times New Roman" w:eastAsia="宋体" w:cs="Times New Roman"/>
                <w:b/>
                <w:bCs/>
                <w:sz w:val="24"/>
                <w:szCs w:val="24"/>
                <w:highlight w:val="green"/>
              </w:rPr>
            </w:pPr>
            <w:r>
              <w:rPr>
                <w:rFonts w:hint="default" w:ascii="Times New Roman" w:hAnsi="Times New Roman" w:eastAsia="宋体" w:cs="Times New Roman"/>
                <w:b/>
                <w:bCs/>
                <w:sz w:val="24"/>
                <w:szCs w:val="24"/>
              </w:rPr>
              <w:t>提交疑问方式</w:t>
            </w:r>
            <w:r>
              <w:rPr>
                <w:rFonts w:hint="default" w:ascii="Times New Roman" w:hAnsi="Times New Roman" w:eastAsia="宋体" w:cs="Times New Roman"/>
                <w:sz w:val="24"/>
                <w:szCs w:val="24"/>
              </w:rPr>
              <w:t>：</w:t>
            </w:r>
            <w:r>
              <w:rPr>
                <w:rFonts w:hint="eastAsia" w:ascii="宋体" w:hAnsi="宋体" w:eastAsia="宋体" w:cs="宋体"/>
                <w:sz w:val="24"/>
                <w:szCs w:val="24"/>
              </w:rPr>
              <w:t>将答疑问题以word文件格式发送至联系人邮件内，并电话联系工作人员查收，</w:t>
            </w:r>
            <w:r>
              <w:rPr>
                <w:rFonts w:hint="eastAsia" w:ascii="宋体" w:hAnsi="宋体" w:eastAsia="宋体" w:cs="宋体"/>
                <w:b/>
                <w:bCs/>
                <w:sz w:val="24"/>
                <w:szCs w:val="24"/>
              </w:rPr>
              <w:t>邮件名格式为：XXX公司（五个字以内公司简称）XX项目答疑文件。</w:t>
            </w:r>
          </w:p>
          <w:p>
            <w:pPr>
              <w:ind w:firstLine="482"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同时须在邮件中以文字方式提供投标单位全称、投标授权人姓名、联系方式（固定电话、手机、电子邮箱）。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color="auto" w:fill="FFFFFF" w:themeFill="background1"/>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领取答疑、澄清和修改文件时间：</w:t>
            </w:r>
            <w:r>
              <w:rPr>
                <w:rFonts w:hint="default" w:ascii="Times New Roman" w:hAnsi="Times New Roman" w:eastAsia="宋体" w:cs="Times New Roman"/>
                <w:sz w:val="24"/>
                <w:szCs w:val="24"/>
                <w:highlight w:val="yellow"/>
              </w:rPr>
              <w:t>2024年</w:t>
            </w:r>
            <w:r>
              <w:rPr>
                <w:rFonts w:hint="eastAsia" w:ascii="Times New Roman" w:hAnsi="Times New Roman" w:eastAsia="宋体" w:cs="Times New Roman"/>
                <w:sz w:val="24"/>
                <w:szCs w:val="24"/>
                <w:highlight w:val="yellow"/>
                <w:lang w:val="en-US" w:eastAsia="zh-CN"/>
              </w:rPr>
              <w:t>8</w:t>
            </w:r>
            <w:r>
              <w:rPr>
                <w:rFonts w:hint="default" w:ascii="Times New Roman" w:hAnsi="Times New Roman" w:eastAsia="宋体" w:cs="Times New Roman"/>
                <w:sz w:val="24"/>
                <w:szCs w:val="24"/>
                <w:highlight w:val="yellow"/>
              </w:rPr>
              <w:t>月</w:t>
            </w:r>
            <w:r>
              <w:rPr>
                <w:rFonts w:hint="eastAsia" w:ascii="Times New Roman" w:hAnsi="Times New Roman" w:eastAsia="宋体" w:cs="Times New Roman"/>
                <w:sz w:val="24"/>
                <w:szCs w:val="24"/>
                <w:highlight w:val="yellow"/>
                <w:u w:val="single"/>
                <w:lang w:val="en-US" w:eastAsia="zh-CN"/>
              </w:rPr>
              <w:t>5</w:t>
            </w:r>
            <w:r>
              <w:rPr>
                <w:rFonts w:hint="default" w:ascii="Times New Roman" w:hAnsi="Times New Roman" w:eastAsia="宋体" w:cs="Times New Roman"/>
                <w:sz w:val="24"/>
                <w:szCs w:val="24"/>
                <w:highlight w:val="yellow"/>
              </w:rPr>
              <w:t>日17:00</w:t>
            </w:r>
            <w:r>
              <w:rPr>
                <w:rFonts w:hint="default" w:ascii="Times New Roman" w:hAnsi="Times New Roman" w:eastAsia="宋体" w:cs="Times New Roman"/>
                <w:bCs/>
                <w:sz w:val="24"/>
                <w:szCs w:val="24"/>
                <w:highlight w:val="yellow"/>
              </w:rPr>
              <w:t>:00</w:t>
            </w:r>
            <w:r>
              <w:rPr>
                <w:rFonts w:hint="default" w:ascii="Times New Roman" w:hAnsi="Times New Roman" w:eastAsia="宋体" w:cs="Times New Roman"/>
                <w:sz w:val="24"/>
                <w:szCs w:val="24"/>
              </w:rPr>
              <w:t>前；</w:t>
            </w:r>
          </w:p>
          <w:p>
            <w:pPr>
              <w:shd w:val="clear" w:color="auto" w:fill="FFFFFF" w:themeFill="background1"/>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答疑、澄清和修改文件方式：招标人将以电子邮件的方式将招标文件的答疑澄清文件发送至答疑文件提交时登记的电子邮箱。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hint="default" w:ascii="Times New Roman" w:hAnsi="Times New Roman" w:eastAsia="宋体" w:cs="Times New Roman"/>
                <w:b/>
                <w:bCs/>
                <w:sz w:val="24"/>
                <w:szCs w:val="24"/>
                <w:highlight w:val="green"/>
              </w:rPr>
            </w:pPr>
            <w:r>
              <w:rPr>
                <w:rFonts w:hint="default" w:ascii="Times New Roman" w:hAnsi="Times New Roman" w:eastAsia="宋体" w:cs="Times New Roman"/>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69"/>
              <w:spacing w:line="240" w:lineRule="auto"/>
              <w:ind w:firstLine="482"/>
              <w:rPr>
                <w:rFonts w:hint="default" w:ascii="Times New Roman" w:hAnsi="Times New Roman" w:eastAsia="宋体" w:cs="Times New Roman"/>
                <w:b/>
                <w:bCs/>
              </w:rPr>
            </w:pPr>
            <w:r>
              <w:rPr>
                <w:rFonts w:hint="default" w:ascii="Times New Roman" w:hAnsi="Times New Roman" w:eastAsia="宋体" w:cs="Times New Roman"/>
                <w:b/>
                <w:bCs/>
              </w:rPr>
              <w:t>报名方式：</w:t>
            </w:r>
            <w:r>
              <w:rPr>
                <w:rFonts w:hint="default" w:ascii="Times New Roman" w:hAnsi="Times New Roman" w:eastAsia="宋体" w:cs="Times New Roman"/>
              </w:rPr>
              <w:t>拟投标人根据招标人在中国重汽官网等公开媒体上发布的招标信息，在“中国重汽e采通”平台报名。</w:t>
            </w:r>
            <w:r>
              <w:rPr>
                <w:rFonts w:hint="default" w:ascii="Times New Roman" w:hAnsi="Times New Roman" w:eastAsia="宋体" w:cs="Times New Roman"/>
                <w:b/>
                <w:bCs/>
              </w:rPr>
              <w:t>按照中国重汽e采通“SRM非生产供应商注册手册”（附件15）进行注册</w:t>
            </w:r>
            <w:r>
              <w:rPr>
                <w:rFonts w:hint="default" w:ascii="Times New Roman" w:hAnsi="Times New Roman" w:eastAsia="宋体" w:cs="Times New Roman"/>
              </w:rPr>
              <w:t>，注册完毕后按照</w:t>
            </w:r>
            <w:r>
              <w:rPr>
                <w:rFonts w:hint="default" w:ascii="Times New Roman" w:hAnsi="Times New Roman" w:eastAsia="宋体" w:cs="Times New Roman"/>
                <w:b/>
              </w:rPr>
              <w:t>“SRM系统供应商用户手册（附件16）”，</w:t>
            </w:r>
            <w:r>
              <w:rPr>
                <w:rFonts w:hint="default" w:ascii="Times New Roman" w:hAnsi="Times New Roman" w:eastAsia="宋体" w:cs="Times New Roman"/>
              </w:rPr>
              <w:t>登录</w:t>
            </w:r>
            <w:r>
              <w:rPr>
                <w:rFonts w:hint="default" w:ascii="Times New Roman" w:hAnsi="Times New Roman" w:eastAsia="宋体" w:cs="Times New Roman"/>
                <w:b/>
                <w:bCs/>
              </w:rPr>
              <w:t>中国重汽e采通</w:t>
            </w:r>
            <w:r>
              <w:rPr>
                <w:rFonts w:hint="default" w:ascii="Times New Roman" w:hAnsi="Times New Roman" w:eastAsia="宋体" w:cs="Times New Roman"/>
              </w:rPr>
              <w:t>后进入“供应商应标”，选择对应的项目，点击“</w:t>
            </w:r>
            <w:r>
              <w:rPr>
                <w:rFonts w:hint="default" w:ascii="Times New Roman" w:hAnsi="Times New Roman" w:eastAsia="宋体" w:cs="Times New Roman"/>
                <w:b/>
                <w:bCs/>
              </w:rPr>
              <w:t>应标</w:t>
            </w:r>
            <w:r>
              <w:rPr>
                <w:rFonts w:hint="default" w:ascii="Times New Roman" w:hAnsi="Times New Roman" w:eastAsia="宋体" w:cs="Times New Roman"/>
              </w:rPr>
              <w:t>”</w:t>
            </w:r>
            <w:r>
              <w:rPr>
                <w:rFonts w:hint="default" w:ascii="Times New Roman" w:hAnsi="Times New Roman" w:eastAsia="宋体" w:cs="Times New Roman"/>
                <w:b/>
                <w:bCs/>
              </w:rPr>
              <w:t>后按照招标文件第三部分投标文件组成资格证明文件中的1.1-1.13准备资料并</w:t>
            </w:r>
            <w:r>
              <w:rPr>
                <w:rFonts w:hint="default" w:ascii="Times New Roman" w:hAnsi="Times New Roman" w:eastAsia="宋体" w:cs="Times New Roman"/>
              </w:rPr>
              <w:t>上传，资质审查通过即为报名成功；公示期间请尽快报名。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rFonts w:hint="default" w:ascii="Times New Roman" w:hAnsi="Times New Roman" w:cs="Times New Roman"/>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69"/>
              <w:spacing w:line="240" w:lineRule="auto"/>
              <w:ind w:firstLine="482"/>
              <w:rPr>
                <w:rFonts w:hint="default" w:ascii="Times New Roman" w:hAnsi="Times New Roman" w:eastAsia="宋体" w:cs="Times New Roman"/>
                <w:highlight w:val="yellow"/>
              </w:rPr>
            </w:pPr>
            <w:r>
              <w:rPr>
                <w:rFonts w:hint="default" w:ascii="Times New Roman" w:hAnsi="Times New Roman" w:eastAsia="宋体" w:cs="Times New Roman"/>
                <w:b/>
                <w:bCs/>
              </w:rPr>
              <w:t>应标截止时间：</w:t>
            </w:r>
            <w:r>
              <w:rPr>
                <w:rFonts w:hint="default" w:ascii="Times New Roman" w:hAnsi="Times New Roman" w:eastAsia="宋体" w:cs="Times New Roman"/>
                <w:highlight w:val="yellow"/>
              </w:rPr>
              <w:t>2024年</w:t>
            </w:r>
            <w:r>
              <w:rPr>
                <w:rFonts w:hint="eastAsia" w:ascii="Times New Roman" w:hAnsi="Times New Roman" w:eastAsia="宋体" w:cs="Times New Roman"/>
                <w:highlight w:val="yellow"/>
                <w:lang w:val="en-US" w:eastAsia="zh-CN"/>
              </w:rPr>
              <w:t>8</w:t>
            </w:r>
            <w:r>
              <w:rPr>
                <w:rFonts w:hint="default" w:ascii="Times New Roman" w:hAnsi="Times New Roman" w:eastAsia="宋体" w:cs="Times New Roman"/>
                <w:highlight w:val="yellow"/>
              </w:rPr>
              <w:t>月</w:t>
            </w:r>
            <w:r>
              <w:rPr>
                <w:rFonts w:hint="eastAsia" w:ascii="Times New Roman" w:hAnsi="Times New Roman" w:eastAsia="宋体" w:cs="Times New Roman"/>
                <w:highlight w:val="yellow"/>
                <w:u w:val="single"/>
                <w:lang w:val="en-US" w:eastAsia="zh-CN"/>
              </w:rPr>
              <w:t>5</w:t>
            </w:r>
            <w:r>
              <w:rPr>
                <w:rFonts w:hint="default" w:ascii="Times New Roman" w:hAnsi="Times New Roman" w:eastAsia="宋体" w:cs="Times New Roman"/>
                <w:highlight w:val="yellow"/>
              </w:rPr>
              <w:t>日17时00分00秒</w:t>
            </w:r>
          </w:p>
          <w:p>
            <w:pPr>
              <w:pStyle w:val="69"/>
              <w:spacing w:line="240" w:lineRule="auto"/>
              <w:ind w:firstLine="482"/>
              <w:rPr>
                <w:rFonts w:hint="default" w:ascii="Times New Roman" w:hAnsi="Times New Roman" w:eastAsia="宋体" w:cs="Times New Roman"/>
                <w:highlight w:val="yellow"/>
              </w:rPr>
            </w:pPr>
            <w:r>
              <w:rPr>
                <w:rFonts w:hint="default" w:ascii="Times New Roman" w:hAnsi="Times New Roman" w:eastAsia="宋体" w:cs="Times New Roman"/>
                <w:b/>
                <w:bCs/>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3.投标文件的组成、编制及投递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本项目投标文件分为</w:t>
            </w:r>
            <w:r>
              <w:rPr>
                <w:rFonts w:hint="default" w:ascii="Times New Roman" w:hAnsi="Times New Roman" w:eastAsia="宋体" w:cs="Times New Roman"/>
                <w:b/>
                <w:sz w:val="24"/>
                <w:szCs w:val="24"/>
              </w:rPr>
              <w:t>纸质版</w:t>
            </w:r>
            <w:r>
              <w:rPr>
                <w:rFonts w:hint="default" w:ascii="Times New Roman" w:hAnsi="Times New Roman" w:eastAsia="宋体" w:cs="Times New Roman"/>
                <w:bCs/>
                <w:sz w:val="24"/>
                <w:szCs w:val="24"/>
              </w:rPr>
              <w:t>投标文件和</w:t>
            </w:r>
            <w:r>
              <w:rPr>
                <w:rFonts w:hint="default" w:ascii="Times New Roman" w:hAnsi="Times New Roman" w:eastAsia="宋体" w:cs="Times New Roman"/>
                <w:b/>
                <w:sz w:val="24"/>
                <w:szCs w:val="24"/>
              </w:rPr>
              <w:t>电子版</w:t>
            </w:r>
            <w:r>
              <w:rPr>
                <w:rFonts w:hint="default" w:ascii="Times New Roman" w:hAnsi="Times New Roman" w:eastAsia="宋体" w:cs="Times New Roman"/>
                <w:bCs/>
                <w:sz w:val="24"/>
                <w:szCs w:val="24"/>
              </w:rPr>
              <w:t>投标文件</w:t>
            </w:r>
            <w:r>
              <w:rPr>
                <w:rFonts w:hint="default" w:ascii="Times New Roman" w:hAnsi="Times New Roman" w:eastAsia="宋体" w:cs="Times New Roman"/>
                <w:bCs/>
                <w:sz w:val="24"/>
                <w:szCs w:val="24"/>
                <w:highlight w:val="yellow"/>
              </w:rPr>
              <w:t>（电子版为纸质盖章版的扫描件）或加盖电子章</w:t>
            </w:r>
            <w:r>
              <w:rPr>
                <w:rFonts w:hint="default" w:ascii="Times New Roman" w:hAnsi="Times New Roman" w:eastAsia="宋体" w:cs="Times New Roman"/>
                <w:bCs/>
                <w:sz w:val="24"/>
                <w:szCs w:val="24"/>
              </w:rPr>
              <w:t>，均由</w:t>
            </w:r>
            <w:r>
              <w:rPr>
                <w:rFonts w:hint="default" w:ascii="Times New Roman" w:hAnsi="Times New Roman" w:eastAsia="宋体" w:cs="Times New Roman"/>
                <w:b/>
                <w:sz w:val="24"/>
                <w:szCs w:val="24"/>
              </w:rPr>
              <w:t>《投标文件（资质标）》、《投标文件（技术标）》、《投标文件（商务标）》（开标一览表）</w:t>
            </w:r>
            <w:r>
              <w:rPr>
                <w:rFonts w:hint="default" w:ascii="Times New Roman" w:hAnsi="Times New Roman" w:eastAsia="宋体" w:cs="Times New Roman"/>
                <w:bCs/>
                <w:sz w:val="24"/>
                <w:szCs w:val="24"/>
              </w:rPr>
              <w:t>文件组成，共计3个文件。</w:t>
            </w:r>
          </w:p>
          <w:p>
            <w:pPr>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《投标文件（资质标）》</w:t>
            </w:r>
            <w:r>
              <w:rPr>
                <w:rFonts w:hint="default" w:ascii="Times New Roman" w:hAnsi="Times New Roman" w:eastAsia="宋体" w:cs="Times New Roman"/>
                <w:bCs/>
                <w:sz w:val="24"/>
                <w:szCs w:val="24"/>
              </w:rPr>
              <w:t>一个文件（里面是全部资质投标书），</w:t>
            </w:r>
            <w:r>
              <w:rPr>
                <w:rFonts w:hint="default" w:ascii="Times New Roman" w:hAnsi="Times New Roman" w:eastAsia="宋体" w:cs="Times New Roman"/>
                <w:b/>
                <w:sz w:val="24"/>
                <w:szCs w:val="24"/>
              </w:rPr>
              <w:t>投标文件（技术标）》</w:t>
            </w:r>
            <w:r>
              <w:rPr>
                <w:rFonts w:hint="default" w:ascii="Times New Roman" w:hAnsi="Times New Roman" w:eastAsia="宋体" w:cs="Times New Roman"/>
                <w:bCs/>
                <w:sz w:val="24"/>
                <w:szCs w:val="24"/>
              </w:rPr>
              <w:t>一个文件（里面是全部技术投标书），</w:t>
            </w:r>
            <w:r>
              <w:rPr>
                <w:rFonts w:hint="default" w:ascii="Times New Roman" w:hAnsi="Times New Roman" w:eastAsia="宋体" w:cs="Times New Roman"/>
                <w:b/>
                <w:sz w:val="24"/>
                <w:szCs w:val="24"/>
              </w:rPr>
              <w:t>《投标文件（商务标）》（开标一览表）</w:t>
            </w:r>
            <w:r>
              <w:rPr>
                <w:rFonts w:hint="default" w:ascii="Times New Roman" w:hAnsi="Times New Roman" w:eastAsia="宋体" w:cs="Times New Roman"/>
                <w:bCs/>
                <w:sz w:val="24"/>
                <w:szCs w:val="24"/>
              </w:rPr>
              <w:t>一个文件（里面是全部商务投标书），</w:t>
            </w:r>
            <w:r>
              <w:rPr>
                <w:rFonts w:hint="default" w:ascii="Times New Roman" w:hAnsi="Times New Roman" w:eastAsia="宋体" w:cs="Times New Roman"/>
                <w:b/>
                <w:sz w:val="24"/>
                <w:szCs w:val="24"/>
              </w:rPr>
              <w:t>具体组成等详细要求见招标文件第三部分投标文件编制第三条。</w:t>
            </w:r>
          </w:p>
          <w:p>
            <w:pPr>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bCs/>
                <w:color w:val="000000"/>
                <w:sz w:val="24"/>
                <w:szCs w:val="24"/>
              </w:rPr>
              <w:t>注意：不按此要求提供投标文件的，投标文件做无效标处理。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2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Times New Roman" w:hAnsi="Times New Roman" w:eastAsia="宋体" w:cs="Times New Roman"/>
                <w:bCs/>
                <w:sz w:val="24"/>
                <w:szCs w:val="24"/>
              </w:rPr>
            </w:pPr>
            <w:r>
              <w:rPr>
                <w:rFonts w:hint="default" w:ascii="Times New Roman" w:hAnsi="Times New Roman" w:eastAsia="宋体" w:cs="Times New Roman"/>
                <w:b/>
                <w:sz w:val="24"/>
                <w:szCs w:val="24"/>
              </w:rPr>
              <w:t>投标方式：在中国重汽e采通平台应标成功后，进入“供应商投标”环节，投递盖章扫描版电子标书（包含资质标书、技术标书、商务标书），</w:t>
            </w:r>
            <w:r>
              <w:rPr>
                <w:rFonts w:hint="default" w:ascii="Times New Roman" w:hAnsi="Times New Roman" w:eastAsia="宋体" w:cs="Times New Roman"/>
                <w:sz w:val="24"/>
                <w:szCs w:val="24"/>
              </w:rPr>
              <w:t>若逾期未在中国重汽e采通平台上传电子标书，即便递交了纸版投标文件，一律视为无效投标</w:t>
            </w:r>
            <w:r>
              <w:rPr>
                <w:rFonts w:hint="default" w:ascii="Times New Roman" w:hAnsi="Times New Roman" w:eastAsia="宋体" w:cs="Times New Roman"/>
                <w:b/>
                <w:sz w:val="24"/>
                <w:szCs w:val="24"/>
              </w:rPr>
              <w:t>。</w:t>
            </w:r>
          </w:p>
          <w:p>
            <w:pPr>
              <w:ind w:firstLine="420" w:firstLineChars="200"/>
              <w:rPr>
                <w:rFonts w:hint="default" w:ascii="Times New Roman" w:hAnsi="Times New Roman" w:eastAsia="宋体" w:cs="Times New Roman"/>
                <w:bCs/>
                <w:sz w:val="24"/>
                <w:szCs w:val="24"/>
              </w:rPr>
            </w:pPr>
            <w:r>
              <w:rPr>
                <w:rFonts w:hint="default" w:ascii="Times New Roman" w:hAnsi="Times New Roman" w:cs="Times New Roman"/>
                <w:bCs/>
              </w:rPr>
              <w:t xml:space="preserve"> </w:t>
            </w:r>
            <w:r>
              <w:rPr>
                <w:rFonts w:hint="default" w:ascii="Times New Roman" w:hAnsi="Times New Roman" w:eastAsia="宋体" w:cs="Times New Roman"/>
                <w:bCs/>
                <w:sz w:val="24"/>
                <w:szCs w:val="24"/>
              </w:rPr>
              <w:t>纸质版投标文件的份数要求为</w:t>
            </w:r>
            <w:r>
              <w:rPr>
                <w:rFonts w:hint="default" w:ascii="Times New Roman" w:hAnsi="Times New Roman" w:eastAsia="宋体" w:cs="Times New Roman"/>
                <w:b/>
                <w:sz w:val="24"/>
                <w:szCs w:val="24"/>
              </w:rPr>
              <w:t>正本一份</w:t>
            </w:r>
            <w:r>
              <w:rPr>
                <w:rFonts w:hint="default" w:ascii="Times New Roman" w:hAnsi="Times New Roman" w:eastAsia="宋体" w:cs="Times New Roman"/>
                <w:bCs/>
                <w:sz w:val="24"/>
                <w:szCs w:val="24"/>
              </w:rPr>
              <w:t>，资质投标书、技术投标书及商务投标书的</w:t>
            </w:r>
            <w:r>
              <w:rPr>
                <w:rFonts w:hint="default" w:ascii="Times New Roman" w:hAnsi="Times New Roman" w:eastAsia="宋体" w:cs="Times New Roman"/>
                <w:b/>
                <w:sz w:val="24"/>
                <w:szCs w:val="24"/>
              </w:rPr>
              <w:t>同类文件封装在一个包封里，包封表面按照附件13标注文件信息；共计三个包封</w:t>
            </w:r>
            <w:r>
              <w:rPr>
                <w:rFonts w:hint="default" w:ascii="Times New Roman" w:hAnsi="Times New Roman" w:eastAsia="宋体" w:cs="Times New Roman"/>
                <w:bCs/>
                <w:sz w:val="24"/>
                <w:szCs w:val="24"/>
              </w:rPr>
              <w:t>。</w:t>
            </w:r>
          </w:p>
          <w:p>
            <w:pPr>
              <w:pStyle w:val="21"/>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如选择到场参与开标，自行携带纸质投标文件于开标前至开标地点即可。</w:t>
            </w:r>
          </w:p>
          <w:p>
            <w:pPr>
              <w:pStyle w:val="21"/>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如选择线上参与开标，纸质投标文件需在开标日前两天，邮寄到指定地址。</w:t>
            </w:r>
          </w:p>
          <w:p>
            <w:pPr>
              <w:pStyle w:val="21"/>
              <w:rPr>
                <w:rFonts w:hint="default" w:ascii="Times New Roman" w:hAnsi="Times New Roman" w:eastAsia="宋体" w:cs="Times New Roman"/>
                <w:color w:val="000000"/>
                <w:sz w:val="24"/>
                <w:szCs w:val="24"/>
              </w:rPr>
            </w:pPr>
            <w:r>
              <w:rPr>
                <w:rFonts w:hint="default" w:ascii="Times New Roman" w:hAnsi="Times New Roman" w:eastAsia="宋体" w:cs="Times New Roman"/>
                <w:b/>
                <w:sz w:val="24"/>
                <w:szCs w:val="24"/>
              </w:rPr>
              <w:t>邮寄地址：</w:t>
            </w:r>
            <w:r>
              <w:rPr>
                <w:rFonts w:hint="default" w:ascii="Times New Roman" w:hAnsi="Times New Roman" w:eastAsia="宋体" w:cs="Times New Roman"/>
                <w:color w:val="000000"/>
                <w:sz w:val="24"/>
                <w:szCs w:val="24"/>
              </w:rPr>
              <w:t>山东省济南市高新区华奥路777号</w:t>
            </w:r>
          </w:p>
          <w:p>
            <w:pPr>
              <w:pStyle w:val="21"/>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联系人及联系方式：</w:t>
            </w:r>
            <w:r>
              <w:rPr>
                <w:rFonts w:hint="default" w:ascii="Times New Roman" w:hAnsi="Times New Roman" w:eastAsia="宋体" w:cs="Times New Roman"/>
                <w:color w:val="000000"/>
                <w:sz w:val="24"/>
                <w:szCs w:val="24"/>
                <w:highlight w:val="yellow"/>
              </w:rPr>
              <w:t>林保良/13668829221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b/>
                <w:bCs/>
                <w:sz w:val="24"/>
              </w:rPr>
              <w:t>纸质版投标文件和电子版投标文件必须保证内容一致；如确实存在不一致的，以</w:t>
            </w:r>
            <w:r>
              <w:rPr>
                <w:rFonts w:hint="eastAsia" w:ascii="Times New Roman" w:hAnsi="Times New Roman" w:eastAsia="宋体" w:cs="Times New Roman"/>
                <w:b/>
                <w:bCs/>
                <w:sz w:val="24"/>
                <w:lang w:val="en-US" w:eastAsia="zh-CN"/>
              </w:rPr>
              <w:t>上传至重汽e采通盖章扫描版</w:t>
            </w:r>
            <w:r>
              <w:rPr>
                <w:rFonts w:hint="default" w:ascii="Times New Roman" w:hAnsi="Times New Roman" w:eastAsia="宋体" w:cs="Times New Roman"/>
                <w:b/>
                <w:bCs/>
                <w:sz w:val="24"/>
              </w:rPr>
              <w:t>电子标书为准，同时要求投标方对纸版标书做出修正。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spacing w:before="0" w:after="0" w:afterLines="0" w:line="240" w:lineRule="auto"/>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投标文件的装订：</w:t>
            </w:r>
            <w:r>
              <w:rPr>
                <w:rFonts w:hint="default" w:ascii="Times New Roman" w:hAnsi="Times New Roman" w:eastAsia="宋体" w:cs="Times New Roman"/>
                <w:sz w:val="24"/>
                <w:szCs w:val="24"/>
              </w:rPr>
              <w:t>投标人必须将投标文件按照资质标文件1册、技术标文件1册、商务标文件1册</w:t>
            </w:r>
            <w:r>
              <w:rPr>
                <w:rFonts w:hint="default" w:ascii="Times New Roman" w:hAnsi="Times New Roman" w:eastAsia="宋体" w:cs="Times New Roman"/>
                <w:b/>
                <w:bCs/>
                <w:sz w:val="24"/>
                <w:szCs w:val="24"/>
              </w:rPr>
              <w:t>分别进行</w:t>
            </w:r>
            <w:r>
              <w:rPr>
                <w:rFonts w:hint="default" w:ascii="Times New Roman" w:hAnsi="Times New Roman" w:eastAsia="宋体" w:cs="Times New Roman"/>
                <w:bCs/>
                <w:sz w:val="24"/>
                <w:szCs w:val="24"/>
              </w:rPr>
              <w:t>胶装</w:t>
            </w:r>
            <w:r>
              <w:rPr>
                <w:rFonts w:hint="default" w:ascii="Times New Roman" w:hAnsi="Times New Roman" w:eastAsia="宋体" w:cs="Times New Roman"/>
                <w:sz w:val="24"/>
                <w:szCs w:val="24"/>
              </w:rPr>
              <w:t>，各自不允许超过两册。</w:t>
            </w:r>
          </w:p>
          <w:p>
            <w:pPr>
              <w:pStyle w:val="21"/>
              <w:rPr>
                <w:rFonts w:hint="default" w:ascii="Times New Roman" w:hAnsi="Times New Roman" w:eastAsia="宋体" w:cs="Times New Roman"/>
                <w:b/>
                <w:sz w:val="24"/>
                <w:szCs w:val="24"/>
              </w:rPr>
            </w:pPr>
            <w:r>
              <w:rPr>
                <w:rFonts w:hint="default" w:ascii="Times New Roman" w:hAnsi="Times New Roman" w:eastAsia="宋体" w:cs="Times New Roman"/>
                <w:b/>
                <w:bCs/>
                <w:sz w:val="24"/>
                <w:szCs w:val="24"/>
              </w:rPr>
              <w:t>技术标书和商务标书不单独装订的，投标文件做无效标处理。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int="default" w:ascii="Times New Roman" w:hAnsi="Times New Roman" w:eastAsia="宋体" w:cs="Times New Roman"/>
                <w:sz w:val="24"/>
                <w:szCs w:val="24"/>
                <w:highlight w:val="yellow"/>
              </w:rPr>
            </w:pPr>
            <w:r>
              <w:rPr>
                <w:rFonts w:hint="default" w:ascii="Times New Roman" w:hAnsi="Times New Roman" w:eastAsia="宋体" w:cs="Times New Roman"/>
                <w:b/>
                <w:bCs/>
                <w:sz w:val="24"/>
                <w:szCs w:val="24"/>
              </w:rPr>
              <w:t>投标文件递交截止时间：</w:t>
            </w:r>
            <w:r>
              <w:rPr>
                <w:rFonts w:hint="default" w:ascii="Times New Roman" w:hAnsi="Times New Roman" w:eastAsia="宋体" w:cs="Times New Roman"/>
                <w:sz w:val="24"/>
                <w:szCs w:val="24"/>
                <w:highlight w:val="yellow"/>
                <w:u w:val="single"/>
              </w:rPr>
              <w:t>2024年</w:t>
            </w:r>
            <w:r>
              <w:rPr>
                <w:rFonts w:hint="eastAsia" w:ascii="Times New Roman" w:hAnsi="Times New Roman" w:eastAsia="宋体" w:cs="Times New Roman"/>
                <w:sz w:val="24"/>
                <w:szCs w:val="24"/>
                <w:highlight w:val="yellow"/>
                <w:u w:val="single"/>
                <w:lang w:val="en-US" w:eastAsia="zh-CN"/>
              </w:rPr>
              <w:t>8</w:t>
            </w:r>
            <w:r>
              <w:rPr>
                <w:rFonts w:hint="default" w:ascii="Times New Roman" w:hAnsi="Times New Roman" w:eastAsia="宋体" w:cs="Times New Roman"/>
                <w:sz w:val="24"/>
                <w:szCs w:val="24"/>
                <w:highlight w:val="yellow"/>
                <w:u w:val="single"/>
              </w:rPr>
              <w:t>月</w:t>
            </w:r>
            <w:r>
              <w:rPr>
                <w:rFonts w:hint="eastAsia" w:ascii="Times New Roman" w:hAnsi="Times New Roman" w:eastAsia="宋体" w:cs="Times New Roman"/>
                <w:sz w:val="24"/>
                <w:szCs w:val="24"/>
                <w:highlight w:val="yellow"/>
                <w:u w:val="single"/>
                <w:lang w:val="en-US" w:eastAsia="zh-CN"/>
              </w:rPr>
              <w:t>6</w:t>
            </w:r>
            <w:r>
              <w:rPr>
                <w:rFonts w:hint="default" w:ascii="Times New Roman" w:hAnsi="Times New Roman" w:eastAsia="宋体" w:cs="Times New Roman"/>
                <w:sz w:val="24"/>
                <w:szCs w:val="24"/>
                <w:highlight w:val="yellow"/>
              </w:rPr>
              <w:t>日</w:t>
            </w:r>
            <w:r>
              <w:rPr>
                <w:rFonts w:hint="default" w:ascii="Times New Roman" w:hAnsi="Times New Roman" w:eastAsia="宋体" w:cs="Times New Roman"/>
                <w:kern w:val="0"/>
                <w:sz w:val="24"/>
                <w:szCs w:val="24"/>
                <w:highlight w:val="yellow"/>
              </w:rPr>
              <w:t>上午9</w:t>
            </w:r>
            <w:r>
              <w:rPr>
                <w:rFonts w:hint="default" w:ascii="Times New Roman" w:hAnsi="Times New Roman" w:eastAsia="宋体" w:cs="Times New Roman"/>
                <w:sz w:val="24"/>
                <w:szCs w:val="24"/>
                <w:highlight w:val="yellow"/>
              </w:rPr>
              <w:t>:00:00（北京时间）</w:t>
            </w:r>
          </w:p>
          <w:p>
            <w:pPr>
              <w:pStyle w:val="21"/>
              <w:ind w:firstLine="482" w:firstLineChars="200"/>
              <w:rPr>
                <w:rFonts w:hint="default" w:ascii="Times New Roman" w:hAnsi="Times New Roman" w:eastAsia="宋体" w:cs="Times New Roman"/>
                <w:sz w:val="24"/>
                <w:szCs w:val="24"/>
                <w:highlight w:val="yellow"/>
              </w:rPr>
            </w:pPr>
            <w:r>
              <w:rPr>
                <w:rFonts w:hint="default" w:ascii="Times New Roman" w:hAnsi="Times New Roman" w:eastAsia="宋体" w:cs="Times New Roman"/>
                <w:b/>
                <w:bCs/>
                <w:sz w:val="24"/>
                <w:szCs w:val="24"/>
              </w:rPr>
              <w:t>注：请务必在投标文件递交截止时间前完成投标操作，截止时间精确到秒，逾期将无法投标。请自行掌握时间安排，避免无法投标。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投标文件有效期：</w:t>
            </w:r>
            <w:r>
              <w:rPr>
                <w:rFonts w:hint="default" w:ascii="Times New Roman" w:hAnsi="Times New Roman" w:eastAsia="宋体" w:cs="Times New Roman"/>
                <w:sz w:val="24"/>
                <w:szCs w:val="24"/>
              </w:rPr>
              <w:t>自开标之日起90个日历日。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投标保证金的缴纳形式：</w:t>
            </w:r>
            <w:r>
              <w:rPr>
                <w:rFonts w:hint="default" w:ascii="Times New Roman" w:hAnsi="Times New Roman" w:eastAsia="宋体" w:cs="Times New Roman"/>
                <w:sz w:val="24"/>
                <w:szCs w:val="24"/>
              </w:rPr>
              <w:t>电汇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2"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highlight w:val="cyan"/>
              </w:rPr>
            </w:pPr>
            <w:r>
              <w:rPr>
                <w:rFonts w:hint="default" w:ascii="Times New Roman" w:hAnsi="Times New Roman" w:eastAsia="宋体" w:cs="Times New Roman"/>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0"/>
              <w:rPr>
                <w:rFonts w:hint="default" w:ascii="Times New Roman" w:hAnsi="Times New Roman" w:cs="Times New Roman"/>
                <w:sz w:val="24"/>
                <w:szCs w:val="24"/>
                <w:highlight w:val="yellow"/>
                <w:u w:val="single"/>
              </w:rPr>
            </w:pPr>
            <w:r>
              <w:rPr>
                <w:rFonts w:hint="default" w:ascii="Times New Roman" w:hAnsi="Times New Roman" w:cs="Times New Roman"/>
                <w:sz w:val="24"/>
                <w:szCs w:val="24"/>
              </w:rPr>
              <w:t>投标单位缴纳投标保证金信息：</w:t>
            </w:r>
          </w:p>
          <w:p>
            <w:pPr>
              <w:pStyle w:val="39"/>
              <w:spacing w:after="0" w:line="240" w:lineRule="auto"/>
              <w:ind w:left="0" w:leftChars="0" w:firstLine="480"/>
              <w:rPr>
                <w:rFonts w:hint="default" w:ascii="Times New Roman" w:hAnsi="Times New Roman" w:cs="Times New Roman"/>
                <w:color w:val="FF0000"/>
                <w:sz w:val="24"/>
                <w:szCs w:val="24"/>
              </w:rPr>
            </w:pPr>
            <w:r>
              <w:rPr>
                <w:rFonts w:hint="default" w:ascii="Times New Roman" w:hAnsi="Times New Roman" w:cs="Times New Roman"/>
                <w:color w:val="FF0000"/>
                <w:sz w:val="24"/>
                <w:szCs w:val="24"/>
              </w:rPr>
              <w:t>投标保证金的金额：人民币</w:t>
            </w:r>
            <w:r>
              <w:rPr>
                <w:rFonts w:hint="eastAsia" w:ascii="Times New Roman" w:hAnsi="Times New Roman" w:cs="Times New Roman"/>
                <w:color w:val="FF0000"/>
                <w:sz w:val="24"/>
                <w:szCs w:val="24"/>
                <w:lang w:val="en-US" w:eastAsia="zh-CN"/>
              </w:rPr>
              <w:t>5</w:t>
            </w:r>
            <w:r>
              <w:rPr>
                <w:rFonts w:hint="default" w:ascii="Times New Roman" w:hAnsi="Times New Roman" w:cs="Times New Roman"/>
                <w:color w:val="FF0000"/>
                <w:sz w:val="24"/>
                <w:szCs w:val="24"/>
              </w:rPr>
              <w:t>0000元</w:t>
            </w:r>
          </w:p>
          <w:p>
            <w:pPr>
              <w:pStyle w:val="39"/>
              <w:spacing w:after="0" w:line="240" w:lineRule="auto"/>
              <w:ind w:left="0" w:leftChars="0" w:firstLine="480"/>
              <w:rPr>
                <w:rFonts w:hint="default" w:ascii="Times New Roman" w:hAnsi="Times New Roman" w:cs="Times New Roman"/>
                <w:color w:val="FF0000"/>
                <w:sz w:val="24"/>
                <w:szCs w:val="24"/>
              </w:rPr>
            </w:pPr>
            <w:r>
              <w:rPr>
                <w:rFonts w:hint="default" w:ascii="Times New Roman" w:hAnsi="Times New Roman" w:cs="Times New Roman"/>
                <w:color w:val="FF0000"/>
                <w:sz w:val="24"/>
                <w:szCs w:val="24"/>
              </w:rPr>
              <w:t>开户名称：中国重汽集团济南动力有限公司</w:t>
            </w:r>
          </w:p>
          <w:p>
            <w:pPr>
              <w:pStyle w:val="39"/>
              <w:spacing w:after="0" w:line="240" w:lineRule="auto"/>
              <w:ind w:left="0" w:leftChars="0" w:firstLine="480"/>
              <w:rPr>
                <w:rFonts w:hint="default" w:ascii="Times New Roman" w:hAnsi="Times New Roman" w:cs="Times New Roman"/>
                <w:color w:val="FF0000"/>
                <w:sz w:val="24"/>
                <w:szCs w:val="24"/>
              </w:rPr>
            </w:pPr>
            <w:r>
              <w:rPr>
                <w:rFonts w:hint="default" w:ascii="Times New Roman" w:hAnsi="Times New Roman" w:cs="Times New Roman"/>
                <w:color w:val="FF0000"/>
                <w:sz w:val="24"/>
                <w:szCs w:val="24"/>
              </w:rPr>
              <w:t>开户银行：中国建设银行济南市天桥区支行</w:t>
            </w:r>
          </w:p>
          <w:p>
            <w:pPr>
              <w:pStyle w:val="39"/>
              <w:spacing w:after="0" w:line="240" w:lineRule="auto"/>
              <w:ind w:left="0" w:leftChars="0" w:firstLine="480"/>
              <w:rPr>
                <w:rFonts w:hint="default" w:ascii="Times New Roman" w:hAnsi="Times New Roman" w:cs="Times New Roman"/>
                <w:color w:val="FF0000"/>
                <w:sz w:val="24"/>
                <w:szCs w:val="24"/>
              </w:rPr>
            </w:pPr>
            <w:r>
              <w:rPr>
                <w:rFonts w:hint="default" w:ascii="Times New Roman" w:hAnsi="Times New Roman" w:cs="Times New Roman"/>
                <w:color w:val="FF0000"/>
                <w:sz w:val="24"/>
                <w:szCs w:val="24"/>
              </w:rPr>
              <w:t>银行帐号：37001616508050150300</w:t>
            </w:r>
          </w:p>
          <w:p>
            <w:pPr>
              <w:pStyle w:val="39"/>
              <w:spacing w:after="0" w:line="240" w:lineRule="auto"/>
              <w:ind w:left="0" w:leftChars="0" w:firstLine="480"/>
              <w:rPr>
                <w:rFonts w:hint="default" w:ascii="Times New Roman" w:hAnsi="Times New Roman" w:cs="Times New Roman"/>
                <w:color w:val="FF0000"/>
                <w:sz w:val="24"/>
                <w:szCs w:val="24"/>
              </w:rPr>
            </w:pPr>
            <w:r>
              <w:rPr>
                <w:rFonts w:hint="default" w:ascii="Times New Roman" w:hAnsi="Times New Roman" w:cs="Times New Roman"/>
                <w:color w:val="FF0000"/>
                <w:sz w:val="24"/>
                <w:szCs w:val="24"/>
              </w:rPr>
              <w:t>联行号：105451000362</w:t>
            </w:r>
          </w:p>
          <w:p>
            <w:pPr>
              <w:pStyle w:val="39"/>
              <w:spacing w:after="0" w:line="240" w:lineRule="auto"/>
              <w:ind w:left="0" w:leftChars="0" w:firstLine="480"/>
              <w:rPr>
                <w:rFonts w:hint="default" w:ascii="Times New Roman" w:hAnsi="Times New Roman" w:cs="Times New Roman"/>
                <w:sz w:val="24"/>
                <w:szCs w:val="24"/>
              </w:rPr>
            </w:pPr>
            <w:r>
              <w:rPr>
                <w:rFonts w:hint="default" w:ascii="Times New Roman" w:hAnsi="Times New Roman" w:cs="Times New Roman"/>
                <w:sz w:val="24"/>
                <w:szCs w:val="24"/>
              </w:rPr>
              <w:t>投标保证金应从投标人基本账户转出至上述账户并到账，否则视为无效投标。</w:t>
            </w:r>
          </w:p>
          <w:p>
            <w:pPr>
              <w:pStyle w:val="39"/>
              <w:spacing w:after="0" w:line="240" w:lineRule="auto"/>
              <w:ind w:left="0" w:leftChars="0" w:firstLine="480"/>
              <w:rPr>
                <w:rFonts w:hint="default" w:ascii="Times New Roman" w:hAnsi="Times New Roman" w:cs="Times New Roman"/>
                <w:sz w:val="24"/>
                <w:szCs w:val="24"/>
              </w:rPr>
            </w:pPr>
            <w:r>
              <w:rPr>
                <w:rFonts w:hint="default" w:ascii="Times New Roman" w:hAnsi="Times New Roman" w:cs="Times New Roman"/>
                <w:sz w:val="24"/>
                <w:szCs w:val="24"/>
              </w:rPr>
              <w:t>若有其他特殊情况，请提前与招标人沟通，做好转账信息备注工作。</w:t>
            </w:r>
          </w:p>
          <w:p>
            <w:pPr>
              <w:pStyle w:val="39"/>
              <w:spacing w:after="0" w:line="240" w:lineRule="auto"/>
              <w:ind w:left="0" w:leftChars="0" w:firstLine="482"/>
              <w:rPr>
                <w:rFonts w:hint="default" w:ascii="Times New Roman" w:hAnsi="Times New Roman" w:cs="Times New Roman"/>
                <w:sz w:val="24"/>
                <w:szCs w:val="24"/>
              </w:rPr>
            </w:pPr>
            <w:r>
              <w:rPr>
                <w:rFonts w:hint="default" w:ascii="Times New Roman" w:hAnsi="Times New Roman" w:cs="Times New Roman"/>
                <w:b/>
                <w:bCs/>
                <w:sz w:val="24"/>
                <w:szCs w:val="24"/>
              </w:rPr>
              <w:t>转账附言：</w:t>
            </w:r>
            <w:r>
              <w:rPr>
                <w:rFonts w:hint="default" w:ascii="Times New Roman" w:hAnsi="Times New Roman" w:cs="Times New Roman"/>
                <w:sz w:val="24"/>
                <w:szCs w:val="24"/>
              </w:rPr>
              <w:t>公司名称+项目名称+投标保证金（方便后期核对退款）。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2"/>
              <w:rPr>
                <w:rFonts w:hint="default" w:ascii="Times New Roman" w:hAnsi="Times New Roman" w:cs="Times New Roman"/>
                <w:sz w:val="24"/>
                <w:szCs w:val="24"/>
              </w:rPr>
            </w:pPr>
            <w:r>
              <w:rPr>
                <w:rFonts w:hint="default" w:ascii="Times New Roman" w:hAnsi="Times New Roman" w:cs="Times New Roman"/>
                <w:b/>
                <w:bCs/>
                <w:sz w:val="24"/>
                <w:szCs w:val="24"/>
              </w:rPr>
              <w:t>保证金缴纳截止时间：</w:t>
            </w:r>
            <w:r>
              <w:rPr>
                <w:rFonts w:hint="default" w:ascii="Times New Roman" w:hAnsi="Times New Roman" w:cs="Times New Roman"/>
                <w:sz w:val="24"/>
                <w:szCs w:val="24"/>
                <w:highlight w:val="yellow"/>
              </w:rPr>
              <w:t>2024年</w:t>
            </w:r>
            <w:r>
              <w:rPr>
                <w:rFonts w:hint="eastAsia" w:ascii="Times New Roman" w:hAnsi="Times New Roman" w:cs="Times New Roman"/>
                <w:sz w:val="24"/>
                <w:szCs w:val="24"/>
                <w:highlight w:val="yellow"/>
                <w:lang w:val="en-US" w:eastAsia="zh-CN"/>
              </w:rPr>
              <w:t>8</w:t>
            </w:r>
            <w:r>
              <w:rPr>
                <w:rFonts w:hint="default" w:ascii="Times New Roman" w:hAnsi="Times New Roman" w:cs="Times New Roman"/>
                <w:sz w:val="24"/>
                <w:szCs w:val="24"/>
                <w:highlight w:val="yellow"/>
              </w:rPr>
              <w:t>月</w:t>
            </w:r>
            <w:bookmarkStart w:id="143" w:name="_GoBack"/>
            <w:bookmarkEnd w:id="143"/>
            <w:r>
              <w:rPr>
                <w:rFonts w:hint="eastAsia" w:ascii="Times New Roman" w:hAnsi="Times New Roman" w:cs="Times New Roman"/>
                <w:sz w:val="24"/>
                <w:szCs w:val="24"/>
                <w:highlight w:val="yellow"/>
                <w:u w:val="single"/>
                <w:lang w:val="en-US" w:eastAsia="zh-CN"/>
              </w:rPr>
              <w:t>5</w:t>
            </w:r>
            <w:r>
              <w:rPr>
                <w:rFonts w:hint="default" w:ascii="Times New Roman" w:hAnsi="Times New Roman" w:cs="Times New Roman"/>
                <w:sz w:val="24"/>
                <w:szCs w:val="24"/>
                <w:highlight w:val="yellow"/>
              </w:rPr>
              <w:t>日17</w:t>
            </w:r>
            <w:r>
              <w:rPr>
                <w:rFonts w:hint="default" w:ascii="Times New Roman" w:hAnsi="Times New Roman" w:eastAsia="宋体" w:cs="Times New Roman"/>
                <w:bCs/>
                <w:sz w:val="24"/>
                <w:szCs w:val="24"/>
                <w:highlight w:val="yellow"/>
              </w:rPr>
              <w:t>:00:00</w:t>
            </w:r>
            <w:r>
              <w:rPr>
                <w:rFonts w:hint="default" w:ascii="Times New Roman" w:hAnsi="Times New Roman" w:cs="Times New Roman"/>
                <w:sz w:val="24"/>
                <w:szCs w:val="24"/>
              </w:rPr>
              <w:t>前（同应标截止时间）</w:t>
            </w:r>
          </w:p>
          <w:p>
            <w:pPr>
              <w:pStyle w:val="39"/>
              <w:spacing w:after="0" w:line="240" w:lineRule="auto"/>
              <w:ind w:left="0" w:leftChars="0" w:firstLine="480"/>
              <w:rPr>
                <w:rFonts w:hint="default" w:ascii="Times New Roman" w:hAnsi="Times New Roman" w:cs="Times New Roman"/>
                <w:sz w:val="24"/>
                <w:szCs w:val="24"/>
              </w:rPr>
            </w:pPr>
            <w:r>
              <w:rPr>
                <w:rFonts w:hint="default" w:ascii="Times New Roman" w:hAnsi="Times New Roman" w:cs="Times New Roman"/>
                <w:sz w:val="24"/>
                <w:szCs w:val="24"/>
              </w:rPr>
              <w:t>投标人应充分考虑银行信息交换时间，由此带来的保证金不能按时到帐的责任由投标人自行承担。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9"/>
              <w:spacing w:after="0" w:line="240" w:lineRule="auto"/>
              <w:ind w:left="0" w:leftChars="0" w:firstLine="480"/>
              <w:rPr>
                <w:rFonts w:hint="default" w:ascii="Times New Roman" w:hAnsi="Times New Roman" w:cs="Times New Roman"/>
                <w:sz w:val="24"/>
                <w:szCs w:val="24"/>
              </w:rPr>
            </w:pPr>
            <w:r>
              <w:rPr>
                <w:rFonts w:hint="default" w:ascii="Times New Roman" w:hAnsi="Times New Roman" w:cs="Times New Roman"/>
                <w:sz w:val="24"/>
                <w:szCs w:val="24"/>
              </w:rPr>
              <w:t>对于未中标的投标人，投标保证金将于招标人内部完成中标人评审并确认最终中标人后在30个工作日内予以原路返还（无息）；对于中标方，投标保证金将在签订合同后30个工作日内原路返还（无息）。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开标时间：</w:t>
            </w:r>
            <w:r>
              <w:rPr>
                <w:rFonts w:hint="default" w:ascii="Times New Roman" w:hAnsi="Times New Roman" w:eastAsia="宋体" w:cs="Times New Roman"/>
                <w:kern w:val="0"/>
                <w:sz w:val="24"/>
                <w:szCs w:val="24"/>
              </w:rPr>
              <w:t>同投标文件递交截止时间。</w:t>
            </w:r>
          </w:p>
          <w:p>
            <w:pPr>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开标地点：</w:t>
            </w:r>
            <w:r>
              <w:rPr>
                <w:rFonts w:hint="default" w:ascii="Times New Roman" w:hAnsi="Times New Roman" w:eastAsia="宋体" w:cs="Times New Roman"/>
                <w:sz w:val="24"/>
                <w:szCs w:val="24"/>
              </w:rPr>
              <w:t>济南市高新区华奥路777号重汽科技大厦1311会议室。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评标方法：资质标审核→公开唱标→技术标评审→商务标评审。技术标入围后，原则上选取</w:t>
            </w:r>
            <w:r>
              <w:rPr>
                <w:rFonts w:hint="default" w:ascii="Times New Roman" w:hAnsi="Times New Roman" w:eastAsia="宋体" w:cs="Times New Roman"/>
                <w:b/>
                <w:bCs/>
                <w:color w:val="000000"/>
                <w:sz w:val="24"/>
                <w:szCs w:val="24"/>
              </w:rPr>
              <w:t>合理最低价中标</w:t>
            </w:r>
            <w:r>
              <w:rPr>
                <w:rFonts w:hint="default" w:ascii="Times New Roman" w:hAnsi="Times New Roman" w:eastAsia="宋体" w:cs="Times New Roman"/>
                <w:sz w:val="24"/>
                <w:szCs w:val="24"/>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见第二部分投标须知第七条。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交货期：</w:t>
            </w:r>
          </w:p>
          <w:p>
            <w:pPr>
              <w:pStyle w:val="21"/>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1.自合同签定生效之日起，</w:t>
            </w:r>
            <w:r>
              <w:rPr>
                <w:rFonts w:hint="eastAsia" w:ascii="Times New Roman" w:hAnsi="Times New Roman" w:eastAsia="宋体" w:cs="Times New Roman"/>
                <w:color w:val="000000"/>
                <w:sz w:val="24"/>
                <w:szCs w:val="24"/>
                <w:lang w:val="en-US" w:eastAsia="zh-CN"/>
              </w:rPr>
              <w:t>120</w:t>
            </w:r>
            <w:r>
              <w:rPr>
                <w:rFonts w:hint="default" w:ascii="Times New Roman" w:hAnsi="Times New Roman" w:eastAsia="宋体" w:cs="Times New Roman"/>
                <w:color w:val="000000"/>
                <w:sz w:val="24"/>
                <w:szCs w:val="24"/>
              </w:rPr>
              <w:t>个日历日之内交货至供货地点。</w:t>
            </w:r>
          </w:p>
          <w:p>
            <w:pPr>
              <w:pStyle w:val="21"/>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2.接续</w:t>
            </w:r>
            <w:r>
              <w:rPr>
                <w:rFonts w:hint="eastAsia" w:ascii="Times New Roman" w:hAnsi="Times New Roman" w:eastAsia="宋体" w:cs="Times New Roman"/>
                <w:color w:val="000000"/>
                <w:sz w:val="24"/>
                <w:szCs w:val="24"/>
                <w:lang w:val="en-US" w:eastAsia="zh-CN"/>
              </w:rPr>
              <w:t>15</w:t>
            </w:r>
            <w:r>
              <w:rPr>
                <w:rFonts w:hint="default" w:ascii="Times New Roman" w:hAnsi="Times New Roman" w:eastAsia="宋体" w:cs="Times New Roman"/>
                <w:color w:val="000000"/>
                <w:sz w:val="24"/>
                <w:szCs w:val="24"/>
              </w:rPr>
              <w:t>个日历日之内安装调试完毕。</w:t>
            </w:r>
          </w:p>
          <w:p>
            <w:pPr>
              <w:pStyle w:val="21"/>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3.接续</w:t>
            </w:r>
            <w:r>
              <w:rPr>
                <w:rFonts w:hint="eastAsia" w:ascii="Times New Roman" w:hAnsi="Times New Roman" w:eastAsia="宋体" w:cs="Times New Roman"/>
                <w:color w:val="000000"/>
                <w:sz w:val="24"/>
                <w:szCs w:val="24"/>
                <w:lang w:val="en-US" w:eastAsia="zh-CN"/>
              </w:rPr>
              <w:t>35</w:t>
            </w:r>
            <w:r>
              <w:rPr>
                <w:rFonts w:hint="default" w:ascii="Times New Roman" w:hAnsi="Times New Roman" w:eastAsia="宋体" w:cs="Times New Roman"/>
                <w:color w:val="000000"/>
                <w:sz w:val="24"/>
                <w:szCs w:val="24"/>
              </w:rPr>
              <w:t>个日历日之内完成终验收。</w:t>
            </w:r>
          </w:p>
          <w:p>
            <w:pPr>
              <w:pStyle w:val="21"/>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21"/>
              <w:ind w:firstLine="482" w:firstLineChars="200"/>
              <w:rPr>
                <w:rFonts w:hint="default" w:ascii="Times New Roman" w:hAnsi="Times New Roman" w:eastAsia="宋体" w:cs="Times New Roman"/>
                <w:color w:val="000000"/>
                <w:sz w:val="24"/>
                <w:szCs w:val="24"/>
                <w:u w:val="single"/>
                <w:lang w:val="en-US" w:eastAsia="zh-CN"/>
              </w:rPr>
            </w:pPr>
            <w:r>
              <w:rPr>
                <w:rFonts w:hint="default" w:ascii="Times New Roman" w:hAnsi="Times New Roman" w:eastAsia="宋体" w:cs="Times New Roman"/>
                <w:b/>
                <w:bCs/>
                <w:color w:val="000000"/>
                <w:sz w:val="24"/>
                <w:szCs w:val="24"/>
              </w:rPr>
              <w:t>交货地点：</w:t>
            </w:r>
            <w:r>
              <w:rPr>
                <w:rFonts w:hint="default" w:ascii="Times New Roman" w:hAnsi="Times New Roman" w:eastAsia="宋体" w:cs="Times New Roman"/>
                <w:color w:val="000000"/>
                <w:sz w:val="24"/>
                <w:szCs w:val="24"/>
              </w:rPr>
              <w:t>山东省济南市高新区华奥路777号</w:t>
            </w:r>
          </w:p>
          <w:p>
            <w:pPr>
              <w:pStyle w:val="21"/>
              <w:ind w:firstLine="482"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交货方式：</w:t>
            </w:r>
            <w:r>
              <w:rPr>
                <w:rFonts w:hint="default" w:ascii="Times New Roman" w:hAnsi="Times New Roman" w:eastAsia="宋体" w:cs="Times New Roman"/>
                <w:color w:val="000000"/>
                <w:sz w:val="24"/>
                <w:szCs w:val="24"/>
              </w:rPr>
              <w:t>交钥匙方式。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5"/>
              <w:ind w:firstLine="482" w:firstLineChars="200"/>
              <w:rPr>
                <w:rFonts w:hint="default" w:ascii="Times New Roman" w:hAnsi="Times New Roman" w:eastAsia="宋体" w:cs="Times New Roman"/>
                <w:sz w:val="24"/>
                <w:szCs w:val="24"/>
              </w:rPr>
            </w:pPr>
            <w:r>
              <w:rPr>
                <w:rFonts w:hint="default" w:ascii="Times New Roman" w:hAnsi="Times New Roman" w:eastAsia="宋体" w:cs="Times New Roman"/>
                <w:b/>
                <w:sz w:val="24"/>
                <w:szCs w:val="24"/>
              </w:rPr>
              <w:t>质保期：自设备终验收文件最终签署之日起</w:t>
            </w:r>
            <w:r>
              <w:rPr>
                <w:rFonts w:hint="default" w:ascii="Times New Roman" w:hAnsi="Times New Roman" w:eastAsia="宋体" w:cs="Times New Roman"/>
                <w:b/>
                <w:sz w:val="24"/>
                <w:szCs w:val="24"/>
                <w:u w:val="single"/>
              </w:rPr>
              <w:t>1</w:t>
            </w:r>
            <w:r>
              <w:rPr>
                <w:rFonts w:hint="default" w:ascii="Times New Roman" w:hAnsi="Times New Roman" w:eastAsia="宋体" w:cs="Times New Roman"/>
                <w:b/>
                <w:sz w:val="24"/>
                <w:szCs w:val="24"/>
              </w:rPr>
              <w:t>年。</w:t>
            </w:r>
            <w:r>
              <w:rPr>
                <w:rFonts w:hint="default" w:ascii="Times New Roman" w:hAnsi="Times New Roman" w:eastAsia="宋体" w:cs="Times New Roman"/>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9"/>
              <w:spacing w:after="0" w:line="240" w:lineRule="auto"/>
              <w:ind w:firstLine="482"/>
              <w:rPr>
                <w:rFonts w:hint="default" w:ascii="Times New Roman" w:hAnsi="Times New Roman" w:cs="Times New Roman"/>
                <w:sz w:val="24"/>
                <w:szCs w:val="24"/>
              </w:rPr>
            </w:pPr>
            <w:r>
              <w:rPr>
                <w:rFonts w:hint="default" w:ascii="Times New Roman" w:hAnsi="Times New Roman" w:cs="Times New Roman"/>
                <w:b/>
                <w:bCs/>
                <w:sz w:val="24"/>
                <w:szCs w:val="24"/>
                <w:u w:val="single"/>
              </w:rPr>
              <w:t>付款方式：半年期商业汇票（包括银行承兑汇票和商业承兑汇票）</w:t>
            </w:r>
          </w:p>
          <w:p>
            <w:pPr>
              <w:pStyle w:val="39"/>
              <w:numPr>
                <w:ilvl w:val="0"/>
                <w:numId w:val="2"/>
              </w:numPr>
              <w:adjustRightInd w:val="0"/>
              <w:spacing w:after="0" w:line="240" w:lineRule="auto"/>
              <w:ind w:left="0" w:leftChars="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合同生效后,设备全部到齐无质量问题，经安装、调试最终验收合格后，卖方提交金额为合同含税价款</w:t>
            </w:r>
            <w:r>
              <w:rPr>
                <w:rFonts w:hint="eastAsia" w:ascii="Times New Roman" w:hAnsi="Times New Roman" w:cs="Times New Roman"/>
                <w:sz w:val="24"/>
                <w:szCs w:val="24"/>
                <w:lang w:val="en-US" w:eastAsia="zh-CN"/>
              </w:rPr>
              <w:t>90</w:t>
            </w:r>
            <w:r>
              <w:rPr>
                <w:rFonts w:hint="default" w:ascii="Times New Roman" w:hAnsi="Times New Roman" w:eastAsia="宋体" w:cs="Times New Roman"/>
                <w:sz w:val="24"/>
                <w:szCs w:val="24"/>
              </w:rPr>
              <w:t>%的收据及</w:t>
            </w: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0%增值税专用发票（税率为13%，正本一份，复印件二份）并附带该套合同设备最终验收报告的原件及其复印件两份，经买方依照财务制度审核通过后支付：</w:t>
            </w:r>
          </w:p>
          <w:p>
            <w:pPr>
              <w:pStyle w:val="39"/>
              <w:numPr>
                <w:ilvl w:val="0"/>
                <w:numId w:val="2"/>
              </w:numPr>
              <w:adjustRightInd w:val="0"/>
              <w:spacing w:after="0" w:line="240" w:lineRule="auto"/>
              <w:ind w:left="0" w:leftChars="0"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合同含税总价款的10%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支付。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增值税专用发票开票信息：</w:t>
            </w:r>
          </w:p>
          <w:p>
            <w:pPr>
              <w:ind w:firstLine="480" w:firstLineChars="200"/>
              <w:rPr>
                <w:rFonts w:hint="default" w:ascii="Times New Roman" w:hAnsi="Times New Roman" w:cs="Times New Roman"/>
              </w:rPr>
            </w:pPr>
            <w:r>
              <w:rPr>
                <w:rFonts w:hint="default" w:ascii="Times New Roman" w:hAnsi="Times New Roman" w:eastAsia="宋体" w:cs="Times New Roman"/>
                <w:sz w:val="24"/>
                <w:szCs w:val="24"/>
                <w:lang w:bidi="ar"/>
              </w:rPr>
              <w:t>见最终合同签订信息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5"/>
              <w:jc w:val="center"/>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中标人应在合同签订后</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0日内需根据设计</w:t>
            </w:r>
            <w:r>
              <w:rPr>
                <w:rStyle w:val="46"/>
                <w:rFonts w:hint="default" w:ascii="Times New Roman" w:hAnsi="Times New Roman" w:eastAsia="宋体" w:cs="Times New Roman"/>
                <w:sz w:val="24"/>
                <w:szCs w:val="24"/>
              </w:rPr>
              <w:t>提资</w:t>
            </w:r>
            <w:r>
              <w:rPr>
                <w:rFonts w:hint="default" w:ascii="Times New Roman" w:hAnsi="Times New Roman" w:eastAsia="宋体" w:cs="Times New Roman"/>
                <w:sz w:val="24"/>
                <w:szCs w:val="24"/>
              </w:rPr>
              <w:t>要求提供详细的</w:t>
            </w:r>
            <w:r>
              <w:rPr>
                <w:rStyle w:val="46"/>
                <w:rFonts w:hint="default" w:ascii="Times New Roman" w:hAnsi="Times New Roman" w:eastAsia="宋体" w:cs="Times New Roman"/>
                <w:sz w:val="24"/>
                <w:szCs w:val="24"/>
              </w:rPr>
              <w:t>设备</w:t>
            </w:r>
            <w:r>
              <w:rPr>
                <w:rFonts w:hint="default" w:ascii="Times New Roman" w:hAnsi="Times New Roman" w:eastAsia="宋体" w:cs="Times New Roman"/>
                <w:sz w:val="24"/>
                <w:szCs w:val="24"/>
              </w:rPr>
              <w:t>图纸等资料,其中包含</w:t>
            </w:r>
            <w:r>
              <w:rPr>
                <w:rStyle w:val="46"/>
                <w:rFonts w:hint="default" w:ascii="Times New Roman" w:hAnsi="Times New Roman" w:eastAsia="宋体" w:cs="Times New Roman"/>
                <w:sz w:val="24"/>
                <w:szCs w:val="24"/>
              </w:rPr>
              <w:t>设备</w:t>
            </w:r>
            <w:r>
              <w:rPr>
                <w:rFonts w:hint="default" w:ascii="Times New Roman" w:hAnsi="Times New Roman" w:eastAsia="宋体" w:cs="Times New Roman"/>
                <w:sz w:val="24"/>
                <w:szCs w:val="24"/>
              </w:rPr>
              <w:t>的外形尺寸,运维空间</w:t>
            </w:r>
            <w:r>
              <w:rPr>
                <w:rStyle w:val="46"/>
                <w:rFonts w:hint="default" w:ascii="Times New Roman" w:hAnsi="Times New Roman" w:eastAsia="宋体" w:cs="Times New Roman"/>
                <w:sz w:val="24"/>
                <w:szCs w:val="24"/>
              </w:rPr>
              <w:t>,设备</w:t>
            </w:r>
            <w:r>
              <w:rPr>
                <w:rFonts w:hint="default" w:ascii="Times New Roman" w:hAnsi="Times New Roman" w:eastAsia="宋体" w:cs="Times New Roman"/>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hint="default" w:ascii="Times New Roman" w:hAnsi="Times New Roman" w:eastAsia="宋体" w:cs="Times New Roman"/>
                <w:sz w:val="24"/>
                <w:szCs w:val="24"/>
              </w:rPr>
            </w:pPr>
            <w:bookmarkStart w:id="4" w:name="_Toc15609"/>
            <w:r>
              <w:rPr>
                <w:rFonts w:hint="default" w:ascii="Times New Roman" w:hAnsi="Times New Roman" w:eastAsia="宋体" w:cs="Times New Roman"/>
                <w:sz w:val="24"/>
                <w:szCs w:val="24"/>
              </w:rPr>
              <w:t>8.4</w:t>
            </w:r>
          </w:p>
        </w:tc>
        <w:tc>
          <w:tcPr>
            <w:tcW w:w="8363" w:type="dxa"/>
            <w:tcBorders>
              <w:top w:val="single" w:color="auto" w:sz="2" w:space="0"/>
              <w:left w:val="single" w:color="auto" w:sz="4" w:space="0"/>
              <w:bottom w:val="single" w:color="auto" w:sz="2" w:space="0"/>
              <w:right w:val="single" w:color="auto" w:sz="2" w:space="0"/>
            </w:tcBorders>
            <w:vAlign w:val="center"/>
          </w:tcPr>
          <w:p>
            <w:pPr>
              <w:pStyle w:val="15"/>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投标人均到项目现场踏勘以充分了解施工位置、车间情况、道路、施工空间、装卸限制及任何其它足以影响投标报价的情况。任何因忽视或误解工地情况而导致的索赔或工期延长申请将不予批准。施工期间服从、配合招标人厂区生产要求和允许施工时间段，夜间施工、交叉施工、施工降效、施工难度、成品保护等已充分考虑。</w:t>
            </w:r>
          </w:p>
          <w:p>
            <w:pPr>
              <w:pStyle w:val="15"/>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2.中标人自进场施工开始至施工撤场前负责施工范围内的成品保护工作，包括自身自己的成品及车间内的已有设备设施等，如因施工原因造成的损坏，由中标人负责免费进行恢复原状。</w:t>
            </w:r>
          </w:p>
          <w:p>
            <w:pPr>
              <w:pStyle w:val="15"/>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施工期间应服从厂区安全文明管理规定，车辆人员进出管理规定（物流运输必须选用重汽品牌）以及一切厂区管理制度，如人员登记、材料物资进出仓、防疫管理、禁止吸烟、特种作业、动火审批用电审批、登高审批及相关安全环保检查等。施工区域必须保持常态化清洁，施工余料、垃圾每日及时清运。施工人员（登高、动火等）必须持证上岗。</w:t>
            </w:r>
          </w:p>
          <w:p>
            <w:pPr>
              <w:pStyle w:val="15"/>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4.中标人自行负责进场设备材料物资的看护责任，若现场发生的丢失损坏，不得以此向招标人索赔工期和费用。</w:t>
            </w:r>
          </w:p>
          <w:p>
            <w:pPr>
              <w:pStyle w:val="15"/>
              <w:ind w:firstLine="480" w:firstLineChars="200"/>
              <w:rPr>
                <w:rFonts w:hint="default" w:ascii="Times New Roman" w:hAnsi="Times New Roman" w:eastAsia="宋体" w:cs="Times New Roman"/>
                <w:sz w:val="24"/>
                <w:szCs w:val="24"/>
              </w:rPr>
            </w:pPr>
          </w:p>
        </w:tc>
      </w:tr>
      <w:bookmarkEnd w:id="3"/>
    </w:tbl>
    <w:p>
      <w:pPr>
        <w:jc w:val="left"/>
        <w:rPr>
          <w:rFonts w:hint="default" w:ascii="Times New Roman" w:hAnsi="Times New Roman" w:cs="Times New Roman"/>
        </w:rPr>
      </w:pPr>
      <w:r>
        <w:rPr>
          <w:rFonts w:hint="default" w:ascii="Times New Roman" w:hAnsi="Times New Roman" w:cs="Times New Roman"/>
        </w:rPr>
        <w:br w:type="page"/>
      </w:r>
    </w:p>
    <w:p>
      <w:pPr>
        <w:pStyle w:val="21"/>
        <w:jc w:val="center"/>
        <w:outlineLvl w:val="0"/>
        <w:rPr>
          <w:rFonts w:hint="default" w:ascii="Times New Roman" w:hAnsi="Times New Roman" w:eastAsia="宋体" w:cs="Times New Roman"/>
          <w:b/>
          <w:bCs/>
          <w:kern w:val="44"/>
          <w:sz w:val="36"/>
          <w:szCs w:val="44"/>
        </w:rPr>
      </w:pPr>
      <w:bookmarkStart w:id="5" w:name="_Toc3899"/>
      <w:bookmarkStart w:id="6" w:name="_Toc7177"/>
      <w:r>
        <w:rPr>
          <w:rFonts w:hint="default" w:ascii="Times New Roman" w:hAnsi="Times New Roman" w:eastAsia="宋体" w:cs="Times New Roman"/>
          <w:b/>
          <w:bCs/>
          <w:kern w:val="44"/>
          <w:sz w:val="36"/>
          <w:szCs w:val="44"/>
        </w:rPr>
        <w:t>第二部分 投标须知</w:t>
      </w:r>
      <w:bookmarkEnd w:id="4"/>
      <w:bookmarkEnd w:id="5"/>
      <w:bookmarkEnd w:id="6"/>
    </w:p>
    <w:p>
      <w:pPr>
        <w:keepNext/>
        <w:keepLines/>
        <w:spacing w:line="360" w:lineRule="auto"/>
        <w:outlineLvl w:val="1"/>
        <w:rPr>
          <w:rFonts w:hint="default" w:ascii="Times New Roman" w:hAnsi="Times New Roman" w:eastAsia="宋体" w:cs="Times New Roman"/>
          <w:b/>
          <w:bCs/>
          <w:sz w:val="28"/>
          <w:szCs w:val="36"/>
        </w:rPr>
      </w:pPr>
      <w:r>
        <w:rPr>
          <w:rFonts w:hint="default" w:ascii="Times New Roman" w:hAnsi="Times New Roman" w:eastAsia="宋体" w:cs="Times New Roman"/>
          <w:b/>
          <w:bCs/>
          <w:sz w:val="28"/>
          <w:szCs w:val="36"/>
        </w:rPr>
        <w:t>一、项目名称</w:t>
      </w:r>
    </w:p>
    <w:p>
      <w:pPr>
        <w:spacing w:line="360" w:lineRule="auto"/>
        <w:ind w:left="1679" w:leftChars="228" w:hanging="1200" w:hangingChars="5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rPr>
        <w:t>项目名称：</w:t>
      </w:r>
      <w:bookmarkStart w:id="7" w:name="OLE_LINK1"/>
      <w:r>
        <w:rPr>
          <w:rFonts w:hint="default" w:ascii="Times New Roman" w:hAnsi="Times New Roman" w:eastAsia="宋体" w:cs="Times New Roman"/>
          <w:color w:val="000000"/>
          <w:sz w:val="24"/>
          <w:szCs w:val="24"/>
        </w:rPr>
        <w:t>见《投标须知前附表》。</w:t>
      </w:r>
    </w:p>
    <w:bookmarkEnd w:id="7"/>
    <w:p>
      <w:pPr>
        <w:keepNext/>
        <w:keepLines/>
        <w:numPr>
          <w:ilvl w:val="0"/>
          <w:numId w:val="3"/>
        </w:numPr>
        <w:spacing w:line="360" w:lineRule="auto"/>
        <w:outlineLvl w:val="1"/>
        <w:rPr>
          <w:rFonts w:hint="default" w:ascii="Times New Roman" w:hAnsi="Times New Roman" w:eastAsia="宋体" w:cs="Times New Roman"/>
          <w:b/>
          <w:bCs/>
          <w:sz w:val="28"/>
          <w:szCs w:val="36"/>
        </w:rPr>
      </w:pPr>
      <w:r>
        <w:rPr>
          <w:rFonts w:hint="default" w:ascii="Times New Roman" w:hAnsi="Times New Roman" w:eastAsia="宋体" w:cs="Times New Roman"/>
          <w:b/>
          <w:bCs/>
          <w:sz w:val="28"/>
          <w:szCs w:val="36"/>
        </w:rPr>
        <w:t>招标内容及形式</w:t>
      </w:r>
    </w:p>
    <w:p>
      <w:pPr>
        <w:pStyle w:val="21"/>
        <w:spacing w:line="360" w:lineRule="auto"/>
        <w:ind w:firstLine="480" w:firstLineChars="200"/>
        <w:rPr>
          <w:rFonts w:hint="default" w:ascii="Times New Roman" w:hAnsi="Times New Roman" w:cs="Times New Roman"/>
        </w:rPr>
      </w:pPr>
      <w:r>
        <w:rPr>
          <w:rFonts w:hint="default" w:ascii="Times New Roman" w:hAnsi="Times New Roman" w:eastAsia="宋体" w:cs="Times New Roman"/>
          <w:color w:val="000000"/>
          <w:sz w:val="24"/>
          <w:szCs w:val="24"/>
        </w:rPr>
        <w:t>见《投标须知前附表》。</w:t>
      </w:r>
    </w:p>
    <w:p>
      <w:pPr>
        <w:spacing w:line="360" w:lineRule="auto"/>
        <w:ind w:firstLine="482"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b/>
          <w:color w:val="000000"/>
          <w:sz w:val="24"/>
          <w:szCs w:val="24"/>
        </w:rPr>
        <w:t>对于本项目需着重介绍的注意事项已通过以下带颜色文档进行标记。</w:t>
      </w:r>
    </w:p>
    <w:p>
      <w:pPr>
        <w:spacing w:line="360" w:lineRule="auto"/>
        <w:ind w:firstLine="482"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具体要求详见《技术标书》。</w:t>
      </w:r>
    </w:p>
    <w:p>
      <w:pPr>
        <w:keepNext/>
        <w:keepLines/>
        <w:numPr>
          <w:ilvl w:val="0"/>
          <w:numId w:val="3"/>
        </w:numPr>
        <w:spacing w:line="360" w:lineRule="auto"/>
        <w:outlineLvl w:val="1"/>
        <w:rPr>
          <w:rFonts w:hint="default" w:ascii="Times New Roman" w:hAnsi="Times New Roman" w:eastAsia="宋体" w:cs="Times New Roman"/>
          <w:b/>
          <w:bCs/>
          <w:sz w:val="28"/>
          <w:szCs w:val="36"/>
        </w:rPr>
      </w:pPr>
      <w:r>
        <w:rPr>
          <w:rFonts w:hint="default" w:ascii="Times New Roman" w:hAnsi="Times New Roman" w:eastAsia="宋体" w:cs="Times New Roman"/>
          <w:b/>
          <w:bCs/>
          <w:sz w:val="28"/>
          <w:szCs w:val="36"/>
        </w:rPr>
        <w:t>交货及付款</w:t>
      </w:r>
      <w:r>
        <w:rPr>
          <w:rFonts w:hint="default" w:ascii="Times New Roman" w:hAnsi="Times New Roman" w:eastAsia="宋体" w:cs="Times New Roman"/>
          <w:b/>
          <w:bCs/>
          <w:sz w:val="28"/>
          <w:szCs w:val="36"/>
        </w:rPr>
        <w:tab/>
      </w:r>
    </w:p>
    <w:p>
      <w:pPr>
        <w:pStyle w:val="21"/>
        <w:ind w:firstLine="480" w:firstLineChars="200"/>
        <w:rPr>
          <w:rFonts w:hint="default" w:ascii="Times New Roman" w:hAnsi="Times New Roman" w:cs="Times New Roman"/>
        </w:rPr>
      </w:pPr>
      <w:r>
        <w:rPr>
          <w:rFonts w:hint="default" w:ascii="Times New Roman" w:hAnsi="Times New Roman" w:eastAsia="宋体" w:cs="Times New Roman"/>
          <w:color w:val="000000"/>
          <w:sz w:val="24"/>
          <w:szCs w:val="24"/>
        </w:rPr>
        <w:t>交货期、交货地点、交货方式、付款方式及比例见《投标须知前附表》第7条。</w:t>
      </w:r>
    </w:p>
    <w:p>
      <w:pPr>
        <w:keepNext/>
        <w:keepLines/>
        <w:outlineLvl w:val="1"/>
        <w:rPr>
          <w:rFonts w:hint="default" w:ascii="Times New Roman" w:hAnsi="Times New Roman" w:eastAsia="宋体" w:cs="Times New Roman"/>
          <w:b/>
          <w:bCs/>
          <w:sz w:val="28"/>
          <w:szCs w:val="36"/>
        </w:rPr>
      </w:pPr>
      <w:r>
        <w:rPr>
          <w:rFonts w:hint="default" w:ascii="Times New Roman" w:hAnsi="Times New Roman" w:eastAsia="宋体" w:cs="Times New Roman"/>
          <w:b/>
          <w:bCs/>
          <w:sz w:val="28"/>
          <w:szCs w:val="36"/>
        </w:rPr>
        <w:t>四、投标说明</w:t>
      </w:r>
    </w:p>
    <w:p>
      <w:pPr>
        <w:keepNext/>
        <w:keepLines/>
        <w:ind w:firstLine="482" w:firstLineChars="20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1.报名方式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投标人根据招标人在中国重汽官网等公开媒体上发布的招标信息，在“中国重汽e采通”平台报名。按照中国重汽e采通“SRM非生产供应商注册手册（附件15）”进行注册，注册完毕后按照</w:t>
      </w:r>
      <w:r>
        <w:rPr>
          <w:rFonts w:hint="default" w:ascii="Times New Roman" w:hAnsi="Times New Roman" w:eastAsia="宋体" w:cs="Times New Roman"/>
          <w:b/>
          <w:color w:val="000000"/>
          <w:sz w:val="24"/>
          <w:szCs w:val="24"/>
        </w:rPr>
        <w:t>“SRM系统供应商用户手册（附件16）”登录系统，</w:t>
      </w:r>
      <w:r>
        <w:rPr>
          <w:rFonts w:hint="default" w:ascii="Times New Roman" w:hAnsi="Times New Roman" w:eastAsia="宋体" w:cs="Times New Roman"/>
          <w:color w:val="000000"/>
          <w:sz w:val="24"/>
          <w:szCs w:val="24"/>
        </w:rPr>
        <w:t>进入“供应商应标”，选择对应的项目，点击“应标”后按照招标文件第三部分投标文件组成资格证明文件中的1.1-1.13准备资料并上传，资质审查通过即为报名成功，公示期间请尽快报名。</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投标保证金缴纳时，</w:t>
      </w:r>
      <w:r>
        <w:rPr>
          <w:rFonts w:hint="default" w:ascii="Times New Roman" w:hAnsi="Times New Roman" w:eastAsia="宋体" w:cs="Times New Roman"/>
          <w:b/>
          <w:bCs/>
          <w:color w:val="000000"/>
          <w:sz w:val="24"/>
          <w:szCs w:val="24"/>
        </w:rPr>
        <w:t>务必备注所投标的项目名称</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不按要求报名的，或因未提供相关信息导致后期无法退回保证金的，需投标人承担责任。</w:t>
      </w:r>
    </w:p>
    <w:p>
      <w:pPr>
        <w:keepNext/>
        <w:keepLines/>
        <w:numPr>
          <w:ilvl w:val="0"/>
          <w:numId w:val="4"/>
        </w:numPr>
        <w:spacing w:line="360" w:lineRule="auto"/>
        <w:ind w:firstLine="482" w:firstLineChars="20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投标条件</w:t>
      </w:r>
    </w:p>
    <w:p>
      <w:pPr>
        <w:pStyle w:val="21"/>
        <w:spacing w:line="360" w:lineRule="auto"/>
        <w:ind w:firstLine="480"/>
        <w:rPr>
          <w:rFonts w:hint="default" w:ascii="Times New Roman" w:hAnsi="Times New Roman" w:cs="Times New Roman"/>
          <w:b/>
          <w:color w:val="000000"/>
          <w:sz w:val="24"/>
          <w:szCs w:val="24"/>
        </w:rPr>
      </w:pPr>
      <w:r>
        <w:rPr>
          <w:rFonts w:hint="default" w:ascii="Times New Roman" w:hAnsi="Times New Roman" w:eastAsia="宋体" w:cs="Times New Roman"/>
          <w:b/>
          <w:bCs/>
          <w:color w:val="000000"/>
          <w:sz w:val="24"/>
          <w:szCs w:val="24"/>
        </w:rPr>
        <w:t>对于中国境内投标人或中国境外投标人，投标条件详见招标文件“第一部分投标须知前附表1.6”。</w:t>
      </w:r>
    </w:p>
    <w:p>
      <w:pPr>
        <w:keepNext/>
        <w:keepLines/>
        <w:spacing w:line="360" w:lineRule="auto"/>
        <w:ind w:firstLine="482" w:firstLineChars="20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3.报价</w:t>
      </w:r>
    </w:p>
    <w:p>
      <w:pPr>
        <w:pStyle w:val="21"/>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3.1</w:t>
      </w:r>
      <w:r>
        <w:rPr>
          <w:rFonts w:hint="default" w:ascii="Times New Roman" w:hAnsi="Times New Roman" w:eastAsia="宋体" w:cs="Times New Roman"/>
          <w:sz w:val="24"/>
          <w:szCs w:val="24"/>
        </w:rPr>
        <w:t>本次招投标为</w:t>
      </w:r>
      <w:r>
        <w:rPr>
          <w:rFonts w:hint="default" w:ascii="Times New Roman" w:hAnsi="Times New Roman" w:eastAsia="宋体" w:cs="Times New Roman"/>
          <w:color w:val="000000"/>
          <w:sz w:val="24"/>
          <w:szCs w:val="24"/>
          <w:highlight w:val="yellow"/>
        </w:rPr>
        <w:t>公开招标</w:t>
      </w:r>
      <w:r>
        <w:rPr>
          <w:rFonts w:hint="default" w:ascii="Times New Roman" w:hAnsi="Times New Roman" w:eastAsia="宋体" w:cs="Times New Roman"/>
          <w:b/>
          <w:sz w:val="24"/>
          <w:szCs w:val="24"/>
        </w:rPr>
        <w:t>；</w:t>
      </w:r>
      <w:r>
        <w:rPr>
          <w:rFonts w:hint="default" w:ascii="Times New Roman" w:hAnsi="Times New Roman" w:eastAsia="宋体" w:cs="Times New Roman"/>
          <w:color w:val="000000"/>
          <w:sz w:val="24"/>
          <w:szCs w:val="24"/>
        </w:rPr>
        <w:t>评标流程以及规则详见本部分第六条评标原则。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default" w:ascii="Times New Roman" w:hAnsi="Times New Roman" w:eastAsia="宋体" w:cs="Times New Roman"/>
          <w:b/>
          <w:bCs/>
          <w:color w:val="000000"/>
          <w:sz w:val="24"/>
          <w:szCs w:val="24"/>
          <w:highlight w:val="yellow"/>
        </w:rPr>
      </w:pPr>
      <w:r>
        <w:rPr>
          <w:rFonts w:hint="default" w:ascii="Times New Roman" w:hAnsi="Times New Roman" w:eastAsia="宋体" w:cs="Times New Roman"/>
          <w:color w:val="000000"/>
          <w:sz w:val="24"/>
          <w:szCs w:val="24"/>
          <w:highlight w:val="yellow"/>
        </w:rPr>
        <w:t>3.2</w:t>
      </w:r>
      <w:r>
        <w:rPr>
          <w:rFonts w:hint="default" w:ascii="Times New Roman" w:hAnsi="Times New Roman" w:eastAsia="宋体" w:cs="Times New Roman"/>
          <w:b/>
          <w:bCs/>
          <w:color w:val="000000"/>
          <w:sz w:val="24"/>
          <w:szCs w:val="24"/>
          <w:highlight w:val="yellow"/>
        </w:rPr>
        <w:t>所有设备的报价货币单位为：</w:t>
      </w:r>
      <w:r>
        <w:rPr>
          <w:rFonts w:hint="default" w:ascii="Times New Roman" w:hAnsi="Times New Roman" w:eastAsia="宋体" w:cs="Times New Roman"/>
          <w:b/>
          <w:bCs/>
          <w:color w:val="000000"/>
          <w:sz w:val="24"/>
          <w:szCs w:val="24"/>
          <w:highlight w:val="yellow"/>
          <w:u w:val="single"/>
        </w:rPr>
        <w:t xml:space="preserve">        </w:t>
      </w:r>
      <w:r>
        <w:rPr>
          <w:rFonts w:hint="default" w:ascii="Times New Roman" w:hAnsi="Times New Roman" w:eastAsia="宋体" w:cs="Times New Roman"/>
          <w:b/>
          <w:bCs/>
          <w:color w:val="000000"/>
          <w:sz w:val="24"/>
          <w:szCs w:val="24"/>
          <w:highlight w:val="yellow"/>
        </w:rPr>
        <w:t>元【人民币，含税】。</w:t>
      </w:r>
    </w:p>
    <w:p>
      <w:pPr>
        <w:keepNext/>
        <w:keepLines/>
        <w:spacing w:line="360" w:lineRule="auto"/>
        <w:ind w:firstLine="482" w:firstLineChars="20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4.设备要求：</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4.1投标设备技术参数和总体要求按《技术标书》执行；</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4.2设备制造完毕经出厂检验合格后方能发货；</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4.3设备包装按国家或部颁标准执行；</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4.4设备交货要求直接发货至合同指定地点，否则买方有权拒绝接受货物；</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4.5投标人按技术规范书提报设备详细技术资料；</w:t>
      </w:r>
    </w:p>
    <w:p>
      <w:pPr>
        <w:pStyle w:val="21"/>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21"/>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4.7设备设施颜色严格执行我公司企业标准《设备设施颜色标识》（Q/ZZ30070</w:t>
      </w:r>
    </w:p>
    <w:p>
      <w:pPr>
        <w:pStyle w:val="21"/>
        <w:spacing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—2020）。</w:t>
      </w:r>
    </w:p>
    <w:p>
      <w:pPr>
        <w:keepNext/>
        <w:keepLines/>
        <w:spacing w:line="360" w:lineRule="auto"/>
        <w:ind w:firstLine="482" w:firstLineChars="20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5.其他要求</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包装、运输、检验、交付、安装、调试、培训、结算、质保及售后服务等，按《技术标书》要求，在标书中列示说明，最终以合同约定为准。</w:t>
      </w:r>
    </w:p>
    <w:p>
      <w:pPr>
        <w:keepNext/>
        <w:keepLines/>
        <w:ind w:firstLine="482" w:firstLineChars="20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6.询标</w:t>
      </w:r>
    </w:p>
    <w:p>
      <w:pPr>
        <w:keepNext/>
        <w:keepLines/>
        <w:spacing w:line="420" w:lineRule="exact"/>
        <w:ind w:firstLine="480" w:firstLineChars="200"/>
        <w:rPr>
          <w:rFonts w:hint="default" w:ascii="Times New Roman" w:hAnsi="Times New Roman" w:eastAsia="宋体" w:cs="Times New Roman"/>
          <w:b/>
          <w:bCs/>
          <w:color w:val="000000"/>
          <w:sz w:val="24"/>
          <w:szCs w:val="24"/>
        </w:rPr>
      </w:pPr>
      <w:r>
        <w:rPr>
          <w:rFonts w:hint="default" w:ascii="Times New Roman" w:hAnsi="Times New Roman" w:eastAsia="宋体" w:cs="Times New Roman"/>
          <w:color w:val="000000"/>
          <w:sz w:val="24"/>
          <w:szCs w:val="24"/>
        </w:rPr>
        <w:t>凡对本次招标提出的询问，均以招标人的书面答复为准。</w:t>
      </w:r>
    </w:p>
    <w:p>
      <w:pPr>
        <w:keepNext/>
        <w:keepLines/>
        <w:spacing w:line="420" w:lineRule="exact"/>
        <w:outlineLvl w:val="1"/>
        <w:rPr>
          <w:rFonts w:hint="default" w:ascii="Times New Roman" w:hAnsi="Times New Roman" w:eastAsia="宋体" w:cs="Times New Roman"/>
          <w:b/>
          <w:bCs/>
          <w:color w:val="000000"/>
          <w:sz w:val="28"/>
          <w:szCs w:val="28"/>
        </w:rPr>
      </w:pPr>
      <w:r>
        <w:rPr>
          <w:rFonts w:hint="default" w:ascii="Times New Roman" w:hAnsi="Times New Roman" w:eastAsia="宋体" w:cs="Times New Roman"/>
          <w:b/>
          <w:bCs/>
          <w:color w:val="000000"/>
          <w:sz w:val="28"/>
          <w:szCs w:val="28"/>
        </w:rPr>
        <w:t>五、议程安排</w:t>
      </w:r>
    </w:p>
    <w:p>
      <w:pPr>
        <w:keepNext/>
        <w:keepLines/>
        <w:spacing w:line="420" w:lineRule="exact"/>
        <w:ind w:firstLine="482" w:firstLineChars="200"/>
        <w:outlineLvl w:val="2"/>
        <w:rPr>
          <w:rFonts w:hint="default" w:ascii="Times New Roman" w:hAnsi="Times New Roman" w:eastAsia="宋体" w:cs="Times New Roman"/>
          <w:color w:val="000000"/>
          <w:sz w:val="24"/>
          <w:szCs w:val="24"/>
        </w:rPr>
      </w:pPr>
      <w:r>
        <w:rPr>
          <w:rFonts w:hint="default" w:ascii="Times New Roman" w:hAnsi="Times New Roman" w:eastAsia="宋体" w:cs="Times New Roman"/>
          <w:b/>
          <w:bCs/>
          <w:color w:val="000000"/>
          <w:sz w:val="24"/>
          <w:szCs w:val="24"/>
        </w:rPr>
        <w:t>1.发标时间</w:t>
      </w:r>
    </w:p>
    <w:p>
      <w:pPr>
        <w:spacing w:line="420" w:lineRule="exact"/>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见《投标须知前附表》2.1。</w:t>
      </w:r>
    </w:p>
    <w:p>
      <w:pPr>
        <w:keepNext/>
        <w:keepLines/>
        <w:spacing w:line="420" w:lineRule="exact"/>
        <w:ind w:firstLine="482" w:firstLineChars="200"/>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2.发标方式</w:t>
      </w:r>
    </w:p>
    <w:p>
      <w:pPr>
        <w:spacing w:line="420" w:lineRule="exact"/>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中国重汽官网、山东省阳光采购服务平台、中国招标投标公共服务平台等公开媒体</w:t>
      </w:r>
      <w:r>
        <w:rPr>
          <w:rFonts w:hint="default" w:ascii="Times New Roman" w:hAnsi="Times New Roman" w:eastAsia="宋体" w:cs="Times New Roman"/>
          <w:color w:val="000000"/>
          <w:sz w:val="24"/>
          <w:szCs w:val="24"/>
        </w:rPr>
        <w:t>公布。</w:t>
      </w:r>
    </w:p>
    <w:p>
      <w:pPr>
        <w:keepNext/>
        <w:keepLines/>
        <w:spacing w:line="420" w:lineRule="exact"/>
        <w:ind w:firstLine="482" w:firstLineChars="200"/>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3.答疑</w:t>
      </w:r>
    </w:p>
    <w:p>
      <w:pPr>
        <w:spacing w:line="420" w:lineRule="exact"/>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见《投标须知前附表》第二条，逾期不受理。</w:t>
      </w:r>
    </w:p>
    <w:p>
      <w:pPr>
        <w:keepNext/>
        <w:keepLines/>
        <w:spacing w:line="420" w:lineRule="exact"/>
        <w:ind w:firstLine="482" w:firstLineChars="200"/>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4.投标报名</w:t>
      </w:r>
    </w:p>
    <w:p>
      <w:pPr>
        <w:pStyle w:val="69"/>
        <w:ind w:firstLine="480"/>
        <w:rPr>
          <w:rFonts w:hint="default" w:ascii="Times New Roman" w:hAnsi="Times New Roman" w:eastAsia="宋体" w:cs="Times New Roman"/>
        </w:rPr>
      </w:pPr>
      <w:r>
        <w:rPr>
          <w:rFonts w:hint="default" w:ascii="Times New Roman" w:hAnsi="Times New Roman" w:eastAsia="宋体" w:cs="Times New Roman"/>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pPr>
        <w:pStyle w:val="69"/>
        <w:ind w:firstLine="480"/>
        <w:rPr>
          <w:rFonts w:hint="default" w:ascii="Times New Roman" w:hAnsi="Times New Roman" w:eastAsia="宋体" w:cs="Times New Roman"/>
        </w:rPr>
      </w:pPr>
      <w:r>
        <w:rPr>
          <w:rFonts w:hint="default" w:ascii="Times New Roman" w:hAnsi="Times New Roman" w:eastAsia="宋体" w:cs="Times New Roman"/>
        </w:rPr>
        <w:t>4.2招标人银行账户信息如下：见《投标须知前附表》4.2</w:t>
      </w:r>
    </w:p>
    <w:p>
      <w:pPr>
        <w:pStyle w:val="69"/>
        <w:ind w:firstLine="480"/>
        <w:rPr>
          <w:rFonts w:hint="default" w:ascii="Times New Roman" w:hAnsi="Times New Roman" w:eastAsia="宋体" w:cs="Times New Roman"/>
        </w:rPr>
      </w:pPr>
      <w:r>
        <w:rPr>
          <w:rFonts w:hint="default" w:ascii="Times New Roman" w:hAnsi="Times New Roman" w:eastAsia="宋体" w:cs="Times New Roman"/>
        </w:rPr>
        <w:t>转账附言：公司名称+项目名称+投标保证金；</w:t>
      </w:r>
    </w:p>
    <w:p>
      <w:pPr>
        <w:pStyle w:val="69"/>
        <w:ind w:firstLine="480"/>
        <w:rPr>
          <w:rFonts w:hint="default" w:ascii="Times New Roman" w:hAnsi="Times New Roman" w:eastAsia="宋体" w:cs="Times New Roman"/>
        </w:rPr>
      </w:pPr>
      <w:r>
        <w:rPr>
          <w:rFonts w:hint="default" w:ascii="Times New Roman" w:hAnsi="Times New Roman" w:eastAsia="宋体" w:cs="Times New Roman"/>
        </w:rPr>
        <w:t>对于没有中标的投标单位，投标保证金将于招标人内部完成中标人评审并确认最终中标人后在30工作日内予以原路返还（无息）；对于中标方，投标保证金将在签订合同后30工作日内返还（无息）。</w:t>
      </w:r>
    </w:p>
    <w:p>
      <w:pPr>
        <w:pStyle w:val="69"/>
        <w:ind w:firstLine="480"/>
        <w:rPr>
          <w:rFonts w:hint="default" w:ascii="Times New Roman" w:hAnsi="Times New Roman" w:eastAsia="宋体" w:cs="Times New Roman"/>
        </w:rPr>
      </w:pPr>
      <w:r>
        <w:rPr>
          <w:rFonts w:hint="default" w:ascii="Times New Roman" w:hAnsi="Times New Roman" w:eastAsia="宋体" w:cs="Times New Roman"/>
        </w:rPr>
        <w:t>4.3说明</w:t>
      </w:r>
    </w:p>
    <w:p>
      <w:pPr>
        <w:pStyle w:val="69"/>
        <w:ind w:firstLine="480"/>
        <w:rPr>
          <w:rFonts w:hint="default" w:ascii="Times New Roman" w:hAnsi="Times New Roman" w:eastAsia="宋体" w:cs="Times New Roman"/>
        </w:rPr>
      </w:pPr>
      <w:r>
        <w:rPr>
          <w:rFonts w:hint="default" w:ascii="Times New Roman" w:hAnsi="Times New Roman" w:eastAsia="宋体" w:cs="Times New Roman"/>
        </w:rPr>
        <w:t>4.3.1 投标人在向招标人出示《投标保证金缴纳凭证》后方可进行投标；</w:t>
      </w:r>
    </w:p>
    <w:p>
      <w:pPr>
        <w:pStyle w:val="69"/>
        <w:ind w:firstLine="480"/>
        <w:rPr>
          <w:rFonts w:hint="default" w:ascii="Times New Roman" w:hAnsi="Times New Roman" w:eastAsia="宋体" w:cs="Times New Roman"/>
        </w:rPr>
      </w:pPr>
      <w:r>
        <w:rPr>
          <w:rFonts w:hint="default" w:ascii="Times New Roman" w:hAnsi="Times New Roman" w:eastAsia="宋体" w:cs="Times New Roman"/>
        </w:rPr>
        <w:t>4.3.2 发生以下情况时，招标人有权没收保证金：</w:t>
      </w:r>
    </w:p>
    <w:p>
      <w:pPr>
        <w:pStyle w:val="69"/>
        <w:ind w:firstLine="480"/>
        <w:rPr>
          <w:rFonts w:hint="default" w:ascii="Times New Roman" w:hAnsi="Times New Roman" w:eastAsia="宋体" w:cs="Times New Roman"/>
        </w:rPr>
      </w:pPr>
      <w:r>
        <w:rPr>
          <w:rFonts w:hint="default" w:ascii="Times New Roman" w:hAnsi="Times New Roman" w:eastAsia="宋体" w:cs="Times New Roman"/>
        </w:rPr>
        <w:t>4.3.2.1 截至开标前3天，投标人无正当理由且未以书面形式递交说明而在投标截止日不来投标的；</w:t>
      </w:r>
    </w:p>
    <w:p>
      <w:pPr>
        <w:pStyle w:val="69"/>
        <w:ind w:firstLine="480"/>
        <w:rPr>
          <w:rFonts w:hint="default" w:ascii="Times New Roman" w:hAnsi="Times New Roman" w:eastAsia="宋体" w:cs="Times New Roman"/>
        </w:rPr>
      </w:pPr>
      <w:r>
        <w:rPr>
          <w:rFonts w:hint="default" w:ascii="Times New Roman" w:hAnsi="Times New Roman" w:eastAsia="宋体" w:cs="Times New Roman"/>
        </w:rPr>
        <w:t>4.3.2.2 投标人递送投标文件后，无正当理由放弃投标的；</w:t>
      </w:r>
    </w:p>
    <w:p>
      <w:pPr>
        <w:pStyle w:val="69"/>
        <w:ind w:firstLine="480"/>
        <w:rPr>
          <w:rFonts w:hint="default" w:ascii="Times New Roman" w:hAnsi="Times New Roman" w:eastAsia="宋体" w:cs="Times New Roman"/>
        </w:rPr>
      </w:pPr>
      <w:r>
        <w:rPr>
          <w:rFonts w:hint="default" w:ascii="Times New Roman" w:hAnsi="Times New Roman" w:eastAsia="宋体" w:cs="Times New Roman"/>
        </w:rPr>
        <w:t>4.3.2.3若为视频开标，招标过程中澄清函等资料原件未按要求提交的；</w:t>
      </w:r>
    </w:p>
    <w:p>
      <w:pPr>
        <w:pStyle w:val="69"/>
        <w:ind w:firstLine="480"/>
        <w:rPr>
          <w:rFonts w:hint="default" w:ascii="Times New Roman" w:hAnsi="Times New Roman" w:eastAsia="宋体" w:cs="Times New Roman"/>
        </w:rPr>
      </w:pPr>
      <w:r>
        <w:rPr>
          <w:rFonts w:hint="default" w:ascii="Times New Roman" w:hAnsi="Times New Roman" w:eastAsia="宋体" w:cs="Times New Roman"/>
        </w:rPr>
        <w:t>4.3.2.4自中标通知书发出之日起30日内，中标人无正当理由不签订合同的；</w:t>
      </w:r>
    </w:p>
    <w:p>
      <w:pPr>
        <w:pStyle w:val="69"/>
        <w:ind w:firstLine="480"/>
        <w:rPr>
          <w:rFonts w:hint="default" w:ascii="Times New Roman" w:hAnsi="Times New Roman" w:eastAsia="宋体" w:cs="Times New Roman"/>
        </w:rPr>
      </w:pPr>
      <w:r>
        <w:rPr>
          <w:rFonts w:hint="default" w:ascii="Times New Roman" w:hAnsi="Times New Roman" w:eastAsia="宋体" w:cs="Times New Roman"/>
        </w:rPr>
        <w:t>4.3.2.5供应商在响应文件中提供虚假材料的；</w:t>
      </w:r>
    </w:p>
    <w:p>
      <w:pPr>
        <w:pStyle w:val="69"/>
        <w:ind w:firstLine="480"/>
        <w:rPr>
          <w:rFonts w:hint="default" w:ascii="Times New Roman" w:hAnsi="Times New Roman" w:eastAsia="宋体" w:cs="Times New Roman"/>
        </w:rPr>
      </w:pPr>
      <w:r>
        <w:rPr>
          <w:rFonts w:hint="default" w:ascii="Times New Roman" w:hAnsi="Times New Roman" w:eastAsia="宋体" w:cs="Times New Roman"/>
        </w:rPr>
        <w:t>4.3.2.6投标人在投标过程中被查实有串标、围标、陪标等违规违纪行为的；</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4.3.2.7投标人有违约违规行为或被投诉、举报的，在调查处理期间，保证金暂不退还，待调查处理结束后按有关规定处理。</w:t>
      </w:r>
    </w:p>
    <w:p>
      <w:pPr>
        <w:pStyle w:val="69"/>
        <w:ind w:firstLine="480"/>
        <w:rPr>
          <w:rFonts w:hint="default" w:ascii="Times New Roman" w:hAnsi="Times New Roman" w:eastAsia="宋体" w:cs="Times New Roman"/>
        </w:rPr>
      </w:pPr>
      <w:r>
        <w:rPr>
          <w:rFonts w:hint="default" w:ascii="Times New Roman" w:hAnsi="Times New Roman" w:eastAsia="宋体" w:cs="Times New Roman"/>
        </w:rPr>
        <w:t>4.4投标报名截止时间</w:t>
      </w:r>
    </w:p>
    <w:p>
      <w:pPr>
        <w:pStyle w:val="69"/>
        <w:ind w:firstLine="480"/>
        <w:rPr>
          <w:rFonts w:hint="default" w:ascii="Times New Roman" w:hAnsi="Times New Roman" w:eastAsia="宋体" w:cs="Times New Roman"/>
        </w:rPr>
      </w:pPr>
      <w:r>
        <w:rPr>
          <w:rFonts w:hint="default" w:ascii="Times New Roman" w:hAnsi="Times New Roman" w:eastAsia="宋体" w:cs="Times New Roman"/>
        </w:rPr>
        <w:t>报名方式：见《投标须知前附表》2.3。</w:t>
      </w:r>
    </w:p>
    <w:p>
      <w:pPr>
        <w:pStyle w:val="69"/>
        <w:ind w:firstLine="480"/>
        <w:rPr>
          <w:rFonts w:hint="default" w:ascii="Times New Roman" w:hAnsi="Times New Roman" w:eastAsia="宋体" w:cs="Times New Roman"/>
        </w:rPr>
      </w:pPr>
      <w:r>
        <w:rPr>
          <w:rFonts w:hint="default" w:ascii="Times New Roman" w:hAnsi="Times New Roman" w:eastAsia="宋体" w:cs="Times New Roman"/>
        </w:rPr>
        <w:t>报名提交资料：均为盖章电子扫描版或加盖电子章，</w:t>
      </w:r>
      <w:r>
        <w:rPr>
          <w:rFonts w:hint="default" w:ascii="Times New Roman" w:hAnsi="Times New Roman" w:eastAsia="宋体" w:cs="Times New Roman"/>
          <w:highlight w:val="green"/>
        </w:rPr>
        <w:t>用公司名称+项目名称命名</w:t>
      </w:r>
      <w:r>
        <w:rPr>
          <w:rFonts w:hint="default" w:ascii="Times New Roman" w:hAnsi="Times New Roman" w:eastAsia="宋体" w:cs="Times New Roman"/>
        </w:rPr>
        <w:t>。</w:t>
      </w:r>
    </w:p>
    <w:p>
      <w:pPr>
        <w:numPr>
          <w:ilvl w:val="0"/>
          <w:numId w:val="5"/>
        </w:numPr>
        <w:spacing w:line="420" w:lineRule="exact"/>
        <w:rPr>
          <w:rFonts w:hint="default" w:ascii="Times New Roman" w:hAnsi="Times New Roman" w:eastAsia="宋体" w:cs="Times New Roman"/>
          <w:color w:val="000000"/>
          <w:sz w:val="24"/>
          <w:szCs w:val="24"/>
        </w:rPr>
      </w:pPr>
      <w:r>
        <w:rPr>
          <w:rFonts w:hint="default" w:ascii="Times New Roman" w:hAnsi="Times New Roman" w:eastAsia="宋体" w:cs="Times New Roman"/>
          <w:b/>
          <w:color w:val="000000"/>
          <w:sz w:val="24"/>
          <w:szCs w:val="24"/>
        </w:rPr>
        <w:t>如果是授权委托人投标，</w:t>
      </w:r>
      <w:r>
        <w:rPr>
          <w:rFonts w:hint="default" w:ascii="Times New Roman" w:hAnsi="Times New Roman" w:eastAsia="宋体" w:cs="Times New Roman"/>
          <w:color w:val="000000"/>
          <w:sz w:val="24"/>
          <w:szCs w:val="24"/>
        </w:rPr>
        <w:t>要提交营业执照副本、法人授权委托书（含法人及授权人身份信息证明、授权代表联系方式）。</w:t>
      </w:r>
    </w:p>
    <w:p>
      <w:pPr>
        <w:numPr>
          <w:ilvl w:val="0"/>
          <w:numId w:val="5"/>
        </w:numPr>
        <w:spacing w:line="420" w:lineRule="exact"/>
        <w:rPr>
          <w:rFonts w:hint="default" w:ascii="Times New Roman" w:hAnsi="Times New Roman" w:eastAsia="宋体" w:cs="Times New Roman"/>
          <w:color w:val="000000"/>
          <w:sz w:val="24"/>
          <w:szCs w:val="24"/>
        </w:rPr>
      </w:pPr>
      <w:r>
        <w:rPr>
          <w:rFonts w:hint="default" w:ascii="Times New Roman" w:hAnsi="Times New Roman" w:eastAsia="宋体" w:cs="Times New Roman"/>
          <w:b/>
          <w:color w:val="000000"/>
          <w:sz w:val="24"/>
          <w:szCs w:val="24"/>
        </w:rPr>
        <w:t>如果是法人参加投标</w:t>
      </w:r>
      <w:r>
        <w:rPr>
          <w:rFonts w:hint="default" w:ascii="Times New Roman" w:hAnsi="Times New Roman" w:eastAsia="宋体" w:cs="Times New Roman"/>
          <w:color w:val="000000"/>
          <w:sz w:val="24"/>
          <w:szCs w:val="24"/>
        </w:rPr>
        <w:t>，要提交营业执照副本、法人代表证明文件。</w:t>
      </w:r>
    </w:p>
    <w:p>
      <w:pPr>
        <w:numPr>
          <w:ilvl w:val="0"/>
          <w:numId w:val="5"/>
        </w:numPr>
        <w:spacing w:line="420" w:lineRule="exact"/>
        <w:rPr>
          <w:rFonts w:hint="default" w:ascii="Times New Roman" w:hAnsi="Times New Roman" w:eastAsia="宋体" w:cs="Times New Roman"/>
          <w:color w:val="000000"/>
          <w:sz w:val="24"/>
          <w:szCs w:val="24"/>
        </w:rPr>
      </w:pPr>
      <w:r>
        <w:rPr>
          <w:rFonts w:hint="default" w:ascii="Times New Roman" w:hAnsi="Times New Roman" w:eastAsia="宋体" w:cs="Times New Roman"/>
          <w:b/>
          <w:color w:val="000000"/>
          <w:sz w:val="24"/>
          <w:szCs w:val="24"/>
        </w:rPr>
        <w:t>如果是代理商投标</w:t>
      </w:r>
      <w:r>
        <w:rPr>
          <w:rFonts w:hint="default" w:ascii="Times New Roman" w:hAnsi="Times New Roman" w:eastAsia="宋体" w:cs="Times New Roman"/>
          <w:color w:val="000000"/>
          <w:sz w:val="24"/>
          <w:szCs w:val="24"/>
        </w:rPr>
        <w:t>，除上述a)b)中要求的资料，要另外携带生产商的授权书、原厂售后服务承诺书。</w:t>
      </w:r>
    </w:p>
    <w:p>
      <w:pPr>
        <w:keepNext/>
        <w:keepLines/>
        <w:spacing w:line="420" w:lineRule="exact"/>
        <w:ind w:firstLine="482" w:firstLineChars="200"/>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5.开标时间</w:t>
      </w:r>
    </w:p>
    <w:p>
      <w:pPr>
        <w:keepNext/>
        <w:keepLines/>
        <w:spacing w:line="420" w:lineRule="exact"/>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见《投标须知前附表》5.1，若有变动另行通知。</w:t>
      </w:r>
    </w:p>
    <w:p>
      <w:pPr>
        <w:keepNext/>
        <w:keepLines/>
        <w:spacing w:line="420" w:lineRule="exact"/>
        <w:ind w:firstLine="482" w:firstLineChars="200"/>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6.开标方式</w:t>
      </w:r>
    </w:p>
    <w:p>
      <w:pPr>
        <w:spacing w:line="360" w:lineRule="auto"/>
        <w:ind w:firstLine="480" w:firstLineChars="200"/>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yellow"/>
        </w:rPr>
        <w:t>原则上来现场参与开标。如因特殊情况无法现场参与，需在开标前三日，通知招标人，由招标人创建视频链接，并在报名结束后统一通知。</w:t>
      </w:r>
    </w:p>
    <w:p>
      <w:pPr>
        <w:keepNext/>
        <w:keepLines/>
        <w:spacing w:line="420" w:lineRule="exact"/>
        <w:jc w:val="left"/>
        <w:outlineLvl w:val="1"/>
        <w:rPr>
          <w:rFonts w:hint="default" w:ascii="Times New Roman" w:hAnsi="Times New Roman" w:eastAsia="宋体" w:cs="Times New Roman"/>
          <w:b/>
          <w:bCs/>
          <w:color w:val="000000"/>
          <w:sz w:val="28"/>
          <w:szCs w:val="28"/>
        </w:rPr>
      </w:pPr>
      <w:bookmarkStart w:id="8" w:name="_Toc33265653"/>
      <w:bookmarkStart w:id="9" w:name="_Toc33267001"/>
      <w:bookmarkStart w:id="10" w:name="_Toc33266627"/>
      <w:bookmarkStart w:id="11" w:name="_Toc33285487"/>
      <w:bookmarkStart w:id="12" w:name="_Toc33265752"/>
      <w:bookmarkStart w:id="13" w:name="_Toc33266914"/>
      <w:bookmarkStart w:id="14" w:name="_Toc33266950"/>
      <w:r>
        <w:rPr>
          <w:rFonts w:hint="default" w:ascii="Times New Roman" w:hAnsi="Times New Roman" w:eastAsia="宋体" w:cs="Times New Roman"/>
          <w:b/>
          <w:bCs/>
          <w:color w:val="000000"/>
          <w:sz w:val="28"/>
          <w:szCs w:val="28"/>
        </w:rPr>
        <w:t>六、评标原则</w:t>
      </w:r>
      <w:bookmarkEnd w:id="8"/>
      <w:bookmarkEnd w:id="9"/>
      <w:bookmarkEnd w:id="10"/>
      <w:bookmarkEnd w:id="11"/>
      <w:bookmarkEnd w:id="12"/>
      <w:bookmarkEnd w:id="13"/>
      <w:bookmarkEnd w:id="14"/>
      <w:bookmarkStart w:id="15" w:name="_Toc395116633"/>
    </w:p>
    <w:bookmarkEnd w:id="15"/>
    <w:p>
      <w:pPr>
        <w:spacing w:line="420" w:lineRule="exact"/>
        <w:ind w:firstLine="482" w:firstLineChars="200"/>
        <w:outlineLvl w:val="2"/>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1.评标</w:t>
      </w:r>
    </w:p>
    <w:p>
      <w:pPr>
        <w:adjustRightInd w:val="0"/>
        <w:snapToGrid w:val="0"/>
        <w:spacing w:line="420" w:lineRule="exact"/>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sz w:val="24"/>
          <w:szCs w:val="24"/>
        </w:rPr>
        <w:t>本次招标采用</w:t>
      </w:r>
      <w:r>
        <w:rPr>
          <w:rFonts w:hint="default" w:ascii="Times New Roman" w:hAnsi="Times New Roman" w:eastAsia="宋体" w:cs="Times New Roman"/>
          <w:b/>
          <w:bCs/>
          <w:sz w:val="24"/>
          <w:szCs w:val="24"/>
        </w:rPr>
        <w:t>技术标入围后，原则上合理最低价中标</w:t>
      </w:r>
      <w:bookmarkStart w:id="16" w:name="_Toc33265654"/>
      <w:bookmarkStart w:id="17" w:name="_Toc33265753"/>
      <w:bookmarkStart w:id="18" w:name="_Toc33266951"/>
      <w:bookmarkStart w:id="19" w:name="_Toc33266628"/>
      <w:bookmarkStart w:id="20" w:name="_Toc395116634"/>
      <w:bookmarkStart w:id="21" w:name="_Toc33285489"/>
      <w:bookmarkStart w:id="22" w:name="_Toc33266915"/>
      <w:bookmarkStart w:id="23" w:name="_Toc33267002"/>
      <w:r>
        <w:rPr>
          <w:rFonts w:hint="default" w:ascii="Times New Roman" w:hAnsi="Times New Roman" w:eastAsia="宋体" w:cs="Times New Roman"/>
          <w:sz w:val="24"/>
          <w:szCs w:val="24"/>
        </w:rPr>
        <w:t>。</w:t>
      </w:r>
      <w:r>
        <w:rPr>
          <w:rFonts w:hint="default" w:ascii="Times New Roman" w:hAnsi="Times New Roman" w:eastAsia="宋体" w:cs="Times New Roman"/>
          <w:color w:val="000000"/>
          <w:sz w:val="24"/>
          <w:szCs w:val="24"/>
        </w:rPr>
        <w:t>本着公平、公正、公开的原则，在通过技术标综合评审后入围的前提下，选择合理最低价确定中标人</w:t>
      </w:r>
      <w:r>
        <w:rPr>
          <w:rFonts w:hint="default" w:ascii="Times New Roman" w:hAnsi="Times New Roman" w:eastAsia="宋体" w:cs="Times New Roman"/>
          <w:b/>
          <w:color w:val="000000"/>
          <w:sz w:val="24"/>
          <w:szCs w:val="24"/>
        </w:rPr>
        <w:t>，对未中标方不做任何解释。</w:t>
      </w:r>
    </w:p>
    <w:bookmarkEnd w:id="16"/>
    <w:bookmarkEnd w:id="17"/>
    <w:bookmarkEnd w:id="18"/>
    <w:bookmarkEnd w:id="19"/>
    <w:bookmarkEnd w:id="20"/>
    <w:bookmarkEnd w:id="21"/>
    <w:bookmarkEnd w:id="22"/>
    <w:bookmarkEnd w:id="23"/>
    <w:p>
      <w:pPr>
        <w:spacing w:line="360" w:lineRule="auto"/>
        <w:ind w:firstLine="482"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评标流程：</w:t>
      </w:r>
    </w:p>
    <w:p>
      <w:pPr>
        <w:pStyle w:val="21"/>
        <w:spacing w:line="360" w:lineRule="auto"/>
        <w:ind w:firstLine="482" w:firstLineChars="200"/>
        <w:rPr>
          <w:rFonts w:hint="default" w:ascii="Times New Roman" w:hAnsi="Times New Roman" w:eastAsia="宋体" w:cs="Times New Roman"/>
        </w:rPr>
      </w:pPr>
      <w:r>
        <w:rPr>
          <w:rFonts w:hint="default" w:ascii="Times New Roman" w:hAnsi="Times New Roman" w:eastAsia="宋体" w:cs="Times New Roman"/>
          <w:b/>
          <w:color w:val="000000"/>
          <w:sz w:val="24"/>
          <w:szCs w:val="24"/>
        </w:rPr>
        <w:t>投标文件包含《投标文件（资质标）》、《投标文件（技术标）》、《投标文件（商务标）》（开标一览表），共计三个文件。</w:t>
      </w:r>
    </w:p>
    <w:p>
      <w:pPr>
        <w:numPr>
          <w:ilvl w:val="0"/>
          <w:numId w:val="6"/>
        </w:numPr>
        <w:spacing w:line="360" w:lineRule="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应标资格审查：在“中国重汽e采通”应标报名时，</w:t>
      </w:r>
      <w:r>
        <w:rPr>
          <w:rFonts w:hint="default" w:ascii="Times New Roman" w:hAnsi="Times New Roman" w:eastAsia="宋体" w:cs="Times New Roman"/>
          <w:b/>
          <w:bCs/>
          <w:color w:val="000000"/>
          <w:sz w:val="24"/>
          <w:szCs w:val="24"/>
        </w:rPr>
        <w:t>按照第三部分投标文件组成资格证明文件中的1.1-1.13准备资料，上传完毕后，等待审核</w:t>
      </w:r>
      <w:r>
        <w:rPr>
          <w:rFonts w:hint="default" w:ascii="Times New Roman" w:hAnsi="Times New Roman" w:eastAsia="宋体" w:cs="Times New Roman"/>
          <w:b/>
          <w:color w:val="000000"/>
          <w:sz w:val="24"/>
          <w:szCs w:val="24"/>
        </w:rPr>
        <w:t>；</w:t>
      </w:r>
    </w:p>
    <w:p>
      <w:pPr>
        <w:numPr>
          <w:ilvl w:val="0"/>
          <w:numId w:val="7"/>
        </w:numPr>
        <w:spacing w:line="360" w:lineRule="auto"/>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8"/>
        </w:num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资质标评审：资质标审核通过的单位，进入</w:t>
      </w:r>
      <w:r>
        <w:rPr>
          <w:rFonts w:hint="default" w:ascii="Times New Roman" w:hAnsi="Times New Roman" w:eastAsia="宋体" w:cs="Times New Roman"/>
          <w:b/>
          <w:color w:val="000000"/>
          <w:sz w:val="24"/>
          <w:szCs w:val="24"/>
        </w:rPr>
        <w:t>公开唱标</w:t>
      </w:r>
      <w:r>
        <w:rPr>
          <w:rFonts w:hint="default" w:ascii="Times New Roman" w:hAnsi="Times New Roman" w:eastAsia="宋体" w:cs="Times New Roman"/>
          <w:b/>
          <w:sz w:val="24"/>
          <w:szCs w:val="24"/>
        </w:rPr>
        <w:t>；</w:t>
      </w:r>
    </w:p>
    <w:p>
      <w:pPr>
        <w:pStyle w:val="21"/>
        <w:numPr>
          <w:ilvl w:val="0"/>
          <w:numId w:val="8"/>
        </w:numPr>
        <w:spacing w:line="360" w:lineRule="auto"/>
        <w:rPr>
          <w:rFonts w:hint="default" w:ascii="Times New Roman" w:hAnsi="Times New Roman" w:cs="Times New Roman"/>
        </w:rPr>
      </w:pPr>
      <w:r>
        <w:rPr>
          <w:rFonts w:hint="default" w:ascii="Times New Roman" w:hAnsi="Times New Roman" w:eastAsia="宋体" w:cs="Times New Roman"/>
          <w:b/>
          <w:color w:val="000000"/>
          <w:sz w:val="24"/>
          <w:szCs w:val="24"/>
        </w:rPr>
        <w:t>公开唱标：公示资质标入围单位的开标价格及商务条款响应情况；</w:t>
      </w:r>
    </w:p>
    <w:p>
      <w:pPr>
        <w:numPr>
          <w:ilvl w:val="0"/>
          <w:numId w:val="8"/>
        </w:numPr>
        <w:spacing w:line="360" w:lineRule="auto"/>
        <w:rPr>
          <w:rFonts w:hint="default" w:ascii="Times New Roman" w:hAnsi="Times New Roman" w:eastAsia="宋体" w:cs="Times New Roman"/>
          <w:b/>
          <w:sz w:val="24"/>
          <w:szCs w:val="24"/>
        </w:rPr>
      </w:pPr>
      <w:r>
        <w:rPr>
          <w:rFonts w:hint="default" w:ascii="Times New Roman" w:hAnsi="Times New Roman" w:eastAsia="宋体" w:cs="Times New Roman"/>
          <w:b/>
          <w:color w:val="000000"/>
          <w:sz w:val="24"/>
          <w:szCs w:val="24"/>
        </w:rPr>
        <w:t>技术标评审</w:t>
      </w:r>
      <w:r>
        <w:rPr>
          <w:rFonts w:hint="default" w:ascii="Times New Roman" w:hAnsi="Times New Roman" w:eastAsia="宋体" w:cs="Times New Roman"/>
          <w:b/>
          <w:sz w:val="24"/>
          <w:szCs w:val="24"/>
        </w:rPr>
        <w:t>：技术标评标专家组，通过重汽e采通，对各投标人的《投标文件（技术标）》进行综合评审；评审期间产生的技术澄清均由投标人在重汽e采通平台内完成提交；评审合格的单位进入商务标评审环节，评审不合格的单位被淘汰；</w:t>
      </w:r>
    </w:p>
    <w:p>
      <w:pPr>
        <w:spacing w:line="360" w:lineRule="auto"/>
        <w:ind w:firstLine="482" w:firstLineChars="200"/>
        <w:rPr>
          <w:rFonts w:hint="default" w:ascii="Times New Roman" w:hAnsi="Times New Roman" w:eastAsia="宋体" w:cs="Times New Roman"/>
          <w:b/>
          <w:sz w:val="24"/>
          <w:szCs w:val="24"/>
          <w:highlight w:val="yellow"/>
        </w:rPr>
      </w:pPr>
      <w:r>
        <w:rPr>
          <w:rFonts w:hint="default" w:ascii="Times New Roman" w:hAnsi="Times New Roman" w:eastAsia="宋体" w:cs="Times New Roman"/>
          <w:b/>
          <w:sz w:val="24"/>
          <w:szCs w:val="24"/>
          <w:highlight w:val="yellow"/>
        </w:rPr>
        <w:t>具体</w:t>
      </w:r>
      <w:r>
        <w:rPr>
          <w:rFonts w:hint="default" w:ascii="Times New Roman" w:hAnsi="Times New Roman" w:eastAsia="宋体" w:cs="Times New Roman"/>
          <w:b/>
          <w:bCs/>
          <w:color w:val="000000"/>
          <w:sz w:val="24"/>
          <w:szCs w:val="24"/>
          <w:highlight w:val="yellow"/>
        </w:rPr>
        <w:t>技术标评分标准见附件14。</w:t>
      </w:r>
    </w:p>
    <w:p>
      <w:pPr>
        <w:numPr>
          <w:ilvl w:val="0"/>
          <w:numId w:val="9"/>
        </w:numPr>
        <w:spacing w:line="360" w:lineRule="auto"/>
        <w:ind w:left="0" w:firstLine="0"/>
        <w:rPr>
          <w:rFonts w:hint="default" w:ascii="Times New Roman" w:hAnsi="Times New Roman" w:cs="Times New Roman"/>
          <w:b/>
          <w:sz w:val="24"/>
          <w:szCs w:val="24"/>
        </w:rPr>
      </w:pPr>
      <w:r>
        <w:rPr>
          <w:rFonts w:hint="default" w:ascii="Times New Roman" w:hAnsi="Times New Roman" w:eastAsia="宋体" w:cs="Times New Roman"/>
          <w:b/>
          <w:sz w:val="24"/>
          <w:szCs w:val="24"/>
        </w:rPr>
        <w:t>商务标评审：商务条款相应确认→价格澄清→商务标评审；评审期间产生的商务价格澄清均由投标人在重汽e采通平台内限时完成提交；</w:t>
      </w:r>
    </w:p>
    <w:p>
      <w:pPr>
        <w:spacing w:line="360" w:lineRule="auto"/>
        <w:ind w:firstLine="482" w:firstLineChars="20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highlight w:val="yellow"/>
        </w:rPr>
        <w:t>注意：投标人均需自带笔记本电脑在重汽e采通平台自主进行投标和提交澄清函；投标和提交澄清函均有时间限制，超时未提交的按无效处理。</w:t>
      </w:r>
      <w:r>
        <w:rPr>
          <w:rFonts w:hint="default" w:ascii="Times New Roman" w:hAnsi="Times New Roman" w:eastAsia="宋体" w:cs="Times New Roman"/>
          <w:b/>
          <w:bCs/>
          <w:color w:val="000000"/>
          <w:sz w:val="24"/>
          <w:szCs w:val="24"/>
        </w:rPr>
        <w:t xml:space="preserve">  </w:t>
      </w:r>
    </w:p>
    <w:p>
      <w:pPr>
        <w:numPr>
          <w:ilvl w:val="0"/>
          <w:numId w:val="9"/>
        </w:numPr>
        <w:spacing w:line="360" w:lineRule="auto"/>
        <w:ind w:left="0" w:firstLine="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中标人确定：技术入围后，原则上合理最低价中标。</w:t>
      </w:r>
    </w:p>
    <w:p>
      <w:pPr>
        <w:widowControl/>
        <w:spacing w:line="360" w:lineRule="auto"/>
        <w:ind w:right="2"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highlight w:val="yellow"/>
        </w:rPr>
        <w:t>本项目只产生一个中标人</w:t>
      </w:r>
      <w:r>
        <w:rPr>
          <w:rFonts w:hint="default" w:ascii="Times New Roman" w:hAnsi="Times New Roman" w:eastAsia="宋体" w:cs="Times New Roman"/>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default" w:ascii="Times New Roman" w:hAnsi="Times New Roman" w:eastAsia="宋体" w:cs="Times New Roman"/>
          <w:color w:val="000000"/>
          <w:sz w:val="24"/>
          <w:szCs w:val="24"/>
          <w:lang w:bidi="ar"/>
        </w:rPr>
        <w:t>否变更意向中标人。</w:t>
      </w:r>
    </w:p>
    <w:p>
      <w:pPr>
        <w:keepNext/>
        <w:keepLines/>
        <w:spacing w:line="360" w:lineRule="auto"/>
        <w:outlineLvl w:val="1"/>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七、合同签订</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2.中标人应该在中标通知书规定的时间、地点与招标人签订采购合同，否则按照开标后撤回投标处理。</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3.中标人应当按照合同约定的履约责任，在保证质量的前提下完成中标项目，不得将中标项目转包或分包给他人，否则视为违约，招标人有权解除合同。</w:t>
      </w:r>
    </w:p>
    <w:p>
      <w:pPr>
        <w:spacing w:line="360" w:lineRule="auto"/>
        <w:ind w:firstLine="482" w:firstLineChars="200"/>
        <w:rPr>
          <w:rFonts w:hint="default" w:ascii="Times New Roman" w:hAnsi="Times New Roman" w:eastAsia="宋体" w:cs="Times New Roman"/>
          <w:b/>
          <w:sz w:val="24"/>
          <w:szCs w:val="20"/>
        </w:rPr>
      </w:pPr>
      <w:r>
        <w:rPr>
          <w:rFonts w:hint="default" w:ascii="Times New Roman" w:hAnsi="Times New Roman" w:eastAsia="宋体" w:cs="Times New Roman"/>
          <w:b/>
          <w:sz w:val="24"/>
          <w:szCs w:val="20"/>
        </w:rPr>
        <w:t>4.中标人由于履行义务的能力或信用有严重缺陷，招标人有权取消其中标资格，招标人将从中标候选单位中依序重新确定中标人，或重新组织招标。</w:t>
      </w:r>
    </w:p>
    <w:p>
      <w:pPr>
        <w:spacing w:line="360" w:lineRule="auto"/>
        <w:ind w:firstLine="482" w:firstLineChars="200"/>
        <w:rPr>
          <w:rFonts w:hint="default" w:ascii="Times New Roman" w:hAnsi="Times New Roman" w:eastAsia="宋体" w:cs="Times New Roman"/>
          <w:b/>
          <w:sz w:val="24"/>
          <w:szCs w:val="20"/>
        </w:rPr>
      </w:pPr>
      <w:r>
        <w:rPr>
          <w:rFonts w:hint="default" w:ascii="Times New Roman" w:hAnsi="Times New Roman" w:eastAsia="宋体" w:cs="Times New Roman"/>
          <w:b/>
          <w:sz w:val="24"/>
          <w:szCs w:val="20"/>
        </w:rPr>
        <w:t>5.合同以双方最终签署的版本为准。</w:t>
      </w:r>
    </w:p>
    <w:p>
      <w:pPr>
        <w:keepNext/>
        <w:keepLines/>
        <w:spacing w:line="360" w:lineRule="auto"/>
        <w:outlineLvl w:val="1"/>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八、废标及终止招标</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（1）投标人提供的有关资格、资质证明文件不合格、不真实或提供虚假投标材料；</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（2）投标人在报价有效期内撤回投标；</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（3）在整个评标过程中，投标人有企图影响评标结果公正性的任何活动；</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（4）投标人以任何方式诋毁其他投标人；</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（5）投标人串通投标；</w:t>
      </w:r>
    </w:p>
    <w:p>
      <w:pPr>
        <w:pStyle w:val="21"/>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color w:val="000000"/>
          <w:sz w:val="24"/>
          <w:szCs w:val="24"/>
        </w:rPr>
        <w:t>（6）投标人被举报、检举，并经招标人查实无误的；</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（7）以他人名义投标或者以其他方式弄虚作假，骗取中标的；</w:t>
      </w:r>
    </w:p>
    <w:p>
      <w:pPr>
        <w:spacing w:line="360" w:lineRule="auto"/>
        <w:ind w:right="2"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（8）投标人负责人为同一人或者存在控股、管理关系的不同单位；</w:t>
      </w:r>
    </w:p>
    <w:p>
      <w:pPr>
        <w:spacing w:line="360" w:lineRule="auto"/>
        <w:ind w:right="2"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（9）有效投标不足三家；</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（10）未按要求填报商务报价资料，对招标开展造成较大影响；</w:t>
      </w:r>
    </w:p>
    <w:p>
      <w:pPr>
        <w:spacing w:line="360" w:lineRule="auto"/>
        <w:ind w:right="2"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（1</w:t>
      </w:r>
      <w:r>
        <w:rPr>
          <w:rFonts w:hint="default" w:ascii="Times New Roman" w:hAnsi="Times New Roman" w:eastAsia="宋体" w:cs="Times New Roman"/>
          <w:sz w:val="24"/>
          <w:szCs w:val="24"/>
        </w:rPr>
        <w:t>1）未按照招标人规定的时间内在中国重汽e采通完成投标的；</w:t>
      </w:r>
    </w:p>
    <w:p>
      <w:pPr>
        <w:pStyle w:val="21"/>
        <w:spacing w:line="360" w:lineRule="auto"/>
        <w:ind w:firstLine="480" w:firstLineChars="200"/>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yellow"/>
        </w:rPr>
        <w:t>（12）不同投标人的投标文件异常一致；</w:t>
      </w:r>
    </w:p>
    <w:p>
      <w:pPr>
        <w:pStyle w:val="21"/>
        <w:spacing w:line="360" w:lineRule="auto"/>
        <w:ind w:firstLine="480" w:firstLineChars="200"/>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yellow"/>
        </w:rPr>
        <w:t>（13）投标报价呈规律性差异的；</w:t>
      </w:r>
    </w:p>
    <w:p>
      <w:pPr>
        <w:pStyle w:val="21"/>
        <w:spacing w:line="360" w:lineRule="auto"/>
        <w:ind w:firstLine="480" w:firstLineChars="200"/>
        <w:rPr>
          <w:rFonts w:hint="default" w:ascii="Times New Roman" w:hAnsi="Times New Roman" w:eastAsia="宋体" w:cs="Times New Roman"/>
          <w:color w:val="000000"/>
          <w:sz w:val="24"/>
          <w:szCs w:val="24"/>
          <w:highlight w:val="yellow"/>
        </w:rPr>
      </w:pPr>
      <w:r>
        <w:rPr>
          <w:rFonts w:hint="default" w:ascii="Times New Roman" w:hAnsi="Times New Roman" w:eastAsia="宋体" w:cs="Times New Roman"/>
          <w:color w:val="000000"/>
          <w:sz w:val="24"/>
          <w:szCs w:val="24"/>
          <w:highlight w:val="yellow"/>
        </w:rPr>
        <w:t>（14）投标人报价均超过采购预算的；</w:t>
      </w:r>
    </w:p>
    <w:p>
      <w:pPr>
        <w:spacing w:line="360" w:lineRule="auto"/>
        <w:ind w:right="2"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（15）法律、法规规定的其他情况。</w:t>
      </w:r>
    </w:p>
    <w:p>
      <w:pPr>
        <w:spacing w:line="360" w:lineRule="auto"/>
        <w:ind w:right="2"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2.出现下列情形之一，招标人有权否决所有投标人的投标，并终止招标。</w:t>
      </w:r>
    </w:p>
    <w:p>
      <w:pPr>
        <w:spacing w:line="360" w:lineRule="auto"/>
        <w:ind w:right="2" w:firstLine="480" w:firstLineChars="200"/>
        <w:rPr>
          <w:rFonts w:hint="default" w:ascii="Times New Roman" w:hAnsi="Times New Roman" w:eastAsia="宋体" w:cs="Times New Roman"/>
          <w:b/>
          <w:sz w:val="24"/>
          <w:szCs w:val="24"/>
        </w:rPr>
      </w:pPr>
      <w:r>
        <w:rPr>
          <w:rFonts w:hint="default" w:ascii="Times New Roman" w:hAnsi="Times New Roman" w:eastAsia="宋体" w:cs="Times New Roman"/>
          <w:sz w:val="24"/>
          <w:szCs w:val="24"/>
        </w:rPr>
        <w:t>（1）符合条件的投标人或者对招标文件做实质响应的投标人不足三家的；</w:t>
      </w:r>
    </w:p>
    <w:p>
      <w:pPr>
        <w:spacing w:line="360" w:lineRule="auto"/>
        <w:ind w:right="2"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（2）出现影响采购公正的违法、违规行为的；</w:t>
      </w:r>
    </w:p>
    <w:p>
      <w:pPr>
        <w:spacing w:line="360" w:lineRule="auto"/>
        <w:ind w:right="2"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（3）评标委员会经评审，认为所有投标都不符合招标文件要求的；</w:t>
      </w:r>
    </w:p>
    <w:p>
      <w:pPr>
        <w:spacing w:line="360" w:lineRule="auto"/>
        <w:ind w:right="2"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（4）因重大变故，采购任务取消的</w:t>
      </w:r>
      <w:bookmarkStart w:id="24" w:name="OLE_LINK25"/>
      <w:bookmarkStart w:id="25" w:name="OLE_LINK26"/>
      <w:bookmarkStart w:id="26" w:name="OLE_LINK27"/>
      <w:bookmarkStart w:id="27" w:name="OLE_LINK29"/>
      <w:bookmarkStart w:id="28" w:name="OLE_LINK28"/>
      <w:r>
        <w:rPr>
          <w:rFonts w:hint="default" w:ascii="Times New Roman" w:hAnsi="Times New Roman" w:eastAsia="宋体" w:cs="Times New Roman"/>
          <w:bCs/>
          <w:sz w:val="24"/>
          <w:szCs w:val="24"/>
        </w:rPr>
        <w:t>；</w:t>
      </w:r>
      <w:bookmarkEnd w:id="24"/>
      <w:bookmarkEnd w:id="25"/>
      <w:bookmarkEnd w:id="26"/>
      <w:bookmarkEnd w:id="27"/>
      <w:bookmarkEnd w:id="28"/>
    </w:p>
    <w:p>
      <w:pPr>
        <w:spacing w:line="360" w:lineRule="auto"/>
        <w:ind w:right="2"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（5）投标人承诺同意由于招标人公司政策变化引起的随时终止项目的要求并承担由此带来的一切损失；</w:t>
      </w:r>
    </w:p>
    <w:p>
      <w:pPr>
        <w:pStyle w:val="21"/>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（6）招标人认为其他应终止招标的情形。</w:t>
      </w:r>
    </w:p>
    <w:p>
      <w:pPr>
        <w:spacing w:line="360" w:lineRule="auto"/>
        <w:ind w:firstLine="480" w:firstLineChars="200"/>
        <w:rPr>
          <w:rFonts w:hint="default" w:ascii="Times New Roman" w:hAnsi="Times New Roman" w:eastAsia="宋体" w:cs="Times New Roman"/>
          <w:b/>
          <w:bCs/>
          <w:sz w:val="24"/>
          <w:szCs w:val="32"/>
        </w:rPr>
      </w:pPr>
      <w:r>
        <w:rPr>
          <w:rFonts w:hint="default" w:ascii="Times New Roman" w:hAnsi="Times New Roman" w:eastAsia="宋体" w:cs="Times New Roman"/>
          <w:color w:val="000000"/>
          <w:sz w:val="24"/>
          <w:szCs w:val="24"/>
        </w:rPr>
        <w:t>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rPr>
          <w:rFonts w:hint="default" w:ascii="Times New Roman" w:hAnsi="Times New Roman" w:eastAsia="宋体" w:cs="Times New Roman"/>
          <w:b/>
          <w:color w:val="000000"/>
          <w:sz w:val="24"/>
          <w:szCs w:val="24"/>
        </w:rPr>
      </w:pPr>
      <w:r>
        <w:rPr>
          <w:rFonts w:hint="default" w:ascii="Times New Roman" w:hAnsi="Times New Roman" w:eastAsia="宋体" w:cs="Times New Roman"/>
          <w:b/>
          <w:bCs/>
          <w:sz w:val="24"/>
          <w:szCs w:val="32"/>
        </w:rPr>
        <w:t>九、本次招标最终解释权</w:t>
      </w:r>
      <w:r>
        <w:rPr>
          <w:rFonts w:hint="default" w:ascii="Times New Roman" w:hAnsi="Times New Roman" w:eastAsia="宋体" w:cs="Times New Roman"/>
          <w:b/>
          <w:color w:val="000000"/>
          <w:sz w:val="24"/>
          <w:szCs w:val="24"/>
        </w:rPr>
        <w:t>归中国重汽集团</w:t>
      </w:r>
      <w:r>
        <w:rPr>
          <w:rFonts w:hint="eastAsia" w:ascii="Times New Roman" w:hAnsi="Times New Roman" w:eastAsia="宋体" w:cs="Times New Roman"/>
          <w:b/>
          <w:color w:val="000000"/>
          <w:sz w:val="24"/>
          <w:szCs w:val="24"/>
          <w:lang w:eastAsia="zh-CN"/>
        </w:rPr>
        <w:t>济南商用车</w:t>
      </w:r>
      <w:r>
        <w:rPr>
          <w:rFonts w:hint="default" w:ascii="Times New Roman" w:hAnsi="Times New Roman" w:eastAsia="宋体" w:cs="Times New Roman"/>
          <w:b/>
          <w:color w:val="000000"/>
          <w:sz w:val="24"/>
          <w:szCs w:val="24"/>
        </w:rPr>
        <w:t>有限公司。</w:t>
      </w:r>
    </w:p>
    <w:p>
      <w:pPr>
        <w:pStyle w:val="21"/>
        <w:jc w:val="center"/>
        <w:rPr>
          <w:rFonts w:hint="default" w:ascii="Times New Roman" w:hAnsi="Times New Roman" w:eastAsia="宋体" w:cs="Times New Roman"/>
          <w:b/>
          <w:bCs/>
          <w:kern w:val="44"/>
          <w:sz w:val="36"/>
          <w:szCs w:val="44"/>
        </w:rPr>
      </w:pPr>
    </w:p>
    <w:p>
      <w:pPr>
        <w:rPr>
          <w:rFonts w:hint="default" w:ascii="Times New Roman" w:hAnsi="Times New Roman" w:cs="Times New Roman"/>
        </w:rPr>
        <w:sectPr>
          <w:headerReference r:id="rId9" w:type="default"/>
          <w:footerReference r:id="rId10" w:type="default"/>
          <w:pgSz w:w="11907" w:h="16840"/>
          <w:pgMar w:top="1304" w:right="1418" w:bottom="1304" w:left="1418" w:header="724" w:footer="851" w:gutter="0"/>
          <w:pgBorders>
            <w:top w:val="none" w:sz="0" w:space="0"/>
            <w:left w:val="none" w:sz="0" w:space="0"/>
            <w:bottom w:val="none" w:sz="0" w:space="0"/>
            <w:right w:val="none" w:sz="0" w:space="0"/>
          </w:pgBorders>
          <w:pgNumType w:start="1"/>
          <w:cols w:space="720" w:num="1"/>
          <w:docGrid w:linePitch="290" w:charSpace="-3931"/>
        </w:sectPr>
      </w:pPr>
    </w:p>
    <w:p>
      <w:pPr>
        <w:pStyle w:val="21"/>
        <w:jc w:val="center"/>
        <w:outlineLvl w:val="0"/>
        <w:rPr>
          <w:rFonts w:hint="default" w:ascii="Times New Roman" w:hAnsi="Times New Roman" w:eastAsia="宋体" w:cs="Times New Roman"/>
          <w:b/>
          <w:bCs/>
          <w:kern w:val="44"/>
          <w:sz w:val="36"/>
          <w:szCs w:val="44"/>
        </w:rPr>
      </w:pPr>
      <w:bookmarkStart w:id="29" w:name="_Toc3457"/>
      <w:bookmarkStart w:id="30" w:name="_Toc5583"/>
      <w:bookmarkStart w:id="31" w:name="_Toc22879"/>
      <w:r>
        <w:rPr>
          <w:rFonts w:hint="default" w:ascii="Times New Roman" w:hAnsi="Times New Roman" w:eastAsia="宋体" w:cs="Times New Roman"/>
          <w:b/>
          <w:bCs/>
          <w:kern w:val="44"/>
          <w:sz w:val="36"/>
          <w:szCs w:val="44"/>
        </w:rPr>
        <w:t>第三部分 投标文件编制</w:t>
      </w:r>
      <w:bookmarkEnd w:id="29"/>
      <w:bookmarkEnd w:id="30"/>
      <w:bookmarkEnd w:id="31"/>
    </w:p>
    <w:p>
      <w:pPr>
        <w:keepNext/>
        <w:keepLines/>
        <w:spacing w:line="360" w:lineRule="auto"/>
        <w:outlineLvl w:val="1"/>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一、投标文件的编制</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2投标文件和与投标有关的所有文件均应使用中文。</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3除投标文件的技术规格中另有规定外，投标文件中所使用的计量单位应为中华人民共和国法定计量单位。</w:t>
      </w:r>
    </w:p>
    <w:p>
      <w:pPr>
        <w:keepNext/>
        <w:keepLines/>
        <w:spacing w:line="360" w:lineRule="auto"/>
        <w:outlineLvl w:val="1"/>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二、投标文件资料</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1投标人所投标设备详细技术资料清单，在投标文件中列示说明；</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2投标人完整的技术支持与售后服务实施方案，在投标文件中列示说明，包含但不限于以下内容：</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B、售后服务机构或网点（名称、地址、联系人、电话）。</w:t>
      </w:r>
    </w:p>
    <w:p>
      <w:pPr>
        <w:spacing w:line="360" w:lineRule="auto"/>
        <w:ind w:firstLine="480" w:firstLineChars="200"/>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t>C、针对本项目的技术服务团队情况（人员数量、姓名、电话、专业资质等）。</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D、日常维护保养及故障排除措施保证。</w:t>
      </w:r>
    </w:p>
    <w:p>
      <w:pPr>
        <w:spacing w:line="360" w:lineRule="auto"/>
        <w:ind w:firstLine="480" w:firstLineChars="200"/>
        <w:rPr>
          <w:rFonts w:hint="default" w:ascii="Times New Roman" w:hAnsi="Times New Roman" w:cs="Times New Roman"/>
        </w:rPr>
      </w:pPr>
      <w:r>
        <w:rPr>
          <w:rFonts w:hint="default" w:ascii="Times New Roman" w:hAnsi="Times New Roman" w:eastAsia="宋体" w:cs="Times New Roman"/>
          <w:color w:val="000000"/>
          <w:sz w:val="24"/>
          <w:szCs w:val="24"/>
        </w:rPr>
        <w:t>3投标人关于包装、运输、检验、交付、安装、调试、培训等方案，均需在投标文件中列示说明。</w:t>
      </w:r>
    </w:p>
    <w:p>
      <w:pPr>
        <w:keepNext/>
        <w:keepLines/>
        <w:spacing w:line="360" w:lineRule="auto"/>
        <w:outlineLvl w:val="1"/>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三、投标文件的组成</w:t>
      </w:r>
    </w:p>
    <w:p>
      <w:pPr>
        <w:spacing w:line="360" w:lineRule="auto"/>
        <w:ind w:firstLine="480" w:firstLineChars="200"/>
        <w:rPr>
          <w:rFonts w:hint="default" w:ascii="Times New Roman" w:hAnsi="Times New Roman" w:eastAsia="宋体" w:cs="Times New Roman"/>
          <w:bCs/>
          <w:color w:val="000000"/>
          <w:sz w:val="24"/>
          <w:szCs w:val="24"/>
        </w:rPr>
      </w:pPr>
      <w:r>
        <w:rPr>
          <w:rFonts w:hint="default" w:ascii="Times New Roman" w:hAnsi="Times New Roman" w:eastAsia="宋体" w:cs="Times New Roman"/>
          <w:bCs/>
          <w:sz w:val="24"/>
          <w:szCs w:val="24"/>
        </w:rPr>
        <w:t>本项目投标文件分为</w:t>
      </w:r>
      <w:r>
        <w:rPr>
          <w:rFonts w:hint="default" w:ascii="Times New Roman" w:hAnsi="Times New Roman" w:eastAsia="宋体" w:cs="Times New Roman"/>
          <w:b/>
          <w:sz w:val="24"/>
          <w:szCs w:val="24"/>
        </w:rPr>
        <w:t>纸质版</w:t>
      </w:r>
      <w:r>
        <w:rPr>
          <w:rFonts w:hint="default" w:ascii="Times New Roman" w:hAnsi="Times New Roman" w:eastAsia="宋体" w:cs="Times New Roman"/>
          <w:bCs/>
          <w:sz w:val="24"/>
          <w:szCs w:val="24"/>
        </w:rPr>
        <w:t>投标文件和</w:t>
      </w:r>
      <w:r>
        <w:rPr>
          <w:rFonts w:hint="default" w:ascii="Times New Roman" w:hAnsi="Times New Roman" w:eastAsia="宋体" w:cs="Times New Roman"/>
          <w:b/>
          <w:sz w:val="24"/>
          <w:szCs w:val="24"/>
        </w:rPr>
        <w:t>电子版</w:t>
      </w:r>
      <w:r>
        <w:rPr>
          <w:rFonts w:hint="default" w:ascii="Times New Roman" w:hAnsi="Times New Roman" w:eastAsia="宋体" w:cs="Times New Roman"/>
          <w:bCs/>
          <w:sz w:val="24"/>
          <w:szCs w:val="24"/>
        </w:rPr>
        <w:t>投标文件，均由</w:t>
      </w:r>
      <w:r>
        <w:rPr>
          <w:rFonts w:hint="default" w:ascii="Times New Roman" w:hAnsi="Times New Roman" w:eastAsia="宋体" w:cs="Times New Roman"/>
          <w:b/>
          <w:sz w:val="24"/>
          <w:szCs w:val="24"/>
        </w:rPr>
        <w:t>《投标文件（资质标）》、《投标文件（技术标）》、《投标文件（商务标）》（开标一览表）</w:t>
      </w:r>
      <w:r>
        <w:rPr>
          <w:rFonts w:hint="default" w:ascii="Times New Roman" w:hAnsi="Times New Roman" w:eastAsia="宋体" w:cs="Times New Roman"/>
          <w:bCs/>
          <w:sz w:val="24"/>
          <w:szCs w:val="24"/>
        </w:rPr>
        <w:t>文件组成，共计3</w:t>
      </w:r>
      <w:r>
        <w:rPr>
          <w:rFonts w:hint="default" w:ascii="Times New Roman" w:hAnsi="Times New Roman" w:eastAsia="宋体" w:cs="Times New Roman"/>
          <w:bCs/>
          <w:color w:val="000000"/>
          <w:sz w:val="24"/>
          <w:szCs w:val="24"/>
        </w:rPr>
        <w:t>个文件。</w:t>
      </w:r>
    </w:p>
    <w:p>
      <w:pPr>
        <w:pStyle w:val="17"/>
        <w:ind w:firstLine="480" w:firstLineChars="200"/>
        <w:rPr>
          <w:rFonts w:hint="default" w:ascii="Times New Roman" w:hAnsi="Times New Roman" w:eastAsia="宋体" w:cs="Times New Roman"/>
        </w:rPr>
      </w:pPr>
      <w:r>
        <w:rPr>
          <w:rFonts w:hint="default" w:ascii="Times New Roman" w:hAnsi="Times New Roman" w:eastAsia="宋体" w:cs="Times New Roman"/>
          <w:bCs/>
          <w:color w:val="000000"/>
          <w:sz w:val="24"/>
          <w:szCs w:val="24"/>
        </w:rPr>
        <w:t>电子版投标文件为纸质盖章版的扫描件或加盖电子章，不盖章无效。</w:t>
      </w:r>
    </w:p>
    <w:p>
      <w:pPr>
        <w:spacing w:line="360" w:lineRule="auto"/>
        <w:ind w:firstLine="482" w:firstLineChars="200"/>
        <w:rPr>
          <w:rFonts w:hint="default" w:ascii="Times New Roman" w:hAnsi="Times New Roman" w:eastAsia="宋体" w:cs="Times New Roman"/>
          <w:bCs/>
          <w:color w:val="000000"/>
          <w:sz w:val="24"/>
          <w:szCs w:val="24"/>
        </w:rPr>
      </w:pPr>
      <w:r>
        <w:rPr>
          <w:rFonts w:hint="default" w:ascii="Times New Roman" w:hAnsi="Times New Roman" w:eastAsia="宋体" w:cs="Times New Roman"/>
          <w:b/>
          <w:color w:val="000000"/>
          <w:sz w:val="24"/>
          <w:szCs w:val="24"/>
        </w:rPr>
        <w:t>投标文件的份数要求及投递方式</w:t>
      </w:r>
      <w:r>
        <w:rPr>
          <w:rFonts w:hint="default" w:ascii="Times New Roman" w:hAnsi="Times New Roman" w:eastAsia="宋体" w:cs="Times New Roman"/>
          <w:bCs/>
          <w:color w:val="000000"/>
          <w:sz w:val="24"/>
          <w:szCs w:val="24"/>
        </w:rPr>
        <w:t>，见《投标须知前附表》第3条。</w:t>
      </w:r>
    </w:p>
    <w:p>
      <w:pPr>
        <w:spacing w:line="360" w:lineRule="auto"/>
        <w:ind w:firstLine="480" w:firstLineChars="200"/>
        <w:rPr>
          <w:rFonts w:hint="default" w:ascii="Times New Roman" w:hAnsi="Times New Roman" w:eastAsia="宋体" w:cs="Times New Roman"/>
          <w:bCs/>
          <w:color w:val="000000"/>
          <w:sz w:val="24"/>
          <w:szCs w:val="24"/>
        </w:rPr>
      </w:pPr>
      <w:r>
        <w:rPr>
          <w:rFonts w:hint="default" w:ascii="Times New Roman" w:hAnsi="Times New Roman" w:eastAsia="宋体" w:cs="Times New Roman"/>
          <w:bCs/>
          <w:color w:val="000000"/>
          <w:sz w:val="24"/>
          <w:szCs w:val="24"/>
        </w:rPr>
        <w:t>详见附件格式1—13，其余未尽事宜请按各单位习惯制定即可。</w:t>
      </w:r>
    </w:p>
    <w:p>
      <w:pPr>
        <w:spacing w:line="360" w:lineRule="auto"/>
        <w:ind w:firstLine="482"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b/>
          <w:bCs/>
          <w:sz w:val="24"/>
          <w:szCs w:val="20"/>
        </w:rPr>
        <w:t>1 《投标文件（资质标）》包括</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1.1营业执照副本复印件（需加盖公章）；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1.2投标函（附件1）；</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1.3法定代表人授权书（附件2）；法定代表人参加投标的，提供法人身份证明文件即可；被授权人参加投标的，需提供法定代表人授权委托书</w:t>
      </w:r>
      <w:r>
        <w:rPr>
          <w:rFonts w:hint="default" w:ascii="Times New Roman" w:hAnsi="Times New Roman" w:eastAsia="宋体" w:cs="Times New Roman"/>
          <w:b/>
          <w:color w:val="000000"/>
          <w:sz w:val="24"/>
          <w:szCs w:val="24"/>
        </w:rPr>
        <w:t>（含法人身份证和被授权人身份证正反面复印件）</w:t>
      </w:r>
      <w:r>
        <w:rPr>
          <w:rFonts w:hint="default" w:ascii="Times New Roman" w:hAnsi="Times New Roman" w:eastAsia="宋体" w:cs="Times New Roman"/>
          <w:bCs/>
          <w:color w:val="000000"/>
          <w:sz w:val="24"/>
          <w:szCs w:val="24"/>
        </w:rPr>
        <w:t>和</w:t>
      </w:r>
      <w:r>
        <w:rPr>
          <w:rFonts w:hint="default" w:ascii="Times New Roman" w:hAnsi="Times New Roman" w:eastAsia="宋体" w:cs="Times New Roman"/>
          <w:sz w:val="24"/>
          <w:szCs w:val="24"/>
        </w:rPr>
        <w:t>被授权人在授权单位的</w:t>
      </w:r>
      <w:r>
        <w:rPr>
          <w:rFonts w:hint="default" w:ascii="Times New Roman" w:hAnsi="Times New Roman" w:eastAsia="宋体" w:cs="Times New Roman"/>
          <w:kern w:val="0"/>
          <w:sz w:val="24"/>
          <w:szCs w:val="21"/>
          <w:lang w:bidi="en-US"/>
        </w:rPr>
        <w:t>近</w:t>
      </w:r>
      <w:r>
        <w:rPr>
          <w:rFonts w:hint="default" w:ascii="Times New Roman" w:hAnsi="Times New Roman" w:eastAsia="宋体" w:cs="Times New Roman"/>
          <w:kern w:val="0"/>
          <w:sz w:val="24"/>
          <w:szCs w:val="21"/>
          <w:highlight w:val="yellow"/>
          <w:u w:val="single"/>
          <w:lang w:bidi="en-US"/>
        </w:rPr>
        <w:t>6个月及以上</w:t>
      </w:r>
      <w:r>
        <w:rPr>
          <w:rFonts w:hint="default" w:ascii="Times New Roman" w:hAnsi="Times New Roman" w:eastAsia="宋体" w:cs="Times New Roman"/>
          <w:kern w:val="0"/>
          <w:sz w:val="24"/>
          <w:szCs w:val="21"/>
          <w:lang w:bidi="en-US"/>
        </w:rPr>
        <w:t>社保缴纳证明</w:t>
      </w:r>
      <w:r>
        <w:rPr>
          <w:rFonts w:hint="default" w:ascii="Times New Roman" w:hAnsi="Times New Roman" w:eastAsia="宋体" w:cs="Times New Roman"/>
          <w:b/>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1.4拟投标人</w:t>
      </w:r>
      <w:r>
        <w:rPr>
          <w:rFonts w:hint="default" w:ascii="Times New Roman" w:hAnsi="Times New Roman" w:eastAsia="宋体" w:cs="Times New Roman"/>
          <w:sz w:val="24"/>
          <w:szCs w:val="24"/>
          <w:highlight w:val="yellow"/>
        </w:rPr>
        <w:t>2020年1月1日</w:t>
      </w:r>
      <w:r>
        <w:rPr>
          <w:rFonts w:hint="default" w:ascii="Times New Roman" w:hAnsi="Times New Roman" w:eastAsia="宋体" w:cs="Times New Roman"/>
          <w:sz w:val="24"/>
          <w:szCs w:val="24"/>
        </w:rPr>
        <w:t>至今</w:t>
      </w:r>
      <w:r>
        <w:rPr>
          <w:rFonts w:hint="default" w:ascii="Times New Roman" w:hAnsi="Times New Roman" w:eastAsia="宋体" w:cs="Times New Roman"/>
          <w:color w:val="000000"/>
          <w:sz w:val="24"/>
          <w:szCs w:val="24"/>
        </w:rPr>
        <w:t>经经会计师事务所审计且出具无保留意见的财务审计报告，并加盖公章，包括但不限于报告页、经审计的资产负债表、利润表、现金流量表及报表附注，必须连续，同时填写投标人基本情况及资产情况汇总表（附件3）；对于境外投标人，若没有财务审计报告，需提供资产负债表、利润表、现金流量表（加盖公章版），且未显示异常；</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1.5近三年内在经营活动中</w:t>
      </w:r>
      <w:r>
        <w:rPr>
          <w:rFonts w:hint="default" w:ascii="Times New Roman" w:hAnsi="Times New Roman" w:eastAsia="宋体" w:cs="Times New Roman"/>
          <w:color w:val="000000"/>
          <w:sz w:val="24"/>
          <w:szCs w:val="24"/>
          <w:highlight w:val="yellow"/>
        </w:rPr>
        <w:t>无与本项目有关的违法及重大违规</w:t>
      </w:r>
      <w:r>
        <w:rPr>
          <w:rFonts w:hint="default" w:ascii="Times New Roman" w:hAnsi="Times New Roman" w:eastAsia="宋体" w:cs="Times New Roman"/>
          <w:color w:val="000000"/>
          <w:sz w:val="24"/>
          <w:szCs w:val="24"/>
        </w:rPr>
        <w:t>行为的声明；</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1.6投标单位在国家企业信用信息公示系统中无与本项目有关的行政处罚、经营异常和失信信息的声明；</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1.7企业信用证明材料（征信报告）；</w:t>
      </w:r>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color w:val="000000"/>
          <w:sz w:val="24"/>
          <w:szCs w:val="24"/>
        </w:rPr>
        <w:t>1.8代理商投标要携带生产商的授权书、原厂售后服务承诺书，</w:t>
      </w:r>
      <w:r>
        <w:rPr>
          <w:rFonts w:hint="default" w:ascii="Times New Roman" w:hAnsi="Times New Roman" w:eastAsia="宋体" w:cs="Times New Roman"/>
          <w:b/>
          <w:color w:val="000000"/>
          <w:sz w:val="24"/>
          <w:szCs w:val="24"/>
        </w:rPr>
        <w:t>根据实际情况提供即可，无格式限制</w:t>
      </w:r>
      <w:r>
        <w:rPr>
          <w:rFonts w:hint="default" w:ascii="Times New Roman" w:hAnsi="Times New Roman" w:eastAsia="宋体" w:cs="Times New Roman"/>
          <w:color w:val="000000"/>
          <w:sz w:val="24"/>
          <w:szCs w:val="24"/>
        </w:rPr>
        <w:t>（</w:t>
      </w:r>
      <w:r>
        <w:rPr>
          <w:rFonts w:hint="default" w:ascii="Times New Roman" w:hAnsi="Times New Roman" w:eastAsia="宋体" w:cs="Times New Roman"/>
          <w:color w:val="000000"/>
          <w:sz w:val="24"/>
          <w:szCs w:val="24"/>
          <w:highlight w:val="yellow"/>
        </w:rPr>
        <w:t>包括所代理品牌针对项目的唯一授权书</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1.9企业最近半年的完税证明，年度纳税信用评价信息（可从电子税务局查询截图，需加盖公章）；</w:t>
      </w:r>
    </w:p>
    <w:p>
      <w:pPr>
        <w:widowControl/>
        <w:spacing w:line="360" w:lineRule="auto"/>
        <w:ind w:firstLine="480" w:firstLineChars="200"/>
        <w:jc w:val="left"/>
        <w:rPr>
          <w:rFonts w:hint="default" w:ascii="Times New Roman" w:hAnsi="Times New Roman" w:cs="Times New Roman"/>
        </w:rPr>
      </w:pPr>
      <w:r>
        <w:rPr>
          <w:rFonts w:hint="default" w:ascii="Times New Roman" w:hAnsi="Times New Roman" w:eastAsia="宋体" w:cs="Times New Roman"/>
          <w:color w:val="000000"/>
          <w:sz w:val="24"/>
          <w:szCs w:val="24"/>
          <w:lang w:bidi="ar"/>
        </w:rPr>
        <w:t>1.10企业对外担保说明（写明贵单位对外有无对外担保和 质押业务，需加盖公章）</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1.11保密承诺函（附件4）；</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1.12 </w:t>
      </w:r>
      <w:r>
        <w:rPr>
          <w:rFonts w:hint="default" w:ascii="Times New Roman" w:hAnsi="Times New Roman" w:eastAsia="宋体" w:cs="Times New Roman"/>
          <w:color w:val="000000"/>
          <w:sz w:val="24"/>
          <w:szCs w:val="24"/>
          <w:highlight w:val="yellow"/>
        </w:rPr>
        <w:t>2020年1月1日至今，</w:t>
      </w:r>
      <w:r>
        <w:rPr>
          <w:rFonts w:hint="default" w:ascii="Times New Roman" w:hAnsi="Times New Roman" w:eastAsia="宋体" w:cs="Times New Roman"/>
          <w:color w:val="000000"/>
          <w:sz w:val="24"/>
          <w:szCs w:val="24"/>
        </w:rPr>
        <w:t>企业近三年同类项目业绩证明；</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1.13投标保证金缴纳凭证。</w:t>
      </w:r>
    </w:p>
    <w:p>
      <w:pPr>
        <w:spacing w:line="360" w:lineRule="auto"/>
        <w:ind w:firstLine="482" w:firstLineChars="200"/>
        <w:rPr>
          <w:rFonts w:hint="default" w:ascii="Times New Roman" w:hAnsi="Times New Roman" w:eastAsia="宋体" w:cs="Times New Roman"/>
          <w:b/>
          <w:bCs/>
          <w:sz w:val="24"/>
          <w:szCs w:val="20"/>
        </w:rPr>
      </w:pPr>
      <w:bookmarkStart w:id="32" w:name="_Toc212369515"/>
      <w:r>
        <w:rPr>
          <w:rFonts w:hint="default" w:ascii="Times New Roman" w:hAnsi="Times New Roman" w:eastAsia="宋体" w:cs="Times New Roman"/>
          <w:b/>
          <w:bCs/>
          <w:sz w:val="24"/>
          <w:szCs w:val="20"/>
        </w:rPr>
        <w:t xml:space="preserve">2 </w:t>
      </w:r>
      <w:r>
        <w:rPr>
          <w:rFonts w:hint="default" w:ascii="Times New Roman" w:hAnsi="Times New Roman" w:eastAsia="宋体" w:cs="Times New Roman"/>
          <w:b/>
          <w:sz w:val="24"/>
          <w:szCs w:val="28"/>
        </w:rPr>
        <w:t>《投标文件（技术标）》</w:t>
      </w:r>
      <w:r>
        <w:rPr>
          <w:rFonts w:hint="default" w:ascii="Times New Roman" w:hAnsi="Times New Roman" w:eastAsia="宋体" w:cs="Times New Roman"/>
          <w:b/>
          <w:bCs/>
          <w:sz w:val="24"/>
          <w:szCs w:val="20"/>
        </w:rPr>
        <w:t>：</w:t>
      </w:r>
      <w:bookmarkEnd w:id="32"/>
    </w:p>
    <w:p>
      <w:pPr>
        <w:spacing w:line="360" w:lineRule="auto"/>
        <w:ind w:firstLine="480" w:firstLineChars="200"/>
        <w:rPr>
          <w:rFonts w:hint="default" w:ascii="Times New Roman" w:hAnsi="Times New Roman" w:eastAsia="宋体" w:cs="Times New Roman"/>
          <w:highlight w:val="yellow"/>
        </w:rPr>
      </w:pPr>
      <w:r>
        <w:rPr>
          <w:rFonts w:hint="default" w:ascii="Times New Roman" w:hAnsi="Times New Roman" w:eastAsia="宋体" w:cs="Times New Roman"/>
          <w:color w:val="000000"/>
          <w:sz w:val="24"/>
          <w:szCs w:val="24"/>
        </w:rPr>
        <w:t>2.1技术规格偏离表（附件5），</w:t>
      </w:r>
      <w:r>
        <w:rPr>
          <w:rFonts w:hint="default" w:ascii="Times New Roman" w:hAnsi="Times New Roman" w:eastAsia="宋体" w:cs="Times New Roman"/>
          <w:b/>
          <w:color w:val="000000"/>
          <w:sz w:val="24"/>
          <w:szCs w:val="24"/>
        </w:rPr>
        <w:t>必须先进行两列要求一一对照，不允许直接写无偏离；</w:t>
      </w:r>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bCs/>
          <w:color w:val="000000"/>
          <w:sz w:val="24"/>
          <w:szCs w:val="24"/>
        </w:rPr>
        <w:t>2.3</w:t>
      </w:r>
      <w:r>
        <w:rPr>
          <w:rFonts w:hint="default" w:ascii="Times New Roman" w:hAnsi="Times New Roman" w:eastAsia="宋体" w:cs="Times New Roman"/>
          <w:color w:val="000000"/>
          <w:sz w:val="24"/>
          <w:szCs w:val="24"/>
        </w:rPr>
        <w:t>提供</w:t>
      </w:r>
      <w:r>
        <w:rPr>
          <w:rFonts w:hint="default" w:ascii="Times New Roman" w:hAnsi="Times New Roman" w:eastAsia="宋体" w:cs="Times New Roman"/>
          <w:color w:val="000000"/>
          <w:sz w:val="24"/>
          <w:szCs w:val="24"/>
          <w:highlight w:val="yellow"/>
        </w:rPr>
        <w:t>2020年1月1日</w:t>
      </w:r>
      <w:r>
        <w:rPr>
          <w:rFonts w:hint="default" w:ascii="Times New Roman" w:hAnsi="Times New Roman" w:eastAsia="宋体" w:cs="Times New Roman"/>
          <w:color w:val="000000"/>
          <w:sz w:val="24"/>
          <w:szCs w:val="24"/>
        </w:rPr>
        <w:t>以来同类产品的制造销售业绩（用户名单、联系方式），并附合同复印件。该同类项目业绩一览表必</w:t>
      </w:r>
      <w:r>
        <w:rPr>
          <w:rFonts w:hint="default" w:ascii="Times New Roman" w:hAnsi="Times New Roman" w:eastAsia="宋体" w:cs="Times New Roman"/>
          <w:b/>
          <w:bCs/>
          <w:color w:val="000000"/>
          <w:sz w:val="24"/>
          <w:szCs w:val="24"/>
        </w:rPr>
        <w:t>须如实填写，应全尽全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bCs/>
          <w:color w:val="000000"/>
          <w:sz w:val="24"/>
          <w:szCs w:val="24"/>
        </w:rPr>
        <w:t>一览表最终的所有业绩合同总额汇总必填</w:t>
      </w:r>
      <w:r>
        <w:rPr>
          <w:rFonts w:hint="default" w:ascii="Times New Roman" w:hAnsi="Times New Roman" w:eastAsia="宋体" w:cs="Times New Roman"/>
          <w:color w:val="000000"/>
          <w:sz w:val="24"/>
          <w:szCs w:val="24"/>
        </w:rPr>
        <w:t>，数据将影响现场评标专家组对投标单位的业绩考评。</w:t>
      </w:r>
      <w:r>
        <w:rPr>
          <w:rFonts w:hint="default" w:ascii="Times New Roman" w:hAnsi="Times New Roman" w:eastAsia="宋体" w:cs="Times New Roman"/>
          <w:b/>
          <w:bCs/>
          <w:color w:val="000000"/>
          <w:sz w:val="24"/>
          <w:szCs w:val="24"/>
        </w:rPr>
        <w:t>若未提供相应业绩证明，根据技术标评分规则，将影响现场评标专家组对投标单位业绩判定打分</w:t>
      </w:r>
      <w:r>
        <w:rPr>
          <w:rFonts w:hint="default" w:ascii="Times New Roman" w:hAnsi="Times New Roman" w:eastAsia="宋体" w:cs="Times New Roman"/>
          <w:b/>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2.4供货期及保证措施；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2.5产品的技术服务和售后服务内容及措施；</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2.6交货进度及计划；</w:t>
      </w:r>
    </w:p>
    <w:p>
      <w:pPr>
        <w:spacing w:line="360" w:lineRule="auto"/>
        <w:ind w:firstLine="480" w:firstLineChars="200"/>
        <w:rPr>
          <w:rFonts w:hint="default" w:ascii="Times New Roman" w:hAnsi="Times New Roman" w:eastAsia="宋体" w:cs="Times New Roman"/>
          <w:color w:val="000000"/>
          <w:sz w:val="24"/>
          <w:szCs w:val="24"/>
        </w:rPr>
      </w:pPr>
      <w:bookmarkStart w:id="33" w:name="_Toc536542319"/>
      <w:r>
        <w:rPr>
          <w:rFonts w:hint="default" w:ascii="Times New Roman" w:hAnsi="Times New Roman" w:eastAsia="宋体" w:cs="Times New Roman"/>
          <w:color w:val="000000"/>
          <w:sz w:val="24"/>
          <w:szCs w:val="24"/>
        </w:rPr>
        <w:t>2.7投标产品技术支持材料</w:t>
      </w:r>
      <w:bookmarkEnd w:id="33"/>
      <w:r>
        <w:rPr>
          <w:rFonts w:hint="default" w:ascii="Times New Roman" w:hAnsi="Times New Roman" w:eastAsia="宋体" w:cs="Times New Roman"/>
          <w:color w:val="000000"/>
          <w:sz w:val="24"/>
          <w:szCs w:val="24"/>
        </w:rPr>
        <w:t>，投标人所投标设备详细技术资料清单；</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2.8设备质量承诺函（附件7）；</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2.9投标人需提交的其它资料。</w:t>
      </w:r>
    </w:p>
    <w:p>
      <w:pPr>
        <w:spacing w:line="360" w:lineRule="auto"/>
        <w:ind w:firstLine="482" w:firstLineChars="200"/>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 xml:space="preserve">3 </w:t>
      </w:r>
      <w:r>
        <w:rPr>
          <w:rFonts w:hint="default" w:ascii="Times New Roman" w:hAnsi="Times New Roman" w:eastAsia="宋体" w:cs="Times New Roman"/>
          <w:b/>
          <w:sz w:val="24"/>
          <w:szCs w:val="28"/>
        </w:rPr>
        <w:t>《投标文件（商务标）》（开标一览表）</w:t>
      </w:r>
      <w:r>
        <w:rPr>
          <w:rFonts w:hint="default" w:ascii="Times New Roman" w:hAnsi="Times New Roman" w:eastAsia="宋体" w:cs="Times New Roman"/>
          <w:b/>
          <w:bCs/>
          <w:sz w:val="24"/>
          <w:szCs w:val="20"/>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3.1开标一览表（附件8）；</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3.2投标报价明细表（附件9-1至9-5）</w:t>
      </w:r>
      <w:r>
        <w:rPr>
          <w:rFonts w:hint="default" w:ascii="Times New Roman" w:hAnsi="Times New Roman" w:eastAsia="宋体" w:cs="Times New Roman"/>
          <w:b/>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3.3商务条款偏离表（附件10）</w:t>
      </w:r>
      <w:bookmarkStart w:id="34" w:name="OLE_LINK19"/>
      <w:bookmarkStart w:id="35" w:name="OLE_LINK18"/>
      <w:r>
        <w:rPr>
          <w:rFonts w:hint="default" w:ascii="Times New Roman" w:hAnsi="Times New Roman" w:eastAsia="宋体" w:cs="Times New Roman"/>
          <w:b/>
          <w:color w:val="000000"/>
          <w:sz w:val="24"/>
          <w:szCs w:val="24"/>
        </w:rPr>
        <w:t>；</w:t>
      </w:r>
      <w:bookmarkEnd w:id="34"/>
      <w:bookmarkEnd w:id="35"/>
      <w:r>
        <w:rPr>
          <w:rFonts w:hint="default" w:ascii="Times New Roman" w:hAnsi="Times New Roman" w:eastAsia="宋体" w:cs="Times New Roman"/>
          <w:color w:val="000000"/>
          <w:sz w:val="24"/>
          <w:szCs w:val="24"/>
        </w:rPr>
        <w:t xml:space="preserve"> </w:t>
      </w:r>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color w:val="000000"/>
          <w:sz w:val="24"/>
          <w:szCs w:val="24"/>
        </w:rPr>
        <w:t>3.4投标人承诺（附件11）</w:t>
      </w:r>
      <w:r>
        <w:rPr>
          <w:rFonts w:hint="default" w:ascii="Times New Roman" w:hAnsi="Times New Roman" w:eastAsia="宋体" w:cs="Times New Roman"/>
          <w:b/>
          <w:color w:val="000000"/>
          <w:sz w:val="24"/>
          <w:szCs w:val="24"/>
        </w:rPr>
        <w:t>；</w:t>
      </w:r>
    </w:p>
    <w:p>
      <w:pPr>
        <w:spacing w:line="360" w:lineRule="auto"/>
        <w:ind w:firstLine="480" w:firstLineChars="200"/>
        <w:rPr>
          <w:rFonts w:hint="default" w:ascii="Times New Roman" w:hAnsi="Times New Roman" w:eastAsia="宋体" w:cs="Times New Roman"/>
          <w:b/>
          <w:color w:val="000000"/>
          <w:sz w:val="24"/>
          <w:szCs w:val="24"/>
        </w:rPr>
      </w:pPr>
      <w:r>
        <w:rPr>
          <w:rFonts w:hint="default" w:ascii="Times New Roman" w:hAnsi="Times New Roman" w:eastAsia="宋体" w:cs="Times New Roman"/>
          <w:color w:val="000000"/>
          <w:sz w:val="24"/>
          <w:szCs w:val="24"/>
        </w:rPr>
        <w:t>3.5服务承诺函（附件12），</w:t>
      </w:r>
      <w:r>
        <w:rPr>
          <w:rFonts w:hint="default" w:ascii="Times New Roman" w:hAnsi="Times New Roman" w:eastAsia="宋体" w:cs="Times New Roman"/>
          <w:b/>
          <w:color w:val="000000"/>
          <w:sz w:val="24"/>
          <w:szCs w:val="24"/>
        </w:rPr>
        <w:t>需写明质保期以外服务费用情况</w:t>
      </w:r>
      <w:r>
        <w:rPr>
          <w:rFonts w:hint="default" w:ascii="Times New Roman" w:hAnsi="Times New Roman" w:eastAsia="宋体" w:cs="Times New Roman"/>
          <w:color w:val="000000"/>
          <w:sz w:val="24"/>
          <w:szCs w:val="24"/>
        </w:rPr>
        <w:t>；</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3.6按招标文件投标人须知和技术规格书中要求提供的有关文件。</w:t>
      </w:r>
    </w:p>
    <w:p>
      <w:pPr>
        <w:keepNext/>
        <w:keepLines/>
        <w:spacing w:line="360" w:lineRule="auto"/>
        <w:outlineLvl w:val="1"/>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四、投标文件格式</w:t>
      </w:r>
    </w:p>
    <w:p>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详见第六部分投标文件附件格式1—13，其余未尽事宜请按各投标人习惯制定即可。</w:t>
      </w:r>
    </w:p>
    <w:p>
      <w:pPr>
        <w:pStyle w:val="21"/>
        <w:jc w:val="center"/>
        <w:rPr>
          <w:rFonts w:hint="default" w:ascii="Times New Roman" w:hAnsi="Times New Roman" w:eastAsia="宋体" w:cs="Times New Roman"/>
          <w:b/>
          <w:bCs/>
          <w:kern w:val="44"/>
          <w:sz w:val="36"/>
          <w:szCs w:val="44"/>
        </w:rPr>
      </w:pPr>
    </w:p>
    <w:p>
      <w:pPr>
        <w:rPr>
          <w:rFonts w:hint="default" w:ascii="Times New Roman" w:hAnsi="Times New Roman" w:cs="Times New Roman"/>
        </w:rPr>
        <w:sectPr>
          <w:pgSz w:w="11907" w:h="16840"/>
          <w:pgMar w:top="1304" w:right="1418" w:bottom="1304" w:left="1418" w:header="724" w:footer="851" w:gutter="0"/>
          <w:pgBorders>
            <w:top w:val="none" w:sz="0" w:space="0"/>
            <w:left w:val="none" w:sz="0" w:space="0"/>
            <w:bottom w:val="none" w:sz="0" w:space="0"/>
            <w:right w:val="none" w:sz="0" w:space="0"/>
          </w:pgBorders>
          <w:cols w:space="720" w:num="1"/>
          <w:docGrid w:linePitch="290" w:charSpace="-3931"/>
        </w:sectPr>
      </w:pPr>
    </w:p>
    <w:p>
      <w:pPr>
        <w:pStyle w:val="21"/>
        <w:rPr>
          <w:rFonts w:hint="default" w:ascii="Times New Roman" w:hAnsi="Times New Roman" w:cs="Times New Roman"/>
        </w:rPr>
      </w:pPr>
      <w:bookmarkStart w:id="36" w:name="_Toc9849"/>
      <w:bookmarkStart w:id="37" w:name="_Toc12825"/>
    </w:p>
    <w:bookmarkEnd w:id="36"/>
    <w:bookmarkEnd w:id="37"/>
    <w:p>
      <w:pPr>
        <w:pStyle w:val="21"/>
      </w:pPr>
    </w:p>
    <w:p>
      <w:pPr>
        <w:pStyle w:val="21"/>
        <w:spacing w:line="240" w:lineRule="auto"/>
        <w:ind w:firstLine="723" w:firstLineChars="0"/>
        <w:jc w:val="center"/>
        <w:textAlignment w:val="auto"/>
        <w:outlineLvl w:val="0"/>
        <w:rPr>
          <w:rFonts w:ascii="Times New Roman" w:hAnsi="Times New Roman" w:eastAsia="宋体" w:cs="Times New Roman"/>
          <w:b/>
          <w:bCs/>
          <w:kern w:val="44"/>
          <w:sz w:val="36"/>
          <w:szCs w:val="44"/>
        </w:rPr>
      </w:pPr>
      <w:r>
        <w:rPr>
          <w:rFonts w:ascii="Times New Roman" w:hAnsi="Times New Roman" w:eastAsia="宋体" w:cs="Times New Roman"/>
          <w:b/>
          <w:bCs/>
          <w:kern w:val="44"/>
          <w:sz w:val="36"/>
          <w:szCs w:val="44"/>
        </w:rPr>
        <w:t>第四部分 技术标书</w:t>
      </w:r>
    </w:p>
    <w:p/>
    <w:p>
      <w:pPr>
        <w:keepNext/>
        <w:keepLines/>
        <w:spacing w:line="240" w:lineRule="auto"/>
        <w:ind w:firstLine="932" w:firstLineChars="0"/>
        <w:jc w:val="center"/>
        <w:textAlignment w:val="auto"/>
        <w:rPr>
          <w:rFonts w:ascii="Times New Roman" w:hAnsi="Times New Roman" w:eastAsia="宋体" w:cs="Times New Roman"/>
          <w:b/>
          <w:bCs/>
          <w:color w:val="000000"/>
          <w:spacing w:val="-8"/>
          <w:sz w:val="48"/>
          <w:szCs w:val="44"/>
        </w:rPr>
      </w:pPr>
      <w:r>
        <w:rPr>
          <w:rFonts w:ascii="Times New Roman" w:hAnsi="Times New Roman" w:eastAsia="宋体" w:cs="Times New Roman"/>
          <w:b/>
          <w:bCs/>
          <w:color w:val="000000"/>
          <w:spacing w:val="-8"/>
          <w:sz w:val="48"/>
          <w:szCs w:val="44"/>
        </w:rPr>
        <w:t>中国重汽集团</w:t>
      </w:r>
      <w:r>
        <w:rPr>
          <w:rFonts w:hint="eastAsia" w:ascii="Times New Roman" w:hAnsi="Times New Roman" w:eastAsia="宋体" w:cs="Times New Roman"/>
          <w:b/>
          <w:bCs/>
          <w:color w:val="000000"/>
          <w:spacing w:val="-8"/>
          <w:sz w:val="48"/>
          <w:szCs w:val="44"/>
        </w:rPr>
        <w:t>济南动力有限公司</w:t>
      </w:r>
    </w:p>
    <w:p>
      <w:pPr>
        <w:keepNext/>
        <w:keepLines/>
        <w:spacing w:line="240" w:lineRule="auto"/>
        <w:ind w:firstLine="932" w:firstLineChars="0"/>
        <w:jc w:val="center"/>
        <w:textAlignment w:val="auto"/>
        <w:rPr>
          <w:rFonts w:ascii="Times New Roman" w:hAnsi="Times New Roman" w:eastAsia="宋体" w:cs="Times New Roman"/>
          <w:b/>
          <w:bCs/>
          <w:color w:val="000000"/>
          <w:spacing w:val="-8"/>
          <w:sz w:val="48"/>
          <w:szCs w:val="44"/>
        </w:rPr>
      </w:pPr>
      <w:r>
        <w:rPr>
          <w:rFonts w:ascii="Times New Roman" w:hAnsi="Times New Roman" w:eastAsia="宋体" w:cs="Times New Roman"/>
          <w:b/>
          <w:bCs/>
          <w:color w:val="000000"/>
          <w:spacing w:val="-8"/>
          <w:sz w:val="48"/>
          <w:szCs w:val="44"/>
        </w:rPr>
        <w:t>车轮六分力传感器及配套设备采购项目</w:t>
      </w:r>
    </w:p>
    <w:p/>
    <w:p>
      <w:pPr>
        <w:pStyle w:val="21"/>
      </w:pPr>
    </w:p>
    <w:p>
      <w:pPr>
        <w:spacing w:line="240" w:lineRule="auto"/>
        <w:ind w:firstLine="1446" w:firstLineChars="0"/>
        <w:jc w:val="center"/>
        <w:textAlignment w:val="auto"/>
        <w:rPr>
          <w:rFonts w:ascii="Times New Roman" w:hAnsi="Times New Roman" w:eastAsia="黑体" w:cs="Times New Roman"/>
          <w:color w:val="000000"/>
          <w:sz w:val="72"/>
          <w:szCs w:val="72"/>
        </w:rPr>
      </w:pPr>
      <w:r>
        <w:rPr>
          <w:rFonts w:ascii="Times New Roman" w:hAnsi="Times New Roman" w:eastAsia="黑体" w:cs="Times New Roman"/>
          <w:color w:val="000000"/>
          <w:sz w:val="72"/>
          <w:szCs w:val="72"/>
        </w:rPr>
        <w:t>技</w:t>
      </w:r>
    </w:p>
    <w:p>
      <w:pPr>
        <w:spacing w:line="240" w:lineRule="auto"/>
        <w:ind w:firstLine="1446" w:firstLineChars="0"/>
        <w:jc w:val="center"/>
        <w:textAlignment w:val="auto"/>
        <w:rPr>
          <w:rFonts w:ascii="Times New Roman" w:hAnsi="Times New Roman" w:eastAsia="黑体" w:cs="Times New Roman"/>
          <w:color w:val="000000"/>
          <w:sz w:val="72"/>
          <w:szCs w:val="72"/>
        </w:rPr>
      </w:pPr>
      <w:r>
        <w:rPr>
          <w:rFonts w:ascii="Times New Roman" w:hAnsi="Times New Roman" w:eastAsia="黑体" w:cs="Times New Roman"/>
          <w:color w:val="000000"/>
          <w:sz w:val="72"/>
          <w:szCs w:val="72"/>
        </w:rPr>
        <w:t>术</w:t>
      </w:r>
    </w:p>
    <w:p>
      <w:pPr>
        <w:spacing w:line="240" w:lineRule="auto"/>
        <w:ind w:firstLine="1446" w:firstLineChars="0"/>
        <w:jc w:val="center"/>
        <w:textAlignment w:val="auto"/>
        <w:rPr>
          <w:rFonts w:ascii="Times New Roman" w:hAnsi="Times New Roman" w:eastAsia="黑体" w:cs="Times New Roman"/>
          <w:color w:val="000000"/>
          <w:sz w:val="72"/>
          <w:szCs w:val="72"/>
        </w:rPr>
      </w:pPr>
      <w:r>
        <w:rPr>
          <w:rFonts w:ascii="Times New Roman" w:hAnsi="Times New Roman" w:eastAsia="黑体" w:cs="Times New Roman"/>
          <w:color w:val="000000"/>
          <w:sz w:val="72"/>
          <w:szCs w:val="72"/>
        </w:rPr>
        <w:t>标</w:t>
      </w:r>
    </w:p>
    <w:p>
      <w:pPr>
        <w:spacing w:line="240" w:lineRule="auto"/>
        <w:ind w:firstLine="1446" w:firstLineChars="0"/>
        <w:jc w:val="center"/>
        <w:textAlignment w:val="auto"/>
        <w:rPr>
          <w:rFonts w:ascii="Times New Roman" w:hAnsi="Times New Roman" w:eastAsia="黑体" w:cs="Times New Roman"/>
          <w:color w:val="000000"/>
          <w:sz w:val="72"/>
          <w:szCs w:val="72"/>
        </w:rPr>
      </w:pPr>
      <w:r>
        <w:rPr>
          <w:rFonts w:ascii="Times New Roman" w:hAnsi="Times New Roman" w:eastAsia="黑体" w:cs="Times New Roman"/>
          <w:color w:val="000000"/>
          <w:sz w:val="72"/>
          <w:szCs w:val="72"/>
        </w:rPr>
        <w:t>书</w:t>
      </w:r>
    </w:p>
    <w:p>
      <w:pPr>
        <w:pStyle w:val="21"/>
      </w:pPr>
    </w:p>
    <w:p>
      <w:pPr>
        <w:pStyle w:val="21"/>
      </w:pPr>
    </w:p>
    <w:p>
      <w:pPr>
        <w:pStyle w:val="21"/>
        <w:rPr>
          <w:rFonts w:ascii="Times New Roman" w:hAnsi="Times New Roman" w:eastAsia="华文仿宋" w:cs="Times New Roman"/>
          <w:b/>
          <w:bCs/>
          <w:sz w:val="32"/>
          <w:szCs w:val="28"/>
        </w:rPr>
      </w:pPr>
    </w:p>
    <w:p>
      <w:pPr>
        <w:spacing w:line="860" w:lineRule="exact"/>
        <w:ind w:firstLine="641" w:firstLineChars="0"/>
        <w:jc w:val="both"/>
        <w:textAlignment w:val="auto"/>
        <w:rPr>
          <w:rFonts w:ascii="Times New Roman" w:hAnsi="Times New Roman" w:eastAsia="华文仿宋" w:cs="Times New Roman"/>
          <w:b/>
          <w:bCs/>
          <w:sz w:val="32"/>
          <w:szCs w:val="28"/>
        </w:rPr>
      </w:pPr>
      <w:r>
        <w:rPr>
          <w:rFonts w:ascii="Times New Roman" w:hAnsi="Times New Roman" w:eastAsia="华文仿宋" w:cs="Times New Roman"/>
          <w:b/>
          <w:bCs/>
          <w:sz w:val="32"/>
          <w:szCs w:val="28"/>
        </w:rPr>
        <w:t xml:space="preserve">                 编制：            </w:t>
      </w:r>
    </w:p>
    <w:p>
      <w:pPr>
        <w:spacing w:line="860" w:lineRule="exact"/>
        <w:ind w:firstLine="641" w:firstLineChars="0"/>
        <w:jc w:val="both"/>
        <w:textAlignment w:val="auto"/>
        <w:rPr>
          <w:rFonts w:ascii="Times New Roman" w:hAnsi="Times New Roman" w:eastAsia="华文仿宋" w:cs="Times New Roman"/>
          <w:b/>
          <w:bCs/>
          <w:sz w:val="32"/>
          <w:szCs w:val="28"/>
        </w:rPr>
      </w:pPr>
      <w:r>
        <w:rPr>
          <w:rFonts w:ascii="Times New Roman" w:hAnsi="Times New Roman" w:eastAsia="华文仿宋" w:cs="Times New Roman"/>
          <w:b/>
          <w:bCs/>
          <w:sz w:val="32"/>
          <w:szCs w:val="28"/>
        </w:rPr>
        <w:t xml:space="preserve">                 审核：             </w:t>
      </w:r>
    </w:p>
    <w:p>
      <w:pPr>
        <w:spacing w:line="860" w:lineRule="exact"/>
        <w:ind w:firstLine="641" w:firstLineChars="0"/>
        <w:jc w:val="both"/>
        <w:textAlignment w:val="auto"/>
        <w:rPr>
          <w:rFonts w:ascii="Times New Roman" w:hAnsi="Times New Roman" w:eastAsia="华文仿宋" w:cs="Times New Roman"/>
          <w:b/>
          <w:bCs/>
          <w:sz w:val="32"/>
          <w:szCs w:val="28"/>
        </w:rPr>
      </w:pPr>
      <w:r>
        <w:rPr>
          <w:rFonts w:ascii="Times New Roman" w:hAnsi="Times New Roman" w:eastAsia="华文仿宋" w:cs="Times New Roman"/>
          <w:b/>
          <w:bCs/>
          <w:sz w:val="32"/>
          <w:szCs w:val="28"/>
        </w:rPr>
        <w:t xml:space="preserve">                 批准：     </w:t>
      </w:r>
    </w:p>
    <w:p>
      <w:pPr>
        <w:pStyle w:val="21"/>
      </w:pPr>
    </w:p>
    <w:p>
      <w:pPr>
        <w:spacing w:line="240" w:lineRule="auto"/>
        <w:ind w:firstLine="562" w:firstLineChars="0"/>
        <w:jc w:val="center"/>
        <w:textAlignment w:val="auto"/>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招 标 人：中国重汽集团济南动力有限公司</w:t>
      </w:r>
    </w:p>
    <w:p>
      <w:pPr>
        <w:spacing w:line="240" w:lineRule="auto"/>
        <w:ind w:firstLine="562" w:firstLineChars="0"/>
        <w:jc w:val="center"/>
        <w:textAlignment w:val="auto"/>
        <w:rPr>
          <w:rFonts w:ascii="Times New Roman" w:hAnsi="Times New Roman" w:eastAsia="宋体" w:cs="Times New Roman"/>
          <w:color w:val="000000"/>
          <w:sz w:val="28"/>
          <w:szCs w:val="28"/>
        </w:rPr>
      </w:pPr>
    </w:p>
    <w:p>
      <w:pPr>
        <w:spacing w:line="240" w:lineRule="auto"/>
        <w:ind w:firstLine="562" w:firstLineChars="0"/>
        <w:jc w:val="center"/>
        <w:textAlignment w:val="auto"/>
        <w:rPr>
          <w:rFonts w:ascii="Times New Roman" w:hAnsi="Times New Roman" w:eastAsia="宋体" w:cs="Times New Roman"/>
          <w:color w:val="000000"/>
          <w:sz w:val="28"/>
          <w:szCs w:val="28"/>
        </w:rPr>
      </w:pPr>
    </w:p>
    <w:p>
      <w:pPr>
        <w:spacing w:line="240" w:lineRule="auto"/>
        <w:ind w:firstLine="562" w:firstLineChars="0"/>
        <w:jc w:val="center"/>
        <w:textAlignment w:val="auto"/>
        <w:rPr>
          <w:rFonts w:ascii="Times New Roman" w:hAnsi="Times New Roman" w:eastAsia="宋体" w:cs="Times New Roman"/>
          <w:color w:val="000000"/>
          <w:sz w:val="28"/>
          <w:szCs w:val="28"/>
        </w:rPr>
      </w:pPr>
      <w:r>
        <w:rPr>
          <w:rFonts w:ascii="Times New Roman" w:hAnsi="Times New Roman" w:eastAsia="宋体" w:cs="Times New Roman"/>
          <w:color w:val="000000"/>
          <w:sz w:val="28"/>
          <w:szCs w:val="28"/>
        </w:rPr>
        <w:t>2024年7月</w:t>
      </w:r>
    </w:p>
    <w:p/>
    <w:p>
      <w:pPr>
        <w:sectPr>
          <w:pgSz w:w="11907" w:h="16840"/>
          <w:pgMar w:top="1304" w:right="1418" w:bottom="1304" w:left="1418" w:header="724" w:footer="851" w:gutter="0"/>
          <w:cols w:space="720" w:num="1"/>
          <w:docGrid w:linePitch="290" w:charSpace="-3931"/>
        </w:sectPr>
      </w:pPr>
      <w:bookmarkStart w:id="38" w:name="_Toc326840031"/>
    </w:p>
    <w:p>
      <w:pPr>
        <w:pStyle w:val="4"/>
        <w:bidi w:val="0"/>
        <w:ind w:firstLine="3463" w:firstLineChars="1443"/>
        <w:jc w:val="both"/>
        <w:rPr>
          <w:rFonts w:hint="eastAsia" w:ascii="黑体" w:hAnsi="黑体" w:eastAsia="黑体" w:cs="黑体"/>
          <w:b w:val="0"/>
          <w:bCs w:val="0"/>
        </w:rPr>
      </w:pPr>
      <w:r>
        <w:rPr>
          <w:rFonts w:hint="eastAsia" w:ascii="黑体" w:hAnsi="黑体" w:eastAsia="黑体" w:cs="黑体"/>
          <w:b w:val="0"/>
          <w:bCs w:val="0"/>
        </w:rPr>
        <w:t>第一章  采购货物概况</w:t>
      </w:r>
      <w:bookmarkEnd w:id="38"/>
    </w:p>
    <w:p>
      <w:pPr>
        <w:pStyle w:val="5"/>
        <w:bidi w:val="0"/>
        <w:jc w:val="center"/>
      </w:pPr>
      <w:bookmarkStart w:id="39" w:name="_Toc326840032"/>
      <w:r>
        <w:t>第一节  使用环境</w:t>
      </w:r>
      <w:bookmarkEnd w:id="39"/>
    </w:p>
    <w:p>
      <w:pPr>
        <w:rPr>
          <w:rFonts w:hint="eastAsia" w:ascii="宋体" w:hAnsi="宋体" w:eastAsia="宋体" w:cs="宋体"/>
          <w:sz w:val="24"/>
          <w:szCs w:val="24"/>
        </w:rPr>
      </w:pPr>
      <w:r>
        <w:rPr>
          <w:rFonts w:hint="eastAsia" w:ascii="宋体" w:hAnsi="宋体" w:eastAsia="宋体" w:cs="宋体"/>
          <w:sz w:val="24"/>
          <w:szCs w:val="24"/>
          <w:lang w:bidi="ar"/>
        </w:rPr>
        <w:t>一、项目名称：</w:t>
      </w:r>
      <w:r>
        <w:rPr>
          <w:rFonts w:hint="eastAsia" w:ascii="宋体" w:hAnsi="宋体" w:eastAsia="宋体" w:cs="宋体"/>
          <w:sz w:val="24"/>
          <w:szCs w:val="24"/>
          <w:highlight w:val="yellow"/>
        </w:rPr>
        <w:t>车轮六分力传感器及配套设备采购项目</w:t>
      </w:r>
    </w:p>
    <w:p>
      <w:pPr>
        <w:rPr>
          <w:rFonts w:hint="eastAsia" w:ascii="宋体" w:hAnsi="宋体" w:eastAsia="宋体" w:cs="宋体"/>
          <w:sz w:val="24"/>
          <w:szCs w:val="24"/>
          <w:lang w:bidi="ar"/>
        </w:rPr>
      </w:pPr>
      <w:r>
        <w:rPr>
          <w:rFonts w:hint="eastAsia" w:ascii="宋体" w:hAnsi="宋体" w:eastAsia="宋体" w:cs="宋体"/>
          <w:sz w:val="24"/>
          <w:szCs w:val="24"/>
          <w:lang w:bidi="ar"/>
        </w:rPr>
        <w:t>二、建设地点：</w:t>
      </w:r>
      <w:r>
        <w:rPr>
          <w:rFonts w:hint="eastAsia" w:ascii="宋体" w:hAnsi="宋体" w:eastAsia="宋体" w:cs="宋体"/>
          <w:sz w:val="24"/>
          <w:szCs w:val="24"/>
          <w:highlight w:val="yellow"/>
        </w:rPr>
        <w:t>中国重汽集团产品试验检测中心</w:t>
      </w:r>
    </w:p>
    <w:p>
      <w:pPr>
        <w:rPr>
          <w:rFonts w:hint="eastAsia" w:ascii="宋体" w:hAnsi="宋体" w:eastAsia="宋体" w:cs="宋体"/>
          <w:sz w:val="24"/>
          <w:szCs w:val="24"/>
          <w:lang w:bidi="ar"/>
        </w:rPr>
      </w:pPr>
      <w:r>
        <w:rPr>
          <w:rFonts w:hint="eastAsia" w:ascii="宋体" w:hAnsi="宋体" w:eastAsia="宋体" w:cs="宋体"/>
          <w:sz w:val="24"/>
          <w:szCs w:val="24"/>
          <w:lang w:bidi="ar"/>
        </w:rPr>
        <w:t>三、使用地点：</w:t>
      </w:r>
      <w:r>
        <w:rPr>
          <w:rFonts w:hint="eastAsia" w:ascii="宋体" w:hAnsi="宋体" w:eastAsia="宋体" w:cs="宋体"/>
          <w:sz w:val="24"/>
          <w:szCs w:val="24"/>
          <w:highlight w:val="yellow"/>
        </w:rPr>
        <w:t>山东省济南市高新区华奥路777号</w:t>
      </w:r>
    </w:p>
    <w:p>
      <w:pPr>
        <w:rPr>
          <w:rFonts w:hint="eastAsia" w:ascii="宋体" w:hAnsi="宋体" w:eastAsia="宋体" w:cs="宋体"/>
          <w:sz w:val="24"/>
          <w:szCs w:val="24"/>
          <w:lang w:bidi="ar"/>
        </w:rPr>
      </w:pPr>
      <w:r>
        <w:rPr>
          <w:rFonts w:hint="eastAsia" w:ascii="宋体" w:hAnsi="宋体" w:eastAsia="宋体" w:cs="宋体"/>
          <w:sz w:val="24"/>
          <w:szCs w:val="24"/>
          <w:lang w:bidi="ar"/>
        </w:rPr>
        <w:t>四、工作制度：全年工作</w:t>
      </w:r>
      <w:r>
        <w:rPr>
          <w:rFonts w:hint="eastAsia" w:ascii="宋体" w:hAnsi="宋体" w:eastAsia="宋体" w:cs="宋体"/>
          <w:sz w:val="24"/>
          <w:szCs w:val="24"/>
          <w:u w:val="single"/>
          <w:lang w:bidi="ar"/>
        </w:rPr>
        <w:t xml:space="preserve"> </w:t>
      </w:r>
      <w:r>
        <w:rPr>
          <w:rFonts w:hint="eastAsia" w:ascii="宋体" w:hAnsi="宋体" w:eastAsia="宋体" w:cs="宋体"/>
          <w:sz w:val="24"/>
          <w:szCs w:val="24"/>
          <w:highlight w:val="yellow"/>
          <w:u w:val="single"/>
          <w:shd w:val="pct10" w:color="auto" w:fill="auto"/>
          <w:lang w:bidi="ar"/>
        </w:rPr>
        <w:t xml:space="preserve">365 </w:t>
      </w:r>
      <w:r>
        <w:rPr>
          <w:rFonts w:hint="eastAsia" w:ascii="宋体" w:hAnsi="宋体" w:eastAsia="宋体" w:cs="宋体"/>
          <w:sz w:val="24"/>
          <w:szCs w:val="24"/>
          <w:lang w:bidi="ar"/>
        </w:rPr>
        <w:t>天、年时基数</w:t>
      </w:r>
      <w:r>
        <w:rPr>
          <w:rFonts w:hint="eastAsia" w:ascii="宋体" w:hAnsi="宋体" w:eastAsia="宋体" w:cs="宋体"/>
          <w:sz w:val="24"/>
          <w:szCs w:val="24"/>
          <w:u w:val="single"/>
          <w:lang w:bidi="ar"/>
        </w:rPr>
        <w:t xml:space="preserve"> </w:t>
      </w:r>
      <w:r>
        <w:rPr>
          <w:rFonts w:hint="eastAsia" w:ascii="宋体" w:hAnsi="宋体" w:eastAsia="宋体" w:cs="宋体"/>
          <w:sz w:val="24"/>
          <w:szCs w:val="24"/>
          <w:highlight w:val="yellow"/>
          <w:u w:val="single"/>
          <w:shd w:val="pct10" w:color="auto" w:fill="auto"/>
          <w:lang w:bidi="ar"/>
        </w:rPr>
        <w:t xml:space="preserve">4380 </w:t>
      </w:r>
      <w:r>
        <w:rPr>
          <w:rFonts w:hint="eastAsia" w:ascii="宋体" w:hAnsi="宋体" w:eastAsia="宋体" w:cs="宋体"/>
          <w:sz w:val="24"/>
          <w:szCs w:val="24"/>
          <w:lang w:bidi="ar"/>
        </w:rPr>
        <w:t>小时</w:t>
      </w:r>
    </w:p>
    <w:p>
      <w:pPr>
        <w:rPr>
          <w:rFonts w:hint="eastAsia" w:ascii="宋体" w:hAnsi="宋体" w:eastAsia="宋体" w:cs="宋体"/>
          <w:sz w:val="24"/>
          <w:szCs w:val="24"/>
        </w:rPr>
      </w:pPr>
      <w:r>
        <w:rPr>
          <w:rFonts w:hint="eastAsia" w:ascii="宋体" w:hAnsi="宋体" w:eastAsia="宋体" w:cs="宋体"/>
          <w:sz w:val="24"/>
          <w:szCs w:val="24"/>
          <w:lang w:bidi="ar"/>
        </w:rPr>
        <w:t>五、使用地点区域自然环境：</w:t>
      </w:r>
    </w:p>
    <w:p>
      <w:pPr>
        <w:rPr>
          <w:rFonts w:hint="eastAsia" w:ascii="宋体" w:hAnsi="宋体" w:eastAsia="宋体" w:cs="宋体"/>
          <w:sz w:val="24"/>
          <w:szCs w:val="24"/>
          <w:lang w:bidi="ar"/>
        </w:rPr>
      </w:pPr>
      <w:r>
        <w:rPr>
          <w:rFonts w:hint="eastAsia" w:ascii="宋体" w:hAnsi="宋体" w:eastAsia="宋体" w:cs="宋体"/>
          <w:sz w:val="24"/>
          <w:szCs w:val="24"/>
          <w:lang w:bidi="ar"/>
        </w:rPr>
        <w:t>1、海拨高度：1000m以下。</w:t>
      </w:r>
    </w:p>
    <w:p>
      <w:pPr>
        <w:rPr>
          <w:rFonts w:hint="eastAsia" w:ascii="宋体" w:hAnsi="宋体" w:eastAsia="宋体" w:cs="宋体"/>
          <w:sz w:val="24"/>
          <w:szCs w:val="24"/>
          <w:lang w:bidi="ar"/>
        </w:rPr>
      </w:pPr>
      <w:r>
        <w:rPr>
          <w:rFonts w:hint="eastAsia" w:ascii="宋体" w:hAnsi="宋体" w:eastAsia="宋体" w:cs="宋体"/>
          <w:sz w:val="24"/>
          <w:szCs w:val="24"/>
          <w:lang w:bidi="ar"/>
        </w:rPr>
        <w:t>2、环境温度：室外极端最低温度-20℃、极端最高温度45℃，昼夜最大温差25℃。</w:t>
      </w:r>
    </w:p>
    <w:p>
      <w:pPr>
        <w:rPr>
          <w:rFonts w:hint="eastAsia" w:ascii="宋体" w:hAnsi="宋体" w:eastAsia="宋体" w:cs="宋体"/>
          <w:sz w:val="24"/>
          <w:szCs w:val="24"/>
        </w:rPr>
      </w:pPr>
      <w:r>
        <w:rPr>
          <w:rFonts w:hint="eastAsia" w:ascii="宋体" w:hAnsi="宋体" w:eastAsia="宋体" w:cs="宋体"/>
          <w:sz w:val="24"/>
          <w:szCs w:val="24"/>
          <w:lang w:bidi="ar"/>
        </w:rPr>
        <w:t>3、相对湿度：年平均59%，最大95%、最小15%。</w:t>
      </w:r>
    </w:p>
    <w:p>
      <w:pPr>
        <w:rPr>
          <w:rFonts w:hint="eastAsia" w:ascii="宋体" w:hAnsi="宋体" w:eastAsia="宋体" w:cs="宋体"/>
          <w:sz w:val="24"/>
          <w:szCs w:val="24"/>
        </w:rPr>
      </w:pPr>
      <w:r>
        <w:rPr>
          <w:rFonts w:hint="eastAsia" w:ascii="宋体" w:hAnsi="宋体" w:eastAsia="宋体" w:cs="宋体"/>
          <w:sz w:val="24"/>
          <w:szCs w:val="24"/>
          <w:lang w:bidi="ar"/>
        </w:rPr>
        <w:t>六、能源环境：</w:t>
      </w:r>
    </w:p>
    <w:p>
      <w:pPr>
        <w:rPr>
          <w:rFonts w:hint="eastAsia" w:ascii="宋体" w:hAnsi="宋体" w:eastAsia="宋体" w:cs="宋体"/>
          <w:sz w:val="24"/>
          <w:szCs w:val="24"/>
          <w:lang w:bidi="ar"/>
        </w:rPr>
      </w:pPr>
      <w:r>
        <w:rPr>
          <w:rFonts w:hint="eastAsia" w:ascii="宋体" w:hAnsi="宋体" w:eastAsia="宋体" w:cs="宋体"/>
          <w:sz w:val="24"/>
          <w:szCs w:val="24"/>
          <w:lang w:bidi="ar"/>
        </w:rPr>
        <w:t>1、电力：中国制式，三相五线制供电，供电电压380V±10%/220V±10%，供电频率50Hz±0.5Hz。</w:t>
      </w:r>
    </w:p>
    <w:p>
      <w:pPr>
        <w:rPr>
          <w:rFonts w:hint="eastAsia" w:ascii="宋体" w:hAnsi="宋体" w:eastAsia="宋体" w:cs="宋体"/>
          <w:sz w:val="24"/>
          <w:szCs w:val="24"/>
          <w:lang w:bidi="ar"/>
        </w:rPr>
      </w:pPr>
      <w:r>
        <w:rPr>
          <w:rFonts w:hint="eastAsia" w:ascii="宋体" w:hAnsi="宋体" w:eastAsia="宋体" w:cs="宋体"/>
          <w:sz w:val="24"/>
          <w:szCs w:val="24"/>
          <w:lang w:bidi="ar"/>
        </w:rPr>
        <w:t>2、水：市政自来水0.25MPa(0.15-0.35MPa)。</w:t>
      </w:r>
    </w:p>
    <w:p>
      <w:pPr>
        <w:rPr>
          <w:rFonts w:hint="eastAsia" w:ascii="宋体" w:hAnsi="宋体" w:eastAsia="宋体" w:cs="宋体"/>
          <w:sz w:val="24"/>
          <w:szCs w:val="24"/>
          <w:lang w:bidi="ar"/>
        </w:rPr>
      </w:pPr>
      <w:r>
        <w:rPr>
          <w:rFonts w:hint="eastAsia" w:ascii="宋体" w:hAnsi="宋体" w:eastAsia="宋体" w:cs="宋体"/>
          <w:sz w:val="24"/>
          <w:szCs w:val="24"/>
          <w:lang w:bidi="ar"/>
        </w:rPr>
        <w:t>3、非采暖季：动力站房供高温热水，供回水温度80℃/60℃。</w:t>
      </w:r>
    </w:p>
    <w:p>
      <w:pPr>
        <w:rPr>
          <w:rFonts w:hint="eastAsia" w:ascii="宋体" w:hAnsi="宋体" w:eastAsia="宋体" w:cs="宋体"/>
          <w:sz w:val="24"/>
          <w:szCs w:val="24"/>
          <w:lang w:bidi="ar"/>
        </w:rPr>
      </w:pPr>
      <w:r>
        <w:rPr>
          <w:rFonts w:hint="eastAsia" w:ascii="宋体" w:hAnsi="宋体" w:eastAsia="宋体" w:cs="宋体"/>
          <w:sz w:val="24"/>
          <w:szCs w:val="24"/>
          <w:lang w:bidi="ar"/>
        </w:rPr>
        <w:t>4、压缩空气：厂区空压机自产压缩空气，0.55～0.7 Mpa。</w:t>
      </w:r>
    </w:p>
    <w:p>
      <w:pPr>
        <w:rPr>
          <w:lang w:bidi="ar"/>
        </w:rPr>
      </w:pPr>
    </w:p>
    <w:p>
      <w:pPr>
        <w:pStyle w:val="5"/>
        <w:jc w:val="center"/>
      </w:pPr>
      <w:r>
        <w:rPr>
          <w:lang w:bidi="ar"/>
        </w:rPr>
        <w:br w:type="page"/>
      </w:r>
      <w:bookmarkStart w:id="40" w:name="_Toc326840033"/>
      <w:r>
        <w:t>第二节  采购货物概况</w:t>
      </w:r>
      <w:bookmarkEnd w:id="40"/>
    </w:p>
    <w:p>
      <w:pPr>
        <w:rPr>
          <w:rFonts w:eastAsia="黑体"/>
        </w:rPr>
      </w:pPr>
      <w:r>
        <w:rPr>
          <w:rFonts w:eastAsia="黑体"/>
          <w:sz w:val="24"/>
          <w:szCs w:val="24"/>
          <w:lang w:bidi="ar"/>
        </w:rPr>
        <w:t>一、货物名称：</w:t>
      </w:r>
      <w:r>
        <w:rPr>
          <w:rFonts w:hint="eastAsia" w:ascii="Times New Roman" w:hAnsi="Times New Roman" w:eastAsia="宋体" w:cs="Times New Roman"/>
          <w:sz w:val="24"/>
          <w:szCs w:val="24"/>
          <w:u w:val="single"/>
          <w:lang w:bidi="ar"/>
        </w:rPr>
        <w:t>车轮六分力传感器及配套设备采购项目</w:t>
      </w:r>
    </w:p>
    <w:p>
      <w:r>
        <w:rPr>
          <w:rFonts w:eastAsia="黑体"/>
          <w:sz w:val="24"/>
          <w:szCs w:val="24"/>
          <w:lang w:bidi="ar"/>
        </w:rPr>
        <w:t>二、货物数量：</w:t>
      </w:r>
      <w:r>
        <w:rPr>
          <w:rFonts w:hint="eastAsia" w:ascii="Times New Roman" w:hAnsi="Times New Roman" w:eastAsia="宋体" w:cs="Times New Roman"/>
          <w:sz w:val="24"/>
          <w:szCs w:val="24"/>
          <w:u w:val="single"/>
          <w:lang w:bidi="ar"/>
        </w:rPr>
        <w:t xml:space="preserve"> 一套   （详见下表）</w:t>
      </w:r>
    </w:p>
    <w:p>
      <w:pPr>
        <w:rPr>
          <w:rFonts w:hint="eastAsia" w:ascii="Times New Roman" w:hAnsi="Times New Roman" w:eastAsia="宋体" w:cs="Times New Roman"/>
          <w:sz w:val="24"/>
          <w:szCs w:val="24"/>
          <w:u w:val="single"/>
          <w:lang w:bidi="ar"/>
        </w:rPr>
      </w:pPr>
      <w:r>
        <w:rPr>
          <w:rFonts w:hint="eastAsia" w:ascii="黑体" w:hAnsi="黑体" w:eastAsia="黑体" w:cs="黑体"/>
          <w:sz w:val="24"/>
          <w:szCs w:val="24"/>
          <w:lang w:bidi="ar"/>
        </w:rPr>
        <w:t>三、分投分中</w:t>
      </w:r>
      <w:r>
        <w:rPr>
          <w:rFonts w:hint="eastAsia" w:ascii="黑体" w:hAnsi="黑体" w:eastAsia="黑体" w:cs="黑体"/>
          <w:lang w:bidi="ar"/>
        </w:rPr>
        <w:t>：</w:t>
      </w:r>
      <w:r>
        <w:rPr>
          <w:rFonts w:hint="eastAsia" w:ascii="Times New Roman" w:hAnsi="Times New Roman" w:eastAsia="宋体" w:cs="Times New Roman"/>
          <w:sz w:val="24"/>
          <w:szCs w:val="24"/>
          <w:u w:val="single"/>
          <w:lang w:bidi="ar"/>
        </w:rPr>
        <w:t>不允许</w:t>
      </w:r>
    </w:p>
    <w:p>
      <w:pPr>
        <w:spacing w:line="360" w:lineRule="auto"/>
        <w:ind w:firstLine="0"/>
        <w:jc w:val="center"/>
        <w:textAlignment w:val="auto"/>
        <w:rPr>
          <w:rFonts w:ascii="Times New Roman" w:hAnsi="Times New Roman" w:eastAsia="宋体" w:cs="Times New Roman"/>
          <w:sz w:val="24"/>
          <w:szCs w:val="24"/>
          <w:lang w:bidi="ar"/>
        </w:rPr>
      </w:pPr>
      <w:r>
        <w:rPr>
          <w:rFonts w:ascii="Times New Roman" w:hAnsi="Times New Roman" w:eastAsia="宋体" w:cs="Times New Roman"/>
          <w:sz w:val="24"/>
          <w:szCs w:val="24"/>
          <w:lang w:bidi="ar"/>
        </w:rPr>
        <w:t>采购货物主要构成一览表</w:t>
      </w:r>
    </w:p>
    <w:tbl>
      <w:tblPr>
        <w:tblStyle w:val="40"/>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8"/>
        <w:gridCol w:w="1687"/>
        <w:gridCol w:w="3546"/>
        <w:gridCol w:w="564"/>
        <w:gridCol w:w="709"/>
        <w:gridCol w:w="2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b/>
                <w:bCs/>
                <w:sz w:val="24"/>
                <w:szCs w:val="24"/>
              </w:rPr>
            </w:pPr>
            <w:r>
              <w:rPr>
                <w:rFonts w:hint="eastAsia" w:ascii="宋体" w:hAnsi="宋体" w:eastAsia="宋体"/>
                <w:b/>
                <w:bCs/>
                <w:sz w:val="24"/>
                <w:szCs w:val="24"/>
              </w:rPr>
              <w:t>序号</w:t>
            </w:r>
          </w:p>
        </w:tc>
        <w:tc>
          <w:tcPr>
            <w:tcW w:w="168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firstLine="0"/>
              <w:jc w:val="left"/>
              <w:textAlignment w:val="auto"/>
              <w:rPr>
                <w:rFonts w:hint="eastAsia" w:ascii="宋体" w:hAnsi="宋体" w:eastAsia="宋体"/>
                <w:b/>
                <w:bCs/>
                <w:sz w:val="24"/>
                <w:szCs w:val="24"/>
              </w:rPr>
            </w:pPr>
            <w:r>
              <w:rPr>
                <w:rFonts w:hint="eastAsia" w:ascii="宋体" w:hAnsi="宋体" w:eastAsia="宋体"/>
                <w:b/>
                <w:bCs/>
                <w:sz w:val="24"/>
                <w:szCs w:val="24"/>
              </w:rPr>
              <w:t>名称</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b/>
                <w:bCs/>
                <w:sz w:val="24"/>
                <w:szCs w:val="24"/>
              </w:rPr>
            </w:pPr>
            <w:r>
              <w:rPr>
                <w:rFonts w:hint="eastAsia" w:ascii="宋体" w:hAnsi="宋体" w:eastAsia="宋体"/>
                <w:b/>
                <w:bCs/>
                <w:sz w:val="24"/>
                <w:szCs w:val="24"/>
              </w:rPr>
              <w:t>规格</w:t>
            </w:r>
          </w:p>
        </w:tc>
        <w:tc>
          <w:tcPr>
            <w:tcW w:w="56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b/>
                <w:bCs/>
                <w:sz w:val="24"/>
                <w:szCs w:val="24"/>
              </w:rPr>
            </w:pPr>
            <w:r>
              <w:rPr>
                <w:rFonts w:hint="eastAsia" w:ascii="宋体" w:hAnsi="宋体" w:eastAsia="宋体"/>
                <w:b/>
                <w:bCs/>
                <w:sz w:val="24"/>
                <w:szCs w:val="24"/>
              </w:rPr>
              <w:t>单位</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b/>
                <w:bCs/>
                <w:sz w:val="24"/>
                <w:szCs w:val="24"/>
              </w:rPr>
            </w:pPr>
            <w:r>
              <w:rPr>
                <w:rFonts w:hint="eastAsia" w:ascii="宋体" w:hAnsi="宋体" w:eastAsia="宋体"/>
                <w:b/>
                <w:bCs/>
                <w:sz w:val="24"/>
                <w:szCs w:val="24"/>
              </w:rPr>
              <w:t>数量</w:t>
            </w:r>
          </w:p>
        </w:tc>
        <w:tc>
          <w:tcPr>
            <w:tcW w:w="22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b/>
                <w:bCs/>
                <w:sz w:val="24"/>
                <w:szCs w:val="24"/>
              </w:rPr>
            </w:pPr>
            <w:r>
              <w:rPr>
                <w:rFonts w:hint="eastAsia" w:ascii="宋体" w:hAnsi="宋体" w:eastAsia="宋体"/>
                <w:b/>
                <w:bCs/>
                <w:sz w:val="24"/>
                <w:szCs w:val="24"/>
              </w:rPr>
              <w:t>安装地点/服务对象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Borders>
              <w:top w:val="single" w:color="auto" w:sz="4" w:space="0"/>
              <w:left w:val="single" w:color="auto" w:sz="4" w:space="0"/>
              <w:bottom w:val="single" w:color="auto" w:sz="4" w:space="0"/>
              <w:right w:val="single" w:color="auto" w:sz="4" w:space="0"/>
            </w:tcBorders>
            <w:vAlign w:val="center"/>
          </w:tcPr>
          <w:p>
            <w:pPr>
              <w:widowControl/>
              <w:tabs>
                <w:tab w:val="left" w:pos="220"/>
              </w:tabs>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1</w:t>
            </w:r>
          </w:p>
        </w:tc>
        <w:tc>
          <w:tcPr>
            <w:tcW w:w="168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商用车车轮六分力传感器</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both"/>
              <w:textAlignment w:val="auto"/>
              <w:rPr>
                <w:rFonts w:hint="eastAsia" w:ascii="宋体" w:hAnsi="宋体" w:eastAsia="宋体"/>
                <w:sz w:val="24"/>
                <w:szCs w:val="24"/>
                <w:lang w:val="en-US" w:eastAsia="zh-CN"/>
              </w:rPr>
            </w:pPr>
            <w:r>
              <w:rPr>
                <w:rFonts w:hint="eastAsia" w:ascii="宋体" w:hAnsi="宋体" w:eastAsia="宋体"/>
                <w:sz w:val="24"/>
                <w:szCs w:val="24"/>
              </w:rPr>
              <w:t>Fx≥250kN</w:t>
            </w:r>
            <w:r>
              <w:rPr>
                <w:rFonts w:hint="eastAsia" w:ascii="宋体" w:hAnsi="宋体"/>
                <w:sz w:val="24"/>
                <w:szCs w:val="24"/>
                <w:lang w:val="en-US" w:eastAsia="zh-CN"/>
              </w:rPr>
              <w:t>,</w:t>
            </w:r>
            <w:r>
              <w:rPr>
                <w:rFonts w:hint="eastAsia" w:ascii="宋体" w:hAnsi="宋体" w:eastAsia="宋体"/>
                <w:sz w:val="24"/>
                <w:szCs w:val="24"/>
              </w:rPr>
              <w:t>Fy≥150kN</w:t>
            </w:r>
            <w:r>
              <w:rPr>
                <w:rFonts w:hint="eastAsia" w:ascii="宋体" w:hAnsi="宋体"/>
                <w:sz w:val="24"/>
                <w:szCs w:val="24"/>
                <w:lang w:val="en-US" w:eastAsia="zh-CN"/>
              </w:rPr>
              <w:t>,</w:t>
            </w:r>
            <w:r>
              <w:rPr>
                <w:rFonts w:hint="eastAsia" w:ascii="宋体" w:hAnsi="宋体" w:eastAsia="宋体"/>
                <w:sz w:val="24"/>
                <w:szCs w:val="24"/>
              </w:rPr>
              <w:t>Fz≥250kN</w:t>
            </w:r>
            <w:r>
              <w:rPr>
                <w:rFonts w:hint="eastAsia" w:ascii="宋体" w:hAnsi="宋体" w:eastAsia="宋体"/>
                <w:sz w:val="24"/>
                <w:szCs w:val="24"/>
                <w:lang w:val="en-US" w:eastAsia="zh-CN"/>
              </w:rPr>
              <w:t>,</w:t>
            </w:r>
          </w:p>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M</w:t>
            </w:r>
            <w:r>
              <w:rPr>
                <w:rFonts w:hint="eastAsia" w:ascii="宋体" w:hAnsi="宋体"/>
                <w:sz w:val="24"/>
                <w:szCs w:val="24"/>
                <w:lang w:val="en-US" w:eastAsia="zh-CN"/>
              </w:rPr>
              <w:t>x</w:t>
            </w:r>
            <w:r>
              <w:rPr>
                <w:rFonts w:hint="eastAsia" w:ascii="宋体" w:hAnsi="宋体" w:eastAsia="宋体"/>
                <w:sz w:val="24"/>
                <w:szCs w:val="24"/>
              </w:rPr>
              <w:t>≥50kN.m</w:t>
            </w:r>
            <w:r>
              <w:rPr>
                <w:rFonts w:hint="eastAsia" w:ascii="宋体" w:hAnsi="宋体" w:eastAsia="宋体"/>
                <w:sz w:val="24"/>
                <w:szCs w:val="24"/>
                <w:lang w:val="en-US" w:eastAsia="zh-CN"/>
              </w:rPr>
              <w:t>,</w:t>
            </w:r>
            <w:r>
              <w:rPr>
                <w:rFonts w:hint="eastAsia" w:ascii="宋体" w:hAnsi="宋体" w:eastAsia="宋体"/>
                <w:sz w:val="24"/>
                <w:szCs w:val="24"/>
              </w:rPr>
              <w:t>My≥80kN.m</w:t>
            </w:r>
            <w:r>
              <w:rPr>
                <w:rFonts w:hint="eastAsia" w:ascii="宋体" w:hAnsi="宋体" w:eastAsia="宋体"/>
                <w:sz w:val="24"/>
                <w:szCs w:val="24"/>
                <w:lang w:val="en-US" w:eastAsia="zh-CN"/>
              </w:rPr>
              <w:t>,</w:t>
            </w:r>
            <w:r>
              <w:rPr>
                <w:rFonts w:hint="eastAsia" w:ascii="宋体" w:hAnsi="宋体" w:eastAsia="宋体"/>
                <w:sz w:val="24"/>
                <w:szCs w:val="24"/>
              </w:rPr>
              <w:t>Mz≥50kN.m</w:t>
            </w:r>
          </w:p>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推荐品牌：kistler、MSC</w:t>
            </w:r>
          </w:p>
        </w:tc>
        <w:tc>
          <w:tcPr>
            <w:tcW w:w="56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套</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4</w:t>
            </w:r>
          </w:p>
        </w:tc>
        <w:tc>
          <w:tcPr>
            <w:tcW w:w="22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济南/中国重汽集团产品试验检测中心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2</w:t>
            </w:r>
          </w:p>
        </w:tc>
        <w:tc>
          <w:tcPr>
            <w:tcW w:w="168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车轮电子</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AD转换分辨率 ≥16 bit</w:t>
            </w:r>
          </w:p>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推荐品牌：kistler、MSC</w:t>
            </w:r>
          </w:p>
        </w:tc>
        <w:tc>
          <w:tcPr>
            <w:tcW w:w="56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套</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4</w:t>
            </w:r>
          </w:p>
        </w:tc>
        <w:tc>
          <w:tcPr>
            <w:tcW w:w="22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济南/中国重汽集团产品试验检测中心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3</w:t>
            </w:r>
          </w:p>
        </w:tc>
        <w:tc>
          <w:tcPr>
            <w:tcW w:w="168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车载电子</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与车轮六分力配套用于台架试验</w:t>
            </w:r>
          </w:p>
        </w:tc>
        <w:tc>
          <w:tcPr>
            <w:tcW w:w="56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套</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2</w:t>
            </w:r>
          </w:p>
        </w:tc>
        <w:tc>
          <w:tcPr>
            <w:tcW w:w="22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济南/中国重汽集团产品试验检测中心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4</w:t>
            </w:r>
          </w:p>
        </w:tc>
        <w:tc>
          <w:tcPr>
            <w:tcW w:w="168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信号转接盒</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与车轮六分力配套用于台架试验</w:t>
            </w:r>
          </w:p>
        </w:tc>
        <w:tc>
          <w:tcPr>
            <w:tcW w:w="56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套</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2</w:t>
            </w:r>
          </w:p>
        </w:tc>
        <w:tc>
          <w:tcPr>
            <w:tcW w:w="22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济南/中国重汽集团产品试验检测中心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color w:val="auto"/>
                <w:sz w:val="24"/>
                <w:szCs w:val="24"/>
              </w:rPr>
            </w:pPr>
            <w:r>
              <w:rPr>
                <w:rFonts w:hint="eastAsia" w:ascii="宋体" w:hAnsi="宋体" w:eastAsia="宋体"/>
                <w:color w:val="auto"/>
                <w:sz w:val="24"/>
                <w:szCs w:val="24"/>
              </w:rPr>
              <w:t>5</w:t>
            </w:r>
          </w:p>
        </w:tc>
        <w:tc>
          <w:tcPr>
            <w:tcW w:w="168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color w:val="auto"/>
                <w:sz w:val="24"/>
                <w:szCs w:val="24"/>
              </w:rPr>
            </w:pPr>
            <w:r>
              <w:rPr>
                <w:rFonts w:hint="eastAsia" w:ascii="宋体" w:hAnsi="宋体" w:eastAsia="宋体"/>
                <w:color w:val="auto"/>
                <w:sz w:val="24"/>
                <w:szCs w:val="24"/>
              </w:rPr>
              <w:t>台架适配器组件（定制）</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both"/>
              <w:textAlignment w:val="auto"/>
              <w:rPr>
                <w:rFonts w:hint="eastAsia" w:ascii="宋体" w:hAnsi="宋体" w:eastAsia="宋体"/>
                <w:color w:val="auto"/>
                <w:sz w:val="24"/>
                <w:szCs w:val="24"/>
              </w:rPr>
            </w:pPr>
            <w:r>
              <w:rPr>
                <w:rFonts w:hint="eastAsia" w:ascii="宋体" w:hAnsi="宋体" w:eastAsia="宋体"/>
                <w:color w:val="auto"/>
                <w:sz w:val="24"/>
                <w:szCs w:val="24"/>
              </w:rPr>
              <w:t>与车轮六分力配套用于台架试验</w:t>
            </w:r>
          </w:p>
        </w:tc>
        <w:tc>
          <w:tcPr>
            <w:tcW w:w="56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color w:val="auto"/>
                <w:sz w:val="24"/>
                <w:szCs w:val="24"/>
              </w:rPr>
            </w:pPr>
            <w:r>
              <w:rPr>
                <w:rFonts w:hint="eastAsia" w:ascii="宋体" w:hAnsi="宋体" w:eastAsia="宋体"/>
                <w:color w:val="auto"/>
                <w:sz w:val="24"/>
                <w:szCs w:val="24"/>
              </w:rPr>
              <w:t>套</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color w:val="auto"/>
                <w:sz w:val="24"/>
                <w:szCs w:val="24"/>
              </w:rPr>
            </w:pPr>
            <w:r>
              <w:rPr>
                <w:rFonts w:hint="eastAsia" w:ascii="宋体" w:hAnsi="宋体" w:eastAsia="宋体"/>
                <w:color w:val="auto"/>
                <w:sz w:val="24"/>
                <w:szCs w:val="24"/>
              </w:rPr>
              <w:t>12</w:t>
            </w:r>
          </w:p>
        </w:tc>
        <w:tc>
          <w:tcPr>
            <w:tcW w:w="22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color w:val="auto"/>
                <w:sz w:val="24"/>
                <w:szCs w:val="24"/>
              </w:rPr>
            </w:pPr>
            <w:r>
              <w:rPr>
                <w:rFonts w:hint="eastAsia" w:ascii="宋体" w:hAnsi="宋体" w:eastAsia="宋体"/>
                <w:color w:val="auto"/>
                <w:sz w:val="24"/>
                <w:szCs w:val="24"/>
              </w:rPr>
              <w:t>济南/中国重汽集团产品试验检测中心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6</w:t>
            </w:r>
          </w:p>
        </w:tc>
        <w:tc>
          <w:tcPr>
            <w:tcW w:w="168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轮辋适配器</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车轮六分力与轮胎的适配装置</w:t>
            </w:r>
          </w:p>
        </w:tc>
        <w:tc>
          <w:tcPr>
            <w:tcW w:w="56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套</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lang w:eastAsia="zh-CN"/>
              </w:rPr>
            </w:pPr>
            <w:r>
              <w:rPr>
                <w:rFonts w:hint="eastAsia" w:ascii="宋体" w:hAnsi="宋体"/>
                <w:color w:val="auto"/>
                <w:sz w:val="24"/>
                <w:szCs w:val="24"/>
                <w:lang w:val="en-US" w:eastAsia="zh-CN"/>
              </w:rPr>
              <w:t>8</w:t>
            </w:r>
          </w:p>
        </w:tc>
        <w:tc>
          <w:tcPr>
            <w:tcW w:w="22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济南/中国重汽集团产品试验检测中心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7</w:t>
            </w:r>
          </w:p>
        </w:tc>
        <w:tc>
          <w:tcPr>
            <w:tcW w:w="168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轮毂适配器</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车轮六分力与轮胎的适配装置</w:t>
            </w:r>
          </w:p>
        </w:tc>
        <w:tc>
          <w:tcPr>
            <w:tcW w:w="56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套</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lang w:eastAsia="zh-CN"/>
              </w:rPr>
            </w:pPr>
            <w:r>
              <w:rPr>
                <w:rFonts w:hint="eastAsia" w:ascii="宋体" w:hAnsi="宋体"/>
                <w:sz w:val="24"/>
                <w:szCs w:val="24"/>
                <w:lang w:val="en-US" w:eastAsia="zh-CN"/>
              </w:rPr>
              <w:t>4</w:t>
            </w:r>
          </w:p>
        </w:tc>
        <w:tc>
          <w:tcPr>
            <w:tcW w:w="22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济南/中国重汽集团产品试验检测中心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8</w:t>
            </w:r>
          </w:p>
        </w:tc>
        <w:tc>
          <w:tcPr>
            <w:tcW w:w="168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数据采集器</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推荐品牌：eDAQ、西门子-RS</w:t>
            </w:r>
          </w:p>
        </w:tc>
        <w:tc>
          <w:tcPr>
            <w:tcW w:w="56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套</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1</w:t>
            </w:r>
          </w:p>
        </w:tc>
        <w:tc>
          <w:tcPr>
            <w:tcW w:w="22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济南/中国重汽集团产品试验检测中心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9</w:t>
            </w:r>
          </w:p>
        </w:tc>
        <w:tc>
          <w:tcPr>
            <w:tcW w:w="168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加速度传感器及配套</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测量范围：±50g</w:t>
            </w:r>
          </w:p>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推荐品牌：kistler或同等品牌</w:t>
            </w:r>
          </w:p>
        </w:tc>
        <w:tc>
          <w:tcPr>
            <w:tcW w:w="56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套</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16</w:t>
            </w:r>
          </w:p>
        </w:tc>
        <w:tc>
          <w:tcPr>
            <w:tcW w:w="22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济南/中国重汽集团产品试验检测中心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10</w:t>
            </w:r>
          </w:p>
        </w:tc>
        <w:tc>
          <w:tcPr>
            <w:tcW w:w="168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拉线位移传感器及配套</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测量范围 ≥762mm</w:t>
            </w:r>
          </w:p>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推荐品牌：Celesco-MAT2A系列或同等品牌</w:t>
            </w:r>
          </w:p>
        </w:tc>
        <w:tc>
          <w:tcPr>
            <w:tcW w:w="56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套</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12</w:t>
            </w:r>
          </w:p>
        </w:tc>
        <w:tc>
          <w:tcPr>
            <w:tcW w:w="22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济南/中国重汽集团产品试验检测中心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11</w:t>
            </w:r>
          </w:p>
        </w:tc>
        <w:tc>
          <w:tcPr>
            <w:tcW w:w="168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力传感器</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额定载荷：±100kN</w:t>
            </w:r>
          </w:p>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推荐品牌：北京弘豪福安、interface</w:t>
            </w:r>
          </w:p>
        </w:tc>
        <w:tc>
          <w:tcPr>
            <w:tcW w:w="56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套</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1</w:t>
            </w:r>
          </w:p>
        </w:tc>
        <w:tc>
          <w:tcPr>
            <w:tcW w:w="22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济南/中国重汽集团产品试验检测中心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12</w:t>
            </w:r>
          </w:p>
        </w:tc>
        <w:tc>
          <w:tcPr>
            <w:tcW w:w="168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力传感器</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额定载荷：±400kN</w:t>
            </w:r>
          </w:p>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推荐品牌：北京弘豪福安、interface</w:t>
            </w:r>
          </w:p>
        </w:tc>
        <w:tc>
          <w:tcPr>
            <w:tcW w:w="56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套</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1</w:t>
            </w:r>
          </w:p>
        </w:tc>
        <w:tc>
          <w:tcPr>
            <w:tcW w:w="22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济南/中国重汽集团产品试验检测中心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13</w:t>
            </w:r>
          </w:p>
        </w:tc>
        <w:tc>
          <w:tcPr>
            <w:tcW w:w="168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增压泵及配套</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输出压力范围：0.5～2.5 MPa</w:t>
            </w:r>
          </w:p>
          <w:p>
            <w:pPr>
              <w:widowControl/>
              <w:spacing w:line="360" w:lineRule="exact"/>
              <w:ind w:left="0" w:leftChars="0" w:firstLine="0" w:firstLineChars="0"/>
              <w:jc w:val="both"/>
              <w:textAlignment w:val="auto"/>
              <w:rPr>
                <w:rFonts w:hint="eastAsia" w:ascii="宋体" w:hAnsi="宋体" w:eastAsia="宋体"/>
                <w:sz w:val="24"/>
                <w:szCs w:val="24"/>
              </w:rPr>
            </w:pPr>
            <w:r>
              <w:rPr>
                <w:rFonts w:hint="eastAsia" w:ascii="宋体" w:hAnsi="宋体" w:eastAsia="宋体"/>
                <w:sz w:val="24"/>
                <w:szCs w:val="24"/>
              </w:rPr>
              <w:t>推荐品牌：宝华或同等品牌</w:t>
            </w:r>
          </w:p>
        </w:tc>
        <w:tc>
          <w:tcPr>
            <w:tcW w:w="56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套</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1</w:t>
            </w:r>
          </w:p>
        </w:tc>
        <w:tc>
          <w:tcPr>
            <w:tcW w:w="22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济南/中国重汽集团产品试验检测中心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8"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14</w:t>
            </w:r>
          </w:p>
        </w:tc>
        <w:tc>
          <w:tcPr>
            <w:tcW w:w="168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试验电脑</w:t>
            </w:r>
          </w:p>
        </w:tc>
        <w:tc>
          <w:tcPr>
            <w:tcW w:w="3546"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both"/>
              <w:textAlignment w:val="auto"/>
              <w:rPr>
                <w:rFonts w:hint="eastAsia" w:ascii="宋体" w:hAnsi="宋体"/>
                <w:sz w:val="24"/>
                <w:szCs w:val="24"/>
                <w:lang w:val="en-US" w:eastAsia="zh-CN"/>
              </w:rPr>
            </w:pPr>
            <w:r>
              <w:rPr>
                <w:rFonts w:hint="eastAsia" w:ascii="宋体" w:hAnsi="宋体"/>
                <w:sz w:val="24"/>
                <w:szCs w:val="24"/>
                <w:lang w:val="en-US" w:eastAsia="zh-CN"/>
              </w:rPr>
              <w:t>笔记本</w:t>
            </w:r>
          </w:p>
          <w:p>
            <w:pPr>
              <w:widowControl/>
              <w:spacing w:line="360" w:lineRule="exact"/>
              <w:ind w:left="0" w:leftChars="0" w:firstLine="0" w:firstLineChars="0"/>
              <w:jc w:val="both"/>
              <w:textAlignment w:val="auto"/>
              <w:rPr>
                <w:rFonts w:hint="default" w:ascii="宋体" w:hAnsi="宋体"/>
                <w:sz w:val="24"/>
                <w:szCs w:val="24"/>
                <w:lang w:val="en-US" w:eastAsia="zh-CN"/>
              </w:rPr>
            </w:pPr>
            <w:r>
              <w:rPr>
                <w:rFonts w:hint="eastAsia" w:ascii="宋体" w:hAnsi="宋体"/>
                <w:sz w:val="24"/>
                <w:szCs w:val="24"/>
                <w:lang w:val="en-US" w:eastAsia="zh-CN"/>
              </w:rPr>
              <w:t>推荐品牌：DELL或同等品牌</w:t>
            </w:r>
          </w:p>
        </w:tc>
        <w:tc>
          <w:tcPr>
            <w:tcW w:w="564"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件</w:t>
            </w:r>
          </w:p>
        </w:tc>
        <w:tc>
          <w:tcPr>
            <w:tcW w:w="709"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center"/>
              <w:textAlignment w:val="auto"/>
              <w:rPr>
                <w:rFonts w:hint="eastAsia" w:ascii="宋体" w:hAnsi="宋体" w:eastAsia="宋体"/>
                <w:sz w:val="24"/>
                <w:szCs w:val="24"/>
              </w:rPr>
            </w:pPr>
            <w:r>
              <w:rPr>
                <w:rFonts w:hint="eastAsia" w:ascii="宋体" w:hAnsi="宋体" w:eastAsia="宋体"/>
                <w:sz w:val="24"/>
                <w:szCs w:val="24"/>
              </w:rPr>
              <w:t>4</w:t>
            </w:r>
          </w:p>
        </w:tc>
        <w:tc>
          <w:tcPr>
            <w:tcW w:w="2297" w:type="dxa"/>
            <w:tcBorders>
              <w:top w:val="single" w:color="auto" w:sz="4" w:space="0"/>
              <w:left w:val="single" w:color="auto" w:sz="4" w:space="0"/>
              <w:bottom w:val="single" w:color="auto" w:sz="4" w:space="0"/>
              <w:right w:val="single" w:color="auto" w:sz="4" w:space="0"/>
            </w:tcBorders>
            <w:vAlign w:val="center"/>
          </w:tcPr>
          <w:p>
            <w:pPr>
              <w:widowControl/>
              <w:spacing w:line="360" w:lineRule="exact"/>
              <w:ind w:left="0" w:leftChars="0" w:firstLine="0" w:firstLineChars="0"/>
              <w:jc w:val="left"/>
              <w:textAlignment w:val="auto"/>
              <w:rPr>
                <w:rFonts w:hint="eastAsia" w:ascii="宋体" w:hAnsi="宋体" w:eastAsia="宋体"/>
                <w:sz w:val="24"/>
                <w:szCs w:val="24"/>
              </w:rPr>
            </w:pPr>
            <w:r>
              <w:rPr>
                <w:rFonts w:hint="eastAsia" w:ascii="宋体" w:hAnsi="宋体" w:eastAsia="宋体"/>
                <w:sz w:val="24"/>
                <w:szCs w:val="24"/>
              </w:rPr>
              <w:t>济南/中国重汽集团产品试验检测中心</w:t>
            </w:r>
          </w:p>
        </w:tc>
      </w:tr>
    </w:tbl>
    <w:p>
      <w:pPr>
        <w:spacing w:line="360" w:lineRule="auto"/>
        <w:ind w:firstLine="480" w:firstLineChars="200"/>
        <w:jc w:val="both"/>
        <w:textAlignment w:val="auto"/>
        <w:rPr>
          <w:rFonts w:ascii="Times New Roman" w:hAnsi="Times New Roman" w:eastAsia="宋体" w:cs="Times New Roman"/>
          <w:bCs/>
          <w:sz w:val="24"/>
          <w:szCs w:val="24"/>
        </w:rPr>
      </w:pPr>
      <w:r>
        <w:rPr>
          <w:rFonts w:ascii="Times New Roman" w:hAnsi="Times New Roman" w:eastAsia="宋体" w:cs="Times New Roman"/>
          <w:bCs/>
          <w:sz w:val="24"/>
          <w:szCs w:val="24"/>
        </w:rPr>
        <w:t>备注：</w:t>
      </w:r>
    </w:p>
    <w:p>
      <w:pPr>
        <w:numPr>
          <w:ilvl w:val="0"/>
          <w:numId w:val="10"/>
        </w:numPr>
        <w:spacing w:line="360" w:lineRule="auto"/>
        <w:ind w:firstLine="480" w:firstLineChars="200"/>
        <w:jc w:val="both"/>
        <w:textAlignment w:val="auto"/>
        <w:rPr>
          <w:rFonts w:ascii="Times New Roman" w:hAnsi="Times New Roman" w:eastAsia="宋体" w:cs="Times New Roman"/>
          <w:bCs/>
          <w:sz w:val="24"/>
          <w:szCs w:val="24"/>
        </w:rPr>
      </w:pPr>
      <w:r>
        <w:rPr>
          <w:rFonts w:ascii="Times New Roman" w:hAnsi="Times New Roman" w:eastAsia="宋体" w:cs="Times New Roman"/>
          <w:bCs/>
          <w:sz w:val="24"/>
          <w:szCs w:val="24"/>
        </w:rPr>
        <w:t>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jc w:val="both"/>
        <w:textAlignment w:val="auto"/>
        <w:rPr>
          <w:rFonts w:ascii="Times New Roman" w:hAnsi="Times New Roman" w:eastAsia="宋体" w:cs="Times New Roman"/>
          <w:bCs/>
          <w:sz w:val="24"/>
          <w:szCs w:val="24"/>
        </w:rPr>
      </w:pPr>
      <w:r>
        <w:rPr>
          <w:rFonts w:hint="eastAsia" w:ascii="Times New Roman" w:hAnsi="Times New Roman" w:eastAsia="宋体" w:cs="Times New Roman"/>
          <w:bCs/>
          <w:sz w:val="24"/>
          <w:szCs w:val="24"/>
          <w:lang w:val="en-US" w:eastAsia="zh-CN"/>
        </w:rPr>
        <w:t xml:space="preserve">2. </w:t>
      </w:r>
      <w:r>
        <w:rPr>
          <w:rFonts w:ascii="Times New Roman" w:hAnsi="Times New Roman" w:eastAsia="宋体" w:cs="Times New Roman"/>
          <w:bCs/>
          <w:sz w:val="24"/>
          <w:szCs w:val="24"/>
        </w:rPr>
        <w:t>本表“供货方式”指：交钥匙方式——包括制造、运输、定点卸货、安装、调试和协助验收以及约定培训等。</w:t>
      </w:r>
    </w:p>
    <w:p>
      <w:pPr>
        <w:spacing w:line="360" w:lineRule="auto"/>
        <w:ind w:firstLine="480" w:firstLineChars="200"/>
        <w:jc w:val="both"/>
        <w:textAlignment w:val="auto"/>
        <w:rPr>
          <w:rFonts w:ascii="Times New Roman" w:hAnsi="Times New Roman" w:eastAsia="宋体" w:cs="Times New Roman"/>
          <w:b/>
          <w:bCs w:val="0"/>
          <w:sz w:val="24"/>
          <w:szCs w:val="24"/>
        </w:rPr>
      </w:pPr>
      <w:r>
        <w:rPr>
          <w:rFonts w:hint="eastAsia" w:ascii="Times New Roman" w:hAnsi="Times New Roman" w:eastAsia="宋体" w:cs="Times New Roman"/>
          <w:bCs/>
          <w:sz w:val="24"/>
          <w:szCs w:val="24"/>
          <w:lang w:val="en-US" w:eastAsia="zh-CN"/>
        </w:rPr>
        <w:t xml:space="preserve">3. </w:t>
      </w:r>
      <w:r>
        <w:rPr>
          <w:rFonts w:ascii="Times New Roman" w:hAnsi="Times New Roman" w:eastAsia="宋体" w:cs="Times New Roman"/>
          <w:b/>
          <w:bCs w:val="0"/>
          <w:sz w:val="24"/>
          <w:szCs w:val="24"/>
        </w:rPr>
        <w:t>采购货物特别说明：招标人所列货物的名称和规格型号，如为某一供应商所特有，则该名称和规格型号可作参考，但要求投标人所提供的货物必须满足本技术标书实质性要求。</w:t>
      </w:r>
    </w:p>
    <w:p>
      <w:pPr>
        <w:spacing w:line="360" w:lineRule="auto"/>
        <w:ind w:firstLine="480" w:firstLineChars="200"/>
        <w:jc w:val="both"/>
        <w:textAlignment w:val="auto"/>
        <w:rPr>
          <w:rFonts w:hint="eastAsia" w:ascii="黑体" w:hAnsi="黑体" w:eastAsia="黑体" w:cs="黑体"/>
          <w:bCs/>
          <w:sz w:val="24"/>
          <w:szCs w:val="24"/>
        </w:rPr>
      </w:pPr>
      <w:r>
        <w:rPr>
          <w:rFonts w:hint="eastAsia" w:ascii="黑体" w:hAnsi="黑体" w:eastAsia="黑体" w:cs="黑体"/>
          <w:bCs/>
          <w:sz w:val="24"/>
          <w:szCs w:val="24"/>
        </w:rPr>
        <w:t>四、采购货物特别说明</w:t>
      </w:r>
    </w:p>
    <w:p>
      <w:pPr>
        <w:spacing w:line="360" w:lineRule="auto"/>
        <w:ind w:firstLine="480" w:firstLineChars="200"/>
        <w:jc w:val="both"/>
        <w:textAlignment w:val="auto"/>
        <w:rPr>
          <w:rFonts w:ascii="Times New Roman" w:hAnsi="Times New Roman" w:eastAsia="宋体" w:cs="Times New Roman"/>
          <w:bCs/>
          <w:sz w:val="24"/>
          <w:szCs w:val="24"/>
        </w:rPr>
      </w:pPr>
      <w:r>
        <w:rPr>
          <w:rFonts w:ascii="Times New Roman" w:hAnsi="Times New Roman" w:eastAsia="宋体" w:cs="Times New Roman"/>
          <w:bCs/>
          <w:sz w:val="24"/>
          <w:szCs w:val="24"/>
        </w:rPr>
        <w:t>招标方所列货物的名称和规格型号，如为某一供应商所特有，则该名称和规格型号可作参考；但要求投标方所提供的货物必须满足本技术标书实质性要求。</w:t>
      </w:r>
    </w:p>
    <w:p>
      <w:pPr>
        <w:numPr>
          <w:ilvl w:val="0"/>
          <w:numId w:val="11"/>
        </w:numPr>
        <w:spacing w:line="360" w:lineRule="auto"/>
        <w:ind w:firstLine="480" w:firstLineChars="200"/>
        <w:rPr>
          <w:rFonts w:hint="eastAsia" w:ascii="Times New Roman" w:hAnsi="Times New Roman" w:eastAsia="黑体" w:cs="Times New Roman"/>
          <w:sz w:val="24"/>
          <w:szCs w:val="24"/>
          <w:lang w:val="en-US" w:eastAsia="zh-CN" w:bidi="ar"/>
        </w:rPr>
      </w:pPr>
      <w:r>
        <w:rPr>
          <w:rFonts w:hint="eastAsia" w:ascii="Times New Roman" w:hAnsi="Times New Roman" w:eastAsia="黑体" w:cs="Times New Roman"/>
          <w:sz w:val="24"/>
          <w:szCs w:val="24"/>
          <w:lang w:val="en-US" w:eastAsia="zh-CN" w:bidi="ar"/>
        </w:rPr>
        <w:t>投标要求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1、投标方须对</w:t>
      </w:r>
      <w:r>
        <w:rPr>
          <w:rFonts w:hint="eastAsia" w:ascii="宋体" w:hAnsi="宋体" w:eastAsia="宋体" w:cs="宋体"/>
          <w:sz w:val="24"/>
          <w:szCs w:val="24"/>
          <w:lang w:val="en-US" w:eastAsia="zh-CN"/>
        </w:rPr>
        <w:t>项目施工详细内容</w:t>
      </w:r>
      <w:r>
        <w:rPr>
          <w:rFonts w:hint="eastAsia" w:ascii="宋体" w:hAnsi="宋体" w:eastAsia="宋体" w:cs="宋体"/>
          <w:sz w:val="24"/>
          <w:szCs w:val="24"/>
        </w:rPr>
        <w:t>充分分析，提供详细的工艺方案，同时以此为报价基础。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2、中标人对设备质量和可靠性负责。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4、中标人对中标设备的制造、安装、调试提供系列服务，具体如下：</w:t>
      </w:r>
    </w:p>
    <w:p>
      <w:pPr>
        <w:pStyle w:val="77"/>
        <w:numPr>
          <w:ilvl w:val="0"/>
          <w:numId w:val="12"/>
        </w:numPr>
        <w:spacing w:line="360" w:lineRule="auto"/>
        <w:ind w:left="0" w:firstLine="720" w:firstLineChars="300"/>
        <w:rPr>
          <w:rFonts w:hint="eastAsia" w:ascii="宋体" w:hAnsi="宋体" w:eastAsia="宋体" w:cs="宋体"/>
          <w:sz w:val="24"/>
          <w:szCs w:val="24"/>
          <w:highlight w:val="yellow"/>
        </w:rPr>
      </w:pPr>
      <w:r>
        <w:rPr>
          <w:rFonts w:hint="eastAsia" w:ascii="宋体" w:hAnsi="宋体" w:eastAsia="宋体" w:cs="宋体"/>
          <w:sz w:val="24"/>
          <w:szCs w:val="24"/>
          <w:highlight w:val="yellow"/>
        </w:rPr>
        <w:t>原则上，</w:t>
      </w:r>
      <w:r>
        <w:rPr>
          <w:rFonts w:hint="eastAsia" w:ascii="宋体" w:hAnsi="宋体" w:eastAsia="宋体" w:cs="宋体"/>
          <w:sz w:val="24"/>
          <w:szCs w:val="24"/>
          <w:highlight w:val="yellow"/>
          <w:lang w:val="en-US" w:eastAsia="zh-CN"/>
        </w:rPr>
        <w:t>本项目中</w:t>
      </w:r>
      <w:r>
        <w:rPr>
          <w:rFonts w:hint="eastAsia" w:ascii="宋体" w:hAnsi="宋体" w:eastAsia="宋体" w:cs="宋体"/>
          <w:sz w:val="24"/>
          <w:szCs w:val="24"/>
          <w:highlight w:val="yellow"/>
        </w:rPr>
        <w:t>电机功率</w:t>
      </w:r>
      <w:r>
        <w:rPr>
          <w:rFonts w:hint="eastAsia" w:ascii="宋体" w:hAnsi="宋体" w:eastAsia="宋体" w:cs="宋体"/>
          <w:sz w:val="24"/>
          <w:szCs w:val="24"/>
          <w:highlight w:val="yellow"/>
          <w:lang w:val="en-US" w:eastAsia="zh-CN"/>
        </w:rPr>
        <w:t>＞7.5</w:t>
      </w:r>
      <w:r>
        <w:rPr>
          <w:rFonts w:hint="eastAsia" w:ascii="宋体" w:hAnsi="宋体" w:eastAsia="宋体" w:cs="宋体"/>
          <w:sz w:val="24"/>
          <w:szCs w:val="24"/>
          <w:highlight w:val="yellow"/>
        </w:rPr>
        <w:t>kW,必须选用一级能效。电机功率&lt;</w:t>
      </w:r>
      <w:r>
        <w:rPr>
          <w:rFonts w:hint="eastAsia" w:ascii="宋体" w:hAnsi="宋体" w:eastAsia="宋体" w:cs="宋体"/>
          <w:sz w:val="24"/>
          <w:szCs w:val="24"/>
          <w:highlight w:val="yellow"/>
          <w:lang w:val="en-US" w:eastAsia="zh-CN"/>
        </w:rPr>
        <w:t>7.5</w:t>
      </w:r>
      <w:r>
        <w:rPr>
          <w:rFonts w:hint="eastAsia" w:ascii="宋体" w:hAnsi="宋体" w:eastAsia="宋体" w:cs="宋体"/>
          <w:sz w:val="24"/>
          <w:szCs w:val="24"/>
          <w:highlight w:val="yellow"/>
        </w:rPr>
        <w:t>kW，</w:t>
      </w:r>
      <w:r>
        <w:rPr>
          <w:rFonts w:hint="eastAsia" w:ascii="宋体" w:hAnsi="宋体" w:eastAsia="宋体" w:cs="宋体"/>
          <w:sz w:val="24"/>
          <w:szCs w:val="24"/>
          <w:highlight w:val="yellow"/>
          <w:lang w:val="en-US" w:eastAsia="zh-CN"/>
        </w:rPr>
        <w:t>优</w:t>
      </w:r>
      <w:r>
        <w:rPr>
          <w:rFonts w:hint="eastAsia" w:ascii="宋体" w:hAnsi="宋体" w:eastAsia="宋体" w:cs="宋体"/>
          <w:sz w:val="24"/>
          <w:szCs w:val="24"/>
          <w:highlight w:val="yellow"/>
        </w:rPr>
        <w:t>先选用一级能效；其中对于能源供应类设备及年运行时间</w:t>
      </w:r>
      <w:r>
        <w:rPr>
          <w:rFonts w:hint="eastAsia" w:ascii="宋体" w:hAnsi="宋体" w:eastAsia="宋体" w:cs="宋体"/>
          <w:sz w:val="24"/>
          <w:szCs w:val="24"/>
          <w:highlight w:val="yellow"/>
          <w:lang w:val="en-US" w:eastAsia="zh-CN"/>
        </w:rPr>
        <w:t>≥2000h</w:t>
      </w:r>
      <w:r>
        <w:rPr>
          <w:rFonts w:hint="eastAsia" w:ascii="宋体" w:hAnsi="宋体" w:eastAsia="宋体" w:cs="宋体"/>
          <w:sz w:val="24"/>
          <w:szCs w:val="24"/>
          <w:highlight w:val="yellow"/>
        </w:rPr>
        <w:t>工艺设备的电机必须选用一级能效。杜绝选用三级及以下能效。空调必须选用一级能效，变压器最低选用二级能效，对于特殊场景、特殊用途其他设备合性价比综合考虑、充分论证；</w:t>
      </w:r>
    </w:p>
    <w:p>
      <w:pPr>
        <w:pStyle w:val="77"/>
        <w:numPr>
          <w:ilvl w:val="0"/>
          <w:numId w:val="12"/>
        </w:numPr>
        <w:spacing w:line="360" w:lineRule="auto"/>
        <w:ind w:left="0" w:firstLine="720" w:firstLineChars="300"/>
        <w:rPr>
          <w:rFonts w:hint="eastAsia" w:ascii="宋体" w:hAnsi="宋体" w:eastAsia="宋体" w:cs="宋体"/>
          <w:sz w:val="24"/>
          <w:szCs w:val="24"/>
          <w:highlight w:val="yellow"/>
        </w:rPr>
      </w:pPr>
      <w:r>
        <w:rPr>
          <w:rFonts w:hint="eastAsia" w:ascii="宋体" w:hAnsi="宋体" w:eastAsia="宋体" w:cs="宋体"/>
          <w:sz w:val="24"/>
          <w:szCs w:val="24"/>
          <w:highlight w:val="yellow"/>
        </w:rPr>
        <w:t>设备颜色符合《Q-ZZ30070设备设施颜色标识》规定，外观无明显缺陷，重新焊接完成后，对焊接位置进行重新刷漆。</w:t>
      </w:r>
    </w:p>
    <w:p>
      <w:pPr>
        <w:pStyle w:val="77"/>
        <w:numPr>
          <w:ilvl w:val="0"/>
          <w:numId w:val="12"/>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主、辅材的采购、供应；</w:t>
      </w:r>
    </w:p>
    <w:p>
      <w:pPr>
        <w:pStyle w:val="77"/>
        <w:numPr>
          <w:ilvl w:val="0"/>
          <w:numId w:val="12"/>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非标设备的加工、制作、安装；</w:t>
      </w:r>
    </w:p>
    <w:p>
      <w:pPr>
        <w:pStyle w:val="77"/>
        <w:numPr>
          <w:ilvl w:val="0"/>
          <w:numId w:val="12"/>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除业主方提供外的机械及电气外购件、标准件的采购、供应，根据性能价格较优的原则选定供货厂商，并对外购件的质量负责；</w:t>
      </w:r>
    </w:p>
    <w:p>
      <w:pPr>
        <w:pStyle w:val="77"/>
        <w:numPr>
          <w:ilvl w:val="0"/>
          <w:numId w:val="12"/>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配合土建施工，负责检查各种预留孔洞、沟槽和预埋件的位置、尺寸；</w:t>
      </w:r>
    </w:p>
    <w:p>
      <w:pPr>
        <w:pStyle w:val="77"/>
        <w:numPr>
          <w:ilvl w:val="0"/>
          <w:numId w:val="12"/>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建立健全安全、保卫、卫生、消防制度，保证工程顺利进行；</w:t>
      </w:r>
    </w:p>
    <w:p>
      <w:pPr>
        <w:pStyle w:val="77"/>
        <w:numPr>
          <w:ilvl w:val="0"/>
          <w:numId w:val="12"/>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施工用水、电费用；</w:t>
      </w:r>
    </w:p>
    <w:p>
      <w:pPr>
        <w:pStyle w:val="77"/>
        <w:numPr>
          <w:ilvl w:val="0"/>
          <w:numId w:val="12"/>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施工人员的食宿及费用；</w:t>
      </w:r>
    </w:p>
    <w:p>
      <w:pPr>
        <w:pStyle w:val="77"/>
        <w:numPr>
          <w:ilvl w:val="0"/>
          <w:numId w:val="12"/>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安装现场制作所需的设备、工具；</w:t>
      </w:r>
    </w:p>
    <w:p>
      <w:pPr>
        <w:pStyle w:val="77"/>
        <w:numPr>
          <w:ilvl w:val="0"/>
          <w:numId w:val="12"/>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配合业主方、设计院进行工艺调试；</w:t>
      </w:r>
    </w:p>
    <w:p>
      <w:pPr>
        <w:pStyle w:val="77"/>
        <w:numPr>
          <w:ilvl w:val="0"/>
          <w:numId w:val="12"/>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负责人员培训及售后服务；</w:t>
      </w:r>
    </w:p>
    <w:p>
      <w:pPr>
        <w:pStyle w:val="77"/>
        <w:numPr>
          <w:ilvl w:val="0"/>
          <w:numId w:val="12"/>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从生产厂到交货地点的包装、运输；</w:t>
      </w:r>
    </w:p>
    <w:p>
      <w:pPr>
        <w:pStyle w:val="77"/>
        <w:numPr>
          <w:ilvl w:val="0"/>
          <w:numId w:val="12"/>
        </w:numPr>
        <w:spacing w:line="360" w:lineRule="auto"/>
        <w:ind w:left="0" w:firstLine="720" w:firstLineChars="300"/>
        <w:rPr>
          <w:rFonts w:hint="eastAsia" w:ascii="宋体" w:hAnsi="宋体" w:eastAsia="宋体" w:cs="宋体"/>
          <w:sz w:val="24"/>
          <w:szCs w:val="24"/>
        </w:rPr>
      </w:pPr>
      <w:r>
        <w:rPr>
          <w:rFonts w:hint="eastAsia" w:ascii="宋体" w:hAnsi="宋体" w:eastAsia="宋体" w:cs="宋体"/>
          <w:sz w:val="24"/>
          <w:szCs w:val="24"/>
        </w:rPr>
        <w:t>参与设备验收，提供竣工图与竣工报告等技术文件，及时办理移交手续。</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6、在现场制作的关键部件，必须经委托方检验合格后，方可进行涂漆、组装。合格品才能运抵施工现场。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7、中标方服从业主方对现场、安全的管理。</w:t>
      </w:r>
    </w:p>
    <w:p>
      <w:pPr>
        <w:spacing w:line="360" w:lineRule="auto"/>
        <w:ind w:firstLine="420" w:firstLineChars="200"/>
        <w:jc w:val="both"/>
        <w:textAlignment w:val="auto"/>
      </w:pPr>
      <w:r>
        <w:br w:type="page"/>
      </w:r>
    </w:p>
    <w:p>
      <w:pPr>
        <w:pStyle w:val="4"/>
        <w:jc w:val="center"/>
      </w:pPr>
      <w:bookmarkStart w:id="41" w:name="_Toc169605880"/>
      <w:bookmarkStart w:id="42" w:name="_Toc169605881"/>
      <w:r>
        <w:t>第二章  技术要求</w:t>
      </w:r>
      <w:bookmarkEnd w:id="41"/>
    </w:p>
    <w:p>
      <w:pPr>
        <w:bidi w:val="0"/>
        <w:rPr>
          <w:b/>
          <w:bCs/>
          <w:sz w:val="24"/>
          <w:szCs w:val="24"/>
        </w:rPr>
      </w:pPr>
      <w:r>
        <w:rPr>
          <w:b/>
          <w:bCs/>
          <w:sz w:val="24"/>
          <w:szCs w:val="24"/>
        </w:rPr>
        <w:t>一、特别提示</w:t>
      </w:r>
    </w:p>
    <w:p>
      <w:pPr>
        <w:keepNext w:val="0"/>
        <w:keepLines w:val="0"/>
        <w:pageBreakBefore w:val="0"/>
        <w:widowControl w:val="0"/>
        <w:kinsoku/>
        <w:wordWrap/>
        <w:overflowPunct/>
        <w:topLinePunct w:val="0"/>
        <w:autoSpaceDE/>
        <w:autoSpaceDN/>
        <w:bidi w:val="0"/>
        <w:adjustRightInd/>
        <w:snapToGrid/>
        <w:spacing w:before="120" w:beforeLines="50" w:line="240" w:lineRule="auto"/>
        <w:ind w:firstLine="480" w:firstLineChars="20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1.本章技术要求，仅对功能、设计、结构、性能、安装和试验检验等方面，提出了最低和一般性的技术要求，并未对一切技术细节作出规定。</w:t>
      </w:r>
    </w:p>
    <w:p>
      <w:pPr>
        <w:keepNext w:val="0"/>
        <w:keepLines w:val="0"/>
        <w:pageBreakBefore w:val="0"/>
        <w:widowControl w:val="0"/>
        <w:kinsoku/>
        <w:wordWrap/>
        <w:overflowPunct/>
        <w:topLinePunct w:val="0"/>
        <w:autoSpaceDE/>
        <w:autoSpaceDN/>
        <w:bidi w:val="0"/>
        <w:adjustRightInd/>
        <w:snapToGrid/>
        <w:spacing w:before="120" w:beforeLines="50" w:line="240" w:lineRule="auto"/>
        <w:ind w:firstLine="480" w:firstLineChars="20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2.本技术要求所使用的标准、规范等，如与投标人所执行的标准、规范不一致时，应按高于本技术要求所列的标准、规范执行。</w:t>
      </w:r>
    </w:p>
    <w:p>
      <w:pPr>
        <w:keepNext w:val="0"/>
        <w:keepLines w:val="0"/>
        <w:pageBreakBefore w:val="0"/>
        <w:widowControl w:val="0"/>
        <w:kinsoku/>
        <w:wordWrap/>
        <w:overflowPunct/>
        <w:topLinePunct w:val="0"/>
        <w:autoSpaceDE/>
        <w:autoSpaceDN/>
        <w:bidi w:val="0"/>
        <w:adjustRightInd/>
        <w:snapToGrid/>
        <w:spacing w:before="120" w:beforeLines="50" w:line="240" w:lineRule="auto"/>
        <w:ind w:firstLine="480" w:firstLineChars="20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3.投标人认为所供货物必需由招标人配备、解决或提供的其它要求，如设备基础隔振和减振设施、软化水、洁净气源等，均应在投标文件“技术偏离”中予以充分说明。</w:t>
      </w:r>
    </w:p>
    <w:p>
      <w:pPr>
        <w:keepNext w:val="0"/>
        <w:keepLines w:val="0"/>
        <w:pageBreakBefore w:val="0"/>
        <w:widowControl w:val="0"/>
        <w:kinsoku/>
        <w:wordWrap/>
        <w:overflowPunct/>
        <w:topLinePunct w:val="0"/>
        <w:autoSpaceDE/>
        <w:autoSpaceDN/>
        <w:bidi w:val="0"/>
        <w:adjustRightInd/>
        <w:snapToGrid/>
        <w:spacing w:before="120" w:beforeLines="50" w:line="240" w:lineRule="auto"/>
        <w:ind w:firstLine="480" w:firstLineChars="20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pPr>
        <w:keepNext w:val="0"/>
        <w:keepLines w:val="0"/>
        <w:pageBreakBefore w:val="0"/>
        <w:widowControl w:val="0"/>
        <w:kinsoku/>
        <w:wordWrap/>
        <w:overflowPunct/>
        <w:topLinePunct w:val="0"/>
        <w:autoSpaceDE/>
        <w:autoSpaceDN/>
        <w:bidi w:val="0"/>
        <w:adjustRightInd/>
        <w:snapToGrid/>
        <w:spacing w:before="120" w:beforeLines="50" w:line="240" w:lineRule="auto"/>
        <w:ind w:firstLine="480" w:firstLineChars="20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5.无论是否有技术偏离，投标人均应在投标文件“技术偏离”中明确作出有无说明。若有异议，不管是多么微小，投标人必须予以明确和详细的说明或澄清。</w:t>
      </w:r>
    </w:p>
    <w:p>
      <w:pPr>
        <w:keepNext w:val="0"/>
        <w:keepLines w:val="0"/>
        <w:pageBreakBefore w:val="0"/>
        <w:widowControl w:val="0"/>
        <w:kinsoku/>
        <w:wordWrap/>
        <w:overflowPunct/>
        <w:topLinePunct w:val="0"/>
        <w:autoSpaceDE/>
        <w:autoSpaceDN/>
        <w:bidi w:val="0"/>
        <w:adjustRightInd/>
        <w:snapToGrid/>
        <w:spacing w:before="120" w:beforeLines="50" w:line="240" w:lineRule="auto"/>
        <w:ind w:firstLine="480" w:firstLineChars="20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6.为避免投标人优势在招标评审时漏项，质保期超出本技术标书要求的，应当在投标文件“技术偏离”中特别注明。</w:t>
      </w:r>
    </w:p>
    <w:p>
      <w:pPr>
        <w:keepNext w:val="0"/>
        <w:keepLines w:val="0"/>
        <w:pageBreakBefore w:val="0"/>
        <w:widowControl w:val="0"/>
        <w:kinsoku/>
        <w:wordWrap/>
        <w:overflowPunct/>
        <w:topLinePunct w:val="0"/>
        <w:autoSpaceDE/>
        <w:autoSpaceDN/>
        <w:bidi w:val="0"/>
        <w:adjustRightInd/>
        <w:snapToGrid/>
        <w:spacing w:before="120" w:beforeLines="50" w:line="240" w:lineRule="auto"/>
        <w:ind w:firstLine="480" w:firstLineChars="200"/>
        <w:jc w:val="both"/>
        <w:textAlignment w:val="auto"/>
        <w:rPr>
          <w:rFonts w:hint="eastAsia" w:ascii="Times New Roman" w:hAnsi="Times New Roman" w:eastAsia="宋体" w:cs="Times New Roman"/>
          <w:sz w:val="24"/>
          <w:szCs w:val="24"/>
        </w:rPr>
      </w:pPr>
      <w:r>
        <w:rPr>
          <w:rFonts w:ascii="Times New Roman" w:hAnsi="Times New Roman" w:eastAsia="宋体" w:cs="Times New Roman"/>
          <w:sz w:val="24"/>
          <w:szCs w:val="24"/>
        </w:rPr>
        <w:t>7</w:t>
      </w:r>
      <w:r>
        <w:rPr>
          <w:rFonts w:hint="eastAsia" w:ascii="Times New Roman" w:hAnsi="Times New Roman" w:eastAsia="宋体" w:cs="Times New Roman"/>
          <w:sz w:val="24"/>
          <w:szCs w:val="24"/>
        </w:rPr>
        <w:t>、投标文件中，针对“特别提示”条款所做的回应，将作为投标方能否中标的重要依据之一。</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8、</w:t>
      </w:r>
      <w:r>
        <w:rPr>
          <w:rFonts w:hint="eastAsia" w:ascii="宋体" w:hAnsi="宋体" w:eastAsia="宋体" w:cs="Times New Roman"/>
          <w:sz w:val="24"/>
          <w:szCs w:val="24"/>
          <w:highlight w:val="green"/>
        </w:rPr>
        <w:t>程序图纸要求</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8</w:t>
      </w:r>
      <w:r>
        <w:rPr>
          <w:rFonts w:hint="eastAsia" w:ascii="宋体" w:hAnsi="宋体" w:eastAsia="宋体" w:cs="Times New Roman"/>
          <w:sz w:val="24"/>
          <w:szCs w:val="24"/>
          <w:highlight w:val="green"/>
        </w:rPr>
        <w:t>.1 供方必须提供所有设备程序的源代码，包括但不限于 PLC程序、HMI 程序、机器人程序、视觉程序、伺服等。</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8</w:t>
      </w:r>
      <w:r>
        <w:rPr>
          <w:rFonts w:hint="eastAsia" w:ascii="宋体" w:hAnsi="宋体" w:eastAsia="宋体" w:cs="Times New Roman"/>
          <w:sz w:val="24"/>
          <w:szCs w:val="24"/>
          <w:highlight w:val="green"/>
        </w:rPr>
        <w:t>.2 供方所提供的程序不得设置任何密码、保护等限制手段，PLC 不得设置修改下载权限，功能块不得设置密码保护。</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8</w:t>
      </w:r>
      <w:r>
        <w:rPr>
          <w:rFonts w:hint="eastAsia" w:ascii="宋体" w:hAnsi="宋体" w:eastAsia="宋体" w:cs="Times New Roman"/>
          <w:sz w:val="24"/>
          <w:szCs w:val="24"/>
          <w:highlight w:val="green"/>
        </w:rPr>
        <w:t>.3 HMI 界面等需要密码保护的程序，供方必须提供所有级别的用户名、密码。</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8</w:t>
      </w:r>
      <w:r>
        <w:rPr>
          <w:rFonts w:hint="eastAsia" w:ascii="宋体" w:hAnsi="宋体" w:eastAsia="宋体" w:cs="Times New Roman"/>
          <w:sz w:val="24"/>
          <w:szCs w:val="24"/>
          <w:highlight w:val="green"/>
        </w:rPr>
        <w:t>.4 供方需在设备入场前提供设备程序源码，HMI 界面各级用户名和密码，并保证与现场程序一致。</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8</w:t>
      </w:r>
      <w:r>
        <w:rPr>
          <w:rFonts w:hint="eastAsia" w:ascii="宋体" w:hAnsi="宋体" w:eastAsia="宋体" w:cs="Times New Roman"/>
          <w:sz w:val="24"/>
          <w:szCs w:val="24"/>
          <w:highlight w:val="green"/>
        </w:rPr>
        <w:t>.5 供方需在终验收前提供最新的设备程序源码和电气图纸，图纸要求为可编辑原格式（EPLAN、CAD 格式）且与实际接线一致。</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9、</w:t>
      </w:r>
      <w:r>
        <w:rPr>
          <w:rFonts w:hint="eastAsia" w:ascii="宋体" w:hAnsi="宋体" w:eastAsia="宋体" w:cs="Times New Roman"/>
          <w:sz w:val="24"/>
          <w:szCs w:val="24"/>
          <w:highlight w:val="green"/>
        </w:rPr>
        <w:t>接口协议要求</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9</w:t>
      </w:r>
      <w:r>
        <w:rPr>
          <w:rFonts w:hint="eastAsia" w:ascii="宋体" w:hAnsi="宋体" w:eastAsia="宋体" w:cs="Times New Roman"/>
          <w:sz w:val="24"/>
          <w:szCs w:val="24"/>
          <w:highlight w:val="green"/>
        </w:rPr>
        <w:t>.1 供方免费开放所有通讯接口，包括但不限于以太网、RS232、RS485、PROFIBUS、PROFINET、MODBUS 等常见接口，以及设备特有的专用接口。</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9</w:t>
      </w:r>
      <w:r>
        <w:rPr>
          <w:rFonts w:hint="eastAsia" w:ascii="宋体" w:hAnsi="宋体" w:eastAsia="宋体" w:cs="Times New Roman"/>
          <w:sz w:val="24"/>
          <w:szCs w:val="24"/>
          <w:highlight w:val="green"/>
        </w:rPr>
        <w:t>.2 供方免费提供数据交互功能，交互数据包括但不限于实时数据、历史数据、报警信息等。</w:t>
      </w:r>
    </w:p>
    <w:p>
      <w:pPr>
        <w:spacing w:line="360" w:lineRule="auto"/>
        <w:ind w:firstLine="480" w:firstLineChars="200"/>
        <w:rPr>
          <w:rFonts w:hint="eastAsia" w:ascii="宋体" w:hAnsi="宋体" w:eastAsia="宋体" w:cs="Times New Roman"/>
          <w:sz w:val="24"/>
          <w:szCs w:val="24"/>
          <w:highlight w:val="green"/>
        </w:rPr>
      </w:pPr>
      <w:r>
        <w:rPr>
          <w:rFonts w:hint="eastAsia" w:ascii="宋体" w:hAnsi="宋体" w:eastAsia="宋体" w:cs="Times New Roman"/>
          <w:sz w:val="24"/>
          <w:szCs w:val="24"/>
          <w:highlight w:val="green"/>
          <w:lang w:val="en-US" w:eastAsia="zh-CN"/>
        </w:rPr>
        <w:t>9</w:t>
      </w:r>
      <w:r>
        <w:rPr>
          <w:rFonts w:hint="eastAsia" w:ascii="宋体" w:hAnsi="宋体" w:eastAsia="宋体" w:cs="Times New Roman"/>
          <w:sz w:val="24"/>
          <w:szCs w:val="24"/>
          <w:highlight w:val="green"/>
        </w:rPr>
        <w:t>.3 供方在设备入场前提供接口的技术文档和参数说明，包括但不限于接口协议、通讯速率、数据格式等。</w:t>
      </w:r>
    </w:p>
    <w:p>
      <w:pPr>
        <w:spacing w:line="360" w:lineRule="auto"/>
        <w:ind w:firstLine="480" w:firstLineChars="200"/>
      </w:pPr>
      <w:r>
        <w:rPr>
          <w:rFonts w:hint="eastAsia" w:ascii="宋体" w:hAnsi="宋体" w:eastAsia="宋体" w:cs="Times New Roman"/>
          <w:sz w:val="24"/>
          <w:szCs w:val="24"/>
          <w:highlight w:val="green"/>
          <w:lang w:val="en-US" w:eastAsia="zh-CN"/>
        </w:rPr>
        <w:t>9</w:t>
      </w:r>
      <w:r>
        <w:rPr>
          <w:rFonts w:hint="eastAsia" w:ascii="宋体" w:hAnsi="宋体" w:eastAsia="宋体" w:cs="Times New Roman"/>
          <w:sz w:val="24"/>
          <w:szCs w:val="24"/>
          <w:highlight w:val="green"/>
        </w:rPr>
        <w:t>.4 设备使用周期内，供方免费派遣技术人员与甲方调试团队共同进行设备通讯接口的调试工作。</w:t>
      </w:r>
    </w:p>
    <w:p>
      <w:pPr>
        <w:bidi w:val="0"/>
        <w:rPr>
          <w:b/>
          <w:bCs/>
          <w:sz w:val="24"/>
          <w:szCs w:val="24"/>
        </w:rPr>
      </w:pPr>
      <w:r>
        <w:rPr>
          <w:b/>
          <w:bCs/>
          <w:sz w:val="24"/>
          <w:szCs w:val="24"/>
        </w:rPr>
        <w:t>二、基本要求</w:t>
      </w:r>
    </w:p>
    <w:p>
      <w:pPr>
        <w:keepNext w:val="0"/>
        <w:keepLines w:val="0"/>
        <w:pageBreakBefore w:val="0"/>
        <w:widowControl w:val="0"/>
        <w:kinsoku/>
        <w:wordWrap/>
        <w:overflowPunct/>
        <w:topLinePunct w:val="0"/>
        <w:autoSpaceDE/>
        <w:autoSpaceDN/>
        <w:bidi w:val="0"/>
        <w:adjustRightInd/>
        <w:snapToGrid/>
        <w:spacing w:before="120" w:beforeLines="50" w:line="240" w:lineRule="auto"/>
        <w:ind w:firstLine="480" w:firstLineChars="20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1.投标人所供的货物，必须符合中国最新版的法律、法规和相关标准、规范的要求，符合项目所在地政府有关特殊要求。</w:t>
      </w:r>
    </w:p>
    <w:p>
      <w:pPr>
        <w:keepNext w:val="0"/>
        <w:keepLines w:val="0"/>
        <w:pageBreakBefore w:val="0"/>
        <w:widowControl w:val="0"/>
        <w:kinsoku/>
        <w:wordWrap/>
        <w:overflowPunct/>
        <w:topLinePunct w:val="0"/>
        <w:autoSpaceDE/>
        <w:autoSpaceDN/>
        <w:bidi w:val="0"/>
        <w:adjustRightInd/>
        <w:snapToGrid/>
        <w:spacing w:before="120" w:beforeLines="50" w:line="240" w:lineRule="auto"/>
        <w:ind w:firstLine="480" w:firstLineChars="20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2.投标人所供货物涉及的专利权技术以及知识产权保护的其它技术等，应保证招标人不因此受到任何侵权指控以及实际损失。</w:t>
      </w:r>
    </w:p>
    <w:p>
      <w:pPr>
        <w:keepNext w:val="0"/>
        <w:keepLines w:val="0"/>
        <w:pageBreakBefore w:val="0"/>
        <w:widowControl w:val="0"/>
        <w:kinsoku/>
        <w:wordWrap/>
        <w:overflowPunct/>
        <w:topLinePunct w:val="0"/>
        <w:autoSpaceDE/>
        <w:autoSpaceDN/>
        <w:bidi w:val="0"/>
        <w:adjustRightInd/>
        <w:snapToGrid/>
        <w:spacing w:before="120" w:beforeLines="50" w:line="240" w:lineRule="auto"/>
        <w:ind w:firstLine="480" w:firstLineChars="20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3.投标人应保证所供货物的先进性、可靠性、经济性和实用性，并为全新货物（或设备）。</w:t>
      </w:r>
    </w:p>
    <w:p>
      <w:pPr>
        <w:keepNext w:val="0"/>
        <w:keepLines w:val="0"/>
        <w:pageBreakBefore w:val="0"/>
        <w:widowControl w:val="0"/>
        <w:kinsoku/>
        <w:wordWrap/>
        <w:overflowPunct/>
        <w:topLinePunct w:val="0"/>
        <w:autoSpaceDE/>
        <w:autoSpaceDN/>
        <w:bidi w:val="0"/>
        <w:adjustRightInd/>
        <w:snapToGrid/>
        <w:spacing w:before="120" w:beforeLines="50" w:line="240" w:lineRule="auto"/>
        <w:ind w:firstLine="480" w:firstLineChars="20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4.投标人应满足招标人提出的各项技术要求，必要时应当免费提供技术承诺或担保。</w:t>
      </w:r>
    </w:p>
    <w:p>
      <w:pPr>
        <w:keepNext w:val="0"/>
        <w:keepLines w:val="0"/>
        <w:pageBreakBefore w:val="0"/>
        <w:widowControl w:val="0"/>
        <w:kinsoku/>
        <w:wordWrap/>
        <w:overflowPunct/>
        <w:topLinePunct w:val="0"/>
        <w:autoSpaceDE/>
        <w:autoSpaceDN/>
        <w:bidi w:val="0"/>
        <w:adjustRightInd/>
        <w:snapToGrid/>
        <w:spacing w:before="120" w:beforeLines="50" w:line="240" w:lineRule="auto"/>
        <w:ind w:firstLine="480" w:firstLineChars="20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5.投标人应保证所供货物（或设备）为中国政府指定或规定的主管部门公布的非淘汰货物（或设备），并尽力提供中国政府指定或规定的主管部门认可的环保型和节能型货物（或设备）。</w:t>
      </w:r>
    </w:p>
    <w:p>
      <w:pPr>
        <w:keepNext w:val="0"/>
        <w:keepLines w:val="0"/>
        <w:pageBreakBefore w:val="0"/>
        <w:widowControl w:val="0"/>
        <w:kinsoku/>
        <w:wordWrap/>
        <w:overflowPunct/>
        <w:topLinePunct w:val="0"/>
        <w:autoSpaceDE/>
        <w:autoSpaceDN/>
        <w:bidi w:val="0"/>
        <w:adjustRightInd/>
        <w:snapToGrid/>
        <w:spacing w:before="120" w:beforeLines="50" w:line="240" w:lineRule="auto"/>
        <w:ind w:firstLine="480" w:firstLineChars="20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6.投标人应保证所供货物的完整性和成套性，能保证货物的正常运行、使用。</w:t>
      </w:r>
    </w:p>
    <w:p>
      <w:pPr>
        <w:keepNext w:val="0"/>
        <w:keepLines w:val="0"/>
        <w:pageBreakBefore w:val="0"/>
        <w:widowControl w:val="0"/>
        <w:kinsoku/>
        <w:wordWrap/>
        <w:overflowPunct/>
        <w:topLinePunct w:val="0"/>
        <w:autoSpaceDE/>
        <w:autoSpaceDN/>
        <w:bidi w:val="0"/>
        <w:adjustRightInd/>
        <w:snapToGrid/>
        <w:spacing w:before="120" w:beforeLines="50" w:line="240" w:lineRule="auto"/>
        <w:ind w:firstLine="480" w:firstLineChars="20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7.投标人应对招标人采购的货物所涉及的技术、产能等信息负有保密义务，招标人拥有追究投标人泄密责任的权利；招标人如有需要，投标人应无条件签署保密协议。</w:t>
      </w:r>
    </w:p>
    <w:p>
      <w:pPr>
        <w:keepNext w:val="0"/>
        <w:keepLines w:val="0"/>
        <w:pageBreakBefore w:val="0"/>
        <w:widowControl w:val="0"/>
        <w:kinsoku/>
        <w:wordWrap/>
        <w:overflowPunct/>
        <w:topLinePunct w:val="0"/>
        <w:autoSpaceDE/>
        <w:autoSpaceDN/>
        <w:bidi w:val="0"/>
        <w:adjustRightInd/>
        <w:snapToGrid/>
        <w:spacing w:before="120" w:beforeLines="50" w:line="240" w:lineRule="auto"/>
        <w:ind w:firstLine="480" w:firstLineChars="20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8.投标人预验收时需提供进口设备、部件的报关清关资料。</w:t>
      </w:r>
    </w:p>
    <w:p>
      <w:pPr>
        <w:keepNext w:val="0"/>
        <w:keepLines w:val="0"/>
        <w:pageBreakBefore w:val="0"/>
        <w:widowControl w:val="0"/>
        <w:kinsoku/>
        <w:wordWrap/>
        <w:overflowPunct/>
        <w:topLinePunct w:val="0"/>
        <w:autoSpaceDE/>
        <w:autoSpaceDN/>
        <w:bidi w:val="0"/>
        <w:adjustRightInd/>
        <w:snapToGrid/>
        <w:spacing w:before="120" w:beforeLines="50" w:line="240" w:lineRule="auto"/>
        <w:ind w:firstLine="480" w:firstLineChars="200"/>
        <w:jc w:val="both"/>
        <w:textAlignment w:val="auto"/>
        <w:rPr>
          <w:rFonts w:ascii="Times New Roman" w:hAnsi="Times New Roman" w:eastAsia="宋体" w:cs="Times New Roman"/>
          <w:sz w:val="24"/>
          <w:szCs w:val="24"/>
        </w:rPr>
      </w:pPr>
      <w:r>
        <w:rPr>
          <w:rFonts w:ascii="Times New Roman" w:hAnsi="Times New Roman" w:eastAsia="宋体" w:cs="Times New Roman"/>
          <w:sz w:val="24"/>
          <w:szCs w:val="24"/>
        </w:rPr>
        <w:t>9.投标人应提供设备的第三方检定校准报告，检定费用含在报价中。</w:t>
      </w:r>
    </w:p>
    <w:p>
      <w:pPr>
        <w:keepNext/>
        <w:keepLines/>
        <w:spacing w:line="360" w:lineRule="auto"/>
        <w:ind w:firstLine="482" w:firstLineChars="200"/>
        <w:jc w:val="both"/>
        <w:textAlignment w:val="auto"/>
        <w:outlineLvl w:val="2"/>
        <w:rPr>
          <w:rFonts w:ascii="Times New Roman" w:hAnsi="Times New Roman" w:eastAsia="宋体" w:cs="Times New Roman"/>
          <w:b/>
          <w:bCs/>
          <w:color w:val="auto"/>
          <w:sz w:val="24"/>
          <w:szCs w:val="24"/>
          <w:highlight w:val="none"/>
        </w:rPr>
      </w:pPr>
      <w:r>
        <w:rPr>
          <w:rFonts w:ascii="Times New Roman" w:hAnsi="Times New Roman" w:eastAsia="宋体" w:cs="Times New Roman"/>
          <w:b/>
          <w:bCs/>
          <w:color w:val="auto"/>
          <w:sz w:val="24"/>
          <w:szCs w:val="24"/>
          <w:highlight w:val="none"/>
        </w:rPr>
        <w:t>三、技术要求</w:t>
      </w:r>
    </w:p>
    <w:p>
      <w:pPr>
        <w:keepNext/>
        <w:keepLines/>
        <w:spacing w:line="360" w:lineRule="auto"/>
        <w:ind w:firstLine="482" w:firstLineChars="200"/>
        <w:jc w:val="both"/>
        <w:textAlignment w:val="auto"/>
        <w:outlineLvl w:val="2"/>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w:t>
      </w:r>
      <w:r>
        <w:rPr>
          <w:rFonts w:hint="eastAsia" w:ascii="宋体" w:hAnsi="宋体" w:eastAsia="宋体" w:cs="宋体"/>
          <w:b/>
          <w:bCs w:val="0"/>
          <w:color w:val="auto"/>
          <w:sz w:val="24"/>
          <w:szCs w:val="24"/>
          <w:highlight w:val="none"/>
          <w:lang w:val="en-US" w:eastAsia="zh-CN"/>
        </w:rPr>
        <w:t>注：带</w:t>
      </w:r>
      <w:r>
        <w:rPr>
          <w:rFonts w:hint="eastAsia" w:ascii="宋体" w:hAnsi="宋体" w:eastAsia="宋体" w:cs="宋体"/>
          <w:color w:val="auto"/>
          <w:sz w:val="24"/>
          <w:szCs w:val="24"/>
          <w:highlight w:val="none"/>
        </w:rPr>
        <w:t>★</w:t>
      </w:r>
      <w:r>
        <w:rPr>
          <w:rFonts w:hint="eastAsia" w:ascii="宋体" w:hAnsi="宋体" w:eastAsia="宋体" w:cs="宋体"/>
          <w:b/>
          <w:bCs w:val="0"/>
          <w:color w:val="auto"/>
          <w:sz w:val="24"/>
          <w:szCs w:val="24"/>
          <w:highlight w:val="none"/>
          <w:lang w:val="en-US" w:eastAsia="zh-CN"/>
        </w:rPr>
        <w:t>的项目为废标项目，如有一项不能满足即废标；其余项目为一般项目）</w:t>
      </w:r>
    </w:p>
    <w:p>
      <w:pPr>
        <w:bidi w:val="0"/>
        <w:rPr>
          <w:rFonts w:hint="eastAsia" w:ascii="宋体" w:hAnsi="宋体" w:eastAsia="宋体" w:cs="宋体"/>
          <w:b/>
          <w:bCs/>
          <w:sz w:val="24"/>
          <w:szCs w:val="24"/>
        </w:rPr>
      </w:pPr>
      <w:r>
        <w:rPr>
          <w:rFonts w:hint="eastAsia" w:ascii="宋体" w:hAnsi="宋体" w:eastAsia="宋体" w:cs="宋体"/>
          <w:b/>
          <w:bCs/>
          <w:sz w:val="24"/>
          <w:szCs w:val="24"/>
        </w:rPr>
        <w:t>3.1设备组件性能要求</w:t>
      </w:r>
    </w:p>
    <w:tbl>
      <w:tblPr>
        <w:tblStyle w:val="40"/>
        <w:tblW w:w="516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64"/>
        <w:gridCol w:w="872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7" w:hRule="atLeast"/>
        </w:trPr>
        <w:tc>
          <w:tcPr>
            <w:tcW w:w="451"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b/>
                <w:bCs/>
                <w:sz w:val="24"/>
                <w:szCs w:val="24"/>
              </w:rPr>
              <w:t>序号</w:t>
            </w:r>
          </w:p>
        </w:tc>
        <w:tc>
          <w:tcPr>
            <w:tcW w:w="4549" w:type="pct"/>
            <w:tcBorders>
              <w:top w:val="single" w:color="auto" w:sz="4" w:space="0"/>
              <w:left w:val="single" w:color="auto" w:sz="4" w:space="0"/>
              <w:bottom w:val="single" w:color="auto" w:sz="4" w:space="0"/>
              <w:right w:val="single" w:color="auto" w:sz="4" w:space="0"/>
            </w:tcBorders>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b/>
                <w:bCs/>
                <w:sz w:val="24"/>
                <w:szCs w:val="24"/>
              </w:rPr>
              <w:t>设备组件性能要求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1"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4549" w:type="pct"/>
            <w:tcBorders>
              <w:top w:val="single" w:color="auto" w:sz="4" w:space="0"/>
              <w:left w:val="single" w:color="auto" w:sz="4" w:space="0"/>
              <w:bottom w:val="single" w:color="auto" w:sz="4" w:space="0"/>
              <w:right w:val="single" w:color="auto" w:sz="4" w:space="0"/>
            </w:tcBorders>
            <w:vAlign w:val="center"/>
          </w:tcPr>
          <w:p>
            <w:pPr>
              <w:numPr>
                <w:ilvl w:val="0"/>
                <w:numId w:val="13"/>
              </w:num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六分力传感器能够支持动态和静态标定，满足车辆动静态载荷测试需求；</w:t>
            </w:r>
          </w:p>
          <w:p>
            <w:pPr>
              <w:numPr>
                <w:ilvl w:val="0"/>
                <w:numId w:val="13"/>
              </w:num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具备采集的精确性、较高的环境适应性以及持续采集的可靠性；</w:t>
            </w:r>
          </w:p>
          <w:p>
            <w:pPr>
              <w:numPr>
                <w:ilvl w:val="0"/>
                <w:numId w:val="13"/>
              </w:numPr>
              <w:bidi w:val="0"/>
              <w:ind w:left="0" w:leftChars="0" w:firstLine="0" w:firstLineChars="0"/>
              <w:rPr>
                <w:rFonts w:hint="eastAsia" w:ascii="宋体" w:hAnsi="宋体" w:eastAsia="宋体" w:cs="宋体"/>
                <w:sz w:val="24"/>
                <w:szCs w:val="24"/>
              </w:rPr>
            </w:pPr>
            <w:r>
              <w:rPr>
                <w:rFonts w:hint="eastAsia" w:ascii="宋体" w:hAnsi="宋体" w:eastAsia="宋体" w:cs="宋体"/>
                <w:color w:val="auto"/>
                <w:sz w:val="24"/>
                <w:szCs w:val="24"/>
                <w:highlight w:val="none"/>
              </w:rPr>
              <w:t>★</w:t>
            </w:r>
            <w:r>
              <w:rPr>
                <w:rFonts w:hint="eastAsia" w:ascii="宋体" w:hAnsi="宋体" w:eastAsia="宋体" w:cs="宋体"/>
                <w:sz w:val="24"/>
                <w:szCs w:val="24"/>
                <w:lang w:val="en-US" w:eastAsia="zh-CN"/>
              </w:rPr>
              <w:t>能在轴耦合台架上进行疲劳试验，疲劳寿命次数不得低于</w:t>
            </w:r>
            <w:r>
              <w:rPr>
                <w:rFonts w:hint="eastAsia" w:ascii="宋体" w:hAnsi="宋体" w:eastAsia="宋体" w:cs="宋体"/>
                <w:b w:val="0"/>
                <w:sz w:val="24"/>
                <w:szCs w:val="24"/>
                <w:lang w:val="en-US" w:eastAsia="zh-CN"/>
              </w:rPr>
              <w:t>1×10</w:t>
            </w:r>
            <w:r>
              <w:rPr>
                <w:rFonts w:hint="eastAsia" w:ascii="宋体" w:hAnsi="宋体" w:eastAsia="宋体" w:cs="宋体"/>
                <w:b w:val="0"/>
                <w:sz w:val="24"/>
                <w:szCs w:val="24"/>
                <w:vertAlign w:val="superscript"/>
                <w:lang w:val="en-US" w:eastAsia="zh-CN"/>
              </w:rPr>
              <w:t>8</w:t>
            </w:r>
            <w:r>
              <w:rPr>
                <w:rFonts w:hint="eastAsia" w:ascii="宋体" w:hAnsi="宋体" w:eastAsia="宋体" w:cs="宋体"/>
                <w:sz w:val="24"/>
                <w:szCs w:val="24"/>
                <w:lang w:val="en-US" w:eastAsia="zh-CN"/>
              </w:rPr>
              <w:t>次；</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val="en-US" w:eastAsia="zh-CN"/>
              </w:rPr>
              <w:t>4</w:t>
            </w:r>
            <w:r>
              <w:rPr>
                <w:rFonts w:hint="eastAsia" w:ascii="宋体" w:hAnsi="宋体" w:eastAsia="宋体" w:cs="宋体"/>
                <w:sz w:val="24"/>
                <w:szCs w:val="24"/>
              </w:rPr>
              <w:t>) 传感器应包含原厂固定装置、信号线缆、转接线等满足车辆测试的全套配件，同时六分力传感器配套的网线、CAN线、电源线、配件等规格数量必须满足载荷测试的需求。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1"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4549"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(1) 车载电子应具备模拟、CAN bus输出、同步采集4个及以上车轮六分力传感器的能力；</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(2) 具备坚固、防潮、防腐蚀、防尘的耐久性密封式结构，能够防EMC电磁干扰。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1"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3</w:t>
            </w:r>
          </w:p>
        </w:tc>
        <w:tc>
          <w:tcPr>
            <w:tcW w:w="4549"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(1) 轮辋适配器尺寸应按照适</w:t>
            </w:r>
            <w:r>
              <w:rPr>
                <w:rFonts w:hint="eastAsia" w:ascii="宋体" w:hAnsi="宋体" w:eastAsia="宋体" w:cs="宋体"/>
                <w:sz w:val="24"/>
                <w:szCs w:val="24"/>
                <w:lang w:val="en-US" w:eastAsia="zh-CN"/>
              </w:rPr>
              <w:t>配</w:t>
            </w:r>
            <w:r>
              <w:rPr>
                <w:rFonts w:hint="eastAsia" w:ascii="宋体" w:hAnsi="宋体" w:eastAsia="宋体" w:cs="宋体"/>
                <w:sz w:val="24"/>
                <w:szCs w:val="24"/>
              </w:rPr>
              <w:t>R22.5规格的标准轮辋进行，轮毂适配器尺寸应按照适合10×M22/Φ335规格的标准轮辋进行，适合单双胎，轮辋、轮毂及台架组件适配器材料必须采用高强度铝合金或合金钢，通过对部件进行有限元分析</w:t>
            </w:r>
            <w:r>
              <w:rPr>
                <w:rFonts w:hint="eastAsia" w:ascii="宋体" w:hAnsi="宋体" w:eastAsia="宋体" w:cs="宋体"/>
                <w:sz w:val="24"/>
                <w:szCs w:val="24"/>
                <w:lang w:val="en-US" w:eastAsia="zh-CN"/>
              </w:rPr>
              <w:t>及优化并提供分析报告</w:t>
            </w:r>
            <w:r>
              <w:rPr>
                <w:rFonts w:hint="eastAsia" w:ascii="宋体" w:hAnsi="宋体" w:eastAsia="宋体" w:cs="宋体"/>
                <w:sz w:val="24"/>
                <w:szCs w:val="24"/>
              </w:rPr>
              <w:t>，保证测量车轮具有高强度和高刚度，小重量，按照整体机械加工的方式制造；</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(2) 适配器须具备极高的可靠性，</w:t>
            </w:r>
            <w:r>
              <w:rPr>
                <w:rFonts w:hint="eastAsia" w:ascii="宋体" w:hAnsi="宋体" w:eastAsia="宋体" w:cs="宋体"/>
                <w:sz w:val="24"/>
                <w:szCs w:val="24"/>
                <w:lang w:val="en-US" w:eastAsia="zh-CN"/>
              </w:rPr>
              <w:t>能在轴耦合台架上进行疲劳试验，疲劳寿命次数不得低于</w:t>
            </w:r>
            <w:r>
              <w:rPr>
                <w:rFonts w:hint="eastAsia" w:ascii="宋体" w:hAnsi="宋体" w:eastAsia="宋体" w:cs="宋体"/>
                <w:b w:val="0"/>
                <w:sz w:val="24"/>
                <w:szCs w:val="24"/>
                <w:lang w:val="en-US" w:eastAsia="zh-CN"/>
              </w:rPr>
              <w:t>1×10</w:t>
            </w:r>
            <w:r>
              <w:rPr>
                <w:rFonts w:hint="eastAsia" w:ascii="宋体" w:hAnsi="宋体" w:eastAsia="宋体" w:cs="宋体"/>
                <w:b w:val="0"/>
                <w:sz w:val="24"/>
                <w:szCs w:val="24"/>
                <w:vertAlign w:val="superscript"/>
                <w:lang w:val="en-US" w:eastAsia="zh-CN"/>
              </w:rPr>
              <w:t>8</w:t>
            </w:r>
            <w:r>
              <w:rPr>
                <w:rFonts w:hint="eastAsia" w:ascii="宋体" w:hAnsi="宋体" w:eastAsia="宋体" w:cs="宋体"/>
                <w:sz w:val="24"/>
                <w:szCs w:val="24"/>
                <w:lang w:val="en-US" w:eastAsia="zh-CN"/>
              </w:rPr>
              <w:t>次，</w:t>
            </w:r>
            <w:r>
              <w:rPr>
                <w:rFonts w:hint="eastAsia" w:ascii="宋体" w:hAnsi="宋体" w:eastAsia="宋体" w:cs="宋体"/>
                <w:sz w:val="24"/>
                <w:szCs w:val="24"/>
              </w:rPr>
              <w:t>能够提供相关的分析、试验、认证等材料；</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(3) 可提供适配器相关的技术文件，包含但不限于数模、图纸等。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1"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4</w:t>
            </w:r>
          </w:p>
        </w:tc>
        <w:tc>
          <w:tcPr>
            <w:tcW w:w="4549"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数据采集器应满足以下要求：</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(1) 支持CAN2.0B、SAE J1939、SAE J1850、ISO9141协议，并配置GPS输入接口及GPS接收天线组件；</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(2) 可用于多种时间历程信号的采集，包括力、力矩、应变、加速度、位移、温度、GPS、高速脉冲、数字信号等；</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(3) 具备坚固、防潮、防腐蚀、防尘的耐久性密封式结构，具有进一步可扩展空间，提供必备的硬件及软件支持，使多套系统连接或组网能实现更大通道数目的同步测试；同时具备与招标方的eDAQ或西门子数据采集器联网的能力；采集过程可采用能实时显示的手持终端的操作方式，可脱离计算机独立完成；</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(4) 适用于10～32V直流电源、180～230V交流电源，允许车载电源或蓄电池供电；内置后备电池或电容用于掉电或电压不足时的数据保护。</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(5) 所有通道同时使用时，每通道同步采样频率≥45 kHz，16位以上的AD转换；</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(6) 运行湿度≥90%条件下无冷凝；抗振等级可经受住7.7grms的振动和60gpk的冲击（MIL STD 801F）；</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(7) 配</w:t>
            </w:r>
            <w:r>
              <w:rPr>
                <w:rFonts w:hint="eastAsia" w:ascii="宋体" w:hAnsi="宋体" w:eastAsia="宋体" w:cs="宋体"/>
                <w:sz w:val="24"/>
                <w:szCs w:val="24"/>
                <w:lang w:val="en-US" w:eastAsia="zh-CN"/>
              </w:rPr>
              <w:t>2</w:t>
            </w:r>
            <w:r>
              <w:rPr>
                <w:rFonts w:hint="eastAsia" w:ascii="宋体" w:hAnsi="宋体" w:eastAsia="宋体" w:cs="宋体"/>
                <w:sz w:val="24"/>
                <w:szCs w:val="24"/>
              </w:rPr>
              <w:t>米转接线，一端适配本标的数据采集器接口，另一端为truck母头；</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(8) 应配备全套附件，包括但不限于直流和交流电源线、网线、同步线缆、CAN线等。</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1"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5</w:t>
            </w:r>
          </w:p>
        </w:tc>
        <w:tc>
          <w:tcPr>
            <w:tcW w:w="4549"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(1) 传感器自带信号传输线缆长度应大于等于5米，且输出端为truck公头；</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(2) 配套线缆、附件等必须保持为传感器原厂。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1"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6</w:t>
            </w:r>
          </w:p>
        </w:tc>
        <w:tc>
          <w:tcPr>
            <w:tcW w:w="4549"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color w:val="auto"/>
                <w:sz w:val="24"/>
                <w:szCs w:val="24"/>
              </w:rPr>
            </w:pPr>
            <w:r>
              <w:rPr>
                <w:rFonts w:hint="eastAsia" w:ascii="宋体" w:hAnsi="宋体" w:eastAsia="宋体" w:cs="宋体"/>
                <w:b w:val="0"/>
                <w:sz w:val="24"/>
                <w:szCs w:val="24"/>
                <w:lang w:val="en-US" w:eastAsia="zh-CN"/>
              </w:rPr>
              <w:t>★</w:t>
            </w:r>
            <w:r>
              <w:rPr>
                <w:rFonts w:hint="eastAsia" w:ascii="宋体" w:hAnsi="宋体" w:eastAsia="宋体" w:cs="宋体"/>
                <w:sz w:val="24"/>
                <w:szCs w:val="24"/>
              </w:rPr>
              <w:t>未特别说明处均为进口，需提供进口设备、</w:t>
            </w:r>
            <w:r>
              <w:rPr>
                <w:rFonts w:hint="eastAsia" w:ascii="宋体" w:hAnsi="宋体" w:eastAsia="宋体" w:cs="宋体"/>
                <w:sz w:val="24"/>
                <w:szCs w:val="24"/>
                <w:lang w:val="en-US" w:eastAsia="zh-CN"/>
              </w:rPr>
              <w:t>进口</w:t>
            </w:r>
            <w:r>
              <w:rPr>
                <w:rFonts w:hint="eastAsia" w:ascii="宋体" w:hAnsi="宋体" w:eastAsia="宋体" w:cs="宋体"/>
                <w:sz w:val="24"/>
                <w:szCs w:val="24"/>
              </w:rPr>
              <w:t>部件的</w:t>
            </w:r>
            <w:r>
              <w:rPr>
                <w:rFonts w:hint="eastAsia" w:ascii="宋体" w:hAnsi="宋体" w:eastAsia="宋体" w:cs="宋体"/>
                <w:color w:val="auto"/>
                <w:sz w:val="24"/>
                <w:szCs w:val="24"/>
                <w:lang w:val="en-US" w:eastAsia="zh-CN"/>
              </w:rPr>
              <w:t>原产地证明</w:t>
            </w:r>
            <w:r>
              <w:rPr>
                <w:rFonts w:hint="eastAsia" w:ascii="宋体" w:hAnsi="宋体" w:eastAsia="宋体" w:cs="宋体"/>
                <w:color w:val="auto"/>
                <w:sz w:val="24"/>
                <w:szCs w:val="24"/>
              </w:rPr>
              <w:t>。</w:t>
            </w:r>
          </w:p>
          <w:p>
            <w:pPr>
              <w:bidi w:val="0"/>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b w:val="0"/>
                <w:sz w:val="24"/>
                <w:szCs w:val="24"/>
                <w:lang w:val="en-US" w:eastAsia="zh-CN"/>
              </w:rPr>
              <w:t>★</w:t>
            </w:r>
            <w:r>
              <w:rPr>
                <w:rFonts w:hint="eastAsia" w:ascii="宋体" w:hAnsi="宋体" w:eastAsia="宋体" w:cs="宋体"/>
                <w:color w:val="auto"/>
                <w:sz w:val="24"/>
                <w:szCs w:val="24"/>
                <w:lang w:val="en-US" w:eastAsia="zh-CN"/>
              </w:rPr>
              <w:t>程序图纸要求</w:t>
            </w:r>
          </w:p>
          <w:p>
            <w:pPr>
              <w:bidi w:val="0"/>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1.1 供方必须提供所有设备程序的源代码，包括但不限于PLC程序、HMI程序、机器人程序、视觉程序、伺服等。</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1.2 供方所提供的程序不得设置任何密码、保护等限制手段， PLC 不得设置修改下载权限，功能块不得设置密码保护。 </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1.3 HMI界面等需要密码保护的程序，供方必须提供所有级别的用户名、密码。 </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1.4 供方需在设备入场前提供设备程序源码，HMI界面各级用户名和密码，并保证与现场程序一致。 </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1.5 供方需在终验收前提供最新的设备程序源码和电气图纸，图纸要求为可编辑原格式（EPLAN、CAD格式）且与实际接线一致。 </w:t>
            </w:r>
          </w:p>
          <w:p>
            <w:pPr>
              <w:bidi w:val="0"/>
              <w:ind w:left="0" w:leftChars="0" w:firstLine="0" w:firstLineChars="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b w:val="0"/>
                <w:sz w:val="24"/>
                <w:szCs w:val="24"/>
                <w:lang w:val="en-US" w:eastAsia="zh-CN"/>
              </w:rPr>
              <w:t>★</w:t>
            </w:r>
            <w:r>
              <w:rPr>
                <w:rFonts w:hint="eastAsia" w:ascii="宋体" w:hAnsi="宋体" w:eastAsia="宋体" w:cs="宋体"/>
                <w:color w:val="auto"/>
                <w:sz w:val="24"/>
                <w:szCs w:val="24"/>
                <w:lang w:val="en-US" w:eastAsia="zh-CN"/>
              </w:rPr>
              <w:t xml:space="preserve">接口协议要求 </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2.1 供方免费开放所有通讯接口，包括但不限于以太网、RS232、RS485、PROFIBUS、PROFINET、MODBUS 等常见接口，以及设备特有的专用接口。 </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2.2 供方免费提供数据交互功能，交互数据包括但不限于实时数据、历史数据、报警信息等。 </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 xml:space="preserve">2.3 供方在设备入场前提供接口的技术文档和参数说明，包括但不限于接口协议、通讯速率、数据格式等。 </w:t>
            </w:r>
          </w:p>
          <w:p>
            <w:pPr>
              <w:bidi w:val="0"/>
              <w:ind w:left="0" w:leftChars="0" w:firstLine="0" w:firstLineChars="0"/>
              <w:rPr>
                <w:rFonts w:hint="eastAsia" w:ascii="宋体" w:hAnsi="宋体" w:eastAsia="宋体" w:cs="宋体"/>
                <w:color w:val="auto"/>
                <w:sz w:val="24"/>
                <w:szCs w:val="24"/>
              </w:rPr>
            </w:pPr>
            <w:r>
              <w:rPr>
                <w:rFonts w:hint="eastAsia" w:ascii="宋体" w:hAnsi="宋体" w:eastAsia="宋体" w:cs="宋体"/>
                <w:sz w:val="24"/>
                <w:szCs w:val="24"/>
                <w:lang w:val="en-US" w:eastAsia="zh-CN"/>
              </w:rPr>
              <w:t xml:space="preserve">2.4 设备使用周期内，供方免费派遣技术人员与甲方调试团队共同进行设备通讯接口的调试工作。 </w:t>
            </w:r>
          </w:p>
        </w:tc>
      </w:tr>
    </w:tbl>
    <w:p>
      <w:pPr>
        <w:bidi w:val="0"/>
        <w:rPr>
          <w:rFonts w:hint="eastAsia" w:ascii="宋体" w:hAnsi="宋体" w:eastAsia="宋体" w:cs="宋体"/>
          <w:b/>
          <w:bCs/>
          <w:sz w:val="24"/>
          <w:szCs w:val="24"/>
        </w:rPr>
      </w:pPr>
      <w:r>
        <w:rPr>
          <w:rFonts w:hint="eastAsia" w:ascii="宋体" w:hAnsi="宋体" w:eastAsia="宋体" w:cs="宋体"/>
          <w:b/>
          <w:bCs/>
          <w:sz w:val="24"/>
          <w:szCs w:val="24"/>
        </w:rPr>
        <w:t>3.2设备技术参数要求</w:t>
      </w:r>
    </w:p>
    <w:tbl>
      <w:tblPr>
        <w:tblStyle w:val="40"/>
        <w:tblW w:w="516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66"/>
        <w:gridCol w:w="1627"/>
        <w:gridCol w:w="709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2"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849"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设备名称</w:t>
            </w:r>
          </w:p>
        </w:tc>
        <w:tc>
          <w:tcPr>
            <w:tcW w:w="3699"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设备技术参数要求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2" w:type="pct"/>
            <w:tcBorders>
              <w:top w:val="single" w:color="auto" w:sz="4" w:space="0"/>
              <w:left w:val="single" w:color="auto" w:sz="4" w:space="0"/>
              <w:bottom w:val="single" w:color="auto" w:sz="4" w:space="0"/>
              <w:right w:val="single" w:color="auto" w:sz="4" w:space="0"/>
            </w:tcBorders>
            <w:vAlign w:val="center"/>
          </w:tcPr>
          <w:p>
            <w:pPr>
              <w:tabs>
                <w:tab w:val="left" w:pos="662"/>
              </w:tabs>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849" w:type="pct"/>
            <w:tcBorders>
              <w:top w:val="single" w:color="auto" w:sz="4" w:space="0"/>
              <w:left w:val="single" w:color="auto" w:sz="4" w:space="0"/>
              <w:bottom w:val="single" w:color="auto" w:sz="4" w:space="0"/>
              <w:right w:val="single" w:color="auto" w:sz="4" w:space="0"/>
            </w:tcBorders>
            <w:vAlign w:val="center"/>
          </w:tcPr>
          <w:p>
            <w:pPr>
              <w:tabs>
                <w:tab w:val="left" w:pos="662"/>
              </w:tabs>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六分力传感器</w:t>
            </w:r>
          </w:p>
        </w:tc>
        <w:tc>
          <w:tcPr>
            <w:tcW w:w="3699" w:type="pct"/>
            <w:tcBorders>
              <w:top w:val="single" w:color="auto" w:sz="4" w:space="0"/>
              <w:left w:val="single" w:color="auto" w:sz="4" w:space="0"/>
              <w:bottom w:val="single" w:color="auto" w:sz="4" w:space="0"/>
              <w:right w:val="single" w:color="auto" w:sz="4" w:space="0"/>
            </w:tcBorders>
            <w:vAlign w:val="center"/>
          </w:tcPr>
          <w:p>
            <w:pPr>
              <w:tabs>
                <w:tab w:val="left" w:pos="662"/>
              </w:tabs>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纵向力Fx ≥250 kN</w:t>
            </w:r>
          </w:p>
          <w:p>
            <w:pPr>
              <w:tabs>
                <w:tab w:val="left" w:pos="662"/>
              </w:tabs>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轴向力Fy ≥150 kN</w:t>
            </w:r>
          </w:p>
          <w:p>
            <w:pPr>
              <w:tabs>
                <w:tab w:val="left" w:pos="662"/>
              </w:tabs>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垂向力Fz ≥250 kN</w:t>
            </w:r>
          </w:p>
          <w:p>
            <w:pPr>
              <w:tabs>
                <w:tab w:val="left" w:pos="662"/>
              </w:tabs>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侧倾扭矩Mx ≥50 kN.m</w:t>
            </w:r>
          </w:p>
          <w:p>
            <w:pPr>
              <w:tabs>
                <w:tab w:val="left" w:pos="662"/>
              </w:tabs>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驱动扭矩My ≥80 kN.m</w:t>
            </w:r>
          </w:p>
          <w:p>
            <w:pPr>
              <w:tabs>
                <w:tab w:val="left" w:pos="662"/>
              </w:tabs>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转向扭矩Mz ≥50 kN.m</w:t>
            </w:r>
          </w:p>
          <w:p>
            <w:pPr>
              <w:tabs>
                <w:tab w:val="left" w:pos="662"/>
              </w:tabs>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过载系数≥150 %FS</w:t>
            </w:r>
          </w:p>
          <w:p>
            <w:pPr>
              <w:tabs>
                <w:tab w:val="left" w:pos="662"/>
              </w:tabs>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振动冲击 ≥50 g</w:t>
            </w:r>
          </w:p>
          <w:p>
            <w:pPr>
              <w:tabs>
                <w:tab w:val="left" w:pos="662"/>
              </w:tabs>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力最小分辨率 ≤5 N</w:t>
            </w:r>
          </w:p>
          <w:p>
            <w:pPr>
              <w:tabs>
                <w:tab w:val="left" w:pos="662"/>
              </w:tabs>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力矩最小分辨率≤3 N.m</w:t>
            </w:r>
          </w:p>
          <w:p>
            <w:pPr>
              <w:tabs>
                <w:tab w:val="left" w:pos="662"/>
              </w:tabs>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非线性度 ≤1 % FS</w:t>
            </w:r>
          </w:p>
          <w:p>
            <w:pPr>
              <w:tabs>
                <w:tab w:val="left" w:pos="662"/>
              </w:tabs>
              <w:bidi w:val="0"/>
              <w:ind w:left="0" w:leftChars="0" w:firstLine="0" w:firstLineChars="0"/>
              <w:rPr>
                <w:rFonts w:hint="eastAsia" w:ascii="宋体" w:hAnsi="宋体" w:eastAsia="宋体" w:cs="宋体"/>
                <w:sz w:val="24"/>
                <w:szCs w:val="24"/>
              </w:rPr>
            </w:pPr>
            <w:r>
              <w:rPr>
                <w:rFonts w:hint="eastAsia" w:ascii="宋体" w:hAnsi="宋体" w:eastAsia="宋体" w:cs="宋体"/>
                <w:color w:val="auto"/>
                <w:sz w:val="24"/>
                <w:szCs w:val="24"/>
                <w:lang w:val="en-US" w:eastAsia="zh-CN"/>
              </w:rPr>
              <w:t>磁</w:t>
            </w:r>
            <w:r>
              <w:rPr>
                <w:rFonts w:hint="eastAsia" w:ascii="宋体" w:hAnsi="宋体" w:eastAsia="宋体" w:cs="宋体"/>
                <w:color w:val="auto"/>
                <w:sz w:val="24"/>
                <w:szCs w:val="24"/>
              </w:rPr>
              <w:t>滞</w:t>
            </w:r>
            <w:r>
              <w:rPr>
                <w:rFonts w:hint="eastAsia" w:ascii="宋体" w:hAnsi="宋体" w:eastAsia="宋体" w:cs="宋体"/>
                <w:sz w:val="24"/>
                <w:szCs w:val="24"/>
              </w:rPr>
              <w:t xml:space="preserve"> ≤1 % FS</w:t>
            </w:r>
          </w:p>
          <w:p>
            <w:pPr>
              <w:tabs>
                <w:tab w:val="left" w:pos="662"/>
              </w:tabs>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交叉干扰 ≤1 % FS</w:t>
            </w:r>
          </w:p>
          <w:p>
            <w:pPr>
              <w:tabs>
                <w:tab w:val="left" w:pos="662"/>
              </w:tabs>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工作极限低温≤ -20℃</w:t>
            </w:r>
          </w:p>
          <w:p>
            <w:pPr>
              <w:tabs>
                <w:tab w:val="left" w:pos="662"/>
              </w:tabs>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工作极限高温 ≥110℃</w:t>
            </w:r>
          </w:p>
          <w:p>
            <w:pPr>
              <w:tabs>
                <w:tab w:val="left" w:pos="662"/>
              </w:tabs>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防护等级≥IP67</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2"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849"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车轮电子</w:t>
            </w:r>
          </w:p>
        </w:tc>
        <w:tc>
          <w:tcPr>
            <w:tcW w:w="3699"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AD转换分辨率 ≥</w:t>
            </w:r>
            <w:r>
              <w:rPr>
                <w:rFonts w:hint="eastAsia" w:ascii="宋体" w:hAnsi="宋体" w:eastAsia="宋体" w:cs="宋体"/>
                <w:color w:val="auto"/>
                <w:sz w:val="24"/>
                <w:szCs w:val="24"/>
              </w:rPr>
              <w:t xml:space="preserve">16 </w:t>
            </w:r>
            <w:r>
              <w:rPr>
                <w:rFonts w:hint="eastAsia" w:ascii="宋体" w:hAnsi="宋体" w:eastAsia="宋体" w:cs="宋体"/>
                <w:sz w:val="24"/>
                <w:szCs w:val="24"/>
              </w:rPr>
              <w:t>bit</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采样频率 ≥2 kHZ</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截止频率 ≥500 HZ</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传输带宽 ≥2 Mbit/s</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防护等级≥IP65</w:t>
            </w:r>
          </w:p>
          <w:p>
            <w:pPr>
              <w:bidi w:val="0"/>
              <w:ind w:left="0" w:leftChars="0" w:firstLine="0" w:firstLineChars="0"/>
              <w:rPr>
                <w:rFonts w:hint="eastAsia" w:ascii="宋体" w:hAnsi="宋体" w:eastAsia="宋体" w:cs="宋体"/>
                <w:sz w:val="24"/>
                <w:szCs w:val="24"/>
              </w:rPr>
            </w:pPr>
            <w:r>
              <w:rPr>
                <w:rFonts w:hint="eastAsia" w:ascii="宋体" w:hAnsi="宋体" w:eastAsia="宋体" w:cs="宋体"/>
                <w:color w:val="auto"/>
                <w:sz w:val="24"/>
                <w:szCs w:val="24"/>
              </w:rPr>
              <w:t>应包含滑环</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个、10米滑环线缆</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根、10米滑环线缆延长线缆</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根、滑环固定装置</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2"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3</w:t>
            </w:r>
          </w:p>
        </w:tc>
        <w:tc>
          <w:tcPr>
            <w:tcW w:w="849"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车载电子</w:t>
            </w:r>
          </w:p>
        </w:tc>
        <w:tc>
          <w:tcPr>
            <w:tcW w:w="3699" w:type="pct"/>
            <w:tcBorders>
              <w:top w:val="single" w:color="auto" w:sz="4" w:space="0"/>
              <w:left w:val="single" w:color="auto" w:sz="4" w:space="0"/>
              <w:bottom w:val="single" w:color="auto" w:sz="4" w:space="0"/>
              <w:right w:val="single" w:color="auto" w:sz="4" w:space="0"/>
            </w:tcBorders>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模拟输出电压 ±10 V</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供电电压 10 ~ 36 VDC</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模拟信号延时 ≤2.6 ms</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CAN信号延时 ≤2ms</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AD转换分辨率 16bit</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最大输出采样率 ≥2 kHz</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工作极限低温 ≤0 ℃</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工作极限高温 ≥50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2"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4</w:t>
            </w:r>
          </w:p>
        </w:tc>
        <w:tc>
          <w:tcPr>
            <w:tcW w:w="849"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数据采集器</w:t>
            </w:r>
          </w:p>
        </w:tc>
        <w:tc>
          <w:tcPr>
            <w:tcW w:w="3699" w:type="pct"/>
            <w:tcBorders>
              <w:top w:val="single" w:color="auto" w:sz="4" w:space="0"/>
              <w:left w:val="single" w:color="auto" w:sz="4" w:space="0"/>
              <w:bottom w:val="single" w:color="auto" w:sz="4" w:space="0"/>
              <w:right w:val="single" w:color="auto" w:sz="4" w:space="0"/>
            </w:tcBorders>
            <w:vAlign w:val="center"/>
          </w:tcPr>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输入通道：</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w:t>
            </w:r>
            <w:r>
              <w:rPr>
                <w:rFonts w:hint="eastAsia" w:ascii="宋体" w:hAnsi="宋体" w:eastAsia="宋体" w:cs="宋体"/>
                <w:b w:val="0"/>
                <w:sz w:val="24"/>
                <w:szCs w:val="24"/>
              </w:rPr>
              <w:t>应变通道 ≥ 40、桥路支持全桥、半桥、1/4 桥、桥路电阻 350Ω、高电平通道 ≥ 40、数字通道 ≥ 8、脉冲通道 ≥ 4、主处理器频率 ≥256 MHz</w:t>
            </w:r>
            <w:r>
              <w:rPr>
                <w:rFonts w:hint="eastAsia" w:ascii="宋体" w:hAnsi="宋体" w:eastAsia="宋体" w:cs="宋体"/>
                <w:b w:val="0"/>
                <w:sz w:val="24"/>
                <w:szCs w:val="24"/>
                <w:lang w:eastAsia="zh-CN"/>
              </w:rPr>
              <w:t>，</w:t>
            </w:r>
            <w:r>
              <w:rPr>
                <w:rFonts w:hint="eastAsia" w:ascii="宋体" w:hAnsi="宋体" w:eastAsia="宋体" w:cs="宋体"/>
                <w:b w:val="0"/>
                <w:sz w:val="24"/>
                <w:szCs w:val="24"/>
                <w:lang w:val="en-US" w:eastAsia="zh-CN"/>
              </w:rPr>
              <w:t>内部具有完备的模拟信号调理电路，不需要借助任何外置匹配线缆和外部调理电路，对于各类传感器具备相应的供电功能，以备适配的传感器所需。</w:t>
            </w:r>
          </w:p>
          <w:p>
            <w:pPr>
              <w:pStyle w:val="54"/>
              <w:ind w:left="0" w:leftChars="0" w:firstLine="0" w:firstLineChars="0"/>
              <w:jc w:val="left"/>
              <w:rPr>
                <w:rFonts w:hint="eastAsia" w:ascii="宋体" w:hAnsi="宋体" w:eastAsia="宋体" w:cs="宋体"/>
                <w:b w:val="0"/>
                <w:color w:val="auto"/>
                <w:sz w:val="24"/>
                <w:szCs w:val="24"/>
                <w:lang w:val="en-US" w:eastAsia="zh-CN"/>
              </w:rPr>
            </w:pPr>
            <w:r>
              <w:rPr>
                <w:rFonts w:hint="eastAsia" w:ascii="宋体" w:hAnsi="宋体" w:eastAsia="宋体" w:cs="宋体"/>
                <w:b w:val="0"/>
                <w:color w:val="auto"/>
                <w:sz w:val="24"/>
                <w:szCs w:val="24"/>
                <w:lang w:val="en-US" w:eastAsia="zh-CN"/>
              </w:rPr>
              <w:t>CAN总线信号采集通道不少于6个（SAE J1939等通讯协议）。</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视频信号采集通道不少于2个或者具备外接视频信号同步功能。</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卫星信号采集通道不少于2个，配备卫星信号接收和处理模块，可接收和处理格洛纳斯或GPS等主流商用卫星系统的信号，采集实时速度、经纬度和海拔（速度范围0.1～200km/h，速度测量精度：≤0.2km/h；定位精度：＜3m）。</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温度信号采集通道8个，可连接K型热电偶。</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所有通道可同时进行采集，所有通道之间的相位差应小于0.25°，各通道独立A/D（转换位数不低于24位）和放大器，每通道同步采样频率不低于50kHz，每通道带宽不低于4kHz。各通道同步采样频率可分别设定不同值，软件可处理不同采样率的数据。</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输出通道：</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★可与MTS、IST等主流液压设备控制器直接通讯，为控制器提供模拟量信号进行台架迭代和监控等。</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w:t>
            </w:r>
            <w:r>
              <w:rPr>
                <w:rFonts w:hint="eastAsia" w:ascii="宋体" w:hAnsi="宋体" w:eastAsia="宋体" w:cs="宋体"/>
                <w:b w:val="0"/>
                <w:sz w:val="24"/>
                <w:szCs w:val="24"/>
                <w:highlight w:val="none"/>
                <w:lang w:val="en-US" w:eastAsia="zh-CN"/>
              </w:rPr>
              <w:t>提供不小于40个模拟量输出通道（配置EtherCat总线）</w:t>
            </w:r>
            <w:r>
              <w:rPr>
                <w:rFonts w:hint="eastAsia" w:ascii="宋体" w:hAnsi="宋体" w:eastAsia="宋体" w:cs="宋体"/>
                <w:b w:val="0"/>
                <w:sz w:val="24"/>
                <w:szCs w:val="24"/>
                <w:lang w:val="en-US" w:eastAsia="zh-CN"/>
              </w:rPr>
              <w:t>，信号输出电压范围为±10V，幅值精度须优于±0.3%F.S（≤1kHz），延迟须小于10ms。</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应变信号采集和调理：</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内置120和350欧姆的四线制1/4桥组桥电阻，程控1/2桥、全桥组桥电阻。</w:t>
            </w:r>
          </w:p>
          <w:p>
            <w:pPr>
              <w:pStyle w:val="54"/>
              <w:ind w:left="0" w:leftChars="0" w:firstLine="0" w:firstLineChars="0"/>
              <w:jc w:val="left"/>
              <w:rPr>
                <w:rFonts w:hint="eastAsia" w:ascii="宋体" w:hAnsi="宋体" w:eastAsia="宋体" w:cs="宋体"/>
                <w:b w:val="0"/>
                <w:sz w:val="24"/>
                <w:szCs w:val="24"/>
              </w:rPr>
            </w:pPr>
            <w:r>
              <w:rPr>
                <w:rFonts w:hint="eastAsia" w:ascii="宋体" w:hAnsi="宋体" w:eastAsia="宋体" w:cs="宋体"/>
                <w:b w:val="0"/>
                <w:sz w:val="24"/>
                <w:szCs w:val="24"/>
              </w:rPr>
              <w:t>每通道激励电压可独立设置，激励电压±1 V, ±2.5 V 或±5 V。</w:t>
            </w:r>
            <w:r>
              <w:rPr>
                <w:rFonts w:hint="eastAsia" w:ascii="宋体" w:hAnsi="宋体" w:eastAsia="宋体" w:cs="宋体"/>
                <w:b w:val="0"/>
                <w:sz w:val="24"/>
                <w:szCs w:val="24"/>
                <w:lang w:eastAsia="zh-CN"/>
              </w:rPr>
              <w:t>可程控选择</w:t>
            </w:r>
            <w:r>
              <w:rPr>
                <w:rFonts w:hint="eastAsia" w:ascii="宋体" w:hAnsi="宋体" w:eastAsia="宋体" w:cs="宋体"/>
                <w:b w:val="0"/>
                <w:sz w:val="24"/>
                <w:szCs w:val="24"/>
              </w:rPr>
              <w:t>。</w:t>
            </w:r>
          </w:p>
          <w:p>
            <w:pPr>
              <w:bidi w:val="0"/>
              <w:ind w:left="0" w:leftChars="0" w:firstLine="0" w:firstLineChars="0"/>
              <w:rPr>
                <w:rFonts w:hint="eastAsia" w:ascii="宋体" w:hAnsi="宋体" w:eastAsia="宋体" w:cs="宋体"/>
                <w:b w:val="0"/>
                <w:sz w:val="24"/>
                <w:szCs w:val="24"/>
              </w:rPr>
            </w:pPr>
            <w:r>
              <w:rPr>
                <w:rFonts w:hint="eastAsia" w:ascii="宋体" w:hAnsi="宋体" w:eastAsia="宋体" w:cs="宋体"/>
                <w:b w:val="0"/>
                <w:sz w:val="24"/>
                <w:szCs w:val="24"/>
              </w:rPr>
              <w:t>配置</w:t>
            </w:r>
            <w:r>
              <w:rPr>
                <w:rFonts w:hint="eastAsia" w:ascii="宋体" w:hAnsi="宋体" w:eastAsia="宋体" w:cs="宋体"/>
                <w:b w:val="0"/>
                <w:sz w:val="24"/>
                <w:szCs w:val="24"/>
                <w:lang w:eastAsia="zh-CN"/>
              </w:rPr>
              <w:t>至</w:t>
            </w:r>
            <w:r>
              <w:rPr>
                <w:rFonts w:hint="eastAsia" w:ascii="宋体" w:hAnsi="宋体" w:eastAsia="宋体" w:cs="宋体"/>
                <w:b w:val="0"/>
                <w:sz w:val="24"/>
                <w:szCs w:val="24"/>
              </w:rPr>
              <w:t>少</w:t>
            </w:r>
            <w:r>
              <w:rPr>
                <w:rFonts w:hint="eastAsia" w:ascii="宋体" w:hAnsi="宋体" w:eastAsia="宋体" w:cs="宋体"/>
                <w:b w:val="0"/>
                <w:sz w:val="24"/>
                <w:szCs w:val="24"/>
                <w:lang w:eastAsia="zh-CN"/>
              </w:rPr>
              <w:t>5档（</w:t>
            </w:r>
            <w:r>
              <w:rPr>
                <w:rFonts w:hint="eastAsia" w:ascii="宋体" w:hAnsi="宋体" w:eastAsia="宋体" w:cs="宋体"/>
                <w:b w:val="0"/>
                <w:sz w:val="24"/>
                <w:szCs w:val="24"/>
              </w:rPr>
              <w:t>±2mV/V, ±20mV/V, ±200mV/V, ±500mV/V, ±1000mV/V）应变信号量程。</w:t>
            </w:r>
            <w:r>
              <w:rPr>
                <w:rFonts w:hint="eastAsia" w:ascii="宋体" w:hAnsi="宋体" w:eastAsia="宋体" w:cs="宋体"/>
                <w:b w:val="0"/>
                <w:sz w:val="24"/>
                <w:szCs w:val="24"/>
                <w:lang w:eastAsia="zh-CN"/>
              </w:rPr>
              <w:t>可程控选择</w:t>
            </w:r>
            <w:r>
              <w:rPr>
                <w:rFonts w:hint="eastAsia" w:ascii="宋体" w:hAnsi="宋体" w:eastAsia="宋体" w:cs="宋体"/>
                <w:b w:val="0"/>
                <w:sz w:val="24"/>
                <w:szCs w:val="24"/>
              </w:rPr>
              <w:t>。</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加速度信号采集和调理：</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配置多档位模拟电压信号量程，最大量程±10V。</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各通道可为外接传感器提供电源，供电电压在2.5V～14.5V。</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支持ICP信号调理输入，连接简单，无需额外转接，内置抗混滤波器。</w:t>
            </w:r>
          </w:p>
          <w:p>
            <w:pPr>
              <w:bidi w:val="0"/>
              <w:ind w:left="0" w:leftChars="0" w:firstLine="0" w:firstLineChars="0"/>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幅值精度优于0.3%F.S（≤1kHz），相位精度优于±0.25°（≤1kHz）。</w:t>
            </w:r>
          </w:p>
          <w:p>
            <w:pPr>
              <w:bidi w:val="0"/>
              <w:ind w:left="0" w:leftChars="0" w:firstLine="0" w:firstLineChars="0"/>
              <w:rPr>
                <w:rFonts w:hint="eastAsia" w:ascii="宋体" w:hAnsi="宋体" w:eastAsia="宋体" w:cs="宋体"/>
                <w:b w:val="0"/>
                <w:color w:val="auto"/>
                <w:sz w:val="24"/>
                <w:szCs w:val="24"/>
                <w:lang w:val="en-US" w:eastAsia="zh-CN"/>
              </w:rPr>
            </w:pPr>
            <w:r>
              <w:rPr>
                <w:rFonts w:hint="eastAsia" w:ascii="宋体" w:hAnsi="宋体" w:eastAsia="宋体" w:cs="宋体"/>
                <w:b w:val="0"/>
                <w:color w:val="auto"/>
                <w:sz w:val="24"/>
                <w:szCs w:val="24"/>
                <w:lang w:val="en-US" w:eastAsia="zh-CN"/>
              </w:rPr>
              <w:t>采集软件：</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数据采集和传输速度须与硬件匹配、参数设置方便，采集过程中能对数据时时监控。</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可视化程度高，操作简便，可对数据进行简单分析和编辑，具有x-t、x-y图表查看功能。</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具有在线数学运算，包括三角、微分、积分、逻辑运算。</w:t>
            </w:r>
          </w:p>
          <w:p>
            <w:pPr>
              <w:pStyle w:val="54"/>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b w:val="0"/>
                <w:sz w:val="24"/>
                <w:szCs w:val="24"/>
                <w:lang w:val="en-US" w:eastAsia="zh-CN"/>
              </w:rPr>
              <w:t>多种滤波功能可选，可自定义滤波功能，通过此功能可任意创建虚拟通道。</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所有测试数据能够实时存储并设有磁盘将满时的提示功能，可以重放，截取，分析；并且一次采集的输出数据为一个存储文件。</w:t>
            </w:r>
          </w:p>
          <w:p>
            <w:pPr>
              <w:bidi w:val="0"/>
              <w:ind w:left="0" w:leftChars="0" w:firstLine="0" w:firstLineChars="0"/>
              <w:rPr>
                <w:rFonts w:hint="eastAsia" w:ascii="宋体" w:hAnsi="宋体" w:eastAsia="宋体" w:cs="宋体"/>
                <w:b w:val="0"/>
                <w:color w:val="FF0000"/>
                <w:sz w:val="24"/>
                <w:szCs w:val="24"/>
                <w:lang w:val="en-US" w:eastAsia="zh-CN"/>
              </w:rPr>
            </w:pPr>
            <w:r>
              <w:rPr>
                <w:rFonts w:hint="eastAsia" w:ascii="宋体" w:hAnsi="宋体" w:eastAsia="宋体" w:cs="宋体"/>
                <w:b w:val="0"/>
                <w:sz w:val="24"/>
                <w:szCs w:val="24"/>
                <w:lang w:val="en-US" w:eastAsia="zh-CN"/>
              </w:rPr>
              <w:t>文件可以多种格式输出，ASCII、Text, Excel、Matlab、RPCⅢ等输出格式能够直接导入到配套的道路试验专用分析软件进行分析。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2"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5</w:t>
            </w:r>
          </w:p>
        </w:tc>
        <w:tc>
          <w:tcPr>
            <w:tcW w:w="849"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拉线位移传感器</w:t>
            </w:r>
          </w:p>
        </w:tc>
        <w:tc>
          <w:tcPr>
            <w:tcW w:w="3699" w:type="pct"/>
            <w:tcBorders>
              <w:top w:val="single" w:color="auto" w:sz="4" w:space="0"/>
              <w:left w:val="single" w:color="auto" w:sz="4" w:space="0"/>
              <w:bottom w:val="single" w:color="auto" w:sz="4" w:space="0"/>
              <w:right w:val="single" w:color="auto" w:sz="4" w:space="0"/>
            </w:tcBorders>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测量范围 ≥762mm</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测量精度 ≤0.1%FS</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输入电压 max≤30V</w:t>
            </w:r>
          </w:p>
          <w:p>
            <w:pPr>
              <w:bidi w:val="0"/>
              <w:ind w:left="0" w:leftChars="0" w:firstLine="0" w:firstLineChars="0"/>
              <w:rPr>
                <w:rFonts w:hint="eastAsia" w:ascii="宋体" w:hAnsi="宋体" w:eastAsia="宋体" w:cs="宋体"/>
                <w:b w:val="0"/>
                <w:sz w:val="24"/>
                <w:szCs w:val="24"/>
                <w:lang w:val="en-US" w:eastAsia="zh-CN"/>
              </w:rPr>
            </w:pPr>
            <w:r>
              <w:rPr>
                <w:rFonts w:hint="eastAsia" w:ascii="宋体" w:hAnsi="宋体" w:eastAsia="宋体" w:cs="宋体"/>
                <w:sz w:val="24"/>
                <w:szCs w:val="24"/>
              </w:rPr>
              <w:t xml:space="preserve">工作寿命 </w:t>
            </w:r>
            <w:r>
              <w:rPr>
                <w:rFonts w:hint="eastAsia" w:ascii="宋体" w:hAnsi="宋体" w:eastAsia="宋体" w:cs="宋体"/>
                <w:b w:val="0"/>
                <w:sz w:val="24"/>
                <w:szCs w:val="24"/>
                <w:lang w:val="en-US" w:eastAsia="zh-CN"/>
              </w:rPr>
              <w:t>≥5×10</w:t>
            </w:r>
            <w:r>
              <w:rPr>
                <w:rFonts w:hint="eastAsia" w:ascii="宋体" w:hAnsi="宋体" w:eastAsia="宋体" w:cs="宋体"/>
                <w:b w:val="0"/>
                <w:sz w:val="24"/>
                <w:szCs w:val="24"/>
                <w:vertAlign w:val="superscript"/>
                <w:lang w:val="en-US" w:eastAsia="zh-CN"/>
              </w:rPr>
              <w:t xml:space="preserve">5 </w:t>
            </w:r>
            <w:r>
              <w:rPr>
                <w:rFonts w:hint="eastAsia" w:ascii="宋体" w:hAnsi="宋体" w:eastAsia="宋体" w:cs="宋体"/>
                <w:b w:val="0"/>
                <w:sz w:val="24"/>
                <w:szCs w:val="24"/>
                <w:lang w:val="en-US" w:eastAsia="zh-CN"/>
              </w:rPr>
              <w:t>次</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电位计电阻10KΩ</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非线性度≤0.25% F.S</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可重复度0.05% F.S</w:t>
            </w:r>
          </w:p>
          <w:p>
            <w:pPr>
              <w:bidi w:val="0"/>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w:t>防护等级 IP</w:t>
            </w:r>
            <w:r>
              <w:rPr>
                <w:rFonts w:hint="eastAsia" w:ascii="宋体" w:hAnsi="宋体" w:eastAsia="宋体" w:cs="宋体"/>
                <w:sz w:val="24"/>
                <w:szCs w:val="24"/>
                <w:lang w:val="en-US" w:eastAsia="zh-CN"/>
              </w:rPr>
              <w:t>54</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工作极限低温 ≤-20 ℃</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工作极限高温 ≥80 ℃</w:t>
            </w:r>
          </w:p>
          <w:p>
            <w:pPr>
              <w:bidi w:val="0"/>
              <w:ind w:left="0" w:leftChars="0" w:firstLine="0" w:firstLineChars="0"/>
              <w:rPr>
                <w:rFonts w:hint="eastAsia" w:ascii="宋体" w:hAnsi="宋体" w:eastAsia="宋体" w:cs="宋体"/>
                <w:sz w:val="24"/>
                <w:szCs w:val="24"/>
              </w:rPr>
            </w:pPr>
            <w:r>
              <w:rPr>
                <w:rFonts w:hint="eastAsia" w:ascii="宋体" w:hAnsi="宋体" w:eastAsia="宋体" w:cs="宋体"/>
                <w:b w:val="0"/>
                <w:sz w:val="24"/>
                <w:szCs w:val="24"/>
                <w:lang w:val="en-US" w:eastAsia="zh-CN"/>
              </w:rPr>
              <w:t>要求欧美一线品牌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8" w:hRule="atLeast"/>
        </w:trPr>
        <w:tc>
          <w:tcPr>
            <w:tcW w:w="452"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6</w:t>
            </w:r>
          </w:p>
        </w:tc>
        <w:tc>
          <w:tcPr>
            <w:tcW w:w="849"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加速度传感器</w:t>
            </w:r>
          </w:p>
        </w:tc>
        <w:tc>
          <w:tcPr>
            <w:tcW w:w="3699" w:type="pct"/>
            <w:tcBorders>
              <w:top w:val="single" w:color="auto" w:sz="4" w:space="0"/>
              <w:left w:val="single" w:color="auto" w:sz="4" w:space="0"/>
              <w:bottom w:val="single" w:color="auto" w:sz="4" w:space="0"/>
              <w:right w:val="single" w:color="auto" w:sz="4" w:space="0"/>
            </w:tcBorders>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三向电容式加速度传感器</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测量范围：±50g</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工作温度：-40</w:t>
            </w:r>
            <w:r>
              <w:rPr>
                <w:rFonts w:hint="eastAsia" w:ascii="宋体" w:hAnsi="宋体" w:eastAsia="宋体" w:cs="宋体"/>
                <w:b w:val="0"/>
                <w:sz w:val="24"/>
                <w:szCs w:val="24"/>
                <w:lang w:val="en-US" w:eastAsia="zh-CN"/>
              </w:rPr>
              <w:t>～</w:t>
            </w:r>
            <w:r>
              <w:rPr>
                <w:rFonts w:hint="eastAsia" w:ascii="宋体" w:hAnsi="宋体" w:eastAsia="宋体" w:cs="宋体"/>
                <w:sz w:val="24"/>
                <w:szCs w:val="24"/>
              </w:rPr>
              <w:t>100 ℃</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非线性度</w:t>
            </w:r>
            <w:r>
              <w:rPr>
                <w:rFonts w:hint="eastAsia" w:ascii="宋体" w:hAnsi="宋体" w:eastAsia="宋体" w:cs="宋体"/>
                <w:sz w:val="24"/>
                <w:szCs w:val="24"/>
                <w:lang w:eastAsia="zh-CN"/>
              </w:rPr>
              <w:t>：</w:t>
            </w:r>
            <w:r>
              <w:rPr>
                <w:rFonts w:hint="eastAsia" w:ascii="宋体" w:hAnsi="宋体" w:eastAsia="宋体" w:cs="宋体"/>
                <w:sz w:val="24"/>
                <w:szCs w:val="24"/>
              </w:rPr>
              <w:t>≤0.5% FS</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 xml:space="preserve">频响范围： </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0～400Hz±5%，</w:t>
            </w:r>
          </w:p>
          <w:p>
            <w:pPr>
              <w:pStyle w:val="54"/>
              <w:ind w:left="0" w:leftChars="0" w:firstLine="0" w:firstLineChars="0"/>
              <w:jc w:val="left"/>
              <w:rPr>
                <w:rFonts w:hint="eastAsia" w:ascii="宋体" w:hAnsi="宋体" w:eastAsia="宋体" w:cs="宋体"/>
                <w:sz w:val="24"/>
                <w:szCs w:val="24"/>
              </w:rPr>
            </w:pPr>
            <w:r>
              <w:rPr>
                <w:rFonts w:hint="eastAsia" w:ascii="宋体" w:hAnsi="宋体" w:eastAsia="宋体" w:cs="宋体"/>
                <w:b w:val="0"/>
                <w:sz w:val="24"/>
                <w:szCs w:val="24"/>
                <w:lang w:val="en-US" w:eastAsia="zh-CN"/>
              </w:rPr>
              <w:t>0～1000Hz±5%</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冲击极限</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≥5000 g</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钛或铝金属外壳</w:t>
            </w:r>
          </w:p>
          <w:p>
            <w:pPr>
              <w:bidi w:val="0"/>
              <w:ind w:left="0" w:leftChars="0" w:firstLine="0" w:firstLineChars="0"/>
              <w:rPr>
                <w:rFonts w:hint="eastAsia" w:ascii="宋体" w:hAnsi="宋体" w:eastAsia="宋体" w:cs="宋体"/>
                <w:sz w:val="24"/>
                <w:szCs w:val="24"/>
                <w:lang w:val="en-US"/>
              </w:rPr>
            </w:pPr>
            <w:r>
              <w:rPr>
                <w:rFonts w:hint="eastAsia" w:ascii="宋体" w:hAnsi="宋体" w:eastAsia="宋体" w:cs="宋体"/>
                <w:b w:val="0"/>
                <w:sz w:val="24"/>
                <w:szCs w:val="24"/>
                <w:lang w:val="en-US" w:eastAsia="zh-CN"/>
              </w:rPr>
              <w:t>提供粘贴底座及粘帖剂</w:t>
            </w:r>
          </w:p>
          <w:p>
            <w:pPr>
              <w:bidi w:val="0"/>
              <w:ind w:left="0" w:leftChars="0" w:firstLine="0" w:firstLineChars="0"/>
              <w:rPr>
                <w:rFonts w:hint="eastAsia" w:ascii="宋体" w:hAnsi="宋体" w:eastAsia="宋体" w:cs="宋体"/>
                <w:sz w:val="24"/>
                <w:szCs w:val="24"/>
              </w:rPr>
            </w:pPr>
            <w:r>
              <w:rPr>
                <w:rFonts w:hint="eastAsia" w:ascii="宋体" w:hAnsi="宋体" w:eastAsia="宋体" w:cs="宋体"/>
                <w:b w:val="0"/>
                <w:sz w:val="24"/>
                <w:szCs w:val="24"/>
                <w:lang w:val="en-US" w:eastAsia="zh-CN"/>
              </w:rPr>
              <w:t>要求欧美一线品牌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2"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7</w:t>
            </w:r>
          </w:p>
        </w:tc>
        <w:tc>
          <w:tcPr>
            <w:tcW w:w="849"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力传感器</w:t>
            </w:r>
          </w:p>
        </w:tc>
        <w:tc>
          <w:tcPr>
            <w:tcW w:w="3699" w:type="pct"/>
            <w:tcBorders>
              <w:top w:val="single" w:color="auto" w:sz="4" w:space="0"/>
              <w:left w:val="single" w:color="auto" w:sz="4" w:space="0"/>
              <w:bottom w:val="single" w:color="auto" w:sz="4" w:space="0"/>
              <w:right w:val="single" w:color="auto" w:sz="4" w:space="0"/>
            </w:tcBorders>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测量范围</w:t>
            </w:r>
            <w:r>
              <w:rPr>
                <w:rFonts w:hint="eastAsia" w:ascii="宋体" w:hAnsi="宋体" w:eastAsia="宋体" w:cs="宋体"/>
                <w:sz w:val="24"/>
                <w:szCs w:val="24"/>
                <w:lang w:eastAsia="zh-CN"/>
              </w:rPr>
              <w:t>：</w:t>
            </w:r>
            <w:r>
              <w:rPr>
                <w:rFonts w:hint="eastAsia" w:ascii="宋体" w:hAnsi="宋体" w:eastAsia="宋体" w:cs="宋体"/>
                <w:sz w:val="24"/>
                <w:szCs w:val="24"/>
              </w:rPr>
              <w:t>±100kN /±400kN</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允许使用负荷 ≥120%</w:t>
            </w:r>
          </w:p>
          <w:p>
            <w:pPr>
              <w:bidi w:val="0"/>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w:t>精度</w:t>
            </w:r>
            <w:r>
              <w:rPr>
                <w:rFonts w:hint="eastAsia" w:ascii="宋体" w:hAnsi="宋体" w:eastAsia="宋体" w:cs="宋体"/>
                <w:sz w:val="24"/>
                <w:szCs w:val="24"/>
                <w:lang w:eastAsia="zh-CN"/>
              </w:rPr>
              <w:t>：</w:t>
            </w:r>
            <w:r>
              <w:rPr>
                <w:rFonts w:hint="eastAsia" w:ascii="宋体" w:hAnsi="宋体" w:eastAsia="宋体" w:cs="宋体"/>
                <w:sz w:val="24"/>
                <w:szCs w:val="24"/>
              </w:rPr>
              <w:t>≤0.5%</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配置标准负荷测量仪</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可以采用国产或合资品牌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2"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8</w:t>
            </w:r>
          </w:p>
        </w:tc>
        <w:tc>
          <w:tcPr>
            <w:tcW w:w="849"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增压泵及配套</w:t>
            </w:r>
          </w:p>
        </w:tc>
        <w:tc>
          <w:tcPr>
            <w:tcW w:w="3699" w:type="pct"/>
            <w:tcBorders>
              <w:top w:val="single" w:color="auto" w:sz="4" w:space="0"/>
              <w:left w:val="single" w:color="auto" w:sz="4" w:space="0"/>
              <w:bottom w:val="single" w:color="auto" w:sz="4" w:space="0"/>
              <w:right w:val="single" w:color="auto" w:sz="4" w:space="0"/>
            </w:tcBorders>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输出压力范围：0.5～2.5 MPa</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流量约100m</w:t>
            </w:r>
            <w:r>
              <w:rPr>
                <w:rFonts w:hint="eastAsia" w:ascii="宋体" w:hAnsi="宋体" w:eastAsia="宋体" w:cs="宋体"/>
                <w:sz w:val="24"/>
                <w:szCs w:val="24"/>
                <w:vertAlign w:val="superscript"/>
              </w:rPr>
              <w:t>3</w:t>
            </w:r>
            <w:r>
              <w:rPr>
                <w:rFonts w:hint="eastAsia" w:ascii="宋体" w:hAnsi="宋体" w:eastAsia="宋体" w:cs="宋体"/>
                <w:sz w:val="24"/>
                <w:szCs w:val="24"/>
              </w:rPr>
              <w:t>/h</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电机转数约800rpm</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设备功率</w:t>
            </w:r>
            <w:r>
              <w:rPr>
                <w:rFonts w:hint="eastAsia" w:ascii="宋体" w:hAnsi="宋体" w:eastAsia="宋体" w:cs="宋体"/>
                <w:sz w:val="24"/>
                <w:szCs w:val="24"/>
                <w:lang w:eastAsia="zh-CN"/>
              </w:rPr>
              <w:t>：</w:t>
            </w:r>
            <w:r>
              <w:rPr>
                <w:rFonts w:hint="eastAsia" w:ascii="宋体" w:hAnsi="宋体" w:eastAsia="宋体" w:cs="宋体"/>
                <w:sz w:val="24"/>
                <w:szCs w:val="24"/>
              </w:rPr>
              <w:t>≤10kW</w:t>
            </w:r>
          </w:p>
          <w:p>
            <w:pPr>
              <w:bidi w:val="0"/>
              <w:ind w:left="0" w:leftChars="0" w:firstLine="0" w:firstLineChars="0"/>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噪声：</w:t>
            </w:r>
            <w:r>
              <w:rPr>
                <w:rFonts w:hint="eastAsia" w:ascii="宋体" w:hAnsi="宋体" w:eastAsia="宋体" w:cs="宋体"/>
                <w:sz w:val="24"/>
                <w:szCs w:val="24"/>
              </w:rPr>
              <w:t>≤</w:t>
            </w:r>
            <w:r>
              <w:rPr>
                <w:rFonts w:hint="eastAsia" w:ascii="宋体" w:hAnsi="宋体" w:eastAsia="宋体" w:cs="宋体"/>
                <w:sz w:val="24"/>
                <w:szCs w:val="24"/>
                <w:lang w:val="en-US" w:eastAsia="zh-CN"/>
              </w:rPr>
              <w:t>68dB</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配备气压管路及电源线缆</w:t>
            </w:r>
          </w:p>
          <w:p>
            <w:pPr>
              <w:bidi w:val="0"/>
              <w:ind w:left="0" w:leftChars="0" w:firstLine="0" w:firstLineChars="0"/>
              <w:rPr>
                <w:rFonts w:hint="eastAsia" w:ascii="宋体" w:hAnsi="宋体" w:eastAsia="宋体" w:cs="宋体"/>
                <w:color w:val="auto"/>
                <w:sz w:val="24"/>
                <w:szCs w:val="24"/>
                <w:lang w:val="en-US" w:eastAsia="zh-CN"/>
              </w:rPr>
            </w:pPr>
            <w:r>
              <w:rPr>
                <w:rFonts w:hint="eastAsia" w:ascii="宋体" w:hAnsi="宋体" w:eastAsia="宋体" w:cs="宋体"/>
                <w:b w:val="0"/>
                <w:sz w:val="24"/>
                <w:szCs w:val="24"/>
                <w:lang w:val="en-US" w:eastAsia="zh-CN"/>
              </w:rPr>
              <w:t>★</w:t>
            </w:r>
            <w:r>
              <w:rPr>
                <w:rFonts w:hint="eastAsia" w:ascii="宋体" w:hAnsi="宋体" w:eastAsia="宋体" w:cs="宋体"/>
                <w:color w:val="auto"/>
                <w:sz w:val="24"/>
                <w:szCs w:val="24"/>
                <w:lang w:val="en-US" w:eastAsia="zh-CN"/>
              </w:rPr>
              <w:t>电机功率7.5kW（含）以上，能效须为一级能效，7.5kW以下，不低于二级能效</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可以采用国产或合资品牌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2"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9</w:t>
            </w:r>
          </w:p>
        </w:tc>
        <w:tc>
          <w:tcPr>
            <w:tcW w:w="849"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color w:val="auto"/>
                <w:sz w:val="24"/>
                <w:szCs w:val="24"/>
              </w:rPr>
              <w:t>试验电脑</w:t>
            </w:r>
          </w:p>
        </w:tc>
        <w:tc>
          <w:tcPr>
            <w:tcW w:w="3699" w:type="pct"/>
            <w:tcBorders>
              <w:top w:val="single" w:color="auto" w:sz="4" w:space="0"/>
              <w:left w:val="single" w:color="auto" w:sz="4" w:space="0"/>
              <w:bottom w:val="single" w:color="auto" w:sz="4" w:space="0"/>
              <w:right w:val="single" w:color="auto" w:sz="4" w:space="0"/>
            </w:tcBorders>
            <w:vAlign w:val="center"/>
          </w:tcPr>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为上述采集仪配置2台高性能笔记本工作站，电脑品牌为国际知名品牌，其性能不低于以下配置：</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电脑处理器型号：酷睿i9及以上处理器</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 xml:space="preserve">电脑内存： ≥32 GB </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独立显卡：专业图形显卡</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 xml:space="preserve">硬盘空间： ≥1TB+256GB固态硬盘 </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电脑操作系统： Win10</w:t>
            </w:r>
            <w:r>
              <w:rPr>
                <w:rFonts w:hint="eastAsia" w:ascii="宋体" w:hAnsi="宋体" w:eastAsia="宋体" w:cs="宋体"/>
                <w:b w:val="0"/>
                <w:color w:val="auto"/>
                <w:sz w:val="24"/>
                <w:szCs w:val="24"/>
                <w:lang w:val="en-US" w:eastAsia="zh-CN"/>
              </w:rPr>
              <w:t>及以上</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 xml:space="preserve">办公软件：Microsoft Office </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无线鼠标</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配备两台笔记本电脑，用于数据采集、信号分析处理和编辑、台架试验监控样件疲劳趋势、数采方案编辑记录等工作，电脑品牌为国际知名品牌，其性能不低于以下配置：</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电脑处理器型号: 酷睿i7 12代及以上处理器</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 xml:space="preserve">电脑内存： ≥16 GB </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独立显卡，显存≥2 GB</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硬盘空间： ≥1TB+256GB固态硬盘</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电脑操作系统： Win10</w:t>
            </w:r>
            <w:r>
              <w:rPr>
                <w:rFonts w:hint="eastAsia" w:ascii="宋体" w:hAnsi="宋体" w:eastAsia="宋体" w:cs="宋体"/>
                <w:b w:val="0"/>
                <w:color w:val="auto"/>
                <w:sz w:val="24"/>
                <w:szCs w:val="24"/>
                <w:lang w:val="en-US" w:eastAsia="zh-CN"/>
              </w:rPr>
              <w:t>及以上</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办公软件：Microsoft Office</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无线鼠标</w:t>
            </w:r>
          </w:p>
          <w:p>
            <w:pPr>
              <w:pStyle w:val="54"/>
              <w:ind w:left="0" w:leftChars="0" w:firstLine="0" w:firstLineChars="0"/>
              <w:jc w:val="left"/>
              <w:rPr>
                <w:rFonts w:hint="eastAsia" w:ascii="宋体" w:hAnsi="宋体" w:eastAsia="宋体" w:cs="宋体"/>
                <w:b w:val="0"/>
                <w:sz w:val="24"/>
                <w:szCs w:val="24"/>
                <w:lang w:val="en-US" w:eastAsia="zh-CN"/>
              </w:rPr>
            </w:pPr>
            <w:r>
              <w:rPr>
                <w:rFonts w:hint="eastAsia" w:ascii="宋体" w:hAnsi="宋体" w:eastAsia="宋体" w:cs="宋体"/>
                <w:b w:val="0"/>
                <w:sz w:val="24"/>
                <w:szCs w:val="24"/>
                <w:lang w:val="en-US" w:eastAsia="zh-CN"/>
              </w:rPr>
              <w:t>配备两个2T可移动硬盘，用于存储采集数据。</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lang w:val="en-US" w:eastAsia="zh-CN"/>
              </w:rPr>
              <w:t>电脑及硬盘</w:t>
            </w:r>
            <w:r>
              <w:rPr>
                <w:rFonts w:hint="eastAsia" w:ascii="宋体" w:hAnsi="宋体" w:eastAsia="宋体" w:cs="宋体"/>
                <w:sz w:val="24"/>
                <w:szCs w:val="24"/>
              </w:rPr>
              <w:t>可以国内供货</w:t>
            </w:r>
          </w:p>
        </w:tc>
      </w:tr>
    </w:tbl>
    <w:p>
      <w:pPr>
        <w:bidi w:val="0"/>
        <w:rPr>
          <w:rFonts w:hint="eastAsia" w:ascii="宋体" w:hAnsi="宋体" w:eastAsia="宋体" w:cs="宋体"/>
          <w:b/>
          <w:bCs/>
          <w:sz w:val="24"/>
          <w:szCs w:val="24"/>
        </w:rPr>
      </w:pPr>
      <w:r>
        <w:rPr>
          <w:rFonts w:hint="eastAsia" w:ascii="宋体" w:hAnsi="宋体" w:eastAsia="宋体" w:cs="宋体"/>
          <w:b/>
          <w:bCs/>
          <w:sz w:val="24"/>
          <w:szCs w:val="24"/>
        </w:rPr>
        <w:t>3.3备件及耗材</w:t>
      </w:r>
    </w:p>
    <w:tbl>
      <w:tblPr>
        <w:tblStyle w:val="40"/>
        <w:tblW w:w="5159"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866"/>
        <w:gridCol w:w="8716"/>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2" w:type="pct"/>
            <w:tcBorders>
              <w:top w:val="single" w:color="auto" w:sz="4" w:space="0"/>
              <w:left w:val="single" w:color="auto" w:sz="4" w:space="0"/>
              <w:bottom w:val="single" w:color="auto" w:sz="4" w:space="0"/>
              <w:right w:val="single" w:color="auto" w:sz="4" w:space="0"/>
            </w:tcBorders>
          </w:tcPr>
          <w:p>
            <w:pPr>
              <w:bidi w:val="0"/>
              <w:ind w:left="0" w:leftChars="0" w:firstLine="0" w:firstLineChars="0"/>
              <w:jc w:val="both"/>
              <w:rPr>
                <w:rFonts w:hint="eastAsia" w:ascii="宋体" w:hAnsi="宋体" w:eastAsia="宋体" w:cs="宋体"/>
                <w:b/>
                <w:bCs/>
                <w:sz w:val="24"/>
                <w:szCs w:val="24"/>
              </w:rPr>
            </w:pPr>
            <w:r>
              <w:rPr>
                <w:rFonts w:hint="eastAsia" w:ascii="宋体" w:hAnsi="宋体" w:eastAsia="宋体" w:cs="宋体"/>
                <w:b/>
                <w:bCs/>
                <w:sz w:val="24"/>
                <w:szCs w:val="24"/>
              </w:rPr>
              <w:t>序号</w:t>
            </w:r>
          </w:p>
        </w:tc>
        <w:tc>
          <w:tcPr>
            <w:tcW w:w="4547" w:type="pct"/>
            <w:tcBorders>
              <w:top w:val="single" w:color="auto" w:sz="4" w:space="0"/>
              <w:left w:val="single" w:color="auto" w:sz="4" w:space="0"/>
              <w:bottom w:val="single" w:color="auto" w:sz="4" w:space="0"/>
              <w:right w:val="single" w:color="auto" w:sz="4" w:space="0"/>
            </w:tcBorders>
          </w:tcPr>
          <w:p>
            <w:pPr>
              <w:bidi w:val="0"/>
              <w:jc w:val="center"/>
              <w:rPr>
                <w:rFonts w:hint="eastAsia" w:ascii="宋体" w:hAnsi="宋体" w:eastAsia="宋体" w:cs="宋体"/>
                <w:b/>
                <w:bCs/>
                <w:sz w:val="24"/>
                <w:szCs w:val="24"/>
              </w:rPr>
            </w:pPr>
            <w:r>
              <w:rPr>
                <w:rFonts w:hint="eastAsia" w:ascii="宋体" w:hAnsi="宋体" w:eastAsia="宋体" w:cs="宋体"/>
                <w:b/>
                <w:bCs/>
                <w:sz w:val="24"/>
                <w:szCs w:val="24"/>
              </w:rPr>
              <w:t>备件及耗材</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2"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1</w:t>
            </w:r>
          </w:p>
        </w:tc>
        <w:tc>
          <w:tcPr>
            <w:tcW w:w="4547"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10米延长线缆10根，5米延长线缆20根，所有延长线两端分别为truck公母头。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2"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p>
        </w:tc>
        <w:tc>
          <w:tcPr>
            <w:tcW w:w="4547"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sz w:val="24"/>
                <w:szCs w:val="24"/>
              </w:rPr>
              <w:t>米转接线缆40根，一端为truck母头，另一端适配本次采购数据采集器接口。</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2"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3</w:t>
            </w:r>
          </w:p>
        </w:tc>
        <w:tc>
          <w:tcPr>
            <w:tcW w:w="4547"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rPr>
              <w:t>2米信号线缆20根，一端为散线，另一端为truck公头。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2"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p>
        </w:tc>
        <w:tc>
          <w:tcPr>
            <w:tcW w:w="4547"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(1) 满足六分力传感器拆装所需的全套工具2套，包含应不限于扭力扳手、橡胶锤、螺栓转接头、专用扳手等；</w:t>
            </w:r>
          </w:p>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(2) 套筒组合套装，推荐品牌：世达09510系列。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452"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5</w:t>
            </w:r>
          </w:p>
        </w:tc>
        <w:tc>
          <w:tcPr>
            <w:tcW w:w="4547" w:type="pct"/>
            <w:tcBorders>
              <w:top w:val="single" w:color="auto" w:sz="4" w:space="0"/>
              <w:left w:val="single" w:color="auto" w:sz="4" w:space="0"/>
              <w:bottom w:val="single" w:color="auto" w:sz="4" w:space="0"/>
              <w:right w:val="single" w:color="auto" w:sz="4" w:space="0"/>
            </w:tcBorders>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专用保管箱不少于6套，外形尺寸应适配本次采购设备的存放，推荐品牌pelican。</w:t>
            </w:r>
          </w:p>
        </w:tc>
      </w:tr>
    </w:tbl>
    <w:p>
      <w:pPr>
        <w:bidi w:val="0"/>
        <w:rPr>
          <w:rFonts w:hint="eastAsia" w:ascii="宋体" w:hAnsi="宋体" w:eastAsia="宋体" w:cs="宋体"/>
          <w:sz w:val="24"/>
          <w:szCs w:val="24"/>
        </w:rPr>
      </w:pPr>
    </w:p>
    <w:p>
      <w:pPr>
        <w:bidi w:val="0"/>
        <w:rPr>
          <w:rFonts w:hint="eastAsia" w:ascii="宋体" w:hAnsi="宋体" w:eastAsia="宋体" w:cs="宋体"/>
          <w:b/>
          <w:bCs/>
          <w:sz w:val="24"/>
          <w:szCs w:val="24"/>
        </w:rPr>
      </w:pPr>
      <w:r>
        <w:rPr>
          <w:rFonts w:hint="eastAsia" w:ascii="宋体" w:hAnsi="宋体" w:eastAsia="宋体" w:cs="宋体"/>
          <w:b/>
          <w:bCs/>
          <w:sz w:val="24"/>
          <w:szCs w:val="24"/>
        </w:rPr>
        <w:t>四、执行标准</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w:t>
      </w:r>
      <w:r>
        <w:rPr>
          <w:rFonts w:hint="eastAsia" w:ascii="宋体" w:hAnsi="宋体" w:eastAsia="宋体" w:cs="宋体"/>
          <w:sz w:val="24"/>
          <w:szCs w:val="24"/>
          <w:lang w:eastAsia="zh-CN"/>
        </w:rPr>
        <w:t>投标方</w:t>
      </w:r>
      <w:r>
        <w:rPr>
          <w:rFonts w:hint="eastAsia" w:ascii="宋体" w:hAnsi="宋体" w:eastAsia="宋体" w:cs="宋体"/>
          <w:sz w:val="24"/>
          <w:szCs w:val="24"/>
        </w:rPr>
        <w:t>应在合同签署之前，将所涉及的企业标准提供给买方确认。</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7.涉及的主要标准表</w:t>
      </w:r>
    </w:p>
    <w:tbl>
      <w:tblPr>
        <w:tblStyle w:val="40"/>
        <w:tblW w:w="93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9"/>
        <w:gridCol w:w="5391"/>
        <w:gridCol w:w="2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259" w:type="dxa"/>
            <w:vAlign w:val="center"/>
          </w:tcPr>
          <w:p>
            <w:pPr>
              <w:bidi w:val="0"/>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序号</w:t>
            </w:r>
          </w:p>
        </w:tc>
        <w:tc>
          <w:tcPr>
            <w:tcW w:w="5391" w:type="dxa"/>
            <w:vAlign w:val="center"/>
          </w:tcPr>
          <w:p>
            <w:pPr>
              <w:bidi w:val="0"/>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标准名称</w:t>
            </w:r>
          </w:p>
        </w:tc>
        <w:tc>
          <w:tcPr>
            <w:tcW w:w="2701" w:type="dxa"/>
            <w:vAlign w:val="center"/>
          </w:tcPr>
          <w:p>
            <w:pPr>
              <w:bidi w:val="0"/>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1259"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1</w:t>
            </w:r>
          </w:p>
        </w:tc>
        <w:tc>
          <w:tcPr>
            <w:tcW w:w="5391" w:type="dxa"/>
            <w:vAlign w:val="center"/>
          </w:tcPr>
          <w:p>
            <w:pPr>
              <w:bidi w:val="0"/>
              <w:rPr>
                <w:rFonts w:hint="eastAsia" w:ascii="宋体" w:hAnsi="宋体" w:eastAsia="宋体" w:cs="宋体"/>
                <w:sz w:val="24"/>
                <w:szCs w:val="24"/>
              </w:rPr>
            </w:pPr>
            <w:r>
              <w:rPr>
                <w:rFonts w:hint="eastAsia" w:ascii="宋体" w:hAnsi="宋体" w:eastAsia="宋体" w:cs="宋体"/>
                <w:sz w:val="24"/>
                <w:szCs w:val="24"/>
                <w:lang w:eastAsia="zh-CN"/>
              </w:rPr>
              <w:t>投标方</w:t>
            </w:r>
            <w:r>
              <w:rPr>
                <w:rFonts w:hint="eastAsia" w:ascii="宋体" w:hAnsi="宋体" w:eastAsia="宋体" w:cs="宋体"/>
                <w:sz w:val="24"/>
                <w:szCs w:val="24"/>
              </w:rPr>
              <w:t>提供行业内的推荐性、企业、国家标准。</w:t>
            </w:r>
          </w:p>
        </w:tc>
        <w:tc>
          <w:tcPr>
            <w:tcW w:w="2701" w:type="dxa"/>
            <w:vAlign w:val="center"/>
          </w:tcPr>
          <w:p>
            <w:pPr>
              <w:bidi w:val="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1259"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2</w:t>
            </w:r>
          </w:p>
        </w:tc>
        <w:tc>
          <w:tcPr>
            <w:tcW w:w="5391" w:type="dxa"/>
            <w:vAlign w:val="center"/>
          </w:tcPr>
          <w:p>
            <w:pPr>
              <w:bidi w:val="0"/>
              <w:rPr>
                <w:rFonts w:hint="eastAsia" w:ascii="宋体" w:hAnsi="宋体" w:eastAsia="宋体" w:cs="宋体"/>
                <w:sz w:val="24"/>
                <w:szCs w:val="24"/>
              </w:rPr>
            </w:pPr>
            <w:r>
              <w:rPr>
                <w:rFonts w:hint="eastAsia" w:ascii="宋体" w:hAnsi="宋体" w:eastAsia="宋体" w:cs="宋体"/>
                <w:sz w:val="24"/>
                <w:szCs w:val="24"/>
                <w:lang w:eastAsia="zh-CN"/>
              </w:rPr>
              <w:t>投标方</w:t>
            </w:r>
            <w:r>
              <w:rPr>
                <w:rFonts w:hint="eastAsia" w:ascii="宋体" w:hAnsi="宋体" w:eastAsia="宋体" w:cs="宋体"/>
                <w:sz w:val="24"/>
                <w:szCs w:val="24"/>
              </w:rPr>
              <w:t>提供与设备安全和环保相关的中国、国际通用和制造国的标准。</w:t>
            </w:r>
          </w:p>
        </w:tc>
        <w:tc>
          <w:tcPr>
            <w:tcW w:w="2701" w:type="dxa"/>
            <w:vAlign w:val="center"/>
          </w:tcPr>
          <w:p>
            <w:pPr>
              <w:bidi w:val="0"/>
              <w:rPr>
                <w:rFonts w:hint="eastAsia" w:ascii="宋体" w:hAnsi="宋体" w:eastAsia="宋体" w:cs="宋体"/>
                <w:sz w:val="24"/>
                <w:szCs w:val="24"/>
              </w:rPr>
            </w:pPr>
          </w:p>
        </w:tc>
      </w:tr>
    </w:tbl>
    <w:p>
      <w:pPr>
        <w:bidi w:val="0"/>
      </w:pPr>
    </w:p>
    <w:p>
      <w:pPr>
        <w:rPr>
          <w:rFonts w:ascii="Times New Roman" w:hAnsi="Times New Roman" w:eastAsia="宋体" w:cs="Times New Roman"/>
          <w:b/>
          <w:bCs/>
          <w:kern w:val="44"/>
          <w:sz w:val="28"/>
          <w:szCs w:val="28"/>
        </w:rPr>
      </w:pPr>
      <w:r>
        <w:rPr>
          <w:rFonts w:ascii="Times New Roman" w:hAnsi="Times New Roman" w:eastAsia="宋体" w:cs="Times New Roman"/>
          <w:b/>
          <w:bCs/>
          <w:kern w:val="44"/>
          <w:sz w:val="28"/>
          <w:szCs w:val="28"/>
        </w:rPr>
        <w:br w:type="page"/>
      </w:r>
    </w:p>
    <w:p>
      <w:pPr>
        <w:keepNext/>
        <w:keepLines/>
        <w:spacing w:line="240" w:lineRule="auto"/>
        <w:ind w:firstLine="562"/>
        <w:jc w:val="center"/>
        <w:textAlignment w:val="auto"/>
        <w:outlineLvl w:val="1"/>
        <w:rPr>
          <w:rFonts w:ascii="Times New Roman" w:hAnsi="Times New Roman" w:eastAsia="宋体" w:cs="Times New Roman"/>
          <w:b/>
          <w:bCs/>
          <w:kern w:val="44"/>
          <w:sz w:val="28"/>
          <w:szCs w:val="28"/>
        </w:rPr>
      </w:pPr>
      <w:r>
        <w:rPr>
          <w:rFonts w:ascii="Times New Roman" w:hAnsi="Times New Roman" w:eastAsia="宋体" w:cs="Times New Roman"/>
          <w:b/>
          <w:bCs/>
          <w:kern w:val="44"/>
          <w:sz w:val="28"/>
          <w:szCs w:val="28"/>
        </w:rPr>
        <w:t>第三章  供货范围及供货方式</w:t>
      </w:r>
      <w:bookmarkEnd w:id="42"/>
    </w:p>
    <w:p>
      <w:pPr>
        <w:bidi w:val="0"/>
      </w:pPr>
    </w:p>
    <w:p>
      <w:pPr>
        <w:keepNext/>
        <w:keepLines/>
        <w:spacing w:line="360" w:lineRule="auto"/>
        <w:ind w:firstLine="0"/>
        <w:jc w:val="center"/>
        <w:textAlignment w:val="auto"/>
        <w:outlineLvl w:val="2"/>
        <w:rPr>
          <w:rFonts w:ascii="Times New Roman" w:hAnsi="Times New Roman" w:eastAsia="宋体" w:cs="Times New Roman"/>
          <w:b/>
          <w:bCs/>
          <w:sz w:val="24"/>
          <w:szCs w:val="32"/>
        </w:rPr>
      </w:pPr>
      <w:bookmarkStart w:id="43" w:name="_Toc169605882"/>
      <w:r>
        <w:rPr>
          <w:rFonts w:ascii="Times New Roman" w:hAnsi="Times New Roman" w:eastAsia="宋体" w:cs="Times New Roman"/>
          <w:b/>
          <w:bCs/>
          <w:sz w:val="24"/>
          <w:szCs w:val="32"/>
        </w:rPr>
        <w:t>第一节  供货范围</w:t>
      </w:r>
      <w:bookmarkEnd w:id="43"/>
    </w:p>
    <w:p>
      <w:pPr>
        <w:bidi w:val="0"/>
        <w:rPr>
          <w:rFonts w:hint="eastAsia" w:ascii="宋体" w:hAnsi="宋体" w:eastAsia="宋体" w:cs="宋体"/>
          <w:b/>
          <w:bCs/>
          <w:kern w:val="2"/>
          <w:sz w:val="24"/>
          <w:szCs w:val="24"/>
          <w:highlight w:val="yellow"/>
          <w:lang w:val="en-US" w:eastAsia="zh-CN" w:bidi="ar-SA"/>
        </w:rPr>
      </w:pPr>
      <w:r>
        <w:rPr>
          <w:rFonts w:hint="eastAsia" w:ascii="宋体" w:hAnsi="宋体" w:eastAsia="宋体" w:cs="宋体"/>
          <w:b/>
          <w:bCs/>
          <w:kern w:val="2"/>
          <w:sz w:val="24"/>
          <w:szCs w:val="24"/>
          <w:highlight w:val="yellow"/>
          <w:lang w:val="en-US" w:eastAsia="zh-CN" w:bidi="ar-SA"/>
        </w:rPr>
        <w:t>一、 供货范围（按照组成项目主要构成一览表的所有最小单元逐一列示，要涵盖培训等内容）</w:t>
      </w:r>
    </w:p>
    <w:p>
      <w:pPr>
        <w:bidi w:val="0"/>
        <w:rPr>
          <w:rFonts w:hint="eastAsia" w:ascii="宋体" w:hAnsi="宋体" w:eastAsia="宋体" w:cs="宋体"/>
          <w:sz w:val="24"/>
          <w:szCs w:val="24"/>
        </w:rPr>
      </w:pPr>
    </w:p>
    <w:tbl>
      <w:tblPr>
        <w:tblStyle w:val="40"/>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5"/>
        <w:gridCol w:w="2954"/>
        <w:gridCol w:w="1015"/>
        <w:gridCol w:w="1275"/>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jc w:val="both"/>
              <w:rPr>
                <w:rFonts w:hint="eastAsia" w:ascii="宋体" w:hAnsi="宋体" w:eastAsia="宋体" w:cs="宋体"/>
                <w:b/>
                <w:bCs/>
                <w:sz w:val="24"/>
                <w:szCs w:val="24"/>
              </w:rPr>
            </w:pPr>
            <w:r>
              <w:rPr>
                <w:rFonts w:hint="eastAsia" w:ascii="宋体" w:hAnsi="宋体" w:eastAsia="宋体" w:cs="宋体"/>
                <w:b/>
                <w:bCs/>
                <w:sz w:val="24"/>
                <w:szCs w:val="24"/>
              </w:rPr>
              <w:t>序号</w:t>
            </w:r>
          </w:p>
        </w:tc>
        <w:tc>
          <w:tcPr>
            <w:tcW w:w="2954" w:type="dxa"/>
            <w:vAlign w:val="center"/>
          </w:tcPr>
          <w:p>
            <w:pPr>
              <w:bidi w:val="0"/>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名称</w:t>
            </w:r>
          </w:p>
        </w:tc>
        <w:tc>
          <w:tcPr>
            <w:tcW w:w="1015" w:type="dxa"/>
            <w:vAlign w:val="center"/>
          </w:tcPr>
          <w:p>
            <w:pPr>
              <w:bidi w:val="0"/>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单位</w:t>
            </w:r>
          </w:p>
        </w:tc>
        <w:tc>
          <w:tcPr>
            <w:tcW w:w="1275" w:type="dxa"/>
            <w:vAlign w:val="center"/>
          </w:tcPr>
          <w:p>
            <w:pPr>
              <w:bidi w:val="0"/>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数量</w:t>
            </w:r>
          </w:p>
        </w:tc>
        <w:tc>
          <w:tcPr>
            <w:tcW w:w="2410" w:type="dxa"/>
            <w:vAlign w:val="center"/>
          </w:tcPr>
          <w:p>
            <w:pPr>
              <w:bidi w:val="0"/>
              <w:ind w:left="0" w:leftChars="0" w:firstLine="0" w:firstLineChars="0"/>
              <w:jc w:val="center"/>
              <w:rPr>
                <w:rFonts w:hint="eastAsia" w:ascii="宋体" w:hAnsi="宋体" w:eastAsia="宋体" w:cs="宋体"/>
                <w:b/>
                <w:bCs/>
                <w:sz w:val="24"/>
                <w:szCs w:val="24"/>
              </w:rPr>
            </w:pPr>
            <w:r>
              <w:rPr>
                <w:rFonts w:hint="eastAsia" w:ascii="宋体" w:hAnsi="宋体" w:eastAsia="宋体" w:cs="宋体"/>
                <w:b/>
                <w:bCs/>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1</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商用车车轮六分力传感器</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c>
          <w:tcPr>
            <w:tcW w:w="1275"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4</w:t>
            </w:r>
          </w:p>
        </w:tc>
        <w:tc>
          <w:tcPr>
            <w:tcW w:w="2410" w:type="dxa"/>
            <w:vAlign w:val="center"/>
          </w:tcPr>
          <w:p>
            <w:pPr>
              <w:bidi w:val="0"/>
              <w:ind w:left="0" w:leftChars="0" w:firstLine="0" w:firstLineChars="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2</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车轮电子</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c>
          <w:tcPr>
            <w:tcW w:w="1275"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4</w:t>
            </w:r>
          </w:p>
        </w:tc>
        <w:tc>
          <w:tcPr>
            <w:tcW w:w="2410" w:type="dxa"/>
            <w:vAlign w:val="center"/>
          </w:tcPr>
          <w:p>
            <w:pPr>
              <w:bidi w:val="0"/>
              <w:ind w:left="0" w:leftChars="0" w:firstLine="0" w:firstLineChars="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3</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车载电子</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c>
          <w:tcPr>
            <w:tcW w:w="1275"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2</w:t>
            </w:r>
          </w:p>
        </w:tc>
        <w:tc>
          <w:tcPr>
            <w:tcW w:w="2410" w:type="dxa"/>
            <w:vAlign w:val="center"/>
          </w:tcPr>
          <w:p>
            <w:pPr>
              <w:bidi w:val="0"/>
              <w:ind w:left="0" w:leftChars="0" w:firstLine="0" w:firstLineChars="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4</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转接盒</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c>
          <w:tcPr>
            <w:tcW w:w="1275"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2</w:t>
            </w:r>
          </w:p>
        </w:tc>
        <w:tc>
          <w:tcPr>
            <w:tcW w:w="2410" w:type="dxa"/>
            <w:vAlign w:val="center"/>
          </w:tcPr>
          <w:p>
            <w:pPr>
              <w:bidi w:val="0"/>
              <w:ind w:left="0" w:leftChars="0" w:firstLine="0" w:firstLineChars="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5</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台架适配器组件（定制）</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c>
          <w:tcPr>
            <w:tcW w:w="1275"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12</w:t>
            </w:r>
          </w:p>
        </w:tc>
        <w:tc>
          <w:tcPr>
            <w:tcW w:w="2410" w:type="dxa"/>
            <w:vAlign w:val="center"/>
          </w:tcPr>
          <w:p>
            <w:pPr>
              <w:bidi w:val="0"/>
              <w:ind w:left="0" w:leftChars="0" w:firstLine="0" w:firstLineChars="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6</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轮辋适配器</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c>
          <w:tcPr>
            <w:tcW w:w="1275" w:type="dxa"/>
            <w:vAlign w:val="center"/>
          </w:tcPr>
          <w:p>
            <w:pPr>
              <w:bidi w:val="0"/>
              <w:rPr>
                <w:rFonts w:hint="eastAsia" w:ascii="宋体" w:hAnsi="宋体" w:eastAsia="宋体" w:cs="宋体"/>
                <w:sz w:val="24"/>
                <w:szCs w:val="24"/>
                <w:lang w:eastAsia="zh-CN"/>
              </w:rPr>
            </w:pPr>
            <w:r>
              <w:rPr>
                <w:rFonts w:hint="eastAsia" w:ascii="宋体" w:hAnsi="宋体" w:eastAsia="宋体" w:cs="宋体"/>
                <w:color w:val="auto"/>
                <w:sz w:val="24"/>
                <w:szCs w:val="24"/>
                <w:lang w:val="en-US" w:eastAsia="zh-CN"/>
              </w:rPr>
              <w:t>8</w:t>
            </w:r>
          </w:p>
        </w:tc>
        <w:tc>
          <w:tcPr>
            <w:tcW w:w="2410" w:type="dxa"/>
            <w:vAlign w:val="center"/>
          </w:tcPr>
          <w:p>
            <w:pPr>
              <w:bidi w:val="0"/>
              <w:ind w:left="0" w:leftChars="0" w:firstLine="0" w:firstLineChars="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7</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轮毂适配器</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c>
          <w:tcPr>
            <w:tcW w:w="1275" w:type="dxa"/>
            <w:vAlign w:val="center"/>
          </w:tcPr>
          <w:p>
            <w:pPr>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2410" w:type="dxa"/>
            <w:vAlign w:val="center"/>
          </w:tcPr>
          <w:p>
            <w:pPr>
              <w:bidi w:val="0"/>
              <w:ind w:left="0" w:leftChars="0" w:firstLine="0" w:firstLineChars="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8</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数据采集器</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c>
          <w:tcPr>
            <w:tcW w:w="1275"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1</w:t>
            </w:r>
          </w:p>
        </w:tc>
        <w:tc>
          <w:tcPr>
            <w:tcW w:w="2410" w:type="dxa"/>
            <w:vAlign w:val="center"/>
          </w:tcPr>
          <w:p>
            <w:pPr>
              <w:bidi w:val="0"/>
              <w:ind w:left="0" w:leftChars="0" w:firstLine="0" w:firstLineChars="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9</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拉线位移传感器</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c>
          <w:tcPr>
            <w:tcW w:w="1275"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12</w:t>
            </w:r>
          </w:p>
        </w:tc>
        <w:tc>
          <w:tcPr>
            <w:tcW w:w="2410"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量程762mm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10</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加速度传感器</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c>
          <w:tcPr>
            <w:tcW w:w="1275"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16</w:t>
            </w:r>
          </w:p>
        </w:tc>
        <w:tc>
          <w:tcPr>
            <w:tcW w:w="2410"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±50g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11</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力传感器</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c>
          <w:tcPr>
            <w:tcW w:w="1275"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2</w:t>
            </w:r>
          </w:p>
        </w:tc>
        <w:tc>
          <w:tcPr>
            <w:tcW w:w="2410"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包含标准负荷测量仪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12</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增压泵及配套</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c>
          <w:tcPr>
            <w:tcW w:w="1275"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1</w:t>
            </w:r>
          </w:p>
        </w:tc>
        <w:tc>
          <w:tcPr>
            <w:tcW w:w="2410"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配备气压管路及电源线缆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13</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10米延长线缆</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根</w:t>
            </w:r>
          </w:p>
        </w:tc>
        <w:tc>
          <w:tcPr>
            <w:tcW w:w="1275"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10</w:t>
            </w:r>
          </w:p>
        </w:tc>
        <w:tc>
          <w:tcPr>
            <w:tcW w:w="2410"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两端分别为truck公母头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14</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5米延长线缆</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根</w:t>
            </w:r>
          </w:p>
        </w:tc>
        <w:tc>
          <w:tcPr>
            <w:tcW w:w="1275"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20</w:t>
            </w:r>
          </w:p>
        </w:tc>
        <w:tc>
          <w:tcPr>
            <w:tcW w:w="2410"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两端分别为truck公母头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15</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sz w:val="24"/>
                <w:szCs w:val="24"/>
              </w:rPr>
              <w:t>米转接线缆</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根</w:t>
            </w:r>
          </w:p>
        </w:tc>
        <w:tc>
          <w:tcPr>
            <w:tcW w:w="1275"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40</w:t>
            </w:r>
          </w:p>
        </w:tc>
        <w:tc>
          <w:tcPr>
            <w:tcW w:w="2410"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一端适配数据采集器接口，一端truck母头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16</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2米信号线缆</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根</w:t>
            </w:r>
          </w:p>
        </w:tc>
        <w:tc>
          <w:tcPr>
            <w:tcW w:w="1275"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20</w:t>
            </w:r>
          </w:p>
        </w:tc>
        <w:tc>
          <w:tcPr>
            <w:tcW w:w="2410"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一端散线，一端truck公头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17</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工具套装</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c>
          <w:tcPr>
            <w:tcW w:w="1275"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2</w:t>
            </w:r>
          </w:p>
        </w:tc>
        <w:tc>
          <w:tcPr>
            <w:tcW w:w="2410"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包含应不限于扭力扳手、橡胶锤、螺栓转接头、专用扳手等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18</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套筒组合套装</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c>
          <w:tcPr>
            <w:tcW w:w="1275"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1</w:t>
            </w:r>
          </w:p>
        </w:tc>
        <w:tc>
          <w:tcPr>
            <w:tcW w:w="2410" w:type="dxa"/>
            <w:vAlign w:val="center"/>
          </w:tcPr>
          <w:p>
            <w:pPr>
              <w:bidi w:val="0"/>
              <w:ind w:left="0" w:leftChars="0" w:firstLine="0" w:firstLineChars="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19</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专用保管箱</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套</w:t>
            </w:r>
          </w:p>
        </w:tc>
        <w:tc>
          <w:tcPr>
            <w:tcW w:w="1275" w:type="dxa"/>
            <w:vAlign w:val="center"/>
          </w:tcPr>
          <w:p>
            <w:pPr>
              <w:bidi w:val="0"/>
              <w:rPr>
                <w:rFonts w:hint="eastAsia" w:ascii="宋体" w:hAnsi="宋体" w:eastAsia="宋体" w:cs="宋体"/>
                <w:sz w:val="24"/>
                <w:szCs w:val="24"/>
              </w:rPr>
            </w:pPr>
            <w:r>
              <w:rPr>
                <w:rFonts w:hint="eastAsia" w:ascii="宋体" w:hAnsi="宋体" w:eastAsia="宋体" w:cs="宋体"/>
                <w:sz w:val="24"/>
                <w:szCs w:val="24"/>
              </w:rPr>
              <w:t>6</w:t>
            </w:r>
          </w:p>
        </w:tc>
        <w:tc>
          <w:tcPr>
            <w:tcW w:w="2410" w:type="dxa"/>
            <w:vAlign w:val="center"/>
          </w:tcPr>
          <w:p>
            <w:pPr>
              <w:bidi w:val="0"/>
              <w:ind w:left="0" w:leftChars="0" w:firstLine="0" w:firstLineChars="0"/>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20</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六分力使用培训</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天</w:t>
            </w:r>
          </w:p>
        </w:tc>
        <w:tc>
          <w:tcPr>
            <w:tcW w:w="1275" w:type="dxa"/>
            <w:vAlign w:val="center"/>
          </w:tcPr>
          <w:p>
            <w:pPr>
              <w:bidi w:val="0"/>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2410"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线下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21</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数采使用培训</w:t>
            </w:r>
          </w:p>
        </w:tc>
        <w:tc>
          <w:tcPr>
            <w:tcW w:w="101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天</w:t>
            </w:r>
          </w:p>
        </w:tc>
        <w:tc>
          <w:tcPr>
            <w:tcW w:w="1275" w:type="dxa"/>
            <w:vAlign w:val="center"/>
          </w:tcPr>
          <w:p>
            <w:pPr>
              <w:bidi w:val="0"/>
              <w:rPr>
                <w:rFonts w:hint="eastAsia" w:ascii="宋体" w:hAnsi="宋体" w:eastAsia="宋体" w:cs="宋体"/>
                <w:sz w:val="24"/>
                <w:szCs w:val="24"/>
                <w:lang w:eastAsia="zh-CN"/>
              </w:rPr>
            </w:pPr>
            <w:r>
              <w:rPr>
                <w:rFonts w:hint="eastAsia" w:ascii="宋体" w:hAnsi="宋体" w:eastAsia="宋体" w:cs="宋体"/>
                <w:sz w:val="24"/>
                <w:szCs w:val="24"/>
                <w:lang w:val="en-US" w:eastAsia="zh-CN"/>
              </w:rPr>
              <w:t>7</w:t>
            </w:r>
          </w:p>
        </w:tc>
        <w:tc>
          <w:tcPr>
            <w:tcW w:w="2410"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线下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55" w:type="dxa"/>
            <w:vAlign w:val="center"/>
          </w:tcPr>
          <w:p>
            <w:pPr>
              <w:bidi w:val="0"/>
              <w:ind w:left="0" w:leftChars="0" w:firstLine="0" w:firstLineChars="0"/>
              <w:jc w:val="center"/>
              <w:rPr>
                <w:rFonts w:hint="eastAsia" w:ascii="宋体" w:hAnsi="宋体" w:eastAsia="宋体" w:cs="宋体"/>
                <w:sz w:val="24"/>
                <w:szCs w:val="24"/>
              </w:rPr>
            </w:pPr>
            <w:r>
              <w:rPr>
                <w:rFonts w:hint="eastAsia" w:ascii="宋体" w:hAnsi="宋体" w:eastAsia="宋体" w:cs="宋体"/>
                <w:sz w:val="24"/>
                <w:szCs w:val="24"/>
              </w:rPr>
              <w:t>20</w:t>
            </w:r>
          </w:p>
        </w:tc>
        <w:tc>
          <w:tcPr>
            <w:tcW w:w="2954" w:type="dxa"/>
            <w:vAlign w:val="center"/>
          </w:tcPr>
          <w:p>
            <w:pPr>
              <w:bidi w:val="0"/>
              <w:ind w:left="0" w:leftChars="0" w:firstLine="0" w:firstLineChars="0"/>
              <w:rPr>
                <w:rFonts w:hint="eastAsia" w:ascii="宋体" w:hAnsi="宋体" w:eastAsia="宋体" w:cs="宋体"/>
                <w:sz w:val="24"/>
                <w:szCs w:val="24"/>
              </w:rPr>
            </w:pPr>
            <w:r>
              <w:rPr>
                <w:rFonts w:hint="eastAsia" w:ascii="宋体" w:hAnsi="宋体" w:eastAsia="宋体" w:cs="宋体"/>
                <w:sz w:val="24"/>
                <w:szCs w:val="24"/>
              </w:rPr>
              <w:t>试验电脑</w:t>
            </w:r>
          </w:p>
        </w:tc>
        <w:tc>
          <w:tcPr>
            <w:tcW w:w="1015" w:type="dxa"/>
            <w:vAlign w:val="center"/>
          </w:tcPr>
          <w:p>
            <w:pPr>
              <w:bidi w:val="0"/>
              <w:ind w:left="0" w:leftChars="0" w:firstLine="0" w:firstLineChars="0"/>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台</w:t>
            </w:r>
          </w:p>
        </w:tc>
        <w:tc>
          <w:tcPr>
            <w:tcW w:w="1275" w:type="dxa"/>
            <w:vAlign w:val="center"/>
          </w:tcPr>
          <w:p>
            <w:pPr>
              <w:bidi w:val="0"/>
              <w:rPr>
                <w:rFonts w:hint="eastAsia" w:ascii="宋体" w:hAnsi="宋体" w:eastAsia="宋体" w:cs="宋体"/>
                <w:sz w:val="24"/>
                <w:szCs w:val="24"/>
                <w:lang w:eastAsia="zh-CN"/>
              </w:rPr>
            </w:pPr>
            <w:r>
              <w:rPr>
                <w:rFonts w:hint="eastAsia" w:ascii="宋体" w:hAnsi="宋体" w:eastAsia="宋体" w:cs="宋体"/>
                <w:color w:val="auto"/>
                <w:sz w:val="24"/>
                <w:szCs w:val="24"/>
                <w:lang w:val="en-US" w:eastAsia="zh-CN"/>
              </w:rPr>
              <w:t>4</w:t>
            </w:r>
          </w:p>
        </w:tc>
        <w:tc>
          <w:tcPr>
            <w:tcW w:w="2410" w:type="dxa"/>
            <w:vAlign w:val="center"/>
          </w:tcPr>
          <w:p>
            <w:pPr>
              <w:bidi w:val="0"/>
              <w:ind w:left="0" w:leftChars="0" w:firstLine="0" w:firstLine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2台笔记本</w:t>
            </w:r>
            <w:r>
              <w:rPr>
                <w:rFonts w:hint="eastAsia" w:ascii="宋体" w:hAnsi="宋体" w:eastAsia="宋体" w:cs="宋体"/>
                <w:sz w:val="24"/>
                <w:szCs w:val="24"/>
              </w:rPr>
              <w:t>工作站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2台笔记本</w:t>
            </w:r>
          </w:p>
        </w:tc>
      </w:tr>
    </w:tbl>
    <w:p>
      <w:pPr>
        <w:bidi w:val="0"/>
        <w:rPr>
          <w:rFonts w:hint="eastAsia" w:ascii="宋体" w:hAnsi="宋体" w:eastAsia="宋体" w:cs="宋体"/>
          <w:sz w:val="24"/>
          <w:szCs w:val="24"/>
        </w:rPr>
      </w:pPr>
    </w:p>
    <w:p>
      <w:pPr>
        <w:bidi w:val="0"/>
        <w:rPr>
          <w:rFonts w:hint="eastAsia" w:ascii="宋体" w:hAnsi="宋体" w:eastAsia="宋体" w:cs="宋体"/>
          <w:b/>
          <w:bCs/>
          <w:sz w:val="24"/>
          <w:szCs w:val="24"/>
        </w:rPr>
      </w:pPr>
      <w:r>
        <w:rPr>
          <w:rFonts w:hint="eastAsia" w:ascii="宋体" w:hAnsi="宋体" w:eastAsia="宋体" w:cs="宋体"/>
          <w:b/>
          <w:bCs/>
          <w:sz w:val="24"/>
          <w:szCs w:val="24"/>
        </w:rPr>
        <w:t>（一）一般界定</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bidi w:val="0"/>
        <w:rPr>
          <w:rFonts w:hint="eastAsia" w:ascii="宋体" w:hAnsi="宋体" w:eastAsia="宋体" w:cs="宋体"/>
          <w:b/>
          <w:bCs/>
          <w:sz w:val="24"/>
          <w:szCs w:val="24"/>
        </w:rPr>
      </w:pPr>
      <w:r>
        <w:rPr>
          <w:rFonts w:hint="eastAsia" w:ascii="宋体" w:hAnsi="宋体" w:eastAsia="宋体" w:cs="宋体"/>
          <w:b/>
          <w:bCs/>
          <w:sz w:val="24"/>
          <w:szCs w:val="24"/>
        </w:rPr>
        <w:t>（二）供货范围边界界定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p>
    <w:p>
      <w:pPr>
        <w:bidi w:val="0"/>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bidi w:val="0"/>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rPr>
      </w:pPr>
      <w:r>
        <w:rPr>
          <w:rFonts w:hint="eastAsia" w:ascii="宋体" w:hAnsi="宋体" w:eastAsia="宋体" w:cs="宋体"/>
          <w:sz w:val="24"/>
          <w:szCs w:val="24"/>
        </w:rPr>
        <w:t>技术资料供货范围包括：</w:t>
      </w:r>
    </w:p>
    <w:p>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rPr>
      </w:pPr>
      <w:r>
        <w:rPr>
          <w:rFonts w:hint="eastAsia" w:ascii="宋体" w:hAnsi="宋体" w:eastAsia="宋体" w:cs="宋体"/>
          <w:sz w:val="24"/>
          <w:szCs w:val="24"/>
        </w:rPr>
        <w:t>1.在合同签订后 30 个日历日内，提供货物基础及相关的设计、制作所需的纸质及电子版资料；电子版文件应当能够使用常用版本软件可以阅读甚至使用，进口货物、设备应有中外文对照。</w:t>
      </w:r>
    </w:p>
    <w:p>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rPr>
      </w:pPr>
      <w:r>
        <w:rPr>
          <w:rFonts w:hint="eastAsia" w:ascii="宋体" w:hAnsi="宋体" w:eastAsia="宋体" w:cs="宋体"/>
          <w:sz w:val="24"/>
          <w:szCs w:val="24"/>
        </w:rPr>
        <w:t>8.本条款所列的技术资料、图片、影像等，投标人应各提供5套，其中2套为电子版光盘；每份技术文件应装有目录清单。</w:t>
      </w:r>
    </w:p>
    <w:p>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rPr>
      </w:pPr>
      <w:r>
        <w:rPr>
          <w:rFonts w:hint="eastAsia" w:ascii="宋体" w:hAnsi="宋体" w:eastAsia="宋体" w:cs="宋体"/>
          <w:sz w:val="24"/>
          <w:szCs w:val="24"/>
        </w:rPr>
        <w:t>9.本条款所列要求，如招标人认为投标人提供的资料不能满足要求时，有权要求投标人免费补充或增加。</w:t>
      </w:r>
    </w:p>
    <w:p>
      <w:pPr>
        <w:keepNext w:val="0"/>
        <w:keepLines w:val="0"/>
        <w:pageBreakBefore w:val="0"/>
        <w:widowControl w:val="0"/>
        <w:kinsoku/>
        <w:wordWrap/>
        <w:overflowPunct/>
        <w:topLinePunct w:val="0"/>
        <w:autoSpaceDE/>
        <w:autoSpaceDN/>
        <w:bidi w:val="0"/>
        <w:adjustRightInd/>
        <w:snapToGrid/>
        <w:ind w:firstLine="482" w:firstLineChars="200"/>
        <w:textAlignment w:val="center"/>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44" w:name="_Toc169605883"/>
    </w:p>
    <w:p>
      <w:pPr>
        <w:rPr>
          <w:rFonts w:hint="eastAsia" w:ascii="宋体" w:hAnsi="宋体" w:eastAsia="宋体" w:cs="宋体"/>
          <w:sz w:val="24"/>
          <w:szCs w:val="24"/>
        </w:rPr>
      </w:pPr>
      <w:r>
        <w:rPr>
          <w:rFonts w:hint="eastAsia" w:ascii="宋体" w:hAnsi="宋体" w:eastAsia="宋体" w:cs="宋体"/>
          <w:sz w:val="24"/>
          <w:szCs w:val="24"/>
        </w:rPr>
        <w:br w:type="page"/>
      </w:r>
    </w:p>
    <w:p>
      <w:pPr>
        <w:keepNext w:val="0"/>
        <w:keepLines w:val="0"/>
        <w:pageBreakBefore w:val="0"/>
        <w:widowControl w:val="0"/>
        <w:kinsoku/>
        <w:wordWrap/>
        <w:overflowPunct/>
        <w:topLinePunct w:val="0"/>
        <w:autoSpaceDE/>
        <w:autoSpaceDN/>
        <w:bidi w:val="0"/>
        <w:adjustRightInd/>
        <w:snapToGrid/>
        <w:ind w:firstLine="480" w:firstLineChars="200"/>
        <w:textAlignment w:val="center"/>
        <w:rPr>
          <w:rFonts w:hint="eastAsia" w:ascii="宋体" w:hAnsi="宋体" w:eastAsia="宋体" w:cs="宋体"/>
          <w:sz w:val="24"/>
          <w:szCs w:val="24"/>
        </w:rPr>
      </w:pPr>
    </w:p>
    <w:p>
      <w:pPr>
        <w:bidi w:val="0"/>
        <w:rPr>
          <w:rFonts w:hint="eastAsia" w:ascii="宋体" w:hAnsi="宋体" w:eastAsia="宋体" w:cs="宋体"/>
          <w:sz w:val="24"/>
          <w:szCs w:val="24"/>
        </w:rPr>
      </w:pPr>
    </w:p>
    <w:p>
      <w:pPr>
        <w:bidi w:val="0"/>
        <w:jc w:val="center"/>
        <w:rPr>
          <w:rFonts w:hint="eastAsia" w:ascii="宋体" w:hAnsi="宋体" w:eastAsia="宋体" w:cs="宋体"/>
          <w:b/>
          <w:bCs/>
          <w:sz w:val="24"/>
          <w:szCs w:val="24"/>
        </w:rPr>
      </w:pPr>
      <w:r>
        <w:rPr>
          <w:rFonts w:hint="eastAsia" w:ascii="宋体" w:hAnsi="宋体" w:eastAsia="宋体" w:cs="宋体"/>
          <w:b/>
          <w:bCs/>
          <w:sz w:val="24"/>
          <w:szCs w:val="24"/>
        </w:rPr>
        <w:t>第二节  供货方式</w:t>
      </w:r>
      <w:bookmarkEnd w:id="44"/>
    </w:p>
    <w:p>
      <w:pPr>
        <w:keepNext w:val="0"/>
        <w:keepLines w:val="0"/>
        <w:pageBreakBefore w:val="0"/>
        <w:widowControl w:val="0"/>
        <w:kinsoku/>
        <w:wordWrap/>
        <w:overflowPunct/>
        <w:topLinePunct w:val="0"/>
        <w:autoSpaceDE/>
        <w:autoSpaceDN/>
        <w:bidi w:val="0"/>
        <w:adjustRightInd/>
        <w:snapToGrid/>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一、供货方式</w:t>
      </w:r>
    </w:p>
    <w:p>
      <w:pPr>
        <w:keepNext w:val="0"/>
        <w:keepLines w:val="0"/>
        <w:pageBreakBefore w:val="0"/>
        <w:widowControl w:val="0"/>
        <w:kinsoku/>
        <w:wordWrap/>
        <w:overflowPunct/>
        <w:topLinePunct w:val="0"/>
        <w:autoSpaceDE/>
        <w:autoSpaceDN/>
        <w:bidi w:val="0"/>
        <w:adjustRightInd/>
        <w:snapToGrid/>
        <w:ind w:firstLine="480" w:firstLineChars="200"/>
        <w:rPr>
          <w:rFonts w:hint="eastAsia" w:ascii="宋体" w:hAnsi="宋体" w:eastAsia="宋体" w:cs="宋体"/>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pPr>
        <w:keepNext w:val="0"/>
        <w:keepLines w:val="0"/>
        <w:pageBreakBefore w:val="0"/>
        <w:widowControl w:val="0"/>
        <w:kinsoku/>
        <w:wordWrap/>
        <w:overflowPunct/>
        <w:topLinePunct w:val="0"/>
        <w:autoSpaceDE/>
        <w:autoSpaceDN/>
        <w:bidi w:val="0"/>
        <w:adjustRightInd/>
        <w:snapToGrid/>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二、供货地点：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cs="宋体"/>
          <w:color w:val="000000"/>
          <w:sz w:val="24"/>
          <w:szCs w:val="24"/>
          <w:highlight w:val="yellow"/>
          <w:u w:val="single"/>
        </w:rPr>
      </w:pPr>
      <w:r>
        <w:rPr>
          <w:rFonts w:hint="eastAsia" w:ascii="宋体" w:hAnsi="宋体" w:eastAsia="宋体" w:cs="宋体"/>
          <w:color w:val="000000"/>
          <w:sz w:val="24"/>
          <w:szCs w:val="24"/>
          <w:highlight w:val="yellow"/>
          <w:u w:val="single"/>
        </w:rPr>
        <w:t>山东省济南市高新区华奥路777号</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pPr>
        <w:keepNext w:val="0"/>
        <w:keepLines w:val="0"/>
        <w:pageBreakBefore w:val="0"/>
        <w:widowControl w:val="0"/>
        <w:kinsoku/>
        <w:wordWrap/>
        <w:overflowPunct/>
        <w:topLinePunct w:val="0"/>
        <w:autoSpaceDE/>
        <w:autoSpaceDN/>
        <w:bidi w:val="0"/>
        <w:adjustRightInd/>
        <w:snapToGrid/>
        <w:ind w:firstLine="480" w:firstLineChars="200"/>
        <w:rPr>
          <w:rFonts w:hint="eastAsia"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color w:val="000000"/>
          <w:sz w:val="24"/>
          <w:szCs w:val="24"/>
          <w:highlight w:val="yellow"/>
          <w:u w:val="single"/>
        </w:rPr>
        <w:t>120</w:t>
      </w:r>
      <w:r>
        <w:rPr>
          <w:rFonts w:hint="eastAsia" w:ascii="宋体" w:hAnsi="宋体" w:eastAsia="宋体" w:cs="宋体"/>
          <w:sz w:val="24"/>
          <w:szCs w:val="24"/>
        </w:rPr>
        <w:t>个日历日之内交货至供货地点。</w:t>
      </w:r>
    </w:p>
    <w:p>
      <w:pPr>
        <w:keepNext w:val="0"/>
        <w:keepLines w:val="0"/>
        <w:pageBreakBefore w:val="0"/>
        <w:widowControl w:val="0"/>
        <w:kinsoku/>
        <w:wordWrap/>
        <w:overflowPunct/>
        <w:topLinePunct w:val="0"/>
        <w:autoSpaceDE/>
        <w:autoSpaceDN/>
        <w:bidi w:val="0"/>
        <w:adjustRightInd/>
        <w:snapToGrid/>
        <w:ind w:firstLine="480" w:firstLineChars="200"/>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color w:val="000000"/>
          <w:sz w:val="24"/>
          <w:szCs w:val="24"/>
          <w:highlight w:val="yellow"/>
          <w:u w:val="single"/>
        </w:rPr>
        <w:t>15</w:t>
      </w:r>
      <w:r>
        <w:rPr>
          <w:rFonts w:hint="eastAsia" w:ascii="宋体" w:hAnsi="宋体" w:eastAsia="宋体" w:cs="宋体"/>
          <w:sz w:val="24"/>
          <w:szCs w:val="24"/>
        </w:rPr>
        <w:t>个日历日之内安装调试完毕。</w:t>
      </w:r>
    </w:p>
    <w:p>
      <w:pPr>
        <w:keepNext w:val="0"/>
        <w:keepLines w:val="0"/>
        <w:pageBreakBefore w:val="0"/>
        <w:widowControl w:val="0"/>
        <w:kinsoku/>
        <w:wordWrap/>
        <w:overflowPunct/>
        <w:topLinePunct w:val="0"/>
        <w:autoSpaceDE/>
        <w:autoSpaceDN/>
        <w:bidi w:val="0"/>
        <w:adjustRightInd/>
        <w:snapToGrid/>
        <w:ind w:firstLine="480" w:firstLineChars="200"/>
        <w:rPr>
          <w:rFonts w:hint="eastAsia"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color w:val="000000"/>
          <w:sz w:val="24"/>
          <w:szCs w:val="24"/>
          <w:highlight w:val="yellow"/>
          <w:u w:val="single"/>
        </w:rPr>
        <w:t>3</w:t>
      </w:r>
      <w:r>
        <w:rPr>
          <w:rFonts w:hint="eastAsia" w:ascii="宋体" w:hAnsi="宋体" w:eastAsia="宋体" w:cs="宋体"/>
          <w:color w:val="000000"/>
          <w:sz w:val="24"/>
          <w:szCs w:val="24"/>
          <w:highlight w:val="yellow"/>
          <w:u w:val="single"/>
          <w:lang w:val="en-US" w:eastAsia="zh-CN"/>
        </w:rPr>
        <w:t>5</w:t>
      </w:r>
      <w:r>
        <w:rPr>
          <w:rFonts w:hint="eastAsia" w:ascii="宋体" w:hAnsi="宋体" w:eastAsia="宋体" w:cs="宋体"/>
          <w:sz w:val="24"/>
          <w:szCs w:val="24"/>
        </w:rPr>
        <w:t>个日历日之内完成终验收。</w:t>
      </w:r>
    </w:p>
    <w:p>
      <w:pPr>
        <w:keepNext w:val="0"/>
        <w:keepLines w:val="0"/>
        <w:pageBreakBefore w:val="0"/>
        <w:widowControl w:val="0"/>
        <w:kinsoku/>
        <w:wordWrap/>
        <w:overflowPunct/>
        <w:topLinePunct w:val="0"/>
        <w:autoSpaceDE/>
        <w:autoSpaceDN/>
        <w:bidi w:val="0"/>
        <w:adjustRightInd/>
        <w:snapToGrid/>
        <w:ind w:firstLine="480" w:firstLineChars="200"/>
        <w:rPr>
          <w:rFonts w:hint="eastAsia" w:ascii="宋体" w:hAnsi="宋体" w:eastAsia="宋体" w:cs="宋体"/>
          <w:sz w:val="24"/>
          <w:szCs w:val="24"/>
        </w:rPr>
      </w:pPr>
      <w:r>
        <w:rPr>
          <w:rFonts w:hint="eastAsia" w:ascii="宋体" w:hAnsi="宋体" w:eastAsia="宋体" w:cs="宋体"/>
          <w:sz w:val="24"/>
          <w:szCs w:val="24"/>
        </w:rPr>
        <w:t>安装调试工期超过</w:t>
      </w:r>
      <w:r>
        <w:rPr>
          <w:rFonts w:hint="eastAsia" w:ascii="宋体" w:hAnsi="宋体" w:eastAsia="宋体" w:cs="宋体"/>
          <w:color w:val="000000"/>
          <w:sz w:val="24"/>
          <w:szCs w:val="24"/>
          <w:highlight w:val="yellow"/>
          <w:u w:val="single"/>
        </w:rPr>
        <w:t>30个日历日</w:t>
      </w:r>
      <w:r>
        <w:rPr>
          <w:rFonts w:hint="eastAsia" w:ascii="宋体" w:hAnsi="宋体" w:eastAsia="宋体" w:cs="宋体"/>
          <w:sz w:val="24"/>
          <w:szCs w:val="24"/>
        </w:rPr>
        <w:t>的，投标人应当随标书提供详细的工期计划。</w:t>
      </w:r>
    </w:p>
    <w:p>
      <w:pPr>
        <w:keepNext w:val="0"/>
        <w:keepLines w:val="0"/>
        <w:pageBreakBefore w:val="0"/>
        <w:widowControl w:val="0"/>
        <w:kinsoku/>
        <w:wordWrap/>
        <w:overflowPunct/>
        <w:topLinePunct w:val="0"/>
        <w:autoSpaceDE/>
        <w:autoSpaceDN/>
        <w:bidi w:val="0"/>
        <w:adjustRightInd/>
        <w:snapToGrid/>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四、包装</w:t>
      </w:r>
    </w:p>
    <w:p>
      <w:pPr>
        <w:keepNext w:val="0"/>
        <w:keepLines w:val="0"/>
        <w:pageBreakBefore w:val="0"/>
        <w:widowControl w:val="0"/>
        <w:kinsoku/>
        <w:wordWrap/>
        <w:overflowPunct/>
        <w:topLinePunct w:val="0"/>
        <w:autoSpaceDE/>
        <w:autoSpaceDN/>
        <w:bidi w:val="0"/>
        <w:adjustRightInd/>
        <w:snapToGrid/>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keepNext w:val="0"/>
        <w:keepLines w:val="0"/>
        <w:pageBreakBefore w:val="0"/>
        <w:widowControl w:val="0"/>
        <w:kinsoku/>
        <w:wordWrap/>
        <w:overflowPunct/>
        <w:topLinePunct w:val="0"/>
        <w:autoSpaceDE/>
        <w:autoSpaceDN/>
        <w:bidi w:val="0"/>
        <w:adjustRightInd/>
        <w:snapToGrid/>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keepNext w:val="0"/>
        <w:keepLines w:val="0"/>
        <w:pageBreakBefore w:val="0"/>
        <w:widowControl w:val="0"/>
        <w:kinsoku/>
        <w:wordWrap/>
        <w:overflowPunct/>
        <w:topLinePunct w:val="0"/>
        <w:autoSpaceDE/>
        <w:autoSpaceDN/>
        <w:bidi w:val="0"/>
        <w:adjustRightInd/>
        <w:snapToGrid/>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bidi w:val="0"/>
        <w:rPr>
          <w:rFonts w:hint="eastAsia" w:ascii="宋体" w:hAnsi="宋体" w:eastAsia="宋体" w:cs="宋体"/>
          <w:b/>
          <w:bCs/>
          <w:sz w:val="24"/>
          <w:szCs w:val="24"/>
        </w:rPr>
      </w:pPr>
      <w:r>
        <w:rPr>
          <w:rFonts w:hint="eastAsia" w:ascii="宋体" w:hAnsi="宋体" w:eastAsia="宋体" w:cs="宋体"/>
          <w:b/>
          <w:bCs/>
          <w:sz w:val="24"/>
          <w:szCs w:val="24"/>
        </w:rPr>
        <w:t>五、运输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
      <w:r>
        <w:br w:type="page"/>
      </w:r>
    </w:p>
    <w:p>
      <w:pPr>
        <w:jc w:val="center"/>
        <w:rPr>
          <w:b/>
          <w:bCs/>
          <w:sz w:val="28"/>
          <w:szCs w:val="28"/>
        </w:rPr>
      </w:pPr>
      <w:bookmarkStart w:id="45" w:name="_Toc169605884"/>
      <w:r>
        <w:rPr>
          <w:b/>
          <w:bCs/>
          <w:sz w:val="28"/>
          <w:szCs w:val="28"/>
        </w:rPr>
        <w:t>第四章 质保期及售后服务</w:t>
      </w:r>
      <w:bookmarkEnd w:id="45"/>
    </w:p>
    <w:p>
      <w:pPr>
        <w:rPr>
          <w:rFonts w:hint="eastAsia" w:ascii="宋体" w:hAnsi="宋体" w:eastAsia="宋体" w:cs="宋体"/>
          <w:b/>
          <w:bCs/>
          <w:sz w:val="24"/>
          <w:szCs w:val="24"/>
        </w:rPr>
      </w:pPr>
      <w:r>
        <w:rPr>
          <w:rFonts w:hint="eastAsia" w:ascii="宋体" w:hAnsi="宋体" w:eastAsia="宋体" w:cs="宋体"/>
          <w:b/>
          <w:bCs/>
          <w:sz w:val="24"/>
          <w:szCs w:val="24"/>
        </w:rPr>
        <w:t>一、质保期及质保要求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color w:val="FF0000"/>
          <w:sz w:val="24"/>
          <w:szCs w:val="24"/>
          <w:highlight w:val="yellow"/>
          <w:u w:val="single"/>
          <w:lang w:val="en-US" w:eastAsia="zh-CN"/>
        </w:rPr>
        <w:t>18</w:t>
      </w:r>
      <w:r>
        <w:rPr>
          <w:rFonts w:hint="eastAsia" w:ascii="宋体" w:hAnsi="宋体" w:eastAsia="宋体" w:cs="宋体"/>
          <w:sz w:val="24"/>
          <w:szCs w:val="24"/>
        </w:rPr>
        <w:t>个月。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w:t>
      </w:r>
      <w:r>
        <w:rPr>
          <w:rFonts w:hint="eastAsia" w:ascii="宋体" w:hAnsi="宋体" w:eastAsia="宋体" w:cs="宋体"/>
          <w:sz w:val="24"/>
          <w:szCs w:val="24"/>
          <w:lang w:eastAsia="zh-CN"/>
        </w:rPr>
        <w:t>投标方</w:t>
      </w:r>
      <w:r>
        <w:rPr>
          <w:rFonts w:hint="eastAsia" w:ascii="宋体" w:hAnsi="宋体" w:eastAsia="宋体" w:cs="宋体"/>
          <w:sz w:val="24"/>
          <w:szCs w:val="24"/>
        </w:rPr>
        <w:t>应负责免费维修和服务。给招标方造成的直接经济损失由投标方承担。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4.质保期终止之日起</w:t>
      </w:r>
      <w:r>
        <w:rPr>
          <w:rFonts w:hint="eastAsia" w:ascii="宋体" w:hAnsi="宋体" w:eastAsia="宋体" w:cs="宋体"/>
          <w:color w:val="FF0000"/>
          <w:sz w:val="24"/>
          <w:szCs w:val="24"/>
          <w:highlight w:val="yellow"/>
          <w:u w:val="single"/>
          <w:lang w:val="en-US" w:eastAsia="zh-CN"/>
        </w:rPr>
        <w:t>一年半</w:t>
      </w:r>
      <w:r>
        <w:rPr>
          <w:rFonts w:hint="eastAsia" w:ascii="宋体" w:hAnsi="宋体" w:eastAsia="宋体" w:cs="宋体"/>
          <w:color w:val="FF0000"/>
          <w:sz w:val="24"/>
          <w:szCs w:val="24"/>
          <w:highlight w:val="yellow"/>
          <w:u w:val="single"/>
        </w:rPr>
        <w:t>内</w:t>
      </w:r>
      <w:r>
        <w:rPr>
          <w:rFonts w:hint="eastAsia" w:ascii="宋体" w:hAnsi="宋体" w:eastAsia="宋体" w:cs="宋体"/>
          <w:sz w:val="24"/>
          <w:szCs w:val="24"/>
        </w:rPr>
        <w:t>重复出现的质保期之内出现的故障，仍属质保范围而且应当免费。</w:t>
      </w:r>
    </w:p>
    <w:p>
      <w:pPr>
        <w:rPr>
          <w:rFonts w:hint="eastAsia" w:ascii="宋体" w:hAnsi="宋体" w:eastAsia="宋体" w:cs="宋体"/>
          <w:b/>
          <w:bCs/>
          <w:sz w:val="24"/>
          <w:szCs w:val="24"/>
        </w:rPr>
      </w:pPr>
      <w:r>
        <w:rPr>
          <w:rFonts w:hint="eastAsia" w:ascii="宋体" w:hAnsi="宋体" w:eastAsia="宋体" w:cs="宋体"/>
          <w:b/>
          <w:bCs/>
          <w:sz w:val="24"/>
          <w:szCs w:val="24"/>
        </w:rPr>
        <w:t>二、技术及培训服务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1.应负责在买方货物使用现场，对技术、维修和操作人员提供免费的理论、技术和操作、维修等方面的技术指导和培训，并接受买方有关人员的技术咨询。</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FF0000"/>
          <w:sz w:val="24"/>
          <w:szCs w:val="24"/>
        </w:rPr>
        <w:t>2.提供相应完善的培训计划，现场指导安装、调试、试样的技术支持天数总计不少于</w:t>
      </w:r>
      <w:r>
        <w:rPr>
          <w:rFonts w:hint="eastAsia" w:ascii="宋体" w:hAnsi="宋体" w:eastAsia="宋体" w:cs="宋体"/>
          <w:b/>
          <w:bCs/>
          <w:color w:val="FF0000"/>
          <w:sz w:val="24"/>
          <w:szCs w:val="24"/>
          <w:u w:val="single"/>
        </w:rPr>
        <w:t>7天</w:t>
      </w:r>
      <w:r>
        <w:rPr>
          <w:rFonts w:hint="eastAsia" w:ascii="宋体" w:hAnsi="宋体" w:eastAsia="宋体" w:cs="宋体"/>
          <w:color w:val="FF0000"/>
          <w:sz w:val="24"/>
          <w:szCs w:val="24"/>
        </w:rPr>
        <w:t>，提供完整的设备说明书、软件使用说明书、技术参数说明书等资料。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3.应按要求免费积极协助和提供买方以及买方所委托的工程设计单位有关人员所需要的、与货物有关的工程设计资料、技术咨询等。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4.若</w:t>
      </w:r>
      <w:r>
        <w:rPr>
          <w:rFonts w:hint="eastAsia" w:ascii="宋体" w:hAnsi="宋体" w:eastAsia="宋体" w:cs="宋体"/>
          <w:sz w:val="24"/>
          <w:szCs w:val="24"/>
          <w:lang w:eastAsia="zh-CN"/>
        </w:rPr>
        <w:t>投标方</w:t>
      </w:r>
      <w:r>
        <w:rPr>
          <w:rFonts w:hint="eastAsia" w:ascii="宋体" w:hAnsi="宋体" w:eastAsia="宋体" w:cs="宋体"/>
          <w:sz w:val="24"/>
          <w:szCs w:val="24"/>
        </w:rPr>
        <w:t>提供货物涉及到外购外协货物、而且该货物的技术质量等较为关键时，</w:t>
      </w:r>
      <w:r>
        <w:rPr>
          <w:rFonts w:hint="eastAsia" w:ascii="宋体" w:hAnsi="宋体" w:eastAsia="宋体" w:cs="宋体"/>
          <w:sz w:val="24"/>
          <w:szCs w:val="24"/>
          <w:lang w:eastAsia="zh-CN"/>
        </w:rPr>
        <w:t>投标方</w:t>
      </w:r>
      <w:r>
        <w:rPr>
          <w:rFonts w:hint="eastAsia" w:ascii="宋体" w:hAnsi="宋体" w:eastAsia="宋体" w:cs="宋体"/>
          <w:sz w:val="24"/>
          <w:szCs w:val="24"/>
        </w:rPr>
        <w:t>应能保证得到配套厂家的技术支持，并免费为买方提供技术服务。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rPr>
          <w:rFonts w:hint="eastAsia" w:ascii="宋体" w:hAnsi="宋体" w:eastAsia="宋体" w:cs="宋体"/>
          <w:b/>
          <w:bCs/>
          <w:sz w:val="24"/>
          <w:szCs w:val="24"/>
        </w:rPr>
      </w:pPr>
      <w:r>
        <w:rPr>
          <w:rFonts w:hint="eastAsia" w:ascii="宋体" w:hAnsi="宋体" w:eastAsia="宋体" w:cs="宋体"/>
          <w:b/>
          <w:bCs/>
          <w:sz w:val="24"/>
          <w:szCs w:val="24"/>
        </w:rPr>
        <w:t>三、安装调试及验收服务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color w:val="FF0000"/>
          <w:sz w:val="24"/>
          <w:szCs w:val="24"/>
        </w:rPr>
        <w:t>水电气、液压管路和辅助设施等安装调试、设备主体卸货和落位（可能不具备行车吊装条件）、设备主体安装调试以及协助验收由投标人负责。</w:t>
      </w:r>
      <w:r>
        <w:rPr>
          <w:rFonts w:hint="eastAsia" w:ascii="宋体" w:hAnsi="宋体" w:eastAsia="宋体" w:cs="宋体"/>
          <w:sz w:val="24"/>
          <w:szCs w:val="24"/>
        </w:rPr>
        <w:t>其他安装调试以及协助验收，投标人均应在投标文件中明确其收费额或免费约定，否则视同免费；安装调试及验收服务均应按照合同约定或协议、通知及时组织并完成。因</w:t>
      </w:r>
      <w:r>
        <w:rPr>
          <w:rFonts w:hint="eastAsia" w:ascii="宋体" w:hAnsi="宋体" w:eastAsia="宋体" w:cs="宋体"/>
          <w:sz w:val="24"/>
          <w:szCs w:val="24"/>
          <w:lang w:eastAsia="zh-CN"/>
        </w:rPr>
        <w:t>投标方</w:t>
      </w:r>
      <w:r>
        <w:rPr>
          <w:rFonts w:hint="eastAsia" w:ascii="宋体" w:hAnsi="宋体" w:eastAsia="宋体" w:cs="宋体"/>
          <w:sz w:val="24"/>
          <w:szCs w:val="24"/>
        </w:rPr>
        <w:t>原因造成的延期，所发生的费用全部由</w:t>
      </w:r>
      <w:r>
        <w:rPr>
          <w:rFonts w:hint="eastAsia" w:ascii="宋体" w:hAnsi="宋体" w:eastAsia="宋体" w:cs="宋体"/>
          <w:sz w:val="24"/>
          <w:szCs w:val="24"/>
          <w:lang w:eastAsia="zh-CN"/>
        </w:rPr>
        <w:t>投标方</w:t>
      </w:r>
      <w:r>
        <w:rPr>
          <w:rFonts w:hint="eastAsia" w:ascii="宋体" w:hAnsi="宋体" w:eastAsia="宋体" w:cs="宋体"/>
          <w:sz w:val="24"/>
          <w:szCs w:val="24"/>
        </w:rPr>
        <w:t>承担。</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2.若</w:t>
      </w:r>
      <w:r>
        <w:rPr>
          <w:rFonts w:hint="eastAsia" w:ascii="宋体" w:hAnsi="宋体" w:eastAsia="宋体" w:cs="宋体"/>
          <w:sz w:val="24"/>
          <w:szCs w:val="24"/>
          <w:lang w:eastAsia="zh-CN"/>
        </w:rPr>
        <w:t>投标方</w:t>
      </w:r>
      <w:r>
        <w:rPr>
          <w:rFonts w:hint="eastAsia" w:ascii="宋体" w:hAnsi="宋体" w:eastAsia="宋体" w:cs="宋体"/>
          <w:sz w:val="24"/>
          <w:szCs w:val="24"/>
        </w:rPr>
        <w:t>提供的货物涉及到外购外协货物、而且该货物的技术质量等较为关键时，应保证能得到供应商的技术支持，并免费为买方提供安装使用现场的指导与培训。</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3.买方将积极协助</w:t>
      </w:r>
      <w:r>
        <w:rPr>
          <w:rFonts w:hint="eastAsia" w:ascii="宋体" w:hAnsi="宋体" w:eastAsia="宋体" w:cs="宋体"/>
          <w:sz w:val="24"/>
          <w:szCs w:val="24"/>
          <w:lang w:eastAsia="zh-CN"/>
        </w:rPr>
        <w:t>投标方</w:t>
      </w:r>
      <w:r>
        <w:rPr>
          <w:rFonts w:hint="eastAsia" w:ascii="宋体" w:hAnsi="宋体" w:eastAsia="宋体" w:cs="宋体"/>
          <w:sz w:val="24"/>
          <w:szCs w:val="24"/>
        </w:rPr>
        <w:t>达到货物的各项技术指标和性能要求。</w:t>
      </w:r>
      <w:r>
        <w:rPr>
          <w:rFonts w:hint="eastAsia" w:ascii="宋体" w:hAnsi="宋体" w:eastAsia="宋体" w:cs="宋体"/>
          <w:sz w:val="24"/>
          <w:szCs w:val="24"/>
          <w:lang w:eastAsia="zh-CN"/>
        </w:rPr>
        <w:t>投标方</w:t>
      </w:r>
      <w:r>
        <w:rPr>
          <w:rFonts w:hint="eastAsia" w:ascii="宋体" w:hAnsi="宋体" w:eastAsia="宋体" w:cs="宋体"/>
          <w:sz w:val="24"/>
          <w:szCs w:val="24"/>
        </w:rPr>
        <w:t>在买方现场进行的货物的安装、调试和试运行，买方有权参与，</w:t>
      </w:r>
      <w:r>
        <w:rPr>
          <w:rFonts w:hint="eastAsia" w:ascii="宋体" w:hAnsi="宋体" w:eastAsia="宋体" w:cs="宋体"/>
          <w:sz w:val="24"/>
          <w:szCs w:val="24"/>
          <w:lang w:eastAsia="zh-CN"/>
        </w:rPr>
        <w:t>投标方</w:t>
      </w:r>
      <w:r>
        <w:rPr>
          <w:rFonts w:hint="eastAsia" w:ascii="宋体" w:hAnsi="宋体" w:eastAsia="宋体" w:cs="宋体"/>
          <w:sz w:val="24"/>
          <w:szCs w:val="24"/>
        </w:rPr>
        <w:t>应无条件向买方提供现场记录和试运行数据及报告。</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w:t>
      </w:r>
      <w:r>
        <w:rPr>
          <w:rFonts w:hint="eastAsia" w:ascii="宋体" w:hAnsi="宋体" w:eastAsia="宋体" w:cs="宋体"/>
          <w:sz w:val="24"/>
          <w:szCs w:val="24"/>
          <w:lang w:eastAsia="zh-CN"/>
        </w:rPr>
        <w:t>投标方</w:t>
      </w:r>
      <w:r>
        <w:rPr>
          <w:rFonts w:hint="eastAsia" w:ascii="宋体" w:hAnsi="宋体" w:eastAsia="宋体" w:cs="宋体"/>
          <w:sz w:val="24"/>
          <w:szCs w:val="24"/>
        </w:rPr>
        <w:t>所提供货物需要得到买方建设项目所在地政府或行业主管部门的查验、试验、验收时，</w:t>
      </w:r>
      <w:r>
        <w:rPr>
          <w:rFonts w:hint="eastAsia" w:ascii="宋体" w:hAnsi="宋体" w:eastAsia="宋体" w:cs="宋体"/>
          <w:sz w:val="24"/>
          <w:szCs w:val="24"/>
          <w:lang w:eastAsia="zh-CN"/>
        </w:rPr>
        <w:t>投标方</w:t>
      </w:r>
      <w:r>
        <w:rPr>
          <w:rFonts w:hint="eastAsia" w:ascii="宋体" w:hAnsi="宋体" w:eastAsia="宋体" w:cs="宋体"/>
          <w:sz w:val="24"/>
          <w:szCs w:val="24"/>
        </w:rPr>
        <w:t>应当免费完成或协助招标方完成所需要的工作、材料和服务等。协助完成的，应当在投标文件报价内容中予以说明，否则视同免费。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投标方</w:t>
      </w:r>
      <w:r>
        <w:rPr>
          <w:rFonts w:hint="eastAsia" w:ascii="宋体" w:hAnsi="宋体" w:eastAsia="宋体" w:cs="宋体"/>
          <w:sz w:val="24"/>
          <w:szCs w:val="24"/>
        </w:rPr>
        <w:t>应当向买方提供货物试验、验收的有关标准、规范和方法，同时提供货物涉及并使用的软件合法性证明。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6.服务缺陷视同货物缺陷和履约延期。</w:t>
      </w:r>
    </w:p>
    <w:p>
      <w:pPr>
        <w:rPr>
          <w:rFonts w:hint="eastAsia" w:ascii="宋体" w:hAnsi="宋体" w:eastAsia="宋体" w:cs="宋体"/>
          <w:b/>
          <w:bCs/>
          <w:sz w:val="24"/>
          <w:szCs w:val="24"/>
        </w:rPr>
      </w:pPr>
      <w:r>
        <w:rPr>
          <w:rFonts w:hint="eastAsia" w:ascii="宋体" w:hAnsi="宋体" w:eastAsia="宋体" w:cs="宋体"/>
          <w:b/>
          <w:bCs/>
          <w:sz w:val="24"/>
          <w:szCs w:val="24"/>
        </w:rPr>
        <w:t>四、售后服务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投标方</w:t>
      </w:r>
      <w:r>
        <w:rPr>
          <w:rFonts w:hint="eastAsia" w:ascii="宋体" w:hAnsi="宋体" w:eastAsia="宋体" w:cs="宋体"/>
          <w:sz w:val="24"/>
          <w:szCs w:val="24"/>
        </w:rPr>
        <w:t>提供的货物涉及的所有售后服务均由</w:t>
      </w:r>
      <w:r>
        <w:rPr>
          <w:rFonts w:hint="eastAsia" w:ascii="宋体" w:hAnsi="宋体" w:eastAsia="宋体" w:cs="宋体"/>
          <w:sz w:val="24"/>
          <w:szCs w:val="24"/>
          <w:lang w:eastAsia="zh-CN"/>
        </w:rPr>
        <w:t>投标方</w:t>
      </w:r>
      <w:r>
        <w:rPr>
          <w:rFonts w:hint="eastAsia" w:ascii="宋体" w:hAnsi="宋体" w:eastAsia="宋体" w:cs="宋体"/>
          <w:sz w:val="24"/>
          <w:szCs w:val="24"/>
        </w:rPr>
        <w:t>负责。如果发生问题并且收到通知，</w:t>
      </w:r>
      <w:r>
        <w:rPr>
          <w:rFonts w:hint="eastAsia" w:ascii="宋体" w:hAnsi="宋体" w:eastAsia="宋体" w:cs="宋体"/>
          <w:sz w:val="24"/>
          <w:szCs w:val="24"/>
          <w:lang w:eastAsia="zh-CN"/>
        </w:rPr>
        <w:t>投标方</w:t>
      </w:r>
      <w:r>
        <w:rPr>
          <w:rFonts w:hint="eastAsia" w:ascii="宋体" w:hAnsi="宋体" w:eastAsia="宋体" w:cs="宋体"/>
          <w:sz w:val="24"/>
          <w:szCs w:val="24"/>
        </w:rPr>
        <w:t>应当在2小时内予以答复。</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2.如发现所提供的货物存在问题，需要</w:t>
      </w:r>
      <w:r>
        <w:rPr>
          <w:rFonts w:hint="eastAsia" w:ascii="宋体" w:hAnsi="宋体" w:eastAsia="宋体" w:cs="宋体"/>
          <w:sz w:val="24"/>
          <w:szCs w:val="24"/>
          <w:lang w:eastAsia="zh-CN"/>
        </w:rPr>
        <w:t>投标方</w:t>
      </w:r>
      <w:r>
        <w:rPr>
          <w:rFonts w:hint="eastAsia" w:ascii="宋体" w:hAnsi="宋体" w:eastAsia="宋体" w:cs="宋体"/>
          <w:sz w:val="24"/>
          <w:szCs w:val="24"/>
        </w:rPr>
        <w:t>解决或配合解决时：在质保期之内，应在接到通知后</w:t>
      </w:r>
      <w:r>
        <w:rPr>
          <w:rFonts w:hint="eastAsia" w:ascii="宋体" w:hAnsi="宋体" w:eastAsia="宋体" w:cs="宋体"/>
          <w:sz w:val="24"/>
          <w:szCs w:val="24"/>
          <w:highlight w:val="yellow"/>
          <w:u w:val="single"/>
          <w:shd w:val="pct10" w:color="auto" w:fill="FFFFFF"/>
        </w:rPr>
        <w:t>24</w:t>
      </w:r>
      <w:r>
        <w:rPr>
          <w:rFonts w:hint="eastAsia" w:ascii="宋体" w:hAnsi="宋体" w:eastAsia="宋体" w:cs="宋体"/>
          <w:sz w:val="24"/>
          <w:szCs w:val="24"/>
        </w:rPr>
        <w:t>小时内提供免费技术支持（不限于电话、远程 、邮件、视频等方式）；在质保期之外，应在接到通知后</w:t>
      </w:r>
      <w:r>
        <w:rPr>
          <w:rFonts w:hint="eastAsia" w:ascii="宋体" w:hAnsi="宋体" w:eastAsia="宋体" w:cs="宋体"/>
          <w:sz w:val="24"/>
          <w:szCs w:val="24"/>
          <w:highlight w:val="yellow"/>
          <w:u w:val="single"/>
          <w:shd w:val="pct10" w:color="auto" w:fill="FFFFFF"/>
        </w:rPr>
        <w:t>72</w:t>
      </w:r>
      <w:r>
        <w:rPr>
          <w:rFonts w:hint="eastAsia" w:ascii="宋体" w:hAnsi="宋体" w:eastAsia="宋体" w:cs="宋体"/>
          <w:sz w:val="24"/>
          <w:szCs w:val="24"/>
        </w:rPr>
        <w:t>小时内提供免费技术支持（不限于电话、远程 、邮件、视频等方式）。</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投标方</w:t>
      </w:r>
      <w:r>
        <w:rPr>
          <w:rFonts w:hint="eastAsia" w:ascii="宋体" w:hAnsi="宋体" w:eastAsia="宋体" w:cs="宋体"/>
          <w:sz w:val="24"/>
          <w:szCs w:val="24"/>
        </w:rPr>
        <w:t>派往买方使用现场的人员，应具有较高的业务素质；现场解决问题时，不得无故拖延或推迟，应为买方提供最佳的服务。</w:t>
      </w:r>
    </w:p>
    <w:p>
      <w:pPr>
        <w:rPr>
          <w:rFonts w:hint="eastAsia" w:ascii="宋体" w:hAnsi="宋体" w:eastAsia="宋体" w:cs="宋体"/>
          <w:b/>
          <w:bCs/>
          <w:sz w:val="24"/>
          <w:szCs w:val="24"/>
        </w:rPr>
      </w:pPr>
      <w:r>
        <w:rPr>
          <w:rFonts w:hint="eastAsia" w:ascii="宋体" w:hAnsi="宋体" w:eastAsia="宋体" w:cs="宋体"/>
          <w:b/>
          <w:bCs/>
          <w:sz w:val="24"/>
          <w:szCs w:val="24"/>
        </w:rPr>
        <w:t>五、其它服务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1.若</w:t>
      </w:r>
      <w:r>
        <w:rPr>
          <w:rFonts w:hint="eastAsia" w:ascii="宋体" w:hAnsi="宋体" w:eastAsia="宋体" w:cs="宋体"/>
          <w:sz w:val="24"/>
          <w:szCs w:val="24"/>
          <w:lang w:eastAsia="zh-CN"/>
        </w:rPr>
        <w:t>投标方</w:t>
      </w:r>
      <w:r>
        <w:rPr>
          <w:rFonts w:hint="eastAsia" w:ascii="宋体" w:hAnsi="宋体" w:eastAsia="宋体" w:cs="宋体"/>
          <w:sz w:val="24"/>
          <w:szCs w:val="24"/>
        </w:rPr>
        <w:t>所提供货物有需要进口的，</w:t>
      </w:r>
      <w:r>
        <w:rPr>
          <w:rFonts w:hint="eastAsia" w:ascii="宋体" w:hAnsi="宋体" w:eastAsia="宋体" w:cs="宋体"/>
          <w:sz w:val="24"/>
          <w:szCs w:val="24"/>
          <w:lang w:eastAsia="zh-CN"/>
        </w:rPr>
        <w:t>投标方</w:t>
      </w:r>
      <w:r>
        <w:rPr>
          <w:rFonts w:hint="eastAsia" w:ascii="宋体" w:hAnsi="宋体" w:eastAsia="宋体" w:cs="宋体"/>
          <w:sz w:val="24"/>
          <w:szCs w:val="24"/>
        </w:rPr>
        <w:t>一般应自行、自费办理；必要时，买卖双方共同办理。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2.除招标文件、投标文件、答疑文件、技术标书、合同等约定之外，</w:t>
      </w:r>
      <w:r>
        <w:rPr>
          <w:rFonts w:hint="eastAsia" w:ascii="宋体" w:hAnsi="宋体" w:eastAsia="宋体" w:cs="宋体"/>
          <w:sz w:val="24"/>
          <w:szCs w:val="24"/>
          <w:lang w:eastAsia="zh-CN"/>
        </w:rPr>
        <w:t>投标方</w:t>
      </w:r>
      <w:r>
        <w:rPr>
          <w:rFonts w:hint="eastAsia" w:ascii="宋体" w:hAnsi="宋体" w:eastAsia="宋体" w:cs="宋体"/>
          <w:sz w:val="24"/>
          <w:szCs w:val="24"/>
        </w:rPr>
        <w:t>应免费负责必要的或强制性的货物的检验、试验、化验等直接费用。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3.本章节条款所列“免费”，并非指定不可收费，而是指招标文件、投标文件、答疑文件、技术交流文件、技术标书和合同等范围之外，投标人不可另行收取的费用。</w:t>
      </w:r>
    </w:p>
    <w:p>
      <w:pPr>
        <w:pStyle w:val="21"/>
      </w:pPr>
      <w:r>
        <w:br w:type="page"/>
      </w:r>
    </w:p>
    <w:p>
      <w:pPr>
        <w:jc w:val="center"/>
        <w:rPr>
          <w:b/>
          <w:bCs/>
          <w:sz w:val="28"/>
          <w:szCs w:val="28"/>
        </w:rPr>
      </w:pPr>
      <w:bookmarkStart w:id="46" w:name="_Toc465187646"/>
      <w:r>
        <w:rPr>
          <w:b/>
          <w:bCs/>
          <w:sz w:val="28"/>
          <w:szCs w:val="28"/>
        </w:rPr>
        <w:t xml:space="preserve">第五章  </w:t>
      </w:r>
      <w:r>
        <w:rPr>
          <w:rFonts w:hint="eastAsia"/>
          <w:b/>
          <w:bCs/>
          <w:sz w:val="28"/>
          <w:szCs w:val="28"/>
        </w:rPr>
        <w:t>预验收和</w:t>
      </w:r>
      <w:r>
        <w:rPr>
          <w:b/>
          <w:bCs/>
          <w:sz w:val="28"/>
          <w:szCs w:val="28"/>
        </w:rPr>
        <w:t>终验收</w:t>
      </w:r>
      <w:bookmarkEnd w:id="46"/>
    </w:p>
    <w:p>
      <w:pPr>
        <w:rPr>
          <w:rFonts w:hint="eastAsia" w:ascii="宋体" w:hAnsi="宋体" w:eastAsia="宋体" w:cs="宋体"/>
          <w:b/>
          <w:bCs/>
          <w:sz w:val="24"/>
          <w:szCs w:val="24"/>
        </w:rPr>
      </w:pPr>
      <w:r>
        <w:rPr>
          <w:rFonts w:hint="eastAsia" w:ascii="宋体" w:hAnsi="宋体" w:eastAsia="宋体" w:cs="宋体"/>
          <w:b/>
          <w:bCs/>
          <w:sz w:val="24"/>
          <w:szCs w:val="24"/>
        </w:rPr>
        <w:t>一、验收依据和验收标准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2.如果验收过程中，发现招标文件、投标文件、答疑文件、技术交流文件等与技术标书、合同存在差异，原则上以涉及条款中对买方最有利条款为验收依据。</w:t>
      </w:r>
    </w:p>
    <w:p>
      <w:pPr>
        <w:rPr>
          <w:rFonts w:hint="eastAsia" w:ascii="宋体" w:hAnsi="宋体" w:eastAsia="宋体" w:cs="宋体"/>
          <w:b/>
          <w:bCs/>
          <w:sz w:val="24"/>
          <w:szCs w:val="24"/>
        </w:rPr>
      </w:pPr>
      <w:r>
        <w:rPr>
          <w:rFonts w:hint="eastAsia" w:ascii="宋体" w:hAnsi="宋体" w:eastAsia="宋体" w:cs="宋体"/>
          <w:b/>
          <w:bCs/>
          <w:sz w:val="24"/>
          <w:szCs w:val="24"/>
        </w:rPr>
        <w:t>二、检验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如果采购货物涉及必要的或必需的检验，投标人应当在投标文件中明确可能涉及的检验费用，并将该费用包含在投标总报价之内；不作针对性澄清或说明的，视同包含在投标总价之内。基本约定如下：</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2.进口货物的检验，</w:t>
      </w:r>
      <w:r>
        <w:rPr>
          <w:rFonts w:hint="eastAsia" w:ascii="宋体" w:hAnsi="宋体" w:eastAsia="宋体" w:cs="宋体"/>
          <w:sz w:val="24"/>
          <w:szCs w:val="24"/>
          <w:lang w:eastAsia="zh-CN"/>
        </w:rPr>
        <w:t>投标方</w:t>
      </w:r>
      <w:r>
        <w:rPr>
          <w:rFonts w:hint="eastAsia" w:ascii="宋体" w:hAnsi="宋体" w:eastAsia="宋体" w:cs="宋体"/>
          <w:sz w:val="24"/>
          <w:szCs w:val="24"/>
        </w:rPr>
        <w:t>需要按照下述要求进行：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 进口货物发货前，应对货物的质量、型号、规格、性能和数量/重量作精密、全面的检验，并出具证明书，证明所供货物符合合同规定。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 应依据合同规定的要求，提供买卖双方达成一致的货物的验收标准和装箱单，作为买方检验的依据。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w:t>
      </w:r>
      <w:r>
        <w:rPr>
          <w:rFonts w:hint="eastAsia" w:ascii="宋体" w:hAnsi="宋体" w:eastAsia="宋体" w:cs="宋体"/>
          <w:sz w:val="24"/>
          <w:szCs w:val="24"/>
          <w:lang w:eastAsia="zh-CN"/>
        </w:rPr>
        <w:t>投标方</w:t>
      </w:r>
      <w:r>
        <w:rPr>
          <w:rFonts w:hint="eastAsia" w:ascii="宋体" w:hAnsi="宋体" w:eastAsia="宋体" w:cs="宋体"/>
          <w:sz w:val="24"/>
          <w:szCs w:val="24"/>
        </w:rPr>
        <w:t>提出索赔，因索赔所发生的一切费用(包括检验检疫费等)均由</w:t>
      </w:r>
      <w:r>
        <w:rPr>
          <w:rFonts w:hint="eastAsia" w:ascii="宋体" w:hAnsi="宋体" w:eastAsia="宋体" w:cs="宋体"/>
          <w:sz w:val="24"/>
          <w:szCs w:val="24"/>
          <w:lang w:eastAsia="zh-CN"/>
        </w:rPr>
        <w:t>投标方</w:t>
      </w:r>
      <w:r>
        <w:rPr>
          <w:rFonts w:hint="eastAsia" w:ascii="宋体" w:hAnsi="宋体" w:eastAsia="宋体" w:cs="宋体"/>
          <w:sz w:val="24"/>
          <w:szCs w:val="24"/>
        </w:rPr>
        <w:t>承担。</w:t>
      </w:r>
    </w:p>
    <w:p>
      <w:pPr>
        <w:rPr>
          <w:rFonts w:hint="eastAsia" w:ascii="宋体" w:hAnsi="宋体" w:eastAsia="宋体" w:cs="宋体"/>
          <w:b/>
          <w:bCs/>
          <w:sz w:val="24"/>
          <w:szCs w:val="24"/>
        </w:rPr>
      </w:pPr>
      <w:r>
        <w:rPr>
          <w:rFonts w:hint="eastAsia" w:ascii="宋体" w:hAnsi="宋体" w:eastAsia="宋体" w:cs="宋体"/>
          <w:b/>
          <w:bCs/>
          <w:sz w:val="24"/>
          <w:szCs w:val="24"/>
        </w:rPr>
        <w:t>三、验收基本条件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bookmarkStart w:id="47" w:name="_Toc465187647"/>
      <w:r>
        <w:rPr>
          <w:rFonts w:hint="eastAsia" w:ascii="宋体" w:hAnsi="宋体" w:eastAsia="宋体" w:cs="宋体"/>
          <w:sz w:val="24"/>
          <w:szCs w:val="24"/>
        </w:rPr>
        <w:t>验收一般分预验收和终验</w:t>
      </w:r>
      <w:r>
        <w:rPr>
          <w:rFonts w:hint="eastAsia" w:ascii="宋体" w:hAnsi="宋体" w:eastAsia="宋体" w:cs="宋体"/>
          <w:sz w:val="24"/>
          <w:szCs w:val="24"/>
          <w:shd w:val="clear" w:color="auto" w:fill="FFFFFF" w:themeFill="background1"/>
        </w:rPr>
        <w:t>收两部分。</w:t>
      </w:r>
      <w:r>
        <w:rPr>
          <w:rFonts w:hint="eastAsia" w:ascii="宋体" w:hAnsi="宋体" w:eastAsia="宋体" w:cs="宋体"/>
          <w:sz w:val="24"/>
          <w:szCs w:val="24"/>
          <w:shd w:val="clear" w:color="auto" w:fill="FFFF00"/>
        </w:rPr>
        <w:t>预验收在设备原产地进行，投标方在投标时对验收方案应予以说明，招标方负责确认</w:t>
      </w:r>
      <w:r>
        <w:rPr>
          <w:rFonts w:hint="eastAsia" w:ascii="宋体" w:hAnsi="宋体" w:eastAsia="宋体" w:cs="宋体"/>
          <w:sz w:val="24"/>
          <w:szCs w:val="24"/>
          <w:shd w:val="clear" w:color="auto" w:fill="FFFFFF" w:themeFill="background1"/>
        </w:rPr>
        <w:t>。</w:t>
      </w:r>
      <w:r>
        <w:rPr>
          <w:rFonts w:hint="eastAsia" w:ascii="宋体" w:hAnsi="宋体" w:eastAsia="宋体" w:cs="宋体"/>
          <w:sz w:val="24"/>
          <w:szCs w:val="24"/>
        </w:rPr>
        <w:t>终验收在安装调试完成及试运行后的招标人现场进行。但是所有的项目，包括不能预验收的项目和预验收通过的项目都在终验收时重新检验，最终只以终验收为准。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买卖双方按照合同约定执行了合同，同时货物完成了试运行并经检验合格，则具备验收条件。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shd w:val="clear" w:color="auto" w:fill="FFFF00"/>
        </w:rPr>
      </w:pPr>
      <w:r>
        <w:rPr>
          <w:rFonts w:hint="eastAsia" w:ascii="宋体" w:hAnsi="宋体" w:eastAsia="宋体" w:cs="宋体"/>
          <w:sz w:val="24"/>
          <w:szCs w:val="24"/>
          <w:shd w:val="clear" w:color="auto" w:fill="FFFF00"/>
        </w:rPr>
        <w:t>1.预验收一般条件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1.1 中标人已经按照“供货范围”要求提供了预验收资料，并且资料齐全、完整和有效。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1.2 货物应完整且所有的零部件应该安装牢固，外观无损伤，所有的焊缝饱满、无残渣等缺陷。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 货物的油漆质量应饱满、有光泽，无掉漆、无色差、无“桔皮”等不良现象（特殊标志除外）。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 货物标牌完整、清晰、明确。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1.5 货物的安全要求符合中国最新的相关法律、法规、标准和规范以及合同要求。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yellow"/>
        </w:rPr>
        <w:t>1.6 买方派出不少于3名技术人员在设备生产制造现场进行预验收，时间不少于</w:t>
      </w:r>
      <w:r>
        <w:rPr>
          <w:rFonts w:hint="eastAsia" w:ascii="宋体" w:hAnsi="宋体" w:eastAsia="宋体" w:cs="宋体"/>
          <w:color w:val="auto"/>
          <w:sz w:val="24"/>
          <w:szCs w:val="24"/>
          <w:highlight w:val="yellow"/>
          <w:lang w:val="en-US" w:eastAsia="zh-CN"/>
        </w:rPr>
        <w:t>3</w:t>
      </w:r>
      <w:r>
        <w:rPr>
          <w:rFonts w:hint="eastAsia" w:ascii="宋体" w:hAnsi="宋体" w:eastAsia="宋体" w:cs="宋体"/>
          <w:sz w:val="24"/>
          <w:szCs w:val="24"/>
          <w:highlight w:val="yellow"/>
        </w:rPr>
        <w:t>个工作日，</w:t>
      </w:r>
      <w:r>
        <w:rPr>
          <w:rFonts w:hint="eastAsia" w:ascii="宋体" w:hAnsi="宋体" w:eastAsia="宋体" w:cs="宋体"/>
          <w:color w:val="auto"/>
          <w:sz w:val="24"/>
          <w:szCs w:val="24"/>
          <w:highlight w:val="yellow"/>
          <w:lang w:val="en-US" w:eastAsia="zh-CN"/>
        </w:rPr>
        <w:t>投标</w:t>
      </w:r>
      <w:r>
        <w:rPr>
          <w:rFonts w:hint="eastAsia" w:ascii="宋体" w:hAnsi="宋体" w:eastAsia="宋体" w:cs="宋体"/>
          <w:color w:val="auto"/>
          <w:sz w:val="24"/>
          <w:szCs w:val="24"/>
          <w:highlight w:val="yellow"/>
        </w:rPr>
        <w:t>方</w:t>
      </w:r>
      <w:r>
        <w:rPr>
          <w:rFonts w:hint="eastAsia" w:ascii="宋体" w:hAnsi="宋体" w:eastAsia="宋体" w:cs="宋体"/>
          <w:sz w:val="24"/>
          <w:szCs w:val="24"/>
          <w:highlight w:val="yellow"/>
        </w:rPr>
        <w:t>负责安排行程，技术人员从出发地至验收地往返的交通和食宿由买方负责。</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2.终验收一般条件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 货物安装调试完毕，并至少经过了验收要求的负荷试运行。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w:t>
      </w:r>
      <w:r>
        <w:rPr>
          <w:rFonts w:hint="eastAsia" w:ascii="宋体" w:hAnsi="宋体" w:eastAsia="宋体" w:cs="宋体"/>
          <w:sz w:val="24"/>
          <w:szCs w:val="24"/>
          <w:highlight w:val="yellow"/>
        </w:rPr>
        <w:t>（提供合格证或第三方鉴定文件）</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2.5 </w:t>
      </w:r>
      <w:r>
        <w:rPr>
          <w:rFonts w:hint="eastAsia" w:ascii="宋体" w:hAnsi="宋体" w:eastAsia="宋体" w:cs="宋体"/>
          <w:sz w:val="24"/>
          <w:szCs w:val="24"/>
          <w:highlight w:val="yellow"/>
        </w:rPr>
        <w:t>试运行期间应保证运转和测试功能正常，试运行期间或之后无维修、调整等行为（特殊情况除外）</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3.终验收基本要求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3.1 设备测量参数应满足招标书中的技术要求。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设备</w:t>
      </w:r>
      <w:r>
        <w:rPr>
          <w:rFonts w:hint="eastAsia" w:ascii="宋体" w:hAnsi="宋体" w:eastAsia="宋体" w:cs="宋体"/>
          <w:color w:val="auto"/>
          <w:sz w:val="24"/>
          <w:szCs w:val="24"/>
          <w:lang w:val="en-US" w:eastAsia="zh-CN"/>
        </w:rPr>
        <w:t>安装到24通道轴耦合台架，</w:t>
      </w:r>
      <w:r>
        <w:rPr>
          <w:rFonts w:hint="eastAsia" w:ascii="宋体" w:hAnsi="宋体" w:eastAsia="宋体" w:cs="宋体"/>
          <w:color w:val="auto"/>
          <w:sz w:val="24"/>
          <w:szCs w:val="24"/>
        </w:rPr>
        <w:t>允许情况下，需连续运行</w:t>
      </w:r>
      <w:r>
        <w:rPr>
          <w:rFonts w:hint="eastAsia" w:ascii="宋体" w:hAnsi="宋体" w:eastAsia="宋体" w:cs="宋体"/>
          <w:color w:val="auto"/>
          <w:sz w:val="24"/>
          <w:szCs w:val="24"/>
          <w:highlight w:val="yellow"/>
          <w:lang w:val="en-US" w:eastAsia="zh-CN"/>
        </w:rPr>
        <w:t>3</w:t>
      </w:r>
      <w:r>
        <w:rPr>
          <w:rFonts w:hint="eastAsia" w:ascii="宋体" w:hAnsi="宋体" w:eastAsia="宋体" w:cs="宋体"/>
          <w:color w:val="auto"/>
          <w:sz w:val="24"/>
          <w:szCs w:val="24"/>
          <w:highlight w:val="yellow"/>
        </w:rPr>
        <w:t>0</w:t>
      </w:r>
      <w:r>
        <w:rPr>
          <w:rFonts w:hint="eastAsia" w:ascii="宋体" w:hAnsi="宋体" w:eastAsia="宋体" w:cs="宋体"/>
          <w:color w:val="auto"/>
          <w:sz w:val="24"/>
          <w:szCs w:val="24"/>
        </w:rPr>
        <w:t>天，每天连续</w:t>
      </w:r>
      <w:r>
        <w:rPr>
          <w:rFonts w:hint="eastAsia" w:ascii="宋体" w:hAnsi="宋体" w:eastAsia="宋体" w:cs="宋体"/>
          <w:color w:val="auto"/>
          <w:sz w:val="24"/>
          <w:szCs w:val="24"/>
          <w:highlight w:val="yellow"/>
        </w:rPr>
        <w:t>8</w:t>
      </w:r>
      <w:r>
        <w:rPr>
          <w:rFonts w:hint="eastAsia" w:ascii="宋体" w:hAnsi="宋体" w:eastAsia="宋体" w:cs="宋体"/>
          <w:color w:val="auto"/>
          <w:sz w:val="24"/>
          <w:szCs w:val="24"/>
        </w:rPr>
        <w:t>小时或长时间连续运行</w:t>
      </w:r>
      <w:r>
        <w:rPr>
          <w:rFonts w:hint="eastAsia" w:ascii="宋体" w:hAnsi="宋体" w:eastAsia="宋体" w:cs="宋体"/>
          <w:color w:val="auto"/>
          <w:sz w:val="24"/>
          <w:szCs w:val="24"/>
          <w:highlight w:val="yellow"/>
          <w:lang w:val="en-US" w:eastAsia="zh-CN"/>
        </w:rPr>
        <w:t>24</w:t>
      </w:r>
      <w:r>
        <w:rPr>
          <w:rFonts w:hint="eastAsia" w:ascii="宋体" w:hAnsi="宋体" w:eastAsia="宋体" w:cs="宋体"/>
          <w:color w:val="auto"/>
          <w:sz w:val="24"/>
          <w:szCs w:val="24"/>
          <w:highlight w:val="yellow"/>
        </w:rPr>
        <w:t>0</w:t>
      </w:r>
      <w:r>
        <w:rPr>
          <w:rFonts w:hint="eastAsia" w:ascii="宋体" w:hAnsi="宋体" w:eastAsia="宋体" w:cs="宋体"/>
          <w:color w:val="auto"/>
          <w:sz w:val="24"/>
          <w:szCs w:val="24"/>
        </w:rPr>
        <w:t>小时。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出现下列问题之一，视作验收失败：</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r>
        <w:rPr>
          <w:rFonts w:hint="eastAsia" w:ascii="宋体" w:hAnsi="宋体" w:eastAsia="宋体" w:cs="宋体"/>
          <w:sz w:val="24"/>
          <w:szCs w:val="24"/>
        </w:rPr>
        <w:t>.1 在整个验收过程中发生关键零部件损坏或重大故障；</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r>
        <w:rPr>
          <w:rFonts w:hint="eastAsia" w:ascii="宋体" w:hAnsi="宋体" w:eastAsia="宋体" w:cs="宋体"/>
          <w:sz w:val="24"/>
          <w:szCs w:val="24"/>
        </w:rPr>
        <w:t>.2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r>
        <w:rPr>
          <w:rFonts w:hint="eastAsia" w:ascii="宋体" w:hAnsi="宋体" w:eastAsia="宋体" w:cs="宋体"/>
          <w:sz w:val="24"/>
          <w:szCs w:val="24"/>
        </w:rPr>
        <w:t>.3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4</w:t>
      </w:r>
      <w:r>
        <w:rPr>
          <w:rFonts w:hint="eastAsia" w:ascii="宋体" w:hAnsi="宋体" w:eastAsia="宋体" w:cs="宋体"/>
          <w:sz w:val="24"/>
          <w:szCs w:val="24"/>
        </w:rPr>
        <w:t xml:space="preserve"> 累计负载运行实际性能（或生产率）达不到合同规定；</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 xml:space="preserve">3.5 </w:t>
      </w:r>
      <w:r>
        <w:rPr>
          <w:rFonts w:hint="eastAsia" w:ascii="宋体" w:hAnsi="宋体" w:eastAsia="宋体" w:cs="宋体"/>
          <w:sz w:val="24"/>
          <w:szCs w:val="24"/>
          <w:highlight w:val="yellow"/>
        </w:rPr>
        <w:t>终验收原则上要求一次完成，最多允许两次；若一次验收不成功，整改后重新验收，如果出现第二次验收失败，退货并赔偿招标方全部损失；</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3.6 终验收通过后买卖双方共同签署终验收报告，并移交、核对全部供货范围内物品。</w:t>
      </w:r>
    </w:p>
    <w:p>
      <w:r>
        <w:br w:type="page"/>
      </w:r>
    </w:p>
    <w:p>
      <w:pPr>
        <w:pStyle w:val="115"/>
        <w:rPr>
          <w:rFonts w:hint="eastAsia" w:ascii="宋体" w:hAnsi="宋体" w:eastAsia="宋体" w:cs="宋体"/>
          <w:b/>
          <w:bCs w:val="0"/>
          <w:i w:val="0"/>
          <w:iCs w:val="0"/>
          <w:sz w:val="28"/>
          <w:szCs w:val="28"/>
        </w:rPr>
      </w:pPr>
      <w:r>
        <w:rPr>
          <w:rFonts w:hint="eastAsia" w:ascii="宋体" w:hAnsi="宋体" w:eastAsia="宋体" w:cs="宋体"/>
          <w:b/>
          <w:bCs w:val="0"/>
          <w:i w:val="0"/>
          <w:iCs w:val="0"/>
          <w:sz w:val="28"/>
          <w:szCs w:val="28"/>
        </w:rPr>
        <w:t>第六章  投标技术文件一般要求</w:t>
      </w:r>
      <w:bookmarkEnd w:id="47"/>
    </w:p>
    <w:p>
      <w:pPr>
        <w:rPr>
          <w:rFonts w:hint="eastAsia" w:ascii="宋体" w:hAnsi="宋体" w:eastAsia="宋体" w:cs="宋体"/>
          <w:b/>
          <w:bCs/>
          <w:sz w:val="24"/>
          <w:szCs w:val="24"/>
        </w:rPr>
      </w:pPr>
      <w:r>
        <w:rPr>
          <w:rFonts w:hint="eastAsia" w:ascii="宋体" w:hAnsi="宋体" w:eastAsia="宋体" w:cs="宋体"/>
          <w:b/>
          <w:bCs/>
          <w:sz w:val="24"/>
          <w:szCs w:val="24"/>
        </w:rPr>
        <w:t>一、技术文件一般内容要求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0"/>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rPr>
              <w:t>序号</w:t>
            </w:r>
          </w:p>
        </w:tc>
        <w:tc>
          <w:tcPr>
            <w:tcW w:w="1924"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rPr>
              <w:t>名称</w:t>
            </w:r>
          </w:p>
        </w:tc>
        <w:tc>
          <w:tcPr>
            <w:tcW w:w="1236"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rPr>
              <w:t>型号规格</w:t>
            </w:r>
          </w:p>
        </w:tc>
        <w:tc>
          <w:tcPr>
            <w:tcW w:w="720"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rPr>
              <w:t>单位</w:t>
            </w:r>
          </w:p>
        </w:tc>
        <w:tc>
          <w:tcPr>
            <w:tcW w:w="720"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rPr>
              <w:t>数量</w:t>
            </w:r>
          </w:p>
        </w:tc>
        <w:tc>
          <w:tcPr>
            <w:tcW w:w="720"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rPr>
              <w:t>单价</w:t>
            </w:r>
          </w:p>
        </w:tc>
        <w:tc>
          <w:tcPr>
            <w:tcW w:w="720" w:type="dxa"/>
          </w:tcPr>
          <w:p>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sz w:val="24"/>
                <w:szCs w:val="24"/>
              </w:rPr>
            </w:pPr>
            <w:r>
              <w:rPr>
                <w:rFonts w:hint="eastAsia" w:ascii="宋体" w:hAnsi="宋体" w:eastAsia="宋体" w:cs="宋体"/>
                <w:sz w:val="24"/>
                <w:szCs w:val="24"/>
              </w:rPr>
              <w:t>总价</w:t>
            </w:r>
          </w:p>
        </w:tc>
        <w:tc>
          <w:tcPr>
            <w:tcW w:w="2235"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1924"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1236"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2235"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1924"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1236"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2235"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1924"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1236"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2235"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1924"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1236"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2235"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1924"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1236"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2235"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1924"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1236"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720"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c>
          <w:tcPr>
            <w:tcW w:w="2235" w:type="dxa"/>
          </w:tcPr>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p>
        </w:tc>
      </w:tr>
    </w:tbl>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pPr>
        <w:rPr>
          <w:rFonts w:hint="eastAsia" w:ascii="宋体" w:hAnsi="宋体" w:eastAsia="宋体" w:cs="宋体"/>
          <w:b/>
          <w:bCs/>
          <w:sz w:val="24"/>
          <w:szCs w:val="24"/>
        </w:rPr>
      </w:pPr>
      <w:r>
        <w:rPr>
          <w:rFonts w:hint="eastAsia" w:ascii="宋体" w:hAnsi="宋体" w:eastAsia="宋体" w:cs="宋体"/>
          <w:b/>
          <w:bCs/>
          <w:sz w:val="24"/>
          <w:szCs w:val="24"/>
        </w:rPr>
        <w:t>二、技术文件中货物报价格式要求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rPr>
          <w:rFonts w:hint="eastAsia" w:ascii="宋体" w:hAnsi="宋体" w:eastAsia="宋体" w:cs="宋体"/>
          <w:b/>
          <w:bCs/>
          <w:sz w:val="24"/>
          <w:szCs w:val="24"/>
        </w:rPr>
      </w:pPr>
      <w:r>
        <w:rPr>
          <w:rFonts w:hint="eastAsia" w:ascii="宋体" w:hAnsi="宋体" w:eastAsia="宋体" w:cs="宋体"/>
          <w:b/>
          <w:bCs/>
          <w:sz w:val="24"/>
          <w:szCs w:val="24"/>
        </w:rPr>
        <w:t>三、验收标准及内容要求</w:t>
      </w:r>
    </w:p>
    <w:p>
      <w:pPr>
        <w:keepNext w:val="0"/>
        <w:keepLines w:val="0"/>
        <w:pageBreakBefore w:val="0"/>
        <w:widowControl w:val="0"/>
        <w:kinsoku/>
        <w:wordWrap/>
        <w:overflowPunct/>
        <w:topLinePunct w:val="0"/>
        <w:autoSpaceDE/>
        <w:autoSpaceDN/>
        <w:bidi w:val="0"/>
        <w:adjustRightInd/>
        <w:snapToGrid/>
        <w:ind w:firstLine="480" w:firstLineChars="200"/>
        <w:textAlignment w:val="auto"/>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r>
        <w:br w:type="page"/>
      </w:r>
    </w:p>
    <w:p>
      <w:pPr>
        <w:pStyle w:val="115"/>
      </w:pPr>
      <w:bookmarkStart w:id="48" w:name="_Toc326840041"/>
      <w:r>
        <w:rPr>
          <w:rFonts w:hint="eastAsia" w:ascii="宋体" w:hAnsi="宋体" w:eastAsia="宋体" w:cs="宋体"/>
          <w:b/>
          <w:bCs w:val="0"/>
          <w:i w:val="0"/>
          <w:iCs w:val="0"/>
          <w:sz w:val="28"/>
          <w:szCs w:val="28"/>
        </w:rPr>
        <w:t>第七章  其它要求及说明</w:t>
      </w:r>
      <w:bookmarkEnd w:id="48"/>
    </w:p>
    <w:p>
      <w:pPr>
        <w:rPr>
          <w:rFonts w:hint="eastAsia" w:ascii="宋体" w:hAnsi="宋体" w:eastAsia="宋体" w:cs="宋体"/>
          <w:b/>
          <w:bCs/>
          <w:sz w:val="24"/>
          <w:szCs w:val="24"/>
        </w:rPr>
      </w:pPr>
      <w:r>
        <w:rPr>
          <w:rFonts w:hint="eastAsia" w:ascii="宋体" w:hAnsi="宋体" w:eastAsia="宋体" w:cs="宋体"/>
          <w:b/>
          <w:bCs/>
          <w:sz w:val="24"/>
          <w:szCs w:val="24"/>
        </w:rPr>
        <w:t>一、要求</w:t>
      </w:r>
    </w:p>
    <w:p>
      <w:pPr>
        <w:pStyle w:val="35"/>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bidi="ar"/>
        </w:rPr>
        <w:t>为保证本技术标书所列采购货物的质量以及先进性、可靠性、经济性和实用性，要求投标方在投标文件中，至少应具备以下资格证明文件或资料：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bidi="ar"/>
        </w:rPr>
        <w:t>1、投标方应是独立法人或得到法人授权的机构。应当在投标文件中提供法人营业执照（复印件）、税务登记证以及组织机构代码证（国外供应商参考该要求提供有效证明文件），并保证其真实性和有效性。</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bidi="ar"/>
        </w:rPr>
        <w:t>2、投标方应当是通过有关资格认证的法人。应当在投标文件中提供有效期内的资格认证证书，如：ISO9001、VDA6.1、QS9000等。并提供原件（中英文）</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bidi="ar"/>
        </w:rPr>
        <w:t>3、国产设备应附有采购货物（或设备）涉及的由“中国质量认证中心”颁发的《中国国家强制性产品认证证书》（CCC证书）。</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bidi="ar"/>
        </w:rPr>
        <w:t>4、应附有其它与投标单位、采购货物有关的荣誉证书或资料。</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bidi="ar"/>
        </w:rPr>
        <w:t>5、必须附有投标货物涉及产品要求的、国家或行业管理规定要求的、或者投标方认为能够体现其投标货物合法性及先进性的最高级别的证明材料（投标货物不涉及的除外）：</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bidi="ar"/>
        </w:rPr>
        <w:t>5.1  国家相关机构颁发的有效期之内所必需的《生产许可证》。</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bidi="ar"/>
        </w:rPr>
        <w:t>5.2  产品（或技术）鉴定报告/证书、专利证书或专利许可证书、新技术成果证书等。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bidi="ar"/>
        </w:rPr>
        <w:t>5.3  产品相关检验、试验报告，如：型式试验检验报告、安全试验检验报告、电弧效应试验报告、噪声检测报告等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bidi="ar"/>
        </w:rPr>
        <w:t>5.4  其它能够证明所供货物的质量水平、技术水平、安全性水平、节能性水平、环保性水平等相关的其它证明文件或资料、报告等。</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bidi="ar"/>
        </w:rPr>
        <w:t>5.5  该类报告或证明材料对于投标方胜出乃至中标极为重要！</w:t>
      </w:r>
    </w:p>
    <w:p>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6、必须附有：2020年1月1日以来同类产品的制造销售业绩（用户名单、联系方式），并附合同复印件。该同类项目业绩一览表必须如实填写，应全尽全；一览表最终的所有业绩合同总额汇总必填，此项很重要，数据将影响现场评标专家组对投标单位的业绩考评。若未提供相应业绩证明，根据技术标评分规则，将影响现场评标专家组对投标单位业绩判定打分。</w:t>
      </w:r>
    </w:p>
    <w:p>
      <w:pPr>
        <w:rPr>
          <w:rFonts w:hint="eastAsia" w:ascii="宋体" w:hAnsi="宋体" w:eastAsia="宋体" w:cs="宋体"/>
          <w:b/>
          <w:bCs/>
          <w:sz w:val="24"/>
          <w:szCs w:val="24"/>
        </w:rPr>
      </w:pPr>
      <w:r>
        <w:rPr>
          <w:rFonts w:hint="eastAsia" w:ascii="宋体" w:hAnsi="宋体" w:eastAsia="宋体" w:cs="宋体"/>
          <w:b/>
          <w:bCs/>
          <w:sz w:val="24"/>
          <w:szCs w:val="24"/>
        </w:rPr>
        <w:t>二、说明</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bidi="ar"/>
        </w:rPr>
        <w:t>1、投标方可以根据自身的技术、经验等优势以及对招标文件和本技术标书的理解，写明对招标方所采购货物的优化方案或建议意见。投标方的这些努力，投标方表示感谢，并将有助于投标方优先胜出。</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bidi="ar"/>
        </w:rPr>
        <w:t>2、即使有建议意见或建议方案，仍应依据招标文件和本技术标书要求，编写符合要求的投标文件。建议方案或建议意见，应以单独篇章或文件，予以说明和报价。</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bidi="ar"/>
        </w:rPr>
        <w:t>3、请投标方仔细阅读“采购货物概况”章节内说明，针对允许分投分中的货物，招标方有权利选择其中优秀设备或服务，作为投标方合同供货范围中的指定选用设备或服务（替代投标方分投而未中标部分）。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bidi="ar"/>
        </w:rPr>
        <w:t>4、招标文件、投标文件、答疑文件、技术交流文件、技术协议书等，在采购过程全部为有效文件，如有差异，以对招标方最有利的条款为准。</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bidi="ar"/>
        </w:rPr>
        <w:t>5、为避免歧异，本技术标书涉及招投标环节的条款，均将潜在的</w:t>
      </w:r>
      <w:r>
        <w:rPr>
          <w:rFonts w:hint="eastAsia" w:ascii="宋体" w:hAnsi="宋体" w:eastAsia="宋体" w:cs="宋体"/>
          <w:sz w:val="24"/>
          <w:szCs w:val="24"/>
          <w:lang w:eastAsia="zh-CN" w:bidi="ar"/>
        </w:rPr>
        <w:t>投标方</w:t>
      </w:r>
      <w:r>
        <w:rPr>
          <w:rFonts w:hint="eastAsia" w:ascii="宋体" w:hAnsi="宋体" w:eastAsia="宋体" w:cs="宋体"/>
          <w:sz w:val="24"/>
          <w:szCs w:val="24"/>
          <w:lang w:bidi="ar"/>
        </w:rPr>
        <w:t>称为投标方、将买方称为招标方；定标后合同签署环节以及后续的合同执行环节条款，招标方称为买方、投标方中的中标方称为</w:t>
      </w:r>
      <w:r>
        <w:rPr>
          <w:rFonts w:hint="eastAsia" w:ascii="宋体" w:hAnsi="宋体" w:eastAsia="宋体" w:cs="宋体"/>
          <w:sz w:val="24"/>
          <w:szCs w:val="24"/>
          <w:lang w:eastAsia="zh-CN" w:bidi="ar"/>
        </w:rPr>
        <w:t>投标方</w:t>
      </w:r>
      <w:r>
        <w:rPr>
          <w:rFonts w:hint="eastAsia" w:ascii="宋体" w:hAnsi="宋体" w:eastAsia="宋体" w:cs="宋体"/>
          <w:sz w:val="24"/>
          <w:szCs w:val="24"/>
          <w:lang w:bidi="ar"/>
        </w:rPr>
        <w:t>。</w:t>
      </w:r>
    </w:p>
    <w:p>
      <w:r>
        <w:br w:type="page"/>
      </w:r>
    </w:p>
    <w:p>
      <w:pPr>
        <w:jc w:val="center"/>
        <w:rPr>
          <w:rFonts w:hAnsi="Calibri"/>
          <w:b/>
          <w:bCs/>
          <w:sz w:val="36"/>
          <w:szCs w:val="36"/>
        </w:rPr>
      </w:pPr>
      <w:bookmarkStart w:id="49" w:name="_Toc28859"/>
      <w:bookmarkStart w:id="50" w:name="_Toc25120"/>
      <w:bookmarkStart w:id="51" w:name="_Toc24623"/>
      <w:bookmarkStart w:id="52" w:name="_Toc3778"/>
      <w:bookmarkStart w:id="53" w:name="_Toc16330037"/>
      <w:bookmarkStart w:id="54" w:name="_Toc5379"/>
      <w:r>
        <w:rPr>
          <w:rFonts w:hint="eastAsia"/>
          <w:b/>
          <w:bCs/>
          <w:sz w:val="36"/>
          <w:szCs w:val="36"/>
        </w:rPr>
        <w:t>第五部分</w:t>
      </w:r>
      <w:r>
        <w:rPr>
          <w:b/>
          <w:bCs/>
          <w:sz w:val="36"/>
          <w:szCs w:val="36"/>
        </w:rPr>
        <w:t xml:space="preserve"> </w:t>
      </w:r>
      <w:r>
        <w:rPr>
          <w:rFonts w:hint="eastAsia"/>
          <w:b/>
          <w:bCs/>
          <w:sz w:val="36"/>
          <w:szCs w:val="36"/>
        </w:rPr>
        <w:t>设备采购合同</w:t>
      </w:r>
      <w:bookmarkEnd w:id="49"/>
    </w:p>
    <w:p>
      <w:r>
        <w:t xml:space="preserve">                                      </w:t>
      </w:r>
      <w:r>
        <w:rPr>
          <w:rFonts w:hint="eastAsia"/>
        </w:rPr>
        <w:t xml:space="preserve">  </w:t>
      </w:r>
    </w:p>
    <w:p>
      <w:pPr>
        <w:wordWrap w:val="0"/>
        <w:adjustRightInd w:val="0"/>
        <w:snapToGrid w:val="0"/>
        <w:spacing w:line="360" w:lineRule="auto"/>
        <w:ind w:firstLine="480"/>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r>
        <w:rPr>
          <w:rFonts w:hint="eastAsia"/>
        </w:rPr>
        <w:t xml:space="preserve">               </w:t>
      </w:r>
    </w:p>
    <w:p>
      <w:bookmarkStart w:id="55" w:name="_Toc283814116"/>
      <w:bookmarkStart w:id="56" w:name="OLE_LINK3"/>
    </w:p>
    <w:p>
      <w:r>
        <w:t xml:space="preserve">                                          </w:t>
      </w:r>
      <w:r>
        <w:rPr>
          <w:rFonts w:hint="eastAsia"/>
        </w:rPr>
        <w:t xml:space="preserve">  </w:t>
      </w:r>
    </w:p>
    <w:p/>
    <w:p/>
    <w:p>
      <w:pPr>
        <w:adjustRightInd w:val="0"/>
        <w:snapToGrid w:val="0"/>
        <w:spacing w:line="360" w:lineRule="auto"/>
        <w:ind w:firstLine="1040" w:firstLineChars="0"/>
        <w:jc w:val="center"/>
        <w:textAlignment w:val="auto"/>
        <w:rPr>
          <w:rFonts w:hint="eastAsia" w:ascii="方正小标宋简体" w:hAnsi="宋体" w:eastAsia="方正小标宋简体"/>
          <w:bCs/>
          <w:sz w:val="52"/>
          <w:szCs w:val="36"/>
        </w:rPr>
      </w:pPr>
      <w:r>
        <w:rPr>
          <w:rFonts w:hint="eastAsia" w:ascii="方正小标宋简体" w:hAnsi="宋体" w:eastAsia="方正小标宋简体"/>
          <w:bCs/>
          <w:sz w:val="52"/>
          <w:szCs w:val="36"/>
        </w:rPr>
        <w:t>设备采购合同</w:t>
      </w:r>
    </w:p>
    <w:p>
      <w:pPr>
        <w:adjustRightInd w:val="0"/>
        <w:snapToGrid w:val="0"/>
        <w:spacing w:line="360" w:lineRule="auto"/>
        <w:ind w:firstLine="0" w:firstLineChars="0"/>
        <w:jc w:val="center"/>
        <w:textAlignment w:val="auto"/>
        <w:rPr>
          <w:rFonts w:hint="eastAsia" w:hAnsi="宋体" w:eastAsia="宋体" w:cs="宋体" w:asciiTheme="minorHAnsi"/>
          <w:b/>
          <w:sz w:val="24"/>
          <w:szCs w:val="24"/>
          <w:highlight w:val="yellow"/>
        </w:rPr>
      </w:pPr>
      <w:r>
        <w:rPr>
          <w:rFonts w:hint="eastAsia" w:hAnsi="宋体" w:eastAsia="宋体" w:cs="宋体" w:asciiTheme="minorHAnsi"/>
          <w:b/>
          <w:sz w:val="24"/>
          <w:szCs w:val="24"/>
          <w:highlight w:val="yellow"/>
        </w:rPr>
        <w:t>（合同以双方最终签署的版本为准）</w:t>
      </w:r>
    </w:p>
    <w:p/>
    <w:p/>
    <w:p/>
    <w:p/>
    <w:p/>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甲  方：</w:t>
      </w:r>
      <w:r>
        <w:rPr>
          <w:rFonts w:hint="eastAsia" w:ascii="方正小标宋简体" w:hAnsi="宋体" w:eastAsia="方正小标宋简体"/>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r>
        <w:rPr>
          <w:rFonts w:hint="eastAsia"/>
        </w:rPr>
        <w:t xml:space="preserve">                    </w:t>
      </w:r>
    </w:p>
    <w:p/>
    <w:p/>
    <w:p>
      <w:pPr>
        <w:rPr>
          <w:u w:val="single"/>
        </w:rPr>
      </w:pPr>
      <w:r>
        <w:rPr>
          <w:rFonts w:hint="eastAsia"/>
        </w:rPr>
        <w:t xml:space="preserve">                                        </w:t>
      </w:r>
    </w:p>
    <w:p>
      <w:pPr>
        <w:sectPr>
          <w:headerReference r:id="rId11" w:type="default"/>
          <w:footerReference r:id="rId12" w:type="default"/>
          <w:pgSz w:w="11907" w:h="16840"/>
          <w:pgMar w:top="1304" w:right="1418" w:bottom="1304" w:left="1418" w:header="724" w:footer="851" w:gutter="0"/>
          <w:cols w:space="720" w:num="1"/>
          <w:docGrid w:linePitch="290" w:charSpace="-3931"/>
        </w:sectPr>
      </w:pPr>
    </w:p>
    <w:p>
      <w:r>
        <w:rPr>
          <w:rFonts w:hint="eastAsia" w:ascii="宋体"/>
          <w:sz w:val="22"/>
        </w:rPr>
        <w:t xml:space="preserve"> </w:t>
      </w:r>
      <w:r>
        <w:rPr>
          <w:rFonts w:hint="eastAsia" w:ascii="仿宋_GB2312" w:hAnsi="宋体" w:eastAsia="仿宋_GB2312" w:cs="宋体"/>
          <w:bCs/>
          <w:sz w:val="24"/>
          <w:szCs w:val="24"/>
        </w:rPr>
        <w:t>甲方（买方）：</w:t>
      </w:r>
      <w:r>
        <w:rPr>
          <w:rFonts w:hint="eastAsia"/>
          <w:b/>
          <w:u w:val="single"/>
        </w:rPr>
        <w:t xml:space="preserve">            </w:t>
      </w:r>
      <w:r>
        <w:rPr>
          <w:rFonts w:hint="eastAsia"/>
        </w:rPr>
        <w:t xml:space="preserve">      </w:t>
      </w:r>
    </w:p>
    <w:p>
      <w:r>
        <w:rPr>
          <w:rFonts w:hint="eastAsia"/>
        </w:rPr>
        <w:t xml:space="preserve">    </w:t>
      </w:r>
    </w:p>
    <w:p>
      <w:r>
        <w:rPr>
          <w:rFonts w:hint="eastAsia" w:ascii="仿宋_GB2312" w:hAnsi="宋体" w:eastAsia="仿宋_GB2312" w:cs="宋体"/>
          <w:bCs/>
          <w:sz w:val="24"/>
          <w:szCs w:val="24"/>
        </w:rPr>
        <w:t>乙方（</w:t>
      </w:r>
      <w:r>
        <w:rPr>
          <w:rFonts w:hint="eastAsia" w:ascii="仿宋_GB2312" w:hAnsi="宋体" w:eastAsia="仿宋_GB2312" w:cs="宋体"/>
          <w:bCs/>
          <w:sz w:val="24"/>
          <w:szCs w:val="24"/>
          <w:lang w:eastAsia="zh-CN"/>
        </w:rPr>
        <w:t>投标方</w:t>
      </w:r>
      <w:r>
        <w:rPr>
          <w:rFonts w:hint="eastAsia" w:ascii="仿宋_GB2312" w:hAnsi="宋体" w:eastAsia="仿宋_GB2312" w:cs="宋体"/>
          <w:bCs/>
          <w:sz w:val="24"/>
          <w:szCs w:val="24"/>
        </w:rPr>
        <w:t>）：</w:t>
      </w:r>
      <w:r>
        <w:rPr>
          <w:rFonts w:hint="eastAsia"/>
          <w:b/>
          <w:u w:val="single"/>
        </w:rPr>
        <w:t xml:space="preserve">            </w:t>
      </w:r>
      <w:r>
        <w:rPr>
          <w:rFonts w:hint="eastAsia"/>
        </w:rPr>
        <w:t xml:space="preserve">            </w:t>
      </w:r>
    </w:p>
    <w:p/>
    <w:p>
      <w:pPr>
        <w:spacing w:line="360" w:lineRule="auto"/>
        <w:ind w:firstLine="480" w:firstLineChars="200"/>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本设备采购合同由甲乙双方于山东省济南市（可根据实际情况调整为甲方/买方所在地）签订：</w:t>
      </w:r>
    </w:p>
    <w:p>
      <w:pPr>
        <w:spacing w:line="360" w:lineRule="auto"/>
        <w:ind w:firstLine="480" w:firstLineChars="200"/>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购买     项目   设备    台（套），就该设备的设计、制造、运输、定点卸货、安装（或指导安装）、调试、验收、培训及售后服务等有关问题，以上所列内容经买卖双方协商自愿达成本合同：</w:t>
      </w:r>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bookmarkStart w:id="57" w:name="_Toc16330018"/>
      <w:bookmarkStart w:id="58" w:name="_Toc17619"/>
      <w:bookmarkStart w:id="59" w:name="_Toc11823"/>
      <w:bookmarkStart w:id="60" w:name="_Toc11930"/>
      <w:r>
        <w:rPr>
          <w:rFonts w:hint="eastAsia" w:ascii="黑体" w:hAnsi="黑体" w:eastAsia="黑体" w:cstheme="minorEastAsia"/>
          <w:b w:val="0"/>
          <w:sz w:val="28"/>
          <w:szCs w:val="28"/>
        </w:rPr>
        <w:t>1 合同设备</w:t>
      </w:r>
      <w:bookmarkEnd w:id="57"/>
      <w:bookmarkEnd w:id="58"/>
      <w:bookmarkEnd w:id="59"/>
      <w:bookmarkEnd w:id="60"/>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购买的设备信息见附件一：《设备清单明细表》</w:t>
      </w:r>
    </w:p>
    <w:p>
      <w:pPr>
        <w:spacing w:line="360" w:lineRule="auto"/>
        <w:ind w:firstLine="453" w:firstLineChars="189"/>
        <w:jc w:val="both"/>
        <w:textAlignment w:val="auto"/>
        <w:rPr>
          <w:rFonts w:hint="eastAsia" w:ascii="仿宋_GB2312" w:eastAsia="仿宋_GB2312" w:hAnsiTheme="minorEastAsia" w:cstheme="minorEastAsia"/>
          <w:sz w:val="24"/>
          <w:szCs w:val="24"/>
        </w:rPr>
      </w:pPr>
      <w:bookmarkStart w:id="61" w:name="_Toc29026"/>
      <w:bookmarkStart w:id="62" w:name="_Toc22800"/>
      <w:bookmarkStart w:id="63" w:name="_Toc32510"/>
      <w:r>
        <w:rPr>
          <w:rFonts w:hint="eastAsia" w:ascii="仿宋_GB2312" w:eastAsia="仿宋_GB2312" w:hAnsiTheme="minorEastAsia" w:cstheme="minorEastAsia"/>
          <w:sz w:val="24"/>
          <w:szCs w:val="24"/>
        </w:rPr>
        <w:t>1.2技术规格和标准</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一切书面承诺中要求的技术标准。</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负责办理并承担保险费用。</w:t>
      </w:r>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bookmarkStart w:id="64" w:name="_Toc16330019"/>
      <w:r>
        <w:rPr>
          <w:rFonts w:hint="eastAsia" w:ascii="黑体" w:hAnsi="黑体" w:eastAsia="黑体" w:cstheme="minorEastAsia"/>
          <w:b w:val="0"/>
          <w:sz w:val="28"/>
          <w:szCs w:val="28"/>
        </w:rPr>
        <w:t>2 包装</w:t>
      </w:r>
      <w:bookmarkEnd w:id="61"/>
      <w:bookmarkEnd w:id="62"/>
      <w:bookmarkEnd w:id="63"/>
      <w:bookmarkEnd w:id="64"/>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应承担由于其包装、防护不妥而引起的设备锈蚀、损坏、丢失等任何损失的责任和费用。</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bookmarkStart w:id="65" w:name="_Toc27144"/>
      <w:bookmarkStart w:id="66" w:name="_Toc27453"/>
      <w:bookmarkStart w:id="67" w:name="_Toc16330020"/>
      <w:bookmarkStart w:id="68" w:name="_Toc2833"/>
      <w:r>
        <w:rPr>
          <w:rFonts w:hint="eastAsia" w:ascii="黑体" w:hAnsi="黑体" w:eastAsia="黑体" w:cstheme="minorEastAsia"/>
          <w:b w:val="0"/>
          <w:sz w:val="28"/>
          <w:szCs w:val="28"/>
        </w:rPr>
        <w:t>3 运输标记</w:t>
      </w:r>
      <w:bookmarkEnd w:id="65"/>
      <w:bookmarkEnd w:id="66"/>
      <w:bookmarkEnd w:id="67"/>
      <w:bookmarkEnd w:id="68"/>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应在每一包装箱邻近的四个侧面用不易褪色的油漆以醒目的中文印刷字体标明以下各项：</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应在每件包装箱的两侧以国内贸易相宜的运输标志标明“重心”和“吊装点”，并以清晰的字样在包装箱上注明“小心轻放”、“勿倒置”、“防潮”等适当的标志，以方便装卸和搬运。</w:t>
      </w:r>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bookmarkStart w:id="69" w:name="_Toc16133"/>
      <w:bookmarkStart w:id="70" w:name="_Toc7431"/>
      <w:bookmarkStart w:id="71" w:name="_Toc10630"/>
      <w:bookmarkStart w:id="72" w:name="_Toc16330021"/>
      <w:r>
        <w:rPr>
          <w:rFonts w:hint="eastAsia" w:ascii="黑体" w:hAnsi="黑体" w:eastAsia="黑体" w:cstheme="minorEastAsia"/>
          <w:b w:val="0"/>
          <w:sz w:val="28"/>
          <w:szCs w:val="28"/>
        </w:rPr>
        <w:t>4 检验</w:t>
      </w:r>
      <w:bookmarkEnd w:id="69"/>
      <w:bookmarkEnd w:id="70"/>
      <w:bookmarkEnd w:id="71"/>
      <w:bookmarkEnd w:id="72"/>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4.1</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保证提供的设备通过其检验并承担费用。</w:t>
      </w:r>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bookmarkStart w:id="73" w:name="_Toc24467"/>
      <w:bookmarkStart w:id="74" w:name="_Toc11217"/>
      <w:bookmarkStart w:id="75" w:name="_Toc16330022"/>
      <w:bookmarkStart w:id="76" w:name="_Toc19850"/>
      <w:r>
        <w:rPr>
          <w:rFonts w:hint="eastAsia" w:ascii="黑体" w:hAnsi="黑体" w:eastAsia="黑体" w:cstheme="minorEastAsia"/>
          <w:b w:val="0"/>
          <w:sz w:val="28"/>
          <w:szCs w:val="28"/>
        </w:rPr>
        <w:t>5 权利担保</w:t>
      </w:r>
      <w:bookmarkEnd w:id="73"/>
      <w:bookmarkEnd w:id="74"/>
      <w:bookmarkEnd w:id="75"/>
      <w:bookmarkEnd w:id="76"/>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5.1</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所交付的设备，必须是第三方不能提出任何权利或要求的设备，</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应担保设备不存在订立本合同时不为买方所知的第三方的权利（包括但不限于抵押权、留置权等）或行政、司法查封。</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5.2</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应保证第三方对其提交的设备不得以侵权或其他类似理由提出合法要求，如侵犯知识产权等。</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应与第三方交涉，并承担由此引起的一切法律责任和费用以及给买方所造成的损失。</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bookmarkStart w:id="77" w:name="_Toc16330023"/>
      <w:bookmarkStart w:id="78" w:name="_Toc27500"/>
      <w:bookmarkStart w:id="79" w:name="_Toc14809"/>
      <w:bookmarkStart w:id="80" w:name="_Toc11759"/>
      <w:r>
        <w:rPr>
          <w:rFonts w:hint="eastAsia" w:ascii="黑体" w:hAnsi="黑体" w:eastAsia="黑体" w:cstheme="minorEastAsia"/>
          <w:b w:val="0"/>
          <w:sz w:val="28"/>
          <w:szCs w:val="28"/>
        </w:rPr>
        <w:t>6 交货</w:t>
      </w:r>
      <w:bookmarkEnd w:id="77"/>
      <w:bookmarkEnd w:id="78"/>
      <w:bookmarkEnd w:id="79"/>
      <w:bookmarkEnd w:id="80"/>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6.1</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6.2</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应在设备装运完成后当天以传真、邮件等的形式通知买方合同号、设备名称、数量、毛重、体积（立方米）、发票金额、启运日期、预计到达日期。</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应赔偿因此给买方造成的一切损失。</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6.4交货方式：        （可选择6.4.1-6.4.3定义的方式或根据实际约定）</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负责合同设备的设计、制造、运输、定点卸货、安装、调试、培训及售后服务等所有内容，直至买方验收合格并交付使用。</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依照合同约定将合同设备卸载至约定地点，经买方根据合同所约定的数量、型号及配置等内容逐一确认无误后，双方完成交付手续，同时</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应指导协助买方进行安装调试等工作。</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所在地提取合同设备，经买方根据合同所约定的数量、型号及配置等内容逐一确认无误后，双方完成交付手续。</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 xml:space="preserve">6.5交货地点：                       </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 xml:space="preserve">6.6到货时间：20  年  月   日前         </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合同设备所有权的转移，合同设备的保管责任仍然由</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承担。移交内容包括：合同设备、硬件、软件、图纸、资料、质量证明文件等。</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6.8</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在交付设备前需通知买方。</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设备最终验收合格后，设备所有权由</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转移至买方。如果在对该设备进行最终验收之前，</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被解散、破产、收购等，其接收方应无条件承担该合同的所有责任和义务，且</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应自出现上述事项之日起一个月内书面通知买方，如买方没有在一个月内收到明确责任义务的书面通知，则该设备所有权自动由</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转移至买方，余款作为该设备的后续质量维护费用，买方无须再支付给</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。在设备所有权转移之前，设备毁损、灭失等风险由</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承担。</w:t>
      </w:r>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bookmarkStart w:id="81" w:name="_Toc2984"/>
      <w:bookmarkStart w:id="82" w:name="_Toc25510"/>
      <w:bookmarkStart w:id="83" w:name="_Toc16330024"/>
      <w:bookmarkStart w:id="84" w:name="_Toc8024"/>
      <w:r>
        <w:rPr>
          <w:rFonts w:hint="eastAsia" w:ascii="黑体" w:hAnsi="黑体" w:eastAsia="黑体" w:cstheme="minorEastAsia"/>
          <w:b w:val="0"/>
          <w:sz w:val="28"/>
          <w:szCs w:val="28"/>
        </w:rPr>
        <w:t>7 安装、调试</w:t>
      </w:r>
      <w:bookmarkEnd w:id="81"/>
      <w:bookmarkEnd w:id="82"/>
      <w:bookmarkEnd w:id="83"/>
      <w:bookmarkEnd w:id="84"/>
    </w:p>
    <w:p>
      <w:pPr>
        <w:pStyle w:val="15"/>
        <w:rPr>
          <w:rFonts w:hint="default" w:ascii="仿宋_GB2312" w:eastAsia="仿宋_GB2312" w:hAnsiTheme="minorEastAsia" w:cstheme="minorEastAsia"/>
          <w:kern w:val="2"/>
          <w:sz w:val="24"/>
          <w:szCs w:val="24"/>
          <w:lang w:val="en-US" w:eastAsia="zh-CN" w:bidi="ar-SA"/>
        </w:rPr>
      </w:pPr>
      <w:r>
        <w:rPr>
          <w:rFonts w:hint="eastAsia" w:ascii="仿宋_GB2312" w:eastAsia="仿宋_GB2312" w:hAnsiTheme="minorEastAsia" w:cstheme="minorEastAsia"/>
          <w:kern w:val="2"/>
          <w:sz w:val="24"/>
          <w:szCs w:val="24"/>
          <w:lang w:val="en-US" w:eastAsia="zh-CN" w:bidi="ar-SA"/>
        </w:rPr>
        <w:t>7.1 投标方须在到货后    日内安装调试完成。</w:t>
      </w:r>
    </w:p>
    <w:p>
      <w:pPr>
        <w:rPr>
          <w:rFonts w:hint="eastAsia" w:ascii="仿宋_GB2312" w:eastAsia="仿宋_GB2312" w:hAnsiTheme="minorEastAsia" w:cstheme="minorEastAsia"/>
          <w:kern w:val="2"/>
          <w:sz w:val="24"/>
          <w:szCs w:val="24"/>
          <w:lang w:val="en-US" w:eastAsia="zh-CN" w:bidi="ar-SA"/>
        </w:rPr>
      </w:pPr>
      <w:r>
        <w:rPr>
          <w:rFonts w:hint="eastAsia" w:ascii="仿宋_GB2312" w:eastAsia="仿宋_GB2312" w:hAnsiTheme="minorEastAsia" w:cstheme="minorEastAsia"/>
          <w:kern w:val="2"/>
          <w:sz w:val="24"/>
          <w:szCs w:val="24"/>
          <w:lang w:val="en-US" w:eastAsia="zh-CN" w:bidi="ar-SA"/>
        </w:rPr>
        <w:t>7.2投标方应自带用以安装、调试过程中所需的各种工具、仪器、仪表及易损件。在安装、调试过程中，投标方应自负其工作人员的食宿、交通等费用。</w:t>
      </w:r>
    </w:p>
    <w:p>
      <w:pPr>
        <w:rPr>
          <w:rFonts w:hint="eastAsia" w:ascii="仿宋_GB2312" w:eastAsia="仿宋_GB2312" w:hAnsiTheme="minorEastAsia" w:cstheme="minorEastAsia"/>
          <w:kern w:val="2"/>
          <w:sz w:val="24"/>
          <w:szCs w:val="24"/>
          <w:lang w:val="en-US" w:eastAsia="zh-CN" w:bidi="ar-SA"/>
        </w:rPr>
      </w:pPr>
      <w:r>
        <w:rPr>
          <w:rFonts w:hint="eastAsia" w:ascii="仿宋_GB2312" w:eastAsia="仿宋_GB2312" w:hAnsiTheme="minorEastAsia" w:cstheme="minorEastAsia"/>
          <w:kern w:val="2"/>
          <w:sz w:val="24"/>
          <w:szCs w:val="24"/>
          <w:lang w:val="en-US" w:eastAsia="zh-CN" w:bidi="ar-SA"/>
        </w:rPr>
        <w:t>7.3在安装、调试过程中，安装场地及施工人员安全，由投标方负责。由于安装、调试等原因造成买方或他人人身损害或财产损失的，由投标方承担赔偿责任。</w:t>
      </w:r>
    </w:p>
    <w:p>
      <w:pPr>
        <w:rPr>
          <w:rFonts w:hint="eastAsia" w:ascii="仿宋_GB2312" w:eastAsia="仿宋_GB2312" w:hAnsiTheme="minorEastAsia" w:cstheme="minorEastAsia"/>
          <w:kern w:val="2"/>
          <w:sz w:val="24"/>
          <w:szCs w:val="24"/>
          <w:lang w:val="en-US" w:eastAsia="zh-CN" w:bidi="ar-SA"/>
        </w:rPr>
      </w:pPr>
      <w:r>
        <w:rPr>
          <w:rFonts w:hint="eastAsia" w:ascii="仿宋_GB2312" w:eastAsia="仿宋_GB2312" w:hAnsiTheme="minorEastAsia" w:cstheme="minorEastAsia"/>
          <w:kern w:val="2"/>
          <w:sz w:val="24"/>
          <w:szCs w:val="24"/>
          <w:lang w:val="en-US" w:eastAsia="zh-CN" w:bidi="ar-SA"/>
        </w:rPr>
        <w:t>7.4 投标方须对安装、调试过程中造成的买方或他人人身损害或财产损失承担赔偿责任。</w:t>
      </w:r>
    </w:p>
    <w:p>
      <w:pPr>
        <w:rPr>
          <w:rFonts w:hint="eastAsia" w:ascii="仿宋_GB2312" w:eastAsia="仿宋_GB2312" w:hAnsiTheme="minorEastAsia" w:cstheme="minorEastAsia"/>
          <w:kern w:val="2"/>
          <w:sz w:val="24"/>
          <w:szCs w:val="24"/>
          <w:lang w:val="en-US" w:eastAsia="zh-CN" w:bidi="ar-SA"/>
        </w:rPr>
      </w:pPr>
      <w:r>
        <w:rPr>
          <w:rFonts w:hint="eastAsia" w:ascii="仿宋_GB2312" w:eastAsia="仿宋_GB2312" w:hAnsiTheme="minorEastAsia" w:cstheme="minorEastAsia"/>
          <w:kern w:val="2"/>
          <w:sz w:val="24"/>
          <w:szCs w:val="24"/>
          <w:lang w:val="en-US" w:eastAsia="zh-CN" w:bidi="ar-SA"/>
        </w:rPr>
        <w:t>7.5 若设备安装、调试过程中需使用买方产品的，买方提供调试所用产品数量【】件，超出此数量部分由投标方提供，由此产生的相关费用由投标方承担。</w:t>
      </w:r>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bookmarkStart w:id="85" w:name="_Toc14260"/>
      <w:bookmarkStart w:id="86" w:name="_Toc6350"/>
      <w:bookmarkStart w:id="87" w:name="_Toc16330025"/>
      <w:bookmarkStart w:id="88" w:name="_Toc14098"/>
      <w:r>
        <w:rPr>
          <w:rFonts w:hint="eastAsia" w:ascii="黑体" w:hAnsi="黑体" w:eastAsia="黑体" w:cstheme="minorEastAsia"/>
          <w:b w:val="0"/>
          <w:sz w:val="28"/>
          <w:szCs w:val="28"/>
        </w:rPr>
        <w:t>8 价款与支付</w:t>
      </w:r>
      <w:bookmarkEnd w:id="85"/>
      <w:bookmarkEnd w:id="86"/>
      <w:bookmarkEnd w:id="87"/>
      <w:bookmarkEnd w:id="88"/>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8.1本合同不含税总价为人民币¥          元（大写：        ），增值税税率    【】%，税额       元，含税总价       元人民币（大写：              ），如国家出台新政策对增值税率进行了调整，则不含税价款不变，本合同含税总价在不含税价基础上根据国家最新税法进行相应的调整。</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 xml:space="preserve">8.2合同价款的结算方式：半年期商业汇票（包括银行承兑汇票和商业承兑汇票）（如有其它方式可据实填写）           </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8.3合同价款的支付：（如有不同付款比例，则按照招标文件约定据实填写）</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 xml:space="preserve">8.3.1合同生效设备全部到齐无质量问题后, </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提交金额为合同含税价款</w:t>
      </w:r>
      <w:r>
        <w:rPr>
          <w:rFonts w:hint="eastAsia" w:ascii="仿宋_GB2312" w:eastAsia="仿宋_GB2312" w:hAnsiTheme="minorEastAsia" w:cstheme="minorEastAsia"/>
          <w:sz w:val="24"/>
          <w:szCs w:val="24"/>
          <w:highlight w:val="yellow"/>
        </w:rPr>
        <w:t>60 %</w:t>
      </w:r>
      <w:r>
        <w:rPr>
          <w:rFonts w:hint="eastAsia" w:ascii="仿宋_GB2312" w:eastAsia="仿宋_GB2312" w:hAnsiTheme="minorEastAsia" w:cstheme="minorEastAsia"/>
          <w:sz w:val="24"/>
          <w:szCs w:val="24"/>
        </w:rPr>
        <w:t>的收据（正本一份，复印件二份），经买方依照财务制度审核无误后【】日后支付。【按照实际业务的SAP付款条件填写】</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8.3.2设备全部到齐无质量问题，经安装、调试最终验收合格后，</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提交金额为合同含税价款</w:t>
      </w:r>
      <w:r>
        <w:rPr>
          <w:rFonts w:hint="eastAsia" w:ascii="仿宋_GB2312" w:eastAsia="仿宋_GB2312" w:hAnsiTheme="minorEastAsia" w:cstheme="minorEastAsia"/>
          <w:sz w:val="24"/>
          <w:szCs w:val="24"/>
          <w:highlight w:val="yellow"/>
        </w:rPr>
        <w:t>30 %</w:t>
      </w:r>
      <w:r>
        <w:rPr>
          <w:rFonts w:hint="eastAsia" w:ascii="仿宋_GB2312" w:eastAsia="仿宋_GB2312" w:hAnsiTheme="minorEastAsia" w:cstheme="minorEastAsia"/>
          <w:sz w:val="24"/>
          <w:szCs w:val="24"/>
        </w:rPr>
        <w:t>的收据及合同全额增值税专用发票（税率为    %，正本一份，复印件二份）并附带该套合同设备最终验收报告的原件及其复印件两份，经买方依照财务制度审核无误后【】日后支付：【按照实际业务的SAP付款条件填写】</w:t>
      </w:r>
    </w:p>
    <w:p>
      <w:pPr>
        <w:spacing w:line="360" w:lineRule="auto"/>
        <w:ind w:firstLine="453" w:firstLineChars="189"/>
        <w:jc w:val="both"/>
        <w:textAlignment w:val="auto"/>
        <w:rPr>
          <w:rFonts w:hint="eastAsia" w:ascii="仿宋_GB2312" w:eastAsia="仿宋_GB2312" w:hAnsiTheme="minorEastAsia" w:cstheme="minorEastAsia"/>
          <w:sz w:val="24"/>
          <w:szCs w:val="24"/>
        </w:rPr>
      </w:pPr>
      <w:bookmarkStart w:id="89" w:name="_Toc14531628"/>
      <w:bookmarkStart w:id="90" w:name="_Toc14676804"/>
      <w:r>
        <w:rPr>
          <w:rFonts w:hint="eastAsia" w:ascii="仿宋_GB2312" w:eastAsia="仿宋_GB2312" w:hAnsiTheme="minorEastAsia" w:cstheme="minorEastAsia"/>
          <w:sz w:val="24"/>
          <w:szCs w:val="24"/>
        </w:rPr>
        <w:t>8.3.3合同含税总价款的</w:t>
      </w:r>
      <w:r>
        <w:rPr>
          <w:rFonts w:hint="eastAsia" w:ascii="仿宋_GB2312" w:eastAsia="仿宋_GB2312" w:hAnsiTheme="minorEastAsia" w:cstheme="minorEastAsia"/>
          <w:sz w:val="24"/>
          <w:szCs w:val="24"/>
          <w:highlight w:val="yellow"/>
        </w:rPr>
        <w:t xml:space="preserve"> 10 %</w:t>
      </w:r>
      <w:r>
        <w:rPr>
          <w:rFonts w:hint="eastAsia" w:ascii="仿宋_GB2312" w:eastAsia="仿宋_GB2312" w:hAnsiTheme="minorEastAsia" w:cstheme="minorEastAsia"/>
          <w:sz w:val="24"/>
          <w:szCs w:val="24"/>
        </w:rPr>
        <w:t>作为本合同约定设备的质量保证金，质量保证金在质量保证期内不计利息。待每套合同设备质量保证期满后，</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向买方提交金额为合同价款10%的收据（正本一份，复印件二份）及设备使用单位的使用情况说明，经买方依照财务制度审核无误后【】日后支付。【按照实际业务的SAP付款条件填写】如有质量问题，质量保证金予以相应扣除。</w:t>
      </w:r>
      <w:bookmarkEnd w:id="89"/>
      <w:bookmarkEnd w:id="90"/>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bookmarkStart w:id="91" w:name="_Toc6726"/>
      <w:bookmarkStart w:id="92" w:name="_Toc25708"/>
      <w:bookmarkStart w:id="93" w:name="_Toc16330026"/>
      <w:bookmarkStart w:id="94" w:name="_Toc24085"/>
      <w:r>
        <w:rPr>
          <w:rFonts w:hint="eastAsia" w:ascii="黑体" w:hAnsi="黑体" w:eastAsia="黑体" w:cstheme="minorEastAsia"/>
          <w:b w:val="0"/>
          <w:sz w:val="28"/>
          <w:szCs w:val="28"/>
        </w:rPr>
        <w:t>9 质量保证及售后服务</w:t>
      </w:r>
      <w:bookmarkEnd w:id="91"/>
      <w:bookmarkEnd w:id="92"/>
      <w:bookmarkEnd w:id="93"/>
      <w:bookmarkEnd w:id="94"/>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9.1</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保证其提供的合同设备是全新的、未使用的、未经改装的、包装完好的、原厂正品，采用最佳材料和一流工艺的，并在各个方面符合本合同规定的质量、规格和性能要求。</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保证其合同设备经过正确安装、合理操作和维护保养，在合同设备寿命期内运转良好。</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9.2</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承诺其提供的设备不存在任何产品缺陷，否则因</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提供的设备存在产品缺陷而给买方造成的一切后果和损失由</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承担。</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9.3</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承诺因其提供的设备存在瑕疵或产品缺陷而导致第三方向买方主张权利或提起诉讼的，</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应积极配合买方进行解决或应诉，因此而发生的一切费用（包括但不限于诉讼费、仲裁费、律师费、交通费、通讯费、住宿费、餐饮费、调查取证费等）由</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承担。</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9.4本合同约定设备的质量保证期：自最终验收报告签署之日（以签署日期最晚者为准）起    年。</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9.5合同约定的设备在质量保证期届满前，如有质量问题，</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应在收到买方或设备使用单位通知后2小时内做出回复，如需到现场解决问题，</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应派工作人员在24小时内到达设备使用现场，并按买方要求的时间免费修复、更换相关部件，将设备修复完成。</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9.6</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负责在买方指定的地点免费为买方培训操作及维修人员，培训内容包括：基本原理、操作使用、安全操作注意事项以及维修保养等内容。</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9.7质量保证期满后，</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保证向买方提供及时的、质优的、价格优惠的技术服务和备品备件供应。</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9.8质量保证期满后，如出现质量问题，</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也应及时修复和更换，且只收取成本费，费用由买方承担，</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对设备质量问题所负的责任直到设备使用寿命周期结束。</w:t>
      </w:r>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bookmarkStart w:id="95" w:name="_Toc16330027"/>
      <w:bookmarkStart w:id="96" w:name="_Toc12927"/>
      <w:bookmarkStart w:id="97" w:name="_Toc10359"/>
      <w:bookmarkStart w:id="98" w:name="_Toc15570"/>
      <w:r>
        <w:rPr>
          <w:rFonts w:hint="eastAsia" w:ascii="黑体" w:hAnsi="黑体" w:eastAsia="黑体" w:cstheme="minorEastAsia"/>
          <w:b w:val="0"/>
          <w:sz w:val="28"/>
          <w:szCs w:val="28"/>
        </w:rPr>
        <w:t>10法定责任</w:t>
      </w:r>
      <w:bookmarkEnd w:id="95"/>
      <w:bookmarkEnd w:id="96"/>
      <w:bookmarkEnd w:id="97"/>
      <w:bookmarkEnd w:id="98"/>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10.1</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需遵从国家有关的法律、法规，缴纳有关的法定费用和税项。若</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未按期交纳法定费用、税项，则</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须补偿买方由此造成的所有费用及损失。</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10.2除非本合同中另有规定或买方同意，</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不得全部或部分转让本合同项下的权利义务。</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10.4除对方预先书面同意外，任何一方在本合同签订和履行期间或本合同终止后不得向第三方披露在本合同履行过程中知悉的与对方有关的任何商业秘密。</w:t>
      </w:r>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bookmarkStart w:id="99" w:name="_Toc9708"/>
      <w:bookmarkStart w:id="100" w:name="_Toc30381"/>
      <w:bookmarkStart w:id="101" w:name="_Toc27314"/>
      <w:bookmarkStart w:id="102" w:name="_Toc16330028"/>
      <w:r>
        <w:rPr>
          <w:rFonts w:hint="eastAsia" w:ascii="黑体" w:hAnsi="黑体" w:eastAsia="黑体" w:cstheme="minorEastAsia"/>
          <w:b w:val="0"/>
          <w:sz w:val="28"/>
          <w:szCs w:val="28"/>
        </w:rPr>
        <w:t>11 违约责任</w:t>
      </w:r>
      <w:bookmarkEnd w:id="99"/>
      <w:bookmarkEnd w:id="100"/>
      <w:bookmarkEnd w:id="101"/>
      <w:bookmarkEnd w:id="102"/>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11.1</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应承担提供的设备与本合同约定不符的一切责任，买方有权在检验、安装、调试、验收测试期限内、质量保证期内等任何时间提出索赔，买方有权按下述一种或多种方法要求</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赔偿：</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11.1.1</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同意买方拒收设备并把被与拒收设备等值的价款在买方要求的时间内以本合同规定的货币付给买方，</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11.1.2根据设备的瑕疵和受损程度以及买方遭受损失的金额，经买方同意降低设备价格。</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11.1.3更换有缺陷的零件、部件、设备或修理缺陷部分，以达到本合同规定的规格、质量和性能，</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承担一切费用和风险并负担买方遭受的一切损失，同时</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应相应延长被修理或更换设备的质量保证期。</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11.2如果买方就</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的设备质量问题提出索赔通知后 10 日内</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未能予以答复，该索赔视为已被</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接受。若</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jc w:val="both"/>
        <w:textAlignment w:val="auto"/>
        <w:rPr>
          <w:rFonts w:hint="eastAsia" w:ascii="仿宋_GB2312" w:eastAsia="仿宋_GB2312" w:hAnsiTheme="minorEastAsia" w:cstheme="minorEastAsia"/>
          <w:sz w:val="24"/>
          <w:szCs w:val="24"/>
          <w:lang w:eastAsia="zh-CN"/>
        </w:rPr>
      </w:pPr>
      <w:r>
        <w:rPr>
          <w:rFonts w:hint="eastAsia" w:ascii="仿宋_GB2312" w:eastAsia="仿宋_GB2312" w:hAnsiTheme="minorEastAsia" w:cstheme="minorEastAsia"/>
          <w:sz w:val="24"/>
          <w:szCs w:val="24"/>
        </w:rPr>
        <w:t>11.3如果</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未能按期到货，</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应向买方支付违约金，违约金比率为每迟交壹日，按合同总价的10‰计算，如违约金金额超过合同总价款的 20 %，买方有权就</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违约而解除本合同，且</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仍须支付上述违约金，并赔偿由此给买方造成的一切损失。</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 xml:space="preserve">   11.4如</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未按7.1条履行义务，从逾期之日起</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每天按合同总价款的 10 ‰支付给买方违约金，如违约金金额超过合同总价款的 20 %或者设备未能通过最终验收，买方有权就</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违约而解除本合同，且</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仍须支付上述违约金，并返还买方支付的设备款，并赔偿由此给买方造成的一切损失。</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11.5买方延期付款时（有正当拒付理由者除外），每日按延付金额的 3 ‰向</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偿付延期付款违约金，但违约金总额不超过延付金额的 50 ‰。</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11.6如</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违反9.5条，则买方有权视情况扣除部分或全部质量保证金作为</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的违约金，并且</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应赔偿因此给买方造成的一切损失。</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不能及时到现场履行质量维修义务，每延迟一天应承担合同价款20 ‰的违约金（合同额不足10万元按照2000元/天计取），且不免除维修的责任。违约金在质保金中扣除。</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11.7因发票违规给买方造成的增值税、所得税等损失，由</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承担相关责任，包括但不限于税款、滞纳金、罚款及其它相关损失。</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11.8如果</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违反本合同其他约定（包括本合同及所有附件）应赔偿因此给买方造成的一切损失。</w:t>
      </w:r>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bookmarkStart w:id="103" w:name="_Toc31554"/>
      <w:bookmarkStart w:id="104" w:name="_Toc9172"/>
      <w:bookmarkStart w:id="105" w:name="_Toc1827"/>
      <w:bookmarkStart w:id="106" w:name="_Toc16330029"/>
      <w:r>
        <w:rPr>
          <w:rFonts w:hint="eastAsia" w:ascii="黑体" w:hAnsi="黑体" w:eastAsia="黑体" w:cstheme="minorEastAsia"/>
          <w:b w:val="0"/>
          <w:sz w:val="28"/>
          <w:szCs w:val="28"/>
        </w:rPr>
        <w:t>12 合同的终止与解除</w:t>
      </w:r>
      <w:bookmarkEnd w:id="103"/>
      <w:bookmarkEnd w:id="104"/>
      <w:bookmarkEnd w:id="105"/>
      <w:bookmarkEnd w:id="106"/>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12.1本合同订立后，</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由于履行义务的能力或信用有严重缺陷，买方可以终止履行本合同，要求</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返还已支付的款项并不承担违约责任。</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12.2经双方协商一致，可以解除本合同。</w:t>
      </w:r>
    </w:p>
    <w:p>
      <w:pPr>
        <w:spacing w:line="360" w:lineRule="auto"/>
        <w:ind w:firstLine="453" w:firstLineChars="189"/>
        <w:jc w:val="both"/>
        <w:textAlignment w:val="auto"/>
        <w:rPr>
          <w:rFonts w:hint="eastAsia" w:ascii="仿宋_GB2312" w:eastAsia="仿宋_GB2312" w:hAnsiTheme="minorEastAsia" w:cstheme="minorEastAsia"/>
          <w:sz w:val="24"/>
          <w:szCs w:val="24"/>
          <w:lang w:eastAsia="zh-CN"/>
        </w:rPr>
      </w:pPr>
      <w:r>
        <w:rPr>
          <w:rFonts w:hint="eastAsia" w:ascii="仿宋_GB2312" w:eastAsia="仿宋_GB2312" w:hAnsiTheme="minorEastAsia" w:cstheme="minorEastAsia"/>
          <w:sz w:val="24"/>
          <w:szCs w:val="24"/>
        </w:rPr>
        <w:t>12.3有下列情形之一的，买方可以解除本合同：</w:t>
      </w:r>
    </w:p>
    <w:p>
      <w:pPr>
        <w:spacing w:line="360" w:lineRule="auto"/>
        <w:ind w:firstLine="453" w:firstLineChars="189"/>
        <w:jc w:val="both"/>
        <w:textAlignment w:val="auto"/>
        <w:rPr>
          <w:rFonts w:hint="eastAsia" w:ascii="仿宋_GB2312" w:eastAsia="仿宋_GB2312" w:hAnsiTheme="minorEastAsia" w:cstheme="minorEastAsia"/>
          <w:sz w:val="24"/>
          <w:szCs w:val="24"/>
          <w:lang w:eastAsia="zh-CN"/>
        </w:rPr>
      </w:pPr>
      <w:r>
        <w:rPr>
          <w:rFonts w:hint="eastAsia" w:ascii="仿宋_GB2312" w:eastAsia="仿宋_GB2312" w:hAnsiTheme="minorEastAsia" w:cstheme="minorEastAsia"/>
          <w:sz w:val="24"/>
          <w:szCs w:val="24"/>
        </w:rPr>
        <w:t>12.3.1</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明确表示或者以自己的行为表明不履行主要义务的；</w:t>
      </w:r>
    </w:p>
    <w:p>
      <w:pPr>
        <w:spacing w:line="360" w:lineRule="auto"/>
        <w:ind w:firstLine="453" w:firstLineChars="189"/>
        <w:jc w:val="both"/>
        <w:textAlignment w:val="auto"/>
        <w:rPr>
          <w:rFonts w:hint="eastAsia" w:ascii="仿宋_GB2312" w:eastAsia="仿宋_GB2312" w:hAnsiTheme="minorEastAsia" w:cstheme="minorEastAsia"/>
          <w:sz w:val="24"/>
          <w:szCs w:val="24"/>
          <w:lang w:eastAsia="zh-CN"/>
        </w:rPr>
      </w:pPr>
      <w:r>
        <w:rPr>
          <w:rFonts w:hint="eastAsia" w:ascii="仿宋_GB2312" w:eastAsia="仿宋_GB2312" w:hAnsiTheme="minorEastAsia" w:cstheme="minorEastAsia"/>
          <w:sz w:val="24"/>
          <w:szCs w:val="24"/>
        </w:rPr>
        <w:t>12.3.2</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所提交的设备不符合本合同的规定；</w:t>
      </w:r>
    </w:p>
    <w:p>
      <w:pPr>
        <w:spacing w:line="360" w:lineRule="auto"/>
        <w:ind w:firstLine="453" w:firstLineChars="189"/>
        <w:jc w:val="both"/>
        <w:textAlignment w:val="auto"/>
        <w:rPr>
          <w:rFonts w:hint="eastAsia" w:ascii="仿宋_GB2312" w:eastAsia="仿宋_GB2312" w:hAnsiTheme="minorEastAsia" w:cstheme="minorEastAsia"/>
          <w:sz w:val="24"/>
          <w:szCs w:val="24"/>
          <w:lang w:eastAsia="zh-CN"/>
        </w:rPr>
      </w:pPr>
      <w:r>
        <w:rPr>
          <w:rFonts w:hint="eastAsia" w:ascii="仿宋_GB2312" w:eastAsia="仿宋_GB2312" w:hAnsiTheme="minorEastAsia" w:cstheme="minorEastAsia"/>
          <w:sz w:val="24"/>
          <w:szCs w:val="24"/>
        </w:rPr>
        <w:t>12.3.3</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发生本合同约定的解除情形的；</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12.3.4</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有其他违约行为。</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12.4</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分批交付设备的，</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对其中一批设备不交付或者交付不符合约定，致使该批设备不能实现本合同目的的，买方可以就该批设备解除合同。</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12.5</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不交付其中一批设备或者交付不符合约定，致使今后其他各批设备的交付不能实现本合同目的的，买方可以就该批以及今后其他各批设备解除合同。</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12.7因为</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违约导致买方解除合同的，</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应赔偿买方因此所遭受的一切损失。</w:t>
      </w:r>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bookmarkStart w:id="107" w:name="_Toc8620"/>
      <w:bookmarkStart w:id="108" w:name="_Toc16330030"/>
      <w:bookmarkStart w:id="109" w:name="_Toc31945"/>
      <w:bookmarkStart w:id="110" w:name="_Toc13671"/>
      <w:r>
        <w:rPr>
          <w:rFonts w:hint="eastAsia" w:ascii="黑体" w:hAnsi="黑体" w:eastAsia="黑体" w:cstheme="minorEastAsia"/>
          <w:b w:val="0"/>
          <w:sz w:val="28"/>
          <w:szCs w:val="28"/>
        </w:rPr>
        <w:t>13 不可抗力</w:t>
      </w:r>
      <w:bookmarkEnd w:id="107"/>
      <w:bookmarkEnd w:id="108"/>
      <w:bookmarkEnd w:id="109"/>
      <w:bookmarkEnd w:id="110"/>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bookmarkStart w:id="111" w:name="_Toc637"/>
      <w:bookmarkStart w:id="112" w:name="_Toc31243"/>
      <w:bookmarkStart w:id="113" w:name="_Toc30389"/>
      <w:bookmarkStart w:id="114" w:name="_Toc16330031"/>
      <w:r>
        <w:rPr>
          <w:rFonts w:hint="eastAsia" w:ascii="黑体" w:hAnsi="黑体" w:eastAsia="黑体" w:cstheme="minorEastAsia"/>
          <w:b w:val="0"/>
          <w:sz w:val="28"/>
          <w:szCs w:val="28"/>
        </w:rPr>
        <w:t>14 通讯</w:t>
      </w:r>
      <w:bookmarkEnd w:id="111"/>
      <w:bookmarkEnd w:id="112"/>
      <w:bookmarkEnd w:id="113"/>
      <w:bookmarkEnd w:id="114"/>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bookmarkStart w:id="115" w:name="_Toc16330032"/>
      <w:bookmarkStart w:id="116" w:name="_Toc11290"/>
      <w:bookmarkStart w:id="117" w:name="_Toc9915"/>
      <w:bookmarkStart w:id="118" w:name="_Toc12984"/>
      <w:r>
        <w:rPr>
          <w:rFonts w:hint="eastAsia" w:ascii="黑体" w:hAnsi="黑体" w:eastAsia="黑体" w:cstheme="minorEastAsia"/>
          <w:b w:val="0"/>
          <w:sz w:val="28"/>
          <w:szCs w:val="28"/>
        </w:rPr>
        <w:t>15 适用法律及争议解决</w:t>
      </w:r>
      <w:bookmarkEnd w:id="115"/>
      <w:bookmarkEnd w:id="116"/>
      <w:bookmarkEnd w:id="117"/>
      <w:bookmarkEnd w:id="118"/>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bookmarkStart w:id="119" w:name="_Toc16330033"/>
      <w:bookmarkStart w:id="120" w:name="_Toc18207"/>
      <w:bookmarkStart w:id="121" w:name="_Toc23906"/>
      <w:bookmarkStart w:id="122" w:name="_Toc23765"/>
      <w:r>
        <w:rPr>
          <w:rFonts w:hint="eastAsia" w:ascii="黑体" w:hAnsi="黑体" w:eastAsia="黑体" w:cstheme="minorEastAsia"/>
          <w:b w:val="0"/>
          <w:sz w:val="28"/>
          <w:szCs w:val="28"/>
        </w:rPr>
        <w:t>16 附件</w:t>
      </w:r>
      <w:bookmarkEnd w:id="119"/>
      <w:bookmarkEnd w:id="120"/>
      <w:bookmarkEnd w:id="121"/>
      <w:bookmarkEnd w:id="122"/>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16.3</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中标的设备投标书以及一切书面承诺；</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bookmarkStart w:id="123" w:name="_Toc27202"/>
      <w:bookmarkStart w:id="124" w:name="_Toc31331"/>
      <w:bookmarkStart w:id="125" w:name="_Toc16330034"/>
      <w:bookmarkStart w:id="126" w:name="_Toc17656"/>
      <w:r>
        <w:rPr>
          <w:rFonts w:hint="eastAsia" w:ascii="黑体" w:hAnsi="黑体" w:eastAsia="黑体" w:cstheme="minorEastAsia"/>
          <w:b w:val="0"/>
          <w:sz w:val="28"/>
          <w:szCs w:val="28"/>
        </w:rPr>
        <w:t>17 其他规定</w:t>
      </w:r>
      <w:bookmarkEnd w:id="123"/>
      <w:bookmarkEnd w:id="124"/>
      <w:bookmarkEnd w:id="125"/>
      <w:bookmarkEnd w:id="126"/>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jc w:val="both"/>
        <w:textAlignment w:val="auto"/>
        <w:rPr>
          <w:rFonts w:hint="eastAsia" w:ascii="仿宋_GB2312" w:eastAsia="仿宋_GB2312" w:hAnsiTheme="minorEastAsia" w:cstheme="minorEastAsia"/>
          <w:sz w:val="24"/>
          <w:szCs w:val="24"/>
        </w:rPr>
      </w:pPr>
      <w:bookmarkStart w:id="127" w:name="_Toc16330035"/>
      <w:bookmarkStart w:id="128" w:name="_Toc17952"/>
      <w:bookmarkStart w:id="129" w:name="_Toc19077"/>
      <w:bookmarkStart w:id="130" w:name="_Toc29136"/>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有配合买方监造的义务。</w:t>
      </w:r>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不能向其分包商或外购材料设备供货商及时付款等原因造成了分包商或外购材料设备供货商对买方发生了围堵上访、法律诉讼等不利的影响，</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须承担违约责任及对买方造成的一切损失，同时买方有权直接向分包商或其外购材料设备供货商直接付款，该笔款项将直接从</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的合同款项中扣除。</w:t>
      </w:r>
    </w:p>
    <w:p>
      <w:pPr>
        <w:pStyle w:val="2"/>
        <w:tabs>
          <w:tab w:val="right" w:leader="dot" w:pos="9061"/>
        </w:tabs>
        <w:spacing w:before="312" w:beforeLines="100" w:line="240" w:lineRule="auto"/>
        <w:ind w:left="0" w:firstLine="529" w:firstLineChars="189"/>
        <w:jc w:val="both"/>
        <w:textAlignment w:val="auto"/>
        <w:rPr>
          <w:rFonts w:hint="eastAsia"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27"/>
      <w:bookmarkEnd w:id="128"/>
      <w:bookmarkEnd w:id="129"/>
      <w:bookmarkEnd w:id="130"/>
    </w:p>
    <w:p>
      <w:pPr>
        <w:spacing w:line="360" w:lineRule="auto"/>
        <w:ind w:firstLine="453" w:firstLineChars="189"/>
        <w:jc w:val="both"/>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   份，买方持   份，</w:t>
      </w:r>
      <w:r>
        <w:rPr>
          <w:rFonts w:hint="eastAsia" w:ascii="仿宋_GB2312" w:eastAsia="仿宋_GB2312" w:hAnsiTheme="minorEastAsia" w:cstheme="minorEastAsia"/>
          <w:sz w:val="24"/>
          <w:szCs w:val="24"/>
          <w:lang w:eastAsia="zh-CN"/>
        </w:rPr>
        <w:t>投标方</w:t>
      </w:r>
      <w:r>
        <w:rPr>
          <w:rFonts w:hint="eastAsia" w:ascii="仿宋_GB2312" w:eastAsia="仿宋_GB2312" w:hAnsiTheme="minorEastAsia" w:cstheme="minorEastAsia"/>
          <w:sz w:val="24"/>
          <w:szCs w:val="24"/>
        </w:rPr>
        <w:t>持   份；本合同经双方签署后生效。</w:t>
      </w:r>
    </w:p>
    <w:p>
      <w:pPr>
        <w:spacing w:line="360" w:lineRule="auto"/>
        <w:ind w:firstLine="455" w:firstLineChars="189"/>
        <w:jc w:val="both"/>
        <w:textAlignment w:val="auto"/>
        <w:rPr>
          <w:rFonts w:hint="eastAsia" w:ascii="仿宋_GB2312" w:eastAsia="仿宋_GB2312" w:hAnsiTheme="minorEastAsia" w:cstheme="minorEastAsia"/>
          <w:b/>
          <w:sz w:val="24"/>
          <w:szCs w:val="24"/>
          <w:lang w:eastAsia="zh-CN"/>
        </w:rPr>
      </w:pPr>
      <w:r>
        <w:rPr>
          <w:rFonts w:hint="eastAsia"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jc w:val="both"/>
        <w:textAlignment w:val="auto"/>
        <w:rPr>
          <w:rFonts w:hint="eastAsia"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widowControl/>
        <w:adjustRightInd w:val="0"/>
        <w:snapToGrid w:val="0"/>
        <w:spacing w:line="360" w:lineRule="auto"/>
        <w:ind w:firstLine="0" w:firstLineChars="0"/>
        <w:jc w:val="left"/>
        <w:textAlignment w:val="auto"/>
        <w:rPr>
          <w:rFonts w:hint="eastAsia" w:ascii="仿宋_GB2312" w:hAnsi="宋体" w:eastAsia="仿宋_GB2312"/>
          <w:snapToGrid w:val="0"/>
          <w:kern w:val="0"/>
          <w:sz w:val="24"/>
          <w:szCs w:val="24"/>
        </w:rPr>
      </w:pPr>
      <w:r>
        <w:rPr>
          <w:rFonts w:hint="eastAsia" w:ascii="仿宋_GB2312" w:eastAsia="仿宋_GB2312" w:hAnsiTheme="minorEastAsia" w:cstheme="minorEastAsia"/>
          <w:sz w:val="24"/>
          <w:szCs w:val="24"/>
        </w:rPr>
        <w:t>（</w:t>
      </w:r>
      <w:r>
        <w:rPr>
          <w:rFonts w:hint="eastAsia" w:ascii="仿宋_GB2312" w:hAnsi="宋体" w:eastAsia="仿宋_GB2312"/>
          <w:snapToGrid w:val="0"/>
          <w:kern w:val="0"/>
          <w:sz w:val="24"/>
          <w:szCs w:val="24"/>
        </w:rPr>
        <w:t>以下无正文）</w:t>
      </w:r>
    </w:p>
    <w:p>
      <w:pPr>
        <w:widowControl/>
        <w:adjustRightInd w:val="0"/>
        <w:snapToGrid w:val="0"/>
        <w:spacing w:line="360" w:lineRule="auto"/>
        <w:ind w:firstLine="0" w:firstLineChars="0"/>
        <w:jc w:val="left"/>
        <w:textAlignment w:val="auto"/>
        <w:rPr>
          <w:rFonts w:hint="eastAsia" w:ascii="仿宋_GB2312" w:hAnsi="宋体" w:eastAsia="仿宋_GB2312"/>
          <w:snapToGrid w:val="0"/>
          <w:kern w:val="0"/>
          <w:sz w:val="24"/>
          <w:szCs w:val="24"/>
          <w:lang w:eastAsia="zh-Hans"/>
        </w:rPr>
      </w:pPr>
    </w:p>
    <w:p>
      <w:pPr>
        <w:widowControl/>
        <w:adjustRightInd w:val="0"/>
        <w:snapToGrid w:val="0"/>
        <w:spacing w:line="360" w:lineRule="auto"/>
        <w:ind w:firstLine="0" w:firstLineChars="0"/>
        <w:jc w:val="left"/>
        <w:textAlignment w:val="auto"/>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ind w:firstLine="0" w:firstLineChars="0"/>
        <w:jc w:val="left"/>
        <w:textAlignment w:val="auto"/>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法定代表人或代理人（签字）：                 法定代表人或代理人（签字）：</w:t>
      </w:r>
    </w:p>
    <w:p>
      <w:pPr>
        <w:widowControl/>
        <w:adjustRightInd w:val="0"/>
        <w:snapToGrid w:val="0"/>
        <w:spacing w:line="360" w:lineRule="auto"/>
        <w:ind w:firstLine="0" w:firstLineChars="0"/>
        <w:jc w:val="left"/>
        <w:textAlignment w:val="auto"/>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地  址：                                     地  址： </w:t>
      </w:r>
    </w:p>
    <w:p>
      <w:pPr>
        <w:widowControl/>
        <w:adjustRightInd w:val="0"/>
        <w:snapToGrid w:val="0"/>
        <w:spacing w:line="360" w:lineRule="auto"/>
        <w:ind w:firstLine="0" w:firstLineChars="0"/>
        <w:jc w:val="left"/>
        <w:textAlignment w:val="auto"/>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ind w:firstLine="0" w:firstLineChars="0"/>
        <w:jc w:val="left"/>
        <w:textAlignment w:val="auto"/>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ind w:firstLine="0" w:firstLineChars="0"/>
        <w:jc w:val="left"/>
        <w:textAlignment w:val="auto"/>
        <w:rPr>
          <w:rFonts w:hint="eastAsia"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开户银行：                                   开户银行：   </w:t>
      </w:r>
    </w:p>
    <w:p>
      <w:pPr>
        <w:widowControl/>
        <w:adjustRightInd w:val="0"/>
        <w:snapToGrid w:val="0"/>
        <w:spacing w:line="360" w:lineRule="auto"/>
        <w:ind w:firstLine="0" w:firstLineChars="0"/>
        <w:jc w:val="left"/>
        <w:textAlignment w:val="auto"/>
        <w:rPr>
          <w:rFonts w:hint="eastAsia" w:ascii="仿宋_GB2312" w:hAnsi="宋体" w:eastAsia="仿宋_GB2312"/>
          <w:snapToGrid w:val="0"/>
          <w:kern w:val="0"/>
          <w:sz w:val="24"/>
          <w:szCs w:val="24"/>
        </w:rPr>
      </w:pPr>
      <w:r>
        <w:rPr>
          <w:rFonts w:hint="eastAsia" w:ascii="仿宋_GB2312" w:hAnsi="宋体" w:eastAsia="仿宋_GB2312"/>
          <w:snapToGrid w:val="0"/>
          <w:kern w:val="0"/>
          <w:sz w:val="24"/>
          <w:szCs w:val="24"/>
          <w:lang w:eastAsia="zh-Hans"/>
        </w:rPr>
        <w:t xml:space="preserve">账  号：                                     账 号： </w:t>
      </w:r>
      <w:bookmarkStart w:id="131" w:name="_Toc16330036"/>
      <w:bookmarkStart w:id="132" w:name="_Toc28611"/>
      <w:bookmarkStart w:id="133" w:name="_Toc10272"/>
      <w:bookmarkStart w:id="134" w:name="_Toc15689"/>
    </w:p>
    <w:bookmarkEnd w:id="131"/>
    <w:bookmarkEnd w:id="132"/>
    <w:bookmarkEnd w:id="133"/>
    <w:bookmarkEnd w:id="134"/>
    <w:p>
      <w:r>
        <w:rPr>
          <w:rFonts w:hint="eastAsia"/>
        </w:rPr>
        <w:br w:type="page"/>
      </w:r>
    </w:p>
    <w:p>
      <w:pPr>
        <w:pStyle w:val="2"/>
        <w:tabs>
          <w:tab w:val="right" w:leader="dot" w:pos="9061"/>
        </w:tabs>
        <w:spacing w:line="240" w:lineRule="auto"/>
        <w:ind w:left="0" w:firstLine="560" w:firstLineChars="0"/>
        <w:jc w:val="both"/>
        <w:textAlignment w:val="auto"/>
        <w:rPr>
          <w:rFonts w:hint="eastAsia" w:ascii="黑体" w:hAnsi="黑体" w:eastAsia="黑体" w:cstheme="minorEastAsia"/>
          <w:b w:val="0"/>
          <w:i w:val="0"/>
          <w:iCs w:val="0"/>
          <w:color w:val="auto"/>
          <w:sz w:val="28"/>
          <w:szCs w:val="28"/>
          <w:lang w:eastAsia="zh-CN"/>
        </w:rPr>
      </w:pPr>
      <w:r>
        <w:rPr>
          <w:rFonts w:hint="eastAsia" w:ascii="黑体" w:hAnsi="黑体" w:eastAsia="黑体" w:cstheme="minorEastAsia"/>
          <w:b w:val="0"/>
          <w:i w:val="0"/>
          <w:iCs w:val="0"/>
          <w:color w:val="auto"/>
          <w:sz w:val="28"/>
          <w:szCs w:val="28"/>
        </w:rPr>
        <w:t>附件一：设备清单明细表</w:t>
      </w:r>
    </w:p>
    <w:p/>
    <w:tbl>
      <w:tblPr>
        <w:tblStyle w:val="40"/>
        <w:tblW w:w="9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4"/>
        <w:gridCol w:w="1345"/>
        <w:gridCol w:w="1807"/>
        <w:gridCol w:w="1048"/>
        <w:gridCol w:w="1438"/>
        <w:gridCol w:w="655"/>
        <w:gridCol w:w="734"/>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504" w:type="dxa"/>
            <w:vAlign w:val="center"/>
          </w:tcPr>
          <w:p>
            <w:pPr>
              <w:pStyle w:val="30"/>
              <w:spacing w:line="360" w:lineRule="auto"/>
              <w:ind w:left="0" w:leftChars="0" w:firstLine="0" w:firstLineChars="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序号</w:t>
            </w:r>
          </w:p>
        </w:tc>
        <w:tc>
          <w:tcPr>
            <w:tcW w:w="1345" w:type="dxa"/>
            <w:vAlign w:val="center"/>
          </w:tcPr>
          <w:p>
            <w:pPr>
              <w:pStyle w:val="30"/>
              <w:spacing w:line="360" w:lineRule="auto"/>
              <w:ind w:left="0" w:leftChars="0" w:firstLine="0" w:firstLineChars="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产品及部件名称</w:t>
            </w:r>
          </w:p>
        </w:tc>
        <w:tc>
          <w:tcPr>
            <w:tcW w:w="1807" w:type="dxa"/>
            <w:vAlign w:val="center"/>
          </w:tcPr>
          <w:p>
            <w:pPr>
              <w:pStyle w:val="30"/>
              <w:spacing w:line="360" w:lineRule="auto"/>
              <w:ind w:left="0" w:leftChars="0" w:firstLine="0" w:firstLineChars="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规格型号及技术参数</w:t>
            </w:r>
          </w:p>
        </w:tc>
        <w:tc>
          <w:tcPr>
            <w:tcW w:w="1048" w:type="dxa"/>
            <w:vAlign w:val="center"/>
          </w:tcPr>
          <w:p>
            <w:pPr>
              <w:pStyle w:val="30"/>
              <w:spacing w:line="360" w:lineRule="auto"/>
              <w:ind w:left="0" w:leftChars="0" w:firstLine="0" w:firstLineChars="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单</w:t>
            </w:r>
            <w:r>
              <w:rPr>
                <w:rFonts w:hint="eastAsia" w:asciiTheme="minorEastAsia" w:hAnsiTheme="minorEastAsia" w:eastAsiaTheme="minorEastAsia" w:cstheme="minorEastAsia"/>
                <w:sz w:val="21"/>
                <w:szCs w:val="21"/>
              </w:rPr>
              <w:t>位</w:t>
            </w:r>
          </w:p>
        </w:tc>
        <w:tc>
          <w:tcPr>
            <w:tcW w:w="1438" w:type="dxa"/>
            <w:vAlign w:val="center"/>
          </w:tcPr>
          <w:p>
            <w:pPr>
              <w:pStyle w:val="30"/>
              <w:spacing w:line="360" w:lineRule="auto"/>
              <w:ind w:left="0" w:leftChars="0" w:firstLine="0" w:firstLineChars="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数</w:t>
            </w:r>
            <w:r>
              <w:rPr>
                <w:rFonts w:hint="eastAsia" w:asciiTheme="minorEastAsia" w:hAnsiTheme="minorEastAsia" w:eastAsiaTheme="minorEastAsia" w:cstheme="minorEastAsia"/>
                <w:sz w:val="21"/>
                <w:szCs w:val="21"/>
              </w:rPr>
              <w:t>量</w:t>
            </w:r>
          </w:p>
        </w:tc>
        <w:tc>
          <w:tcPr>
            <w:tcW w:w="655" w:type="dxa"/>
            <w:vAlign w:val="center"/>
          </w:tcPr>
          <w:p>
            <w:pPr>
              <w:pStyle w:val="30"/>
              <w:spacing w:line="360" w:lineRule="auto"/>
              <w:ind w:left="0" w:leftChars="0" w:firstLine="0" w:firstLineChars="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单价</w:t>
            </w:r>
          </w:p>
        </w:tc>
        <w:tc>
          <w:tcPr>
            <w:tcW w:w="734" w:type="dxa"/>
            <w:vAlign w:val="center"/>
          </w:tcPr>
          <w:p>
            <w:pPr>
              <w:pStyle w:val="30"/>
              <w:spacing w:line="360" w:lineRule="auto"/>
              <w:ind w:left="0" w:leftChars="0" w:firstLine="0" w:firstLineChars="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总价</w:t>
            </w:r>
          </w:p>
        </w:tc>
        <w:tc>
          <w:tcPr>
            <w:tcW w:w="995" w:type="dxa"/>
            <w:vAlign w:val="center"/>
          </w:tcPr>
          <w:p>
            <w:pPr>
              <w:pStyle w:val="30"/>
              <w:spacing w:line="360" w:lineRule="auto"/>
              <w:ind w:left="0" w:leftChars="0" w:firstLine="0" w:firstLineChars="0"/>
              <w:jc w:val="both"/>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504" w:type="dxa"/>
            <w:vAlign w:val="center"/>
          </w:tcPr>
          <w:p>
            <w:pPr>
              <w:pStyle w:val="30"/>
              <w:spacing w:line="360" w:lineRule="auto"/>
              <w:ind w:left="0" w:leftChars="0" w:firstLine="0" w:firstLineChars="0"/>
              <w:jc w:val="center"/>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345"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1807"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1048"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1438"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655"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734"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995"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504" w:type="dxa"/>
            <w:vAlign w:val="center"/>
          </w:tcPr>
          <w:p>
            <w:pPr>
              <w:pStyle w:val="30"/>
              <w:spacing w:line="360" w:lineRule="auto"/>
              <w:ind w:left="0" w:leftChars="0" w:firstLine="0" w:firstLineChars="0"/>
              <w:jc w:val="center"/>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345"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1807"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1048"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1438"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655"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734"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995"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504" w:type="dxa"/>
            <w:vAlign w:val="center"/>
          </w:tcPr>
          <w:p>
            <w:pPr>
              <w:pStyle w:val="30"/>
              <w:spacing w:line="360" w:lineRule="auto"/>
              <w:ind w:left="0" w:leftChars="0" w:firstLine="0" w:firstLineChars="0"/>
              <w:jc w:val="center"/>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345"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1807"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1048"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1438"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655"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734"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995"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504" w:type="dxa"/>
            <w:vAlign w:val="center"/>
          </w:tcPr>
          <w:p>
            <w:pPr>
              <w:pStyle w:val="30"/>
              <w:spacing w:line="360" w:lineRule="auto"/>
              <w:ind w:left="0" w:leftChars="0" w:firstLine="0" w:firstLineChars="0"/>
              <w:jc w:val="center"/>
              <w:textAlignment w:val="auto"/>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345"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1807"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1048"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1438"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655"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734"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c>
          <w:tcPr>
            <w:tcW w:w="995" w:type="dxa"/>
            <w:vAlign w:val="center"/>
          </w:tcPr>
          <w:p>
            <w:pPr>
              <w:pStyle w:val="30"/>
              <w:spacing w:line="360" w:lineRule="auto"/>
              <w:ind w:left="480" w:firstLine="482" w:firstLineChars="0"/>
              <w:jc w:val="both"/>
              <w:textAlignment w:val="auto"/>
              <w:rPr>
                <w:rFonts w:hint="eastAsia" w:ascii="仿宋_GB2312" w:eastAsia="仿宋_GB2312" w:hAnsiTheme="minorEastAsia" w:cstheme="minorEastAsia"/>
                <w:sz w:val="24"/>
                <w:szCs w:val="24"/>
              </w:rPr>
            </w:pPr>
          </w:p>
        </w:tc>
      </w:tr>
    </w:tbl>
    <w:p>
      <w:pPr>
        <w:pStyle w:val="2"/>
      </w:pPr>
    </w:p>
    <w:p>
      <w:r>
        <w:rPr>
          <w:rFonts w:hint="eastAsia"/>
        </w:rPr>
        <w:br w:type="page"/>
      </w:r>
    </w:p>
    <w:p>
      <w:pPr>
        <w:pStyle w:val="2"/>
        <w:tabs>
          <w:tab w:val="right" w:leader="dot" w:pos="9061"/>
        </w:tabs>
        <w:spacing w:line="240" w:lineRule="auto"/>
        <w:ind w:left="0" w:firstLine="560" w:firstLineChars="0"/>
        <w:jc w:val="both"/>
        <w:textAlignment w:val="auto"/>
        <w:rPr>
          <w:rFonts w:hint="eastAsia" w:ascii="黑体" w:hAnsi="黑体" w:eastAsia="黑体" w:cstheme="minorEastAsia"/>
          <w:b w:val="0"/>
          <w:i w:val="0"/>
          <w:iCs w:val="0"/>
          <w:sz w:val="28"/>
          <w:szCs w:val="28"/>
        </w:rPr>
      </w:pPr>
      <w:r>
        <w:rPr>
          <w:rFonts w:hint="eastAsia" w:ascii="黑体" w:hAnsi="黑体" w:eastAsia="黑体" w:cstheme="minorEastAsia"/>
          <w:b w:val="0"/>
          <w:i w:val="0"/>
          <w:iCs w:val="0"/>
          <w:sz w:val="28"/>
          <w:szCs w:val="28"/>
        </w:rPr>
        <w:t>附件二 技术协议书</w:t>
      </w:r>
    </w:p>
    <w:bookmarkEnd w:id="55"/>
    <w:p>
      <w:r>
        <w:rPr>
          <w:rFonts w:hint="eastAsia"/>
        </w:rPr>
        <w:br w:type="page"/>
      </w:r>
      <w:bookmarkEnd w:id="56"/>
    </w:p>
    <w:p>
      <w:r>
        <w:rPr>
          <w:rFonts w:hint="eastAsia" w:ascii="宋体" w:hAnsi="宋体" w:eastAsia="宋体" w:cs="宋体"/>
          <w:sz w:val="32"/>
          <w:szCs w:val="32"/>
        </w:rPr>
        <w:t xml:space="preserve">附件               </w:t>
      </w:r>
      <w:r>
        <w:rPr>
          <w:rFonts w:hint="eastAsia" w:ascii="宋体" w:hAnsi="宋体" w:eastAsia="宋体" w:cs="宋体"/>
          <w:b/>
          <w:bCs/>
          <w:kern w:val="0"/>
          <w:sz w:val="32"/>
          <w:szCs w:val="32"/>
        </w:rPr>
        <w:t>商业及技术保密协议书</w:t>
      </w:r>
      <w:r>
        <w:rPr>
          <w:rFonts w:hint="eastAsia" w:ascii="宋体" w:hAnsi="宋体" w:eastAsia="宋体" w:cs="宋体"/>
          <w:b/>
          <w:bCs/>
          <w:sz w:val="32"/>
          <w:szCs w:val="32"/>
        </w:rPr>
        <w:t xml:space="preserve"> </w:t>
      </w:r>
      <w:r>
        <w:rPr>
          <w:rFonts w:hint="eastAsia"/>
          <w:b/>
          <w:bCs/>
        </w:rPr>
        <w:t xml:space="preserve"> </w:t>
      </w:r>
      <w:r>
        <w:rPr>
          <w:rFonts w:hint="eastAsia"/>
        </w:rPr>
        <w:t xml:space="preserve">   </w:t>
      </w:r>
    </w:p>
    <w:p/>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 xml:space="preserve">甲方：                                  地址：            </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 xml:space="preserve">乙方：                                  地址：            </w:t>
      </w:r>
    </w:p>
    <w:p>
      <w:pPr>
        <w:widowControl/>
        <w:spacing w:line="400" w:lineRule="exact"/>
        <w:ind w:firstLine="210" w:firstLineChars="100"/>
        <w:jc w:val="both"/>
        <w:textAlignment w:val="auto"/>
        <w:rPr>
          <w:rFonts w:hint="eastAsia" w:ascii="仿宋" w:hAnsi="仿宋" w:eastAsia="仿宋"/>
          <w:sz w:val="21"/>
          <w:szCs w:val="21"/>
          <w:highlight w:val="yellow"/>
        </w:rPr>
      </w:pPr>
      <w:r>
        <w:rPr>
          <w:rFonts w:hint="eastAsia" w:ascii="仿宋" w:hAnsi="仿宋" w:eastAsia="仿宋"/>
          <w:sz w:val="21"/>
          <w:szCs w:val="21"/>
        </w:rPr>
        <w:t xml:space="preserve">正如《业务外包合同》所表明，甲方已指定乙方加工某些产品、服务，与此相关甲方已向乙方提供工艺文件、质量要求及其它有关文件，甲方通过技术交流、技术指导、技术交底等方式，使乙方掌握了甲方技术及业务方面的机密内容。根据有关法律法规，本着平等、自愿的原则，甲乙双方于  </w:t>
      </w:r>
      <w:r>
        <w:rPr>
          <w:rFonts w:hint="eastAsia" w:ascii="仿宋" w:hAnsi="仿宋" w:eastAsia="仿宋"/>
          <w:sz w:val="21"/>
          <w:szCs w:val="21"/>
          <w:highlight w:val="yellow"/>
        </w:rPr>
        <w:t>2024 年     月     日于       共同订立本协议，以资信守：</w:t>
      </w:r>
    </w:p>
    <w:p>
      <w:pPr>
        <w:widowControl/>
        <w:spacing w:line="400" w:lineRule="exact"/>
        <w:ind w:firstLine="422" w:firstLineChars="200"/>
        <w:jc w:val="both"/>
        <w:textAlignment w:val="auto"/>
        <w:rPr>
          <w:rFonts w:hint="eastAsia" w:ascii="仿宋" w:hAnsi="仿宋" w:eastAsia="仿宋"/>
          <w:b/>
          <w:sz w:val="21"/>
          <w:szCs w:val="21"/>
        </w:rPr>
      </w:pPr>
      <w:r>
        <w:rPr>
          <w:rFonts w:hint="eastAsia" w:ascii="仿宋" w:hAnsi="仿宋" w:eastAsia="仿宋"/>
          <w:b/>
          <w:sz w:val="21"/>
          <w:szCs w:val="21"/>
        </w:rPr>
        <w:t>一、保密期限及范围</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1、乙方保证，乙方应对其在甲方接触、知悉的属于甲方的（或者虽属于第三方所有或持有，但甲方负有保密义务的，如中国重型汽车集团有限公司、中国重汽（香港）有限公司、中国重汽集团济南技术中心有限公司等所有或持有的）商业秘密承担保密义务，直至甲方宣布解密或者商业秘密实际上已经公开。</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2、本协议提及的商业秘密是指不为公众知悉，能给甲方带来经济利益，具有实用性，并经甲方采取保密措施的信息。包括但不限于：</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2.1技术信息：技术方案、工程设计、电路设计、制作方法、操作方法、控制方法、测试方法、技术指标、计算机软件、数据库、研究开发记录、技术报告、检测报告、实验数据、实验结果、图纸、样品、样机、模型、模具、操作手册、技术文档、相关的函电、工程设计、产品设计图纸及其说明、所有工艺技术资料、产品图样、产品明细表、工艺（流程、配方等）、生产设备及设备配置、影像资料、各种与技术质量相关的系统软件、相关会议资料、程序文件等。</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2.2经营信息：主要包括合同内容、客户信息、营销计划、采购资料、定价政策、合作厂家、进货渠道以及、经营战略、规划及生产经营数据、采购计划及供给商资料等，以及与上述相关的产品、服务、成果等。</w:t>
      </w:r>
    </w:p>
    <w:p>
      <w:pPr>
        <w:widowControl/>
        <w:spacing w:line="400" w:lineRule="exact"/>
        <w:ind w:firstLine="422" w:firstLineChars="200"/>
        <w:jc w:val="both"/>
        <w:textAlignment w:val="auto"/>
        <w:rPr>
          <w:rFonts w:hint="eastAsia" w:ascii="仿宋" w:hAnsi="仿宋" w:eastAsia="仿宋"/>
          <w:b/>
          <w:sz w:val="21"/>
          <w:szCs w:val="21"/>
        </w:rPr>
      </w:pPr>
      <w:r>
        <w:rPr>
          <w:rFonts w:hint="eastAsia" w:ascii="仿宋" w:hAnsi="仿宋" w:eastAsia="仿宋"/>
          <w:b/>
          <w:sz w:val="21"/>
          <w:szCs w:val="21"/>
        </w:rPr>
        <w:t>二、保密义务</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3、乙方承诺如下：（１）对所收到的一切文件保密；（２）仅将所收到的文件用于履行其供应承诺之目的；（３）不将所收到的文件的全部或部分内容以任何载体表达透露给任何人（本协议允许的除外）；（４）确保妥善保存所收到的一切文件；（５）同意甲方根据需要不时修改上述一切文件。</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乙方进一步承诺：确保不会有人未经授权利用甲方提供的文件而仿制复制或者其他方式生产或销售按本协议供应的产品。乙方只能向其高级职员和员工提供从甲方所收到的文件，条件是这些高级职员和雇员必须与此直接相关，其知悉该等文件的内容对履行乙方的供应承诺尤为至关重要。乙方应确保其高级职员和员工遵守本协议所述的保密义务，其高级职员和员工不遵守上述义务的应由乙方承担全部责任。</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甲方结束订单履行之时或一经书面要求,所收到的一切文件及其任何载体的复制件应立即归还甲方。</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4、乙方在双方合作业务结束时应返还其因业务需要所持有或保管的一切记录着甲方商业秘密的文件、资料、图表、笔记、报告、信件、传真、磁带、磁盘、U盘、及其他任何形式的载体，并按甲方的规定办理有关交接手续；或按甲方的规定对有关商业秘密资料予以销毁。</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5、乙方在双方合作业务结束时应当保证将记载于乙方自由载体的甲方商业秘密立即删除；不能删除的，乙方应当立即销毁或移交给甲方。</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6、乙方谨此承诺，在双方合作业务结束时保证已经全部归还或者销毁乙方掌握的甲方的商业秘密资料，不再持有记录有甲方商业秘密的任何载体。</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7、乙方在保密期限内不得将知悉的甲方的商业秘密泄露给第三方或擅自使用甲方商业秘密。</w:t>
      </w:r>
    </w:p>
    <w:p>
      <w:pPr>
        <w:widowControl/>
        <w:spacing w:line="400" w:lineRule="exact"/>
        <w:ind w:firstLine="422" w:firstLineChars="200"/>
        <w:jc w:val="both"/>
        <w:textAlignment w:val="auto"/>
        <w:rPr>
          <w:rFonts w:hint="eastAsia" w:ascii="仿宋" w:hAnsi="仿宋" w:eastAsia="仿宋"/>
          <w:b/>
          <w:sz w:val="21"/>
          <w:szCs w:val="21"/>
        </w:rPr>
      </w:pPr>
      <w:r>
        <w:rPr>
          <w:rFonts w:hint="eastAsia" w:ascii="仿宋" w:hAnsi="仿宋" w:eastAsia="仿宋"/>
          <w:b/>
          <w:sz w:val="21"/>
          <w:szCs w:val="21"/>
        </w:rPr>
        <w:t>三、违约责任</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8、如乙方违反本协议保密义务，应当向甲方缴纳违约金人民币XX万元，给甲方造成损失的，还应当向甲方承担赔偿责任。</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9、乙方如因违约致使甲方调查乙方违约行为而支付的合理费用（包括但不限于律师费、调查费、鉴定费等），不包含在违约金之内，乙方应另行承担。</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10、乙方违反本约定披露、使用或者允许他人使用乙方所掌握的甲方商业秘密的，给甲方造成重大损失的，甲方将依照刑法有关规定有权向国家公安司法机关实施控告，以追究乙方的刑事责任。</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11、本协议的保密责任主体不仅限于乙方，也包括乙方的所有员工。乙方的员工违反本协议前款约定致使甲方的商业秘密泄露的应由乙方承担所有法律责任。</w:t>
      </w:r>
    </w:p>
    <w:p>
      <w:pPr>
        <w:widowControl/>
        <w:spacing w:line="400" w:lineRule="exact"/>
        <w:ind w:firstLine="422" w:firstLineChars="200"/>
        <w:jc w:val="both"/>
        <w:textAlignment w:val="auto"/>
        <w:rPr>
          <w:rFonts w:hint="eastAsia" w:ascii="仿宋" w:hAnsi="仿宋" w:eastAsia="仿宋"/>
          <w:b/>
          <w:sz w:val="21"/>
          <w:szCs w:val="21"/>
        </w:rPr>
      </w:pPr>
      <w:r>
        <w:rPr>
          <w:rFonts w:hint="eastAsia" w:ascii="仿宋" w:hAnsi="仿宋" w:eastAsia="仿宋"/>
          <w:b/>
          <w:sz w:val="21"/>
          <w:szCs w:val="21"/>
        </w:rPr>
        <w:t>四、其他条款</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12、乙方因使用文件及其内容而产生的商品、服务或工作成果只能供应给甲方，或者应中国重汽（ＣＮＨＴＣ）的要求供应给予中国重汽（ＣＮＨＴＣ）及其关联公司或被许可人。乙方承诺，甲方结束订单履行之时或所收到的一切文件及其任何载体的复制件归还甲方后十年内，不向第三方提供因使用上述文件及其内容而产生的商品、服务或工作成果。</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13、因执行本协议发生纠纷，双方可以协商解决，协商不成的，可向甲方所在地人民法院提起诉讼。</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14、本协议字甲乙双方签字并盖章之日起生效。</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15、本协议一式三份，甲方二份，乙方一份，具有同等法律效力。</w:t>
      </w:r>
    </w:p>
    <w:p>
      <w:pPr>
        <w:widowControl/>
        <w:spacing w:line="400" w:lineRule="exact"/>
        <w:ind w:firstLine="210" w:firstLineChars="100"/>
        <w:jc w:val="both"/>
        <w:textAlignment w:val="auto"/>
        <w:rPr>
          <w:rFonts w:hint="eastAsia" w:ascii="仿宋" w:hAnsi="仿宋" w:eastAsia="仿宋"/>
          <w:sz w:val="21"/>
          <w:szCs w:val="21"/>
        </w:rPr>
      </w:pPr>
    </w:p>
    <w:p>
      <w:pPr>
        <w:widowControl/>
        <w:spacing w:line="400" w:lineRule="exact"/>
        <w:ind w:firstLine="210" w:firstLineChars="100"/>
        <w:jc w:val="both"/>
        <w:textAlignment w:val="auto"/>
        <w:rPr>
          <w:rFonts w:hint="eastAsia" w:ascii="仿宋" w:hAnsi="仿宋" w:eastAsia="仿宋"/>
          <w:sz w:val="21"/>
          <w:szCs w:val="21"/>
        </w:rPr>
      </w:pPr>
    </w:p>
    <w:p>
      <w:pPr>
        <w:widowControl/>
        <w:spacing w:line="400" w:lineRule="exact"/>
        <w:ind w:firstLine="210" w:firstLineChars="100"/>
        <w:jc w:val="both"/>
        <w:textAlignment w:val="auto"/>
        <w:rPr>
          <w:rFonts w:hint="eastAsia" w:ascii="仿宋" w:hAnsi="仿宋" w:eastAsia="仿宋"/>
          <w:sz w:val="21"/>
          <w:szCs w:val="21"/>
        </w:rPr>
      </w:pP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甲方：                                     乙方：</w:t>
      </w: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代表人：                                   代表人：</w:t>
      </w:r>
    </w:p>
    <w:p>
      <w:pPr>
        <w:widowControl/>
        <w:spacing w:line="400" w:lineRule="exact"/>
        <w:ind w:firstLine="210" w:firstLineChars="100"/>
        <w:jc w:val="both"/>
        <w:textAlignment w:val="auto"/>
        <w:rPr>
          <w:rFonts w:hint="eastAsia" w:ascii="仿宋" w:hAnsi="仿宋" w:eastAsia="仿宋"/>
          <w:sz w:val="21"/>
          <w:szCs w:val="21"/>
        </w:rPr>
      </w:pPr>
    </w:p>
    <w:p>
      <w:pPr>
        <w:widowControl/>
        <w:spacing w:line="400" w:lineRule="exact"/>
        <w:ind w:firstLine="210" w:firstLineChars="100"/>
        <w:jc w:val="both"/>
        <w:textAlignment w:val="auto"/>
        <w:rPr>
          <w:rFonts w:hint="eastAsia" w:ascii="仿宋" w:hAnsi="仿宋" w:eastAsia="仿宋"/>
          <w:sz w:val="21"/>
          <w:szCs w:val="21"/>
        </w:rPr>
      </w:pPr>
      <w:r>
        <w:rPr>
          <w:rFonts w:hint="eastAsia" w:ascii="仿宋" w:hAnsi="仿宋" w:eastAsia="仿宋"/>
          <w:sz w:val="21"/>
          <w:szCs w:val="21"/>
        </w:rPr>
        <w:t>时间：                                     时间：</w:t>
      </w:r>
    </w:p>
    <w:p>
      <w:r>
        <w:rPr>
          <w:rFonts w:hint="eastAsia"/>
        </w:rPr>
        <w:br w:type="page"/>
      </w:r>
    </w:p>
    <w:p>
      <w:pPr>
        <w:spacing w:line="240" w:lineRule="auto"/>
        <w:ind w:firstLine="800" w:firstLineChars="0"/>
        <w:jc w:val="center"/>
        <w:textAlignment w:val="auto"/>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t>廉洁诚信协议</w:t>
      </w:r>
    </w:p>
    <w:p>
      <w:pPr>
        <w:spacing w:line="607" w:lineRule="auto"/>
        <w:ind w:left="117" w:right="3769" w:firstLine="562" w:firstLineChars="0"/>
        <w:jc w:val="both"/>
        <w:textAlignment w:val="auto"/>
        <w:rPr>
          <w:rFonts w:hint="eastAsia" w:ascii="楷体" w:hAnsi="楷体" w:eastAsia="楷体" w:cs="楷体"/>
          <w:b/>
          <w:sz w:val="28"/>
          <w:szCs w:val="21"/>
        </w:rPr>
      </w:pPr>
    </w:p>
    <w:p>
      <w:pPr>
        <w:spacing w:line="607" w:lineRule="auto"/>
        <w:ind w:left="117" w:right="3769" w:firstLine="562" w:firstLineChars="0"/>
        <w:jc w:val="both"/>
        <w:textAlignment w:val="auto"/>
        <w:rPr>
          <w:rFonts w:hint="eastAsia"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firstLine="562" w:firstLineChars="0"/>
        <w:jc w:val="both"/>
        <w:textAlignment w:val="auto"/>
        <w:rPr>
          <w:rFonts w:hint="eastAsia" w:ascii="楷体" w:hAnsi="楷体" w:eastAsia="楷体" w:cs="楷体"/>
          <w:b/>
          <w:sz w:val="28"/>
          <w:szCs w:val="21"/>
        </w:rPr>
      </w:pPr>
      <w:r>
        <w:rPr>
          <w:rFonts w:hint="eastAsia" w:ascii="楷体" w:hAnsi="楷体" w:eastAsia="楷体" w:cs="楷体"/>
          <w:b/>
          <w:sz w:val="28"/>
          <w:szCs w:val="21"/>
        </w:rPr>
        <w:t>乙方：</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共同加强廉洁自律建设，甲乙双方在平等、自愿、协商一致的原则下，签订本协议。</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lang w:val="en-US" w:eastAsia="zh-CN"/>
        </w:rPr>
        <w:t>1.</w:t>
      </w:r>
      <w:r>
        <w:rPr>
          <w:rFonts w:hint="eastAsia" w:ascii="楷体" w:hAnsi="楷体" w:eastAsia="楷体" w:cs="楷体"/>
          <w:spacing w:val="-2"/>
          <w:sz w:val="28"/>
          <w:szCs w:val="28"/>
        </w:rPr>
        <w:t>甲乙双方应当共同遵守国家、地方法律法规以及本协议的约定，在合同的订立、履行过程中廉洁自律，绝不弄虚作假、以次充好，虚结虚算。</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lang w:val="en-US" w:eastAsia="zh-CN"/>
        </w:rPr>
        <w:t>2.</w:t>
      </w:r>
      <w:r>
        <w:rPr>
          <w:rFonts w:hint="eastAsia" w:ascii="楷体" w:hAnsi="楷体" w:eastAsia="楷体" w:cs="楷体"/>
          <w:spacing w:val="-2"/>
          <w:sz w:val="28"/>
          <w:szCs w:val="28"/>
        </w:rPr>
        <w:t>乙方声明并承诺甲方人员或其配偶、子女及其配偶等亲属和其他特定关系人（甲方人员为领导干部的，其他特定关系人包含身边工作人员）没有直接或间接投资乙方或持有乙方股权，没有直接或间接投资乙方关联企业或持有乙方关联企业股权。</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3.乙方承诺乙方或乙方关联企业股东、实际出资人或持股人、高管、主要业务人员不得与甲方人员或其配偶、子女及其配偶等亲属和其他特定关系人共同成立公司，不得聘请甲方人员或其配偶、子女及其配偶等亲属和其他特定关系人在乙方或乙方关联企业股东或实际出资人或高管或主要业务人员成立的企业中担任高管或为其违规发放薪酬。违规发放薪酬包括不实际工作而获取薪酬或者虽实际工作但领取明显超出同职级标准薪酬。（若乙方为甲方新合作伙伴，如在本协议签订前乙方存在本条规定情形的，需在本协议签订后30日内，将相关情况报甲方所属重汽集团纪委、监察部门备案）。</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已签订的所有合同协议，并要求乙方赔偿。</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5.乙方承诺不以任何理由为甲方人员及其配偶、子女及其配偶等亲属和其他特定关系人提供如下：</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a)赠送礼品、礼金、消费卡（券）、购物卡、充值卡、信用卡和有价证券、股权、其他金融产品等财物和其他贵重物品；</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b)报销个人费用或以讲课费、课题费、咨询费等名义支付费用；</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c)以洽谈业务、签订合同等为借口宴请或邀请外出旅游、健身、娱乐和进入营业性娱乐场所；</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d)购置或提供通讯、交通工具、钱款、住房、车辆等或提供通过民间借贷等金融助其获得大额回报；</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e)住房装修、婚丧嫁娶、家属和子女的工作安排以及出国等提供任何金钱或非金钱方式的资助或帮助；</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f)吸收存款、推销金融产品、经营名贵特产类资源等提供帮助谋取利益；</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g)其他可能影响甲方人员公平、公正的履行职权或者履行职责的情形。</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6.乙方应当通过正常途径开展相关业务，决不为谋取不正当利益诱使甲方人员就采购、服务或销售、经销的物项种类、物项数量、价格条件、付款条件、质量问题处理等方面私下商谈或达成默契；决不以任何方式诱使甲方人员接受或共同编造虚假议价及质量资料、影响交易价格或交易之达成、违背职务、将合同权利义务转让给第三方及其它损害甲方利益的行为。</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7.若乙方发现甲方人员或其配偶、子女及其配偶等亲属和其他特定关系人有任何形式的索贿受贿行为，乙方有责任向甲方所属重汽集团纪委、监察部门举报（举报电话：0531-58062233，举报邮箱：jianchabu@sinotruk.com）。甲方不得以任何借口对乙方进行报复。对举报属实和严格遵守廉洁协议的乙方，在同等条件下甲方优先考虑与乙方继续合作并给予更优惠的商务合作条件。</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8.若乙方知悉其它与甲方合作的供应商、服务商或采购商、经销商等合作伙伴存在违反本协议规定之行为，乙方应向甲方或甲方所属重汽集团纪委、监察部门检举并提供证据。</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14.本协议作为执行甲乙双方采购协议或其他合作合同、协议的附件，自双方签署之日起生效，此协议在甲乙双方业务合作期间有效；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77"/>
        <w:numPr>
          <w:ilvl w:val="0"/>
          <w:numId w:val="0"/>
        </w:numPr>
        <w:tabs>
          <w:tab w:val="left" w:pos="1244"/>
        </w:tabs>
        <w:adjustRightInd w:val="0"/>
        <w:spacing w:line="305" w:lineRule="auto"/>
        <w:ind w:firstLine="552" w:firstLineChars="200"/>
        <w:jc w:val="both"/>
        <w:textAlignment w:val="auto"/>
        <w:rPr>
          <w:rFonts w:hint="eastAsia" w:ascii="楷体" w:hAnsi="楷体" w:eastAsia="楷体" w:cs="楷体"/>
          <w:spacing w:val="-2"/>
          <w:sz w:val="28"/>
          <w:szCs w:val="28"/>
        </w:rPr>
      </w:pPr>
      <w:r>
        <w:rPr>
          <w:rFonts w:hint="eastAsia" w:ascii="楷体" w:hAnsi="楷体" w:eastAsia="楷体" w:cs="楷体"/>
          <w:spacing w:val="-2"/>
          <w:sz w:val="28"/>
          <w:szCs w:val="28"/>
        </w:rPr>
        <w:t>15.本协议一式二份，双方各执一份，具有同等法律效力。若产生争议，双方协商解决，协商不成的在甲方所在地有管辖权的法院诉讼解决。</w:t>
      </w:r>
    </w:p>
    <w:p>
      <w:pPr>
        <w:pStyle w:val="17"/>
        <w:spacing w:after="156"/>
      </w:pPr>
    </w:p>
    <w:p>
      <w:pPr>
        <w:tabs>
          <w:tab w:val="left" w:pos="5457"/>
        </w:tabs>
        <w:spacing w:before="1" w:line="240" w:lineRule="auto"/>
        <w:ind w:left="117" w:firstLine="474" w:firstLineChars="0"/>
        <w:jc w:val="both"/>
        <w:textAlignment w:val="auto"/>
        <w:rPr>
          <w:rFonts w:hint="eastAsia" w:ascii="楷体" w:hAnsi="楷体" w:eastAsia="楷体" w:cs="楷体"/>
          <w:b/>
          <w:spacing w:val="-1"/>
          <w:w w:val="99"/>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
          <w:w w:val="99"/>
          <w:sz w:val="24"/>
          <w:szCs w:val="21"/>
        </w:rPr>
        <w:tab/>
      </w:r>
      <w:r>
        <w:rPr>
          <w:rFonts w:hint="eastAsia" w:ascii="楷体" w:hAnsi="楷体" w:eastAsia="楷体" w:cs="楷体"/>
          <w:b/>
          <w:spacing w:val="-1"/>
          <w:w w:val="99"/>
          <w:sz w:val="24"/>
          <w:szCs w:val="21"/>
        </w:rPr>
        <w:t>乙方（盖章）：</w:t>
      </w:r>
    </w:p>
    <w:p>
      <w:pPr>
        <w:tabs>
          <w:tab w:val="left" w:pos="5457"/>
        </w:tabs>
        <w:spacing w:before="1" w:line="240" w:lineRule="auto"/>
        <w:ind w:left="117" w:firstLine="474" w:firstLineChars="0"/>
        <w:jc w:val="both"/>
        <w:textAlignment w:val="auto"/>
        <w:rPr>
          <w:rFonts w:hint="eastAsia" w:ascii="楷体" w:hAnsi="楷体" w:eastAsia="楷体" w:cs="楷体"/>
          <w:b/>
          <w:spacing w:val="-1"/>
          <w:w w:val="99"/>
          <w:sz w:val="24"/>
          <w:szCs w:val="21"/>
        </w:rPr>
      </w:pPr>
    </w:p>
    <w:p>
      <w:pPr>
        <w:tabs>
          <w:tab w:val="left" w:pos="5457"/>
        </w:tabs>
        <w:spacing w:before="1" w:line="240" w:lineRule="auto"/>
        <w:ind w:left="117" w:firstLine="474" w:firstLineChars="0"/>
        <w:jc w:val="both"/>
        <w:textAlignment w:val="auto"/>
        <w:rPr>
          <w:rFonts w:hint="eastAsia" w:ascii="楷体" w:hAnsi="楷体" w:eastAsia="楷体" w:cs="楷体"/>
          <w:b/>
          <w:spacing w:val="-1"/>
          <w:w w:val="99"/>
          <w:sz w:val="24"/>
          <w:szCs w:val="21"/>
        </w:rPr>
      </w:pPr>
    </w:p>
    <w:p>
      <w:pPr>
        <w:tabs>
          <w:tab w:val="left" w:pos="5457"/>
        </w:tabs>
        <w:spacing w:before="1" w:line="240" w:lineRule="auto"/>
        <w:ind w:left="117" w:firstLine="474" w:firstLineChars="0"/>
        <w:jc w:val="both"/>
        <w:textAlignment w:val="auto"/>
        <w:rPr>
          <w:rFonts w:hint="eastAsia" w:ascii="楷体" w:hAnsi="楷体" w:eastAsia="楷体" w:cs="楷体"/>
          <w:b/>
          <w:spacing w:val="-1"/>
          <w:w w:val="99"/>
          <w:sz w:val="24"/>
          <w:szCs w:val="21"/>
        </w:rPr>
      </w:pPr>
      <w:r>
        <w:rPr>
          <w:rFonts w:hint="eastAsia" w:ascii="楷体" w:hAnsi="楷体" w:eastAsia="楷体" w:cs="楷体"/>
          <w:b/>
          <w:spacing w:val="-1"/>
          <w:w w:val="99"/>
          <w:sz w:val="24"/>
          <w:szCs w:val="21"/>
        </w:rPr>
        <w:t>法定代表/授权代表</w:t>
      </w:r>
      <w:r>
        <w:rPr>
          <w:rFonts w:hint="eastAsia" w:ascii="楷体" w:hAnsi="楷体" w:eastAsia="楷体" w:cs="楷体"/>
          <w:b/>
          <w:spacing w:val="-1"/>
          <w:w w:val="99"/>
          <w:sz w:val="24"/>
          <w:szCs w:val="21"/>
        </w:rPr>
        <w:tab/>
      </w:r>
      <w:r>
        <w:rPr>
          <w:rFonts w:hint="eastAsia" w:ascii="楷体" w:hAnsi="楷体" w:eastAsia="楷体" w:cs="楷体"/>
          <w:b/>
          <w:spacing w:val="-1"/>
          <w:w w:val="99"/>
          <w:sz w:val="24"/>
          <w:szCs w:val="21"/>
        </w:rPr>
        <w:t>法定代表/授权代表</w:t>
      </w:r>
    </w:p>
    <w:p>
      <w:pPr>
        <w:tabs>
          <w:tab w:val="left" w:pos="5457"/>
        </w:tabs>
        <w:spacing w:before="1" w:line="240" w:lineRule="auto"/>
        <w:ind w:left="117" w:firstLine="474" w:firstLineChars="0"/>
        <w:jc w:val="both"/>
        <w:textAlignment w:val="auto"/>
        <w:rPr>
          <w:rFonts w:hint="eastAsia" w:ascii="楷体" w:hAnsi="楷体" w:eastAsia="楷体" w:cs="楷体"/>
          <w:b/>
          <w:spacing w:val="-1"/>
          <w:w w:val="99"/>
          <w:sz w:val="24"/>
          <w:szCs w:val="21"/>
        </w:rPr>
      </w:pPr>
    </w:p>
    <w:p>
      <w:pPr>
        <w:tabs>
          <w:tab w:val="left" w:pos="5457"/>
        </w:tabs>
        <w:spacing w:before="1" w:line="240" w:lineRule="auto"/>
        <w:ind w:left="117" w:firstLine="474" w:firstLineChars="0"/>
        <w:jc w:val="both"/>
        <w:textAlignment w:val="auto"/>
        <w:rPr>
          <w:rFonts w:hint="eastAsia" w:ascii="楷体" w:hAnsi="楷体" w:eastAsia="楷体" w:cs="楷体"/>
          <w:b/>
          <w:spacing w:val="-1"/>
          <w:w w:val="99"/>
          <w:sz w:val="24"/>
          <w:szCs w:val="21"/>
        </w:rPr>
      </w:pPr>
    </w:p>
    <w:p>
      <w:pPr>
        <w:tabs>
          <w:tab w:val="left" w:pos="5457"/>
        </w:tabs>
        <w:spacing w:before="1" w:line="240" w:lineRule="auto"/>
        <w:ind w:left="117" w:firstLine="474" w:firstLineChars="0"/>
        <w:jc w:val="both"/>
        <w:textAlignment w:val="auto"/>
        <w:rPr>
          <w:rFonts w:hint="eastAsia" w:ascii="楷体" w:hAnsi="楷体" w:eastAsia="楷体" w:cs="楷体"/>
          <w:b/>
          <w:spacing w:val="-1"/>
          <w:w w:val="99"/>
          <w:sz w:val="24"/>
          <w:szCs w:val="21"/>
        </w:rPr>
      </w:pPr>
      <w:r>
        <w:rPr>
          <w:rFonts w:hint="eastAsia" w:ascii="楷体" w:hAnsi="楷体" w:eastAsia="楷体" w:cs="楷体"/>
          <w:b/>
          <w:spacing w:val="-1"/>
          <w:w w:val="99"/>
          <w:sz w:val="24"/>
          <w:szCs w:val="21"/>
        </w:rPr>
        <w:t>日 期:</w:t>
      </w:r>
      <w:r>
        <w:rPr>
          <w:rFonts w:hint="eastAsia" w:ascii="楷体" w:hAnsi="楷体" w:eastAsia="楷体" w:cs="楷体"/>
          <w:b/>
          <w:spacing w:val="-1"/>
          <w:w w:val="99"/>
          <w:sz w:val="24"/>
          <w:szCs w:val="21"/>
        </w:rPr>
        <w:tab/>
      </w:r>
      <w:r>
        <w:rPr>
          <w:rFonts w:hint="eastAsia" w:ascii="楷体" w:hAnsi="楷体" w:eastAsia="楷体" w:cs="楷体"/>
          <w:b/>
          <w:spacing w:val="-1"/>
          <w:w w:val="99"/>
          <w:sz w:val="24"/>
          <w:szCs w:val="21"/>
        </w:rPr>
        <w:t>日 期:</w:t>
      </w:r>
    </w:p>
    <w:p>
      <w:pPr>
        <w:tabs>
          <w:tab w:val="left" w:pos="5457"/>
        </w:tabs>
        <w:spacing w:before="1" w:line="240" w:lineRule="auto"/>
        <w:ind w:left="117" w:firstLine="474" w:firstLineChars="0"/>
        <w:jc w:val="both"/>
        <w:textAlignment w:val="auto"/>
        <w:rPr>
          <w:rFonts w:hint="eastAsia" w:ascii="楷体" w:hAnsi="楷体" w:eastAsia="楷体" w:cs="楷体"/>
          <w:b/>
          <w:spacing w:val="-1"/>
          <w:w w:val="99"/>
          <w:sz w:val="24"/>
          <w:szCs w:val="21"/>
        </w:rPr>
      </w:pPr>
      <w:r>
        <w:rPr>
          <w:rFonts w:hint="eastAsia" w:ascii="楷体" w:hAnsi="楷体" w:eastAsia="楷体" w:cs="楷体"/>
          <w:b/>
          <w:spacing w:val="-1"/>
          <w:w w:val="99"/>
          <w:sz w:val="24"/>
          <w:szCs w:val="21"/>
        </w:rPr>
        <w:br w:type="page"/>
      </w:r>
    </w:p>
    <w:bookmarkEnd w:id="50"/>
    <w:bookmarkEnd w:id="51"/>
    <w:bookmarkEnd w:id="52"/>
    <w:bookmarkEnd w:id="53"/>
    <w:bookmarkEnd w:id="54"/>
    <w:p>
      <w:pPr>
        <w:keepNext/>
        <w:keepLines/>
        <w:spacing w:line="240" w:lineRule="auto"/>
        <w:ind w:firstLine="723" w:firstLineChars="0"/>
        <w:jc w:val="center"/>
        <w:textAlignment w:val="auto"/>
        <w:outlineLvl w:val="0"/>
        <w:rPr>
          <w:rFonts w:ascii="Times New Roman" w:hAnsi="Times New Roman" w:eastAsia="宋体" w:cs="Times New Roman"/>
          <w:b/>
          <w:bCs/>
          <w:kern w:val="44"/>
          <w:sz w:val="36"/>
          <w:szCs w:val="44"/>
        </w:rPr>
      </w:pPr>
      <w:bookmarkStart w:id="135" w:name="_Toc27009"/>
      <w:bookmarkStart w:id="136" w:name="_Toc18512"/>
      <w:bookmarkStart w:id="137" w:name="_Toc29691"/>
      <w:r>
        <w:rPr>
          <w:rFonts w:ascii="Times New Roman" w:hAnsi="Times New Roman" w:eastAsia="宋体" w:cs="Times New Roman"/>
          <w:b/>
          <w:bCs/>
          <w:kern w:val="44"/>
          <w:sz w:val="36"/>
          <w:szCs w:val="44"/>
        </w:rPr>
        <w:t>第六部分 投标文件附件</w:t>
      </w:r>
      <w:bookmarkEnd w:id="135"/>
      <w:bookmarkEnd w:id="136"/>
      <w:bookmarkEnd w:id="137"/>
    </w:p>
    <w:p/>
    <w:p/>
    <w:p>
      <w:pPr>
        <w:spacing w:line="420" w:lineRule="exact"/>
        <w:ind w:firstLine="720" w:firstLineChars="200"/>
        <w:jc w:val="both"/>
        <w:textAlignment w:val="auto"/>
        <w:rPr>
          <w:rFonts w:ascii="Times New Roman" w:hAnsi="Times New Roman" w:eastAsia="宋体" w:cs="Times New Roman"/>
          <w:sz w:val="36"/>
          <w:szCs w:val="36"/>
        </w:rPr>
      </w:pPr>
      <w:r>
        <w:rPr>
          <w:rFonts w:ascii="Times New Roman" w:hAnsi="Times New Roman" w:eastAsia="宋体" w:cs="Times New Roman"/>
          <w:sz w:val="36"/>
          <w:szCs w:val="36"/>
        </w:rPr>
        <w:t>说明：</w:t>
      </w:r>
    </w:p>
    <w:p>
      <w:pPr>
        <w:spacing w:line="420" w:lineRule="exact"/>
        <w:ind w:firstLine="720" w:firstLineChars="200"/>
        <w:jc w:val="both"/>
        <w:textAlignment w:val="auto"/>
        <w:rPr>
          <w:rFonts w:ascii="Times New Roman" w:hAnsi="Times New Roman" w:eastAsia="宋体" w:cs="Times New Roman"/>
          <w:sz w:val="36"/>
          <w:szCs w:val="36"/>
        </w:rPr>
      </w:pPr>
      <w:r>
        <w:rPr>
          <w:rFonts w:ascii="Times New Roman" w:hAnsi="Times New Roman" w:eastAsia="宋体" w:cs="Times New Roman"/>
          <w:sz w:val="36"/>
          <w:szCs w:val="36"/>
        </w:rPr>
        <w:t>1、投标人须认真填写和提交本部分中的附件文件；</w:t>
      </w:r>
    </w:p>
    <w:p>
      <w:pPr>
        <w:spacing w:line="420" w:lineRule="exact"/>
        <w:ind w:firstLine="720" w:firstLineChars="200"/>
        <w:jc w:val="both"/>
        <w:textAlignment w:val="auto"/>
        <w:rPr>
          <w:rFonts w:ascii="Times New Roman" w:hAnsi="Times New Roman" w:eastAsia="宋体" w:cs="Times New Roman"/>
          <w:sz w:val="36"/>
          <w:szCs w:val="36"/>
        </w:rPr>
      </w:pPr>
      <w:r>
        <w:rPr>
          <w:rFonts w:ascii="Times New Roman" w:hAnsi="Times New Roman" w:eastAsia="宋体" w:cs="Times New Roman"/>
          <w:sz w:val="36"/>
          <w:szCs w:val="36"/>
        </w:rPr>
        <w:t>2、对附件文件中所要求的内容应给予明确的答复；</w:t>
      </w:r>
    </w:p>
    <w:p>
      <w:pPr>
        <w:spacing w:line="420" w:lineRule="exact"/>
        <w:ind w:firstLine="720" w:firstLineChars="200"/>
        <w:jc w:val="both"/>
        <w:textAlignment w:val="auto"/>
        <w:rPr>
          <w:rFonts w:ascii="Times New Roman" w:hAnsi="Times New Roman" w:eastAsia="宋体" w:cs="Times New Roman"/>
          <w:sz w:val="36"/>
          <w:szCs w:val="36"/>
        </w:rPr>
      </w:pPr>
      <w:r>
        <w:rPr>
          <w:rFonts w:ascii="Times New Roman" w:hAnsi="Times New Roman" w:eastAsia="宋体" w:cs="Times New Roman"/>
          <w:sz w:val="36"/>
          <w:szCs w:val="36"/>
        </w:rPr>
        <w:t>3、附件文件的签字人应保证其对一切问题的答复、所做的声明及出具的资格资质文件、资料等具有真实性和准确性；</w:t>
      </w:r>
    </w:p>
    <w:p>
      <w:pPr>
        <w:spacing w:line="420" w:lineRule="exact"/>
        <w:ind w:firstLine="720" w:firstLineChars="200"/>
        <w:jc w:val="both"/>
        <w:textAlignment w:val="auto"/>
        <w:rPr>
          <w:rFonts w:ascii="Times New Roman" w:hAnsi="Times New Roman" w:eastAsia="宋体" w:cs="Times New Roman"/>
          <w:sz w:val="36"/>
          <w:szCs w:val="36"/>
        </w:rPr>
      </w:pPr>
      <w:r>
        <w:rPr>
          <w:rFonts w:ascii="Times New Roman" w:hAnsi="Times New Roman" w:eastAsia="宋体" w:cs="Times New Roman"/>
          <w:sz w:val="36"/>
          <w:szCs w:val="36"/>
        </w:rPr>
        <w:t>4、招标人将对投标人提交的文件、资料等内容予以保密，但不退还；</w:t>
      </w:r>
    </w:p>
    <w:p>
      <w:pPr>
        <w:spacing w:line="420" w:lineRule="exact"/>
        <w:ind w:firstLine="720" w:firstLineChars="200"/>
        <w:jc w:val="both"/>
        <w:textAlignment w:val="auto"/>
        <w:rPr>
          <w:rFonts w:ascii="Times New Roman" w:hAnsi="Times New Roman" w:eastAsia="宋体" w:cs="Times New Roman"/>
          <w:sz w:val="36"/>
          <w:szCs w:val="36"/>
        </w:rPr>
      </w:pPr>
      <w:r>
        <w:rPr>
          <w:rFonts w:ascii="Times New Roman" w:hAnsi="Times New Roman" w:eastAsia="宋体" w:cs="Times New Roman"/>
          <w:sz w:val="36"/>
          <w:szCs w:val="36"/>
        </w:rPr>
        <w:t>5、所有附件文件应以中文书写，作为投标文件的组成部分。</w:t>
      </w:r>
    </w:p>
    <w:p>
      <w:pPr>
        <w:spacing w:line="420" w:lineRule="exact"/>
        <w:ind w:firstLine="420" w:firstLineChars="200"/>
        <w:jc w:val="both"/>
        <w:textAlignment w:val="auto"/>
      </w:pPr>
      <w:r>
        <w:br w:type="page"/>
      </w:r>
    </w:p>
    <w:p>
      <w:pPr>
        <w:keepNext/>
        <w:keepLines/>
        <w:spacing w:line="240" w:lineRule="auto"/>
        <w:ind w:firstLine="0" w:firstLineChars="0"/>
        <w:jc w:val="both"/>
        <w:textAlignment w:val="auto"/>
        <w:outlineLvl w:val="1"/>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附件1</w:t>
      </w:r>
      <w:bookmarkStart w:id="138" w:name="_Toc353881012"/>
      <w:bookmarkStart w:id="139" w:name="_Toc639004"/>
      <w:bookmarkStart w:id="140" w:name="_Toc212369550"/>
      <w:bookmarkStart w:id="141" w:name="_Toc25811"/>
      <w:r>
        <w:rPr>
          <w:rFonts w:ascii="Times New Roman" w:hAnsi="Times New Roman" w:eastAsia="宋体" w:cs="Times New Roman"/>
          <w:b/>
          <w:bCs/>
          <w:color w:val="000000"/>
          <w:sz w:val="24"/>
          <w:szCs w:val="24"/>
        </w:rPr>
        <w:t xml:space="preserve"> 投标函</w:t>
      </w:r>
      <w:bookmarkEnd w:id="138"/>
      <w:bookmarkEnd w:id="139"/>
      <w:bookmarkEnd w:id="140"/>
      <w:bookmarkEnd w:id="141"/>
    </w:p>
    <w:p>
      <w:pPr>
        <w:keepNext w:val="0"/>
        <w:keepLines w:val="0"/>
        <w:pageBreakBefore w:val="0"/>
        <w:widowControl w:val="0"/>
        <w:kinsoku/>
        <w:wordWrap/>
        <w:overflowPunct/>
        <w:topLinePunct w:val="0"/>
        <w:autoSpaceDE/>
        <w:autoSpaceDN/>
        <w:bidi w:val="0"/>
        <w:snapToGrid/>
        <w:spacing w:before="120" w:after="157" w:afterLines="50" w:line="360" w:lineRule="auto"/>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kern w:val="2"/>
          <w:sz w:val="24"/>
          <w:szCs w:val="24"/>
          <w:lang w:val="en-US" w:eastAsia="zh-CN" w:bidi="ar-SA"/>
        </w:rPr>
        <w:t>致：中国重汽集团</w:t>
      </w:r>
      <w:r>
        <w:rPr>
          <w:rFonts w:hint="eastAsia" w:ascii="Times New Roman" w:hAnsi="Times New Roman" w:eastAsia="宋体" w:cs="Times New Roman"/>
          <w:color w:val="000000"/>
          <w:kern w:val="2"/>
          <w:sz w:val="24"/>
          <w:szCs w:val="24"/>
          <w:lang w:val="en-US" w:eastAsia="zh-CN" w:bidi="ar-SA"/>
        </w:rPr>
        <w:t>济南动力有限公司</w:t>
      </w:r>
      <w:r>
        <w:rPr>
          <w:rFonts w:ascii="Times New Roman" w:hAnsi="Times New Roman" w:eastAsia="宋体" w:cs="Times New Roman"/>
          <w:color w:val="000000"/>
          <w:kern w:val="2"/>
          <w:sz w:val="24"/>
          <w:szCs w:val="24"/>
          <w:lang w:val="en-US" w:eastAsia="zh-CN" w:bidi="ar-SA"/>
        </w:rPr>
        <w:t>：</w:t>
      </w:r>
    </w:p>
    <w:p>
      <w:pPr>
        <w:pStyle w:val="17"/>
        <w:keepNext w:val="0"/>
        <w:keepLines w:val="0"/>
        <w:pageBreakBefore w:val="0"/>
        <w:widowControl w:val="0"/>
        <w:kinsoku/>
        <w:wordWrap/>
        <w:overflowPunct/>
        <w:topLinePunct w:val="0"/>
        <w:autoSpaceDE/>
        <w:autoSpaceDN/>
        <w:bidi w:val="0"/>
        <w:snapToGrid/>
        <w:spacing w:before="120" w:after="157" w:afterLines="50" w:line="360" w:lineRule="auto"/>
        <w:rPr>
          <w:rFonts w:ascii="Times New Roman" w:hAnsi="Times New Roman" w:eastAsia="宋体" w:cs="Times New Roman"/>
          <w:color w:val="000000"/>
          <w:kern w:val="2"/>
          <w:sz w:val="24"/>
          <w:szCs w:val="24"/>
          <w:lang w:val="en-US" w:eastAsia="zh-CN" w:bidi="ar-SA"/>
        </w:rPr>
      </w:pPr>
      <w:r>
        <w:rPr>
          <w:rFonts w:ascii="Times New Roman" w:hAnsi="Times New Roman" w:eastAsia="宋体"/>
          <w:color w:val="000000"/>
          <w:sz w:val="24"/>
          <w:szCs w:val="24"/>
          <w:lang w:val="en-US" w:eastAsia="zh-CN"/>
        </w:rPr>
        <w:t>根据贵方</w:t>
      </w:r>
      <w:r>
        <w:rPr>
          <w:rFonts w:hint="eastAsia" w:ascii="Times New Roman" w:hAnsi="Times New Roman" w:eastAsia="宋体"/>
          <w:b/>
          <w:bCs/>
          <w:color w:val="000000"/>
          <w:sz w:val="24"/>
          <w:szCs w:val="24"/>
          <w:u w:val="single"/>
          <w:lang w:val="en-US" w:eastAsia="zh-CN"/>
        </w:rPr>
        <w:t>车轮六分力传感器及配套设备</w:t>
      </w:r>
      <w:r>
        <w:rPr>
          <w:rFonts w:ascii="Times New Roman" w:hAnsi="Times New Roman" w:eastAsia="宋体"/>
          <w:color w:val="000000"/>
          <w:sz w:val="24"/>
          <w:szCs w:val="24"/>
          <w:lang w:val="en-US" w:eastAsia="zh-CN"/>
        </w:rPr>
        <w:t xml:space="preserve"> 招标公告</w:t>
      </w:r>
      <w:r>
        <w:rPr>
          <w:rFonts w:ascii="Times New Roman" w:hAnsi="Times New Roman" w:eastAsia="宋体"/>
          <w:color w:val="000000"/>
          <w:sz w:val="24"/>
          <w:szCs w:val="24"/>
          <w:u w:val="single"/>
          <w:lang w:val="en-US" w:eastAsia="zh-CN"/>
        </w:rPr>
        <w:t xml:space="preserve">             </w:t>
      </w:r>
      <w:r>
        <w:rPr>
          <w:rFonts w:hint="eastAsia" w:ascii="Times New Roman" w:hAnsi="Times New Roman" w:eastAsia="宋体"/>
          <w:color w:val="000000"/>
          <w:sz w:val="24"/>
          <w:szCs w:val="24"/>
          <w:u w:val="single"/>
          <w:lang w:val="en-US" w:eastAsia="zh-CN"/>
        </w:rPr>
        <w:t xml:space="preserve">     </w:t>
      </w:r>
      <w:r>
        <w:rPr>
          <w:rFonts w:ascii="Times New Roman" w:hAnsi="Times New Roman" w:eastAsia="宋体"/>
          <w:color w:val="000000"/>
          <w:sz w:val="24"/>
          <w:szCs w:val="24"/>
          <w:lang w:val="en-US" w:eastAsia="zh-CN"/>
        </w:rPr>
        <w:t xml:space="preserve"> ，            投标公司， 法人代表人为</w:t>
      </w:r>
      <w:r>
        <w:rPr>
          <w:rFonts w:ascii="Times New Roman" w:hAnsi="Times New Roman" w:eastAsia="宋体"/>
          <w:color w:val="000000"/>
          <w:sz w:val="24"/>
          <w:szCs w:val="24"/>
          <w:u w:val="single"/>
          <w:lang w:val="en-US" w:eastAsia="zh-CN"/>
        </w:rPr>
        <w:t xml:space="preserve">         </w:t>
      </w:r>
      <w:r>
        <w:rPr>
          <w:rFonts w:ascii="Times New Roman" w:hAnsi="Times New Roman" w:eastAsia="宋体"/>
          <w:color w:val="000000"/>
          <w:sz w:val="24"/>
          <w:szCs w:val="24"/>
          <w:lang w:val="en-US" w:eastAsia="zh-CN"/>
        </w:rPr>
        <w:t>，正式授权</w:t>
      </w:r>
      <w:r>
        <w:rPr>
          <w:rFonts w:ascii="Times New Roman" w:hAnsi="Times New Roman" w:eastAsia="宋体"/>
          <w:color w:val="000000"/>
          <w:sz w:val="24"/>
          <w:szCs w:val="24"/>
          <w:u w:val="single"/>
          <w:lang w:val="en-US" w:eastAsia="zh-CN"/>
        </w:rPr>
        <w:t xml:space="preserve">            </w:t>
      </w:r>
      <w:r>
        <w:rPr>
          <w:rFonts w:ascii="Times New Roman" w:hAnsi="Times New Roman" w:eastAsia="宋体"/>
          <w:color w:val="000000"/>
          <w:sz w:val="24"/>
          <w:szCs w:val="24"/>
          <w:lang w:val="en-US" w:eastAsia="zh-CN"/>
        </w:rPr>
        <w:t>提交纸质投标文件：资质证明文件、商务文件和技术文件正本一份；电子版投标文件一份（电子版投标文件为纸质盖章版的扫描件或加盖电子章；不盖章无效。）</w:t>
      </w:r>
      <w:r>
        <w:rPr>
          <w:rFonts w:ascii="Times New Roman" w:hAnsi="Times New Roman" w:eastAsia="宋体" w:cs="Times New Roman"/>
          <w:color w:val="000000"/>
          <w:kern w:val="2"/>
          <w:sz w:val="24"/>
          <w:szCs w:val="24"/>
          <w:lang w:val="en-US" w:eastAsia="zh-CN" w:bidi="ar-SA"/>
        </w:rPr>
        <w:t>。</w:t>
      </w:r>
    </w:p>
    <w:p>
      <w:pPr>
        <w:keepNext w:val="0"/>
        <w:keepLines w:val="0"/>
        <w:pageBreakBefore w:val="0"/>
        <w:widowControl w:val="0"/>
        <w:kinsoku/>
        <w:wordWrap/>
        <w:overflowPunct/>
        <w:topLinePunct w:val="0"/>
        <w:autoSpaceDE/>
        <w:autoSpaceDN/>
        <w:bidi w:val="0"/>
        <w:snapToGrid/>
        <w:spacing w:before="120" w:after="157" w:afterLines="50" w:line="360" w:lineRule="auto"/>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kern w:val="2"/>
          <w:sz w:val="24"/>
          <w:szCs w:val="24"/>
          <w:lang w:val="en-US" w:eastAsia="zh-CN" w:bidi="ar-SA"/>
        </w:rPr>
        <w:t>据此函，签字代表宣布同意如下：</w:t>
      </w:r>
    </w:p>
    <w:p>
      <w:pPr>
        <w:keepNext w:val="0"/>
        <w:keepLines w:val="0"/>
        <w:pageBreakBefore w:val="0"/>
        <w:widowControl w:val="0"/>
        <w:kinsoku/>
        <w:wordWrap/>
        <w:overflowPunct/>
        <w:topLinePunct w:val="0"/>
        <w:autoSpaceDE/>
        <w:autoSpaceDN/>
        <w:bidi w:val="0"/>
        <w:snapToGrid/>
        <w:spacing w:before="120" w:after="157" w:afterLines="50" w:line="360" w:lineRule="auto"/>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kern w:val="2"/>
          <w:sz w:val="24"/>
          <w:szCs w:val="24"/>
          <w:lang w:val="en-US" w:eastAsia="zh-CN" w:bidi="ar-SA"/>
        </w:rPr>
        <w:t>1.投标人已详细审查全部“招标文件”，包括修改文件（如有的话）以及全部参考资料和有关附件，已经了解我方对于招标文件、采购过程、采购结果有依法进行询问、质疑、投诉的权利及相关渠道和要求。</w:t>
      </w:r>
    </w:p>
    <w:p>
      <w:pPr>
        <w:keepNext w:val="0"/>
        <w:keepLines w:val="0"/>
        <w:pageBreakBefore w:val="0"/>
        <w:widowControl w:val="0"/>
        <w:kinsoku/>
        <w:wordWrap/>
        <w:overflowPunct/>
        <w:topLinePunct w:val="0"/>
        <w:autoSpaceDE/>
        <w:autoSpaceDN/>
        <w:bidi w:val="0"/>
        <w:snapToGrid/>
        <w:spacing w:before="120" w:after="157" w:afterLines="50" w:line="360" w:lineRule="auto"/>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kern w:val="2"/>
          <w:sz w:val="24"/>
          <w:szCs w:val="24"/>
          <w:lang w:val="en-US" w:eastAsia="zh-CN" w:bidi="ar-SA"/>
        </w:rPr>
        <w:t>2.投标人在投标之前已经与贵方进行了充分的沟通，完全理解并接受招标文件的各项规定和要求，对招标文件的合理性、合法性不再有异议。</w:t>
      </w:r>
    </w:p>
    <w:p>
      <w:pPr>
        <w:keepNext w:val="0"/>
        <w:keepLines w:val="0"/>
        <w:pageBreakBefore w:val="0"/>
        <w:widowControl w:val="0"/>
        <w:kinsoku/>
        <w:wordWrap/>
        <w:overflowPunct/>
        <w:topLinePunct w:val="0"/>
        <w:autoSpaceDE/>
        <w:autoSpaceDN/>
        <w:bidi w:val="0"/>
        <w:snapToGrid/>
        <w:spacing w:before="120" w:after="157" w:afterLines="50" w:line="360" w:lineRule="auto"/>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kern w:val="2"/>
          <w:sz w:val="24"/>
          <w:szCs w:val="24"/>
          <w:lang w:val="en-US" w:eastAsia="zh-CN" w:bidi="ar-SA"/>
        </w:rPr>
        <w:t>3.本投标有效期自开标日起 90个日历日。</w:t>
      </w:r>
    </w:p>
    <w:p>
      <w:pPr>
        <w:keepNext w:val="0"/>
        <w:keepLines w:val="0"/>
        <w:pageBreakBefore w:val="0"/>
        <w:widowControl w:val="0"/>
        <w:kinsoku/>
        <w:wordWrap/>
        <w:overflowPunct/>
        <w:topLinePunct w:val="0"/>
        <w:autoSpaceDE/>
        <w:autoSpaceDN/>
        <w:bidi w:val="0"/>
        <w:snapToGrid/>
        <w:spacing w:before="120" w:after="157" w:afterLines="50" w:line="360" w:lineRule="auto"/>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kern w:val="2"/>
          <w:sz w:val="24"/>
          <w:szCs w:val="24"/>
          <w:lang w:val="en-US" w:eastAsia="zh-CN" w:bidi="ar-SA"/>
        </w:rPr>
        <w:t>4.如中标，本投标文件至本项目合同履行完毕止均保持有效，本投标人将按“招标文件”及政府采购法律、法规的规定履行合同责任和义务。</w:t>
      </w:r>
    </w:p>
    <w:p>
      <w:pPr>
        <w:keepNext w:val="0"/>
        <w:keepLines w:val="0"/>
        <w:pageBreakBefore w:val="0"/>
        <w:widowControl w:val="0"/>
        <w:kinsoku/>
        <w:wordWrap/>
        <w:overflowPunct/>
        <w:topLinePunct w:val="0"/>
        <w:autoSpaceDE/>
        <w:autoSpaceDN/>
        <w:bidi w:val="0"/>
        <w:snapToGrid/>
        <w:spacing w:before="120" w:after="157" w:afterLines="50" w:line="360" w:lineRule="auto"/>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kern w:val="2"/>
          <w:sz w:val="24"/>
          <w:szCs w:val="24"/>
          <w:lang w:val="en-US" w:eastAsia="zh-CN" w:bidi="ar-SA"/>
        </w:rPr>
        <w:t>5.投标人同意按照贵方要求提供与投标有关的一切数据或资料。</w:t>
      </w:r>
    </w:p>
    <w:p>
      <w:pPr>
        <w:keepNext w:val="0"/>
        <w:keepLines w:val="0"/>
        <w:pageBreakBefore w:val="0"/>
        <w:widowControl w:val="0"/>
        <w:kinsoku/>
        <w:wordWrap/>
        <w:overflowPunct/>
        <w:topLinePunct w:val="0"/>
        <w:autoSpaceDE/>
        <w:autoSpaceDN/>
        <w:bidi w:val="0"/>
        <w:snapToGrid/>
        <w:spacing w:before="120" w:after="157" w:afterLines="50" w:line="360" w:lineRule="auto"/>
        <w:rPr>
          <w:rFonts w:ascii="Times New Roman" w:hAnsi="Times New Roman" w:eastAsia="宋体" w:cs="Times New Roman"/>
          <w:color w:val="000000"/>
          <w:kern w:val="2"/>
          <w:sz w:val="24"/>
          <w:szCs w:val="24"/>
          <w:lang w:val="en-US" w:eastAsia="zh-CN" w:bidi="ar-SA"/>
        </w:rPr>
      </w:pPr>
      <w:r>
        <w:rPr>
          <w:rFonts w:ascii="Times New Roman" w:hAnsi="Times New Roman" w:eastAsia="宋体" w:cs="Times New Roman"/>
          <w:color w:val="000000"/>
          <w:kern w:val="2"/>
          <w:sz w:val="24"/>
          <w:szCs w:val="24"/>
          <w:lang w:val="en-US" w:eastAsia="zh-CN" w:bidi="ar-SA"/>
        </w:rPr>
        <w:t>6.与本投标有关的一切正式往来信函请寄：</w:t>
      </w:r>
    </w:p>
    <w:p>
      <w:pPr>
        <w:spacing w:line="360" w:lineRule="auto"/>
        <w:ind w:firstLine="480" w:firstLineChars="200"/>
        <w:jc w:val="both"/>
        <w:textAlignment w:val="auto"/>
        <w:rPr>
          <w:rFonts w:ascii="Times New Roman" w:hAnsi="Times New Roman" w:eastAsia="宋体" w:cs="Times New Roman"/>
          <w:color w:val="000000"/>
          <w:sz w:val="24"/>
          <w:szCs w:val="24"/>
          <w:lang w:val="en-US" w:eastAsia="zh-CN"/>
        </w:rPr>
      </w:pPr>
      <w:r>
        <w:rPr>
          <w:rFonts w:ascii="Times New Roman" w:hAnsi="Times New Roman" w:eastAsia="宋体" w:cs="Times New Roman"/>
          <w:color w:val="000000"/>
          <w:sz w:val="24"/>
          <w:szCs w:val="24"/>
          <w:lang w:val="en-US" w:eastAsia="zh-CN"/>
        </w:rPr>
        <w:t xml:space="preserve">地址：                             </w:t>
      </w:r>
    </w:p>
    <w:p>
      <w:pPr>
        <w:spacing w:line="360" w:lineRule="auto"/>
        <w:ind w:firstLine="480" w:firstLineChars="200"/>
        <w:jc w:val="both"/>
        <w:textAlignment w:val="auto"/>
        <w:rPr>
          <w:rFonts w:ascii="Times New Roman" w:hAnsi="Times New Roman" w:eastAsia="宋体" w:cs="Times New Roman"/>
          <w:color w:val="000000"/>
          <w:sz w:val="24"/>
          <w:szCs w:val="24"/>
          <w:lang w:val="en-US" w:eastAsia="zh-CN"/>
        </w:rPr>
      </w:pPr>
      <w:r>
        <w:rPr>
          <w:rFonts w:ascii="Times New Roman" w:hAnsi="Times New Roman" w:eastAsia="宋体" w:cs="Times New Roman"/>
          <w:color w:val="000000"/>
          <w:sz w:val="24"/>
          <w:szCs w:val="24"/>
          <w:lang w:val="en-US" w:eastAsia="zh-CN"/>
        </w:rPr>
        <w:t xml:space="preserve">邮编：        </w:t>
      </w:r>
    </w:p>
    <w:p>
      <w:pPr>
        <w:spacing w:line="360" w:lineRule="auto"/>
        <w:ind w:firstLine="480" w:firstLineChars="200"/>
        <w:jc w:val="both"/>
        <w:textAlignment w:val="auto"/>
        <w:rPr>
          <w:rFonts w:ascii="Times New Roman" w:hAnsi="Times New Roman" w:eastAsia="宋体" w:cs="Times New Roman"/>
          <w:color w:val="000000"/>
          <w:sz w:val="24"/>
          <w:szCs w:val="24"/>
          <w:lang w:val="en-US" w:eastAsia="zh-CN"/>
        </w:rPr>
      </w:pPr>
      <w:r>
        <w:rPr>
          <w:rFonts w:ascii="Times New Roman" w:hAnsi="Times New Roman" w:eastAsia="宋体" w:cs="Times New Roman"/>
          <w:color w:val="000000"/>
          <w:sz w:val="24"/>
          <w:szCs w:val="24"/>
          <w:lang w:val="en-US" w:eastAsia="zh-CN"/>
        </w:rPr>
        <w:t xml:space="preserve">电话：        传真：                   </w:t>
      </w:r>
    </w:p>
    <w:p>
      <w:pPr>
        <w:spacing w:line="360" w:lineRule="auto"/>
        <w:ind w:firstLine="480" w:firstLineChars="200"/>
        <w:jc w:val="both"/>
        <w:textAlignment w:val="auto"/>
        <w:rPr>
          <w:rFonts w:ascii="Times New Roman" w:hAnsi="Times New Roman" w:eastAsia="宋体" w:cs="Times New Roman"/>
          <w:color w:val="000000"/>
          <w:sz w:val="24"/>
          <w:szCs w:val="24"/>
          <w:lang w:val="en-US" w:eastAsia="zh-CN"/>
        </w:rPr>
      </w:pPr>
      <w:r>
        <w:rPr>
          <w:rFonts w:ascii="Times New Roman" w:hAnsi="Times New Roman" w:eastAsia="宋体" w:cs="Times New Roman"/>
          <w:color w:val="000000"/>
          <w:sz w:val="24"/>
          <w:szCs w:val="24"/>
          <w:lang w:val="en-US" w:eastAsia="zh-CN"/>
        </w:rPr>
        <w:t xml:space="preserve">投标人代表姓名：         职务：          </w:t>
      </w:r>
    </w:p>
    <w:p>
      <w:pPr>
        <w:spacing w:line="360" w:lineRule="auto"/>
        <w:ind w:firstLine="480" w:firstLineChars="200"/>
        <w:jc w:val="both"/>
        <w:textAlignment w:val="auto"/>
        <w:rPr>
          <w:rFonts w:ascii="Times New Roman" w:hAnsi="Times New Roman" w:eastAsia="宋体" w:cs="Times New Roman"/>
          <w:color w:val="000000"/>
          <w:sz w:val="24"/>
          <w:szCs w:val="24"/>
          <w:lang w:val="en-US" w:eastAsia="zh-CN"/>
        </w:rPr>
      </w:pPr>
      <w:r>
        <w:rPr>
          <w:rFonts w:ascii="Times New Roman" w:hAnsi="Times New Roman" w:eastAsia="宋体" w:cs="Times New Roman"/>
          <w:color w:val="000000"/>
          <w:sz w:val="24"/>
          <w:szCs w:val="24"/>
          <w:lang w:val="en-US" w:eastAsia="zh-CN"/>
        </w:rPr>
        <w:t xml:space="preserve">开户银行：                   </w:t>
      </w:r>
    </w:p>
    <w:p>
      <w:pPr>
        <w:spacing w:line="360" w:lineRule="auto"/>
        <w:ind w:firstLine="480" w:firstLineChars="200"/>
        <w:jc w:val="both"/>
        <w:textAlignment w:val="auto"/>
        <w:rPr>
          <w:rFonts w:ascii="Times New Roman" w:hAnsi="Times New Roman" w:eastAsia="宋体" w:cs="Times New Roman"/>
          <w:color w:val="000000"/>
          <w:sz w:val="24"/>
          <w:szCs w:val="24"/>
          <w:lang w:val="en-US" w:eastAsia="zh-CN"/>
        </w:rPr>
      </w:pPr>
      <w:r>
        <w:rPr>
          <w:rFonts w:ascii="Times New Roman" w:hAnsi="Times New Roman" w:eastAsia="宋体" w:cs="Times New Roman"/>
          <w:color w:val="000000"/>
          <w:sz w:val="24"/>
          <w:szCs w:val="24"/>
          <w:lang w:val="en-US" w:eastAsia="zh-CN"/>
        </w:rPr>
        <w:t xml:space="preserve">银行帐号：                   </w:t>
      </w:r>
    </w:p>
    <w:p>
      <w:pPr>
        <w:spacing w:line="360" w:lineRule="auto"/>
        <w:ind w:firstLine="480" w:firstLineChars="200"/>
        <w:jc w:val="both"/>
        <w:textAlignment w:val="auto"/>
        <w:rPr>
          <w:rFonts w:ascii="Times New Roman" w:hAnsi="Times New Roman" w:eastAsia="宋体" w:cs="Times New Roman"/>
          <w:color w:val="000000"/>
          <w:sz w:val="24"/>
          <w:szCs w:val="24"/>
          <w:lang w:val="en-US" w:eastAsia="zh-CN"/>
        </w:rPr>
      </w:pPr>
      <w:r>
        <w:rPr>
          <w:rFonts w:ascii="Times New Roman" w:hAnsi="Times New Roman" w:eastAsia="宋体" w:cs="Times New Roman"/>
          <w:color w:val="000000"/>
          <w:sz w:val="24"/>
          <w:szCs w:val="24"/>
          <w:lang w:val="en-US" w:eastAsia="zh-CN"/>
        </w:rPr>
        <w:t xml:space="preserve">投标人名称（盖章）: </w:t>
      </w:r>
    </w:p>
    <w:p>
      <w:pPr>
        <w:spacing w:line="360" w:lineRule="auto"/>
        <w:ind w:firstLine="480" w:firstLineChars="200"/>
        <w:jc w:val="both"/>
        <w:textAlignment w:val="auto"/>
        <w:rPr>
          <w:rFonts w:ascii="Times New Roman" w:hAnsi="Times New Roman" w:eastAsia="宋体" w:cs="Times New Roman"/>
          <w:color w:val="000000"/>
          <w:sz w:val="24"/>
          <w:szCs w:val="24"/>
          <w:lang w:val="en-US" w:eastAsia="zh-CN"/>
        </w:rPr>
      </w:pPr>
      <w:r>
        <w:rPr>
          <w:rFonts w:ascii="Times New Roman" w:hAnsi="Times New Roman" w:eastAsia="宋体" w:cs="Times New Roman"/>
          <w:color w:val="000000"/>
          <w:sz w:val="24"/>
          <w:szCs w:val="24"/>
          <w:lang w:val="en-US" w:eastAsia="zh-CN"/>
        </w:rPr>
        <w:t>授权代表签字：</w:t>
      </w:r>
    </w:p>
    <w:p>
      <w:pPr>
        <w:spacing w:line="360" w:lineRule="auto"/>
        <w:ind w:firstLine="480" w:firstLineChars="200"/>
        <w:jc w:val="both"/>
        <w:textAlignment w:val="auto"/>
        <w:rPr>
          <w:rFonts w:eastAsia="黑体"/>
        </w:rPr>
      </w:pPr>
      <w:r>
        <w:rPr>
          <w:rFonts w:ascii="Times New Roman" w:hAnsi="Times New Roman" w:eastAsia="宋体" w:cs="Times New Roman"/>
          <w:color w:val="000000"/>
          <w:sz w:val="24"/>
          <w:szCs w:val="24"/>
          <w:lang w:val="en-US" w:eastAsia="zh-CN"/>
        </w:rPr>
        <w:t>日期：     年      月      日</w:t>
      </w:r>
      <w:r>
        <w:rPr>
          <w:rFonts w:eastAsia="黑体"/>
        </w:rPr>
        <w:br w:type="page"/>
      </w:r>
    </w:p>
    <w:p>
      <w:pPr>
        <w:keepNext/>
        <w:keepLines/>
        <w:spacing w:line="240" w:lineRule="auto"/>
        <w:ind w:firstLine="0" w:firstLineChars="0"/>
        <w:jc w:val="both"/>
        <w:textAlignment w:val="auto"/>
        <w:outlineLvl w:val="1"/>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附件2 法定代表人授权委托书</w:t>
      </w:r>
    </w:p>
    <w:p/>
    <w:p>
      <w:pPr>
        <w:rPr>
          <w:rFonts w:hint="eastAsia" w:ascii="宋体" w:hAnsi="宋体" w:eastAsia="宋体" w:cs="宋体"/>
          <w:sz w:val="24"/>
          <w:szCs w:val="24"/>
        </w:rPr>
      </w:pPr>
      <w:r>
        <w:rPr>
          <w:rFonts w:hint="eastAsia" w:ascii="宋体" w:hAnsi="宋体" w:eastAsia="宋体" w:cs="宋体"/>
          <w:sz w:val="24"/>
          <w:szCs w:val="24"/>
        </w:rPr>
        <w:t>本授权委托书声明：我＿＿＿＿＿＿＿（姓名）系＿＿＿＿＿＿＿＿＿＿＿＿＿＿＿＿＿＿＿＿＿＿＿＿＿＿＿＿（投标人全称）的法定代表人，就</w:t>
      </w:r>
      <w:r>
        <w:rPr>
          <w:rFonts w:hint="eastAsia" w:ascii="宋体" w:hAnsi="宋体" w:eastAsia="宋体" w:cs="宋体"/>
          <w:b/>
          <w:bCs/>
          <w:sz w:val="24"/>
          <w:szCs w:val="24"/>
          <w:u w:val="single"/>
        </w:rPr>
        <w:t xml:space="preserve"> 车轮六分力传感器及配套设备</w:t>
      </w:r>
      <w:r>
        <w:rPr>
          <w:rFonts w:hint="eastAsia" w:ascii="宋体" w:hAnsi="宋体" w:eastAsia="宋体" w:cs="宋体"/>
          <w:b/>
          <w:bCs/>
          <w:sz w:val="24"/>
          <w:szCs w:val="24"/>
        </w:rPr>
        <w:t xml:space="preserve"> </w:t>
      </w:r>
      <w:r>
        <w:rPr>
          <w:rFonts w:hint="eastAsia" w:ascii="宋体" w:hAnsi="宋体" w:eastAsia="宋体" w:cs="宋体"/>
          <w:sz w:val="24"/>
          <w:szCs w:val="24"/>
        </w:rPr>
        <w:t>（        ）现授权委托＿＿＿＿＿＿＿＿＿＿＿＿＿＿＿＿＿＿＿＿＿＿＿＿＿＿＿＿（单位名称）的＿＿＿＿＿＿＿＿（姓名、职务）为我公司全权代表，全权代表在投标文件、评标过程中的书面承诺、合同等所签署的一切文件和处理与之有关的一切事务，我均予以承认。</w:t>
      </w:r>
    </w:p>
    <w:p>
      <w:pPr>
        <w:rPr>
          <w:rFonts w:hint="eastAsia" w:ascii="宋体" w:hAnsi="宋体" w:eastAsia="宋体" w:cs="宋体"/>
          <w:sz w:val="24"/>
          <w:szCs w:val="24"/>
        </w:rPr>
      </w:pPr>
      <w:r>
        <w:rPr>
          <w:rFonts w:hint="eastAsia" w:ascii="宋体" w:hAnsi="宋体" w:eastAsia="宋体" w:cs="宋体"/>
          <w:sz w:val="24"/>
          <w:szCs w:val="24"/>
        </w:rPr>
        <w:t>全权代表无转委权。特此委托。</w:t>
      </w:r>
    </w:p>
    <w:tbl>
      <w:tblPr>
        <w:tblStyle w:val="4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rPr>
                <w:rFonts w:hint="eastAsia" w:ascii="宋体" w:hAnsi="宋体" w:eastAsia="宋体" w:cs="宋体"/>
                <w:sz w:val="24"/>
                <w:szCs w:val="24"/>
              </w:rPr>
            </w:pPr>
            <w:r>
              <w:rPr>
                <w:rFonts w:hint="eastAsia" w:ascii="宋体" w:hAnsi="宋体" w:eastAsia="宋体" w:cs="宋体"/>
                <w:sz w:val="24"/>
                <w:szCs w:val="24"/>
              </w:rPr>
              <w:t>附法人身份证明复印件（</w:t>
            </w:r>
            <w:r>
              <w:rPr>
                <w:rFonts w:hint="eastAsia" w:ascii="宋体" w:hAnsi="宋体" w:eastAsia="宋体" w:cs="宋体"/>
                <w:color w:val="000000" w:themeColor="text1"/>
                <w:sz w:val="24"/>
                <w:szCs w:val="24"/>
                <w14:textFill>
                  <w14:solidFill>
                    <w14:schemeClr w14:val="tx1"/>
                  </w14:solidFill>
                </w14:textFill>
              </w:rPr>
              <w:t>正反面）</w:t>
            </w:r>
          </w:p>
          <w:p>
            <w:pPr>
              <w:rPr>
                <w:rFonts w:hint="eastAsia" w:ascii="宋体" w:hAnsi="宋体" w:eastAsia="宋体" w:cs="宋体"/>
                <w:sz w:val="24"/>
                <w:szCs w:val="24"/>
              </w:rPr>
            </w:pPr>
            <w:r>
              <w:rPr>
                <w:rFonts w:hint="eastAsia" w:ascii="宋体" w:hAnsi="宋体" w:eastAsia="宋体" w:cs="宋体"/>
                <w:sz w:val="24"/>
                <w:szCs w:val="24"/>
              </w:rPr>
              <w:t>附授权代理人身份证明复印件（正反面）</w:t>
            </w:r>
          </w:p>
        </w:tc>
      </w:tr>
    </w:tbl>
    <w:p>
      <w:pPr>
        <w:rPr>
          <w:rFonts w:hint="eastAsia" w:ascii="宋体" w:hAnsi="宋体" w:eastAsia="宋体" w:cs="宋体"/>
          <w:sz w:val="24"/>
          <w:szCs w:val="24"/>
        </w:rPr>
      </w:pPr>
      <w:r>
        <w:rPr>
          <w:rFonts w:hint="eastAsia" w:ascii="宋体" w:hAnsi="宋体" w:eastAsia="宋体" w:cs="宋体"/>
          <w:sz w:val="24"/>
          <w:szCs w:val="24"/>
        </w:rPr>
        <w:t>全权代表姓名：            性别：          年龄：</w:t>
      </w:r>
    </w:p>
    <w:p>
      <w:pPr>
        <w:rPr>
          <w:rFonts w:hint="eastAsia" w:ascii="宋体" w:hAnsi="宋体" w:eastAsia="宋体" w:cs="宋体"/>
          <w:sz w:val="24"/>
          <w:szCs w:val="24"/>
        </w:rPr>
      </w:pPr>
      <w:r>
        <w:rPr>
          <w:rFonts w:hint="eastAsia" w:ascii="宋体" w:hAnsi="宋体" w:eastAsia="宋体" w:cs="宋体"/>
          <w:sz w:val="24"/>
          <w:szCs w:val="24"/>
        </w:rPr>
        <w:t>单位：                    部门：          职务：</w:t>
      </w:r>
    </w:p>
    <w:p>
      <w:pPr>
        <w:rPr>
          <w:rFonts w:hint="eastAsia" w:ascii="宋体" w:hAnsi="宋体" w:eastAsia="宋体" w:cs="宋体"/>
          <w:sz w:val="24"/>
          <w:szCs w:val="24"/>
        </w:rPr>
      </w:pPr>
      <w:r>
        <w:rPr>
          <w:rFonts w:hint="eastAsia" w:ascii="宋体" w:hAnsi="宋体" w:eastAsia="宋体" w:cs="宋体"/>
          <w:sz w:val="24"/>
          <w:szCs w:val="24"/>
        </w:rPr>
        <w:t xml:space="preserve">法定代表人签字或盖章                          </w:t>
      </w:r>
    </w:p>
    <w:p>
      <w:pPr>
        <w:rPr>
          <w:rFonts w:hint="eastAsia" w:ascii="宋体" w:hAnsi="宋体" w:eastAsia="宋体" w:cs="宋体"/>
          <w:sz w:val="24"/>
          <w:szCs w:val="24"/>
        </w:rPr>
      </w:pPr>
      <w:r>
        <w:rPr>
          <w:rFonts w:hint="eastAsia" w:ascii="宋体" w:hAnsi="宋体" w:eastAsia="宋体" w:cs="宋体"/>
          <w:sz w:val="24"/>
          <w:szCs w:val="24"/>
        </w:rPr>
        <w:t xml:space="preserve">被授权人签字  </w:t>
      </w:r>
    </w:p>
    <w:p>
      <w:pPr>
        <w:rPr>
          <w:rFonts w:hint="eastAsia" w:ascii="宋体" w:hAnsi="宋体" w:eastAsia="宋体" w:cs="宋体"/>
          <w:sz w:val="24"/>
          <w:szCs w:val="24"/>
        </w:rPr>
      </w:pPr>
      <w:r>
        <w:rPr>
          <w:rFonts w:hint="eastAsia" w:ascii="宋体" w:hAnsi="宋体" w:eastAsia="宋体" w:cs="宋体"/>
          <w:sz w:val="24"/>
          <w:szCs w:val="24"/>
        </w:rPr>
        <w:t xml:space="preserve">被授权人电话：                          </w:t>
      </w:r>
    </w:p>
    <w:p>
      <w:pPr>
        <w:rPr>
          <w:rFonts w:hint="eastAsia" w:ascii="宋体" w:hAnsi="宋体" w:eastAsia="宋体" w:cs="宋体"/>
          <w:sz w:val="24"/>
          <w:szCs w:val="24"/>
        </w:rPr>
      </w:pPr>
      <w:r>
        <w:rPr>
          <w:rFonts w:hint="eastAsia" w:ascii="宋体" w:hAnsi="宋体" w:eastAsia="宋体" w:cs="宋体"/>
          <w:sz w:val="24"/>
          <w:szCs w:val="24"/>
        </w:rPr>
        <w:t xml:space="preserve">投标人名称（公章）                       </w:t>
      </w:r>
    </w:p>
    <w:p>
      <w:pPr>
        <w:rPr>
          <w:rFonts w:hint="eastAsia" w:ascii="宋体" w:hAnsi="宋体" w:eastAsia="宋体" w:cs="宋体"/>
          <w:sz w:val="24"/>
          <w:szCs w:val="24"/>
        </w:rPr>
      </w:pPr>
      <w:r>
        <w:rPr>
          <w:rFonts w:hint="eastAsia" w:ascii="宋体" w:hAnsi="宋体" w:eastAsia="宋体" w:cs="宋体"/>
          <w:sz w:val="24"/>
          <w:szCs w:val="24"/>
        </w:rPr>
        <w:t xml:space="preserve">      年   月   日</w:t>
      </w:r>
    </w:p>
    <w:p>
      <w:pPr>
        <w:rPr>
          <w:rFonts w:hint="eastAsia" w:ascii="宋体" w:hAnsi="宋体" w:eastAsia="宋体" w:cs="宋体"/>
          <w:sz w:val="24"/>
          <w:szCs w:val="24"/>
        </w:rPr>
      </w:pPr>
    </w:p>
    <w:p>
      <w:pPr>
        <w:pStyle w:val="21"/>
        <w:rPr>
          <w:rFonts w:hint="eastAsia" w:ascii="宋体" w:hAnsi="宋体" w:eastAsia="宋体" w:cs="宋体"/>
          <w:sz w:val="24"/>
          <w:szCs w:val="24"/>
        </w:rPr>
      </w:pPr>
    </w:p>
    <w:p>
      <w:pPr>
        <w:rPr>
          <w:rFonts w:hint="eastAsia" w:ascii="宋体" w:hAnsi="宋体" w:eastAsia="宋体" w:cs="宋体"/>
          <w:sz w:val="24"/>
          <w:szCs w:val="24"/>
        </w:rPr>
        <w:sectPr>
          <w:footerReference r:id="rId15" w:type="first"/>
          <w:headerReference r:id="rId13" w:type="default"/>
          <w:footerReference r:id="rId14" w:type="default"/>
          <w:pgSz w:w="11906" w:h="16838"/>
          <w:pgMar w:top="1588" w:right="1418" w:bottom="1134" w:left="1418" w:header="851" w:footer="992" w:gutter="0"/>
          <w:cols w:space="720" w:num="1"/>
          <w:titlePg/>
          <w:docGrid w:type="lines" w:linePitch="312" w:charSpace="0"/>
        </w:sectPr>
      </w:pPr>
    </w:p>
    <w:p>
      <w:pPr>
        <w:keepNext/>
        <w:keepLines/>
        <w:ind w:firstLine="414"/>
        <w:outlineLvl w:val="1"/>
        <w:rPr>
          <w:rFonts w:ascii="Times New Roman" w:hAnsi="Times New Roman" w:eastAsia="宋体" w:cs="Times New Roman"/>
          <w:spacing w:val="-9"/>
          <w:sz w:val="24"/>
          <w:szCs w:val="24"/>
        </w:rPr>
      </w:pPr>
      <w:r>
        <w:rPr>
          <w:rFonts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附</w:t>
      </w:r>
      <w:r>
        <w:rPr>
          <w:rFonts w:ascii="Times New Roman" w:hAnsi="Times New Roman" w:eastAsia="宋体" w:cs="Times New Roman"/>
          <w:spacing w:val="-14"/>
          <w:sz w:val="24"/>
          <w:szCs w:val="24"/>
          <w14:textOutline w14:w="4356" w14:cap="sq" w14:cmpd="sng" w14:algn="ctr">
            <w14:solidFill>
              <w14:srgbClr w14:val="000000"/>
            </w14:solidFill>
            <w14:prstDash w14:val="solid"/>
            <w14:bevel/>
          </w14:textOutline>
        </w:rPr>
        <w:t>件</w:t>
      </w:r>
      <w:r>
        <w:rPr>
          <w:rFonts w:ascii="Times New Roman" w:hAnsi="Times New Roman" w:eastAsia="宋体" w:cs="Times New Roman"/>
          <w:spacing w:val="-17"/>
          <w:sz w:val="24"/>
          <w:szCs w:val="24"/>
          <w14:textOutline w14:w="4356" w14:cap="sq" w14:cmpd="sng" w14:algn="ctr">
            <w14:solidFill>
              <w14:srgbClr w14:val="000000"/>
            </w14:solidFill>
            <w14:prstDash w14:val="solid"/>
            <w14:bevel/>
          </w14:textOutline>
        </w:rPr>
        <w:t xml:space="preserve">3 </w:t>
      </w:r>
      <w:r>
        <w:rPr>
          <w:rFonts w:ascii="Times New Roman" w:hAnsi="Times New Roman" w:eastAsia="宋体" w:cs="Times New Roman"/>
          <w:spacing w:val="15"/>
          <w:position w:val="3"/>
          <w:sz w:val="24"/>
          <w:szCs w:val="24"/>
          <w14:textOutline w14:w="4356" w14:cap="sq" w14:cmpd="sng" w14:algn="ctr">
            <w14:solidFill>
              <w14:srgbClr w14:val="000000"/>
            </w14:solidFill>
            <w14:prstDash w14:val="solid"/>
            <w14:bevel/>
          </w14:textOutline>
        </w:rPr>
        <w:t>投</w:t>
      </w:r>
      <w:r>
        <w:rPr>
          <w:rFonts w:ascii="Times New Roman" w:hAnsi="Times New Roman" w:eastAsia="宋体" w:cs="Times New Roman"/>
          <w:spacing w:val="8"/>
          <w:position w:val="3"/>
          <w:sz w:val="24"/>
          <w:szCs w:val="24"/>
          <w14:textOutline w14:w="4356" w14:cap="sq" w14:cmpd="sng" w14:algn="ctr">
            <w14:solidFill>
              <w14:srgbClr w14:val="000000"/>
            </w14:solidFill>
            <w14:prstDash w14:val="solid"/>
            <w14:bevel/>
          </w14:textOutline>
        </w:rPr>
        <w:t>标人基本情况及</w:t>
      </w:r>
      <w:r>
        <w:rPr>
          <w:rFonts w:ascii="Times New Roman" w:hAnsi="Times New Roman" w:eastAsia="宋体" w:cs="Times New Roman"/>
          <w:spacing w:val="8"/>
          <w:sz w:val="24"/>
          <w:szCs w:val="24"/>
          <w14:textOutline w14:w="4356" w14:cap="sq" w14:cmpd="sng" w14:algn="ctr">
            <w14:solidFill>
              <w14:srgbClr w14:val="000000"/>
            </w14:solidFill>
            <w14:prstDash w14:val="solid"/>
            <w14:bevel/>
          </w14:textOutline>
        </w:rPr>
        <w:t>资产情况汇总</w:t>
      </w:r>
      <w:r>
        <w:rPr>
          <w:rFonts w:ascii="Times New Roman" w:hAnsi="Times New Roman" w:eastAsia="宋体" w:cs="Times New Roman"/>
          <w:spacing w:val="7"/>
          <w:sz w:val="24"/>
          <w:szCs w:val="24"/>
          <w14:textOutline w14:w="4356" w14:cap="sq" w14:cmpd="sng" w14:algn="ctr">
            <w14:solidFill>
              <w14:srgbClr w14:val="000000"/>
            </w14:solidFill>
            <w14:prstDash w14:val="solid"/>
            <w14:bevel/>
          </w14:textOutline>
        </w:rPr>
        <w:t>表</w:t>
      </w:r>
    </w:p>
    <w:p>
      <w:pPr>
        <w:keepNext/>
        <w:keepLines/>
        <w:ind w:firstLine="446"/>
        <w:outlineLvl w:val="2"/>
        <w:rPr>
          <w:rFonts w:ascii="Times New Roman" w:hAnsi="Times New Roman" w:eastAsia="宋体" w:cs="Times New Roman"/>
          <w:b/>
          <w:bCs/>
          <w:color w:val="000000"/>
          <w:sz w:val="24"/>
          <w:szCs w:val="24"/>
        </w:rPr>
      </w:pPr>
      <w:r>
        <w:rPr>
          <w:rFonts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ascii="Times New Roman" w:hAnsi="Times New Roman" w:eastAsia="宋体" w:cs="Times New Roman"/>
          <w:spacing w:val="-7"/>
          <w:sz w:val="24"/>
          <w:szCs w:val="24"/>
        </w:rPr>
        <w:t xml:space="preserve"> </w:t>
      </w:r>
      <w:r>
        <w:rPr>
          <w:rFonts w:ascii="Times New Roman" w:hAnsi="Times New Roman" w:eastAsia="宋体" w:cs="Times New Roman"/>
          <w:b/>
          <w:bCs/>
          <w:spacing w:val="-7"/>
          <w:sz w:val="24"/>
          <w:szCs w:val="24"/>
        </w:rPr>
        <w:t>3-</w:t>
      </w:r>
      <w:r>
        <w:rPr>
          <w:rFonts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1 </w:t>
      </w:r>
      <w:r>
        <w:rPr>
          <w:rFonts w:ascii="Times New Roman" w:hAnsi="Times New Roman" w:eastAsia="宋体" w:cs="Times New Roman"/>
          <w:b/>
          <w:bCs/>
          <w:color w:val="000000"/>
          <w:sz w:val="24"/>
          <w:szCs w:val="24"/>
        </w:rPr>
        <w:t>投标人基本情况表</w:t>
      </w:r>
    </w:p>
    <w:tbl>
      <w:tblPr>
        <w:tblStyle w:val="99"/>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47"/>
              <w:spacing w:before="111" w:line="240" w:lineRule="auto"/>
              <w:ind w:left="720" w:firstLine="0" w:firstLineChars="0"/>
              <w:jc w:val="center"/>
              <w:textAlignment w:val="auto"/>
              <w:rPr>
                <w:rFonts w:ascii="Times New Roman" w:hAnsi="Times New Roman" w:cs="Times New Roman"/>
                <w:sz w:val="21"/>
              </w:rPr>
            </w:pPr>
            <w:r>
              <w:rPr>
                <w:rFonts w:ascii="Times New Roman" w:hAnsi="Times New Roman" w:cs="Times New Roman"/>
                <w:sz w:val="21"/>
              </w:rPr>
              <w:t>企业名称</w:t>
            </w:r>
          </w:p>
        </w:tc>
        <w:tc>
          <w:tcPr>
            <w:tcW w:w="4680" w:type="dxa"/>
            <w:gridSpan w:val="4"/>
            <w:vAlign w:val="center"/>
          </w:tcPr>
          <w:p>
            <w:pPr>
              <w:pStyle w:val="147"/>
              <w:spacing w:before="111" w:line="240" w:lineRule="auto"/>
              <w:ind w:left="720" w:firstLine="0" w:firstLineChars="0"/>
              <w:jc w:val="center"/>
              <w:textAlignment w:val="auto"/>
              <w:rPr>
                <w:rFonts w:ascii="Times New Roman" w:hAnsi="Times New Roman" w:cs="Times New Roman"/>
                <w:sz w:val="21"/>
              </w:rPr>
            </w:pPr>
          </w:p>
        </w:tc>
        <w:tc>
          <w:tcPr>
            <w:tcW w:w="1310" w:type="dxa"/>
          </w:tcPr>
          <w:p>
            <w:pPr>
              <w:pStyle w:val="147"/>
              <w:spacing w:before="111" w:line="240" w:lineRule="auto"/>
              <w:jc w:val="center"/>
              <w:textAlignment w:val="auto"/>
              <w:rPr>
                <w:rFonts w:ascii="Times New Roman" w:hAnsi="Times New Roman" w:cs="Times New Roman"/>
                <w:sz w:val="21"/>
              </w:rPr>
            </w:pPr>
            <w:r>
              <w:rPr>
                <w:rFonts w:ascii="Times New Roman" w:hAnsi="Times New Roman" w:cs="Times New Roman"/>
                <w:sz w:val="21"/>
              </w:rPr>
              <w:t>联系人</w:t>
            </w:r>
          </w:p>
        </w:tc>
        <w:tc>
          <w:tcPr>
            <w:tcW w:w="1510" w:type="dxa"/>
            <w:vAlign w:val="center"/>
          </w:tcPr>
          <w:p>
            <w:pPr>
              <w:pStyle w:val="147"/>
              <w:spacing w:before="111" w:line="240" w:lineRule="auto"/>
              <w:ind w:left="720" w:firstLine="0" w:firstLineChars="0"/>
              <w:jc w:val="center"/>
              <w:textAlignment w:val="auto"/>
              <w:rPr>
                <w:rFonts w:ascii="Times New Roman" w:hAnsi="Times New Roman"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47"/>
              <w:spacing w:before="111" w:line="240" w:lineRule="auto"/>
              <w:ind w:left="720" w:firstLine="0" w:firstLineChars="0"/>
              <w:jc w:val="center"/>
              <w:textAlignment w:val="auto"/>
              <w:rPr>
                <w:rFonts w:ascii="Times New Roman" w:hAnsi="Times New Roman" w:cs="Times New Roman"/>
                <w:sz w:val="21"/>
              </w:rPr>
            </w:pPr>
            <w:r>
              <w:rPr>
                <w:rFonts w:ascii="Times New Roman" w:hAnsi="Times New Roman" w:cs="Times New Roman"/>
                <w:sz w:val="21"/>
              </w:rPr>
              <w:t>企业地址</w:t>
            </w:r>
          </w:p>
        </w:tc>
        <w:tc>
          <w:tcPr>
            <w:tcW w:w="4680" w:type="dxa"/>
            <w:gridSpan w:val="4"/>
            <w:vAlign w:val="center"/>
          </w:tcPr>
          <w:p>
            <w:pPr>
              <w:pStyle w:val="147"/>
              <w:spacing w:before="111" w:line="240" w:lineRule="auto"/>
              <w:ind w:left="720" w:firstLine="0" w:firstLineChars="0"/>
              <w:jc w:val="center"/>
              <w:textAlignment w:val="auto"/>
              <w:rPr>
                <w:rFonts w:ascii="Times New Roman" w:hAnsi="Times New Roman" w:cs="Times New Roman"/>
                <w:sz w:val="21"/>
              </w:rPr>
            </w:pPr>
          </w:p>
        </w:tc>
        <w:tc>
          <w:tcPr>
            <w:tcW w:w="1310" w:type="dxa"/>
          </w:tcPr>
          <w:p>
            <w:pPr>
              <w:pStyle w:val="147"/>
              <w:spacing w:before="111" w:line="240" w:lineRule="auto"/>
              <w:ind w:left="0" w:leftChars="0" w:firstLine="0" w:firstLineChars="0"/>
              <w:jc w:val="center"/>
              <w:textAlignment w:val="auto"/>
              <w:rPr>
                <w:rFonts w:ascii="Times New Roman" w:hAnsi="Times New Roman" w:cs="Times New Roman"/>
                <w:sz w:val="21"/>
              </w:rPr>
            </w:pPr>
            <w:r>
              <w:rPr>
                <w:rFonts w:ascii="Times New Roman" w:hAnsi="Times New Roman" w:cs="Times New Roman"/>
                <w:sz w:val="21"/>
              </w:rPr>
              <w:t>联系人电话</w:t>
            </w:r>
          </w:p>
        </w:tc>
        <w:tc>
          <w:tcPr>
            <w:tcW w:w="1510" w:type="dxa"/>
            <w:vAlign w:val="center"/>
          </w:tcPr>
          <w:p>
            <w:pPr>
              <w:pStyle w:val="147"/>
              <w:spacing w:before="111" w:line="240" w:lineRule="auto"/>
              <w:ind w:left="720" w:firstLine="0" w:firstLineChars="0"/>
              <w:jc w:val="center"/>
              <w:textAlignment w:val="auto"/>
              <w:rPr>
                <w:rFonts w:ascii="Times New Roman" w:hAnsi="Times New Roman"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47"/>
              <w:spacing w:before="111" w:line="240" w:lineRule="auto"/>
              <w:ind w:left="720" w:firstLine="0" w:firstLineChars="0"/>
              <w:jc w:val="center"/>
              <w:textAlignment w:val="auto"/>
              <w:rPr>
                <w:rFonts w:ascii="Times New Roman" w:hAnsi="Times New Roman" w:cs="Times New Roman"/>
                <w:sz w:val="21"/>
              </w:rPr>
            </w:pPr>
            <w:r>
              <w:rPr>
                <w:rFonts w:ascii="Times New Roman" w:hAnsi="Times New Roman" w:cs="Times New Roman"/>
                <w:sz w:val="21"/>
              </w:rPr>
              <w:t>企业性质</w:t>
            </w:r>
          </w:p>
        </w:tc>
        <w:tc>
          <w:tcPr>
            <w:tcW w:w="4680" w:type="dxa"/>
            <w:gridSpan w:val="4"/>
            <w:vAlign w:val="center"/>
          </w:tcPr>
          <w:p>
            <w:pPr>
              <w:pStyle w:val="147"/>
              <w:spacing w:before="111" w:line="240" w:lineRule="auto"/>
              <w:ind w:left="720" w:firstLine="0" w:firstLineChars="0"/>
              <w:jc w:val="center"/>
              <w:textAlignment w:val="auto"/>
              <w:rPr>
                <w:rFonts w:ascii="Times New Roman" w:hAnsi="Times New Roman" w:cs="Times New Roman"/>
                <w:sz w:val="21"/>
              </w:rPr>
            </w:pPr>
          </w:p>
        </w:tc>
        <w:tc>
          <w:tcPr>
            <w:tcW w:w="1310" w:type="dxa"/>
          </w:tcPr>
          <w:p>
            <w:pPr>
              <w:pStyle w:val="147"/>
              <w:spacing w:before="111" w:line="240" w:lineRule="auto"/>
              <w:ind w:left="0" w:leftChars="0" w:firstLine="0" w:firstLineChars="0"/>
              <w:jc w:val="center"/>
              <w:textAlignment w:val="auto"/>
              <w:rPr>
                <w:rFonts w:ascii="Times New Roman" w:hAnsi="Times New Roman" w:cs="Times New Roman"/>
                <w:sz w:val="21"/>
              </w:rPr>
            </w:pPr>
            <w:r>
              <w:rPr>
                <w:rFonts w:ascii="Times New Roman" w:hAnsi="Times New Roman" w:cs="Times New Roman"/>
                <w:sz w:val="21"/>
              </w:rPr>
              <w:t>注册时间</w:t>
            </w:r>
          </w:p>
        </w:tc>
        <w:tc>
          <w:tcPr>
            <w:tcW w:w="1510" w:type="dxa"/>
            <w:vAlign w:val="center"/>
          </w:tcPr>
          <w:p>
            <w:pPr>
              <w:pStyle w:val="147"/>
              <w:spacing w:before="111" w:line="240" w:lineRule="auto"/>
              <w:ind w:left="720" w:firstLine="0" w:firstLineChars="0"/>
              <w:jc w:val="center"/>
              <w:textAlignment w:val="auto"/>
              <w:rPr>
                <w:rFonts w:ascii="Times New Roman" w:hAnsi="Times New Roman"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47"/>
              <w:spacing w:before="111" w:line="240" w:lineRule="auto"/>
              <w:ind w:left="720" w:firstLine="0" w:firstLineChars="0"/>
              <w:jc w:val="center"/>
              <w:textAlignment w:val="auto"/>
              <w:rPr>
                <w:rFonts w:ascii="Times New Roman" w:hAnsi="Times New Roman" w:cs="Times New Roman"/>
                <w:sz w:val="21"/>
              </w:rPr>
            </w:pPr>
            <w:r>
              <w:rPr>
                <w:rFonts w:ascii="Times New Roman" w:hAnsi="Times New Roman" w:cs="Times New Roman"/>
                <w:sz w:val="21"/>
              </w:rPr>
              <w:t>企业法人代表</w:t>
            </w:r>
          </w:p>
        </w:tc>
        <w:tc>
          <w:tcPr>
            <w:tcW w:w="4680" w:type="dxa"/>
            <w:gridSpan w:val="4"/>
          </w:tcPr>
          <w:p>
            <w:pPr>
              <w:pStyle w:val="147"/>
              <w:spacing w:before="111" w:line="240" w:lineRule="auto"/>
              <w:ind w:left="720" w:firstLine="0" w:firstLineChars="0"/>
              <w:jc w:val="center"/>
              <w:textAlignment w:val="auto"/>
              <w:rPr>
                <w:rFonts w:ascii="Times New Roman" w:hAnsi="Times New Roman" w:cs="Times New Roman"/>
                <w:sz w:val="21"/>
              </w:rPr>
            </w:pPr>
          </w:p>
        </w:tc>
        <w:tc>
          <w:tcPr>
            <w:tcW w:w="1310" w:type="dxa"/>
          </w:tcPr>
          <w:p>
            <w:pPr>
              <w:pStyle w:val="147"/>
              <w:spacing w:before="111" w:line="240" w:lineRule="auto"/>
              <w:ind w:left="0" w:leftChars="0" w:firstLine="0" w:firstLineChars="0"/>
              <w:jc w:val="center"/>
              <w:textAlignment w:val="auto"/>
              <w:rPr>
                <w:rFonts w:ascii="Times New Roman" w:hAnsi="Times New Roman" w:cs="Times New Roman"/>
                <w:sz w:val="21"/>
              </w:rPr>
            </w:pPr>
            <w:r>
              <w:rPr>
                <w:rFonts w:ascii="Times New Roman" w:hAnsi="Times New Roman" w:cs="Times New Roman"/>
                <w:sz w:val="21"/>
              </w:rPr>
              <w:t>企业资质</w:t>
            </w:r>
          </w:p>
        </w:tc>
        <w:tc>
          <w:tcPr>
            <w:tcW w:w="1510" w:type="dxa"/>
            <w:vAlign w:val="center"/>
          </w:tcPr>
          <w:p>
            <w:pPr>
              <w:pStyle w:val="147"/>
              <w:spacing w:before="111" w:line="240" w:lineRule="auto"/>
              <w:ind w:left="720" w:firstLine="0" w:firstLineChars="0"/>
              <w:jc w:val="center"/>
              <w:textAlignment w:val="auto"/>
              <w:rPr>
                <w:rFonts w:ascii="Times New Roman" w:hAnsi="Times New Roman"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47"/>
              <w:spacing w:before="111" w:line="240" w:lineRule="auto"/>
              <w:ind w:left="720" w:firstLine="0" w:firstLineChars="0"/>
              <w:jc w:val="center"/>
              <w:textAlignment w:val="auto"/>
              <w:rPr>
                <w:rFonts w:ascii="Times New Roman" w:hAnsi="Times New Roman" w:cs="Times New Roman"/>
                <w:sz w:val="21"/>
              </w:rPr>
            </w:pPr>
            <w:r>
              <w:rPr>
                <w:rFonts w:ascii="Times New Roman" w:hAnsi="Times New Roman" w:cs="Times New Roman"/>
                <w:sz w:val="21"/>
              </w:rPr>
              <w:t>品牌区分</w:t>
            </w:r>
          </w:p>
        </w:tc>
        <w:tc>
          <w:tcPr>
            <w:tcW w:w="7500" w:type="dxa"/>
            <w:gridSpan w:val="6"/>
          </w:tcPr>
          <w:p>
            <w:pPr>
              <w:pStyle w:val="147"/>
              <w:spacing w:before="111" w:line="240" w:lineRule="auto"/>
              <w:ind w:left="720" w:firstLine="0" w:firstLineChars="0"/>
              <w:jc w:val="center"/>
              <w:textAlignment w:val="auto"/>
              <w:rPr>
                <w:rFonts w:ascii="Times New Roman" w:hAnsi="Times New Roman" w:cs="Times New Roman"/>
                <w:sz w:val="21"/>
              </w:rPr>
            </w:pPr>
            <w:r>
              <w:rPr>
                <w:rFonts w:ascii="Times New Roman" w:hAnsi="Times New Roman" w:cs="Times New Roman"/>
                <w:sz w:val="21"/>
              </w:rPr>
              <w:t>自产 总代理 代理  经销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47"/>
              <w:spacing w:before="111" w:line="240" w:lineRule="auto"/>
              <w:ind w:left="720" w:firstLine="0" w:firstLineChars="0"/>
              <w:jc w:val="center"/>
              <w:textAlignment w:val="auto"/>
              <w:rPr>
                <w:rFonts w:ascii="Times New Roman" w:hAnsi="Times New Roman" w:cs="Times New Roman"/>
                <w:sz w:val="21"/>
              </w:rPr>
            </w:pPr>
            <w:r>
              <w:rPr>
                <w:rFonts w:ascii="Times New Roman" w:hAnsi="Times New Roman" w:cs="Times New Roman"/>
                <w:sz w:val="21"/>
              </w:rPr>
              <w:t>品牌名称</w:t>
            </w:r>
          </w:p>
        </w:tc>
        <w:tc>
          <w:tcPr>
            <w:tcW w:w="3583" w:type="dxa"/>
            <w:gridSpan w:val="3"/>
            <w:vAlign w:val="center"/>
          </w:tcPr>
          <w:p>
            <w:pPr>
              <w:pStyle w:val="147"/>
              <w:spacing w:before="111" w:line="240" w:lineRule="auto"/>
              <w:ind w:left="720" w:firstLine="0" w:firstLineChars="0"/>
              <w:jc w:val="center"/>
              <w:textAlignment w:val="auto"/>
              <w:rPr>
                <w:rFonts w:ascii="Times New Roman" w:hAnsi="Times New Roman" w:cs="Times New Roman"/>
                <w:sz w:val="21"/>
              </w:rPr>
            </w:pPr>
          </w:p>
        </w:tc>
        <w:tc>
          <w:tcPr>
            <w:tcW w:w="1097" w:type="dxa"/>
          </w:tcPr>
          <w:p>
            <w:pPr>
              <w:pStyle w:val="147"/>
              <w:spacing w:before="111" w:line="240" w:lineRule="auto"/>
              <w:ind w:left="0" w:leftChars="0" w:firstLine="0" w:firstLineChars="0"/>
              <w:jc w:val="center"/>
              <w:textAlignment w:val="auto"/>
              <w:rPr>
                <w:rFonts w:ascii="Times New Roman" w:hAnsi="Times New Roman" w:cs="Times New Roman"/>
                <w:sz w:val="21"/>
              </w:rPr>
            </w:pPr>
            <w:r>
              <w:rPr>
                <w:rFonts w:ascii="Times New Roman" w:hAnsi="Times New Roman" w:cs="Times New Roman"/>
                <w:sz w:val="21"/>
              </w:rPr>
              <w:t>质量</w:t>
            </w:r>
          </w:p>
          <w:p>
            <w:pPr>
              <w:pStyle w:val="147"/>
              <w:spacing w:before="111" w:line="240" w:lineRule="auto"/>
              <w:ind w:left="0" w:leftChars="0" w:firstLine="0" w:firstLineChars="0"/>
              <w:jc w:val="center"/>
              <w:textAlignment w:val="auto"/>
              <w:rPr>
                <w:rFonts w:ascii="Times New Roman" w:hAnsi="Times New Roman" w:cs="Times New Roman"/>
                <w:sz w:val="21"/>
              </w:rPr>
            </w:pPr>
            <w:r>
              <w:rPr>
                <w:rFonts w:ascii="Times New Roman" w:hAnsi="Times New Roman" w:cs="Times New Roman"/>
                <w:sz w:val="21"/>
              </w:rPr>
              <w:t>体系</w:t>
            </w:r>
          </w:p>
        </w:tc>
        <w:tc>
          <w:tcPr>
            <w:tcW w:w="2820" w:type="dxa"/>
            <w:gridSpan w:val="2"/>
          </w:tcPr>
          <w:p>
            <w:pPr>
              <w:pStyle w:val="147"/>
              <w:spacing w:before="111" w:line="240" w:lineRule="auto"/>
              <w:ind w:left="720" w:firstLine="0" w:firstLineChars="0"/>
              <w:jc w:val="center"/>
              <w:textAlignment w:val="auto"/>
              <w:rPr>
                <w:rFonts w:ascii="Times New Roman" w:hAnsi="Times New Roman"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47"/>
              <w:spacing w:before="111" w:line="240" w:lineRule="auto"/>
              <w:ind w:left="720" w:firstLine="0" w:firstLineChars="0"/>
              <w:jc w:val="center"/>
              <w:textAlignment w:val="auto"/>
              <w:rPr>
                <w:rFonts w:ascii="Times New Roman" w:hAnsi="Times New Roman" w:cs="Times New Roman"/>
                <w:sz w:val="21"/>
              </w:rPr>
            </w:pPr>
            <w:r>
              <w:rPr>
                <w:rFonts w:ascii="Times New Roman" w:hAnsi="Times New Roman" w:cs="Times New Roman"/>
                <w:sz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pStyle w:val="147"/>
              <w:spacing w:before="111" w:line="240" w:lineRule="auto"/>
              <w:ind w:left="720" w:firstLine="0" w:firstLineChars="0"/>
              <w:jc w:val="center"/>
              <w:textAlignment w:val="auto"/>
              <w:rPr>
                <w:rFonts w:ascii="Times New Roman" w:hAnsi="Times New Roman" w:cs="Times New Roman"/>
                <w:sz w:val="21"/>
              </w:rPr>
            </w:pPr>
            <w:r>
              <w:rPr>
                <w:rFonts w:ascii="Times New Roman" w:hAnsi="Times New Roman" w:cs="Times New Roman"/>
                <w:sz w:val="21"/>
              </w:rPr>
              <w:t>参保职工总人数</w:t>
            </w:r>
          </w:p>
        </w:tc>
        <w:tc>
          <w:tcPr>
            <w:tcW w:w="990" w:type="dxa"/>
            <w:vAlign w:val="center"/>
          </w:tcPr>
          <w:p>
            <w:pPr>
              <w:pStyle w:val="147"/>
              <w:spacing w:before="111" w:line="240" w:lineRule="auto"/>
              <w:ind w:left="720" w:firstLine="0" w:firstLineChars="0"/>
              <w:jc w:val="center"/>
              <w:textAlignment w:val="auto"/>
              <w:rPr>
                <w:rFonts w:ascii="Times New Roman" w:hAnsi="Times New Roman" w:cs="Times New Roman"/>
                <w:sz w:val="21"/>
              </w:rPr>
            </w:pPr>
          </w:p>
        </w:tc>
        <w:tc>
          <w:tcPr>
            <w:tcW w:w="1530" w:type="dxa"/>
            <w:vAlign w:val="center"/>
          </w:tcPr>
          <w:p>
            <w:pPr>
              <w:pStyle w:val="147"/>
              <w:spacing w:before="111" w:line="240" w:lineRule="auto"/>
              <w:ind w:left="720" w:firstLine="0" w:firstLineChars="0"/>
              <w:jc w:val="center"/>
              <w:textAlignment w:val="auto"/>
              <w:rPr>
                <w:rFonts w:ascii="Times New Roman" w:hAnsi="Times New Roman" w:cs="Times New Roman"/>
                <w:sz w:val="21"/>
              </w:rPr>
            </w:pPr>
            <w:r>
              <w:rPr>
                <w:rFonts w:ascii="Times New Roman" w:hAnsi="Times New Roman" w:cs="Times New Roman"/>
                <w:sz w:val="21"/>
              </w:rPr>
              <w:t>工程技术人员</w:t>
            </w:r>
          </w:p>
        </w:tc>
        <w:tc>
          <w:tcPr>
            <w:tcW w:w="1063" w:type="dxa"/>
            <w:vAlign w:val="center"/>
          </w:tcPr>
          <w:p>
            <w:pPr>
              <w:pStyle w:val="147"/>
              <w:spacing w:before="111" w:line="240" w:lineRule="auto"/>
              <w:ind w:left="720" w:firstLine="0" w:firstLineChars="0"/>
              <w:jc w:val="center"/>
              <w:textAlignment w:val="auto"/>
              <w:rPr>
                <w:rFonts w:ascii="Times New Roman" w:hAnsi="Times New Roman" w:cs="Times New Roman"/>
                <w:sz w:val="21"/>
              </w:rPr>
            </w:pPr>
          </w:p>
        </w:tc>
        <w:tc>
          <w:tcPr>
            <w:tcW w:w="1097" w:type="dxa"/>
            <w:vAlign w:val="center"/>
          </w:tcPr>
          <w:p>
            <w:pPr>
              <w:pStyle w:val="147"/>
              <w:spacing w:before="111" w:line="240" w:lineRule="auto"/>
              <w:ind w:left="0" w:leftChars="0" w:firstLine="0" w:firstLineChars="0"/>
              <w:jc w:val="center"/>
              <w:textAlignment w:val="auto"/>
              <w:rPr>
                <w:rFonts w:ascii="Times New Roman" w:hAnsi="Times New Roman" w:cs="Times New Roman"/>
                <w:sz w:val="21"/>
              </w:rPr>
            </w:pPr>
            <w:r>
              <w:rPr>
                <w:rFonts w:ascii="Times New Roman" w:hAnsi="Times New Roman" w:cs="Times New Roman"/>
                <w:sz w:val="21"/>
              </w:rPr>
              <w:t>生产、销售人员</w:t>
            </w:r>
          </w:p>
        </w:tc>
        <w:tc>
          <w:tcPr>
            <w:tcW w:w="2820" w:type="dxa"/>
            <w:gridSpan w:val="2"/>
            <w:vAlign w:val="center"/>
          </w:tcPr>
          <w:p>
            <w:pPr>
              <w:pStyle w:val="147"/>
              <w:spacing w:before="111" w:line="240" w:lineRule="auto"/>
              <w:ind w:left="720" w:firstLine="0" w:firstLineChars="0"/>
              <w:jc w:val="center"/>
              <w:textAlignment w:val="auto"/>
              <w:rPr>
                <w:rFonts w:ascii="Times New Roman" w:hAnsi="Times New Roman"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pStyle w:val="147"/>
              <w:spacing w:before="111" w:line="240" w:lineRule="auto"/>
              <w:ind w:left="720" w:firstLine="0" w:firstLineChars="0"/>
              <w:jc w:val="center"/>
              <w:textAlignment w:val="auto"/>
              <w:rPr>
                <w:rFonts w:ascii="Times New Roman" w:hAnsi="Times New Roman" w:cs="Times New Roman"/>
                <w:sz w:val="21"/>
              </w:rPr>
            </w:pPr>
            <w:r>
              <w:rPr>
                <w:rFonts w:ascii="Times New Roman" w:hAnsi="Times New Roman" w:cs="Times New Roman"/>
                <w:sz w:val="21"/>
              </w:rPr>
              <w:t>企业优势、关键产品特点</w:t>
            </w:r>
          </w:p>
        </w:tc>
        <w:tc>
          <w:tcPr>
            <w:tcW w:w="7500" w:type="dxa"/>
            <w:gridSpan w:val="6"/>
            <w:vAlign w:val="center"/>
          </w:tcPr>
          <w:p>
            <w:pPr>
              <w:pStyle w:val="147"/>
              <w:spacing w:before="111" w:line="240" w:lineRule="auto"/>
              <w:ind w:left="720" w:firstLine="0" w:firstLineChars="0"/>
              <w:jc w:val="center"/>
              <w:textAlignment w:val="auto"/>
              <w:rPr>
                <w:rFonts w:ascii="Times New Roman" w:hAnsi="Times New Roman"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pStyle w:val="147"/>
              <w:spacing w:before="111" w:line="240" w:lineRule="auto"/>
              <w:ind w:left="720" w:firstLine="0" w:firstLineChars="0"/>
              <w:jc w:val="center"/>
              <w:textAlignment w:val="auto"/>
              <w:rPr>
                <w:rFonts w:ascii="Times New Roman" w:hAnsi="Times New Roman" w:cs="Times New Roman"/>
                <w:sz w:val="21"/>
              </w:rPr>
            </w:pPr>
            <w:r>
              <w:rPr>
                <w:rFonts w:ascii="Times New Roman" w:hAnsi="Times New Roman" w:cs="Times New Roman"/>
                <w:sz w:val="21"/>
              </w:rPr>
              <w:t>企业行业水平及行业口碑</w:t>
            </w:r>
          </w:p>
        </w:tc>
        <w:tc>
          <w:tcPr>
            <w:tcW w:w="7500" w:type="dxa"/>
            <w:gridSpan w:val="6"/>
            <w:vAlign w:val="center"/>
          </w:tcPr>
          <w:p>
            <w:pPr>
              <w:pStyle w:val="147"/>
              <w:spacing w:before="111" w:line="240" w:lineRule="auto"/>
              <w:ind w:left="720" w:firstLine="0" w:firstLineChars="0"/>
              <w:jc w:val="center"/>
              <w:textAlignment w:val="auto"/>
              <w:rPr>
                <w:rFonts w:ascii="Times New Roman" w:hAnsi="Times New Roman"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pStyle w:val="147"/>
              <w:spacing w:before="111" w:line="240" w:lineRule="auto"/>
              <w:ind w:left="720" w:firstLine="0" w:firstLineChars="0"/>
              <w:jc w:val="center"/>
              <w:textAlignment w:val="auto"/>
              <w:rPr>
                <w:rFonts w:ascii="Times New Roman" w:hAnsi="Times New Roman" w:cs="Times New Roman"/>
                <w:sz w:val="21"/>
              </w:rPr>
            </w:pPr>
            <w:r>
              <w:rPr>
                <w:rFonts w:ascii="Times New Roman" w:hAnsi="Times New Roman" w:cs="Times New Roman"/>
                <w:sz w:val="21"/>
              </w:rPr>
              <w:t>公司现有主要研发、 实验、生产设备</w:t>
            </w:r>
          </w:p>
        </w:tc>
        <w:tc>
          <w:tcPr>
            <w:tcW w:w="7500" w:type="dxa"/>
            <w:gridSpan w:val="6"/>
            <w:vAlign w:val="center"/>
          </w:tcPr>
          <w:p>
            <w:pPr>
              <w:pStyle w:val="147"/>
              <w:spacing w:before="111" w:line="240" w:lineRule="auto"/>
              <w:ind w:left="720" w:firstLine="0" w:firstLineChars="0"/>
              <w:jc w:val="center"/>
              <w:textAlignment w:val="auto"/>
              <w:rPr>
                <w:rFonts w:ascii="Times New Roman" w:hAnsi="Times New Roman"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pStyle w:val="147"/>
              <w:spacing w:before="111" w:line="240" w:lineRule="auto"/>
              <w:ind w:left="720" w:firstLine="0" w:firstLineChars="0"/>
              <w:jc w:val="center"/>
              <w:textAlignment w:val="auto"/>
              <w:rPr>
                <w:rFonts w:ascii="Times New Roman" w:hAnsi="Times New Roman" w:cs="Times New Roman"/>
                <w:sz w:val="21"/>
              </w:rPr>
            </w:pPr>
            <w:r>
              <w:rPr>
                <w:rFonts w:ascii="Times New Roman" w:hAnsi="Times New Roman" w:cs="Times New Roman"/>
                <w:sz w:val="21"/>
              </w:rPr>
              <w:t>近三或五年企业类似业绩及履约情况</w:t>
            </w:r>
          </w:p>
        </w:tc>
        <w:tc>
          <w:tcPr>
            <w:tcW w:w="7500" w:type="dxa"/>
            <w:gridSpan w:val="6"/>
            <w:vAlign w:val="center"/>
          </w:tcPr>
          <w:p>
            <w:pPr>
              <w:pStyle w:val="147"/>
              <w:spacing w:before="111" w:line="240" w:lineRule="auto"/>
              <w:ind w:left="720" w:firstLine="0" w:firstLineChars="0"/>
              <w:jc w:val="center"/>
              <w:textAlignment w:val="auto"/>
              <w:rPr>
                <w:rFonts w:ascii="Times New Roman" w:hAnsi="Times New Roman"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pStyle w:val="147"/>
              <w:spacing w:before="111" w:line="240" w:lineRule="auto"/>
              <w:ind w:left="720" w:firstLine="0" w:firstLineChars="0"/>
              <w:jc w:val="center"/>
              <w:textAlignment w:val="auto"/>
              <w:rPr>
                <w:rFonts w:ascii="Times New Roman" w:hAnsi="Times New Roman" w:cs="Times New Roman"/>
                <w:sz w:val="21"/>
              </w:rPr>
            </w:pPr>
            <w:r>
              <w:rPr>
                <w:rFonts w:ascii="Times New Roman" w:hAnsi="Times New Roman" w:cs="Times New Roman"/>
                <w:sz w:val="21"/>
              </w:rPr>
              <w:t>售后服务及质量</w:t>
            </w:r>
          </w:p>
        </w:tc>
        <w:tc>
          <w:tcPr>
            <w:tcW w:w="7500" w:type="dxa"/>
            <w:gridSpan w:val="6"/>
            <w:vAlign w:val="center"/>
          </w:tcPr>
          <w:p>
            <w:pPr>
              <w:pStyle w:val="147"/>
              <w:spacing w:before="111" w:line="240" w:lineRule="auto"/>
              <w:ind w:left="720" w:firstLine="0" w:firstLineChars="0"/>
              <w:jc w:val="center"/>
              <w:textAlignment w:val="auto"/>
              <w:rPr>
                <w:rFonts w:ascii="Times New Roman" w:hAnsi="Times New Roman" w:cs="Times New Roman"/>
                <w:sz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pStyle w:val="147"/>
              <w:spacing w:before="111" w:line="240" w:lineRule="auto"/>
              <w:ind w:left="720" w:firstLine="0" w:firstLineChars="0"/>
              <w:jc w:val="center"/>
              <w:textAlignment w:val="auto"/>
              <w:rPr>
                <w:rFonts w:ascii="Times New Roman" w:hAnsi="Times New Roman" w:cs="Times New Roman"/>
                <w:sz w:val="21"/>
              </w:rPr>
            </w:pPr>
            <w:r>
              <w:rPr>
                <w:rFonts w:ascii="Times New Roman" w:hAnsi="Times New Roman" w:cs="Times New Roman"/>
                <w:sz w:val="21"/>
              </w:rPr>
              <w:t>对本项目在设计、制造、进度、财务等方面采取的组织措施和相关人员简介</w:t>
            </w:r>
          </w:p>
        </w:tc>
        <w:tc>
          <w:tcPr>
            <w:tcW w:w="7500" w:type="dxa"/>
            <w:gridSpan w:val="6"/>
            <w:vAlign w:val="center"/>
          </w:tcPr>
          <w:p>
            <w:pPr>
              <w:pStyle w:val="147"/>
              <w:spacing w:before="111" w:line="240" w:lineRule="auto"/>
              <w:ind w:left="720" w:firstLine="0" w:firstLineChars="0"/>
              <w:jc w:val="center"/>
              <w:textAlignment w:val="auto"/>
              <w:rPr>
                <w:rFonts w:ascii="Times New Roman" w:hAnsi="Times New Roman" w:cs="Times New Roman"/>
                <w:sz w:val="21"/>
              </w:rPr>
            </w:pPr>
          </w:p>
        </w:tc>
      </w:tr>
    </w:tbl>
    <w:p>
      <w:pPr>
        <w:pStyle w:val="21"/>
      </w:pPr>
    </w:p>
    <w:p>
      <w:pPr>
        <w:pStyle w:val="21"/>
        <w:ind w:firstLine="446"/>
        <w:outlineLvl w:val="2"/>
        <w:rPr>
          <w:rFonts w:ascii="Times New Roman" w:hAnsi="Times New Roman" w:eastAsia="宋体" w:cs="Times New Roman"/>
          <w:b/>
          <w:bCs/>
          <w:color w:val="000000"/>
          <w:sz w:val="24"/>
          <w:szCs w:val="24"/>
        </w:rPr>
      </w:pPr>
      <w:r>
        <w:rPr>
          <w:rFonts w:ascii="Times New Roman" w:hAnsi="Times New Roman" w:eastAsia="宋体" w:cs="Times New Roman"/>
          <w:spacing w:val="-9"/>
          <w:sz w:val="24"/>
          <w:szCs w:val="24"/>
          <w14:textOutline w14:w="4356" w14:cap="flat" w14:cmpd="sng" w14:algn="ctr">
            <w14:solidFill>
              <w14:srgbClr w14:val="000000"/>
            </w14:solidFill>
            <w14:prstDash w14:val="solid"/>
            <w14:miter w14:val="0"/>
          </w14:textOutline>
        </w:rPr>
        <w:t>表</w:t>
      </w:r>
      <w:r>
        <w:rPr>
          <w:rFonts w:ascii="Times New Roman" w:hAnsi="Times New Roman" w:eastAsia="宋体" w:cs="Times New Roman"/>
          <w:b/>
          <w:bCs/>
          <w:spacing w:val="-7"/>
          <w:sz w:val="24"/>
          <w:szCs w:val="24"/>
        </w:rPr>
        <w:t xml:space="preserve"> 3-</w:t>
      </w:r>
      <w:r>
        <w:rPr>
          <w:rFonts w:ascii="Times New Roman" w:hAnsi="Times New Roman" w:eastAsia="宋体" w:cs="Times New Roman"/>
          <w:spacing w:val="-7"/>
          <w:sz w:val="24"/>
          <w:szCs w:val="24"/>
          <w14:textOutline w14:w="4356" w14:cap="flat" w14:cmpd="sng" w14:algn="ctr">
            <w14:solidFill>
              <w14:srgbClr w14:val="000000"/>
            </w14:solidFill>
            <w14:prstDash w14:val="solid"/>
            <w14:miter w14:val="0"/>
          </w14:textOutline>
        </w:rPr>
        <w:t xml:space="preserve">2 </w:t>
      </w:r>
      <w:r>
        <w:rPr>
          <w:rFonts w:ascii="Times New Roman" w:hAnsi="Times New Roman" w:eastAsia="宋体" w:cs="Times New Roman"/>
          <w:b/>
          <w:bCs/>
          <w:color w:val="000000"/>
          <w:sz w:val="24"/>
          <w:szCs w:val="24"/>
        </w:rPr>
        <w:t>资产情况汇总表</w:t>
      </w:r>
    </w:p>
    <w:p>
      <w:pPr>
        <w:pStyle w:val="21"/>
      </w:pPr>
    </w:p>
    <w:tbl>
      <w:tblPr>
        <w:tblStyle w:val="40"/>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9"/>
        <w:gridCol w:w="2406"/>
        <w:gridCol w:w="2291"/>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4"/>
            <w:vAlign w:val="center"/>
          </w:tcPr>
          <w:p>
            <w:r>
              <w:t xml:space="preserve">                  </w:t>
            </w:r>
            <w:r>
              <w:rPr>
                <w:rFonts w:hint="eastAsia"/>
                <w:lang w:val="en-US" w:eastAsia="zh-CN"/>
              </w:rPr>
              <w:t xml:space="preserve">      </w:t>
            </w:r>
            <w:r>
              <w:t xml:space="preserve"> 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r>
              <w:t>注册资金（万元）</w:t>
            </w:r>
          </w:p>
        </w:tc>
        <w:tc>
          <w:tcPr>
            <w:tcW w:w="6767"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r>
              <w:t>实收资金（万元）</w:t>
            </w:r>
          </w:p>
        </w:tc>
        <w:tc>
          <w:tcPr>
            <w:tcW w:w="6767" w:type="dxa"/>
            <w:gridSpan w:val="3"/>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r>
              <w:t>年度资产情况</w:t>
            </w:r>
          </w:p>
        </w:tc>
        <w:tc>
          <w:tcPr>
            <w:tcW w:w="2406" w:type="dxa"/>
            <w:vAlign w:val="center"/>
          </w:tcPr>
          <w:p>
            <w:r>
              <w:t>202</w:t>
            </w:r>
            <w:r>
              <w:rPr>
                <w:rFonts w:hint="eastAsia"/>
              </w:rPr>
              <w:t>1</w:t>
            </w:r>
            <w:r>
              <w:t>年</w:t>
            </w:r>
          </w:p>
        </w:tc>
        <w:tc>
          <w:tcPr>
            <w:tcW w:w="2291" w:type="dxa"/>
            <w:vAlign w:val="center"/>
          </w:tcPr>
          <w:p>
            <w:r>
              <w:t>202</w:t>
            </w:r>
            <w:r>
              <w:rPr>
                <w:rFonts w:hint="eastAsia"/>
              </w:rPr>
              <w:t>2</w:t>
            </w:r>
            <w:r>
              <w:t>年</w:t>
            </w:r>
          </w:p>
        </w:tc>
        <w:tc>
          <w:tcPr>
            <w:tcW w:w="2070" w:type="dxa"/>
            <w:vAlign w:val="center"/>
          </w:tcPr>
          <w:p>
            <w:r>
              <w:t>202</w:t>
            </w:r>
            <w:r>
              <w:rPr>
                <w:rFonts w:hint="eastAsia"/>
              </w:rPr>
              <w:t>3</w:t>
            </w:r>
            <w: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r>
              <w:t>流动资产（万元）</w:t>
            </w:r>
          </w:p>
        </w:tc>
        <w:tc>
          <w:tcPr>
            <w:tcW w:w="2406" w:type="dxa"/>
          </w:tcPr>
          <w:p/>
        </w:tc>
        <w:tc>
          <w:tcPr>
            <w:tcW w:w="2291" w:type="dxa"/>
          </w:tcPr>
          <w:p/>
        </w:tc>
        <w:tc>
          <w:tcPr>
            <w:tcW w:w="207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r>
              <w:t>非流动资产（万元）</w:t>
            </w:r>
          </w:p>
        </w:tc>
        <w:tc>
          <w:tcPr>
            <w:tcW w:w="2406" w:type="dxa"/>
          </w:tcPr>
          <w:p/>
        </w:tc>
        <w:tc>
          <w:tcPr>
            <w:tcW w:w="2291" w:type="dxa"/>
          </w:tcPr>
          <w:p/>
        </w:tc>
        <w:tc>
          <w:tcPr>
            <w:tcW w:w="207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r>
              <w:t>营业收入（万元）</w:t>
            </w:r>
          </w:p>
        </w:tc>
        <w:tc>
          <w:tcPr>
            <w:tcW w:w="2406" w:type="dxa"/>
          </w:tcPr>
          <w:p>
            <w:pPr>
              <w:rPr>
                <w:highlight w:val="yellow"/>
              </w:rPr>
            </w:pPr>
          </w:p>
        </w:tc>
        <w:tc>
          <w:tcPr>
            <w:tcW w:w="2291" w:type="dxa"/>
          </w:tcPr>
          <w:p>
            <w:pPr>
              <w:rPr>
                <w:highlight w:val="yellow"/>
              </w:rPr>
            </w:pPr>
          </w:p>
        </w:tc>
        <w:tc>
          <w:tcPr>
            <w:tcW w:w="2070" w:type="dxa"/>
          </w:tcPr>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r>
              <w:t>年底资产总值（万元）</w:t>
            </w:r>
          </w:p>
        </w:tc>
        <w:tc>
          <w:tcPr>
            <w:tcW w:w="2406" w:type="dxa"/>
          </w:tcPr>
          <w:p/>
        </w:tc>
        <w:tc>
          <w:tcPr>
            <w:tcW w:w="2291" w:type="dxa"/>
          </w:tcPr>
          <w:p/>
        </w:tc>
        <w:tc>
          <w:tcPr>
            <w:tcW w:w="207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r>
              <w:t>年底负债总值（万元）</w:t>
            </w:r>
          </w:p>
        </w:tc>
        <w:tc>
          <w:tcPr>
            <w:tcW w:w="2406" w:type="dxa"/>
          </w:tcPr>
          <w:p/>
        </w:tc>
        <w:tc>
          <w:tcPr>
            <w:tcW w:w="2291" w:type="dxa"/>
          </w:tcPr>
          <w:p/>
        </w:tc>
        <w:tc>
          <w:tcPr>
            <w:tcW w:w="207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r>
              <w:t>资产负债率（  %）</w:t>
            </w:r>
          </w:p>
        </w:tc>
        <w:tc>
          <w:tcPr>
            <w:tcW w:w="2406" w:type="dxa"/>
          </w:tcPr>
          <w:p>
            <w:pPr>
              <w:rPr>
                <w:highlight w:val="yellow"/>
              </w:rPr>
            </w:pPr>
          </w:p>
        </w:tc>
        <w:tc>
          <w:tcPr>
            <w:tcW w:w="2291" w:type="dxa"/>
          </w:tcPr>
          <w:p>
            <w:pPr>
              <w:rPr>
                <w:highlight w:val="yellow"/>
              </w:rPr>
            </w:pPr>
          </w:p>
        </w:tc>
        <w:tc>
          <w:tcPr>
            <w:tcW w:w="2070" w:type="dxa"/>
          </w:tcPr>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r>
              <w:t>净利润（万元）</w:t>
            </w:r>
          </w:p>
        </w:tc>
        <w:tc>
          <w:tcPr>
            <w:tcW w:w="2406" w:type="dxa"/>
          </w:tcPr>
          <w:p>
            <w:pPr>
              <w:rPr>
                <w:highlight w:val="yellow"/>
              </w:rPr>
            </w:pPr>
          </w:p>
        </w:tc>
        <w:tc>
          <w:tcPr>
            <w:tcW w:w="2291" w:type="dxa"/>
          </w:tcPr>
          <w:p>
            <w:pPr>
              <w:rPr>
                <w:highlight w:val="yellow"/>
              </w:rPr>
            </w:pPr>
          </w:p>
        </w:tc>
        <w:tc>
          <w:tcPr>
            <w:tcW w:w="2070" w:type="dxa"/>
          </w:tcPr>
          <w:p>
            <w:pPr>
              <w:rPr>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r>
              <w:t>未分配利润（万元）</w:t>
            </w:r>
          </w:p>
        </w:tc>
        <w:tc>
          <w:tcPr>
            <w:tcW w:w="2406" w:type="dxa"/>
          </w:tcPr>
          <w:p/>
        </w:tc>
        <w:tc>
          <w:tcPr>
            <w:tcW w:w="2291" w:type="dxa"/>
          </w:tcPr>
          <w:p/>
        </w:tc>
        <w:tc>
          <w:tcPr>
            <w:tcW w:w="207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r>
              <w:t>营运资金</w:t>
            </w:r>
          </w:p>
        </w:tc>
        <w:tc>
          <w:tcPr>
            <w:tcW w:w="2406" w:type="dxa"/>
          </w:tcPr>
          <w:p/>
        </w:tc>
        <w:tc>
          <w:tcPr>
            <w:tcW w:w="2291" w:type="dxa"/>
          </w:tcPr>
          <w:p/>
        </w:tc>
        <w:tc>
          <w:tcPr>
            <w:tcW w:w="207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r>
              <w:t>（本年营业收入-上年营业收入）÷上年营业收入</w:t>
            </w:r>
          </w:p>
        </w:tc>
        <w:tc>
          <w:tcPr>
            <w:tcW w:w="2406" w:type="dxa"/>
          </w:tcPr>
          <w:p/>
        </w:tc>
        <w:tc>
          <w:tcPr>
            <w:tcW w:w="2291" w:type="dxa"/>
          </w:tcPr>
          <w:p/>
        </w:tc>
        <w:tc>
          <w:tcPr>
            <w:tcW w:w="2070" w:type="dxa"/>
          </w:tcPr>
          <w:p/>
        </w:tc>
      </w:tr>
    </w:tbl>
    <w:p>
      <w:r>
        <w:t>投标人：（盖章）</w:t>
      </w:r>
    </w:p>
    <w:p>
      <w:r>
        <w:t>法定代表人（委托代理人）：（签字）</w:t>
      </w:r>
    </w:p>
    <w:p>
      <w:pPr>
        <w:rPr>
          <w:b/>
          <w:bCs/>
          <w:color w:val="000000"/>
          <w:sz w:val="28"/>
        </w:rPr>
      </w:pPr>
      <w:r>
        <w:t>日  期：       年    月    日</w:t>
      </w:r>
    </w:p>
    <w:p>
      <w:p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pPr>
        <w:keepNext/>
        <w:keepLines/>
        <w:spacing w:line="240" w:lineRule="auto"/>
        <w:ind w:firstLine="0" w:firstLineChars="0"/>
        <w:jc w:val="both"/>
        <w:textAlignment w:val="auto"/>
        <w:outlineLvl w:val="1"/>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附件4 保密承诺函</w:t>
      </w:r>
    </w:p>
    <w:p/>
    <w:p>
      <w:pPr>
        <w:rPr>
          <w:rFonts w:hint="eastAsia" w:ascii="宋体" w:hAnsi="宋体" w:eastAsia="宋体" w:cs="宋体"/>
          <w:sz w:val="24"/>
          <w:szCs w:val="24"/>
        </w:rPr>
      </w:pPr>
      <w:r>
        <w:rPr>
          <w:rFonts w:hint="eastAsia" w:ascii="宋体" w:hAnsi="宋体" w:eastAsia="宋体" w:cs="宋体"/>
          <w:sz w:val="24"/>
          <w:szCs w:val="24"/>
        </w:rPr>
        <w:t xml:space="preserve">项目名称：车轮六分力传感器及配套设备               </w:t>
      </w:r>
    </w:p>
    <w:p>
      <w:pPr>
        <w:rPr>
          <w:rFonts w:hint="eastAsia" w:ascii="宋体" w:hAnsi="宋体" w:eastAsia="宋体" w:cs="宋体"/>
          <w:b/>
          <w:bCs/>
          <w:sz w:val="24"/>
          <w:szCs w:val="24"/>
        </w:rPr>
      </w:pPr>
      <w:r>
        <w:rPr>
          <w:rFonts w:hint="eastAsia" w:ascii="宋体" w:hAnsi="宋体" w:eastAsia="宋体" w:cs="宋体"/>
          <w:b/>
          <w:bCs/>
          <w:sz w:val="24"/>
          <w:szCs w:val="24"/>
        </w:rPr>
        <w:t>中国重汽集团济南动力有限公司：</w:t>
      </w:r>
    </w:p>
    <w:p>
      <w:pPr>
        <w:rPr>
          <w:rFonts w:hint="eastAsia" w:ascii="宋体" w:hAnsi="宋体" w:eastAsia="宋体" w:cs="宋体"/>
          <w:sz w:val="24"/>
          <w:szCs w:val="24"/>
        </w:rPr>
      </w:pPr>
      <w:r>
        <w:rPr>
          <w:rFonts w:hint="eastAsia" w:ascii="宋体" w:hAnsi="宋体" w:eastAsia="宋体" w:cs="宋体"/>
          <w:sz w:val="24"/>
          <w:szCs w:val="24"/>
        </w:rPr>
        <w:t>我代表（</w:t>
      </w:r>
      <w:r>
        <w:rPr>
          <w:rFonts w:hint="eastAsia" w:ascii="宋体" w:hAnsi="宋体" w:eastAsia="宋体" w:cs="宋体"/>
          <w:sz w:val="24"/>
          <w:szCs w:val="24"/>
          <w:highlight w:val="yellow"/>
          <w:u w:val="single"/>
        </w:rPr>
        <w:t>投标单位名称</w:t>
      </w:r>
      <w:r>
        <w:rPr>
          <w:rFonts w:hint="eastAsia" w:ascii="宋体" w:hAnsi="宋体" w:eastAsia="宋体" w:cs="宋体"/>
          <w:sz w:val="24"/>
          <w:szCs w:val="24"/>
        </w:rPr>
        <w:t>）对招标人的商业秘密作如下承诺：</w:t>
      </w:r>
    </w:p>
    <w:p>
      <w:pPr>
        <w:rPr>
          <w:rFonts w:hint="eastAsia" w:ascii="宋体" w:hAnsi="宋体" w:eastAsia="宋体" w:cs="宋体"/>
          <w:sz w:val="24"/>
          <w:szCs w:val="24"/>
        </w:rPr>
      </w:pPr>
      <w:r>
        <w:rPr>
          <w:rFonts w:hint="eastAsia" w:ascii="宋体" w:hAnsi="宋体" w:eastAsia="宋体" w:cs="宋体"/>
          <w:sz w:val="24"/>
          <w:szCs w:val="24"/>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r>
        <w:rPr>
          <w:rFonts w:hint="eastAsia" w:ascii="宋体" w:hAnsi="宋体" w:eastAsia="宋体" w:cs="宋体"/>
          <w:sz w:val="24"/>
          <w:szCs w:val="24"/>
        </w:rPr>
        <w:t xml:space="preserve">                                                                       </w:t>
      </w:r>
    </w:p>
    <w:p>
      <w:pPr>
        <w:rPr>
          <w:rFonts w:hint="eastAsia" w:ascii="宋体" w:hAnsi="宋体" w:eastAsia="宋体" w:cs="宋体"/>
          <w:sz w:val="24"/>
          <w:szCs w:val="24"/>
        </w:rPr>
      </w:pPr>
    </w:p>
    <w:p>
      <w:pPr>
        <w:rPr>
          <w:rFonts w:hint="eastAsia" w:ascii="宋体" w:hAnsi="宋体" w:eastAsia="宋体" w:cs="宋体"/>
          <w:sz w:val="24"/>
          <w:szCs w:val="24"/>
        </w:rPr>
      </w:pPr>
      <w:r>
        <w:rPr>
          <w:rFonts w:hint="eastAsia" w:ascii="宋体" w:hAnsi="宋体" w:eastAsia="宋体" w:cs="宋体"/>
          <w:sz w:val="24"/>
          <w:szCs w:val="24"/>
        </w:rPr>
        <w:t>投标人：（盖章）</w:t>
      </w:r>
    </w:p>
    <w:p>
      <w:pPr>
        <w:rPr>
          <w:rFonts w:hint="eastAsia" w:ascii="宋体" w:hAnsi="宋体" w:eastAsia="宋体" w:cs="宋体"/>
          <w:sz w:val="24"/>
          <w:szCs w:val="24"/>
        </w:rPr>
      </w:pPr>
      <w:r>
        <w:rPr>
          <w:rFonts w:hint="eastAsia" w:ascii="宋体" w:hAnsi="宋体" w:eastAsia="宋体" w:cs="宋体"/>
          <w:sz w:val="24"/>
          <w:szCs w:val="24"/>
        </w:rPr>
        <w:t>法定代表人（委托代理人）：（签字）</w:t>
      </w:r>
    </w:p>
    <w:p>
      <w:pPr>
        <w:rPr>
          <w:rFonts w:hint="eastAsia" w:ascii="宋体" w:hAnsi="宋体" w:eastAsia="宋体" w:cs="宋体"/>
          <w:sz w:val="24"/>
          <w:szCs w:val="24"/>
        </w:rPr>
      </w:pPr>
      <w:r>
        <w:rPr>
          <w:rFonts w:hint="eastAsia" w:ascii="宋体" w:hAnsi="宋体" w:eastAsia="宋体" w:cs="宋体"/>
          <w:sz w:val="24"/>
          <w:szCs w:val="24"/>
        </w:rPr>
        <w:t>日  期：       年    月    日</w:t>
      </w:r>
    </w:p>
    <w:p/>
    <w:p>
      <w:p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pPr>
        <w:rPr>
          <w:b/>
          <w:bCs/>
        </w:rPr>
      </w:pPr>
      <w:r>
        <w:rPr>
          <w:b/>
          <w:bCs/>
        </w:rPr>
        <w:t>附件5 技术规格偏离表</w:t>
      </w:r>
    </w:p>
    <w:p>
      <w:r>
        <w:t>项目名称：</w:t>
      </w:r>
      <w:r>
        <w:rPr>
          <w:rFonts w:hint="eastAsia"/>
        </w:rPr>
        <w:t>车轮六分力传感器及配套设备</w:t>
      </w:r>
      <w:r>
        <w:t xml:space="preserve"> </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rPr>
                <w:b/>
                <w:bCs/>
              </w:rPr>
            </w:pPr>
            <w:r>
              <w:rPr>
                <w:b/>
                <w:bCs/>
              </w:rPr>
              <w:t>序号</w:t>
            </w:r>
          </w:p>
        </w:tc>
        <w:tc>
          <w:tcPr>
            <w:tcW w:w="3449" w:type="dxa"/>
            <w:vAlign w:val="center"/>
          </w:tcPr>
          <w:p>
            <w:pPr>
              <w:rPr>
                <w:b/>
                <w:bCs/>
              </w:rPr>
            </w:pPr>
            <w:r>
              <w:rPr>
                <w:b/>
                <w:bCs/>
              </w:rPr>
              <w:t>招标要求</w:t>
            </w:r>
          </w:p>
        </w:tc>
        <w:tc>
          <w:tcPr>
            <w:tcW w:w="2414" w:type="dxa"/>
            <w:vAlign w:val="center"/>
          </w:tcPr>
          <w:p>
            <w:pPr>
              <w:rPr>
                <w:b/>
                <w:bCs/>
              </w:rPr>
            </w:pPr>
            <w:r>
              <w:rPr>
                <w:b/>
                <w:bCs/>
              </w:rPr>
              <w:t>响应规格</w:t>
            </w:r>
          </w:p>
        </w:tc>
        <w:tc>
          <w:tcPr>
            <w:tcW w:w="1608" w:type="dxa"/>
            <w:vAlign w:val="center"/>
          </w:tcPr>
          <w:p>
            <w:pPr>
              <w:ind w:left="0" w:leftChars="0" w:firstLine="0" w:firstLineChars="0"/>
              <w:rPr>
                <w:b/>
                <w:bCs/>
              </w:rPr>
            </w:pPr>
            <w:r>
              <w:rPr>
                <w:b/>
                <w:bCs/>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tc>
        <w:tc>
          <w:tcPr>
            <w:tcW w:w="3449" w:type="dxa"/>
          </w:tcPr>
          <w:p/>
        </w:tc>
        <w:tc>
          <w:tcPr>
            <w:tcW w:w="2414" w:type="dxa"/>
          </w:tcPr>
          <w:p/>
        </w:tc>
        <w:tc>
          <w:tcPr>
            <w:tcW w:w="16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tc>
        <w:tc>
          <w:tcPr>
            <w:tcW w:w="3449" w:type="dxa"/>
          </w:tcPr>
          <w:p/>
        </w:tc>
        <w:tc>
          <w:tcPr>
            <w:tcW w:w="2414" w:type="dxa"/>
          </w:tcPr>
          <w:p/>
        </w:tc>
        <w:tc>
          <w:tcPr>
            <w:tcW w:w="16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tc>
        <w:tc>
          <w:tcPr>
            <w:tcW w:w="3449" w:type="dxa"/>
          </w:tcPr>
          <w:p/>
        </w:tc>
        <w:tc>
          <w:tcPr>
            <w:tcW w:w="2414" w:type="dxa"/>
          </w:tcPr>
          <w:p/>
        </w:tc>
        <w:tc>
          <w:tcPr>
            <w:tcW w:w="16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tc>
        <w:tc>
          <w:tcPr>
            <w:tcW w:w="3449" w:type="dxa"/>
          </w:tcPr>
          <w:p/>
        </w:tc>
        <w:tc>
          <w:tcPr>
            <w:tcW w:w="2414" w:type="dxa"/>
          </w:tcPr>
          <w:p/>
        </w:tc>
        <w:tc>
          <w:tcPr>
            <w:tcW w:w="16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trPr>
        <w:tc>
          <w:tcPr>
            <w:tcW w:w="1585" w:type="dxa"/>
          </w:tcPr>
          <w:p/>
        </w:tc>
        <w:tc>
          <w:tcPr>
            <w:tcW w:w="3449" w:type="dxa"/>
          </w:tcPr>
          <w:p/>
        </w:tc>
        <w:tc>
          <w:tcPr>
            <w:tcW w:w="2414" w:type="dxa"/>
          </w:tcPr>
          <w:p/>
        </w:tc>
        <w:tc>
          <w:tcPr>
            <w:tcW w:w="16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tc>
        <w:tc>
          <w:tcPr>
            <w:tcW w:w="3449" w:type="dxa"/>
          </w:tcPr>
          <w:p/>
        </w:tc>
        <w:tc>
          <w:tcPr>
            <w:tcW w:w="2414" w:type="dxa"/>
          </w:tcPr>
          <w:p/>
        </w:tc>
        <w:tc>
          <w:tcPr>
            <w:tcW w:w="16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tc>
        <w:tc>
          <w:tcPr>
            <w:tcW w:w="3449" w:type="dxa"/>
          </w:tcPr>
          <w:p/>
        </w:tc>
        <w:tc>
          <w:tcPr>
            <w:tcW w:w="2414" w:type="dxa"/>
          </w:tcPr>
          <w:p/>
        </w:tc>
        <w:tc>
          <w:tcPr>
            <w:tcW w:w="16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tc>
        <w:tc>
          <w:tcPr>
            <w:tcW w:w="3449" w:type="dxa"/>
          </w:tcPr>
          <w:p/>
        </w:tc>
        <w:tc>
          <w:tcPr>
            <w:tcW w:w="2414" w:type="dxa"/>
          </w:tcPr>
          <w:p/>
        </w:tc>
        <w:tc>
          <w:tcPr>
            <w:tcW w:w="16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tc>
        <w:tc>
          <w:tcPr>
            <w:tcW w:w="3449" w:type="dxa"/>
          </w:tcPr>
          <w:p/>
        </w:tc>
        <w:tc>
          <w:tcPr>
            <w:tcW w:w="2414" w:type="dxa"/>
          </w:tcPr>
          <w:p/>
        </w:tc>
        <w:tc>
          <w:tcPr>
            <w:tcW w:w="16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tc>
        <w:tc>
          <w:tcPr>
            <w:tcW w:w="3449" w:type="dxa"/>
          </w:tcPr>
          <w:p/>
        </w:tc>
        <w:tc>
          <w:tcPr>
            <w:tcW w:w="2414" w:type="dxa"/>
          </w:tcPr>
          <w:p/>
        </w:tc>
        <w:tc>
          <w:tcPr>
            <w:tcW w:w="16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tc>
        <w:tc>
          <w:tcPr>
            <w:tcW w:w="3449" w:type="dxa"/>
          </w:tcPr>
          <w:p/>
        </w:tc>
        <w:tc>
          <w:tcPr>
            <w:tcW w:w="2414" w:type="dxa"/>
          </w:tcPr>
          <w:p/>
        </w:tc>
        <w:tc>
          <w:tcPr>
            <w:tcW w:w="16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tc>
        <w:tc>
          <w:tcPr>
            <w:tcW w:w="3449" w:type="dxa"/>
          </w:tcPr>
          <w:p/>
        </w:tc>
        <w:tc>
          <w:tcPr>
            <w:tcW w:w="2414" w:type="dxa"/>
          </w:tcPr>
          <w:p/>
        </w:tc>
        <w:tc>
          <w:tcPr>
            <w:tcW w:w="16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tc>
        <w:tc>
          <w:tcPr>
            <w:tcW w:w="3449" w:type="dxa"/>
          </w:tcPr>
          <w:p/>
        </w:tc>
        <w:tc>
          <w:tcPr>
            <w:tcW w:w="2414" w:type="dxa"/>
          </w:tcPr>
          <w:p/>
        </w:tc>
        <w:tc>
          <w:tcPr>
            <w:tcW w:w="1608"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tc>
        <w:tc>
          <w:tcPr>
            <w:tcW w:w="3449" w:type="dxa"/>
          </w:tcPr>
          <w:p/>
        </w:tc>
        <w:tc>
          <w:tcPr>
            <w:tcW w:w="2414" w:type="dxa"/>
          </w:tcPr>
          <w:p/>
        </w:tc>
        <w:tc>
          <w:tcPr>
            <w:tcW w:w="1608" w:type="dxa"/>
          </w:tcPr>
          <w:p/>
        </w:tc>
      </w:tr>
    </w:tbl>
    <w:p>
      <w:pPr>
        <w:spacing w:line="660" w:lineRule="exact"/>
        <w:rPr>
          <w:rFonts w:ascii="Times New Roman" w:hAnsi="Times New Roman" w:eastAsia="宋体" w:cs="Times New Roman"/>
          <w:sz w:val="24"/>
          <w:szCs w:val="20"/>
        </w:rPr>
      </w:pPr>
      <w:r>
        <w:rPr>
          <w:rFonts w:ascii="Times New Roman" w:hAnsi="Times New Roman" w:eastAsia="宋体" w:cs="Times New Roman"/>
          <w:sz w:val="24"/>
          <w:szCs w:val="20"/>
        </w:rPr>
        <w:t>投标人：（盖章）</w:t>
      </w:r>
    </w:p>
    <w:p>
      <w:pPr>
        <w:spacing w:line="660" w:lineRule="exact"/>
        <w:rPr>
          <w:rFonts w:ascii="Times New Roman" w:hAnsi="Times New Roman" w:eastAsia="宋体" w:cs="Times New Roman"/>
          <w:sz w:val="24"/>
          <w:szCs w:val="20"/>
        </w:rPr>
      </w:pPr>
      <w:r>
        <w:rPr>
          <w:rFonts w:ascii="Times New Roman" w:hAnsi="Times New Roman" w:eastAsia="宋体" w:cs="Times New Roman"/>
          <w:sz w:val="24"/>
          <w:szCs w:val="20"/>
        </w:rPr>
        <w:t>法定代表人（委托代理人）：（签字）</w:t>
      </w:r>
    </w:p>
    <w:p>
      <w:pPr>
        <w:spacing w:line="660" w:lineRule="exact"/>
        <w:rPr>
          <w:rFonts w:ascii="Times New Roman" w:hAnsi="Times New Roman" w:eastAsia="宋体" w:cs="Times New Roman"/>
          <w:sz w:val="24"/>
          <w:szCs w:val="20"/>
        </w:rPr>
      </w:pPr>
      <w:r>
        <w:rPr>
          <w:rFonts w:ascii="Times New Roman" w:hAnsi="Times New Roman" w:eastAsia="宋体" w:cs="Times New Roman"/>
          <w:sz w:val="24"/>
          <w:szCs w:val="20"/>
        </w:rPr>
        <w:t>日  期：</w:t>
      </w:r>
      <w:r>
        <w:rPr>
          <w:rFonts w:ascii="Times New Roman" w:hAnsi="Times New Roman" w:eastAsia="宋体" w:cs="Times New Roman"/>
          <w:sz w:val="24"/>
          <w:szCs w:val="20"/>
          <w:u w:val="single"/>
        </w:rPr>
        <w:t xml:space="preserve">       </w:t>
      </w:r>
      <w:r>
        <w:rPr>
          <w:rFonts w:ascii="Times New Roman" w:hAnsi="Times New Roman" w:eastAsia="宋体" w:cs="Times New Roman"/>
          <w:sz w:val="24"/>
          <w:szCs w:val="20"/>
        </w:rPr>
        <w:t>年</w:t>
      </w:r>
      <w:r>
        <w:rPr>
          <w:rFonts w:ascii="Times New Roman" w:hAnsi="Times New Roman" w:eastAsia="宋体" w:cs="Times New Roman"/>
          <w:sz w:val="24"/>
          <w:szCs w:val="20"/>
          <w:u w:val="single"/>
        </w:rPr>
        <w:t xml:space="preserve">    </w:t>
      </w:r>
      <w:r>
        <w:rPr>
          <w:rFonts w:ascii="Times New Roman" w:hAnsi="Times New Roman" w:eastAsia="宋体" w:cs="Times New Roman"/>
          <w:sz w:val="24"/>
          <w:szCs w:val="20"/>
        </w:rPr>
        <w:t>月</w:t>
      </w:r>
      <w:r>
        <w:rPr>
          <w:rFonts w:ascii="Times New Roman" w:hAnsi="Times New Roman" w:eastAsia="宋体" w:cs="Times New Roman"/>
          <w:sz w:val="24"/>
          <w:szCs w:val="20"/>
          <w:u w:val="single"/>
        </w:rPr>
        <w:t xml:space="preserve">    </w:t>
      </w:r>
      <w:r>
        <w:rPr>
          <w:rFonts w:ascii="Times New Roman" w:hAnsi="Times New Roman" w:eastAsia="宋体" w:cs="Times New Roman"/>
          <w:sz w:val="24"/>
          <w:szCs w:val="20"/>
        </w:rPr>
        <w:t>日</w:t>
      </w:r>
    </w:p>
    <w:p>
      <w:pPr>
        <w:pStyle w:val="21"/>
      </w:pPr>
    </w:p>
    <w:p>
      <w:pPr>
        <w:pStyle w:val="21"/>
      </w:pPr>
    </w:p>
    <w:p>
      <w:pPr>
        <w:pStyle w:val="21"/>
      </w:pPr>
    </w:p>
    <w:p>
      <w:pPr>
        <w:pStyle w:val="21"/>
      </w:pPr>
    </w:p>
    <w:p>
      <w:pPr>
        <w:pStyle w:val="21"/>
      </w:pPr>
    </w:p>
    <w:p>
      <w:pPr>
        <w:pStyle w:val="21"/>
      </w:pPr>
    </w:p>
    <w:p>
      <w:pPr>
        <w:rPr>
          <w:b/>
          <w:bCs/>
        </w:rPr>
      </w:pPr>
      <w:r>
        <w:rPr>
          <w:b/>
          <w:bCs/>
        </w:rPr>
        <w:t>附件6 2020年1月1日以来同类项目业绩一览表</w:t>
      </w:r>
    </w:p>
    <w:p>
      <w:r>
        <w:t>项目名称：</w:t>
      </w:r>
      <w:r>
        <w:rPr>
          <w:rFonts w:hint="eastAsia"/>
        </w:rPr>
        <w:t>车轮六分力传感器及配套设备</w:t>
      </w:r>
    </w:p>
    <w:tbl>
      <w:tblPr>
        <w:tblStyle w:val="4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0" w:leftChars="0" w:firstLine="0" w:firstLineChars="0"/>
              <w:rPr>
                <w:b/>
                <w:bCs/>
              </w:rPr>
            </w:pPr>
            <w:r>
              <w:rPr>
                <w:b/>
                <w:bCs/>
              </w:rPr>
              <w:t>序号</w:t>
            </w:r>
          </w:p>
        </w:tc>
        <w:tc>
          <w:tcPr>
            <w:tcW w:w="2082" w:type="dxa"/>
            <w:vAlign w:val="center"/>
          </w:tcPr>
          <w:p>
            <w:pPr>
              <w:rPr>
                <w:b/>
                <w:bCs/>
              </w:rPr>
            </w:pPr>
            <w:r>
              <w:rPr>
                <w:b/>
                <w:bCs/>
              </w:rPr>
              <w:t>采购单位</w:t>
            </w:r>
          </w:p>
        </w:tc>
        <w:tc>
          <w:tcPr>
            <w:tcW w:w="1355" w:type="dxa"/>
            <w:vAlign w:val="center"/>
          </w:tcPr>
          <w:p>
            <w:pPr>
              <w:ind w:left="0" w:leftChars="0" w:firstLine="0" w:firstLineChars="0"/>
              <w:rPr>
                <w:b/>
                <w:bCs/>
              </w:rPr>
            </w:pPr>
            <w:r>
              <w:rPr>
                <w:b/>
                <w:bCs/>
              </w:rPr>
              <w:t>项目名称</w:t>
            </w:r>
          </w:p>
          <w:p>
            <w:pPr>
              <w:ind w:left="0" w:leftChars="0" w:firstLine="0" w:firstLineChars="0"/>
              <w:rPr>
                <w:b/>
                <w:bCs/>
              </w:rPr>
            </w:pPr>
            <w:r>
              <w:rPr>
                <w:b/>
                <w:bCs/>
              </w:rPr>
              <w:t>（万元）</w:t>
            </w:r>
          </w:p>
        </w:tc>
        <w:tc>
          <w:tcPr>
            <w:tcW w:w="826" w:type="dxa"/>
            <w:vAlign w:val="center"/>
          </w:tcPr>
          <w:p>
            <w:pPr>
              <w:ind w:left="0" w:leftChars="0" w:firstLine="0" w:firstLineChars="0"/>
              <w:rPr>
                <w:b/>
                <w:bCs/>
              </w:rPr>
            </w:pPr>
            <w:r>
              <w:rPr>
                <w:b/>
                <w:bCs/>
              </w:rPr>
              <w:t>数量</w:t>
            </w:r>
          </w:p>
        </w:tc>
        <w:tc>
          <w:tcPr>
            <w:tcW w:w="1320" w:type="dxa"/>
            <w:vAlign w:val="center"/>
          </w:tcPr>
          <w:p>
            <w:pPr>
              <w:ind w:left="0" w:leftChars="0" w:firstLine="0" w:firstLineChars="0"/>
              <w:rPr>
                <w:b/>
                <w:bCs/>
              </w:rPr>
            </w:pPr>
            <w:r>
              <w:rPr>
                <w:b/>
                <w:bCs/>
              </w:rPr>
              <w:t>合同金额</w:t>
            </w:r>
          </w:p>
        </w:tc>
        <w:tc>
          <w:tcPr>
            <w:tcW w:w="1023" w:type="dxa"/>
            <w:vAlign w:val="center"/>
          </w:tcPr>
          <w:p>
            <w:pPr>
              <w:ind w:left="0" w:leftChars="0" w:firstLine="0" w:firstLineChars="0"/>
              <w:rPr>
                <w:b/>
                <w:bCs/>
              </w:rPr>
            </w:pPr>
            <w:r>
              <w:rPr>
                <w:b/>
                <w:bCs/>
              </w:rPr>
              <w:t>合同签订时间</w:t>
            </w:r>
          </w:p>
        </w:tc>
        <w:tc>
          <w:tcPr>
            <w:tcW w:w="1590" w:type="dxa"/>
            <w:vAlign w:val="center"/>
          </w:tcPr>
          <w:p>
            <w:pPr>
              <w:ind w:left="0" w:leftChars="0" w:firstLine="0" w:firstLineChars="0"/>
              <w:rPr>
                <w:b/>
                <w:bCs/>
              </w:rPr>
            </w:pPr>
            <w:r>
              <w:rPr>
                <w:b/>
                <w:bCs/>
              </w:rPr>
              <w:t>联系人及</w:t>
            </w:r>
          </w:p>
          <w:p>
            <w:pPr>
              <w:ind w:left="0" w:leftChars="0" w:firstLine="0" w:firstLineChars="0"/>
              <w:rPr>
                <w:b/>
                <w:bCs/>
              </w:rPr>
            </w:pPr>
            <w:r>
              <w:rPr>
                <w:b/>
                <w:bCs/>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tc>
        <w:tc>
          <w:tcPr>
            <w:tcW w:w="2082" w:type="dxa"/>
          </w:tcPr>
          <w:p/>
        </w:tc>
        <w:tc>
          <w:tcPr>
            <w:tcW w:w="1355" w:type="dxa"/>
          </w:tcPr>
          <w:p/>
        </w:tc>
        <w:tc>
          <w:tcPr>
            <w:tcW w:w="826" w:type="dxa"/>
          </w:tcPr>
          <w:p/>
        </w:tc>
        <w:tc>
          <w:tcPr>
            <w:tcW w:w="1320" w:type="dxa"/>
          </w:tcPr>
          <w:p/>
        </w:tc>
        <w:tc>
          <w:tcPr>
            <w:tcW w:w="1023" w:type="dxa"/>
          </w:tcPr>
          <w:p/>
        </w:tc>
        <w:tc>
          <w:tcPr>
            <w:tcW w:w="159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tc>
        <w:tc>
          <w:tcPr>
            <w:tcW w:w="2082" w:type="dxa"/>
          </w:tcPr>
          <w:p/>
        </w:tc>
        <w:tc>
          <w:tcPr>
            <w:tcW w:w="1355" w:type="dxa"/>
          </w:tcPr>
          <w:p/>
        </w:tc>
        <w:tc>
          <w:tcPr>
            <w:tcW w:w="826" w:type="dxa"/>
          </w:tcPr>
          <w:p/>
        </w:tc>
        <w:tc>
          <w:tcPr>
            <w:tcW w:w="1320" w:type="dxa"/>
          </w:tcPr>
          <w:p/>
        </w:tc>
        <w:tc>
          <w:tcPr>
            <w:tcW w:w="1023" w:type="dxa"/>
          </w:tcPr>
          <w:p/>
        </w:tc>
        <w:tc>
          <w:tcPr>
            <w:tcW w:w="159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tc>
        <w:tc>
          <w:tcPr>
            <w:tcW w:w="2082" w:type="dxa"/>
          </w:tcPr>
          <w:p/>
        </w:tc>
        <w:tc>
          <w:tcPr>
            <w:tcW w:w="1355" w:type="dxa"/>
          </w:tcPr>
          <w:p/>
        </w:tc>
        <w:tc>
          <w:tcPr>
            <w:tcW w:w="826" w:type="dxa"/>
          </w:tcPr>
          <w:p/>
        </w:tc>
        <w:tc>
          <w:tcPr>
            <w:tcW w:w="1320" w:type="dxa"/>
          </w:tcPr>
          <w:p/>
        </w:tc>
        <w:tc>
          <w:tcPr>
            <w:tcW w:w="1023" w:type="dxa"/>
          </w:tcPr>
          <w:p/>
        </w:tc>
        <w:tc>
          <w:tcPr>
            <w:tcW w:w="159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tc>
        <w:tc>
          <w:tcPr>
            <w:tcW w:w="2082" w:type="dxa"/>
          </w:tcPr>
          <w:p/>
        </w:tc>
        <w:tc>
          <w:tcPr>
            <w:tcW w:w="1355" w:type="dxa"/>
          </w:tcPr>
          <w:p/>
        </w:tc>
        <w:tc>
          <w:tcPr>
            <w:tcW w:w="826" w:type="dxa"/>
          </w:tcPr>
          <w:p/>
        </w:tc>
        <w:tc>
          <w:tcPr>
            <w:tcW w:w="1320" w:type="dxa"/>
          </w:tcPr>
          <w:p/>
        </w:tc>
        <w:tc>
          <w:tcPr>
            <w:tcW w:w="1023" w:type="dxa"/>
          </w:tcPr>
          <w:p/>
        </w:tc>
        <w:tc>
          <w:tcPr>
            <w:tcW w:w="159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tc>
        <w:tc>
          <w:tcPr>
            <w:tcW w:w="2082" w:type="dxa"/>
          </w:tcPr>
          <w:p/>
        </w:tc>
        <w:tc>
          <w:tcPr>
            <w:tcW w:w="1355" w:type="dxa"/>
          </w:tcPr>
          <w:p/>
        </w:tc>
        <w:tc>
          <w:tcPr>
            <w:tcW w:w="826" w:type="dxa"/>
          </w:tcPr>
          <w:p/>
        </w:tc>
        <w:tc>
          <w:tcPr>
            <w:tcW w:w="1320" w:type="dxa"/>
          </w:tcPr>
          <w:p/>
        </w:tc>
        <w:tc>
          <w:tcPr>
            <w:tcW w:w="1023" w:type="dxa"/>
          </w:tcPr>
          <w:p/>
        </w:tc>
        <w:tc>
          <w:tcPr>
            <w:tcW w:w="159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tc>
        <w:tc>
          <w:tcPr>
            <w:tcW w:w="2082" w:type="dxa"/>
          </w:tcPr>
          <w:p/>
        </w:tc>
        <w:tc>
          <w:tcPr>
            <w:tcW w:w="1355" w:type="dxa"/>
          </w:tcPr>
          <w:p/>
        </w:tc>
        <w:tc>
          <w:tcPr>
            <w:tcW w:w="826" w:type="dxa"/>
          </w:tcPr>
          <w:p/>
        </w:tc>
        <w:tc>
          <w:tcPr>
            <w:tcW w:w="1320" w:type="dxa"/>
          </w:tcPr>
          <w:p/>
        </w:tc>
        <w:tc>
          <w:tcPr>
            <w:tcW w:w="1023" w:type="dxa"/>
          </w:tcPr>
          <w:p/>
        </w:tc>
        <w:tc>
          <w:tcPr>
            <w:tcW w:w="159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tc>
        <w:tc>
          <w:tcPr>
            <w:tcW w:w="2082" w:type="dxa"/>
          </w:tcPr>
          <w:p/>
        </w:tc>
        <w:tc>
          <w:tcPr>
            <w:tcW w:w="1355" w:type="dxa"/>
          </w:tcPr>
          <w:p/>
        </w:tc>
        <w:tc>
          <w:tcPr>
            <w:tcW w:w="826" w:type="dxa"/>
          </w:tcPr>
          <w:p/>
        </w:tc>
        <w:tc>
          <w:tcPr>
            <w:tcW w:w="1320" w:type="dxa"/>
          </w:tcPr>
          <w:p/>
        </w:tc>
        <w:tc>
          <w:tcPr>
            <w:tcW w:w="1023" w:type="dxa"/>
          </w:tcPr>
          <w:p/>
        </w:tc>
        <w:tc>
          <w:tcPr>
            <w:tcW w:w="159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tc>
        <w:tc>
          <w:tcPr>
            <w:tcW w:w="2082" w:type="dxa"/>
          </w:tcPr>
          <w:p/>
        </w:tc>
        <w:tc>
          <w:tcPr>
            <w:tcW w:w="1355" w:type="dxa"/>
          </w:tcPr>
          <w:p/>
        </w:tc>
        <w:tc>
          <w:tcPr>
            <w:tcW w:w="826" w:type="dxa"/>
          </w:tcPr>
          <w:p/>
        </w:tc>
        <w:tc>
          <w:tcPr>
            <w:tcW w:w="1320" w:type="dxa"/>
          </w:tcPr>
          <w:p/>
        </w:tc>
        <w:tc>
          <w:tcPr>
            <w:tcW w:w="1023" w:type="dxa"/>
          </w:tcPr>
          <w:p/>
        </w:tc>
        <w:tc>
          <w:tcPr>
            <w:tcW w:w="159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tc>
        <w:tc>
          <w:tcPr>
            <w:tcW w:w="2082" w:type="dxa"/>
          </w:tcPr>
          <w:p/>
        </w:tc>
        <w:tc>
          <w:tcPr>
            <w:tcW w:w="1355" w:type="dxa"/>
          </w:tcPr>
          <w:p/>
        </w:tc>
        <w:tc>
          <w:tcPr>
            <w:tcW w:w="826" w:type="dxa"/>
          </w:tcPr>
          <w:p/>
        </w:tc>
        <w:tc>
          <w:tcPr>
            <w:tcW w:w="1320" w:type="dxa"/>
          </w:tcPr>
          <w:p/>
        </w:tc>
        <w:tc>
          <w:tcPr>
            <w:tcW w:w="1023" w:type="dxa"/>
          </w:tcPr>
          <w:p/>
        </w:tc>
        <w:tc>
          <w:tcPr>
            <w:tcW w:w="159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tc>
        <w:tc>
          <w:tcPr>
            <w:tcW w:w="2082" w:type="dxa"/>
          </w:tcPr>
          <w:p/>
        </w:tc>
        <w:tc>
          <w:tcPr>
            <w:tcW w:w="1355" w:type="dxa"/>
          </w:tcPr>
          <w:p/>
        </w:tc>
        <w:tc>
          <w:tcPr>
            <w:tcW w:w="826" w:type="dxa"/>
          </w:tcPr>
          <w:p/>
        </w:tc>
        <w:tc>
          <w:tcPr>
            <w:tcW w:w="1320" w:type="dxa"/>
          </w:tcPr>
          <w:p/>
        </w:tc>
        <w:tc>
          <w:tcPr>
            <w:tcW w:w="1023" w:type="dxa"/>
          </w:tcPr>
          <w:p/>
        </w:tc>
        <w:tc>
          <w:tcPr>
            <w:tcW w:w="159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tc>
        <w:tc>
          <w:tcPr>
            <w:tcW w:w="2082" w:type="dxa"/>
          </w:tcPr>
          <w:p/>
        </w:tc>
        <w:tc>
          <w:tcPr>
            <w:tcW w:w="1355" w:type="dxa"/>
          </w:tcPr>
          <w:p/>
        </w:tc>
        <w:tc>
          <w:tcPr>
            <w:tcW w:w="826" w:type="dxa"/>
          </w:tcPr>
          <w:p/>
        </w:tc>
        <w:tc>
          <w:tcPr>
            <w:tcW w:w="1320" w:type="dxa"/>
          </w:tcPr>
          <w:p/>
        </w:tc>
        <w:tc>
          <w:tcPr>
            <w:tcW w:w="1023" w:type="dxa"/>
          </w:tcPr>
          <w:p/>
        </w:tc>
        <w:tc>
          <w:tcPr>
            <w:tcW w:w="159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tc>
        <w:tc>
          <w:tcPr>
            <w:tcW w:w="2082" w:type="dxa"/>
          </w:tcPr>
          <w:p/>
        </w:tc>
        <w:tc>
          <w:tcPr>
            <w:tcW w:w="1355" w:type="dxa"/>
          </w:tcPr>
          <w:p/>
        </w:tc>
        <w:tc>
          <w:tcPr>
            <w:tcW w:w="826" w:type="dxa"/>
          </w:tcPr>
          <w:p/>
        </w:tc>
        <w:tc>
          <w:tcPr>
            <w:tcW w:w="1320" w:type="dxa"/>
          </w:tcPr>
          <w:p/>
        </w:tc>
        <w:tc>
          <w:tcPr>
            <w:tcW w:w="1023" w:type="dxa"/>
          </w:tcPr>
          <w:p/>
        </w:tc>
        <w:tc>
          <w:tcPr>
            <w:tcW w:w="1590"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r>
              <w:rPr>
                <w:b/>
                <w:bCs/>
              </w:rPr>
              <w:t>2020年1月1日至今所有业绩合同总额汇总（必填）</w:t>
            </w:r>
          </w:p>
        </w:tc>
        <w:tc>
          <w:tcPr>
            <w:tcW w:w="826" w:type="dxa"/>
          </w:tcPr>
          <w:p/>
        </w:tc>
        <w:tc>
          <w:tcPr>
            <w:tcW w:w="1320" w:type="dxa"/>
          </w:tcPr>
          <w:p/>
        </w:tc>
        <w:tc>
          <w:tcPr>
            <w:tcW w:w="1023" w:type="dxa"/>
          </w:tcPr>
          <w:p/>
        </w:tc>
        <w:tc>
          <w:tcPr>
            <w:tcW w:w="1590" w:type="dxa"/>
          </w:tcPr>
          <w:p/>
        </w:tc>
      </w:tr>
    </w:tbl>
    <w:p>
      <w:r>
        <w:t>注：提供2020年1月1日以来同类产品的制造销售业绩（用户名单、联系方式），并附合同复印件。该同类项目业绩一览表</w:t>
      </w:r>
      <w:r>
        <w:rPr>
          <w:b/>
          <w:bCs/>
        </w:rPr>
        <w:t>必须如实填写，应全尽全</w:t>
      </w:r>
      <w:r>
        <w:t>；一览表最终的所有业绩</w:t>
      </w:r>
      <w:r>
        <w:rPr>
          <w:b/>
          <w:bCs/>
        </w:rPr>
        <w:t>合同总额汇总必填</w:t>
      </w:r>
      <w:r>
        <w:t>，此项很重要，数据将影响现场评标专家组对投标单位的业绩考评。若未提供相应业绩证明，根据技术标评分规则，将影响现场评标专家组对投标单位业绩判定打分。</w:t>
      </w:r>
    </w:p>
    <w:p/>
    <w:p>
      <w:r>
        <w:t>投标人：（盖章）</w:t>
      </w:r>
    </w:p>
    <w:p>
      <w:r>
        <w:t>法定代表人（委托代理人）：（签字）</w:t>
      </w:r>
    </w:p>
    <w:p>
      <w:r>
        <w:t>日  期：       年    月    日</w:t>
      </w:r>
    </w:p>
    <w:p>
      <w:r>
        <w:br w:type="page"/>
      </w:r>
    </w:p>
    <w:p>
      <w:pPr>
        <w:rPr>
          <w:b/>
          <w:bCs/>
        </w:rPr>
      </w:pPr>
      <w:r>
        <w:rPr>
          <w:b/>
          <w:bCs/>
        </w:rPr>
        <w:t>附件7 设备质量承诺函</w:t>
      </w:r>
    </w:p>
    <w:p>
      <w:r>
        <w:t xml:space="preserve">                                               </w:t>
      </w:r>
    </w:p>
    <w:p>
      <w:r>
        <w:t xml:space="preserve">项目名称:  </w:t>
      </w:r>
      <w:r>
        <w:rPr>
          <w:rFonts w:hint="eastAsia"/>
        </w:rPr>
        <w:t>车轮六分力传感器及配套设备</w:t>
      </w:r>
      <w:r>
        <w:t xml:space="preserve">        </w:t>
      </w:r>
    </w:p>
    <w:p>
      <w:pPr>
        <w:rPr>
          <w:b/>
          <w:bCs/>
        </w:rPr>
      </w:pPr>
      <w:r>
        <w:rPr>
          <w:b/>
          <w:bCs/>
        </w:rPr>
        <w:t>中国重汽集团</w:t>
      </w:r>
      <w:r>
        <w:rPr>
          <w:rFonts w:hint="eastAsia"/>
          <w:b/>
          <w:bCs/>
        </w:rPr>
        <w:t>济南动力有限公司</w:t>
      </w:r>
      <w:r>
        <w:rPr>
          <w:b/>
          <w:bCs/>
        </w:rPr>
        <w:t>：</w:t>
      </w:r>
    </w:p>
    <w:p>
      <w:r>
        <w:t>我代表(投标单位名称)为保证中标产品的质量特作如下承诺：</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pPr>
        <w:spacing w:line="660" w:lineRule="exact"/>
        <w:rPr>
          <w:rFonts w:ascii="Times New Roman" w:hAnsi="Times New Roman" w:eastAsia="宋体" w:cs="Times New Roman"/>
          <w:sz w:val="24"/>
          <w:szCs w:val="20"/>
        </w:rPr>
      </w:pPr>
      <w:r>
        <w:rPr>
          <w:rFonts w:ascii="Times New Roman" w:hAnsi="Times New Roman" w:eastAsia="宋体" w:cs="Times New Roman"/>
          <w:sz w:val="24"/>
          <w:szCs w:val="20"/>
        </w:rPr>
        <w:t>投标人：（盖章）</w:t>
      </w:r>
    </w:p>
    <w:p>
      <w:pPr>
        <w:spacing w:line="660" w:lineRule="exact"/>
        <w:rPr>
          <w:rFonts w:ascii="Times New Roman" w:hAnsi="Times New Roman" w:eastAsia="宋体" w:cs="Times New Roman"/>
          <w:sz w:val="24"/>
          <w:szCs w:val="20"/>
        </w:rPr>
      </w:pPr>
      <w:r>
        <w:rPr>
          <w:rFonts w:ascii="Times New Roman" w:hAnsi="Times New Roman" w:eastAsia="宋体" w:cs="Times New Roman"/>
          <w:sz w:val="24"/>
          <w:szCs w:val="20"/>
        </w:rPr>
        <w:t>法定代表人（委托代理人）：（签字）</w:t>
      </w:r>
    </w:p>
    <w:p>
      <w:pPr>
        <w:spacing w:line="660" w:lineRule="exact"/>
        <w:rPr>
          <w:rFonts w:ascii="Times New Roman" w:hAnsi="Times New Roman" w:eastAsia="宋体" w:cs="Times New Roman"/>
          <w:sz w:val="24"/>
          <w:szCs w:val="20"/>
        </w:rPr>
      </w:pPr>
      <w:r>
        <w:rPr>
          <w:rFonts w:ascii="Times New Roman" w:hAnsi="Times New Roman" w:eastAsia="宋体" w:cs="Times New Roman"/>
          <w:sz w:val="24"/>
          <w:szCs w:val="20"/>
        </w:rPr>
        <w:t>日  期：</w:t>
      </w:r>
      <w:r>
        <w:rPr>
          <w:rFonts w:ascii="Times New Roman" w:hAnsi="Times New Roman" w:eastAsia="宋体" w:cs="Times New Roman"/>
          <w:sz w:val="24"/>
          <w:szCs w:val="20"/>
          <w:u w:val="single"/>
        </w:rPr>
        <w:t xml:space="preserve">       </w:t>
      </w:r>
      <w:r>
        <w:rPr>
          <w:rFonts w:ascii="Times New Roman" w:hAnsi="Times New Roman" w:eastAsia="宋体" w:cs="Times New Roman"/>
          <w:sz w:val="24"/>
          <w:szCs w:val="20"/>
        </w:rPr>
        <w:t>年</w:t>
      </w:r>
      <w:r>
        <w:rPr>
          <w:rFonts w:ascii="Times New Roman" w:hAnsi="Times New Roman" w:eastAsia="宋体" w:cs="Times New Roman"/>
          <w:sz w:val="24"/>
          <w:szCs w:val="20"/>
          <w:u w:val="single"/>
        </w:rPr>
        <w:t xml:space="preserve">    </w:t>
      </w:r>
      <w:r>
        <w:rPr>
          <w:rFonts w:ascii="Times New Roman" w:hAnsi="Times New Roman" w:eastAsia="宋体" w:cs="Times New Roman"/>
          <w:sz w:val="24"/>
          <w:szCs w:val="20"/>
        </w:rPr>
        <w:t>月</w:t>
      </w:r>
      <w:r>
        <w:rPr>
          <w:rFonts w:ascii="Times New Roman" w:hAnsi="Times New Roman" w:eastAsia="宋体" w:cs="Times New Roman"/>
          <w:sz w:val="24"/>
          <w:szCs w:val="20"/>
          <w:u w:val="single"/>
        </w:rPr>
        <w:t xml:space="preserve">    </w:t>
      </w:r>
      <w:r>
        <w:rPr>
          <w:rFonts w:ascii="Times New Roman" w:hAnsi="Times New Roman" w:eastAsia="宋体" w:cs="Times New Roman"/>
          <w:sz w:val="24"/>
          <w:szCs w:val="20"/>
        </w:rPr>
        <w:t>日</w:t>
      </w:r>
    </w:p>
    <w:p/>
    <w:p>
      <w:p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pPr>
        <w:rPr>
          <w:b/>
          <w:bCs/>
        </w:rPr>
      </w:pPr>
      <w:bookmarkStart w:id="142" w:name="_Toc29283"/>
      <w:r>
        <w:rPr>
          <w:b/>
          <w:bCs/>
        </w:rPr>
        <w:t>附件8 开标一览表</w:t>
      </w:r>
      <w:bookmarkEnd w:id="142"/>
    </w:p>
    <w:p>
      <w:pPr>
        <w:rPr>
          <w:b/>
          <w:bCs/>
        </w:rPr>
      </w:pPr>
      <w:r>
        <w:rPr>
          <w:b/>
          <w:bCs/>
        </w:rPr>
        <w:t>《开标一览表》需在商务标书之外单独封存两份，以备唱标使用</w:t>
      </w:r>
    </w:p>
    <w:p>
      <w:r>
        <w:t>项目名称：</w:t>
      </w:r>
      <w:r>
        <w:rPr>
          <w:rFonts w:hint="eastAsia"/>
        </w:rPr>
        <w:t>车轮六分力传感器及配套设备</w:t>
      </w:r>
      <w:r>
        <w:t xml:space="preserve">                                                        </w:t>
      </w:r>
    </w:p>
    <w:tbl>
      <w:tblPr>
        <w:tblStyle w:val="4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7"/>
        <w:gridCol w:w="936"/>
        <w:gridCol w:w="741"/>
        <w:gridCol w:w="2074"/>
        <w:gridCol w:w="975"/>
        <w:gridCol w:w="1317"/>
        <w:gridCol w:w="1319"/>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8" w:hRule="atLeast"/>
          <w:jc w:val="center"/>
        </w:trPr>
        <w:tc>
          <w:tcPr>
            <w:tcW w:w="650" w:type="pct"/>
            <w:vAlign w:val="center"/>
          </w:tcPr>
          <w:p>
            <w:pPr>
              <w:ind w:left="0" w:leftChars="0" w:firstLine="0" w:firstLineChars="0"/>
              <w:rPr>
                <w:b/>
                <w:bCs/>
              </w:rPr>
            </w:pPr>
            <w:r>
              <w:rPr>
                <w:b/>
                <w:bCs/>
              </w:rPr>
              <w:t>序号</w:t>
            </w:r>
          </w:p>
        </w:tc>
        <w:tc>
          <w:tcPr>
            <w:tcW w:w="504" w:type="pct"/>
            <w:vAlign w:val="center"/>
          </w:tcPr>
          <w:p>
            <w:pPr>
              <w:ind w:left="0" w:leftChars="0" w:firstLine="0" w:firstLineChars="0"/>
              <w:rPr>
                <w:b/>
                <w:bCs/>
              </w:rPr>
            </w:pPr>
            <w:r>
              <w:rPr>
                <w:b/>
                <w:bCs/>
              </w:rPr>
              <w:t>货物名称</w:t>
            </w:r>
          </w:p>
        </w:tc>
        <w:tc>
          <w:tcPr>
            <w:tcW w:w="399" w:type="pct"/>
            <w:vAlign w:val="center"/>
          </w:tcPr>
          <w:p>
            <w:pPr>
              <w:ind w:left="0" w:leftChars="0" w:firstLine="0" w:firstLineChars="0"/>
              <w:rPr>
                <w:b/>
                <w:bCs/>
              </w:rPr>
            </w:pPr>
            <w:r>
              <w:rPr>
                <w:b/>
                <w:bCs/>
              </w:rPr>
              <w:t>数量</w:t>
            </w:r>
          </w:p>
        </w:tc>
        <w:tc>
          <w:tcPr>
            <w:tcW w:w="1117" w:type="pct"/>
            <w:vAlign w:val="center"/>
          </w:tcPr>
          <w:p>
            <w:pPr>
              <w:rPr>
                <w:b/>
                <w:bCs/>
              </w:rPr>
            </w:pPr>
            <w:r>
              <w:rPr>
                <w:b/>
                <w:bCs/>
              </w:rPr>
              <w:t>投标总价</w:t>
            </w:r>
          </w:p>
        </w:tc>
        <w:tc>
          <w:tcPr>
            <w:tcW w:w="525" w:type="pct"/>
            <w:vAlign w:val="center"/>
          </w:tcPr>
          <w:p>
            <w:pPr>
              <w:ind w:left="0" w:leftChars="0" w:firstLine="0" w:firstLineChars="0"/>
              <w:rPr>
                <w:b/>
                <w:bCs/>
              </w:rPr>
            </w:pPr>
            <w:r>
              <w:rPr>
                <w:b/>
                <w:bCs/>
              </w:rPr>
              <w:t>质保期</w:t>
            </w:r>
          </w:p>
        </w:tc>
        <w:tc>
          <w:tcPr>
            <w:tcW w:w="709" w:type="pct"/>
            <w:vAlign w:val="center"/>
          </w:tcPr>
          <w:p>
            <w:pPr>
              <w:ind w:left="0" w:leftChars="0" w:firstLine="0" w:firstLineChars="0"/>
              <w:rPr>
                <w:b/>
                <w:bCs/>
              </w:rPr>
            </w:pPr>
            <w:r>
              <w:rPr>
                <w:b/>
                <w:bCs/>
              </w:rPr>
              <w:t>交货及安装时间</w:t>
            </w:r>
          </w:p>
        </w:tc>
        <w:tc>
          <w:tcPr>
            <w:tcW w:w="710" w:type="pct"/>
            <w:vAlign w:val="center"/>
          </w:tcPr>
          <w:p>
            <w:pPr>
              <w:ind w:left="0" w:leftChars="0" w:firstLine="0" w:firstLineChars="0"/>
              <w:rPr>
                <w:b/>
                <w:bCs/>
              </w:rPr>
            </w:pPr>
            <w:r>
              <w:rPr>
                <w:b/>
                <w:bCs/>
              </w:rPr>
              <w:t>付款方式及比例如何响应</w:t>
            </w:r>
          </w:p>
        </w:tc>
        <w:tc>
          <w:tcPr>
            <w:tcW w:w="382" w:type="pct"/>
            <w:vAlign w:val="center"/>
          </w:tcPr>
          <w:p>
            <w:pPr>
              <w:ind w:left="0" w:leftChars="0" w:firstLine="0" w:firstLineChars="0"/>
              <w:rPr>
                <w:b/>
                <w:bCs/>
              </w:rPr>
            </w:pPr>
            <w:r>
              <w:rPr>
                <w:b/>
                <w:bCs/>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2" w:hRule="atLeast"/>
          <w:jc w:val="center"/>
        </w:trPr>
        <w:tc>
          <w:tcPr>
            <w:tcW w:w="650" w:type="pct"/>
            <w:vAlign w:val="center"/>
          </w:tcPr>
          <w:p>
            <w:r>
              <w:t>1</w:t>
            </w:r>
          </w:p>
        </w:tc>
        <w:tc>
          <w:tcPr>
            <w:tcW w:w="504" w:type="pct"/>
            <w:vAlign w:val="center"/>
          </w:tcPr>
          <w:p/>
        </w:tc>
        <w:tc>
          <w:tcPr>
            <w:tcW w:w="399" w:type="pct"/>
            <w:vAlign w:val="center"/>
          </w:tcPr>
          <w:p/>
        </w:tc>
        <w:tc>
          <w:tcPr>
            <w:tcW w:w="1117" w:type="pct"/>
            <w:vAlign w:val="center"/>
          </w:tcPr>
          <w:p>
            <w:pPr>
              <w:rPr>
                <w:b/>
                <w:bCs/>
              </w:rPr>
            </w:pPr>
            <w:r>
              <w:rPr>
                <w:b/>
                <w:bCs/>
              </w:rPr>
              <w:t>含税价格：    （大写：    ）</w:t>
            </w:r>
          </w:p>
          <w:p>
            <w:r>
              <w:t>不含税价：</w:t>
            </w:r>
            <w:r>
              <w:rPr>
                <w:b/>
                <w:u w:val="single"/>
              </w:rPr>
              <w:t xml:space="preserve">    </w:t>
            </w:r>
          </w:p>
          <w:p>
            <w:pPr>
              <w:rPr>
                <w:rFonts w:eastAsia="宋体"/>
              </w:rPr>
            </w:pPr>
            <w:r>
              <w:t>税率：</w:t>
            </w:r>
            <w:r>
              <w:rPr>
                <w:u w:val="single"/>
              </w:rPr>
              <w:t xml:space="preserve">    </w:t>
            </w:r>
          </w:p>
        </w:tc>
        <w:tc>
          <w:tcPr>
            <w:tcW w:w="525" w:type="pct"/>
            <w:vAlign w:val="center"/>
          </w:tcPr>
          <w:p/>
        </w:tc>
        <w:tc>
          <w:tcPr>
            <w:tcW w:w="709" w:type="pct"/>
            <w:vAlign w:val="center"/>
          </w:tcPr>
          <w:p/>
        </w:tc>
        <w:tc>
          <w:tcPr>
            <w:tcW w:w="710" w:type="pct"/>
            <w:vAlign w:val="center"/>
          </w:tcPr>
          <w:p/>
        </w:tc>
        <w:tc>
          <w:tcPr>
            <w:tcW w:w="382" w:type="pct"/>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2" w:hRule="atLeast"/>
          <w:jc w:val="center"/>
        </w:trPr>
        <w:tc>
          <w:tcPr>
            <w:tcW w:w="650" w:type="pct"/>
            <w:vAlign w:val="center"/>
          </w:tcPr>
          <w:p>
            <w:r>
              <w:t>1.1</w:t>
            </w:r>
          </w:p>
        </w:tc>
        <w:tc>
          <w:tcPr>
            <w:tcW w:w="504" w:type="pct"/>
            <w:vAlign w:val="center"/>
          </w:tcPr>
          <w:p/>
        </w:tc>
        <w:tc>
          <w:tcPr>
            <w:tcW w:w="399" w:type="pct"/>
            <w:vAlign w:val="center"/>
          </w:tcPr>
          <w:p/>
        </w:tc>
        <w:tc>
          <w:tcPr>
            <w:tcW w:w="1117" w:type="pct"/>
            <w:vAlign w:val="center"/>
          </w:tcPr>
          <w:p>
            <w:r>
              <w:rPr>
                <w:b/>
                <w:bCs/>
              </w:rPr>
              <w:t>含税价格：    （大写：    ）</w:t>
            </w:r>
          </w:p>
          <w:p>
            <w:r>
              <w:t xml:space="preserve">不含税价：    </w:t>
            </w:r>
          </w:p>
          <w:p>
            <w:r>
              <w:t xml:space="preserve">税率：    </w:t>
            </w:r>
          </w:p>
        </w:tc>
        <w:tc>
          <w:tcPr>
            <w:tcW w:w="525" w:type="pct"/>
            <w:vAlign w:val="center"/>
          </w:tcPr>
          <w:p/>
        </w:tc>
        <w:tc>
          <w:tcPr>
            <w:tcW w:w="709" w:type="pct"/>
            <w:vAlign w:val="center"/>
          </w:tcPr>
          <w:p/>
        </w:tc>
        <w:tc>
          <w:tcPr>
            <w:tcW w:w="710" w:type="pct"/>
            <w:vAlign w:val="center"/>
          </w:tcPr>
          <w:p/>
        </w:tc>
        <w:tc>
          <w:tcPr>
            <w:tcW w:w="382" w:type="pct"/>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650" w:type="pct"/>
            <w:vAlign w:val="center"/>
          </w:tcPr>
          <w:p>
            <w:r>
              <w:t>1.2</w:t>
            </w:r>
          </w:p>
        </w:tc>
        <w:tc>
          <w:tcPr>
            <w:tcW w:w="504" w:type="pct"/>
            <w:vAlign w:val="center"/>
          </w:tcPr>
          <w:p/>
        </w:tc>
        <w:tc>
          <w:tcPr>
            <w:tcW w:w="399" w:type="pct"/>
            <w:vAlign w:val="center"/>
          </w:tcPr>
          <w:p/>
        </w:tc>
        <w:tc>
          <w:tcPr>
            <w:tcW w:w="1117" w:type="pct"/>
            <w:vAlign w:val="center"/>
          </w:tcPr>
          <w:p>
            <w:pPr>
              <w:rPr>
                <w:b/>
                <w:bCs/>
              </w:rPr>
            </w:pPr>
            <w:r>
              <w:rPr>
                <w:b/>
                <w:bCs/>
              </w:rPr>
              <w:t>含税价格：    （大写：    ）</w:t>
            </w:r>
          </w:p>
          <w:p>
            <w:r>
              <w:t xml:space="preserve">不含税价：    </w:t>
            </w:r>
          </w:p>
          <w:p>
            <w:r>
              <w:t xml:space="preserve">税率：    </w:t>
            </w:r>
          </w:p>
        </w:tc>
        <w:tc>
          <w:tcPr>
            <w:tcW w:w="525" w:type="pct"/>
            <w:vAlign w:val="center"/>
          </w:tcPr>
          <w:p/>
        </w:tc>
        <w:tc>
          <w:tcPr>
            <w:tcW w:w="709" w:type="pct"/>
            <w:vAlign w:val="center"/>
          </w:tcPr>
          <w:p/>
        </w:tc>
        <w:tc>
          <w:tcPr>
            <w:tcW w:w="710" w:type="pct"/>
            <w:vAlign w:val="center"/>
          </w:tcPr>
          <w:p/>
        </w:tc>
        <w:tc>
          <w:tcPr>
            <w:tcW w:w="382" w:type="pct"/>
            <w:vAlign w:val="center"/>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650" w:type="pct"/>
            <w:vAlign w:val="center"/>
          </w:tcPr>
          <w:p>
            <w:r>
              <w:t>1.3</w:t>
            </w:r>
          </w:p>
        </w:tc>
        <w:tc>
          <w:tcPr>
            <w:tcW w:w="504" w:type="pct"/>
            <w:vAlign w:val="center"/>
          </w:tcPr>
          <w:p/>
        </w:tc>
        <w:tc>
          <w:tcPr>
            <w:tcW w:w="399" w:type="pct"/>
            <w:vAlign w:val="center"/>
          </w:tcPr>
          <w:p/>
        </w:tc>
        <w:tc>
          <w:tcPr>
            <w:tcW w:w="1117" w:type="pct"/>
            <w:vAlign w:val="center"/>
          </w:tcPr>
          <w:p>
            <w:r>
              <w:rPr>
                <w:b/>
                <w:bCs/>
              </w:rPr>
              <w:t>含税价格：    （大写：    ）</w:t>
            </w:r>
          </w:p>
          <w:p>
            <w:r>
              <w:t xml:space="preserve">不含税价：    </w:t>
            </w:r>
          </w:p>
          <w:p>
            <w:r>
              <w:t xml:space="preserve">税率：    </w:t>
            </w:r>
          </w:p>
        </w:tc>
        <w:tc>
          <w:tcPr>
            <w:tcW w:w="525" w:type="pct"/>
            <w:vAlign w:val="center"/>
          </w:tcPr>
          <w:p/>
        </w:tc>
        <w:tc>
          <w:tcPr>
            <w:tcW w:w="709" w:type="pct"/>
            <w:vAlign w:val="center"/>
          </w:tcPr>
          <w:p/>
        </w:tc>
        <w:tc>
          <w:tcPr>
            <w:tcW w:w="710" w:type="pct"/>
            <w:vAlign w:val="center"/>
          </w:tcPr>
          <w:p/>
        </w:tc>
        <w:tc>
          <w:tcPr>
            <w:tcW w:w="382" w:type="pct"/>
            <w:vAlign w:val="center"/>
          </w:tcPr>
          <w:p/>
        </w:tc>
      </w:tr>
    </w:tbl>
    <w:p>
      <w:pPr>
        <w:spacing w:line="520" w:lineRule="exact"/>
        <w:ind w:firstLine="0" w:firstLineChars="0"/>
        <w:jc w:val="both"/>
        <w:textAlignment w:val="auto"/>
        <w:rPr>
          <w:rFonts w:hint="eastAsia" w:ascii="宋体" w:hAnsi="宋体" w:eastAsia="宋体" w:cs="Times New Roman"/>
          <w:b/>
          <w:bCs/>
          <w:sz w:val="21"/>
          <w:szCs w:val="21"/>
        </w:rPr>
      </w:pPr>
      <w:r>
        <w:rPr>
          <w:rFonts w:hint="eastAsia" w:ascii="宋体" w:hAnsi="宋体" w:eastAsia="宋体" w:cs="Times New Roman"/>
          <w:b/>
          <w:bCs/>
          <w:sz w:val="21"/>
          <w:szCs w:val="21"/>
        </w:rPr>
        <w:t>注：</w:t>
      </w:r>
    </w:p>
    <w:p>
      <w:pPr>
        <w:spacing w:line="520" w:lineRule="exact"/>
        <w:ind w:firstLine="0" w:firstLineChars="0"/>
        <w:jc w:val="both"/>
        <w:textAlignment w:val="auto"/>
        <w:rPr>
          <w:rFonts w:hint="eastAsia" w:ascii="宋体" w:hAnsi="宋体" w:eastAsia="宋体" w:cs="Times New Roman"/>
          <w:b/>
          <w:bCs/>
          <w:sz w:val="21"/>
          <w:szCs w:val="21"/>
        </w:rPr>
      </w:pPr>
      <w:r>
        <w:rPr>
          <w:rFonts w:hint="eastAsia" w:ascii="宋体" w:hAnsi="宋体" w:eastAsia="宋体" w:cs="Times New Roman"/>
          <w:b/>
          <w:bCs/>
          <w:sz w:val="21"/>
          <w:szCs w:val="21"/>
        </w:rPr>
        <w:t>1.此表中的报价必须与相应的报价明细表中的报价一致。</w:t>
      </w:r>
    </w:p>
    <w:p>
      <w:pPr>
        <w:spacing w:line="520" w:lineRule="exact"/>
        <w:ind w:firstLine="0" w:firstLineChars="0"/>
        <w:jc w:val="both"/>
        <w:textAlignment w:val="auto"/>
        <w:rPr>
          <w:rFonts w:hint="eastAsia" w:ascii="宋体" w:hAnsi="宋体" w:eastAsia="宋体" w:cs="Times New Roman"/>
          <w:b/>
          <w:bCs/>
          <w:sz w:val="21"/>
          <w:szCs w:val="21"/>
        </w:rPr>
      </w:pPr>
      <w:r>
        <w:rPr>
          <w:rFonts w:hint="eastAsia" w:ascii="宋体" w:hAnsi="宋体" w:eastAsia="宋体" w:cs="Times New Roman"/>
          <w:b/>
          <w:bCs/>
          <w:sz w:val="21"/>
          <w:szCs w:val="21"/>
        </w:rPr>
        <w:t>2.此表在投递标书时请单独密封两份，否则不予唱标。</w:t>
      </w:r>
    </w:p>
    <w:p>
      <w:pPr>
        <w:spacing w:line="520" w:lineRule="exact"/>
        <w:ind w:firstLine="0" w:firstLineChars="0"/>
        <w:jc w:val="both"/>
        <w:textAlignment w:val="auto"/>
        <w:rPr>
          <w:rFonts w:hint="eastAsia" w:ascii="宋体" w:hAnsi="宋体" w:eastAsia="宋体" w:cs="Times New Roman"/>
          <w:b/>
          <w:bCs/>
          <w:sz w:val="21"/>
          <w:szCs w:val="21"/>
        </w:rPr>
      </w:pPr>
      <w:r>
        <w:rPr>
          <w:rFonts w:hint="eastAsia" w:ascii="宋体" w:hAnsi="宋体" w:eastAsia="宋体" w:cs="Times New Roman"/>
          <w:b/>
          <w:bCs/>
          <w:sz w:val="21"/>
          <w:szCs w:val="21"/>
        </w:rPr>
        <w:t>3.需写明含税价、不含税价格、税率。</w:t>
      </w:r>
    </w:p>
    <w:p>
      <w:pPr>
        <w:spacing w:line="520" w:lineRule="exact"/>
        <w:ind w:firstLine="0" w:firstLineChars="0"/>
        <w:jc w:val="both"/>
        <w:textAlignment w:val="auto"/>
        <w:rPr>
          <w:rFonts w:hint="eastAsia" w:ascii="宋体" w:hAnsi="宋体" w:eastAsia="宋体" w:cs="Times New Roman"/>
          <w:b/>
          <w:bCs/>
          <w:sz w:val="21"/>
          <w:szCs w:val="21"/>
        </w:rPr>
      </w:pPr>
      <w:r>
        <w:rPr>
          <w:rFonts w:hint="eastAsia" w:ascii="宋体" w:hAnsi="宋体" w:eastAsia="宋体" w:cs="Times New Roman"/>
          <w:b/>
          <w:bCs/>
          <w:sz w:val="21"/>
          <w:szCs w:val="21"/>
        </w:rPr>
        <w:t>4.投标总价大写为必填项，如发生大小写不一致，以大写为准。</w:t>
      </w:r>
    </w:p>
    <w:p>
      <w:pPr>
        <w:pStyle w:val="21"/>
        <w:rPr>
          <w:rFonts w:hint="eastAsia" w:hAnsi="宋体" w:eastAsia="宋体" w:cs="Times New Roman"/>
          <w:b/>
          <w:bCs/>
          <w:sz w:val="21"/>
          <w:szCs w:val="21"/>
          <w:highlight w:val="yellow"/>
        </w:rPr>
      </w:pPr>
      <w:r>
        <w:rPr>
          <w:rFonts w:hint="eastAsia" w:hAnsi="宋体" w:eastAsia="宋体" w:cs="Times New Roman"/>
          <w:b/>
          <w:bCs/>
          <w:sz w:val="21"/>
          <w:szCs w:val="21"/>
          <w:highlight w:val="yellow"/>
        </w:rPr>
        <w:t>5.投标总价包括全部（全新）产品价、表面处理费用、运杂费（包括现场卸车费）、设计、制造、安装、调试（含现场调试）、调试板料费，样件生产及包装运输费、验收、技术及售后服务费、技术资料费、备品备件费等所有费用的总和。</w:t>
      </w:r>
    </w:p>
    <w:p>
      <w:pPr>
        <w:spacing w:line="660" w:lineRule="exact"/>
        <w:rPr>
          <w:rFonts w:ascii="Times New Roman" w:hAnsi="Times New Roman" w:eastAsia="宋体" w:cs="Times New Roman"/>
          <w:sz w:val="24"/>
          <w:szCs w:val="20"/>
        </w:rPr>
      </w:pPr>
      <w:r>
        <w:rPr>
          <w:rFonts w:ascii="Times New Roman" w:hAnsi="Times New Roman" w:eastAsia="宋体" w:cs="Times New Roman"/>
          <w:sz w:val="24"/>
          <w:szCs w:val="20"/>
        </w:rPr>
        <w:t>投标人：（盖章）</w:t>
      </w:r>
    </w:p>
    <w:p>
      <w:pPr>
        <w:spacing w:line="660" w:lineRule="exact"/>
        <w:rPr>
          <w:rFonts w:ascii="Times New Roman" w:hAnsi="Times New Roman" w:eastAsia="宋体" w:cs="Times New Roman"/>
          <w:sz w:val="24"/>
          <w:szCs w:val="20"/>
        </w:rPr>
      </w:pPr>
      <w:r>
        <w:rPr>
          <w:rFonts w:ascii="Times New Roman" w:hAnsi="Times New Roman" w:eastAsia="宋体" w:cs="Times New Roman"/>
          <w:sz w:val="24"/>
          <w:szCs w:val="20"/>
        </w:rPr>
        <w:t>法定代表人（委托代理人）：（签字）</w:t>
      </w:r>
    </w:p>
    <w:p>
      <w:pPr>
        <w:spacing w:line="660" w:lineRule="exact"/>
        <w:rPr>
          <w:rFonts w:ascii="Times New Roman" w:hAnsi="Times New Roman" w:eastAsia="宋体" w:cs="Times New Roman"/>
          <w:color w:val="000000"/>
          <w:sz w:val="24"/>
          <w:szCs w:val="24"/>
        </w:rPr>
      </w:pPr>
      <w:r>
        <w:rPr>
          <w:rFonts w:ascii="Times New Roman" w:hAnsi="Times New Roman" w:eastAsia="宋体" w:cs="Times New Roman"/>
          <w:sz w:val="24"/>
          <w:szCs w:val="20"/>
        </w:rPr>
        <w:t>日  期：</w:t>
      </w:r>
      <w:r>
        <w:rPr>
          <w:rFonts w:ascii="Times New Roman" w:hAnsi="Times New Roman" w:eastAsia="宋体" w:cs="Times New Roman"/>
          <w:sz w:val="24"/>
          <w:szCs w:val="20"/>
          <w:u w:val="single"/>
        </w:rPr>
        <w:t xml:space="preserve">       </w:t>
      </w:r>
      <w:r>
        <w:rPr>
          <w:rFonts w:ascii="Times New Roman" w:hAnsi="Times New Roman" w:eastAsia="宋体" w:cs="Times New Roman"/>
          <w:sz w:val="24"/>
          <w:szCs w:val="20"/>
        </w:rPr>
        <w:t>年</w:t>
      </w:r>
      <w:r>
        <w:rPr>
          <w:rFonts w:ascii="Times New Roman" w:hAnsi="Times New Roman" w:eastAsia="宋体" w:cs="Times New Roman"/>
          <w:sz w:val="24"/>
          <w:szCs w:val="20"/>
          <w:u w:val="single"/>
        </w:rPr>
        <w:t xml:space="preserve">    </w:t>
      </w:r>
      <w:r>
        <w:rPr>
          <w:rFonts w:ascii="Times New Roman" w:hAnsi="Times New Roman" w:eastAsia="宋体" w:cs="Times New Roman"/>
          <w:sz w:val="24"/>
          <w:szCs w:val="20"/>
        </w:rPr>
        <w:t>月</w:t>
      </w:r>
      <w:r>
        <w:rPr>
          <w:rFonts w:ascii="Times New Roman" w:hAnsi="Times New Roman" w:eastAsia="宋体" w:cs="Times New Roman"/>
          <w:sz w:val="24"/>
          <w:szCs w:val="20"/>
          <w:u w:val="single"/>
        </w:rPr>
        <w:t xml:space="preserve">    </w:t>
      </w:r>
      <w:r>
        <w:rPr>
          <w:rFonts w:ascii="Times New Roman" w:hAnsi="Times New Roman" w:eastAsia="宋体" w:cs="Times New Roman"/>
          <w:sz w:val="24"/>
          <w:szCs w:val="20"/>
        </w:rPr>
        <w:t>日</w:t>
      </w:r>
    </w:p>
    <w:p>
      <w:pPr>
        <w:pStyle w:val="21"/>
      </w:pPr>
    </w:p>
    <w:p>
      <w:pPr>
        <w:sectPr>
          <w:pgSz w:w="11906" w:h="16838"/>
          <w:pgMar w:top="1587" w:right="1418" w:bottom="1134" w:left="1418" w:header="851" w:footer="992" w:gutter="0"/>
          <w:cols w:space="0" w:num="1"/>
          <w:titlePg/>
          <w:docGrid w:type="lines" w:linePitch="312" w:charSpace="0"/>
        </w:sectPr>
      </w:pPr>
    </w:p>
    <w:p/>
    <w:p>
      <w:pPr>
        <w:pStyle w:val="4"/>
        <w:jc w:val="left"/>
      </w:pPr>
      <w:r>
        <w:rPr>
          <w:color w:val="000000"/>
        </w:rPr>
        <w:t>附</w:t>
      </w:r>
      <w:r>
        <w:rPr>
          <w:color w:val="000000"/>
          <w:highlight w:val="yellow"/>
        </w:rPr>
        <w:t xml:space="preserve">件9 </w:t>
      </w:r>
      <w:r>
        <w:rPr>
          <w:spacing w:val="13"/>
          <w:highlight w:val="yellow"/>
        </w:rPr>
        <w:t>设</w:t>
      </w:r>
      <w:r>
        <w:rPr>
          <w:highlight w:val="yellow"/>
        </w:rPr>
        <w:t>备分项报价表</w:t>
      </w:r>
    </w:p>
    <w:p>
      <w:pPr>
        <w:spacing w:before="52" w:after="140" w:line="221" w:lineRule="auto"/>
        <w:ind w:left="9" w:firstLine="478" w:firstLineChars="0"/>
        <w:jc w:val="left"/>
        <w:textAlignment w:val="auto"/>
        <w:outlineLvl w:val="2"/>
        <w:rPr>
          <w:rFonts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pPr>
      <w:r>
        <w:rPr>
          <w:rFonts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9-1</w:t>
      </w:r>
    </w:p>
    <w:p>
      <w:pPr>
        <w:keepNext/>
        <w:keepLines/>
        <w:spacing w:line="400" w:lineRule="exact"/>
        <w:ind w:firstLine="534" w:firstLineChars="0"/>
        <w:jc w:val="center"/>
        <w:textAlignment w:val="auto"/>
        <w:rPr>
          <w:rFonts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pPr>
      <w:r>
        <w:rPr>
          <w:rFonts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t>设备分项报价表</w:t>
      </w:r>
    </w:p>
    <w:p>
      <w:pPr>
        <w:rPr>
          <w:rFonts w:ascii="Times New Roman" w:hAnsi="Times New Roman" w:eastAsia="宋体" w:cs="Times New Roman"/>
          <w:b/>
          <w:bCs/>
          <w:sz w:val="21"/>
          <w:szCs w:val="21"/>
        </w:rPr>
      </w:pPr>
      <w:r>
        <w:rPr>
          <w:rFonts w:ascii="Times New Roman" w:hAnsi="Times New Roman" w:eastAsia="宋体" w:cs="Times New Roman"/>
          <w:spacing w:val="-1"/>
          <w:sz w:val="21"/>
          <w:szCs w:val="21"/>
          <w14:textOutline w14:w="3835" w14:cap="flat" w14:cmpd="sng" w14:algn="ctr">
            <w14:solidFill>
              <w14:srgbClr w14:val="000000"/>
            </w14:solidFill>
            <w14:prstDash w14:val="solid"/>
            <w14:miter w14:val="0"/>
          </w14:textOutline>
        </w:rPr>
        <w:t>招标编号：</w:t>
      </w:r>
      <w:r>
        <w:rPr>
          <w:rFonts w:hint="eastAsia"/>
          <w14:textOutline w14:w="3835" w14:cap="flat" w14:cmpd="sng" w14:algn="ctr">
            <w14:solidFill>
              <w14:srgbClr w14:val="000000"/>
            </w14:solidFill>
            <w14:prstDash w14:val="solid"/>
            <w14:miter w14:val="0"/>
          </w14:textOutline>
        </w:rPr>
        <w:t xml:space="preserve">       </w:t>
      </w:r>
      <w:r>
        <w:t xml:space="preserve">                                                                              </w:t>
      </w:r>
      <w:r>
        <w:rPr>
          <w:rFonts w:ascii="Times New Roman" w:hAnsi="Times New Roman" w:eastAsia="宋体" w:cs="Times New Roman"/>
          <w:szCs w:val="21"/>
        </w:rPr>
        <w:t xml:space="preserve"> </w:t>
      </w:r>
      <w:r>
        <w:rPr>
          <w:rFonts w:ascii="Times New Roman" w:hAnsi="Times New Roman" w:eastAsia="宋体" w:cs="Times New Roman"/>
          <w:szCs w:val="21"/>
          <w14:textOutline w14:w="3835" w14:cap="flat" w14:cmpd="sng" w14:algn="ctr">
            <w14:solidFill>
              <w14:srgbClr w14:val="000000"/>
            </w14:solidFill>
            <w14:prstDash w14:val="solid"/>
            <w14:miter w14:val="0"/>
          </w14:textOutline>
        </w:rPr>
        <w:t>第</w:t>
      </w:r>
      <w:r>
        <w:rPr>
          <w:rFonts w:ascii="Times New Roman" w:hAnsi="Times New Roman" w:eastAsia="宋体" w:cs="Times New Roman"/>
          <w:szCs w:val="21"/>
        </w:rPr>
        <w:t xml:space="preserve">   </w:t>
      </w:r>
      <w:r>
        <w:rPr>
          <w:rFonts w:ascii="Times New Roman" w:hAnsi="Times New Roman" w:eastAsia="宋体" w:cs="Times New Roman"/>
          <w:szCs w:val="21"/>
          <w14:textOutline w14:w="3835" w14:cap="flat" w14:cmpd="sng" w14:algn="ctr">
            <w14:solidFill>
              <w14:srgbClr w14:val="000000"/>
            </w14:solidFill>
            <w14:prstDash w14:val="solid"/>
            <w14:miter w14:val="0"/>
          </w14:textOutline>
        </w:rPr>
        <w:t>页 共  页</w:t>
      </w:r>
    </w:p>
    <w:tbl>
      <w:tblPr>
        <w:tblStyle w:val="99"/>
        <w:tblpPr w:leftFromText="180" w:rightFromText="180" w:vertAnchor="text" w:horzAnchor="page" w:tblpX="1471" w:tblpY="258"/>
        <w:tblOverlap w:val="never"/>
        <w:tblW w:w="1387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6"/>
        <w:gridCol w:w="553"/>
        <w:gridCol w:w="2670"/>
        <w:gridCol w:w="1545"/>
        <w:gridCol w:w="911"/>
        <w:gridCol w:w="878"/>
        <w:gridCol w:w="1761"/>
        <w:gridCol w:w="1493"/>
        <w:gridCol w:w="1737"/>
        <w:gridCol w:w="15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96" w:type="dxa"/>
            <w:vAlign w:val="center"/>
          </w:tcPr>
          <w:p>
            <w:pPr>
              <w:ind w:left="0" w:leftChars="0" w:firstLine="0" w:firstLineChars="0"/>
              <w:jc w:val="center"/>
            </w:pPr>
            <w:r>
              <w:t>1</w:t>
            </w:r>
          </w:p>
        </w:tc>
        <w:tc>
          <w:tcPr>
            <w:tcW w:w="553" w:type="dxa"/>
            <w:vAlign w:val="center"/>
          </w:tcPr>
          <w:p>
            <w:pPr>
              <w:ind w:left="0" w:leftChars="0" w:firstLine="0" w:firstLineChars="0"/>
              <w:jc w:val="center"/>
            </w:pPr>
            <w:r>
              <w:t>2</w:t>
            </w:r>
          </w:p>
        </w:tc>
        <w:tc>
          <w:tcPr>
            <w:tcW w:w="2670" w:type="dxa"/>
            <w:vAlign w:val="center"/>
          </w:tcPr>
          <w:p>
            <w:pPr>
              <w:ind w:left="0" w:leftChars="0" w:firstLine="0" w:firstLineChars="0"/>
              <w:jc w:val="center"/>
            </w:pPr>
            <w:r>
              <w:t>3</w:t>
            </w:r>
          </w:p>
        </w:tc>
        <w:tc>
          <w:tcPr>
            <w:tcW w:w="1545" w:type="dxa"/>
            <w:vAlign w:val="center"/>
          </w:tcPr>
          <w:p>
            <w:pPr>
              <w:ind w:left="0" w:leftChars="0" w:firstLine="0" w:firstLineChars="0"/>
              <w:jc w:val="center"/>
            </w:pPr>
            <w:r>
              <w:t>4</w:t>
            </w:r>
          </w:p>
        </w:tc>
        <w:tc>
          <w:tcPr>
            <w:tcW w:w="911" w:type="dxa"/>
            <w:vAlign w:val="center"/>
          </w:tcPr>
          <w:p>
            <w:pPr>
              <w:ind w:left="0" w:leftChars="0" w:firstLine="0" w:firstLineChars="0"/>
              <w:jc w:val="center"/>
            </w:pPr>
            <w:r>
              <w:t>5</w:t>
            </w:r>
          </w:p>
        </w:tc>
        <w:tc>
          <w:tcPr>
            <w:tcW w:w="878" w:type="dxa"/>
            <w:vAlign w:val="center"/>
          </w:tcPr>
          <w:p>
            <w:pPr>
              <w:ind w:left="0" w:leftChars="0" w:firstLine="0" w:firstLineChars="0"/>
              <w:jc w:val="center"/>
            </w:pPr>
            <w:r>
              <w:t>6</w:t>
            </w:r>
          </w:p>
        </w:tc>
        <w:tc>
          <w:tcPr>
            <w:tcW w:w="1761" w:type="dxa"/>
            <w:vAlign w:val="center"/>
          </w:tcPr>
          <w:p>
            <w:pPr>
              <w:ind w:left="0" w:leftChars="0" w:firstLine="0" w:firstLineChars="0"/>
              <w:jc w:val="center"/>
            </w:pPr>
            <w:r>
              <w:t>7</w:t>
            </w:r>
          </w:p>
        </w:tc>
        <w:tc>
          <w:tcPr>
            <w:tcW w:w="1493" w:type="dxa"/>
            <w:tcBorders>
              <w:right w:val="single" w:color="000000" w:sz="4" w:space="0"/>
            </w:tcBorders>
            <w:vAlign w:val="center"/>
          </w:tcPr>
          <w:p>
            <w:pPr>
              <w:ind w:left="0" w:leftChars="0" w:firstLine="0" w:firstLineChars="0"/>
              <w:jc w:val="center"/>
            </w:pPr>
            <w:r>
              <w:t>8</w:t>
            </w:r>
          </w:p>
        </w:tc>
        <w:tc>
          <w:tcPr>
            <w:tcW w:w="1737" w:type="dxa"/>
            <w:tcBorders>
              <w:left w:val="single" w:color="000000" w:sz="4" w:space="0"/>
            </w:tcBorders>
            <w:vAlign w:val="center"/>
          </w:tcPr>
          <w:p>
            <w:pPr>
              <w:ind w:left="0" w:leftChars="0" w:firstLine="0" w:firstLineChars="0"/>
              <w:jc w:val="center"/>
            </w:pPr>
            <w:r>
              <w:t>9</w:t>
            </w:r>
          </w:p>
        </w:tc>
        <w:tc>
          <w:tcPr>
            <w:tcW w:w="1530" w:type="dxa"/>
            <w:vAlign w:val="center"/>
          </w:tcPr>
          <w:p>
            <w:pPr>
              <w:ind w:left="0" w:leftChars="0" w:firstLine="0" w:firstLineChars="0"/>
              <w:jc w:val="center"/>
            </w:pPr>
            <w: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0" w:hRule="atLeast"/>
        </w:trPr>
        <w:tc>
          <w:tcPr>
            <w:tcW w:w="796" w:type="dxa"/>
            <w:vAlign w:val="center"/>
          </w:tcPr>
          <w:p>
            <w:pPr>
              <w:ind w:left="0" w:leftChars="0" w:firstLine="0" w:firstLineChars="0"/>
              <w:jc w:val="center"/>
              <w:rPr>
                <w:b/>
                <w:bCs/>
                <w:sz w:val="20"/>
                <w:szCs w:val="20"/>
              </w:rPr>
            </w:pPr>
            <w:r>
              <w:rPr>
                <w:b/>
                <w:bCs/>
                <w:sz w:val="20"/>
                <w:szCs w:val="20"/>
              </w:rPr>
              <w:t>序</w:t>
            </w:r>
            <w:r>
              <w:rPr>
                <w:b/>
                <w:bCs/>
                <w:spacing w:val="-1"/>
                <w:sz w:val="20"/>
                <w:szCs w:val="20"/>
              </w:rPr>
              <w:t>号</w:t>
            </w:r>
          </w:p>
        </w:tc>
        <w:tc>
          <w:tcPr>
            <w:tcW w:w="553" w:type="dxa"/>
            <w:vAlign w:val="center"/>
          </w:tcPr>
          <w:p>
            <w:pPr>
              <w:ind w:left="0" w:leftChars="0" w:firstLine="0" w:firstLineChars="0"/>
              <w:jc w:val="center"/>
              <w:rPr>
                <w:b/>
                <w:bCs/>
                <w:color w:val="000000"/>
                <w:sz w:val="20"/>
                <w:szCs w:val="20"/>
              </w:rPr>
            </w:pPr>
            <w:r>
              <w:rPr>
                <w:b/>
                <w:bCs/>
                <w:sz w:val="20"/>
                <w:szCs w:val="20"/>
              </w:rPr>
              <w:t>分包</w:t>
            </w:r>
          </w:p>
        </w:tc>
        <w:tc>
          <w:tcPr>
            <w:tcW w:w="2670" w:type="dxa"/>
            <w:vAlign w:val="center"/>
          </w:tcPr>
          <w:p>
            <w:pPr>
              <w:ind w:left="0" w:leftChars="0" w:firstLine="0" w:firstLineChars="0"/>
              <w:jc w:val="center"/>
              <w:rPr>
                <w:b/>
                <w:bCs/>
                <w:sz w:val="20"/>
                <w:szCs w:val="20"/>
              </w:rPr>
            </w:pPr>
            <w:r>
              <w:rPr>
                <w:b/>
                <w:bCs/>
                <w:sz w:val="20"/>
                <w:szCs w:val="20"/>
              </w:rPr>
              <w:t>货物名</w:t>
            </w:r>
            <w:r>
              <w:rPr>
                <w:b/>
                <w:bCs/>
                <w:spacing w:val="-1"/>
                <w:sz w:val="20"/>
                <w:szCs w:val="20"/>
              </w:rPr>
              <w:t>称</w:t>
            </w:r>
          </w:p>
        </w:tc>
        <w:tc>
          <w:tcPr>
            <w:tcW w:w="1545" w:type="dxa"/>
            <w:vAlign w:val="center"/>
          </w:tcPr>
          <w:p>
            <w:pPr>
              <w:jc w:val="center"/>
              <w:rPr>
                <w:b/>
                <w:bCs/>
                <w:sz w:val="20"/>
                <w:szCs w:val="20"/>
              </w:rPr>
            </w:pPr>
            <w:r>
              <w:rPr>
                <w:b/>
                <w:bCs/>
                <w:sz w:val="20"/>
                <w:szCs w:val="20"/>
              </w:rPr>
              <w:t>型号和</w:t>
            </w:r>
            <w:r>
              <w:rPr>
                <w:b/>
                <w:bCs/>
                <w:spacing w:val="-1"/>
                <w:sz w:val="20"/>
                <w:szCs w:val="20"/>
              </w:rPr>
              <w:t>规格</w:t>
            </w:r>
          </w:p>
        </w:tc>
        <w:tc>
          <w:tcPr>
            <w:tcW w:w="911" w:type="dxa"/>
            <w:vAlign w:val="center"/>
          </w:tcPr>
          <w:p>
            <w:pPr>
              <w:jc w:val="center"/>
              <w:rPr>
                <w:b/>
                <w:bCs/>
                <w:sz w:val="20"/>
                <w:szCs w:val="20"/>
              </w:rPr>
            </w:pPr>
            <w:r>
              <w:rPr>
                <w:b/>
                <w:bCs/>
                <w:sz w:val="20"/>
                <w:szCs w:val="20"/>
              </w:rPr>
              <w:t>单位</w:t>
            </w:r>
          </w:p>
        </w:tc>
        <w:tc>
          <w:tcPr>
            <w:tcW w:w="878" w:type="dxa"/>
            <w:vAlign w:val="center"/>
          </w:tcPr>
          <w:p>
            <w:pPr>
              <w:jc w:val="center"/>
              <w:rPr>
                <w:b/>
                <w:bCs/>
                <w:sz w:val="20"/>
                <w:szCs w:val="20"/>
              </w:rPr>
            </w:pPr>
            <w:r>
              <w:rPr>
                <w:b/>
                <w:bCs/>
                <w:sz w:val="20"/>
                <w:szCs w:val="20"/>
              </w:rPr>
              <w:t>数量</w:t>
            </w:r>
          </w:p>
        </w:tc>
        <w:tc>
          <w:tcPr>
            <w:tcW w:w="1761" w:type="dxa"/>
            <w:vAlign w:val="center"/>
          </w:tcPr>
          <w:p>
            <w:pPr>
              <w:ind w:left="0" w:leftChars="0" w:firstLine="0" w:firstLineChars="0"/>
              <w:jc w:val="center"/>
              <w:rPr>
                <w:b/>
                <w:bCs/>
                <w:sz w:val="20"/>
                <w:szCs w:val="20"/>
              </w:rPr>
            </w:pPr>
            <w:r>
              <w:rPr>
                <w:b/>
                <w:bCs/>
                <w:spacing w:val="-3"/>
                <w:sz w:val="20"/>
                <w:szCs w:val="20"/>
              </w:rPr>
              <w:t>原</w:t>
            </w:r>
            <w:r>
              <w:rPr>
                <w:b/>
                <w:bCs/>
                <w:spacing w:val="-2"/>
                <w:sz w:val="20"/>
                <w:szCs w:val="20"/>
              </w:rPr>
              <w:t>产地和</w:t>
            </w:r>
            <w:r>
              <w:rPr>
                <w:b/>
                <w:bCs/>
                <w:sz w:val="20"/>
                <w:szCs w:val="20"/>
              </w:rPr>
              <w:t>制造商名称</w:t>
            </w:r>
          </w:p>
        </w:tc>
        <w:tc>
          <w:tcPr>
            <w:tcW w:w="1493" w:type="dxa"/>
            <w:tcBorders>
              <w:right w:val="single" w:color="000000" w:sz="4" w:space="0"/>
            </w:tcBorders>
            <w:vAlign w:val="center"/>
          </w:tcPr>
          <w:p>
            <w:pPr>
              <w:ind w:left="0" w:leftChars="0" w:firstLine="0" w:firstLineChars="0"/>
              <w:jc w:val="center"/>
              <w:rPr>
                <w:b/>
                <w:bCs/>
                <w:sz w:val="20"/>
                <w:szCs w:val="20"/>
              </w:rPr>
            </w:pPr>
            <w:r>
              <w:rPr>
                <w:b/>
                <w:bCs/>
                <w:spacing w:val="1"/>
                <w:sz w:val="20"/>
                <w:szCs w:val="20"/>
              </w:rPr>
              <w:t>单</w:t>
            </w:r>
            <w:r>
              <w:rPr>
                <w:b/>
                <w:bCs/>
                <w:sz w:val="20"/>
                <w:szCs w:val="20"/>
              </w:rPr>
              <w:t>价（不含税）</w:t>
            </w:r>
          </w:p>
          <w:p>
            <w:pPr>
              <w:jc w:val="center"/>
              <w:rPr>
                <w:b/>
                <w:bCs/>
                <w:sz w:val="20"/>
                <w:szCs w:val="20"/>
              </w:rPr>
            </w:pPr>
            <w:r>
              <w:rPr>
                <w:b/>
                <w:bCs/>
                <w:spacing w:val="-16"/>
                <w:sz w:val="20"/>
                <w:szCs w:val="20"/>
              </w:rPr>
              <w:t>(</w:t>
            </w:r>
            <w:r>
              <w:rPr>
                <w:b/>
                <w:bCs/>
                <w:sz w:val="20"/>
                <w:szCs w:val="20"/>
              </w:rPr>
              <w:t>元)</w:t>
            </w:r>
          </w:p>
        </w:tc>
        <w:tc>
          <w:tcPr>
            <w:tcW w:w="1737" w:type="dxa"/>
            <w:tcBorders>
              <w:left w:val="single" w:color="000000" w:sz="4" w:space="0"/>
            </w:tcBorders>
            <w:vAlign w:val="center"/>
          </w:tcPr>
          <w:p>
            <w:pPr>
              <w:ind w:left="0" w:leftChars="0" w:firstLine="0" w:firstLineChars="0"/>
              <w:jc w:val="center"/>
              <w:rPr>
                <w:b/>
                <w:bCs/>
                <w:sz w:val="20"/>
                <w:szCs w:val="20"/>
              </w:rPr>
            </w:pPr>
            <w:r>
              <w:rPr>
                <w:b/>
                <w:bCs/>
                <w:spacing w:val="-1"/>
                <w:sz w:val="20"/>
                <w:szCs w:val="20"/>
              </w:rPr>
              <w:t>总价[6</w:t>
            </w:r>
            <w:r>
              <w:rPr>
                <w:b/>
                <w:bCs/>
                <w:sz w:val="20"/>
                <w:szCs w:val="20"/>
              </w:rPr>
              <w:t>×8]（不含税）</w:t>
            </w:r>
          </w:p>
          <w:p>
            <w:pPr>
              <w:jc w:val="center"/>
              <w:rPr>
                <w:b/>
                <w:bCs/>
                <w:sz w:val="20"/>
                <w:szCs w:val="20"/>
              </w:rPr>
            </w:pPr>
            <w:r>
              <w:rPr>
                <w:b/>
                <w:bCs/>
                <w:spacing w:val="27"/>
                <w:sz w:val="20"/>
                <w:szCs w:val="20"/>
              </w:rPr>
              <w:t>(</w:t>
            </w:r>
            <w:r>
              <w:rPr>
                <w:b/>
                <w:bCs/>
                <w:sz w:val="20"/>
                <w:szCs w:val="20"/>
              </w:rPr>
              <w:t>元)</w:t>
            </w:r>
          </w:p>
        </w:tc>
        <w:tc>
          <w:tcPr>
            <w:tcW w:w="1530" w:type="dxa"/>
            <w:vAlign w:val="center"/>
          </w:tcPr>
          <w:p>
            <w:pPr>
              <w:jc w:val="center"/>
              <w:rPr>
                <w:b/>
                <w:bCs/>
                <w:sz w:val="20"/>
                <w:szCs w:val="20"/>
              </w:rPr>
            </w:pPr>
            <w:r>
              <w:rPr>
                <w:b/>
                <w:bCs/>
                <w:spacing w:val="-1"/>
                <w:sz w:val="20"/>
                <w:szCs w:val="20"/>
                <w14:textOutline w14:w="3835" w14:cap="flat" w14:cmpd="sng" w14:algn="ctr">
                  <w14:solidFill>
                    <w14:srgbClr w14:val="000000"/>
                  </w14:solidFill>
                  <w14:prstDash w14:val="solid"/>
                  <w14:miter w14:val="0"/>
                </w14:textOutline>
              </w:rPr>
              <w:t>备</w:t>
            </w:r>
            <w:r>
              <w:rPr>
                <w:b/>
                <w:bCs/>
                <w:sz w:val="20"/>
                <w:szCs w:val="20"/>
              </w:rPr>
              <w:t xml:space="preserve">  </w:t>
            </w:r>
            <w:r>
              <w:rPr>
                <w:b/>
                <w:bCs/>
                <w:sz w:val="20"/>
                <w:szCs w:val="20"/>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5" w:hRule="atLeast"/>
        </w:trPr>
        <w:tc>
          <w:tcPr>
            <w:tcW w:w="796" w:type="dxa"/>
            <w:vAlign w:val="center"/>
          </w:tcPr>
          <w:p>
            <w:pPr>
              <w:jc w:val="center"/>
            </w:pPr>
            <w:r>
              <w:rPr>
                <w:lang w:bidi="ar"/>
              </w:rPr>
              <w:t>1</w:t>
            </w:r>
          </w:p>
        </w:tc>
        <w:tc>
          <w:tcPr>
            <w:tcW w:w="553" w:type="dxa"/>
            <w:vAlign w:val="center"/>
          </w:tcPr>
          <w:p/>
        </w:tc>
        <w:tc>
          <w:tcPr>
            <w:tcW w:w="2670" w:type="dxa"/>
            <w:vAlign w:val="center"/>
          </w:tcPr>
          <w:p>
            <w:pPr>
              <w:rPr>
                <w:lang w:bidi="ar"/>
              </w:rPr>
            </w:pPr>
          </w:p>
        </w:tc>
        <w:tc>
          <w:tcPr>
            <w:tcW w:w="1545" w:type="dxa"/>
            <w:vAlign w:val="center"/>
          </w:tcPr>
          <w:p>
            <w:pPr>
              <w:rPr>
                <w:lang w:bidi="ar"/>
              </w:rPr>
            </w:pPr>
          </w:p>
        </w:tc>
        <w:tc>
          <w:tcPr>
            <w:tcW w:w="911" w:type="dxa"/>
            <w:vAlign w:val="center"/>
          </w:tcPr>
          <w:p>
            <w:r>
              <w:t>套</w:t>
            </w:r>
          </w:p>
        </w:tc>
        <w:tc>
          <w:tcPr>
            <w:tcW w:w="878" w:type="dxa"/>
            <w:vAlign w:val="center"/>
          </w:tcPr>
          <w:p>
            <w:r>
              <w:t>1</w:t>
            </w:r>
          </w:p>
        </w:tc>
        <w:tc>
          <w:tcPr>
            <w:tcW w:w="1761" w:type="dxa"/>
            <w:vAlign w:val="center"/>
          </w:tcPr>
          <w:p/>
        </w:tc>
        <w:tc>
          <w:tcPr>
            <w:tcW w:w="1493" w:type="dxa"/>
            <w:tcBorders>
              <w:right w:val="single" w:color="000000" w:sz="4" w:space="0"/>
            </w:tcBorders>
            <w:vAlign w:val="center"/>
          </w:tcPr>
          <w:p/>
        </w:tc>
        <w:tc>
          <w:tcPr>
            <w:tcW w:w="1737" w:type="dxa"/>
            <w:tcBorders>
              <w:left w:val="single" w:color="000000" w:sz="4" w:space="0"/>
            </w:tcBorders>
            <w:vAlign w:val="center"/>
          </w:tcPr>
          <w:p/>
        </w:tc>
        <w:tc>
          <w:tcPr>
            <w:tcW w:w="1530" w:type="dxa"/>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796" w:type="dxa"/>
            <w:vAlign w:val="center"/>
          </w:tcPr>
          <w:p>
            <w:pPr>
              <w:jc w:val="center"/>
            </w:pPr>
            <w:r>
              <w:rPr>
                <w:lang w:bidi="ar"/>
              </w:rPr>
              <w:t>2</w:t>
            </w:r>
          </w:p>
        </w:tc>
        <w:tc>
          <w:tcPr>
            <w:tcW w:w="553" w:type="dxa"/>
            <w:vAlign w:val="center"/>
          </w:tcPr>
          <w:p>
            <w:pPr>
              <w:rPr>
                <w:lang w:bidi="ar"/>
              </w:rPr>
            </w:pPr>
          </w:p>
        </w:tc>
        <w:tc>
          <w:tcPr>
            <w:tcW w:w="2670" w:type="dxa"/>
            <w:vAlign w:val="center"/>
          </w:tcPr>
          <w:p>
            <w:pPr>
              <w:rPr>
                <w:lang w:bidi="ar"/>
              </w:rPr>
            </w:pPr>
          </w:p>
        </w:tc>
        <w:tc>
          <w:tcPr>
            <w:tcW w:w="1545" w:type="dxa"/>
            <w:vAlign w:val="center"/>
          </w:tcPr>
          <w:p>
            <w:pPr>
              <w:rPr>
                <w:lang w:bidi="ar"/>
              </w:rPr>
            </w:pPr>
          </w:p>
        </w:tc>
        <w:tc>
          <w:tcPr>
            <w:tcW w:w="911" w:type="dxa"/>
            <w:vAlign w:val="center"/>
          </w:tcPr>
          <w:p>
            <w:r>
              <w:t>项</w:t>
            </w:r>
          </w:p>
        </w:tc>
        <w:tc>
          <w:tcPr>
            <w:tcW w:w="878" w:type="dxa"/>
            <w:vAlign w:val="center"/>
          </w:tcPr>
          <w:p>
            <w:r>
              <w:t>1</w:t>
            </w:r>
          </w:p>
        </w:tc>
        <w:tc>
          <w:tcPr>
            <w:tcW w:w="1761" w:type="dxa"/>
            <w:vAlign w:val="center"/>
          </w:tcPr>
          <w:p/>
        </w:tc>
        <w:tc>
          <w:tcPr>
            <w:tcW w:w="1493" w:type="dxa"/>
            <w:tcBorders>
              <w:right w:val="single" w:color="000000" w:sz="4" w:space="0"/>
            </w:tcBorders>
            <w:vAlign w:val="center"/>
          </w:tcPr>
          <w:p/>
        </w:tc>
        <w:tc>
          <w:tcPr>
            <w:tcW w:w="1737" w:type="dxa"/>
            <w:tcBorders>
              <w:left w:val="single" w:color="000000" w:sz="4" w:space="0"/>
            </w:tcBorders>
            <w:vAlign w:val="center"/>
          </w:tcPr>
          <w:p/>
        </w:tc>
        <w:tc>
          <w:tcPr>
            <w:tcW w:w="1530" w:type="dxa"/>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796" w:type="dxa"/>
            <w:vAlign w:val="center"/>
          </w:tcPr>
          <w:p>
            <w:pPr>
              <w:jc w:val="center"/>
            </w:pPr>
            <w:r>
              <w:rPr>
                <w:lang w:bidi="ar"/>
              </w:rPr>
              <w:t>3</w:t>
            </w:r>
          </w:p>
        </w:tc>
        <w:tc>
          <w:tcPr>
            <w:tcW w:w="553" w:type="dxa"/>
            <w:vAlign w:val="center"/>
          </w:tcPr>
          <w:p>
            <w:pPr>
              <w:rPr>
                <w:lang w:bidi="ar"/>
              </w:rPr>
            </w:pPr>
          </w:p>
        </w:tc>
        <w:tc>
          <w:tcPr>
            <w:tcW w:w="2670" w:type="dxa"/>
            <w:vAlign w:val="center"/>
          </w:tcPr>
          <w:p>
            <w:pPr>
              <w:rPr>
                <w:lang w:bidi="ar"/>
              </w:rPr>
            </w:pPr>
          </w:p>
        </w:tc>
        <w:tc>
          <w:tcPr>
            <w:tcW w:w="1545" w:type="dxa"/>
            <w:vAlign w:val="center"/>
          </w:tcPr>
          <w:p>
            <w:pPr>
              <w:rPr>
                <w:lang w:bidi="ar"/>
              </w:rPr>
            </w:pPr>
          </w:p>
        </w:tc>
        <w:tc>
          <w:tcPr>
            <w:tcW w:w="911" w:type="dxa"/>
            <w:vAlign w:val="center"/>
          </w:tcPr>
          <w:p>
            <w:r>
              <w:t>项</w:t>
            </w:r>
          </w:p>
        </w:tc>
        <w:tc>
          <w:tcPr>
            <w:tcW w:w="878" w:type="dxa"/>
            <w:vAlign w:val="center"/>
          </w:tcPr>
          <w:p>
            <w:r>
              <w:t>1</w:t>
            </w:r>
          </w:p>
        </w:tc>
        <w:tc>
          <w:tcPr>
            <w:tcW w:w="1761" w:type="dxa"/>
            <w:vAlign w:val="center"/>
          </w:tcPr>
          <w:p/>
        </w:tc>
        <w:tc>
          <w:tcPr>
            <w:tcW w:w="1493" w:type="dxa"/>
            <w:tcBorders>
              <w:right w:val="single" w:color="000000" w:sz="4" w:space="0"/>
            </w:tcBorders>
            <w:vAlign w:val="center"/>
          </w:tcPr>
          <w:p/>
        </w:tc>
        <w:tc>
          <w:tcPr>
            <w:tcW w:w="1737" w:type="dxa"/>
            <w:tcBorders>
              <w:left w:val="single" w:color="000000" w:sz="4" w:space="0"/>
            </w:tcBorders>
            <w:vAlign w:val="center"/>
          </w:tcPr>
          <w:p/>
        </w:tc>
        <w:tc>
          <w:tcPr>
            <w:tcW w:w="1530" w:type="dxa"/>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796" w:type="dxa"/>
            <w:vAlign w:val="center"/>
          </w:tcPr>
          <w:p>
            <w:pPr>
              <w:jc w:val="center"/>
              <w:rPr>
                <w:lang w:bidi="ar"/>
              </w:rPr>
            </w:pPr>
            <w:r>
              <w:rPr>
                <w:lang w:bidi="ar"/>
              </w:rPr>
              <w:t>4</w:t>
            </w:r>
          </w:p>
        </w:tc>
        <w:tc>
          <w:tcPr>
            <w:tcW w:w="553" w:type="dxa"/>
            <w:vAlign w:val="center"/>
          </w:tcPr>
          <w:p>
            <w:pPr>
              <w:rPr>
                <w:lang w:bidi="ar"/>
              </w:rPr>
            </w:pPr>
          </w:p>
        </w:tc>
        <w:tc>
          <w:tcPr>
            <w:tcW w:w="2670" w:type="dxa"/>
            <w:vAlign w:val="center"/>
          </w:tcPr>
          <w:p>
            <w:pPr>
              <w:rPr>
                <w:lang w:bidi="ar"/>
              </w:rPr>
            </w:pPr>
          </w:p>
        </w:tc>
        <w:tc>
          <w:tcPr>
            <w:tcW w:w="1545" w:type="dxa"/>
            <w:vAlign w:val="center"/>
          </w:tcPr>
          <w:p>
            <w:pPr>
              <w:rPr>
                <w:lang w:bidi="ar"/>
              </w:rPr>
            </w:pPr>
          </w:p>
        </w:tc>
        <w:tc>
          <w:tcPr>
            <w:tcW w:w="911" w:type="dxa"/>
            <w:vAlign w:val="center"/>
          </w:tcPr>
          <w:p>
            <w:r>
              <w:t>套</w:t>
            </w:r>
          </w:p>
        </w:tc>
        <w:tc>
          <w:tcPr>
            <w:tcW w:w="878" w:type="dxa"/>
            <w:vAlign w:val="center"/>
          </w:tcPr>
          <w:p>
            <w:r>
              <w:t>1</w:t>
            </w:r>
          </w:p>
        </w:tc>
        <w:tc>
          <w:tcPr>
            <w:tcW w:w="1761" w:type="dxa"/>
            <w:vAlign w:val="center"/>
          </w:tcPr>
          <w:p/>
        </w:tc>
        <w:tc>
          <w:tcPr>
            <w:tcW w:w="1493" w:type="dxa"/>
            <w:tcBorders>
              <w:right w:val="single" w:color="000000" w:sz="4" w:space="0"/>
            </w:tcBorders>
            <w:vAlign w:val="center"/>
          </w:tcPr>
          <w:p/>
        </w:tc>
        <w:tc>
          <w:tcPr>
            <w:tcW w:w="1737" w:type="dxa"/>
            <w:tcBorders>
              <w:left w:val="single" w:color="000000" w:sz="4" w:space="0"/>
            </w:tcBorders>
            <w:vAlign w:val="center"/>
          </w:tcPr>
          <w:p>
            <w:pPr>
              <w:rPr>
                <w:lang w:bidi="ar"/>
              </w:rPr>
            </w:pPr>
          </w:p>
        </w:tc>
        <w:tc>
          <w:tcPr>
            <w:tcW w:w="1530" w:type="dxa"/>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796" w:type="dxa"/>
            <w:vAlign w:val="center"/>
          </w:tcPr>
          <w:p>
            <w:pPr>
              <w:jc w:val="center"/>
              <w:rPr>
                <w:lang w:bidi="ar"/>
              </w:rPr>
            </w:pPr>
            <w:r>
              <w:rPr>
                <w:lang w:bidi="ar"/>
              </w:rPr>
              <w:t>5</w:t>
            </w:r>
          </w:p>
        </w:tc>
        <w:tc>
          <w:tcPr>
            <w:tcW w:w="553" w:type="dxa"/>
            <w:vAlign w:val="center"/>
          </w:tcPr>
          <w:p>
            <w:pPr>
              <w:rPr>
                <w:lang w:bidi="ar"/>
              </w:rPr>
            </w:pPr>
          </w:p>
        </w:tc>
        <w:tc>
          <w:tcPr>
            <w:tcW w:w="2670" w:type="dxa"/>
            <w:vAlign w:val="center"/>
          </w:tcPr>
          <w:p>
            <w:pPr>
              <w:rPr>
                <w:lang w:bidi="ar"/>
              </w:rPr>
            </w:pPr>
          </w:p>
        </w:tc>
        <w:tc>
          <w:tcPr>
            <w:tcW w:w="1545" w:type="dxa"/>
            <w:vAlign w:val="center"/>
          </w:tcPr>
          <w:p>
            <w:pPr>
              <w:rPr>
                <w:lang w:bidi="ar"/>
              </w:rPr>
            </w:pPr>
          </w:p>
        </w:tc>
        <w:tc>
          <w:tcPr>
            <w:tcW w:w="911" w:type="dxa"/>
            <w:vAlign w:val="center"/>
          </w:tcPr>
          <w:p>
            <w:r>
              <w:t>套</w:t>
            </w:r>
          </w:p>
        </w:tc>
        <w:tc>
          <w:tcPr>
            <w:tcW w:w="878" w:type="dxa"/>
            <w:vAlign w:val="center"/>
          </w:tcPr>
          <w:p>
            <w:r>
              <w:t>1</w:t>
            </w:r>
          </w:p>
        </w:tc>
        <w:tc>
          <w:tcPr>
            <w:tcW w:w="1761" w:type="dxa"/>
            <w:vAlign w:val="center"/>
          </w:tcPr>
          <w:p/>
        </w:tc>
        <w:tc>
          <w:tcPr>
            <w:tcW w:w="1493" w:type="dxa"/>
            <w:tcBorders>
              <w:right w:val="single" w:color="000000" w:sz="4" w:space="0"/>
            </w:tcBorders>
            <w:vAlign w:val="center"/>
          </w:tcPr>
          <w:p/>
        </w:tc>
        <w:tc>
          <w:tcPr>
            <w:tcW w:w="1737" w:type="dxa"/>
            <w:tcBorders>
              <w:left w:val="single" w:color="000000" w:sz="4" w:space="0"/>
            </w:tcBorders>
            <w:vAlign w:val="center"/>
          </w:tcPr>
          <w:p/>
        </w:tc>
        <w:tc>
          <w:tcPr>
            <w:tcW w:w="1530" w:type="dxa"/>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796" w:type="dxa"/>
            <w:vAlign w:val="center"/>
          </w:tcPr>
          <w:p>
            <w:pPr>
              <w:jc w:val="center"/>
              <w:rPr>
                <w:lang w:bidi="ar"/>
              </w:rPr>
            </w:pPr>
            <w:r>
              <w:rPr>
                <w:lang w:bidi="ar"/>
              </w:rPr>
              <w:t>6</w:t>
            </w:r>
          </w:p>
        </w:tc>
        <w:tc>
          <w:tcPr>
            <w:tcW w:w="553" w:type="dxa"/>
            <w:vAlign w:val="center"/>
          </w:tcPr>
          <w:p>
            <w:pPr>
              <w:rPr>
                <w:lang w:bidi="ar"/>
              </w:rPr>
            </w:pPr>
          </w:p>
        </w:tc>
        <w:tc>
          <w:tcPr>
            <w:tcW w:w="2670" w:type="dxa"/>
            <w:vAlign w:val="center"/>
          </w:tcPr>
          <w:p>
            <w:pPr>
              <w:rPr>
                <w:lang w:bidi="ar"/>
              </w:rPr>
            </w:pPr>
          </w:p>
        </w:tc>
        <w:tc>
          <w:tcPr>
            <w:tcW w:w="1545" w:type="dxa"/>
            <w:vAlign w:val="center"/>
          </w:tcPr>
          <w:p>
            <w:pPr>
              <w:rPr>
                <w:lang w:bidi="ar"/>
              </w:rPr>
            </w:pPr>
          </w:p>
        </w:tc>
        <w:tc>
          <w:tcPr>
            <w:tcW w:w="911" w:type="dxa"/>
            <w:vAlign w:val="center"/>
          </w:tcPr>
          <w:p>
            <w:r>
              <w:t>套</w:t>
            </w:r>
          </w:p>
        </w:tc>
        <w:tc>
          <w:tcPr>
            <w:tcW w:w="878" w:type="dxa"/>
            <w:vAlign w:val="center"/>
          </w:tcPr>
          <w:p>
            <w:r>
              <w:t>1</w:t>
            </w:r>
          </w:p>
        </w:tc>
        <w:tc>
          <w:tcPr>
            <w:tcW w:w="1761" w:type="dxa"/>
            <w:vAlign w:val="center"/>
          </w:tcPr>
          <w:p/>
        </w:tc>
        <w:tc>
          <w:tcPr>
            <w:tcW w:w="1493" w:type="dxa"/>
            <w:tcBorders>
              <w:right w:val="single" w:color="000000" w:sz="4" w:space="0"/>
            </w:tcBorders>
            <w:vAlign w:val="center"/>
          </w:tcPr>
          <w:p/>
        </w:tc>
        <w:tc>
          <w:tcPr>
            <w:tcW w:w="1737" w:type="dxa"/>
            <w:tcBorders>
              <w:left w:val="single" w:color="000000" w:sz="4" w:space="0"/>
            </w:tcBorders>
            <w:vAlign w:val="center"/>
          </w:tcPr>
          <w:p/>
        </w:tc>
        <w:tc>
          <w:tcPr>
            <w:tcW w:w="1530" w:type="dxa"/>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796" w:type="dxa"/>
            <w:vAlign w:val="center"/>
          </w:tcPr>
          <w:p>
            <w:pPr>
              <w:jc w:val="center"/>
              <w:rPr>
                <w:lang w:bidi="ar"/>
              </w:rPr>
            </w:pPr>
            <w:r>
              <w:rPr>
                <w:lang w:bidi="ar"/>
              </w:rPr>
              <w:t>7</w:t>
            </w:r>
          </w:p>
        </w:tc>
        <w:tc>
          <w:tcPr>
            <w:tcW w:w="553" w:type="dxa"/>
            <w:vAlign w:val="center"/>
          </w:tcPr>
          <w:p>
            <w:pPr>
              <w:rPr>
                <w:lang w:bidi="ar"/>
              </w:rPr>
            </w:pPr>
          </w:p>
        </w:tc>
        <w:tc>
          <w:tcPr>
            <w:tcW w:w="2670" w:type="dxa"/>
            <w:vAlign w:val="center"/>
          </w:tcPr>
          <w:p>
            <w:pPr>
              <w:rPr>
                <w:lang w:bidi="ar"/>
              </w:rPr>
            </w:pPr>
          </w:p>
        </w:tc>
        <w:tc>
          <w:tcPr>
            <w:tcW w:w="1545" w:type="dxa"/>
            <w:vAlign w:val="center"/>
          </w:tcPr>
          <w:p>
            <w:pPr>
              <w:rPr>
                <w:lang w:bidi="ar"/>
              </w:rPr>
            </w:pPr>
          </w:p>
        </w:tc>
        <w:tc>
          <w:tcPr>
            <w:tcW w:w="911" w:type="dxa"/>
            <w:vAlign w:val="center"/>
          </w:tcPr>
          <w:p>
            <w:r>
              <w:t>套</w:t>
            </w:r>
          </w:p>
        </w:tc>
        <w:tc>
          <w:tcPr>
            <w:tcW w:w="878" w:type="dxa"/>
            <w:vAlign w:val="center"/>
          </w:tcPr>
          <w:p>
            <w:r>
              <w:t>1</w:t>
            </w:r>
          </w:p>
        </w:tc>
        <w:tc>
          <w:tcPr>
            <w:tcW w:w="1761" w:type="dxa"/>
            <w:vAlign w:val="center"/>
          </w:tcPr>
          <w:p/>
        </w:tc>
        <w:tc>
          <w:tcPr>
            <w:tcW w:w="1493" w:type="dxa"/>
            <w:tcBorders>
              <w:right w:val="single" w:color="000000" w:sz="4" w:space="0"/>
            </w:tcBorders>
            <w:vAlign w:val="center"/>
          </w:tcPr>
          <w:p/>
        </w:tc>
        <w:tc>
          <w:tcPr>
            <w:tcW w:w="1737" w:type="dxa"/>
            <w:tcBorders>
              <w:left w:val="single" w:color="000000" w:sz="4" w:space="0"/>
            </w:tcBorders>
            <w:vAlign w:val="center"/>
          </w:tcPr>
          <w:p/>
        </w:tc>
        <w:tc>
          <w:tcPr>
            <w:tcW w:w="1530" w:type="dxa"/>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796" w:type="dxa"/>
            <w:vAlign w:val="center"/>
          </w:tcPr>
          <w:p>
            <w:pPr>
              <w:jc w:val="center"/>
              <w:rPr>
                <w:lang w:bidi="ar"/>
              </w:rPr>
            </w:pPr>
            <w:r>
              <w:rPr>
                <w:lang w:bidi="ar"/>
              </w:rPr>
              <w:t>8</w:t>
            </w:r>
          </w:p>
        </w:tc>
        <w:tc>
          <w:tcPr>
            <w:tcW w:w="553" w:type="dxa"/>
            <w:vAlign w:val="center"/>
          </w:tcPr>
          <w:p>
            <w:pPr>
              <w:rPr>
                <w:lang w:bidi="ar"/>
              </w:rPr>
            </w:pPr>
          </w:p>
        </w:tc>
        <w:tc>
          <w:tcPr>
            <w:tcW w:w="2670" w:type="dxa"/>
            <w:vAlign w:val="center"/>
          </w:tcPr>
          <w:p>
            <w:pPr>
              <w:rPr>
                <w:lang w:bidi="ar"/>
              </w:rPr>
            </w:pPr>
          </w:p>
        </w:tc>
        <w:tc>
          <w:tcPr>
            <w:tcW w:w="1545" w:type="dxa"/>
            <w:vAlign w:val="center"/>
          </w:tcPr>
          <w:p>
            <w:pPr>
              <w:rPr>
                <w:lang w:bidi="ar"/>
              </w:rPr>
            </w:pPr>
          </w:p>
        </w:tc>
        <w:tc>
          <w:tcPr>
            <w:tcW w:w="911" w:type="dxa"/>
            <w:vAlign w:val="center"/>
          </w:tcPr>
          <w:p>
            <w:r>
              <w:t>套</w:t>
            </w:r>
          </w:p>
        </w:tc>
        <w:tc>
          <w:tcPr>
            <w:tcW w:w="878" w:type="dxa"/>
            <w:vAlign w:val="center"/>
          </w:tcPr>
          <w:p>
            <w:r>
              <w:t>1</w:t>
            </w:r>
          </w:p>
        </w:tc>
        <w:tc>
          <w:tcPr>
            <w:tcW w:w="1761" w:type="dxa"/>
            <w:vAlign w:val="center"/>
          </w:tcPr>
          <w:p/>
        </w:tc>
        <w:tc>
          <w:tcPr>
            <w:tcW w:w="1493" w:type="dxa"/>
            <w:tcBorders>
              <w:right w:val="single" w:color="000000" w:sz="4" w:space="0"/>
            </w:tcBorders>
            <w:vAlign w:val="center"/>
          </w:tcPr>
          <w:p/>
        </w:tc>
        <w:tc>
          <w:tcPr>
            <w:tcW w:w="1737" w:type="dxa"/>
            <w:tcBorders>
              <w:left w:val="single" w:color="000000" w:sz="4" w:space="0"/>
            </w:tcBorders>
            <w:vAlign w:val="center"/>
          </w:tcPr>
          <w:p/>
        </w:tc>
        <w:tc>
          <w:tcPr>
            <w:tcW w:w="1530" w:type="dxa"/>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796" w:type="dxa"/>
            <w:vAlign w:val="center"/>
          </w:tcPr>
          <w:p>
            <w:pPr>
              <w:jc w:val="center"/>
              <w:rPr>
                <w:lang w:bidi="ar"/>
              </w:rPr>
            </w:pPr>
            <w:r>
              <w:rPr>
                <w:lang w:bidi="ar"/>
              </w:rPr>
              <w:t>9</w:t>
            </w:r>
          </w:p>
        </w:tc>
        <w:tc>
          <w:tcPr>
            <w:tcW w:w="553" w:type="dxa"/>
            <w:vAlign w:val="center"/>
          </w:tcPr>
          <w:p>
            <w:pPr>
              <w:rPr>
                <w:lang w:bidi="ar"/>
              </w:rPr>
            </w:pPr>
          </w:p>
        </w:tc>
        <w:tc>
          <w:tcPr>
            <w:tcW w:w="2670" w:type="dxa"/>
            <w:vAlign w:val="center"/>
          </w:tcPr>
          <w:p>
            <w:pPr>
              <w:rPr>
                <w:lang w:bidi="ar"/>
              </w:rPr>
            </w:pPr>
          </w:p>
        </w:tc>
        <w:tc>
          <w:tcPr>
            <w:tcW w:w="1545" w:type="dxa"/>
            <w:vAlign w:val="center"/>
          </w:tcPr>
          <w:p>
            <w:pPr>
              <w:rPr>
                <w:lang w:bidi="ar"/>
              </w:rPr>
            </w:pPr>
          </w:p>
        </w:tc>
        <w:tc>
          <w:tcPr>
            <w:tcW w:w="911" w:type="dxa"/>
            <w:vAlign w:val="center"/>
          </w:tcPr>
          <w:p>
            <w:r>
              <w:t>套</w:t>
            </w:r>
          </w:p>
        </w:tc>
        <w:tc>
          <w:tcPr>
            <w:tcW w:w="878" w:type="dxa"/>
            <w:vAlign w:val="center"/>
          </w:tcPr>
          <w:p>
            <w:r>
              <w:t>1</w:t>
            </w:r>
          </w:p>
        </w:tc>
        <w:tc>
          <w:tcPr>
            <w:tcW w:w="1761" w:type="dxa"/>
            <w:vAlign w:val="center"/>
          </w:tcPr>
          <w:p/>
        </w:tc>
        <w:tc>
          <w:tcPr>
            <w:tcW w:w="1493" w:type="dxa"/>
            <w:tcBorders>
              <w:right w:val="single" w:color="000000" w:sz="4" w:space="0"/>
            </w:tcBorders>
            <w:vAlign w:val="center"/>
          </w:tcPr>
          <w:p/>
        </w:tc>
        <w:tc>
          <w:tcPr>
            <w:tcW w:w="1737" w:type="dxa"/>
            <w:tcBorders>
              <w:left w:val="single" w:color="000000" w:sz="4" w:space="0"/>
            </w:tcBorders>
            <w:vAlign w:val="center"/>
          </w:tcPr>
          <w:p/>
        </w:tc>
        <w:tc>
          <w:tcPr>
            <w:tcW w:w="1530" w:type="dxa"/>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796" w:type="dxa"/>
            <w:vAlign w:val="center"/>
          </w:tcPr>
          <w:p>
            <w:pPr>
              <w:jc w:val="center"/>
              <w:rPr>
                <w:lang w:bidi="ar"/>
              </w:rPr>
            </w:pPr>
            <w:r>
              <w:rPr>
                <w:lang w:bidi="ar"/>
              </w:rPr>
              <w:t>10</w:t>
            </w:r>
          </w:p>
        </w:tc>
        <w:tc>
          <w:tcPr>
            <w:tcW w:w="553" w:type="dxa"/>
            <w:vAlign w:val="center"/>
          </w:tcPr>
          <w:p>
            <w:pPr>
              <w:rPr>
                <w:lang w:bidi="ar"/>
              </w:rPr>
            </w:pPr>
          </w:p>
        </w:tc>
        <w:tc>
          <w:tcPr>
            <w:tcW w:w="2670" w:type="dxa"/>
            <w:vAlign w:val="center"/>
          </w:tcPr>
          <w:p>
            <w:pPr>
              <w:rPr>
                <w:lang w:bidi="ar"/>
              </w:rPr>
            </w:pPr>
          </w:p>
        </w:tc>
        <w:tc>
          <w:tcPr>
            <w:tcW w:w="1545" w:type="dxa"/>
            <w:vAlign w:val="center"/>
          </w:tcPr>
          <w:p>
            <w:pPr>
              <w:rPr>
                <w:lang w:bidi="ar"/>
              </w:rPr>
            </w:pPr>
          </w:p>
        </w:tc>
        <w:tc>
          <w:tcPr>
            <w:tcW w:w="911" w:type="dxa"/>
            <w:vAlign w:val="center"/>
          </w:tcPr>
          <w:p>
            <w:r>
              <w:t>套</w:t>
            </w:r>
          </w:p>
        </w:tc>
        <w:tc>
          <w:tcPr>
            <w:tcW w:w="878" w:type="dxa"/>
            <w:vAlign w:val="center"/>
          </w:tcPr>
          <w:p>
            <w:r>
              <w:t>1</w:t>
            </w:r>
          </w:p>
        </w:tc>
        <w:tc>
          <w:tcPr>
            <w:tcW w:w="1761" w:type="dxa"/>
            <w:vAlign w:val="center"/>
          </w:tcPr>
          <w:p/>
        </w:tc>
        <w:tc>
          <w:tcPr>
            <w:tcW w:w="1493" w:type="dxa"/>
            <w:tcBorders>
              <w:right w:val="single" w:color="000000" w:sz="4" w:space="0"/>
            </w:tcBorders>
            <w:vAlign w:val="center"/>
          </w:tcPr>
          <w:p/>
        </w:tc>
        <w:tc>
          <w:tcPr>
            <w:tcW w:w="1737" w:type="dxa"/>
            <w:tcBorders>
              <w:left w:val="single" w:color="000000" w:sz="4" w:space="0"/>
            </w:tcBorders>
            <w:vAlign w:val="center"/>
          </w:tcPr>
          <w:p/>
        </w:tc>
        <w:tc>
          <w:tcPr>
            <w:tcW w:w="1530" w:type="dxa"/>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796" w:type="dxa"/>
            <w:vAlign w:val="center"/>
          </w:tcPr>
          <w:p>
            <w:pPr>
              <w:jc w:val="center"/>
              <w:rPr>
                <w:lang w:bidi="ar"/>
              </w:rPr>
            </w:pPr>
            <w:r>
              <w:rPr>
                <w:lang w:bidi="ar"/>
              </w:rPr>
              <w:t>11</w:t>
            </w:r>
          </w:p>
        </w:tc>
        <w:tc>
          <w:tcPr>
            <w:tcW w:w="553" w:type="dxa"/>
            <w:vAlign w:val="center"/>
          </w:tcPr>
          <w:p>
            <w:pPr>
              <w:rPr>
                <w:lang w:bidi="ar"/>
              </w:rPr>
            </w:pPr>
          </w:p>
        </w:tc>
        <w:tc>
          <w:tcPr>
            <w:tcW w:w="2670" w:type="dxa"/>
            <w:vAlign w:val="center"/>
          </w:tcPr>
          <w:p>
            <w:pPr>
              <w:rPr>
                <w:lang w:bidi="ar"/>
              </w:rPr>
            </w:pPr>
          </w:p>
        </w:tc>
        <w:tc>
          <w:tcPr>
            <w:tcW w:w="1545" w:type="dxa"/>
            <w:vAlign w:val="center"/>
          </w:tcPr>
          <w:p>
            <w:pPr>
              <w:rPr>
                <w:lang w:bidi="ar"/>
              </w:rPr>
            </w:pPr>
          </w:p>
        </w:tc>
        <w:tc>
          <w:tcPr>
            <w:tcW w:w="911" w:type="dxa"/>
            <w:vAlign w:val="center"/>
          </w:tcPr>
          <w:p>
            <w:r>
              <w:t>套</w:t>
            </w:r>
          </w:p>
        </w:tc>
        <w:tc>
          <w:tcPr>
            <w:tcW w:w="878" w:type="dxa"/>
            <w:vAlign w:val="center"/>
          </w:tcPr>
          <w:p>
            <w:r>
              <w:t>11</w:t>
            </w:r>
          </w:p>
        </w:tc>
        <w:tc>
          <w:tcPr>
            <w:tcW w:w="1761" w:type="dxa"/>
            <w:vAlign w:val="center"/>
          </w:tcPr>
          <w:p/>
        </w:tc>
        <w:tc>
          <w:tcPr>
            <w:tcW w:w="1493" w:type="dxa"/>
            <w:tcBorders>
              <w:right w:val="single" w:color="000000" w:sz="4" w:space="0"/>
            </w:tcBorders>
            <w:vAlign w:val="center"/>
          </w:tcPr>
          <w:p/>
        </w:tc>
        <w:tc>
          <w:tcPr>
            <w:tcW w:w="1737" w:type="dxa"/>
            <w:tcBorders>
              <w:left w:val="single" w:color="000000" w:sz="4" w:space="0"/>
            </w:tcBorders>
            <w:vAlign w:val="center"/>
          </w:tcPr>
          <w:p/>
        </w:tc>
        <w:tc>
          <w:tcPr>
            <w:tcW w:w="1530" w:type="dxa"/>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796" w:type="dxa"/>
            <w:vAlign w:val="center"/>
          </w:tcPr>
          <w:p>
            <w:pPr>
              <w:jc w:val="center"/>
              <w:rPr>
                <w:lang w:bidi="ar"/>
              </w:rPr>
            </w:pPr>
          </w:p>
        </w:tc>
        <w:tc>
          <w:tcPr>
            <w:tcW w:w="553" w:type="dxa"/>
            <w:vAlign w:val="center"/>
          </w:tcPr>
          <w:p>
            <w:pPr>
              <w:rPr>
                <w:lang w:bidi="ar"/>
              </w:rPr>
            </w:pPr>
          </w:p>
        </w:tc>
        <w:tc>
          <w:tcPr>
            <w:tcW w:w="2670" w:type="dxa"/>
            <w:vAlign w:val="center"/>
          </w:tcPr>
          <w:p>
            <w:pPr>
              <w:rPr>
                <w:sz w:val="22"/>
              </w:rPr>
            </w:pPr>
            <w:r>
              <w:t>.以上不足之处请往下添加序号自行补充</w:t>
            </w:r>
          </w:p>
        </w:tc>
        <w:tc>
          <w:tcPr>
            <w:tcW w:w="1545" w:type="dxa"/>
            <w:vAlign w:val="center"/>
          </w:tcPr>
          <w:p>
            <w:pPr>
              <w:rPr>
                <w:lang w:bidi="ar"/>
              </w:rPr>
            </w:pPr>
          </w:p>
        </w:tc>
        <w:tc>
          <w:tcPr>
            <w:tcW w:w="911" w:type="dxa"/>
            <w:vAlign w:val="center"/>
          </w:tcPr>
          <w:p/>
        </w:tc>
        <w:tc>
          <w:tcPr>
            <w:tcW w:w="878" w:type="dxa"/>
            <w:vAlign w:val="center"/>
          </w:tcPr>
          <w:p/>
        </w:tc>
        <w:tc>
          <w:tcPr>
            <w:tcW w:w="1761" w:type="dxa"/>
            <w:vAlign w:val="center"/>
          </w:tcPr>
          <w:p/>
        </w:tc>
        <w:tc>
          <w:tcPr>
            <w:tcW w:w="1493" w:type="dxa"/>
            <w:tcBorders>
              <w:right w:val="single" w:color="000000" w:sz="4" w:space="0"/>
            </w:tcBorders>
            <w:vAlign w:val="center"/>
          </w:tcPr>
          <w:p/>
        </w:tc>
        <w:tc>
          <w:tcPr>
            <w:tcW w:w="1737" w:type="dxa"/>
            <w:tcBorders>
              <w:left w:val="single" w:color="000000" w:sz="4" w:space="0"/>
            </w:tcBorders>
            <w:vAlign w:val="center"/>
          </w:tcPr>
          <w:p/>
        </w:tc>
        <w:tc>
          <w:tcPr>
            <w:tcW w:w="1530" w:type="dxa"/>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trPr>
        <w:tc>
          <w:tcPr>
            <w:tcW w:w="796" w:type="dxa"/>
            <w:vAlign w:val="center"/>
          </w:tcPr>
          <w:p>
            <w:pPr>
              <w:jc w:val="center"/>
              <w:rPr>
                <w:lang w:bidi="ar"/>
              </w:rPr>
            </w:pPr>
          </w:p>
        </w:tc>
        <w:tc>
          <w:tcPr>
            <w:tcW w:w="553" w:type="dxa"/>
            <w:vAlign w:val="center"/>
          </w:tcPr>
          <w:p>
            <w:pPr>
              <w:rPr>
                <w:lang w:bidi="ar"/>
              </w:rPr>
            </w:pPr>
          </w:p>
        </w:tc>
        <w:tc>
          <w:tcPr>
            <w:tcW w:w="2670" w:type="dxa"/>
            <w:vAlign w:val="center"/>
          </w:tcPr>
          <w:p/>
        </w:tc>
        <w:tc>
          <w:tcPr>
            <w:tcW w:w="1545" w:type="dxa"/>
            <w:vAlign w:val="center"/>
          </w:tcPr>
          <w:p>
            <w:pPr>
              <w:rPr>
                <w:lang w:bidi="ar"/>
              </w:rPr>
            </w:pPr>
          </w:p>
        </w:tc>
        <w:tc>
          <w:tcPr>
            <w:tcW w:w="911" w:type="dxa"/>
            <w:vAlign w:val="center"/>
          </w:tcPr>
          <w:p/>
        </w:tc>
        <w:tc>
          <w:tcPr>
            <w:tcW w:w="878" w:type="dxa"/>
            <w:vAlign w:val="center"/>
          </w:tcPr>
          <w:p/>
        </w:tc>
        <w:tc>
          <w:tcPr>
            <w:tcW w:w="1761" w:type="dxa"/>
            <w:vAlign w:val="center"/>
          </w:tcPr>
          <w:p/>
        </w:tc>
        <w:tc>
          <w:tcPr>
            <w:tcW w:w="1493" w:type="dxa"/>
            <w:tcBorders>
              <w:right w:val="single" w:color="000000" w:sz="4" w:space="0"/>
            </w:tcBorders>
            <w:vAlign w:val="center"/>
          </w:tcPr>
          <w:p/>
        </w:tc>
        <w:tc>
          <w:tcPr>
            <w:tcW w:w="1737" w:type="dxa"/>
            <w:tcBorders>
              <w:left w:val="single" w:color="000000" w:sz="4" w:space="0"/>
            </w:tcBorders>
            <w:vAlign w:val="center"/>
          </w:tcPr>
          <w:p/>
        </w:tc>
        <w:tc>
          <w:tcPr>
            <w:tcW w:w="1530" w:type="dxa"/>
            <w:vAlign w:val="center"/>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8" w:hRule="atLeast"/>
        </w:trPr>
        <w:tc>
          <w:tcPr>
            <w:tcW w:w="796" w:type="dxa"/>
            <w:tcBorders>
              <w:right w:val="single" w:color="000000" w:sz="4" w:space="0"/>
            </w:tcBorders>
            <w:vAlign w:val="center"/>
          </w:tcPr>
          <w:p>
            <w:pPr>
              <w:jc w:val="center"/>
            </w:pPr>
          </w:p>
        </w:tc>
        <w:tc>
          <w:tcPr>
            <w:tcW w:w="553" w:type="dxa"/>
            <w:tcBorders>
              <w:right w:val="single" w:color="000000" w:sz="4" w:space="0"/>
            </w:tcBorders>
            <w:vAlign w:val="center"/>
          </w:tcPr>
          <w:p/>
        </w:tc>
        <w:tc>
          <w:tcPr>
            <w:tcW w:w="9258" w:type="dxa"/>
            <w:gridSpan w:val="6"/>
            <w:tcBorders>
              <w:right w:val="single" w:color="000000" w:sz="4" w:space="0"/>
            </w:tcBorders>
            <w:vAlign w:val="center"/>
          </w:tcPr>
          <w:p>
            <w:pPr>
              <w:rPr>
                <w:szCs w:val="20"/>
              </w:rPr>
            </w:pPr>
            <w:r>
              <w:rPr>
                <w:spacing w:val="-6"/>
              </w:rPr>
              <w:t>总</w:t>
            </w:r>
            <w:r>
              <w:t>价合计列入价格汇总表 9-5</w:t>
            </w:r>
          </w:p>
        </w:tc>
        <w:tc>
          <w:tcPr>
            <w:tcW w:w="1737" w:type="dxa"/>
            <w:tcBorders>
              <w:left w:val="single" w:color="000000" w:sz="4" w:space="0"/>
            </w:tcBorders>
            <w:vAlign w:val="center"/>
          </w:tcPr>
          <w:p/>
        </w:tc>
        <w:tc>
          <w:tcPr>
            <w:tcW w:w="1530" w:type="dxa"/>
            <w:vAlign w:val="center"/>
          </w:tcPr>
          <w:p/>
        </w:tc>
      </w:tr>
    </w:tbl>
    <w:p>
      <w:pPr>
        <w:spacing w:before="78" w:line="219" w:lineRule="auto"/>
        <w:ind w:left="431" w:firstLine="458" w:firstLineChars="0"/>
        <w:jc w:val="both"/>
        <w:textAlignment w:val="auto"/>
        <w:rPr>
          <w:rFonts w:ascii="Times New Roman" w:hAnsi="Times New Roman" w:eastAsia="宋体" w:cs="Times New Roman"/>
          <w:spacing w:val="-3"/>
          <w:sz w:val="21"/>
          <w:szCs w:val="21"/>
        </w:rPr>
      </w:pPr>
      <w:r>
        <w:rPr>
          <w:rFonts w:ascii="Times New Roman" w:hAnsi="Times New Roman" w:eastAsia="宋体" w:cs="Times New Roman"/>
          <w:spacing w:val="-3"/>
          <w:sz w:val="21"/>
          <w:szCs w:val="21"/>
        </w:rPr>
        <w:t>注： 1.以上是各单体设备分项报价应包括的内容， 但不限于此，表中“总价合计”构成主机价格的一部分。</w:t>
      </w:r>
    </w:p>
    <w:p>
      <w:pPr>
        <w:spacing w:before="78" w:line="219" w:lineRule="auto"/>
        <w:ind w:left="431" w:firstLine="458" w:firstLineChars="0"/>
        <w:jc w:val="both"/>
        <w:textAlignment w:val="auto"/>
        <w:rPr>
          <w:rFonts w:ascii="Times New Roman" w:hAnsi="Times New Roman" w:eastAsia="宋体" w:cs="Times New Roman"/>
          <w:spacing w:val="-3"/>
          <w:sz w:val="21"/>
          <w:szCs w:val="21"/>
        </w:rPr>
      </w:pPr>
      <w:r>
        <w:rPr>
          <w:rFonts w:ascii="Times New Roman" w:hAnsi="Times New Roman" w:eastAsia="宋体" w:cs="Times New Roman"/>
          <w:spacing w:val="-3"/>
          <w:sz w:val="21"/>
          <w:szCs w:val="21"/>
        </w:rPr>
        <w:t>2.如果按单价计算的结果与总价不一致，以单价为准修正总价。</w:t>
      </w:r>
    </w:p>
    <w:p>
      <w:pPr>
        <w:spacing w:before="78" w:line="219" w:lineRule="auto"/>
        <w:ind w:left="431" w:firstLine="458" w:firstLineChars="0"/>
        <w:jc w:val="both"/>
        <w:textAlignment w:val="auto"/>
        <w:rPr>
          <w:rFonts w:ascii="Times New Roman" w:hAnsi="Times New Roman" w:eastAsia="宋体" w:cs="Times New Roman"/>
          <w:spacing w:val="-3"/>
          <w:sz w:val="21"/>
          <w:szCs w:val="21"/>
        </w:rPr>
      </w:pPr>
      <w:r>
        <w:rPr>
          <w:rFonts w:ascii="Times New Roman" w:hAnsi="Times New Roman" w:eastAsia="宋体" w:cs="Times New Roman"/>
          <w:spacing w:val="-3"/>
          <w:sz w:val="21"/>
          <w:szCs w:val="21"/>
        </w:rPr>
        <w:t>3.此分项报价，仅是为了方便招标人对投标文件进行分析比较，不作为限制订立合同的条件。</w:t>
      </w:r>
    </w:p>
    <w:p>
      <w:pPr>
        <w:spacing w:before="78" w:line="219" w:lineRule="auto"/>
        <w:ind w:left="431" w:firstLine="458" w:firstLineChars="0"/>
        <w:jc w:val="both"/>
        <w:textAlignment w:val="auto"/>
        <w:rPr>
          <w:rFonts w:ascii="Times New Roman" w:hAnsi="Times New Roman" w:eastAsia="宋体" w:cs="Times New Roman"/>
          <w:spacing w:val="-3"/>
          <w:sz w:val="21"/>
          <w:szCs w:val="21"/>
        </w:rPr>
      </w:pPr>
      <w:r>
        <w:rPr>
          <w:rFonts w:ascii="Times New Roman" w:hAnsi="Times New Roman" w:eastAsia="宋体" w:cs="Times New Roman"/>
          <w:spacing w:val="-3"/>
          <w:sz w:val="21"/>
          <w:szCs w:val="21"/>
        </w:rPr>
        <w:t>4.如上表中的有关费用投标人免费提供，请注明“免费”字样。</w:t>
      </w:r>
    </w:p>
    <w:p>
      <w:pPr>
        <w:spacing w:before="78" w:line="219" w:lineRule="auto"/>
        <w:ind w:left="431" w:firstLine="458" w:firstLineChars="0"/>
        <w:jc w:val="both"/>
        <w:textAlignment w:val="auto"/>
        <w:rPr>
          <w:rFonts w:ascii="Times New Roman" w:hAnsi="Times New Roman" w:eastAsia="宋体" w:cs="Times New Roman"/>
          <w:spacing w:val="-3"/>
          <w:sz w:val="21"/>
          <w:szCs w:val="21"/>
        </w:rPr>
      </w:pPr>
      <w:r>
        <w:rPr>
          <w:rFonts w:ascii="Times New Roman" w:hAnsi="Times New Roman" w:eastAsia="宋体" w:cs="Times New Roman"/>
          <w:spacing w:val="-3"/>
          <w:sz w:val="21"/>
          <w:szCs w:val="21"/>
        </w:rPr>
        <w:t>5.该明细表所有信息均为必填项，不得删减，价格部分不得合并，可细化可增加。</w:t>
      </w:r>
    </w:p>
    <w:p>
      <w:pPr>
        <w:spacing w:before="78" w:line="219" w:lineRule="auto"/>
        <w:ind w:left="431" w:firstLine="458" w:firstLineChars="0"/>
        <w:jc w:val="both"/>
        <w:textAlignment w:val="auto"/>
        <w:rPr>
          <w:rFonts w:ascii="Times New Roman" w:hAnsi="Times New Roman" w:eastAsia="宋体" w:cs="Times New Roman"/>
          <w:spacing w:val="-3"/>
          <w:sz w:val="21"/>
          <w:szCs w:val="21"/>
        </w:rPr>
      </w:pPr>
      <w:r>
        <w:rPr>
          <w:rFonts w:ascii="Times New Roman" w:hAnsi="Times New Roman" w:eastAsia="宋体" w:cs="Times New Roman"/>
          <w:spacing w:val="-3"/>
          <w:sz w:val="21"/>
          <w:szCs w:val="21"/>
        </w:rPr>
        <w:t>6.因填写不规范造成废标及终止招标的，责任由投标人自负。</w:t>
      </w:r>
    </w:p>
    <w:p/>
    <w:p/>
    <w:p>
      <w:pPr>
        <w:sectPr>
          <w:pgSz w:w="16841" w:h="11907" w:orient="landscape"/>
          <w:pgMar w:top="400" w:right="1387" w:bottom="1168" w:left="1473" w:header="0" w:footer="990" w:gutter="0"/>
          <w:cols w:equalWidth="0" w:num="1">
            <w:col w:w="13980"/>
          </w:cols>
        </w:sectPr>
      </w:pPr>
    </w:p>
    <w:p>
      <w:pPr>
        <w:spacing w:before="85" w:line="198" w:lineRule="auto"/>
        <w:ind w:left="432" w:firstLine="466" w:firstLineChars="0"/>
        <w:jc w:val="both"/>
        <w:textAlignment w:val="auto"/>
        <w:rPr>
          <w:rFonts w:ascii="Times New Roman" w:hAnsi="Times New Roman" w:eastAsia="宋体" w:cs="Times New Roman"/>
          <w:spacing w:val="-4"/>
          <w:sz w:val="24"/>
          <w:szCs w:val="24"/>
        </w:rPr>
      </w:pPr>
      <w:r>
        <w:rPr>
          <w:rFonts w:ascii="Times New Roman" w:hAnsi="Times New Roman" w:eastAsia="宋体" w:cs="Times New Roman"/>
          <w:spacing w:val="-4"/>
          <w:sz w:val="24"/>
          <w:szCs w:val="24"/>
        </w:rPr>
        <w:t>投标人(章)：</w:t>
      </w:r>
    </w:p>
    <w:p>
      <w:pPr>
        <w:spacing w:before="85" w:line="198" w:lineRule="auto"/>
        <w:ind w:left="432" w:firstLine="466" w:firstLineChars="0"/>
        <w:jc w:val="both"/>
        <w:textAlignment w:val="auto"/>
        <w:rPr>
          <w:rFonts w:ascii="Times New Roman" w:hAnsi="Times New Roman" w:eastAsia="宋体" w:cs="Times New Roman"/>
          <w:spacing w:val="-4"/>
          <w:sz w:val="24"/>
          <w:szCs w:val="24"/>
        </w:rPr>
      </w:pPr>
      <w:r>
        <w:rPr>
          <w:rFonts w:ascii="Times New Roman" w:hAnsi="Times New Roman" w:eastAsia="宋体" w:cs="Times New Roman"/>
          <w:spacing w:val="-4"/>
          <w:sz w:val="24"/>
          <w:szCs w:val="24"/>
        </w:rPr>
        <w:br w:type="column"/>
      </w:r>
    </w:p>
    <w:p>
      <w:pPr>
        <w:spacing w:before="85" w:line="198" w:lineRule="auto"/>
        <w:ind w:left="432" w:firstLine="466" w:firstLineChars="0"/>
        <w:jc w:val="both"/>
        <w:textAlignment w:val="auto"/>
        <w:rPr>
          <w:rFonts w:ascii="Times New Roman" w:hAnsi="Times New Roman" w:eastAsia="宋体" w:cs="Times New Roman"/>
          <w:spacing w:val="-4"/>
          <w:sz w:val="24"/>
          <w:szCs w:val="24"/>
        </w:rPr>
      </w:pPr>
      <w:r>
        <w:rPr>
          <w:rFonts w:ascii="Times New Roman" w:hAnsi="Times New Roman" w:eastAsia="宋体" w:cs="Times New Roman"/>
          <w:spacing w:val="-4"/>
          <w:sz w:val="24"/>
          <w:szCs w:val="24"/>
        </w:rPr>
        <w:t>授权代表(签字)：                          年    月    日</w:t>
      </w:r>
    </w:p>
    <w:p/>
    <w:p>
      <w:pPr>
        <w:sectPr>
          <w:type w:val="continuous"/>
          <w:pgSz w:w="16841" w:h="11907"/>
          <w:pgMar w:top="400" w:right="1387" w:bottom="1168" w:left="1473" w:header="0" w:footer="990" w:gutter="0"/>
          <w:cols w:equalWidth="0" w:num="2">
            <w:col w:w="4757" w:space="100"/>
            <w:col w:w="9124"/>
          </w:cols>
        </w:sectPr>
      </w:pPr>
    </w:p>
    <w:p>
      <w:pPr>
        <w:spacing w:before="132" w:line="221" w:lineRule="auto"/>
        <w:ind w:left="310" w:firstLine="478" w:firstLineChars="0"/>
        <w:jc w:val="left"/>
        <w:textAlignment w:val="auto"/>
        <w:outlineLvl w:val="2"/>
        <w:rPr>
          <w:rFonts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pPr>
      <w:r>
        <w:rPr>
          <w:rFonts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9-2</w:t>
      </w:r>
    </w:p>
    <w:p>
      <w:pPr>
        <w:spacing w:before="186" w:line="224" w:lineRule="auto"/>
        <w:ind w:left="5342" w:firstLine="546" w:firstLineChars="0"/>
        <w:jc w:val="both"/>
        <w:textAlignment w:val="auto"/>
        <w:rPr>
          <w:rFonts w:ascii="Times New Roman" w:hAnsi="Times New Roman" w:eastAsia="宋体" w:cs="Times New Roman"/>
          <w:spacing w:val="16"/>
          <w:sz w:val="24"/>
          <w:szCs w:val="24"/>
          <w14:textOutline w14:w="5791" w14:cap="flat" w14:cmpd="sng" w14:algn="ctr">
            <w14:solidFill>
              <w14:srgbClr w14:val="000000"/>
            </w14:solidFill>
            <w14:prstDash w14:val="solid"/>
            <w14:miter w14:val="0"/>
          </w14:textOutline>
        </w:rPr>
      </w:pPr>
      <w:r>
        <w:rPr>
          <w:rFonts w:ascii="Times New Roman" w:hAnsi="Times New Roman" w:eastAsia="宋体" w:cs="Times New Roman"/>
          <w:spacing w:val="16"/>
          <w:sz w:val="24"/>
          <w:szCs w:val="24"/>
          <w14:textOutline w14:w="5791" w14:cap="flat" w14:cmpd="sng" w14:algn="ctr">
            <w14:solidFill>
              <w14:srgbClr w14:val="000000"/>
            </w14:solidFill>
            <w14:prstDash w14:val="solid"/>
            <w14:miter w14:val="0"/>
          </w14:textOutline>
        </w:rPr>
        <w:t>运输及服务分项报价表</w:t>
      </w:r>
    </w:p>
    <w:p>
      <w:pPr>
        <w:spacing w:before="132" w:line="221" w:lineRule="auto"/>
        <w:ind w:left="310" w:firstLine="478" w:firstLineChars="0"/>
        <w:jc w:val="both"/>
        <w:textAlignment w:val="auto"/>
        <w:rPr>
          <w:rFonts w:ascii="Times New Roman" w:hAnsi="Times New Roman" w:eastAsia="宋体" w:cs="Times New Roman"/>
          <w:spacing w:val="-1"/>
          <w:sz w:val="21"/>
          <w:szCs w:val="21"/>
          <w14:textOutline w14:w="3835" w14:cap="flat" w14:cmpd="sng" w14:algn="ctr">
            <w14:solidFill>
              <w14:srgbClr w14:val="000000"/>
            </w14:solidFill>
            <w14:prstDash w14:val="solid"/>
            <w14:miter w14:val="0"/>
          </w14:textOutline>
        </w:rPr>
      </w:pPr>
      <w:r>
        <w:rPr>
          <w:rFonts w:ascii="Times New Roman" w:hAnsi="Times New Roman" w:eastAsia="宋体" w:cs="Times New Roman"/>
          <w:spacing w:val="-1"/>
          <w:sz w:val="21"/>
          <w:szCs w:val="21"/>
          <w14:textOutline w14:w="3835" w14:cap="flat" w14:cmpd="sng" w14:algn="ctr">
            <w14:solidFill>
              <w14:srgbClr w14:val="000000"/>
            </w14:solidFill>
            <w14:prstDash w14:val="solid"/>
            <w14:miter w14:val="0"/>
          </w14:textOutline>
        </w:rPr>
        <w:t>招标编号：</w:t>
      </w:r>
      <w:r>
        <w:rPr>
          <w:rFonts w:hint="eastAsia" w:ascii="Times New Roman" w:hAnsi="Times New Roman" w:eastAsia="宋体" w:cs="Times New Roman"/>
          <w:spacing w:val="-1"/>
          <w:sz w:val="21"/>
          <w:szCs w:val="21"/>
          <w14:textOutline w14:w="3835" w14:cap="flat" w14:cmpd="sng" w14:algn="ctr">
            <w14:solidFill>
              <w14:srgbClr w14:val="000000"/>
            </w14:solidFill>
            <w14:prstDash w14:val="solid"/>
            <w14:miter w14:val="0"/>
          </w14:textOutline>
        </w:rPr>
        <w:t xml:space="preserve">         </w:t>
      </w:r>
      <w:r>
        <w:rPr>
          <w:rFonts w:ascii="Times New Roman" w:hAnsi="Times New Roman" w:eastAsia="宋体" w:cs="Times New Roman"/>
          <w:spacing w:val="-1"/>
          <w:sz w:val="21"/>
          <w:szCs w:val="21"/>
          <w14:textOutline w14:w="3835" w14:cap="flat" w14:cmpd="sng" w14:algn="ctr">
            <w14:solidFill>
              <w14:srgbClr w14:val="000000"/>
            </w14:solidFill>
            <w14:prstDash w14:val="solid"/>
            <w14:miter w14:val="0"/>
          </w14:textOutline>
        </w:rPr>
        <w:t xml:space="preserve">                                                                                     第   页共   页</w:t>
      </w:r>
    </w:p>
    <w:tbl>
      <w:tblPr>
        <w:tblStyle w:val="99"/>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ind w:firstLine="0" w:firstLineChars="0"/>
              <w:jc w:val="center"/>
              <w:textAlignment w:val="auto"/>
              <w:rPr>
                <w:rFonts w:ascii="Times New Roman" w:hAnsi="Times New Roman" w:cs="Times New Roman" w:eastAsiaTheme="minorEastAsia"/>
                <w:b/>
                <w:bCs/>
                <w:sz w:val="21"/>
              </w:rPr>
            </w:pPr>
          </w:p>
          <w:p>
            <w:pPr>
              <w:spacing w:line="296" w:lineRule="auto"/>
              <w:ind w:firstLine="0" w:firstLineChars="0"/>
              <w:jc w:val="center"/>
              <w:textAlignment w:val="auto"/>
              <w:rPr>
                <w:rFonts w:ascii="Times New Roman" w:hAnsi="Times New Roman" w:cs="Times New Roman" w:eastAsiaTheme="minorEastAsia"/>
                <w:b/>
                <w:bCs/>
                <w:sz w:val="21"/>
              </w:rPr>
            </w:pPr>
            <w:r>
              <w:rPr>
                <w:rFonts w:ascii="Times New Roman" w:hAnsi="Times New Roman" w:cs="Times New Roman" w:eastAsiaTheme="minorEastAsia"/>
                <w:b/>
                <w:bCs/>
                <w:sz w:val="21"/>
              </w:rPr>
              <w:t>序号</w:t>
            </w:r>
          </w:p>
        </w:tc>
        <w:tc>
          <w:tcPr>
            <w:tcW w:w="3530" w:type="dxa"/>
            <w:vMerge w:val="restart"/>
            <w:tcBorders>
              <w:bottom w:val="nil"/>
            </w:tcBorders>
          </w:tcPr>
          <w:p>
            <w:pPr>
              <w:spacing w:line="296" w:lineRule="auto"/>
              <w:ind w:firstLine="0" w:firstLineChars="0"/>
              <w:jc w:val="center"/>
              <w:textAlignment w:val="auto"/>
              <w:rPr>
                <w:rFonts w:ascii="Times New Roman" w:hAnsi="Times New Roman" w:cs="Times New Roman" w:eastAsiaTheme="minorEastAsia"/>
                <w:b/>
                <w:bCs/>
                <w:sz w:val="21"/>
              </w:rPr>
            </w:pPr>
          </w:p>
          <w:p>
            <w:pPr>
              <w:spacing w:line="296" w:lineRule="auto"/>
              <w:ind w:firstLine="0" w:firstLineChars="0"/>
              <w:jc w:val="center"/>
              <w:textAlignment w:val="auto"/>
              <w:rPr>
                <w:rFonts w:ascii="Times New Roman" w:hAnsi="Times New Roman" w:cs="Times New Roman" w:eastAsiaTheme="minorEastAsia"/>
                <w:b/>
                <w:bCs/>
                <w:sz w:val="21"/>
              </w:rPr>
            </w:pPr>
            <w:r>
              <w:rPr>
                <w:rFonts w:ascii="Times New Roman" w:hAnsi="Times New Roman" w:cs="Times New Roman" w:eastAsiaTheme="minorEastAsia"/>
                <w:b/>
                <w:bCs/>
                <w:sz w:val="21"/>
              </w:rPr>
              <w:t>内  容</w:t>
            </w:r>
          </w:p>
        </w:tc>
        <w:tc>
          <w:tcPr>
            <w:tcW w:w="2159" w:type="dxa"/>
          </w:tcPr>
          <w:p>
            <w:pPr>
              <w:spacing w:line="296" w:lineRule="auto"/>
              <w:ind w:firstLine="0" w:firstLineChars="0"/>
              <w:jc w:val="center"/>
              <w:textAlignment w:val="auto"/>
              <w:rPr>
                <w:rFonts w:ascii="Times New Roman" w:hAnsi="Times New Roman" w:cs="Times New Roman" w:eastAsiaTheme="minorEastAsia"/>
                <w:b/>
                <w:bCs/>
                <w:sz w:val="21"/>
              </w:rPr>
            </w:pPr>
            <w:r>
              <w:rPr>
                <w:rFonts w:ascii="Times New Roman" w:hAnsi="Times New Roman" w:cs="Times New Roman" w:eastAsiaTheme="minorEastAsia"/>
                <w:b/>
                <w:bCs/>
                <w:sz w:val="21"/>
              </w:rPr>
              <w:t>数  量</w:t>
            </w:r>
          </w:p>
        </w:tc>
        <w:tc>
          <w:tcPr>
            <w:tcW w:w="2186" w:type="dxa"/>
          </w:tcPr>
          <w:p>
            <w:pPr>
              <w:spacing w:line="296" w:lineRule="auto"/>
              <w:ind w:firstLine="0" w:firstLineChars="0"/>
              <w:jc w:val="center"/>
              <w:textAlignment w:val="auto"/>
              <w:rPr>
                <w:rFonts w:ascii="Times New Roman" w:hAnsi="Times New Roman" w:cs="Times New Roman" w:eastAsiaTheme="minorEastAsia"/>
                <w:b/>
                <w:bCs/>
                <w:sz w:val="21"/>
              </w:rPr>
            </w:pPr>
            <w:r>
              <w:rPr>
                <w:rFonts w:ascii="Times New Roman" w:hAnsi="Times New Roman" w:cs="Times New Roman" w:eastAsiaTheme="minorEastAsia"/>
                <w:b/>
                <w:bCs/>
                <w:sz w:val="21"/>
              </w:rPr>
              <w:t>单价(元)（不含税）</w:t>
            </w:r>
          </w:p>
        </w:tc>
        <w:tc>
          <w:tcPr>
            <w:tcW w:w="2596" w:type="dxa"/>
          </w:tcPr>
          <w:p>
            <w:pPr>
              <w:spacing w:line="296" w:lineRule="auto"/>
              <w:ind w:firstLine="0" w:firstLineChars="0"/>
              <w:jc w:val="center"/>
              <w:textAlignment w:val="auto"/>
              <w:rPr>
                <w:rFonts w:ascii="Times New Roman" w:hAnsi="Times New Roman" w:cs="Times New Roman" w:eastAsiaTheme="minorEastAsia"/>
                <w:b/>
                <w:bCs/>
                <w:sz w:val="21"/>
              </w:rPr>
            </w:pPr>
            <w:r>
              <w:rPr>
                <w:rFonts w:ascii="Times New Roman" w:hAnsi="Times New Roman" w:cs="Times New Roman" w:eastAsiaTheme="minorEastAsia"/>
                <w:b/>
                <w:bCs/>
                <w:sz w:val="21"/>
              </w:rPr>
              <w:t>总价(元)（不含税）</w:t>
            </w:r>
          </w:p>
        </w:tc>
        <w:tc>
          <w:tcPr>
            <w:tcW w:w="2164" w:type="dxa"/>
          </w:tcPr>
          <w:p>
            <w:pPr>
              <w:spacing w:line="296" w:lineRule="auto"/>
              <w:ind w:firstLine="0" w:firstLineChars="0"/>
              <w:jc w:val="center"/>
              <w:textAlignment w:val="auto"/>
              <w:rPr>
                <w:rFonts w:ascii="Times New Roman" w:hAnsi="Times New Roman" w:cs="Times New Roman" w:eastAsiaTheme="minorEastAsia"/>
                <w:b/>
                <w:bCs/>
                <w:sz w:val="21"/>
              </w:rPr>
            </w:pPr>
            <w:r>
              <w:rPr>
                <w:rFonts w:ascii="Times New Roman" w:hAnsi="Times New Roman" w:cs="Times New Roman" w:eastAsiaTheme="minorEastAsia"/>
                <w:b/>
                <w:bCs/>
                <w:sz w:val="21"/>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jc w:val="center"/>
            </w:pPr>
          </w:p>
        </w:tc>
        <w:tc>
          <w:tcPr>
            <w:tcW w:w="3530" w:type="dxa"/>
            <w:vMerge w:val="continue"/>
            <w:tcBorders>
              <w:top w:val="nil"/>
            </w:tcBorders>
          </w:tcPr>
          <w:p>
            <w:pPr>
              <w:jc w:val="center"/>
            </w:pPr>
          </w:p>
        </w:tc>
        <w:tc>
          <w:tcPr>
            <w:tcW w:w="2159" w:type="dxa"/>
          </w:tcPr>
          <w:p>
            <w:pPr>
              <w:jc w:val="center"/>
            </w:pPr>
            <w:r>
              <w:t>1</w:t>
            </w:r>
          </w:p>
        </w:tc>
        <w:tc>
          <w:tcPr>
            <w:tcW w:w="2186" w:type="dxa"/>
          </w:tcPr>
          <w:p>
            <w:pPr>
              <w:jc w:val="center"/>
            </w:pPr>
            <w:r>
              <w:t>2</w:t>
            </w:r>
          </w:p>
        </w:tc>
        <w:tc>
          <w:tcPr>
            <w:tcW w:w="2596" w:type="dxa"/>
          </w:tcPr>
          <w:p>
            <w:pPr>
              <w:jc w:val="center"/>
            </w:pPr>
            <w:r>
              <w:t>3 (1</w:t>
            </w:r>
            <w:r>
              <w:rPr>
                <w:spacing w:val="-1"/>
              </w:rPr>
              <w:t>×2)</w:t>
            </w:r>
          </w:p>
        </w:tc>
        <w:tc>
          <w:tcPr>
            <w:tcW w:w="2164" w:type="dxa"/>
          </w:tcPr>
          <w:p>
            <w:pPr>
              <w:jc w:val="center"/>
            </w:pPr>
            <w: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jc w:val="center"/>
            </w:pPr>
            <w:r>
              <w:t>1</w:t>
            </w:r>
          </w:p>
        </w:tc>
        <w:tc>
          <w:tcPr>
            <w:tcW w:w="3530" w:type="dxa"/>
          </w:tcPr>
          <w:p>
            <w:pPr>
              <w:jc w:val="center"/>
            </w:pPr>
            <w:r>
              <w:rPr>
                <w:spacing w:val="-2"/>
              </w:rPr>
              <w:t>包</w:t>
            </w:r>
            <w:r>
              <w:t>装费</w:t>
            </w:r>
          </w:p>
        </w:tc>
        <w:tc>
          <w:tcPr>
            <w:tcW w:w="2159" w:type="dxa"/>
          </w:tcPr>
          <w:p>
            <w:pPr>
              <w:jc w:val="center"/>
            </w:pPr>
          </w:p>
        </w:tc>
        <w:tc>
          <w:tcPr>
            <w:tcW w:w="2186" w:type="dxa"/>
          </w:tcPr>
          <w:p>
            <w:pPr>
              <w:jc w:val="center"/>
            </w:pPr>
          </w:p>
        </w:tc>
        <w:tc>
          <w:tcPr>
            <w:tcW w:w="2596" w:type="dxa"/>
          </w:tcPr>
          <w:p>
            <w:pPr>
              <w:jc w:val="center"/>
            </w:pPr>
          </w:p>
        </w:tc>
        <w:tc>
          <w:tcPr>
            <w:tcW w:w="2164" w:type="dxa"/>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jc w:val="center"/>
            </w:pPr>
            <w:r>
              <w:t>2</w:t>
            </w:r>
          </w:p>
        </w:tc>
        <w:tc>
          <w:tcPr>
            <w:tcW w:w="3530" w:type="dxa"/>
          </w:tcPr>
          <w:p>
            <w:pPr>
              <w:jc w:val="center"/>
            </w:pPr>
            <w:r>
              <w:rPr>
                <w:spacing w:val="-2"/>
              </w:rPr>
              <w:t>运</w:t>
            </w:r>
            <w:r>
              <w:t>输费</w:t>
            </w:r>
          </w:p>
        </w:tc>
        <w:tc>
          <w:tcPr>
            <w:tcW w:w="2159" w:type="dxa"/>
          </w:tcPr>
          <w:p>
            <w:pPr>
              <w:jc w:val="center"/>
            </w:pPr>
          </w:p>
        </w:tc>
        <w:tc>
          <w:tcPr>
            <w:tcW w:w="2186" w:type="dxa"/>
          </w:tcPr>
          <w:p>
            <w:pPr>
              <w:jc w:val="center"/>
            </w:pPr>
          </w:p>
        </w:tc>
        <w:tc>
          <w:tcPr>
            <w:tcW w:w="2596" w:type="dxa"/>
          </w:tcPr>
          <w:p>
            <w:pPr>
              <w:jc w:val="center"/>
            </w:pPr>
          </w:p>
        </w:tc>
        <w:tc>
          <w:tcPr>
            <w:tcW w:w="2164" w:type="dxa"/>
            <w:vMerge w:val="restart"/>
            <w:tcBorders>
              <w:bottom w:val="nil"/>
            </w:tcBorders>
          </w:tcPr>
          <w:p>
            <w:pPr>
              <w:jc w:val="center"/>
            </w:pPr>
          </w:p>
          <w:p>
            <w:pPr>
              <w:jc w:val="center"/>
            </w:pPr>
            <w:r>
              <w:t xml:space="preserve">运输方式及运输起止 </w:t>
            </w:r>
            <w:r>
              <w:rPr>
                <w:spacing w:val="-2"/>
              </w:rPr>
              <w:t>地</w:t>
            </w:r>
            <w: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jc w:val="center"/>
            </w:pPr>
            <w:r>
              <w:t>3</w:t>
            </w:r>
          </w:p>
        </w:tc>
        <w:tc>
          <w:tcPr>
            <w:tcW w:w="3530" w:type="dxa"/>
          </w:tcPr>
          <w:p>
            <w:pPr>
              <w:jc w:val="center"/>
            </w:pPr>
            <w:r>
              <w:t>运输保险费</w:t>
            </w:r>
          </w:p>
        </w:tc>
        <w:tc>
          <w:tcPr>
            <w:tcW w:w="2159" w:type="dxa"/>
          </w:tcPr>
          <w:p>
            <w:pPr>
              <w:jc w:val="center"/>
            </w:pPr>
          </w:p>
        </w:tc>
        <w:tc>
          <w:tcPr>
            <w:tcW w:w="2186" w:type="dxa"/>
          </w:tcPr>
          <w:p>
            <w:pPr>
              <w:jc w:val="center"/>
            </w:pPr>
          </w:p>
        </w:tc>
        <w:tc>
          <w:tcPr>
            <w:tcW w:w="2596" w:type="dxa"/>
          </w:tcPr>
          <w:p>
            <w:pPr>
              <w:jc w:val="center"/>
            </w:pPr>
          </w:p>
        </w:tc>
        <w:tc>
          <w:tcPr>
            <w:tcW w:w="2164" w:type="dxa"/>
            <w:vMerge w:val="continue"/>
            <w:tcBorders>
              <w:top w:val="nil"/>
            </w:tcBorders>
          </w:tcPr>
          <w:p>
            <w:pPr>
              <w:jc w:val="cente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jc w:val="center"/>
            </w:pPr>
            <w:r>
              <w:t>4</w:t>
            </w:r>
          </w:p>
        </w:tc>
        <w:tc>
          <w:tcPr>
            <w:tcW w:w="3530" w:type="dxa"/>
          </w:tcPr>
          <w:p>
            <w:pPr>
              <w:jc w:val="center"/>
            </w:pPr>
            <w:r>
              <w:rPr>
                <w:spacing w:val="-2"/>
              </w:rPr>
              <w:t>装</w:t>
            </w:r>
            <w:r>
              <w:t>卸费</w:t>
            </w:r>
          </w:p>
        </w:tc>
        <w:tc>
          <w:tcPr>
            <w:tcW w:w="2159" w:type="dxa"/>
          </w:tcPr>
          <w:p>
            <w:pPr>
              <w:jc w:val="center"/>
            </w:pPr>
          </w:p>
        </w:tc>
        <w:tc>
          <w:tcPr>
            <w:tcW w:w="2186" w:type="dxa"/>
          </w:tcPr>
          <w:p>
            <w:pPr>
              <w:jc w:val="center"/>
            </w:pPr>
          </w:p>
        </w:tc>
        <w:tc>
          <w:tcPr>
            <w:tcW w:w="2596" w:type="dxa"/>
          </w:tcPr>
          <w:p>
            <w:pPr>
              <w:jc w:val="center"/>
            </w:pPr>
          </w:p>
        </w:tc>
        <w:tc>
          <w:tcPr>
            <w:tcW w:w="2164" w:type="dxa"/>
          </w:tcPr>
          <w:p>
            <w:pPr>
              <w:jc w:val="center"/>
            </w:pPr>
            <w:r>
              <w:rPr>
                <w:spacing w:val="-2"/>
              </w:rPr>
              <w:t>发生</w:t>
            </w:r>
            <w: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jc w:val="center"/>
            </w:pPr>
            <w:r>
              <w:t>5</w:t>
            </w:r>
          </w:p>
        </w:tc>
        <w:tc>
          <w:tcPr>
            <w:tcW w:w="3530" w:type="dxa"/>
          </w:tcPr>
          <w:p>
            <w:pPr>
              <w:jc w:val="center"/>
            </w:pPr>
            <w:r>
              <w:t>.......</w:t>
            </w:r>
          </w:p>
          <w:p>
            <w:pPr>
              <w:jc w:val="center"/>
              <w:rPr>
                <w:szCs w:val="21"/>
              </w:rPr>
            </w:pPr>
            <w:r>
              <w:rPr>
                <w:spacing w:val="-2"/>
                <w:szCs w:val="21"/>
              </w:rPr>
              <w:t>以上</w:t>
            </w:r>
            <w:r>
              <w:t>不足之处请往下添加序号自行补充</w:t>
            </w:r>
          </w:p>
        </w:tc>
        <w:tc>
          <w:tcPr>
            <w:tcW w:w="2159" w:type="dxa"/>
          </w:tcPr>
          <w:p>
            <w:pPr>
              <w:jc w:val="center"/>
            </w:pPr>
          </w:p>
        </w:tc>
        <w:tc>
          <w:tcPr>
            <w:tcW w:w="2186" w:type="dxa"/>
          </w:tcPr>
          <w:p>
            <w:pPr>
              <w:jc w:val="center"/>
            </w:pPr>
          </w:p>
        </w:tc>
        <w:tc>
          <w:tcPr>
            <w:tcW w:w="2596" w:type="dxa"/>
          </w:tcPr>
          <w:p>
            <w:pPr>
              <w:jc w:val="center"/>
            </w:pPr>
          </w:p>
        </w:tc>
        <w:tc>
          <w:tcPr>
            <w:tcW w:w="2164" w:type="dxa"/>
          </w:tcPr>
          <w:p>
            <w:pPr>
              <w:jc w:val="center"/>
            </w:pPr>
            <w:r>
              <w:rPr>
                <w:spacing w:val="-2"/>
              </w:rPr>
              <w:t>说明</w:t>
            </w:r>
            <w: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jc w:val="center"/>
            </w:pPr>
            <w:r>
              <w:rPr>
                <w:spacing w:val="-6"/>
              </w:rPr>
              <w:t>总</w:t>
            </w:r>
            <w:r>
              <w:t>价合计列入价格汇总表 9-5</w:t>
            </w:r>
          </w:p>
        </w:tc>
        <w:tc>
          <w:tcPr>
            <w:tcW w:w="4760" w:type="dxa"/>
            <w:gridSpan w:val="2"/>
          </w:tcPr>
          <w:p>
            <w:pPr>
              <w:jc w:val="center"/>
            </w:pPr>
            <w:r>
              <w:t>总价合计（不含税）￥    元</w:t>
            </w:r>
          </w:p>
        </w:tc>
      </w:tr>
    </w:tbl>
    <w:p>
      <w:pPr>
        <w:spacing w:before="59" w:line="219" w:lineRule="auto"/>
        <w:ind w:left="211" w:firstLine="442" w:firstLineChars="0"/>
        <w:jc w:val="both"/>
        <w:textAlignment w:val="auto"/>
        <w:rPr>
          <w:rFonts w:ascii="Times New Roman" w:hAnsi="Times New Roman" w:eastAsia="宋体" w:cs="Times New Roman"/>
          <w:spacing w:val="-5"/>
          <w:sz w:val="21"/>
          <w:szCs w:val="21"/>
        </w:rPr>
      </w:pPr>
      <w:r>
        <w:rPr>
          <w:rFonts w:ascii="Times New Roman" w:hAnsi="Times New Roman" w:eastAsia="宋体" w:cs="Times New Roman"/>
          <w:spacing w:val="-5"/>
          <w:sz w:val="21"/>
          <w:szCs w:val="21"/>
        </w:rPr>
        <w:t>注： 1.投标人需另附页给出价格的详细说明。</w:t>
      </w:r>
    </w:p>
    <w:p>
      <w:pPr>
        <w:spacing w:before="59" w:line="219" w:lineRule="auto"/>
        <w:ind w:left="211" w:firstLine="442" w:firstLineChars="0"/>
        <w:jc w:val="both"/>
        <w:textAlignment w:val="auto"/>
        <w:rPr>
          <w:rFonts w:ascii="Times New Roman" w:hAnsi="Times New Roman" w:eastAsia="宋体" w:cs="Times New Roman"/>
          <w:spacing w:val="-5"/>
          <w:sz w:val="21"/>
          <w:szCs w:val="21"/>
        </w:rPr>
      </w:pPr>
      <w:r>
        <w:rPr>
          <w:rFonts w:ascii="Times New Roman" w:hAnsi="Times New Roman" w:eastAsia="宋体" w:cs="Times New Roman"/>
          <w:spacing w:val="-5"/>
          <w:sz w:val="21"/>
          <w:szCs w:val="21"/>
        </w:rPr>
        <w:t>2.如果按单价计算的结果与总价不一致，以单价为准修正总价。</w:t>
      </w:r>
    </w:p>
    <w:p>
      <w:pPr>
        <w:spacing w:before="59" w:line="219" w:lineRule="auto"/>
        <w:ind w:left="211" w:firstLine="442" w:firstLineChars="0"/>
        <w:jc w:val="both"/>
        <w:textAlignment w:val="auto"/>
        <w:rPr>
          <w:rFonts w:ascii="Times New Roman" w:hAnsi="Times New Roman" w:eastAsia="宋体" w:cs="Times New Roman"/>
          <w:spacing w:val="-5"/>
          <w:sz w:val="21"/>
          <w:szCs w:val="21"/>
        </w:rPr>
      </w:pPr>
      <w:r>
        <w:rPr>
          <w:rFonts w:ascii="Times New Roman" w:hAnsi="Times New Roman" w:eastAsia="宋体" w:cs="Times New Roman"/>
          <w:spacing w:val="-5"/>
          <w:sz w:val="21"/>
          <w:szCs w:val="21"/>
        </w:rPr>
        <w:t>3.此分项报价， 仅是为了方便招标人对投标文件进行比较，不作为限制订立合同的条件。</w:t>
      </w:r>
    </w:p>
    <w:p>
      <w:pPr>
        <w:spacing w:before="59" w:line="219" w:lineRule="auto"/>
        <w:ind w:left="211" w:firstLine="442" w:firstLineChars="0"/>
        <w:jc w:val="both"/>
        <w:textAlignment w:val="auto"/>
        <w:rPr>
          <w:rFonts w:ascii="Times New Roman" w:hAnsi="Times New Roman" w:eastAsia="宋体" w:cs="Times New Roman"/>
          <w:spacing w:val="-5"/>
          <w:sz w:val="21"/>
          <w:szCs w:val="21"/>
        </w:rPr>
      </w:pPr>
      <w:r>
        <w:rPr>
          <w:rFonts w:ascii="Times New Roman" w:hAnsi="Times New Roman" w:eastAsia="宋体" w:cs="Times New Roman"/>
          <w:spacing w:val="-5"/>
          <w:sz w:val="21"/>
          <w:szCs w:val="21"/>
        </w:rPr>
        <w:t>4.如上表中的有关费用投标人免费提供，请注明“免费”字样。</w:t>
      </w:r>
    </w:p>
    <w:p>
      <w:pPr>
        <w:spacing w:before="59" w:line="219" w:lineRule="auto"/>
        <w:ind w:left="211" w:firstLine="442" w:firstLineChars="0"/>
        <w:jc w:val="both"/>
        <w:textAlignment w:val="auto"/>
        <w:rPr>
          <w:rFonts w:ascii="Times New Roman" w:hAnsi="Times New Roman" w:eastAsia="宋体" w:cs="Times New Roman"/>
          <w:spacing w:val="-5"/>
          <w:sz w:val="21"/>
          <w:szCs w:val="21"/>
        </w:rPr>
      </w:pPr>
      <w:r>
        <w:rPr>
          <w:rFonts w:ascii="Times New Roman" w:hAnsi="Times New Roman" w:eastAsia="宋体" w:cs="Times New Roman"/>
          <w:spacing w:val="-5"/>
          <w:sz w:val="21"/>
          <w:szCs w:val="21"/>
        </w:rPr>
        <w:t>5.该明细表所有信息均为必填项，不得删减，价格部分不得合并，可细化可增加。</w:t>
      </w:r>
    </w:p>
    <w:p>
      <w:pPr>
        <w:spacing w:before="59" w:line="219" w:lineRule="auto"/>
        <w:ind w:left="211" w:firstLine="442" w:firstLineChars="0"/>
        <w:jc w:val="both"/>
        <w:textAlignment w:val="auto"/>
        <w:rPr>
          <w:rFonts w:ascii="Times New Roman" w:hAnsi="Times New Roman" w:eastAsia="宋体" w:cs="Times New Roman"/>
          <w:spacing w:val="-5"/>
          <w:sz w:val="21"/>
          <w:szCs w:val="21"/>
        </w:rPr>
      </w:pPr>
      <w:r>
        <w:rPr>
          <w:rFonts w:ascii="Times New Roman" w:hAnsi="Times New Roman" w:eastAsia="宋体" w:cs="Times New Roman"/>
          <w:spacing w:val="-5"/>
          <w:sz w:val="21"/>
          <w:szCs w:val="21"/>
        </w:rPr>
        <w:t>6.因填写不规范造成废标及终止招标的，责任由投标人自负。</w:t>
      </w:r>
    </w:p>
    <w:p>
      <w:pPr>
        <w:spacing w:before="140" w:line="220" w:lineRule="auto"/>
        <w:ind w:left="2" w:firstLine="464" w:firstLineChars="200"/>
        <w:jc w:val="both"/>
        <w:textAlignment w:val="auto"/>
        <w:rPr>
          <w:rFonts w:ascii="Times New Roman" w:hAnsi="Times New Roman" w:eastAsia="宋体" w:cs="Times New Roman"/>
          <w:spacing w:val="-4"/>
          <w:sz w:val="24"/>
          <w:szCs w:val="24"/>
        </w:rPr>
      </w:pPr>
      <w:r>
        <w:rPr>
          <w:rFonts w:ascii="Times New Roman" w:hAnsi="Times New Roman" w:eastAsia="宋体" w:cs="Times New Roman"/>
          <w:spacing w:val="-4"/>
          <w:sz w:val="24"/>
          <w:szCs w:val="24"/>
        </w:rPr>
        <w:t>投标人(章)：                               授权代表(签字)：                              年  月  日</w:t>
      </w:r>
    </w:p>
    <w:p/>
    <w:p>
      <w:pPr>
        <w:spacing w:before="140" w:line="220" w:lineRule="auto"/>
        <w:ind w:left="2" w:firstLine="420" w:firstLineChars="200"/>
        <w:jc w:val="both"/>
        <w:textAlignment w:val="auto"/>
        <w:sectPr>
          <w:footerReference r:id="rId22" w:type="default"/>
          <w:pgSz w:w="16841" w:h="11907"/>
          <w:pgMar w:top="400" w:right="1699" w:bottom="1184" w:left="1481" w:header="0" w:footer="1022" w:gutter="0"/>
          <w:cols w:space="720" w:num="1"/>
        </w:sectPr>
      </w:pPr>
    </w:p>
    <w:p>
      <w:pPr>
        <w:spacing w:before="134" w:line="221" w:lineRule="auto"/>
        <w:ind w:left="212" w:firstLine="478" w:firstLineChars="0"/>
        <w:jc w:val="left"/>
        <w:textAlignment w:val="auto"/>
        <w:outlineLvl w:val="2"/>
        <w:rPr>
          <w:rFonts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pPr>
      <w:r>
        <w:rPr>
          <w:rFonts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9-3</w:t>
      </w:r>
    </w:p>
    <w:p>
      <w:pPr>
        <w:rPr>
          <w:sz w:val="31"/>
          <w:szCs w:val="31"/>
        </w:rPr>
      </w:pPr>
      <w:r>
        <w:rPr>
          <w:rFonts w:ascii="Times New Roman" w:hAnsi="Times New Roman" w:eastAsia="宋体" w:cs="Times New Roman"/>
          <w:spacing w:val="10"/>
          <w:sz w:val="24"/>
          <w:szCs w:val="24"/>
          <w14:textOutline w14:w="5791" w14:cap="flat" w14:cmpd="sng" w14:algn="ctr">
            <w14:solidFill>
              <w14:srgbClr w14:val="000000"/>
            </w14:solidFill>
            <w14:prstDash w14:val="solid"/>
            <w14:miter w14:val="0"/>
          </w14:textOutline>
        </w:rPr>
        <w:t>技术服务和培训分项报价表</w:t>
      </w:r>
    </w:p>
    <w:p>
      <w:pPr>
        <w:spacing w:before="134" w:line="221" w:lineRule="auto"/>
        <w:ind w:left="212" w:firstLine="478" w:firstLineChars="0"/>
        <w:jc w:val="both"/>
        <w:textAlignment w:val="auto"/>
      </w:pPr>
      <w:r>
        <w:rPr>
          <w:rFonts w:ascii="Times New Roman" w:hAnsi="Times New Roman" w:eastAsia="宋体" w:cs="Times New Roman"/>
          <w:spacing w:val="-1"/>
          <w:sz w:val="21"/>
          <w:szCs w:val="21"/>
          <w14:textOutline w14:w="3835" w14:cap="flat" w14:cmpd="sng" w14:algn="ctr">
            <w14:solidFill>
              <w14:srgbClr w14:val="000000"/>
            </w14:solidFill>
            <w14:prstDash w14:val="solid"/>
            <w14:miter w14:val="0"/>
          </w14:textOutline>
        </w:rPr>
        <w:t>招标编号：</w:t>
      </w:r>
      <w:r>
        <w:rPr>
          <w:rFonts w:hint="eastAsia" w:ascii="Times New Roman" w:hAnsi="Times New Roman" w:eastAsia="宋体" w:cs="Times New Roman"/>
          <w:spacing w:val="-1"/>
          <w:sz w:val="21"/>
          <w:szCs w:val="21"/>
          <w14:textOutline w14:w="3835" w14:cap="flat" w14:cmpd="sng" w14:algn="ctr">
            <w14:solidFill>
              <w14:srgbClr w14:val="000000"/>
            </w14:solidFill>
            <w14:prstDash w14:val="solid"/>
            <w14:miter w14:val="0"/>
          </w14:textOutline>
        </w:rPr>
        <w:t xml:space="preserve">  </w:t>
      </w:r>
      <w:r>
        <w:rPr>
          <w:rFonts w:ascii="Times New Roman" w:hAnsi="Times New Roman" w:eastAsia="宋体" w:cs="Times New Roman"/>
          <w:spacing w:val="-1"/>
          <w:sz w:val="21"/>
          <w:szCs w:val="21"/>
          <w14:textOutline w14:w="3835" w14:cap="flat" w14:cmpd="sng" w14:algn="ctr">
            <w14:solidFill>
              <w14:srgbClr w14:val="000000"/>
            </w14:solidFill>
            <w14:prstDash w14:val="solid"/>
            <w14:miter w14:val="0"/>
          </w14:textOutline>
        </w:rPr>
        <w:t xml:space="preserve">                                                                                第   页共   页</w:t>
      </w:r>
    </w:p>
    <w:tbl>
      <w:tblPr>
        <w:tblStyle w:val="99"/>
        <w:tblW w:w="13641"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3"/>
        <w:gridCol w:w="3995"/>
        <w:gridCol w:w="1241"/>
        <w:gridCol w:w="1255"/>
        <w:gridCol w:w="2699"/>
        <w:gridCol w:w="3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783" w:type="dxa"/>
          </w:tcPr>
          <w:p>
            <w:pPr>
              <w:ind w:left="0" w:leftChars="0" w:firstLine="0" w:firstLineChars="0"/>
              <w:jc w:val="center"/>
              <w:rPr>
                <w:b/>
                <w:bCs/>
                <w:sz w:val="21"/>
                <w:szCs w:val="21"/>
              </w:rPr>
            </w:pPr>
            <w:r>
              <w:rPr>
                <w:b/>
                <w:bCs/>
                <w:sz w:val="21"/>
                <w:szCs w:val="21"/>
              </w:rPr>
              <w:t>序号</w:t>
            </w:r>
          </w:p>
        </w:tc>
        <w:tc>
          <w:tcPr>
            <w:tcW w:w="3995" w:type="dxa"/>
          </w:tcPr>
          <w:p>
            <w:pPr>
              <w:jc w:val="center"/>
              <w:rPr>
                <w:b/>
                <w:bCs/>
                <w:sz w:val="21"/>
                <w:szCs w:val="21"/>
              </w:rPr>
            </w:pPr>
            <w:r>
              <w:rPr>
                <w:b/>
                <w:bCs/>
                <w:sz w:val="21"/>
                <w:szCs w:val="21"/>
              </w:rPr>
              <w:t>内       容</w:t>
            </w:r>
          </w:p>
        </w:tc>
        <w:tc>
          <w:tcPr>
            <w:tcW w:w="1241" w:type="dxa"/>
          </w:tcPr>
          <w:p>
            <w:pPr>
              <w:jc w:val="center"/>
              <w:rPr>
                <w:b/>
                <w:bCs/>
                <w:sz w:val="21"/>
                <w:szCs w:val="21"/>
              </w:rPr>
            </w:pPr>
            <w:r>
              <w:rPr>
                <w:b/>
                <w:bCs/>
                <w:sz w:val="21"/>
                <w:szCs w:val="21"/>
              </w:rPr>
              <w:t>单位</w:t>
            </w:r>
          </w:p>
        </w:tc>
        <w:tc>
          <w:tcPr>
            <w:tcW w:w="1255" w:type="dxa"/>
          </w:tcPr>
          <w:p>
            <w:pPr>
              <w:jc w:val="center"/>
              <w:rPr>
                <w:b/>
                <w:bCs/>
                <w:sz w:val="21"/>
                <w:szCs w:val="21"/>
              </w:rPr>
            </w:pPr>
            <w:r>
              <w:rPr>
                <w:b/>
                <w:bCs/>
                <w:sz w:val="21"/>
                <w:szCs w:val="21"/>
              </w:rPr>
              <w:t>数量</w:t>
            </w:r>
          </w:p>
        </w:tc>
        <w:tc>
          <w:tcPr>
            <w:tcW w:w="2699" w:type="dxa"/>
          </w:tcPr>
          <w:p>
            <w:pPr>
              <w:jc w:val="center"/>
              <w:rPr>
                <w:b/>
                <w:bCs/>
                <w:sz w:val="21"/>
                <w:szCs w:val="21"/>
              </w:rPr>
            </w:pPr>
            <w:r>
              <w:rPr>
                <w:b/>
                <w:bCs/>
                <w:sz w:val="21"/>
                <w:szCs w:val="21"/>
              </w:rPr>
              <w:t>价格(元)（不含税）</w:t>
            </w:r>
          </w:p>
        </w:tc>
        <w:tc>
          <w:tcPr>
            <w:tcW w:w="3668" w:type="dxa"/>
          </w:tcPr>
          <w:p>
            <w:pPr>
              <w:jc w:val="center"/>
              <w:rPr>
                <w:b/>
                <w:bCs/>
                <w:sz w:val="21"/>
                <w:szCs w:val="21"/>
              </w:rPr>
            </w:pPr>
            <w:r>
              <w:rPr>
                <w:b/>
                <w:bCs/>
                <w:sz w:val="21"/>
                <w:szCs w:val="21"/>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6" w:hRule="atLeast"/>
        </w:trPr>
        <w:tc>
          <w:tcPr>
            <w:tcW w:w="783" w:type="dxa"/>
          </w:tcPr>
          <w:p>
            <w:r>
              <w:t>1</w:t>
            </w:r>
          </w:p>
        </w:tc>
        <w:tc>
          <w:tcPr>
            <w:tcW w:w="3995" w:type="dxa"/>
          </w:tcPr>
          <w:p>
            <w:r>
              <w:t>现场安装</w:t>
            </w:r>
          </w:p>
        </w:tc>
        <w:tc>
          <w:tcPr>
            <w:tcW w:w="1241" w:type="dxa"/>
          </w:tcPr>
          <w:p>
            <w:pPr>
              <w:rPr>
                <w:spacing w:val="-2"/>
              </w:rPr>
            </w:pPr>
            <w:r>
              <w:t>人</w:t>
            </w:r>
            <w:r>
              <w:rPr>
                <w:rFonts w:hint="eastAsia" w:ascii="微软雅黑" w:hAnsi="微软雅黑" w:eastAsia="微软雅黑" w:cs="微软雅黑"/>
              </w:rPr>
              <w:t>▪</w:t>
            </w:r>
            <w:r>
              <w:t>天</w:t>
            </w:r>
          </w:p>
        </w:tc>
        <w:tc>
          <w:tcPr>
            <w:tcW w:w="1255" w:type="dxa"/>
          </w:tcPr>
          <w:p>
            <w:pPr>
              <w:rPr>
                <w:highlight w:val="blue"/>
              </w:rPr>
            </w:pPr>
          </w:p>
        </w:tc>
        <w:tc>
          <w:tcPr>
            <w:tcW w:w="2699" w:type="dxa"/>
          </w:tcPr>
          <w:p/>
        </w:tc>
        <w:tc>
          <w:tcPr>
            <w:tcW w:w="3668" w:type="dxa"/>
          </w:tcPr>
          <w:p>
            <w: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trPr>
        <w:tc>
          <w:tcPr>
            <w:tcW w:w="783" w:type="dxa"/>
          </w:tcPr>
          <w:p>
            <w:r>
              <w:t>2</w:t>
            </w:r>
          </w:p>
        </w:tc>
        <w:tc>
          <w:tcPr>
            <w:tcW w:w="3995" w:type="dxa"/>
          </w:tcPr>
          <w:p>
            <w:r>
              <w:t>现场指导调试、试车</w:t>
            </w:r>
          </w:p>
        </w:tc>
        <w:tc>
          <w:tcPr>
            <w:tcW w:w="1241" w:type="dxa"/>
          </w:tcPr>
          <w:p>
            <w:pPr>
              <w:rPr>
                <w:spacing w:val="-2"/>
              </w:rPr>
            </w:pPr>
            <w:r>
              <w:t>人</w:t>
            </w:r>
            <w:r>
              <w:rPr>
                <w:rFonts w:hint="eastAsia" w:ascii="微软雅黑" w:hAnsi="微软雅黑" w:eastAsia="微软雅黑" w:cs="微软雅黑"/>
              </w:rPr>
              <w:t>▪</w:t>
            </w:r>
            <w:r>
              <w:t>天</w:t>
            </w:r>
          </w:p>
        </w:tc>
        <w:tc>
          <w:tcPr>
            <w:tcW w:w="1255" w:type="dxa"/>
          </w:tcPr>
          <w:p>
            <w:pPr>
              <w:rPr>
                <w:highlight w:val="blue"/>
              </w:rPr>
            </w:pPr>
          </w:p>
        </w:tc>
        <w:tc>
          <w:tcPr>
            <w:tcW w:w="2699" w:type="dxa"/>
          </w:tcPr>
          <w:p/>
        </w:tc>
        <w:tc>
          <w:tcPr>
            <w:tcW w:w="3668" w:type="dxa"/>
          </w:tcPr>
          <w:p>
            <w: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 w:hRule="atLeast"/>
        </w:trPr>
        <w:tc>
          <w:tcPr>
            <w:tcW w:w="783" w:type="dxa"/>
          </w:tcPr>
          <w:p>
            <w:r>
              <w:t>3</w:t>
            </w:r>
          </w:p>
        </w:tc>
        <w:tc>
          <w:tcPr>
            <w:tcW w:w="3995" w:type="dxa"/>
          </w:tcPr>
          <w:p>
            <w:r>
              <w:t>现场技术支持解决技术难题</w:t>
            </w:r>
          </w:p>
        </w:tc>
        <w:tc>
          <w:tcPr>
            <w:tcW w:w="1241" w:type="dxa"/>
          </w:tcPr>
          <w:p>
            <w:pPr>
              <w:rPr>
                <w:spacing w:val="-2"/>
              </w:rPr>
            </w:pPr>
            <w:r>
              <w:t>人</w:t>
            </w:r>
            <w:r>
              <w:rPr>
                <w:rFonts w:hint="eastAsia" w:ascii="微软雅黑" w:hAnsi="微软雅黑" w:eastAsia="微软雅黑" w:cs="微软雅黑"/>
              </w:rPr>
              <w:t>▪</w:t>
            </w:r>
            <w:r>
              <w:t>天</w:t>
            </w:r>
          </w:p>
        </w:tc>
        <w:tc>
          <w:tcPr>
            <w:tcW w:w="1255" w:type="dxa"/>
          </w:tcPr>
          <w:p>
            <w:pPr>
              <w:rPr>
                <w:highlight w:val="blue"/>
              </w:rPr>
            </w:pPr>
          </w:p>
        </w:tc>
        <w:tc>
          <w:tcPr>
            <w:tcW w:w="2699" w:type="dxa"/>
          </w:tcPr>
          <w:p/>
        </w:tc>
        <w:tc>
          <w:tcPr>
            <w:tcW w:w="3668" w:type="dxa"/>
          </w:tcPr>
          <w:p>
            <w: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1" w:hRule="atLeast"/>
        </w:trPr>
        <w:tc>
          <w:tcPr>
            <w:tcW w:w="783" w:type="dxa"/>
          </w:tcPr>
          <w:p>
            <w:r>
              <w:t>4</w:t>
            </w:r>
          </w:p>
        </w:tc>
        <w:tc>
          <w:tcPr>
            <w:tcW w:w="3995" w:type="dxa"/>
          </w:tcPr>
          <w:p>
            <w:r>
              <w:rPr>
                <w:lang w:bidi="ar"/>
              </w:rPr>
              <w:t>企业管理费</w:t>
            </w:r>
          </w:p>
        </w:tc>
        <w:tc>
          <w:tcPr>
            <w:tcW w:w="1241" w:type="dxa"/>
          </w:tcPr>
          <w:p/>
        </w:tc>
        <w:tc>
          <w:tcPr>
            <w:tcW w:w="1255" w:type="dxa"/>
          </w:tcPr>
          <w:p/>
        </w:tc>
        <w:tc>
          <w:tcPr>
            <w:tcW w:w="2699" w:type="dxa"/>
          </w:tcPr>
          <w:p/>
        </w:tc>
        <w:tc>
          <w:tcPr>
            <w:tcW w:w="3668" w:type="dxa"/>
          </w:tcPr>
          <w:p>
            <w: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1" w:hRule="atLeast"/>
        </w:trPr>
        <w:tc>
          <w:tcPr>
            <w:tcW w:w="783" w:type="dxa"/>
          </w:tcPr>
          <w:p/>
        </w:tc>
        <w:tc>
          <w:tcPr>
            <w:tcW w:w="3995" w:type="dxa"/>
          </w:tcPr>
          <w:p>
            <w:pPr>
              <w:rPr>
                <w:spacing w:val="15"/>
              </w:rPr>
            </w:pPr>
            <w:r>
              <w:rPr>
                <w:lang w:bidi="ar"/>
              </w:rPr>
              <w:t>检验检测费</w:t>
            </w:r>
          </w:p>
        </w:tc>
        <w:tc>
          <w:tcPr>
            <w:tcW w:w="1241" w:type="dxa"/>
          </w:tcPr>
          <w:p/>
        </w:tc>
        <w:tc>
          <w:tcPr>
            <w:tcW w:w="1255" w:type="dxa"/>
          </w:tcPr>
          <w:p/>
        </w:tc>
        <w:tc>
          <w:tcPr>
            <w:tcW w:w="2699" w:type="dxa"/>
          </w:tcPr>
          <w:p/>
        </w:tc>
        <w:tc>
          <w:tcPr>
            <w:tcW w:w="3668"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 w:hRule="atLeast"/>
        </w:trPr>
        <w:tc>
          <w:tcPr>
            <w:tcW w:w="783" w:type="dxa"/>
          </w:tcPr>
          <w:p/>
        </w:tc>
        <w:tc>
          <w:tcPr>
            <w:tcW w:w="3995" w:type="dxa"/>
          </w:tcPr>
          <w:p>
            <w:pPr>
              <w:rPr>
                <w:spacing w:val="15"/>
              </w:rPr>
            </w:pPr>
            <w:r>
              <w:t>.......以上不足之处请往下添加序号自行补充</w:t>
            </w:r>
          </w:p>
        </w:tc>
        <w:tc>
          <w:tcPr>
            <w:tcW w:w="1241" w:type="dxa"/>
          </w:tcPr>
          <w:p/>
        </w:tc>
        <w:tc>
          <w:tcPr>
            <w:tcW w:w="1255" w:type="dxa"/>
          </w:tcPr>
          <w:p/>
        </w:tc>
        <w:tc>
          <w:tcPr>
            <w:tcW w:w="2699" w:type="dxa"/>
          </w:tcPr>
          <w:p/>
        </w:tc>
        <w:tc>
          <w:tcPr>
            <w:tcW w:w="3668"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4778" w:type="dxa"/>
            <w:gridSpan w:val="2"/>
          </w:tcPr>
          <w:p>
            <w:pPr>
              <w:jc w:val="center"/>
            </w:pPr>
            <w:r>
              <w:rPr>
                <w:b/>
                <w:bCs/>
              </w:rPr>
              <w:t>总价合计列入价格汇总表 9-5</w:t>
            </w:r>
          </w:p>
        </w:tc>
        <w:tc>
          <w:tcPr>
            <w:tcW w:w="1241" w:type="dxa"/>
            <w:tcBorders>
              <w:right w:val="nil"/>
            </w:tcBorders>
          </w:tcPr>
          <w:p/>
        </w:tc>
        <w:tc>
          <w:tcPr>
            <w:tcW w:w="1255" w:type="dxa"/>
            <w:tcBorders>
              <w:right w:val="nil"/>
            </w:tcBorders>
          </w:tcPr>
          <w:p/>
        </w:tc>
        <w:tc>
          <w:tcPr>
            <w:tcW w:w="2699" w:type="dxa"/>
            <w:tcBorders>
              <w:right w:val="nil"/>
            </w:tcBorders>
          </w:tcPr>
          <w:p>
            <w:pPr>
              <w:ind w:left="0" w:leftChars="0" w:firstLine="0" w:firstLineChars="0"/>
            </w:pPr>
            <w:r>
              <w:rPr>
                <w14:textOutline w14:w="3835" w14:cap="flat" w14:cmpd="sng" w14:algn="ctr">
                  <w14:solidFill>
                    <w14:srgbClr w14:val="000000"/>
                  </w14:solidFill>
                  <w14:prstDash w14:val="solid"/>
                  <w14:miter w14:val="0"/>
                </w14:textOutline>
              </w:rPr>
              <w:t>总价合计</w:t>
            </w:r>
            <w:r>
              <w:rPr>
                <w:b/>
                <w:bCs/>
              </w:rPr>
              <w:t>（不含税）</w:t>
            </w:r>
            <w:r>
              <w:rPr>
                <w14:textOutline w14:w="3835" w14:cap="flat" w14:cmpd="sng" w14:algn="ctr">
                  <w14:solidFill>
                    <w14:srgbClr w14:val="000000"/>
                  </w14:solidFill>
                  <w14:prstDash w14:val="solid"/>
                  <w14:miter w14:val="0"/>
                </w14:textOutline>
              </w:rPr>
              <w:t>￥</w:t>
            </w:r>
          </w:p>
        </w:tc>
        <w:tc>
          <w:tcPr>
            <w:tcW w:w="3668" w:type="dxa"/>
            <w:tcBorders>
              <w:left w:val="nil"/>
            </w:tcBorders>
          </w:tcPr>
          <w:p>
            <w:r>
              <w:t>元</w:t>
            </w:r>
          </w:p>
        </w:tc>
      </w:tr>
    </w:tbl>
    <w:p>
      <w:pPr>
        <w:keepNext w:val="0"/>
        <w:keepLines w:val="0"/>
        <w:pageBreakBefore w:val="0"/>
        <w:widowControl w:val="0"/>
        <w:kinsoku/>
        <w:wordWrap/>
        <w:overflowPunct/>
        <w:topLinePunct w:val="0"/>
        <w:autoSpaceDE/>
        <w:autoSpaceDN/>
        <w:bidi w:val="0"/>
        <w:adjustRightInd/>
        <w:snapToGrid/>
        <w:spacing w:line="240" w:lineRule="auto"/>
        <w:textAlignment w:val="center"/>
      </w:pPr>
      <w:r>
        <w:rPr>
          <w:spacing w:val="-16"/>
        </w:rPr>
        <w:t>注</w:t>
      </w:r>
      <w:r>
        <w:t>： 1.投标人需给出价格的详细说明。</w:t>
      </w:r>
    </w:p>
    <w:p>
      <w:pPr>
        <w:keepNext w:val="0"/>
        <w:keepLines w:val="0"/>
        <w:pageBreakBefore w:val="0"/>
        <w:widowControl w:val="0"/>
        <w:kinsoku/>
        <w:wordWrap/>
        <w:overflowPunct/>
        <w:topLinePunct w:val="0"/>
        <w:autoSpaceDE/>
        <w:autoSpaceDN/>
        <w:bidi w:val="0"/>
        <w:adjustRightInd/>
        <w:snapToGrid/>
        <w:spacing w:line="240" w:lineRule="auto"/>
        <w:ind w:firstLine="792" w:firstLineChars="400"/>
        <w:textAlignment w:val="center"/>
      </w:pPr>
      <w:r>
        <w:rPr>
          <w:spacing w:val="-6"/>
        </w:rPr>
        <w:t>2.如果按单</w:t>
      </w:r>
      <w:r>
        <w:rPr>
          <w:spacing w:val="-5"/>
        </w:rPr>
        <w:t>价</w:t>
      </w:r>
      <w:r>
        <w:t>计算的结果与总价不一致， 以单价为准修正总价。</w:t>
      </w:r>
    </w:p>
    <w:p>
      <w:pPr>
        <w:keepNext w:val="0"/>
        <w:keepLines w:val="0"/>
        <w:pageBreakBefore w:val="0"/>
        <w:widowControl w:val="0"/>
        <w:kinsoku/>
        <w:wordWrap/>
        <w:overflowPunct/>
        <w:topLinePunct w:val="0"/>
        <w:autoSpaceDE/>
        <w:autoSpaceDN/>
        <w:bidi w:val="0"/>
        <w:adjustRightInd/>
        <w:snapToGrid/>
        <w:spacing w:line="240" w:lineRule="auto"/>
        <w:ind w:firstLine="824" w:firstLineChars="400"/>
        <w:textAlignment w:val="center"/>
      </w:pPr>
      <w:r>
        <w:rPr>
          <w:spacing w:val="-2"/>
        </w:rPr>
        <w:t>3.此分项</w:t>
      </w:r>
      <w:r>
        <w:t>报价，仅是为了方便招标人对投标文件进行比较，不作为限制订立合同的条件。</w:t>
      </w:r>
    </w:p>
    <w:p>
      <w:pPr>
        <w:keepNext w:val="0"/>
        <w:keepLines w:val="0"/>
        <w:pageBreakBefore w:val="0"/>
        <w:widowControl w:val="0"/>
        <w:kinsoku/>
        <w:wordWrap/>
        <w:overflowPunct/>
        <w:topLinePunct w:val="0"/>
        <w:autoSpaceDE/>
        <w:autoSpaceDN/>
        <w:bidi w:val="0"/>
        <w:adjustRightInd/>
        <w:snapToGrid/>
        <w:spacing w:line="240" w:lineRule="auto"/>
        <w:ind w:firstLine="840" w:firstLineChars="400"/>
        <w:textAlignment w:val="center"/>
      </w:pPr>
      <w:r>
        <w:t>4.如上表中的有关费用投标人免费提供，请注明“免费”字样。</w:t>
      </w:r>
    </w:p>
    <w:p>
      <w:pPr>
        <w:keepNext w:val="0"/>
        <w:keepLines w:val="0"/>
        <w:pageBreakBefore w:val="0"/>
        <w:widowControl w:val="0"/>
        <w:kinsoku/>
        <w:wordWrap/>
        <w:overflowPunct/>
        <w:topLinePunct w:val="0"/>
        <w:autoSpaceDE/>
        <w:autoSpaceDN/>
        <w:bidi w:val="0"/>
        <w:adjustRightInd/>
        <w:snapToGrid/>
        <w:spacing w:line="240" w:lineRule="auto"/>
        <w:ind w:firstLine="840" w:firstLineChars="400"/>
        <w:textAlignment w:val="center"/>
      </w:pPr>
      <w:r>
        <w:t>5.该明细表所有信息均为必填项，不得删减，价格部分不得合并，可细化可增加。</w:t>
      </w:r>
    </w:p>
    <w:p>
      <w:pPr>
        <w:keepNext w:val="0"/>
        <w:keepLines w:val="0"/>
        <w:pageBreakBefore w:val="0"/>
        <w:widowControl w:val="0"/>
        <w:kinsoku/>
        <w:wordWrap/>
        <w:overflowPunct/>
        <w:topLinePunct w:val="0"/>
        <w:autoSpaceDE/>
        <w:autoSpaceDN/>
        <w:bidi w:val="0"/>
        <w:adjustRightInd/>
        <w:snapToGrid/>
        <w:spacing w:line="240" w:lineRule="auto"/>
        <w:ind w:firstLine="840" w:firstLineChars="400"/>
        <w:textAlignment w:val="center"/>
        <w:rPr>
          <w:rFonts w:hint="eastAsia" w:eastAsia="宋体"/>
          <w:lang w:eastAsia="zh-CN"/>
        </w:rPr>
      </w:pPr>
      <w:r>
        <w:t>6.因填写不规范造成废标及终止招标的，责任由投标人自负</w:t>
      </w:r>
      <w:r>
        <w:rPr>
          <w:rFonts w:hint="eastAsia"/>
          <w:lang w:eastAsia="zh-CN"/>
        </w:rPr>
        <w:t>。</w:t>
      </w:r>
    </w:p>
    <w:p>
      <w:pPr>
        <w:pStyle w:val="21"/>
      </w:pPr>
    </w:p>
    <w:p>
      <w:pPr>
        <w:rPr>
          <w:spacing w:val="-1"/>
          <w:sz w:val="24"/>
          <w:szCs w:val="24"/>
        </w:rPr>
      </w:pPr>
      <w:r>
        <w:rPr>
          <w:spacing w:val="-2"/>
          <w:sz w:val="24"/>
          <w:szCs w:val="24"/>
        </w:rPr>
        <w:t>投标人(章)：</w:t>
      </w:r>
      <w:r>
        <w:rPr>
          <w:spacing w:val="6"/>
        </w:rPr>
        <w:t xml:space="preserve">    </w:t>
      </w:r>
      <w:r>
        <w:t xml:space="preserve">                           </w:t>
      </w:r>
      <w:r>
        <w:rPr>
          <w:spacing w:val="-1"/>
          <w:sz w:val="24"/>
          <w:szCs w:val="24"/>
        </w:rPr>
        <w:t xml:space="preserve">授权代表(签字)： </w:t>
      </w:r>
      <w:r>
        <w:t xml:space="preserve">                             </w:t>
      </w:r>
      <w:r>
        <w:rPr>
          <w:spacing w:val="-1"/>
          <w:sz w:val="24"/>
          <w:szCs w:val="24"/>
        </w:rPr>
        <w:t>年  月  日</w:t>
      </w:r>
    </w:p>
    <w:p/>
    <w:p>
      <w:pPr>
        <w:sectPr>
          <w:footerReference r:id="rId23" w:type="default"/>
          <w:pgSz w:w="16841" w:h="11907"/>
          <w:pgMar w:top="400" w:right="1699" w:bottom="1184" w:left="1481" w:header="0" w:footer="1022" w:gutter="0"/>
          <w:cols w:space="720" w:num="1"/>
        </w:sectPr>
      </w:pPr>
    </w:p>
    <w:p>
      <w:pPr>
        <w:spacing w:before="134" w:line="221" w:lineRule="auto"/>
        <w:ind w:left="212" w:firstLine="478" w:firstLineChars="0"/>
        <w:jc w:val="left"/>
        <w:textAlignment w:val="auto"/>
        <w:outlineLvl w:val="2"/>
        <w:rPr>
          <w:rFonts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pPr>
      <w:r>
        <w:rPr>
          <w:rFonts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9-4</w:t>
      </w:r>
    </w:p>
    <w:p>
      <w:pPr>
        <w:spacing w:before="125" w:line="294" w:lineRule="auto"/>
        <w:ind w:left="6150" w:right="1626" w:firstLine="562" w:firstLineChars="0"/>
        <w:jc w:val="both"/>
        <w:textAlignment w:val="auto"/>
        <w:rPr>
          <w:rFonts w:ascii="Times New Roman" w:hAnsi="Times New Roman" w:eastAsia="宋体" w:cs="Times New Roman"/>
          <w:spacing w:val="20"/>
          <w:sz w:val="24"/>
          <w:szCs w:val="24"/>
          <w14:textOutline w14:w="5791" w14:cap="flat" w14:cmpd="sng" w14:algn="ctr">
            <w14:solidFill>
              <w14:srgbClr w14:val="000000"/>
            </w14:solidFill>
            <w14:prstDash w14:val="solid"/>
            <w14:miter w14:val="0"/>
          </w14:textOutline>
        </w:rPr>
      </w:pPr>
      <w:r>
        <w:rPr>
          <w:rFonts w:ascii="Times New Roman" w:hAnsi="Times New Roman" w:eastAsia="宋体" w:cs="Times New Roman"/>
          <w:spacing w:val="20"/>
          <w:sz w:val="24"/>
          <w:szCs w:val="24"/>
          <w14:textOutline w14:w="5791" w14:cap="flat" w14:cmpd="sng" w14:algn="ctr">
            <w14:solidFill>
              <w14:srgbClr w14:val="000000"/>
            </w14:solidFill>
            <w14:prstDash w14:val="solid"/>
            <w14:miter w14:val="0"/>
          </w14:textOutline>
        </w:rPr>
        <w:t>质保期内随机标准附件及易损件、备品备件、专用工具、专用检测仪器仪表 分项报价表</w:t>
      </w:r>
    </w:p>
    <w:p>
      <w:pPr>
        <w:rPr>
          <w:rFonts w:ascii="Times New Roman" w:hAnsi="Times New Roman" w:eastAsia="宋体" w:cs="Times New Roman"/>
          <w:spacing w:val="-1"/>
          <w:sz w:val="21"/>
          <w:szCs w:val="21"/>
          <w14:textOutline w14:w="3835" w14:cap="flat" w14:cmpd="sng" w14:algn="ctr">
            <w14:solidFill>
              <w14:srgbClr w14:val="000000"/>
            </w14:solidFill>
            <w14:prstDash w14:val="solid"/>
            <w14:miter w14:val="0"/>
          </w14:textOutline>
        </w:rPr>
      </w:pPr>
      <w:r>
        <w:rPr>
          <w:spacing w:val="-1"/>
          <w14:textOutline w14:w="3835" w14:cap="flat" w14:cmpd="sng" w14:algn="ctr">
            <w14:solidFill>
              <w14:srgbClr w14:val="000000"/>
            </w14:solidFill>
            <w14:prstDash w14:val="solid"/>
            <w14:miter w14:val="0"/>
          </w14:textOutline>
        </w:rPr>
        <w:t>招</w:t>
      </w:r>
      <w:r>
        <w:rPr>
          <w:rFonts w:ascii="Times New Roman" w:hAnsi="Times New Roman" w:eastAsia="宋体" w:cs="Times New Roman"/>
          <w:spacing w:val="-1"/>
          <w:sz w:val="21"/>
          <w:szCs w:val="21"/>
          <w14:textOutline w14:w="3835" w14:cap="flat" w14:cmpd="sng" w14:algn="ctr">
            <w14:solidFill>
              <w14:srgbClr w14:val="000000"/>
            </w14:solidFill>
            <w14:prstDash w14:val="solid"/>
            <w14:miter w14:val="0"/>
          </w14:textOutline>
        </w:rPr>
        <w:t>标编号：</w:t>
      </w:r>
      <w:r>
        <w:rPr>
          <w:rFonts w:hint="eastAsia" w:ascii="Times New Roman" w:hAnsi="Times New Roman" w:eastAsia="宋体" w:cs="Times New Roman"/>
          <w:spacing w:val="-1"/>
          <w:sz w:val="21"/>
          <w:szCs w:val="21"/>
          <w14:textOutline w14:w="3835" w14:cap="flat" w14:cmpd="sng" w14:algn="ctr">
            <w14:solidFill>
              <w14:srgbClr w14:val="000000"/>
            </w14:solidFill>
            <w14:prstDash w14:val="solid"/>
            <w14:miter w14:val="0"/>
          </w14:textOutline>
        </w:rPr>
        <w:t xml:space="preserve"> </w:t>
      </w:r>
      <w:r>
        <w:rPr>
          <w:rFonts w:ascii="Times New Roman" w:hAnsi="Times New Roman" w:eastAsia="宋体" w:cs="Times New Roman"/>
          <w:spacing w:val="-1"/>
          <w:sz w:val="21"/>
          <w:szCs w:val="21"/>
          <w14:textOutline w14:w="3835" w14:cap="flat" w14:cmpd="sng" w14:algn="ctr">
            <w14:solidFill>
              <w14:srgbClr w14:val="000000"/>
            </w14:solidFill>
            <w14:prstDash w14:val="solid"/>
            <w14:miter w14:val="0"/>
          </w14:textOutline>
        </w:rPr>
        <w:t xml:space="preserve">                                                                                              第   页共   页</w:t>
      </w:r>
    </w:p>
    <w:tbl>
      <w:tblPr>
        <w:tblStyle w:val="99"/>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1940"/>
        <w:gridCol w:w="1770"/>
        <w:gridCol w:w="1888"/>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ind w:left="0" w:leftChars="0" w:firstLine="0" w:firstLineChars="0"/>
              <w:jc w:val="center"/>
              <w:rPr>
                <w:b/>
                <w:bCs/>
              </w:rPr>
            </w:pPr>
            <w:r>
              <w:rPr>
                <w:b/>
                <w:bCs/>
              </w:rPr>
              <w:t>1</w:t>
            </w:r>
          </w:p>
        </w:tc>
        <w:tc>
          <w:tcPr>
            <w:tcW w:w="2543" w:type="dxa"/>
          </w:tcPr>
          <w:p>
            <w:pPr>
              <w:jc w:val="center"/>
              <w:rPr>
                <w:b/>
                <w:bCs/>
              </w:rPr>
            </w:pPr>
            <w:r>
              <w:rPr>
                <w:b/>
                <w:bCs/>
              </w:rPr>
              <w:t>2</w:t>
            </w:r>
          </w:p>
        </w:tc>
        <w:tc>
          <w:tcPr>
            <w:tcW w:w="2100" w:type="dxa"/>
          </w:tcPr>
          <w:p>
            <w:pPr>
              <w:jc w:val="center"/>
              <w:rPr>
                <w:b/>
                <w:bCs/>
              </w:rPr>
            </w:pPr>
            <w:r>
              <w:rPr>
                <w:b/>
                <w:bCs/>
              </w:rPr>
              <w:t>3</w:t>
            </w:r>
          </w:p>
        </w:tc>
        <w:tc>
          <w:tcPr>
            <w:tcW w:w="840" w:type="dxa"/>
          </w:tcPr>
          <w:p>
            <w:pPr>
              <w:jc w:val="center"/>
              <w:rPr>
                <w:b/>
                <w:bCs/>
              </w:rPr>
            </w:pPr>
            <w:r>
              <w:rPr>
                <w:b/>
                <w:bCs/>
              </w:rPr>
              <w:t>4</w:t>
            </w:r>
          </w:p>
        </w:tc>
        <w:tc>
          <w:tcPr>
            <w:tcW w:w="1940" w:type="dxa"/>
          </w:tcPr>
          <w:p>
            <w:pPr>
              <w:jc w:val="center"/>
              <w:rPr>
                <w:b/>
                <w:bCs/>
              </w:rPr>
            </w:pPr>
            <w:r>
              <w:rPr>
                <w:b/>
                <w:bCs/>
              </w:rPr>
              <w:t>5</w:t>
            </w:r>
          </w:p>
        </w:tc>
        <w:tc>
          <w:tcPr>
            <w:tcW w:w="1770" w:type="dxa"/>
          </w:tcPr>
          <w:p>
            <w:pPr>
              <w:jc w:val="center"/>
              <w:rPr>
                <w:b/>
                <w:bCs/>
              </w:rPr>
            </w:pPr>
            <w:r>
              <w:rPr>
                <w:b/>
                <w:bCs/>
              </w:rPr>
              <w:t>6</w:t>
            </w:r>
          </w:p>
        </w:tc>
        <w:tc>
          <w:tcPr>
            <w:tcW w:w="1888" w:type="dxa"/>
          </w:tcPr>
          <w:p>
            <w:pPr>
              <w:jc w:val="center"/>
              <w:rPr>
                <w:b/>
                <w:bCs/>
              </w:rPr>
            </w:pPr>
            <w:r>
              <w:rPr>
                <w:b/>
                <w:bCs/>
              </w:rPr>
              <w:t>7</w:t>
            </w:r>
          </w:p>
        </w:tc>
        <w:tc>
          <w:tcPr>
            <w:tcW w:w="1120" w:type="dxa"/>
          </w:tcPr>
          <w:p>
            <w:pPr>
              <w:jc w:val="center"/>
              <w:rPr>
                <w:b/>
                <w:bCs/>
              </w:rPr>
            </w:pPr>
            <w:r>
              <w:rPr>
                <w:b/>
                <w:bCs/>
              </w:rPr>
              <w:t>8</w:t>
            </w:r>
          </w:p>
        </w:tc>
        <w:tc>
          <w:tcPr>
            <w:tcW w:w="1125" w:type="dxa"/>
          </w:tcPr>
          <w:p>
            <w:pPr>
              <w:jc w:val="center"/>
              <w:rPr>
                <w:b/>
                <w:bCs/>
              </w:rPr>
            </w:pPr>
            <w:r>
              <w:rPr>
                <w:b/>
                <w:bCs/>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tcPr>
          <w:p>
            <w:pPr>
              <w:rPr>
                <w:b/>
                <w:bCs/>
                <w:sz w:val="21"/>
                <w:szCs w:val="21"/>
              </w:rPr>
            </w:pPr>
            <w:r>
              <w:rPr>
                <w:b/>
                <w:bCs/>
                <w:sz w:val="21"/>
                <w:szCs w:val="21"/>
              </w:rPr>
              <w:t>序 号</w:t>
            </w:r>
          </w:p>
        </w:tc>
        <w:tc>
          <w:tcPr>
            <w:tcW w:w="2543" w:type="dxa"/>
          </w:tcPr>
          <w:p>
            <w:pPr>
              <w:rPr>
                <w:b/>
                <w:bCs/>
                <w:sz w:val="21"/>
                <w:szCs w:val="21"/>
              </w:rPr>
            </w:pPr>
            <w:r>
              <w:rPr>
                <w:b/>
                <w:bCs/>
                <w:spacing w:val="-1"/>
                <w:sz w:val="21"/>
                <w:szCs w:val="21"/>
              </w:rPr>
              <w:t>备件或</w:t>
            </w:r>
            <w:r>
              <w:rPr>
                <w:b/>
                <w:bCs/>
                <w:sz w:val="21"/>
                <w:szCs w:val="21"/>
              </w:rPr>
              <w:t>工具名称</w:t>
            </w:r>
          </w:p>
        </w:tc>
        <w:tc>
          <w:tcPr>
            <w:tcW w:w="2100" w:type="dxa"/>
          </w:tcPr>
          <w:p>
            <w:pPr>
              <w:rPr>
                <w:b/>
                <w:bCs/>
                <w:sz w:val="21"/>
                <w:szCs w:val="21"/>
              </w:rPr>
            </w:pPr>
            <w:r>
              <w:rPr>
                <w:b/>
                <w:bCs/>
                <w:sz w:val="21"/>
                <w:szCs w:val="21"/>
              </w:rPr>
              <w:t>型号和</w:t>
            </w:r>
            <w:r>
              <w:rPr>
                <w:b/>
                <w:bCs/>
                <w:spacing w:val="-1"/>
                <w:sz w:val="21"/>
                <w:szCs w:val="21"/>
              </w:rPr>
              <w:t>规格</w:t>
            </w:r>
          </w:p>
        </w:tc>
        <w:tc>
          <w:tcPr>
            <w:tcW w:w="840" w:type="dxa"/>
          </w:tcPr>
          <w:p>
            <w:pPr>
              <w:rPr>
                <w:b/>
                <w:bCs/>
                <w:sz w:val="21"/>
                <w:szCs w:val="21"/>
              </w:rPr>
            </w:pPr>
            <w:r>
              <w:rPr>
                <w:b/>
                <w:bCs/>
                <w:sz w:val="21"/>
                <w:szCs w:val="21"/>
              </w:rPr>
              <w:t>数量</w:t>
            </w:r>
          </w:p>
        </w:tc>
        <w:tc>
          <w:tcPr>
            <w:tcW w:w="1940" w:type="dxa"/>
          </w:tcPr>
          <w:p>
            <w:pPr>
              <w:rPr>
                <w:b/>
                <w:bCs/>
                <w:sz w:val="21"/>
                <w:szCs w:val="21"/>
              </w:rPr>
            </w:pPr>
            <w:r>
              <w:rPr>
                <w:b/>
                <w:bCs/>
                <w:sz w:val="21"/>
                <w:szCs w:val="21"/>
              </w:rPr>
              <w:t>原产地</w:t>
            </w:r>
            <w:r>
              <w:rPr>
                <w:b/>
                <w:bCs/>
                <w:spacing w:val="-1"/>
                <w:sz w:val="21"/>
                <w:szCs w:val="21"/>
              </w:rPr>
              <w:t>和</w:t>
            </w:r>
          </w:p>
          <w:p>
            <w:pPr>
              <w:rPr>
                <w:b/>
                <w:bCs/>
                <w:sz w:val="21"/>
                <w:szCs w:val="21"/>
              </w:rPr>
            </w:pPr>
            <w:r>
              <w:rPr>
                <w:b/>
                <w:bCs/>
                <w:sz w:val="21"/>
                <w:szCs w:val="21"/>
              </w:rPr>
              <w:t>制造商名称</w:t>
            </w:r>
          </w:p>
        </w:tc>
        <w:tc>
          <w:tcPr>
            <w:tcW w:w="1770" w:type="dxa"/>
          </w:tcPr>
          <w:p>
            <w:pPr>
              <w:ind w:left="0" w:leftChars="0" w:firstLine="0" w:firstLineChars="0"/>
              <w:rPr>
                <w:b/>
                <w:bCs/>
                <w:sz w:val="21"/>
                <w:szCs w:val="21"/>
              </w:rPr>
            </w:pPr>
            <w:r>
              <w:rPr>
                <w:b/>
                <w:bCs/>
                <w:spacing w:val="1"/>
                <w:sz w:val="21"/>
                <w:szCs w:val="21"/>
              </w:rPr>
              <w:t>单</w:t>
            </w:r>
            <w:r>
              <w:rPr>
                <w:b/>
                <w:bCs/>
                <w:sz w:val="21"/>
                <w:szCs w:val="21"/>
              </w:rPr>
              <w:t>价（不含税）</w:t>
            </w:r>
          </w:p>
          <w:p>
            <w:pPr>
              <w:rPr>
                <w:b/>
                <w:bCs/>
                <w:sz w:val="21"/>
                <w:szCs w:val="21"/>
              </w:rPr>
            </w:pPr>
            <w:r>
              <w:rPr>
                <w:b/>
                <w:bCs/>
                <w:spacing w:val="-16"/>
                <w:sz w:val="21"/>
                <w:szCs w:val="21"/>
              </w:rPr>
              <w:t>(</w:t>
            </w:r>
            <w:r>
              <w:rPr>
                <w:b/>
                <w:bCs/>
                <w:sz w:val="21"/>
                <w:szCs w:val="21"/>
              </w:rPr>
              <w:t>元)</w:t>
            </w:r>
          </w:p>
        </w:tc>
        <w:tc>
          <w:tcPr>
            <w:tcW w:w="1888" w:type="dxa"/>
          </w:tcPr>
          <w:p>
            <w:pPr>
              <w:rPr>
                <w:b/>
                <w:bCs/>
                <w:sz w:val="21"/>
                <w:szCs w:val="21"/>
              </w:rPr>
            </w:pPr>
            <w:r>
              <w:rPr>
                <w:b/>
                <w:bCs/>
                <w:spacing w:val="-1"/>
                <w:sz w:val="21"/>
                <w:szCs w:val="21"/>
              </w:rPr>
              <w:t>总价[</w:t>
            </w:r>
            <w:r>
              <w:rPr>
                <w:b/>
                <w:bCs/>
                <w:sz w:val="21"/>
                <w:szCs w:val="21"/>
              </w:rPr>
              <w:t>4×6]</w:t>
            </w:r>
            <w:r>
              <w:rPr>
                <w:b/>
                <w:bCs/>
                <w:spacing w:val="-3"/>
                <w:sz w:val="21"/>
                <w:szCs w:val="21"/>
              </w:rPr>
              <w:t>（不含税）</w:t>
            </w:r>
          </w:p>
          <w:p>
            <w:pPr>
              <w:rPr>
                <w:b/>
                <w:bCs/>
                <w:sz w:val="21"/>
                <w:szCs w:val="21"/>
              </w:rPr>
            </w:pPr>
            <w:r>
              <w:rPr>
                <w:b/>
                <w:bCs/>
                <w:spacing w:val="27"/>
                <w:sz w:val="21"/>
                <w:szCs w:val="21"/>
              </w:rPr>
              <w:t>(</w:t>
            </w:r>
            <w:r>
              <w:rPr>
                <w:b/>
                <w:bCs/>
                <w:sz w:val="21"/>
                <w:szCs w:val="21"/>
              </w:rPr>
              <w:t>元)</w:t>
            </w:r>
          </w:p>
        </w:tc>
        <w:tc>
          <w:tcPr>
            <w:tcW w:w="1120" w:type="dxa"/>
          </w:tcPr>
          <w:p>
            <w:pPr>
              <w:rPr>
                <w:b/>
                <w:bCs/>
                <w:sz w:val="21"/>
                <w:szCs w:val="21"/>
              </w:rPr>
            </w:pPr>
            <w:r>
              <w:rPr>
                <w:b/>
                <w:bCs/>
                <w:sz w:val="21"/>
                <w:szCs w:val="21"/>
              </w:rPr>
              <w:t>更</w:t>
            </w:r>
            <w:r>
              <w:rPr>
                <w:b/>
                <w:bCs/>
                <w:spacing w:val="-2"/>
                <w:sz w:val="21"/>
                <w:szCs w:val="21"/>
              </w:rPr>
              <w:t>换</w:t>
            </w:r>
          </w:p>
          <w:p>
            <w:pPr>
              <w:rPr>
                <w:b/>
                <w:bCs/>
                <w:sz w:val="21"/>
                <w:szCs w:val="21"/>
              </w:rPr>
            </w:pPr>
            <w:r>
              <w:rPr>
                <w:b/>
                <w:bCs/>
                <w:sz w:val="21"/>
                <w:szCs w:val="21"/>
              </w:rPr>
              <w:t>周期</w:t>
            </w:r>
          </w:p>
        </w:tc>
        <w:tc>
          <w:tcPr>
            <w:tcW w:w="1125" w:type="dxa"/>
          </w:tcPr>
          <w:p>
            <w:pPr>
              <w:rPr>
                <w:b/>
                <w:bCs/>
                <w:sz w:val="21"/>
                <w:szCs w:val="21"/>
              </w:rPr>
            </w:pPr>
            <w:r>
              <w:rPr>
                <w:b/>
                <w:bCs/>
                <w:spacing w:val="-1"/>
                <w:sz w:val="21"/>
                <w:szCs w:val="21"/>
                <w14:textOutline w14:w="3835" w14:cap="flat" w14:cmpd="sng" w14:algn="ctr">
                  <w14:solidFill>
                    <w14:srgbClr w14:val="000000"/>
                  </w14:solidFill>
                  <w14:prstDash w14:val="solid"/>
                  <w14:miter w14:val="0"/>
                </w14:textOutline>
              </w:rPr>
              <w:t>备</w:t>
            </w:r>
            <w:r>
              <w:rPr>
                <w:b/>
                <w:bCs/>
                <w:sz w:val="21"/>
                <w:szCs w:val="21"/>
              </w:rPr>
              <w:t xml:space="preserve">  </w:t>
            </w:r>
            <w:r>
              <w:rPr>
                <w:b/>
                <w:bCs/>
                <w:sz w:val="21"/>
                <w:szCs w:val="21"/>
                <w14:textOutline w14:w="3835" w14:cap="flat" w14:cmpd="sng" w14:algn="ctr">
                  <w14:solidFill>
                    <w14:srgbClr w14:val="000000"/>
                  </w14:solidFill>
                  <w14:prstDash w14:val="solid"/>
                  <w14:miter w14:val="0"/>
                </w14:textOutline>
              </w:rPr>
              <w:t>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98"/>
              <w:spacing w:before="60" w:after="60"/>
            </w:pPr>
            <w:r>
              <w:t>1</w:t>
            </w:r>
          </w:p>
        </w:tc>
        <w:tc>
          <w:tcPr>
            <w:tcW w:w="2543" w:type="dxa"/>
            <w:vAlign w:val="center"/>
          </w:tcPr>
          <w:p>
            <w:pPr>
              <w:pStyle w:val="98"/>
              <w:spacing w:before="60" w:after="60"/>
              <w:rPr>
                <w:highlight w:val="blue"/>
              </w:rPr>
            </w:pPr>
          </w:p>
        </w:tc>
        <w:tc>
          <w:tcPr>
            <w:tcW w:w="2100" w:type="dxa"/>
            <w:vAlign w:val="center"/>
          </w:tcPr>
          <w:p>
            <w:pPr>
              <w:rPr>
                <w:highlight w:val="blue"/>
              </w:rPr>
            </w:pPr>
          </w:p>
        </w:tc>
        <w:tc>
          <w:tcPr>
            <w:tcW w:w="840" w:type="dxa"/>
            <w:vAlign w:val="center"/>
          </w:tcPr>
          <w:p/>
        </w:tc>
        <w:tc>
          <w:tcPr>
            <w:tcW w:w="1940" w:type="dxa"/>
          </w:tcPr>
          <w:p/>
        </w:tc>
        <w:tc>
          <w:tcPr>
            <w:tcW w:w="1770" w:type="dxa"/>
          </w:tcPr>
          <w:p/>
        </w:tc>
        <w:tc>
          <w:tcPr>
            <w:tcW w:w="1888" w:type="dxa"/>
          </w:tcPr>
          <w:p/>
        </w:tc>
        <w:tc>
          <w:tcPr>
            <w:tcW w:w="1120" w:type="dxa"/>
          </w:tcPr>
          <w:p/>
        </w:tc>
        <w:tc>
          <w:tcPr>
            <w:tcW w:w="112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98"/>
              <w:spacing w:before="60" w:after="60"/>
            </w:pPr>
            <w:r>
              <w:t>2</w:t>
            </w:r>
          </w:p>
        </w:tc>
        <w:tc>
          <w:tcPr>
            <w:tcW w:w="2543" w:type="dxa"/>
            <w:vAlign w:val="center"/>
          </w:tcPr>
          <w:p>
            <w:pPr>
              <w:pStyle w:val="98"/>
              <w:spacing w:before="60" w:after="60"/>
              <w:rPr>
                <w:highlight w:val="blue"/>
              </w:rPr>
            </w:pPr>
          </w:p>
        </w:tc>
        <w:tc>
          <w:tcPr>
            <w:tcW w:w="2100" w:type="dxa"/>
            <w:vAlign w:val="center"/>
          </w:tcPr>
          <w:p>
            <w:pPr>
              <w:rPr>
                <w:highlight w:val="blue"/>
              </w:rPr>
            </w:pPr>
          </w:p>
        </w:tc>
        <w:tc>
          <w:tcPr>
            <w:tcW w:w="840" w:type="dxa"/>
            <w:vAlign w:val="center"/>
          </w:tcPr>
          <w:p/>
        </w:tc>
        <w:tc>
          <w:tcPr>
            <w:tcW w:w="1940" w:type="dxa"/>
          </w:tcPr>
          <w:p/>
        </w:tc>
        <w:tc>
          <w:tcPr>
            <w:tcW w:w="1770" w:type="dxa"/>
          </w:tcPr>
          <w:p/>
        </w:tc>
        <w:tc>
          <w:tcPr>
            <w:tcW w:w="1888" w:type="dxa"/>
          </w:tcPr>
          <w:p/>
        </w:tc>
        <w:tc>
          <w:tcPr>
            <w:tcW w:w="1120" w:type="dxa"/>
          </w:tcPr>
          <w:p/>
        </w:tc>
        <w:tc>
          <w:tcPr>
            <w:tcW w:w="112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vAlign w:val="center"/>
          </w:tcPr>
          <w:p>
            <w:pPr>
              <w:pStyle w:val="98"/>
              <w:spacing w:before="60" w:after="60"/>
            </w:pPr>
            <w:r>
              <w:t>3</w:t>
            </w:r>
          </w:p>
        </w:tc>
        <w:tc>
          <w:tcPr>
            <w:tcW w:w="2543" w:type="dxa"/>
            <w:vAlign w:val="center"/>
          </w:tcPr>
          <w:p>
            <w:pPr>
              <w:pStyle w:val="98"/>
              <w:spacing w:before="60" w:after="60"/>
              <w:rPr>
                <w:highlight w:val="blue"/>
              </w:rPr>
            </w:pPr>
          </w:p>
        </w:tc>
        <w:tc>
          <w:tcPr>
            <w:tcW w:w="2100" w:type="dxa"/>
            <w:vAlign w:val="center"/>
          </w:tcPr>
          <w:p>
            <w:pPr>
              <w:rPr>
                <w:highlight w:val="blue"/>
              </w:rPr>
            </w:pPr>
          </w:p>
        </w:tc>
        <w:tc>
          <w:tcPr>
            <w:tcW w:w="840" w:type="dxa"/>
            <w:vAlign w:val="center"/>
          </w:tcPr>
          <w:p/>
        </w:tc>
        <w:tc>
          <w:tcPr>
            <w:tcW w:w="1940" w:type="dxa"/>
          </w:tcPr>
          <w:p/>
        </w:tc>
        <w:tc>
          <w:tcPr>
            <w:tcW w:w="1770" w:type="dxa"/>
          </w:tcPr>
          <w:p/>
        </w:tc>
        <w:tc>
          <w:tcPr>
            <w:tcW w:w="1888" w:type="dxa"/>
          </w:tcPr>
          <w:p/>
        </w:tc>
        <w:tc>
          <w:tcPr>
            <w:tcW w:w="1120" w:type="dxa"/>
          </w:tcPr>
          <w:p/>
        </w:tc>
        <w:tc>
          <w:tcPr>
            <w:tcW w:w="112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5" w:hRule="atLeast"/>
        </w:trPr>
        <w:tc>
          <w:tcPr>
            <w:tcW w:w="509" w:type="dxa"/>
            <w:vAlign w:val="center"/>
          </w:tcPr>
          <w:p>
            <w:pPr>
              <w:pStyle w:val="98"/>
              <w:spacing w:before="60" w:after="60"/>
            </w:pPr>
            <w:r>
              <w:t>4</w:t>
            </w:r>
          </w:p>
        </w:tc>
        <w:tc>
          <w:tcPr>
            <w:tcW w:w="2543" w:type="dxa"/>
            <w:vAlign w:val="center"/>
          </w:tcPr>
          <w:p>
            <w:pPr>
              <w:pStyle w:val="98"/>
              <w:spacing w:before="60" w:after="60"/>
              <w:rPr>
                <w:highlight w:val="blue"/>
              </w:rPr>
            </w:pPr>
          </w:p>
        </w:tc>
        <w:tc>
          <w:tcPr>
            <w:tcW w:w="2100" w:type="dxa"/>
            <w:vAlign w:val="center"/>
          </w:tcPr>
          <w:p>
            <w:pPr>
              <w:rPr>
                <w:highlight w:val="blue"/>
              </w:rPr>
            </w:pPr>
          </w:p>
        </w:tc>
        <w:tc>
          <w:tcPr>
            <w:tcW w:w="840" w:type="dxa"/>
            <w:vAlign w:val="center"/>
          </w:tcPr>
          <w:p/>
        </w:tc>
        <w:tc>
          <w:tcPr>
            <w:tcW w:w="1940" w:type="dxa"/>
          </w:tcPr>
          <w:p/>
        </w:tc>
        <w:tc>
          <w:tcPr>
            <w:tcW w:w="1770" w:type="dxa"/>
          </w:tcPr>
          <w:p/>
        </w:tc>
        <w:tc>
          <w:tcPr>
            <w:tcW w:w="1888" w:type="dxa"/>
          </w:tcPr>
          <w:p/>
        </w:tc>
        <w:tc>
          <w:tcPr>
            <w:tcW w:w="1120" w:type="dxa"/>
          </w:tcPr>
          <w:p/>
        </w:tc>
        <w:tc>
          <w:tcPr>
            <w:tcW w:w="112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vAlign w:val="center"/>
          </w:tcPr>
          <w:p>
            <w:pPr>
              <w:pStyle w:val="98"/>
              <w:spacing w:before="60" w:after="60"/>
            </w:pPr>
            <w:r>
              <w:t>5</w:t>
            </w:r>
          </w:p>
        </w:tc>
        <w:tc>
          <w:tcPr>
            <w:tcW w:w="2543" w:type="dxa"/>
            <w:vAlign w:val="center"/>
          </w:tcPr>
          <w:p>
            <w:pPr>
              <w:pStyle w:val="98"/>
              <w:spacing w:before="60" w:after="60"/>
              <w:rPr>
                <w:highlight w:val="blue"/>
              </w:rPr>
            </w:pPr>
            <w:r>
              <w:t>.......以上不足之处请往下添加序号自行补充</w:t>
            </w:r>
          </w:p>
        </w:tc>
        <w:tc>
          <w:tcPr>
            <w:tcW w:w="2100" w:type="dxa"/>
            <w:vAlign w:val="center"/>
          </w:tcPr>
          <w:p>
            <w:pPr>
              <w:rPr>
                <w:highlight w:val="blue"/>
              </w:rPr>
            </w:pPr>
          </w:p>
        </w:tc>
        <w:tc>
          <w:tcPr>
            <w:tcW w:w="840" w:type="dxa"/>
            <w:vAlign w:val="center"/>
          </w:tcPr>
          <w:p/>
        </w:tc>
        <w:tc>
          <w:tcPr>
            <w:tcW w:w="1940" w:type="dxa"/>
          </w:tcPr>
          <w:p/>
        </w:tc>
        <w:tc>
          <w:tcPr>
            <w:tcW w:w="1770" w:type="dxa"/>
          </w:tcPr>
          <w:p/>
        </w:tc>
        <w:tc>
          <w:tcPr>
            <w:tcW w:w="1888" w:type="dxa"/>
          </w:tcPr>
          <w:p/>
        </w:tc>
        <w:tc>
          <w:tcPr>
            <w:tcW w:w="1120" w:type="dxa"/>
          </w:tcPr>
          <w:p/>
        </w:tc>
        <w:tc>
          <w:tcPr>
            <w:tcW w:w="112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02" w:type="dxa"/>
            <w:gridSpan w:val="6"/>
          </w:tcPr>
          <w:p>
            <w:pPr>
              <w:jc w:val="center"/>
            </w:pPr>
            <w:r>
              <w:rPr>
                <w:spacing w:val="-6"/>
              </w:rPr>
              <w:t>总</w:t>
            </w:r>
            <w:r>
              <w:t>价合计列入价格汇总表 9-5</w:t>
            </w:r>
          </w:p>
        </w:tc>
        <w:tc>
          <w:tcPr>
            <w:tcW w:w="4133" w:type="dxa"/>
            <w:gridSpan w:val="3"/>
          </w:tcPr>
          <w:p>
            <w:r>
              <w:t>总价合计（不含税）￥    元</w:t>
            </w:r>
          </w:p>
        </w:tc>
      </w:tr>
    </w:tbl>
    <w:p/>
    <w:p>
      <w:pPr>
        <w:spacing w:before="69" w:line="219" w:lineRule="auto"/>
        <w:ind w:firstLine="470" w:firstLineChars="0"/>
        <w:jc w:val="both"/>
        <w:textAlignment w:val="auto"/>
        <w:rPr>
          <w:rFonts w:ascii="Times New Roman" w:hAnsi="Times New Roman" w:eastAsia="宋体" w:cs="Times New Roman"/>
          <w:spacing w:val="-3"/>
          <w:sz w:val="21"/>
          <w:szCs w:val="21"/>
        </w:rPr>
      </w:pPr>
      <w:r>
        <w:rPr>
          <w:rFonts w:ascii="Times New Roman" w:hAnsi="Times New Roman" w:eastAsia="宋体" w:cs="Times New Roman"/>
          <w:spacing w:val="-3"/>
          <w:sz w:val="21"/>
          <w:szCs w:val="21"/>
        </w:rPr>
        <w:t>注：1.本表须详细列出质保期内全部随机备品备件和专用工具等的详细价格。</w:t>
      </w:r>
    </w:p>
    <w:p>
      <w:pPr>
        <w:spacing w:before="69" w:line="219" w:lineRule="auto"/>
        <w:ind w:firstLine="470" w:firstLineChars="0"/>
        <w:jc w:val="both"/>
        <w:textAlignment w:val="auto"/>
        <w:rPr>
          <w:rFonts w:ascii="Times New Roman" w:hAnsi="Times New Roman" w:eastAsia="宋体" w:cs="Times New Roman"/>
          <w:spacing w:val="-3"/>
          <w:sz w:val="21"/>
          <w:szCs w:val="21"/>
        </w:rPr>
      </w:pPr>
      <w:r>
        <w:rPr>
          <w:rFonts w:ascii="Times New Roman" w:hAnsi="Times New Roman" w:eastAsia="宋体" w:cs="Times New Roman"/>
          <w:spacing w:val="-3"/>
          <w:sz w:val="21"/>
          <w:szCs w:val="21"/>
        </w:rPr>
        <w:t>2.如果按单价计算的结果与总价不一致， 以单价为准修正总价。</w:t>
      </w:r>
    </w:p>
    <w:p>
      <w:pPr>
        <w:spacing w:before="69" w:line="219" w:lineRule="auto"/>
        <w:ind w:firstLine="470" w:firstLineChars="0"/>
        <w:jc w:val="both"/>
        <w:textAlignment w:val="auto"/>
        <w:rPr>
          <w:rFonts w:ascii="Times New Roman" w:hAnsi="Times New Roman" w:eastAsia="宋体" w:cs="Times New Roman"/>
          <w:spacing w:val="-3"/>
          <w:sz w:val="21"/>
          <w:szCs w:val="21"/>
        </w:rPr>
      </w:pPr>
      <w:r>
        <w:rPr>
          <w:rFonts w:ascii="Times New Roman" w:hAnsi="Times New Roman" w:eastAsia="宋体" w:cs="Times New Roman"/>
          <w:spacing w:val="-3"/>
          <w:sz w:val="21"/>
          <w:szCs w:val="21"/>
        </w:rPr>
        <w:t>3.此分项报价， 仅是为了方便招标人对投标文件进行比较，不作为限制订立合同的条件。</w:t>
      </w:r>
    </w:p>
    <w:p>
      <w:pPr>
        <w:spacing w:before="69" w:line="219" w:lineRule="auto"/>
        <w:ind w:firstLine="470" w:firstLineChars="0"/>
        <w:jc w:val="both"/>
        <w:textAlignment w:val="auto"/>
        <w:rPr>
          <w:rFonts w:ascii="Times New Roman" w:hAnsi="Times New Roman" w:eastAsia="宋体" w:cs="Times New Roman"/>
          <w:spacing w:val="-3"/>
          <w:sz w:val="21"/>
          <w:szCs w:val="21"/>
        </w:rPr>
      </w:pPr>
      <w:r>
        <w:rPr>
          <w:rFonts w:ascii="Times New Roman" w:hAnsi="Times New Roman" w:eastAsia="宋体" w:cs="Times New Roman"/>
          <w:spacing w:val="-3"/>
          <w:sz w:val="21"/>
          <w:szCs w:val="21"/>
        </w:rPr>
        <w:t>4.如上表中的有关费用投标人免费提供，请注明“免费”字样。</w:t>
      </w:r>
    </w:p>
    <w:p>
      <w:pPr>
        <w:spacing w:before="69" w:line="219" w:lineRule="auto"/>
        <w:ind w:firstLine="470" w:firstLineChars="0"/>
        <w:jc w:val="both"/>
        <w:textAlignment w:val="auto"/>
        <w:rPr>
          <w:rFonts w:ascii="Times New Roman" w:hAnsi="Times New Roman" w:eastAsia="宋体" w:cs="Times New Roman"/>
          <w:spacing w:val="-3"/>
          <w:sz w:val="21"/>
          <w:szCs w:val="21"/>
        </w:rPr>
      </w:pPr>
      <w:r>
        <w:rPr>
          <w:rFonts w:ascii="Times New Roman" w:hAnsi="Times New Roman" w:eastAsia="宋体" w:cs="Times New Roman"/>
          <w:spacing w:val="-3"/>
          <w:sz w:val="21"/>
          <w:szCs w:val="21"/>
        </w:rPr>
        <w:t>5.该明细表所有信息均为必填项，不得删减，价格部分不得合并，可细化可增加。</w:t>
      </w:r>
    </w:p>
    <w:p>
      <w:pPr>
        <w:spacing w:before="69" w:line="219" w:lineRule="auto"/>
        <w:ind w:firstLine="470" w:firstLineChars="0"/>
        <w:jc w:val="both"/>
        <w:textAlignment w:val="auto"/>
        <w:rPr>
          <w:rFonts w:ascii="Times New Roman" w:hAnsi="Times New Roman" w:eastAsia="宋体" w:cs="Times New Roman"/>
          <w:spacing w:val="-3"/>
          <w:sz w:val="21"/>
          <w:szCs w:val="21"/>
        </w:rPr>
      </w:pPr>
      <w:r>
        <w:rPr>
          <w:rFonts w:ascii="Times New Roman" w:hAnsi="Times New Roman" w:eastAsia="宋体" w:cs="Times New Roman"/>
          <w:spacing w:val="-3"/>
          <w:sz w:val="21"/>
          <w:szCs w:val="21"/>
        </w:rPr>
        <w:t>6.因填写不规范造成废标及终止招标的，责任由投标人自负。</w:t>
      </w:r>
    </w:p>
    <w:p/>
    <w:p>
      <w:pPr>
        <w:rPr>
          <w:spacing w:val="-2"/>
          <w:sz w:val="24"/>
          <w:szCs w:val="24"/>
        </w:rPr>
      </w:pPr>
      <w:r>
        <w:rPr>
          <w:spacing w:val="-4"/>
          <w:sz w:val="24"/>
          <w:szCs w:val="24"/>
        </w:rPr>
        <w:t xml:space="preserve">投标人(章)： </w:t>
      </w:r>
      <w:r>
        <w:rPr>
          <w:spacing w:val="6"/>
          <w:sz w:val="24"/>
          <w:szCs w:val="24"/>
        </w:rPr>
        <w:t xml:space="preserve">    </w:t>
      </w:r>
      <w:r>
        <w:rPr>
          <w:spacing w:val="4"/>
          <w:sz w:val="24"/>
          <w:szCs w:val="24"/>
        </w:rPr>
        <w:t xml:space="preserve"> </w:t>
      </w:r>
      <w:r>
        <w:rPr>
          <w:sz w:val="24"/>
          <w:szCs w:val="24"/>
        </w:rPr>
        <w:t xml:space="preserve">  </w:t>
      </w:r>
      <w:r>
        <w:t xml:space="preserve">                      </w:t>
      </w:r>
      <w:r>
        <w:rPr>
          <w:spacing w:val="-2"/>
          <w:sz w:val="24"/>
          <w:szCs w:val="24"/>
        </w:rPr>
        <w:t xml:space="preserve">授权代表(签字)：  </w:t>
      </w:r>
      <w:r>
        <w:t xml:space="preserve">                         </w:t>
      </w:r>
      <w:r>
        <w:rPr>
          <w:sz w:val="24"/>
          <w:szCs w:val="24"/>
        </w:rPr>
        <w:t xml:space="preserve">  </w:t>
      </w:r>
      <w:r>
        <w:rPr>
          <w:spacing w:val="-2"/>
          <w:sz w:val="24"/>
          <w:szCs w:val="24"/>
        </w:rPr>
        <w:t>年  月  日</w:t>
      </w:r>
    </w:p>
    <w:p>
      <w:r>
        <w:br w:type="page"/>
      </w:r>
    </w:p>
    <w:p>
      <w:pPr>
        <w:spacing w:before="24" w:line="221" w:lineRule="auto"/>
        <w:ind w:left="211" w:firstLine="478"/>
        <w:jc w:val="left"/>
        <w:outlineLvl w:val="2"/>
        <w:rPr>
          <w:rFonts w:ascii="Times New Roman" w:hAnsi="Times New Roman" w:eastAsia="宋体" w:cs="Times New Roman"/>
          <w:spacing w:val="-1"/>
          <w:sz w:val="24"/>
          <w:szCs w:val="21"/>
        </w:rPr>
      </w:pPr>
      <w:r>
        <w:rPr>
          <w:rFonts w:ascii="Times New Roman" w:hAnsi="Times New Roman" w:eastAsia="宋体" w:cs="Times New Roman"/>
          <w:spacing w:val="-1"/>
          <w:sz w:val="24"/>
          <w:szCs w:val="21"/>
          <w14:textOutline w14:w="3835" w14:cap="flat" w14:cmpd="sng" w14:algn="ctr">
            <w14:solidFill>
              <w14:srgbClr w14:val="000000"/>
            </w14:solidFill>
            <w14:prstDash w14:val="solid"/>
            <w14:miter w14:val="0"/>
          </w14:textOutline>
        </w:rPr>
        <w:t>表 9-5</w:t>
      </w:r>
    </w:p>
    <w:p>
      <w:pPr>
        <w:spacing w:before="253" w:line="224" w:lineRule="auto"/>
        <w:ind w:left="6488" w:firstLine="518"/>
        <w:rPr>
          <w:rFonts w:ascii="Times New Roman" w:hAnsi="Times New Roman" w:eastAsia="宋体" w:cs="Times New Roman"/>
          <w:sz w:val="31"/>
          <w:szCs w:val="31"/>
        </w:rPr>
      </w:pPr>
      <w:r>
        <w:rPr>
          <w:rFonts w:ascii="Times New Roman" w:hAnsi="Times New Roman" w:eastAsia="宋体" w:cs="Times New Roman"/>
          <w:spacing w:val="9"/>
          <w:sz w:val="24"/>
          <w:szCs w:val="24"/>
          <w14:textOutline w14:w="5791" w14:cap="flat" w14:cmpd="sng" w14:algn="ctr">
            <w14:solidFill>
              <w14:srgbClr w14:val="000000"/>
            </w14:solidFill>
            <w14:prstDash w14:val="solid"/>
            <w14:miter w14:val="0"/>
          </w14:textOutline>
        </w:rPr>
        <w:t>价</w:t>
      </w:r>
      <w:r>
        <w:rPr>
          <w:rFonts w:ascii="Times New Roman" w:hAnsi="Times New Roman" w:eastAsia="宋体" w:cs="Times New Roman"/>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478" w:firstLineChars="0"/>
        <w:jc w:val="both"/>
        <w:textAlignment w:val="auto"/>
      </w:pPr>
      <w:r>
        <w:rPr>
          <w:rFonts w:ascii="Times New Roman" w:hAnsi="Times New Roman" w:eastAsia="宋体" w:cs="Times New Roman"/>
          <w:spacing w:val="-1"/>
          <w:sz w:val="21"/>
          <w:szCs w:val="21"/>
          <w14:textOutline w14:w="3835" w14:cap="flat" w14:cmpd="sng" w14:algn="ctr">
            <w14:solidFill>
              <w14:srgbClr w14:val="000000"/>
            </w14:solidFill>
            <w14:prstDash w14:val="solid"/>
            <w14:miter w14:val="0"/>
          </w14:textOutline>
        </w:rPr>
        <w:t>招标编号：</w:t>
      </w:r>
      <w:r>
        <w:rPr>
          <w:rFonts w:hint="eastAsia" w:ascii="Times New Roman" w:hAnsi="Times New Roman" w:eastAsia="宋体" w:cs="Times New Roman"/>
          <w:spacing w:val="-1"/>
          <w:sz w:val="21"/>
          <w:szCs w:val="21"/>
          <w14:textOutline w14:w="3835" w14:cap="flat" w14:cmpd="sng" w14:algn="ctr">
            <w14:solidFill>
              <w14:srgbClr w14:val="000000"/>
            </w14:solidFill>
            <w14:prstDash w14:val="solid"/>
            <w14:miter w14:val="0"/>
          </w14:textOutline>
        </w:rPr>
        <w:t xml:space="preserve">            </w:t>
      </w:r>
      <w:r>
        <w:rPr>
          <w:rFonts w:ascii="Times New Roman" w:hAnsi="Times New Roman" w:eastAsia="宋体" w:cs="Times New Roman"/>
          <w:spacing w:val="-1"/>
          <w:sz w:val="21"/>
          <w:szCs w:val="21"/>
          <w14:textOutline w14:w="3835" w14:cap="flat" w14:cmpd="sng" w14:algn="ctr">
            <w14:solidFill>
              <w14:srgbClr w14:val="000000"/>
            </w14:solidFill>
            <w14:prstDash w14:val="solid"/>
            <w14:miter w14:val="0"/>
          </w14:textOutline>
        </w:rPr>
        <w:t xml:space="preserve">                                                                                第   页共   页</w:t>
      </w:r>
    </w:p>
    <w:tbl>
      <w:tblPr>
        <w:tblStyle w:val="99"/>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r>
              <w:t>序</w:t>
            </w:r>
            <w:r>
              <w:rPr>
                <w:spacing w:val="-1"/>
              </w:rPr>
              <w:t>号</w:t>
            </w:r>
          </w:p>
        </w:tc>
        <w:tc>
          <w:tcPr>
            <w:tcW w:w="5765" w:type="dxa"/>
          </w:tcPr>
          <w:p>
            <w:r>
              <w:rPr>
                <w:spacing w:val="-6"/>
              </w:rPr>
              <w:t>内</w:t>
            </w:r>
            <w:r>
              <w:t xml:space="preserve">   容</w:t>
            </w:r>
          </w:p>
        </w:tc>
        <w:tc>
          <w:tcPr>
            <w:tcW w:w="3354" w:type="dxa"/>
          </w:tcPr>
          <w:p>
            <w:r>
              <w:rPr>
                <w:spacing w:val="18"/>
              </w:rPr>
              <w:t>总</w:t>
            </w:r>
            <w:r>
              <w:rPr>
                <w:spacing w:val="14"/>
              </w:rPr>
              <w:t>价(元)</w:t>
            </w:r>
            <w:r>
              <w:rPr>
                <w14:textOutline w14:w="3835" w14:cap="flat" w14:cmpd="sng" w14:algn="ctr">
                  <w14:solidFill>
                    <w14:srgbClr w14:val="000000"/>
                  </w14:solidFill>
                  <w14:prstDash w14:val="solid"/>
                  <w14:miter w14:val="0"/>
                </w14:textOutline>
              </w:rPr>
              <w:t>（不含税）</w:t>
            </w:r>
          </w:p>
        </w:tc>
        <w:tc>
          <w:tcPr>
            <w:tcW w:w="3362" w:type="dxa"/>
          </w:tcPr>
          <w:p>
            <w:r>
              <w:rPr>
                <w:spacing w:val="-1"/>
              </w:rPr>
              <w:t>备</w:t>
            </w:r>
            <w: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r>
              <w:t>1</w:t>
            </w:r>
          </w:p>
        </w:tc>
        <w:tc>
          <w:tcPr>
            <w:tcW w:w="5765" w:type="dxa"/>
          </w:tcPr>
          <w:p>
            <w:r>
              <w:rPr>
                <w:spacing w:val="-17"/>
              </w:rPr>
              <w:t>表</w:t>
            </w:r>
            <w:r>
              <w:t xml:space="preserve"> 9-</w:t>
            </w:r>
            <w:r>
              <w:rPr>
                <w:rFonts w:eastAsia="Times New Roman"/>
              </w:rPr>
              <w:t xml:space="preserve"> 1 </w:t>
            </w:r>
            <w:r>
              <w:t>总计</w:t>
            </w:r>
          </w:p>
        </w:tc>
        <w:tc>
          <w:tcPr>
            <w:tcW w:w="3354" w:type="dxa"/>
          </w:tcPr>
          <w:p/>
        </w:tc>
        <w:tc>
          <w:tcPr>
            <w:tcW w:w="336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r>
              <w:t>2</w:t>
            </w:r>
          </w:p>
        </w:tc>
        <w:tc>
          <w:tcPr>
            <w:tcW w:w="5765" w:type="dxa"/>
          </w:tcPr>
          <w:p>
            <w:r>
              <w:rPr>
                <w:spacing w:val="-11"/>
              </w:rPr>
              <w:t>表</w:t>
            </w:r>
            <w:r>
              <w:t xml:space="preserve"> 9-</w:t>
            </w:r>
            <w:r>
              <w:rPr>
                <w:rFonts w:eastAsia="Times New Roman"/>
              </w:rPr>
              <w:t xml:space="preserve">2 </w:t>
            </w:r>
            <w:r>
              <w:t>总计</w:t>
            </w:r>
          </w:p>
        </w:tc>
        <w:tc>
          <w:tcPr>
            <w:tcW w:w="3354" w:type="dxa"/>
          </w:tcPr>
          <w:p/>
        </w:tc>
        <w:tc>
          <w:tcPr>
            <w:tcW w:w="336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
            <w:r>
              <w:t>3</w:t>
            </w:r>
          </w:p>
        </w:tc>
        <w:tc>
          <w:tcPr>
            <w:tcW w:w="5765" w:type="dxa"/>
          </w:tcPr>
          <w:p>
            <w:r>
              <w:rPr>
                <w:spacing w:val="-11"/>
              </w:rPr>
              <w:t>表</w:t>
            </w:r>
            <w:r>
              <w:t xml:space="preserve"> 9</w:t>
            </w:r>
            <w:r>
              <w:rPr>
                <w:rFonts w:eastAsia="Times New Roman"/>
              </w:rPr>
              <w:t xml:space="preserve">-3 </w:t>
            </w:r>
            <w:r>
              <w:t>总计</w:t>
            </w:r>
          </w:p>
        </w:tc>
        <w:tc>
          <w:tcPr>
            <w:tcW w:w="3354" w:type="dxa"/>
          </w:tcPr>
          <w:p/>
        </w:tc>
        <w:tc>
          <w:tcPr>
            <w:tcW w:w="336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r>
              <w:t>4</w:t>
            </w:r>
          </w:p>
        </w:tc>
        <w:tc>
          <w:tcPr>
            <w:tcW w:w="5765" w:type="dxa"/>
          </w:tcPr>
          <w:p>
            <w:r>
              <w:rPr>
                <w:spacing w:val="-11"/>
              </w:rPr>
              <w:t>表</w:t>
            </w:r>
            <w:r>
              <w:t xml:space="preserve"> 9</w:t>
            </w:r>
            <w:r>
              <w:rPr>
                <w:rFonts w:eastAsia="Times New Roman"/>
              </w:rPr>
              <w:t xml:space="preserve">-4 </w:t>
            </w:r>
            <w:r>
              <w:t>总计</w:t>
            </w:r>
          </w:p>
        </w:tc>
        <w:tc>
          <w:tcPr>
            <w:tcW w:w="3354" w:type="dxa"/>
          </w:tcPr>
          <w:p/>
        </w:tc>
        <w:tc>
          <w:tcPr>
            <w:tcW w:w="336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jc w:val="center"/>
              <w:rPr>
                <w:b/>
                <w:bCs/>
              </w:rPr>
            </w:pPr>
            <w:r>
              <w:rPr>
                <w:b/>
                <w:bCs/>
              </w:rPr>
              <w:t>总价合计(列入投标货物数量及价目表 )</w:t>
            </w:r>
          </w:p>
        </w:tc>
        <w:tc>
          <w:tcPr>
            <w:tcW w:w="3354" w:type="dxa"/>
            <w:tcBorders>
              <w:right w:val="nil"/>
            </w:tcBorders>
          </w:tcPr>
          <w:p>
            <w:r>
              <w:t>总价合计</w:t>
            </w:r>
            <w:r>
              <w:rPr>
                <w:b/>
                <w:bCs/>
                <w:spacing w:val="-3"/>
              </w:rPr>
              <w:t>（不含税）</w:t>
            </w:r>
            <w:r>
              <w:t xml:space="preserve">￥    </w:t>
            </w:r>
          </w:p>
        </w:tc>
        <w:tc>
          <w:tcPr>
            <w:tcW w:w="3362" w:type="dxa"/>
            <w:tcBorders>
              <w:left w:val="nil"/>
            </w:tcBorders>
          </w:tcPr>
          <w:p>
            <w: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jc w:val="center"/>
              <w:rPr>
                <w:b/>
                <w:bCs/>
              </w:rPr>
            </w:pPr>
            <w:r>
              <w:rPr>
                <w:b/>
                <w:bCs/>
              </w:rPr>
              <w:t>总价合计(列入投标货物数量及价目表 )</w:t>
            </w:r>
          </w:p>
        </w:tc>
        <w:tc>
          <w:tcPr>
            <w:tcW w:w="3354" w:type="dxa"/>
            <w:tcBorders>
              <w:right w:val="nil"/>
            </w:tcBorders>
          </w:tcPr>
          <w:p>
            <w:r>
              <w:t>总价合计</w:t>
            </w:r>
            <w:r>
              <w:rPr>
                <w:b/>
                <w:bCs/>
                <w:spacing w:val="-3"/>
              </w:rPr>
              <w:t>（含税）</w:t>
            </w:r>
            <w:r>
              <w:t xml:space="preserve">￥    </w:t>
            </w:r>
          </w:p>
        </w:tc>
        <w:tc>
          <w:tcPr>
            <w:tcW w:w="3362" w:type="dxa"/>
            <w:tcBorders>
              <w:left w:val="nil"/>
            </w:tcBorders>
          </w:tcPr>
          <w:p>
            <w:r>
              <w:t>元 （税率：</w:t>
            </w:r>
            <w:r>
              <w:rPr>
                <w:u w:val="single"/>
              </w:rPr>
              <w:t xml:space="preserve">   </w:t>
            </w:r>
            <w:r>
              <w:t>%）</w:t>
            </w:r>
          </w:p>
        </w:tc>
      </w:tr>
    </w:tbl>
    <w:p>
      <w:pPr>
        <w:spacing w:before="78" w:line="198" w:lineRule="auto"/>
        <w:ind w:left="211" w:firstLine="202" w:firstLineChars="100"/>
        <w:jc w:val="both"/>
        <w:textAlignment w:val="auto"/>
        <w:rPr>
          <w:rFonts w:ascii="Times New Roman" w:hAnsi="Times New Roman" w:eastAsia="宋体" w:cs="Times New Roman"/>
          <w:spacing w:val="-4"/>
          <w:sz w:val="21"/>
          <w:szCs w:val="21"/>
        </w:rPr>
      </w:pPr>
    </w:p>
    <w:p>
      <w:pPr>
        <w:spacing w:before="78" w:line="198" w:lineRule="auto"/>
        <w:ind w:left="211" w:firstLine="202" w:firstLineChars="100"/>
        <w:jc w:val="both"/>
        <w:textAlignment w:val="auto"/>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注：  1.此表格中的总价合计应与“投标货物数量及价目表”及开标一览表的价格一致。</w:t>
      </w:r>
    </w:p>
    <w:p>
      <w:pPr>
        <w:spacing w:before="78" w:line="198" w:lineRule="auto"/>
        <w:ind w:left="211" w:firstLine="202" w:firstLineChars="100"/>
        <w:jc w:val="both"/>
        <w:textAlignment w:val="auto"/>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2.该明细表所有信息均为必填项，不得删减，价格部分不得合并，可细化可增加。</w:t>
      </w:r>
    </w:p>
    <w:p>
      <w:pPr>
        <w:spacing w:before="78" w:line="198" w:lineRule="auto"/>
        <w:ind w:left="211" w:firstLine="202" w:firstLineChars="100"/>
        <w:jc w:val="both"/>
        <w:textAlignment w:val="auto"/>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3.因填写不规范造成废标及终止招标的，责任由投标人自负。</w:t>
      </w:r>
    </w:p>
    <w:p>
      <w:pPr>
        <w:pStyle w:val="21"/>
      </w:pPr>
    </w:p>
    <w:p>
      <w:pPr>
        <w:pStyle w:val="21"/>
      </w:pPr>
    </w:p>
    <w:p>
      <w:pPr>
        <w:rPr>
          <w:spacing w:val="-2"/>
          <w:sz w:val="24"/>
          <w:szCs w:val="24"/>
        </w:rPr>
      </w:pPr>
      <w:r>
        <w:rPr>
          <w:spacing w:val="-4"/>
          <w:sz w:val="24"/>
          <w:szCs w:val="24"/>
        </w:rPr>
        <w:t xml:space="preserve">投标人(章)： </w:t>
      </w:r>
      <w:r>
        <w:rPr>
          <w:spacing w:val="6"/>
          <w:sz w:val="24"/>
          <w:szCs w:val="24"/>
        </w:rPr>
        <w:t xml:space="preserve"> </w:t>
      </w:r>
      <w:r>
        <w:rPr>
          <w:spacing w:val="6"/>
        </w:rPr>
        <w:t xml:space="preserve">  </w:t>
      </w:r>
      <w:r>
        <w:t xml:space="preserve">                         </w:t>
      </w:r>
      <w:r>
        <w:rPr>
          <w:sz w:val="24"/>
          <w:szCs w:val="24"/>
        </w:rPr>
        <w:t xml:space="preserve"> </w:t>
      </w:r>
      <w:r>
        <w:rPr>
          <w:spacing w:val="-2"/>
          <w:sz w:val="24"/>
          <w:szCs w:val="24"/>
        </w:rPr>
        <w:t xml:space="preserve"> 授权代表(签字)：</w:t>
      </w:r>
      <w:r>
        <w:rPr>
          <w:spacing w:val="-2"/>
        </w:rPr>
        <w:t xml:space="preserve">     </w:t>
      </w:r>
      <w:r>
        <w:t xml:space="preserve">                       </w:t>
      </w:r>
      <w:r>
        <w:rPr>
          <w:sz w:val="24"/>
          <w:szCs w:val="24"/>
        </w:rPr>
        <w:t xml:space="preserve">  </w:t>
      </w:r>
      <w:r>
        <w:rPr>
          <w:spacing w:val="-2"/>
          <w:sz w:val="24"/>
          <w:szCs w:val="24"/>
        </w:rPr>
        <w:t>年  月  日</w:t>
      </w:r>
    </w:p>
    <w:p/>
    <w:p>
      <w:pPr>
        <w:sectPr>
          <w:footerReference r:id="rId24" w:type="default"/>
          <w:pgSz w:w="16841" w:h="11907"/>
          <w:pgMar w:top="400" w:right="1699" w:bottom="1168" w:left="1481" w:header="0" w:footer="990" w:gutter="0"/>
          <w:cols w:equalWidth="0" w:num="1">
            <w:col w:w="13660"/>
          </w:cols>
        </w:sectPr>
      </w:pPr>
    </w:p>
    <w:p>
      <w:pPr>
        <w:keepNext/>
        <w:keepLines/>
        <w:spacing w:line="240" w:lineRule="auto"/>
        <w:ind w:firstLine="0" w:firstLineChars="0"/>
        <w:jc w:val="both"/>
        <w:textAlignment w:val="auto"/>
        <w:outlineLvl w:val="1"/>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附件10 商务条款偏离表</w:t>
      </w:r>
    </w:p>
    <w:p/>
    <w:tbl>
      <w:tblPr>
        <w:tblStyle w:val="4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b/>
                <w:bCs/>
                <w:sz w:val="21"/>
                <w:szCs w:val="21"/>
              </w:rPr>
            </w:pPr>
            <w:r>
              <w:rPr>
                <w:b/>
                <w:bCs/>
                <w:sz w:val="21"/>
                <w:szCs w:val="21"/>
              </w:rPr>
              <w:t>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b/>
                <w:bCs/>
                <w:sz w:val="21"/>
                <w:szCs w:val="21"/>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r>
              <w:rPr>
                <w:b/>
                <w:bCs/>
                <w:sz w:val="21"/>
                <w:szCs w:val="21"/>
              </w:rPr>
              <w:t>响应规格</w:t>
            </w:r>
          </w:p>
        </w:tc>
        <w:tc>
          <w:tcPr>
            <w:tcW w:w="1645" w:type="dxa"/>
            <w:tcBorders>
              <w:top w:val="single" w:color="auto" w:sz="4" w:space="0"/>
              <w:left w:val="single" w:color="auto" w:sz="4" w:space="0"/>
              <w:bottom w:val="single" w:color="auto" w:sz="4" w:space="0"/>
            </w:tcBorders>
            <w:vAlign w:val="center"/>
          </w:tcPr>
          <w:p>
            <w:pPr>
              <w:jc w:val="center"/>
              <w:rPr>
                <w:b/>
                <w:bCs/>
                <w:sz w:val="21"/>
                <w:szCs w:val="21"/>
              </w:rPr>
            </w:pPr>
            <w:r>
              <w:rPr>
                <w:b/>
                <w:bCs/>
                <w:sz w:val="21"/>
                <w:szCs w:val="21"/>
              </w:rPr>
              <w:t>是否偏离</w:t>
            </w:r>
          </w:p>
          <w:p>
            <w:pPr>
              <w:jc w:val="center"/>
              <w:rPr>
                <w:b/>
                <w:bCs/>
                <w:sz w:val="21"/>
                <w:szCs w:val="21"/>
              </w:rPr>
            </w:pPr>
            <w:r>
              <w:rPr>
                <w:b/>
                <w:bCs/>
                <w:sz w:val="21"/>
                <w:szCs w:val="21"/>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b/>
                <w:bCs/>
                <w:sz w:val="21"/>
                <w:szCs w:val="21"/>
              </w:rPr>
            </w:pPr>
            <w:r>
              <w:rPr>
                <w:b/>
                <w:bCs/>
                <w:sz w:val="21"/>
                <w:szCs w:val="21"/>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p>
        </w:tc>
        <w:tc>
          <w:tcPr>
            <w:tcW w:w="1645" w:type="dxa"/>
            <w:tcBorders>
              <w:top w:val="single" w:color="auto" w:sz="4" w:space="0"/>
              <w:left w:val="single" w:color="auto" w:sz="4" w:space="0"/>
              <w:bottom w:val="single" w:color="auto" w:sz="4" w:space="0"/>
            </w:tcBorders>
            <w:vAlign w:val="center"/>
          </w:tcPr>
          <w:p>
            <w:pPr>
              <w:jc w:val="center"/>
              <w:rPr>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ind w:left="0" w:leftChars="0" w:firstLine="0" w:firstLineChars="0"/>
              <w:jc w:val="center"/>
              <w:rPr>
                <w:b/>
                <w:bCs/>
                <w:sz w:val="21"/>
                <w:szCs w:val="21"/>
              </w:rPr>
            </w:pPr>
            <w:r>
              <w:rPr>
                <w:b/>
                <w:bCs/>
                <w:sz w:val="21"/>
                <w:szCs w:val="21"/>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p>
        </w:tc>
        <w:tc>
          <w:tcPr>
            <w:tcW w:w="1645" w:type="dxa"/>
            <w:tcBorders>
              <w:top w:val="single" w:color="auto" w:sz="4" w:space="0"/>
              <w:left w:val="single" w:color="auto" w:sz="4" w:space="0"/>
              <w:bottom w:val="single" w:color="auto" w:sz="4" w:space="0"/>
            </w:tcBorders>
            <w:vAlign w:val="center"/>
          </w:tcPr>
          <w:p>
            <w:pPr>
              <w:jc w:val="center"/>
              <w:rPr>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b/>
                <w:bCs/>
                <w:sz w:val="21"/>
                <w:szCs w:val="21"/>
              </w:rPr>
            </w:pPr>
            <w:r>
              <w:rPr>
                <w:b/>
                <w:bCs/>
                <w:sz w:val="21"/>
                <w:szCs w:val="21"/>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b/>
                <w:bCs/>
                <w:sz w:val="21"/>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b/>
                <w:bCs/>
                <w:sz w:val="21"/>
                <w:szCs w:val="21"/>
              </w:rPr>
            </w:pPr>
          </w:p>
        </w:tc>
        <w:tc>
          <w:tcPr>
            <w:tcW w:w="1645" w:type="dxa"/>
            <w:tcBorders>
              <w:top w:val="single" w:color="auto" w:sz="4" w:space="0"/>
              <w:left w:val="single" w:color="auto" w:sz="4" w:space="0"/>
              <w:bottom w:val="single" w:color="auto" w:sz="4" w:space="0"/>
            </w:tcBorders>
            <w:vAlign w:val="center"/>
          </w:tcPr>
          <w:p>
            <w:pPr>
              <w:jc w:val="center"/>
              <w:rPr>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ind w:left="0" w:leftChars="0" w:firstLine="0" w:firstLineChars="0"/>
              <w:jc w:val="both"/>
              <w:rPr>
                <w:b/>
                <w:bCs/>
                <w:sz w:val="21"/>
                <w:szCs w:val="21"/>
              </w:rPr>
            </w:pPr>
            <w:r>
              <w:rPr>
                <w:b/>
                <w:bCs/>
                <w:sz w:val="21"/>
                <w:szCs w:val="21"/>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b/>
                <w:bCs/>
                <w:sz w:val="21"/>
                <w:szCs w:val="21"/>
              </w:rPr>
            </w:pPr>
          </w:p>
        </w:tc>
        <w:tc>
          <w:tcPr>
            <w:tcW w:w="1645" w:type="dxa"/>
            <w:tcBorders>
              <w:top w:val="single" w:color="auto" w:sz="4" w:space="0"/>
              <w:left w:val="single" w:color="auto" w:sz="4" w:space="0"/>
              <w:bottom w:val="single" w:color="auto" w:sz="4" w:space="0"/>
            </w:tcBorders>
            <w:vAlign w:val="center"/>
          </w:tcPr>
          <w:p>
            <w:pPr>
              <w:jc w:val="center"/>
              <w:rPr>
                <w:b/>
                <w:bCs/>
                <w:sz w:val="21"/>
                <w:szCs w:val="21"/>
              </w:rPr>
            </w:pPr>
          </w:p>
          <w:p>
            <w:pPr>
              <w:jc w:val="center"/>
              <w:rPr>
                <w:b/>
                <w:bCs/>
                <w:sz w:val="21"/>
                <w:szCs w:val="21"/>
              </w:rPr>
            </w:pPr>
          </w:p>
          <w:p>
            <w:pPr>
              <w:jc w:val="center"/>
              <w:rPr>
                <w:b/>
                <w:bCs/>
                <w:sz w:val="21"/>
                <w:szCs w:val="21"/>
              </w:rPr>
            </w:pPr>
          </w:p>
          <w:p>
            <w:pPr>
              <w:jc w:val="center"/>
              <w:rPr>
                <w:b/>
                <w:bCs/>
                <w:sz w:val="21"/>
                <w:szCs w:val="21"/>
              </w:rPr>
            </w:pPr>
          </w:p>
          <w:p>
            <w:pPr>
              <w:jc w:val="center"/>
              <w:rPr>
                <w:b/>
                <w:bCs/>
                <w:sz w:val="21"/>
                <w:szCs w:val="21"/>
              </w:rPr>
            </w:pPr>
          </w:p>
          <w:p>
            <w:pPr>
              <w:jc w:val="center"/>
              <w:rPr>
                <w:b/>
                <w:bCs/>
                <w:sz w:val="21"/>
                <w:szCs w:val="21"/>
              </w:rPr>
            </w:pPr>
          </w:p>
          <w:p>
            <w:pPr>
              <w:jc w:val="center"/>
              <w:rPr>
                <w:b/>
                <w:bCs/>
                <w:sz w:val="21"/>
                <w:szCs w:val="21"/>
              </w:rPr>
            </w:pPr>
          </w:p>
          <w:p>
            <w:pPr>
              <w:jc w:val="center"/>
              <w:rPr>
                <w:b/>
                <w:bCs/>
                <w:sz w:val="21"/>
                <w:szCs w:val="21"/>
              </w:rPr>
            </w:pPr>
          </w:p>
          <w:p>
            <w:pPr>
              <w:jc w:val="center"/>
              <w:rPr>
                <w:b/>
                <w:bCs/>
                <w:sz w:val="21"/>
                <w:szCs w:val="21"/>
              </w:rPr>
            </w:pPr>
          </w:p>
          <w:p>
            <w:pPr>
              <w:jc w:val="center"/>
              <w:rPr>
                <w:b/>
                <w:bCs/>
                <w:sz w:val="21"/>
                <w:szCs w:val="21"/>
              </w:rPr>
            </w:pPr>
          </w:p>
          <w:p>
            <w:pPr>
              <w:jc w:val="center"/>
              <w:rPr>
                <w:b/>
                <w:bCs/>
                <w:sz w:val="21"/>
                <w:szCs w:val="21"/>
              </w:rPr>
            </w:pPr>
          </w:p>
          <w:p>
            <w:pPr>
              <w:jc w:val="center"/>
              <w:rPr>
                <w:b/>
                <w:bCs/>
                <w:sz w:val="21"/>
                <w:szCs w:val="21"/>
              </w:rPr>
            </w:pPr>
          </w:p>
          <w:p>
            <w:pPr>
              <w:jc w:val="center"/>
              <w:rPr>
                <w:b/>
                <w:bCs/>
                <w:sz w:val="21"/>
                <w:szCs w:val="21"/>
              </w:rPr>
            </w:pPr>
          </w:p>
          <w:p>
            <w:pPr>
              <w:jc w:val="center"/>
              <w:rPr>
                <w:b/>
                <w:bCs/>
                <w:sz w:val="21"/>
                <w:szCs w:val="21"/>
              </w:rPr>
            </w:pPr>
          </w:p>
          <w:p>
            <w:pPr>
              <w:jc w:val="center"/>
              <w:rPr>
                <w:b/>
                <w:bCs/>
                <w:sz w:val="21"/>
                <w:szCs w:val="21"/>
              </w:rPr>
            </w:pPr>
          </w:p>
          <w:p>
            <w:pPr>
              <w:jc w:val="center"/>
              <w:rPr>
                <w:b/>
                <w:bCs/>
                <w:sz w:val="21"/>
                <w:szCs w:val="21"/>
              </w:rPr>
            </w:pPr>
          </w:p>
          <w:p>
            <w:pPr>
              <w:jc w:val="center"/>
              <w:rPr>
                <w:b/>
                <w:bCs/>
                <w:sz w:val="21"/>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ind w:left="0" w:leftChars="0" w:firstLine="0" w:firstLineChars="0"/>
            </w:pPr>
            <w:r>
              <w:rPr>
                <w:b/>
                <w:bCs/>
                <w:sz w:val="21"/>
                <w:szCs w:val="21"/>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tc>
        <w:tc>
          <w:tcPr>
            <w:tcW w:w="2885" w:type="dxa"/>
            <w:tcBorders>
              <w:top w:val="single" w:color="auto" w:sz="4" w:space="0"/>
              <w:left w:val="single" w:color="auto" w:sz="4" w:space="0"/>
              <w:bottom w:val="single" w:color="auto" w:sz="4" w:space="0"/>
              <w:right w:val="single" w:color="auto" w:sz="4" w:space="0"/>
            </w:tcBorders>
            <w:vAlign w:val="center"/>
          </w:tcPr>
          <w:p/>
        </w:tc>
        <w:tc>
          <w:tcPr>
            <w:tcW w:w="1645" w:type="dxa"/>
            <w:tcBorders>
              <w:top w:val="single" w:color="auto" w:sz="4" w:space="0"/>
              <w:left w:val="single" w:color="auto" w:sz="4" w:space="0"/>
              <w:bottom w:val="single" w:color="auto" w:sz="4" w:space="0"/>
            </w:tcBorders>
            <w:vAlign w:val="center"/>
          </w:tcPr>
          <w:p/>
        </w:tc>
      </w:tr>
    </w:tbl>
    <w:p>
      <w:r>
        <w:t>投标人名称：                   授权代表签字：            日期：</w:t>
      </w:r>
    </w:p>
    <w:p>
      <w:r>
        <w:t>注：为避免歧义，无偏离也应要提报该表，并注明“无”字。如无该表则即使在其它部分已反映，将也被视为“无偏离”。</w:t>
      </w:r>
    </w:p>
    <w:p/>
    <w:p/>
    <w:p>
      <w:pPr>
        <w:sectPr>
          <w:pgSz w:w="11906" w:h="16838"/>
          <w:pgMar w:top="1588" w:right="1418" w:bottom="1134" w:left="1418" w:header="851" w:footer="992" w:gutter="0"/>
          <w:cols w:space="720" w:num="1"/>
          <w:titlePg/>
          <w:docGrid w:type="lines" w:linePitch="312" w:charSpace="0"/>
        </w:sectPr>
      </w:pPr>
    </w:p>
    <w:p>
      <w:pPr>
        <w:spacing w:before="110" w:line="227" w:lineRule="auto"/>
        <w:ind w:left="29" w:firstLine="0" w:firstLineChars="0"/>
        <w:jc w:val="both"/>
        <w:textAlignment w:val="auto"/>
        <w:outlineLvl w:val="1"/>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附件11 投标人承诺</w:t>
      </w:r>
    </w:p>
    <w:p/>
    <w:p>
      <w:r>
        <w:rPr>
          <w:spacing w:val="-10"/>
        </w:rPr>
        <w:t>项</w:t>
      </w:r>
      <w:r>
        <w:rPr>
          <w:spacing w:val="-9"/>
        </w:rPr>
        <w:t>目</w:t>
      </w:r>
      <w:r>
        <w:t xml:space="preserve">名称： </w:t>
      </w:r>
      <w:r>
        <w:rPr>
          <w:rFonts w:hint="eastAsia"/>
        </w:rPr>
        <w:t>车轮六分力传感器及配套设备</w:t>
      </w:r>
      <w:r>
        <w:t xml:space="preserve">  </w:t>
      </w:r>
    </w:p>
    <w:p>
      <w:r>
        <w:rPr>
          <w:spacing w:val="-4"/>
        </w:rPr>
        <w:t xml:space="preserve">日期： </w:t>
      </w:r>
      <w:r>
        <w:t xml:space="preserve">   年   月   日</w:t>
      </w:r>
    </w:p>
    <w:p/>
    <w:p/>
    <w:tbl>
      <w:tblPr>
        <w:tblStyle w:val="99"/>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r>
              <w:rPr>
                <w:spacing w:val="5"/>
              </w:rPr>
              <w:t>投</w:t>
            </w:r>
            <w:r>
              <w:t>标人承诺：</w:t>
            </w:r>
          </w:p>
          <w:p>
            <w:pPr>
              <w:rPr>
                <w:sz w:val="23"/>
                <w:szCs w:val="23"/>
              </w:rPr>
            </w:pPr>
            <w:r>
              <w:rPr>
                <w:spacing w:val="38"/>
              </w:rPr>
              <w:t>我</w:t>
            </w:r>
            <w:r>
              <w:t>公司承诺遵守贵公司由于招标人公司政策变化引起的随时终止项目的要求并</w:t>
            </w:r>
            <w:r>
              <w:rPr>
                <w:spacing w:val="12"/>
              </w:rPr>
              <w:t>承</w:t>
            </w:r>
            <w:r>
              <w:rPr>
                <w:spacing w:val="6"/>
              </w:rPr>
              <w:t>担由此带来的一切损失</w:t>
            </w:r>
            <w:r>
              <w:rPr>
                <w:spacing w:val="6"/>
                <w:sz w:val="23"/>
                <w:szCs w:val="23"/>
              </w:rPr>
              <w:t>。</w:t>
            </w:r>
          </w:p>
        </w:tc>
      </w:tr>
    </w:tbl>
    <w:p/>
    <w:p/>
    <w:p/>
    <w:p>
      <w:r>
        <w:t>投标人名称 (盖章)：                法定代表人或授权代表(签字)：</w:t>
      </w:r>
    </w:p>
    <w:p>
      <w:pPr>
        <w:sectPr>
          <w:footerReference r:id="rId25" w:type="default"/>
          <w:pgSz w:w="11906" w:h="16839"/>
          <w:pgMar w:top="1431" w:right="1417" w:bottom="1179" w:left="1304" w:header="850" w:footer="992" w:gutter="0"/>
          <w:cols w:space="720" w:num="1"/>
        </w:sectPr>
      </w:pPr>
    </w:p>
    <w:p>
      <w:pPr>
        <w:keepNext/>
        <w:keepLines/>
        <w:spacing w:line="240" w:lineRule="auto"/>
        <w:ind w:firstLine="0" w:firstLineChars="0"/>
        <w:jc w:val="both"/>
        <w:textAlignment w:val="auto"/>
        <w:outlineLvl w:val="1"/>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附件12 服务承诺函</w:t>
      </w:r>
    </w:p>
    <w:p/>
    <w:p>
      <w:r>
        <w:t>项目名称：</w:t>
      </w:r>
      <w:r>
        <w:rPr>
          <w:rFonts w:hint="eastAsia"/>
        </w:rPr>
        <w:t>车轮六分力传感器及配套设备</w:t>
      </w:r>
      <w:r>
        <w:t xml:space="preserve">  </w:t>
      </w:r>
    </w:p>
    <w:p>
      <w:pPr>
        <w:keepNext/>
        <w:keepLines/>
        <w:spacing w:line="240" w:lineRule="auto"/>
        <w:ind w:firstLine="0" w:firstLineChars="0"/>
        <w:jc w:val="both"/>
        <w:textAlignment w:val="auto"/>
        <w:outlineLvl w:val="1"/>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中国重汽集团</w:t>
      </w:r>
      <w:r>
        <w:rPr>
          <w:rFonts w:hint="eastAsia" w:ascii="Times New Roman" w:hAnsi="Times New Roman" w:eastAsia="宋体" w:cs="Times New Roman"/>
          <w:b/>
          <w:bCs/>
          <w:color w:val="000000"/>
          <w:sz w:val="24"/>
          <w:szCs w:val="24"/>
        </w:rPr>
        <w:t>济南动力有限公司</w:t>
      </w:r>
      <w:r>
        <w:rPr>
          <w:rFonts w:ascii="Times New Roman" w:hAnsi="Times New Roman" w:eastAsia="宋体" w:cs="Times New Roman"/>
          <w:b/>
          <w:bCs/>
          <w:color w:val="000000"/>
          <w:sz w:val="24"/>
          <w:szCs w:val="24"/>
        </w:rPr>
        <w:t>：</w:t>
      </w:r>
    </w:p>
    <w:p>
      <w:r>
        <w:t>我代表（投标单位名称）对中标合同产品的服务作如下承诺：</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r>
        <w:t xml:space="preserve">                                                                       </w:t>
      </w:r>
    </w:p>
    <w:p/>
    <w:p>
      <w:r>
        <w:t>投标人：（盖章）</w:t>
      </w:r>
    </w:p>
    <w:p>
      <w:r>
        <w:t>法定代表人（委托代理人）：（签字）</w:t>
      </w:r>
    </w:p>
    <w:p>
      <w:r>
        <w:t>日  期：       年    月    日</w:t>
      </w:r>
    </w:p>
    <w:p/>
    <w:p>
      <w:pPr>
        <w:pStyle w:val="21"/>
      </w:pPr>
    </w:p>
    <w:p/>
    <w:p>
      <w:pPr>
        <w:rPr>
          <w:szCs w:val="20"/>
        </w:rPr>
      </w:pPr>
      <w:r>
        <w:rPr>
          <w:szCs w:val="20"/>
        </w:rPr>
        <w:br w:type="page"/>
      </w:r>
      <w:r>
        <w:rPr>
          <w:rFonts w:ascii="Times New Roman" w:hAnsi="Times New Roman" w:eastAsia="宋体" w:cs="Times New Roman"/>
          <w:b/>
          <w:bCs/>
          <w:color w:val="000000"/>
          <w:sz w:val="24"/>
          <w:szCs w:val="24"/>
        </w:rPr>
        <w:t>附件13 投标文件封面及封口格式</w:t>
      </w:r>
    </w:p>
    <w:p>
      <w:r>
        <w:t>封面格式：</w:t>
      </w:r>
    </w:p>
    <w:tbl>
      <w:tblPr>
        <w:tblStyle w:val="40"/>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
            <w:pPr>
              <w:spacing w:line="240" w:lineRule="auto"/>
              <w:ind w:firstLine="602" w:firstLineChars="0"/>
              <w:jc w:val="center"/>
              <w:textAlignment w:val="auto"/>
              <w:rPr>
                <w:rFonts w:ascii="Times New Roman" w:hAnsi="Times New Roman" w:eastAsia="宋体" w:cs="Times New Roman"/>
                <w:b/>
                <w:sz w:val="30"/>
                <w:szCs w:val="30"/>
              </w:rPr>
            </w:pPr>
            <w:r>
              <w:rPr>
                <w:rFonts w:ascii="Times New Roman" w:hAnsi="Times New Roman" w:eastAsia="宋体" w:cs="Times New Roman"/>
                <w:b/>
                <w:sz w:val="30"/>
                <w:szCs w:val="30"/>
              </w:rPr>
              <w:t>技术/资质/商务文件</w:t>
            </w:r>
          </w:p>
          <w:p/>
          <w:p>
            <w:pPr>
              <w:spacing w:line="240" w:lineRule="auto"/>
              <w:ind w:firstLine="602" w:firstLineChars="0"/>
              <w:jc w:val="center"/>
              <w:textAlignment w:val="auto"/>
              <w:rPr>
                <w:rFonts w:ascii="Times New Roman" w:hAnsi="Times New Roman" w:eastAsia="宋体" w:cs="Times New Roman"/>
                <w:b/>
                <w:sz w:val="30"/>
                <w:szCs w:val="30"/>
              </w:rPr>
            </w:pPr>
            <w:r>
              <w:rPr>
                <w:rFonts w:ascii="Times New Roman" w:hAnsi="Times New Roman" w:eastAsia="宋体" w:cs="Times New Roman"/>
                <w:b/>
                <w:sz w:val="30"/>
                <w:szCs w:val="30"/>
              </w:rPr>
              <w:t>（1正本）</w:t>
            </w:r>
          </w:p>
          <w:p/>
          <w:p/>
          <w:p>
            <w:pPr>
              <w:spacing w:line="240" w:lineRule="auto"/>
              <w:ind w:firstLine="0" w:firstLineChars="0"/>
              <w:jc w:val="center"/>
              <w:textAlignment w:val="auto"/>
              <w:rPr>
                <w:rFonts w:ascii="Times New Roman" w:hAnsi="Times New Roman" w:eastAsia="宋体" w:cs="Times New Roman"/>
                <w:b/>
                <w:sz w:val="21"/>
                <w:szCs w:val="20"/>
              </w:rPr>
            </w:pPr>
            <w:r>
              <w:rPr>
                <w:rFonts w:ascii="Times New Roman" w:hAnsi="Times New Roman" w:eastAsia="宋体" w:cs="Times New Roman"/>
                <w:b/>
                <w:sz w:val="21"/>
                <w:szCs w:val="20"/>
              </w:rPr>
              <w:t>项目名称：</w:t>
            </w:r>
            <w:r>
              <w:rPr>
                <w:rFonts w:hint="eastAsia" w:ascii="Times New Roman" w:hAnsi="Times New Roman" w:eastAsia="宋体" w:cs="Times New Roman"/>
                <w:b/>
                <w:sz w:val="21"/>
                <w:szCs w:val="20"/>
              </w:rPr>
              <w:t>车轮六分力传感器及配套设备</w:t>
            </w:r>
          </w:p>
          <w:p>
            <w:pPr>
              <w:spacing w:line="240" w:lineRule="auto"/>
              <w:ind w:firstLine="0" w:firstLineChars="0"/>
              <w:jc w:val="center"/>
              <w:textAlignment w:val="auto"/>
              <w:rPr>
                <w:rFonts w:ascii="Times New Roman" w:hAnsi="Times New Roman" w:eastAsia="宋体" w:cs="Times New Roman"/>
                <w:b/>
                <w:sz w:val="21"/>
                <w:szCs w:val="20"/>
              </w:rPr>
            </w:pPr>
            <w:r>
              <w:rPr>
                <w:rFonts w:ascii="Times New Roman" w:hAnsi="Times New Roman" w:eastAsia="宋体" w:cs="Times New Roman"/>
                <w:b/>
                <w:sz w:val="21"/>
                <w:szCs w:val="20"/>
              </w:rPr>
              <w:t>投标人名称（公章）：</w:t>
            </w:r>
          </w:p>
          <w:p>
            <w:pPr>
              <w:spacing w:line="240" w:lineRule="auto"/>
              <w:ind w:firstLine="0" w:firstLineChars="0"/>
              <w:jc w:val="center"/>
              <w:textAlignment w:val="auto"/>
              <w:rPr>
                <w:rFonts w:ascii="Times New Roman" w:hAnsi="Times New Roman" w:eastAsia="宋体" w:cs="Times New Roman"/>
                <w:b/>
                <w:sz w:val="21"/>
                <w:szCs w:val="20"/>
              </w:rPr>
            </w:pPr>
            <w:r>
              <w:rPr>
                <w:rFonts w:ascii="Times New Roman" w:hAnsi="Times New Roman" w:eastAsia="宋体" w:cs="Times New Roman"/>
                <w:b/>
                <w:sz w:val="21"/>
                <w:szCs w:val="20"/>
              </w:rPr>
              <w:t>地址：</w:t>
            </w:r>
          </w:p>
          <w:p>
            <w:pPr>
              <w:spacing w:line="240" w:lineRule="auto"/>
              <w:ind w:firstLine="0" w:firstLineChars="0"/>
              <w:jc w:val="center"/>
              <w:textAlignment w:val="auto"/>
              <w:rPr>
                <w:rFonts w:ascii="Times New Roman" w:hAnsi="Times New Roman" w:eastAsia="宋体" w:cs="Times New Roman"/>
                <w:b/>
                <w:sz w:val="21"/>
                <w:szCs w:val="20"/>
              </w:rPr>
            </w:pPr>
            <w:r>
              <w:rPr>
                <w:rFonts w:ascii="Times New Roman" w:hAnsi="Times New Roman" w:eastAsia="宋体" w:cs="Times New Roman"/>
                <w:b/>
                <w:sz w:val="21"/>
                <w:szCs w:val="20"/>
              </w:rPr>
              <w:t>授权代表电话：</w:t>
            </w:r>
          </w:p>
          <w:p>
            <w:pPr>
              <w:spacing w:line="240" w:lineRule="auto"/>
              <w:ind w:firstLine="0" w:firstLineChars="0"/>
              <w:jc w:val="center"/>
              <w:textAlignment w:val="auto"/>
              <w:rPr>
                <w:rFonts w:ascii="Times New Roman" w:hAnsi="Times New Roman" w:eastAsia="宋体" w:cs="Times New Roman"/>
                <w:b/>
                <w:sz w:val="21"/>
                <w:szCs w:val="20"/>
              </w:rPr>
            </w:pPr>
            <w:r>
              <w:rPr>
                <w:rFonts w:ascii="Times New Roman" w:hAnsi="Times New Roman" w:eastAsia="宋体" w:cs="Times New Roman"/>
                <w:b/>
                <w:sz w:val="21"/>
                <w:szCs w:val="20"/>
              </w:rPr>
              <w:t>传真：</w:t>
            </w:r>
          </w:p>
          <w:p/>
          <w:p/>
        </w:tc>
      </w:tr>
    </w:tbl>
    <w:p>
      <w:r>
        <w:t>投标人名称：                   授权代表签字：                  日期：</w:t>
      </w:r>
    </w:p>
    <w:p>
      <w:pPr>
        <w:rPr>
          <w:sz w:val="20"/>
          <w:szCs w:val="20"/>
        </w:rPr>
      </w:pPr>
      <w:r>
        <w:br w:type="page"/>
      </w:r>
    </w:p>
    <w:p>
      <w:pPr>
        <w:pStyle w:val="4"/>
        <w:jc w:val="left"/>
      </w:pPr>
      <w:r>
        <w:rPr>
          <w:color w:val="000000"/>
        </w:rPr>
        <w:t xml:space="preserve">附件14 </w:t>
      </w:r>
      <w:r>
        <w:t>技术标评审表（100分）</w:t>
      </w:r>
    </w:p>
    <w:tbl>
      <w:tblPr>
        <w:tblStyle w:val="40"/>
        <w:tblW w:w="91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4"/>
        <w:gridCol w:w="747"/>
        <w:gridCol w:w="1051"/>
        <w:gridCol w:w="836"/>
        <w:gridCol w:w="5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3" w:hRule="atLeast"/>
          <w:jc w:val="center"/>
        </w:trPr>
        <w:tc>
          <w:tcPr>
            <w:tcW w:w="694" w:type="dxa"/>
            <w:vAlign w:val="center"/>
          </w:tcPr>
          <w:p>
            <w:pPr>
              <w:ind w:left="0" w:leftChars="0" w:firstLine="0" w:firstLineChars="0"/>
              <w:jc w:val="center"/>
              <w:rPr>
                <w:b/>
                <w:bCs/>
                <w:sz w:val="18"/>
                <w:szCs w:val="18"/>
              </w:rPr>
            </w:pPr>
            <w:r>
              <w:rPr>
                <w:b/>
                <w:bCs/>
                <w:sz w:val="18"/>
                <w:szCs w:val="18"/>
              </w:rPr>
              <w:t>评审</w:t>
            </w:r>
          </w:p>
          <w:p>
            <w:pPr>
              <w:ind w:left="0" w:leftChars="0" w:firstLine="0" w:firstLineChars="0"/>
              <w:jc w:val="center"/>
              <w:rPr>
                <w:b/>
                <w:bCs/>
                <w:sz w:val="18"/>
                <w:szCs w:val="18"/>
              </w:rPr>
            </w:pPr>
            <w:r>
              <w:rPr>
                <w:b/>
                <w:bCs/>
                <w:sz w:val="18"/>
                <w:szCs w:val="18"/>
              </w:rPr>
              <w:t>内容</w:t>
            </w:r>
          </w:p>
        </w:tc>
        <w:tc>
          <w:tcPr>
            <w:tcW w:w="747" w:type="dxa"/>
            <w:vAlign w:val="center"/>
          </w:tcPr>
          <w:p>
            <w:pPr>
              <w:ind w:left="0" w:leftChars="0" w:firstLine="0" w:firstLineChars="0"/>
              <w:jc w:val="center"/>
              <w:rPr>
                <w:b/>
                <w:bCs/>
                <w:sz w:val="18"/>
                <w:szCs w:val="18"/>
              </w:rPr>
            </w:pPr>
            <w:r>
              <w:rPr>
                <w:b/>
                <w:bCs/>
                <w:sz w:val="18"/>
                <w:szCs w:val="18"/>
              </w:rPr>
              <w:t>序号</w:t>
            </w:r>
          </w:p>
        </w:tc>
        <w:tc>
          <w:tcPr>
            <w:tcW w:w="1051" w:type="dxa"/>
            <w:vAlign w:val="center"/>
          </w:tcPr>
          <w:p>
            <w:pPr>
              <w:ind w:left="0" w:leftChars="0" w:firstLine="0" w:firstLineChars="0"/>
              <w:jc w:val="center"/>
              <w:rPr>
                <w:b/>
                <w:bCs/>
                <w:sz w:val="18"/>
                <w:szCs w:val="18"/>
              </w:rPr>
            </w:pPr>
            <w:r>
              <w:rPr>
                <w:b/>
                <w:bCs/>
                <w:sz w:val="18"/>
                <w:szCs w:val="18"/>
              </w:rPr>
              <w:t>内容</w:t>
            </w:r>
          </w:p>
        </w:tc>
        <w:tc>
          <w:tcPr>
            <w:tcW w:w="836" w:type="dxa"/>
            <w:vAlign w:val="center"/>
          </w:tcPr>
          <w:p>
            <w:pPr>
              <w:ind w:left="0" w:leftChars="0" w:firstLine="0" w:firstLineChars="0"/>
              <w:jc w:val="center"/>
              <w:rPr>
                <w:b/>
                <w:bCs/>
                <w:sz w:val="18"/>
                <w:szCs w:val="18"/>
              </w:rPr>
            </w:pPr>
            <w:r>
              <w:rPr>
                <w:b/>
                <w:bCs/>
                <w:sz w:val="18"/>
                <w:szCs w:val="18"/>
              </w:rPr>
              <w:t>标准分</w:t>
            </w:r>
          </w:p>
        </w:tc>
        <w:tc>
          <w:tcPr>
            <w:tcW w:w="5808" w:type="dxa"/>
            <w:vAlign w:val="center"/>
          </w:tcPr>
          <w:p>
            <w:pPr>
              <w:jc w:val="center"/>
              <w:rPr>
                <w:b/>
                <w:bCs/>
                <w:sz w:val="18"/>
                <w:szCs w:val="18"/>
              </w:rPr>
            </w:pPr>
            <w:r>
              <w:rPr>
                <w:b/>
                <w:bCs/>
                <w:sz w:val="18"/>
                <w:szCs w:val="18"/>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694" w:type="dxa"/>
            <w:vMerge w:val="restart"/>
            <w:vAlign w:val="center"/>
          </w:tcPr>
          <w:p>
            <w:pPr>
              <w:jc w:val="center"/>
              <w:rPr>
                <w:sz w:val="18"/>
                <w:szCs w:val="18"/>
              </w:rPr>
            </w:pPr>
          </w:p>
          <w:p>
            <w:pPr>
              <w:ind w:left="0" w:leftChars="0" w:firstLine="0" w:firstLineChars="0"/>
              <w:jc w:val="center"/>
              <w:rPr>
                <w:sz w:val="18"/>
                <w:szCs w:val="18"/>
              </w:rPr>
            </w:pPr>
            <w:r>
              <w:rPr>
                <w:sz w:val="18"/>
                <w:szCs w:val="18"/>
              </w:rPr>
              <w:t>产品技术</w:t>
            </w:r>
          </w:p>
        </w:tc>
        <w:tc>
          <w:tcPr>
            <w:tcW w:w="747" w:type="dxa"/>
            <w:vAlign w:val="center"/>
          </w:tcPr>
          <w:p>
            <w:pPr>
              <w:ind w:left="0" w:leftChars="0" w:firstLine="0" w:firstLineChars="0"/>
              <w:jc w:val="center"/>
              <w:rPr>
                <w:sz w:val="18"/>
                <w:szCs w:val="18"/>
              </w:rPr>
            </w:pPr>
            <w:r>
              <w:rPr>
                <w:sz w:val="18"/>
                <w:szCs w:val="18"/>
              </w:rPr>
              <w:t>1</w:t>
            </w:r>
          </w:p>
        </w:tc>
        <w:tc>
          <w:tcPr>
            <w:tcW w:w="1051" w:type="dxa"/>
            <w:vAlign w:val="center"/>
          </w:tcPr>
          <w:p>
            <w:pPr>
              <w:ind w:left="0" w:leftChars="0" w:firstLine="0" w:firstLineChars="0"/>
              <w:jc w:val="center"/>
              <w:rPr>
                <w:sz w:val="18"/>
                <w:szCs w:val="18"/>
              </w:rPr>
            </w:pPr>
            <w:r>
              <w:rPr>
                <w:sz w:val="18"/>
                <w:szCs w:val="18"/>
              </w:rPr>
              <w:t>技术参数</w:t>
            </w:r>
          </w:p>
        </w:tc>
        <w:tc>
          <w:tcPr>
            <w:tcW w:w="836" w:type="dxa"/>
            <w:vAlign w:val="center"/>
          </w:tcPr>
          <w:p>
            <w:pPr>
              <w:ind w:left="0" w:leftChars="0" w:firstLine="0" w:firstLineChars="0"/>
              <w:jc w:val="center"/>
              <w:rPr>
                <w:sz w:val="18"/>
                <w:szCs w:val="18"/>
              </w:rPr>
            </w:pPr>
            <w:r>
              <w:rPr>
                <w:sz w:val="18"/>
                <w:szCs w:val="18"/>
              </w:rPr>
              <w:t>40</w:t>
            </w:r>
          </w:p>
        </w:tc>
        <w:tc>
          <w:tcPr>
            <w:tcW w:w="5808" w:type="dxa"/>
            <w:vAlign w:val="center"/>
          </w:tcPr>
          <w:p>
            <w:pPr>
              <w:rPr>
                <w:sz w:val="18"/>
                <w:szCs w:val="18"/>
              </w:rPr>
            </w:pPr>
            <w:r>
              <w:rPr>
                <w:sz w:val="18"/>
                <w:szCs w:val="18"/>
              </w:rPr>
              <w:t>投标文件中技术参数符合招标文件的要求赋20分，再详细考察其功能与项目需求的吻合性,有一处负偏离，扣4分，以此类推；有正偏离，且对项目存在实际改进作用，则加2分，最高可以加到4分，得分上限20分。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94" w:type="dxa"/>
            <w:vMerge w:val="continue"/>
            <w:vAlign w:val="center"/>
          </w:tcPr>
          <w:p>
            <w:pPr>
              <w:jc w:val="center"/>
              <w:rPr>
                <w:sz w:val="18"/>
                <w:szCs w:val="18"/>
              </w:rPr>
            </w:pPr>
          </w:p>
        </w:tc>
        <w:tc>
          <w:tcPr>
            <w:tcW w:w="747" w:type="dxa"/>
            <w:vAlign w:val="center"/>
          </w:tcPr>
          <w:p>
            <w:pPr>
              <w:ind w:left="0" w:leftChars="0" w:firstLine="0" w:firstLineChars="0"/>
              <w:jc w:val="center"/>
              <w:rPr>
                <w:sz w:val="18"/>
                <w:szCs w:val="18"/>
              </w:rPr>
            </w:pPr>
            <w:r>
              <w:rPr>
                <w:sz w:val="18"/>
                <w:szCs w:val="18"/>
              </w:rPr>
              <w:t>2</w:t>
            </w:r>
          </w:p>
        </w:tc>
        <w:tc>
          <w:tcPr>
            <w:tcW w:w="1051" w:type="dxa"/>
            <w:vAlign w:val="center"/>
          </w:tcPr>
          <w:p>
            <w:pPr>
              <w:ind w:left="0" w:leftChars="0" w:firstLine="0" w:firstLineChars="0"/>
              <w:jc w:val="center"/>
              <w:rPr>
                <w:sz w:val="18"/>
                <w:szCs w:val="18"/>
              </w:rPr>
            </w:pPr>
            <w:r>
              <w:rPr>
                <w:sz w:val="18"/>
                <w:szCs w:val="18"/>
              </w:rPr>
              <w:t>核心产品</w:t>
            </w:r>
          </w:p>
        </w:tc>
        <w:tc>
          <w:tcPr>
            <w:tcW w:w="836" w:type="dxa"/>
            <w:vAlign w:val="center"/>
          </w:tcPr>
          <w:p>
            <w:pPr>
              <w:ind w:left="0" w:leftChars="0" w:firstLine="0" w:firstLineChars="0"/>
              <w:jc w:val="center"/>
              <w:rPr>
                <w:sz w:val="18"/>
                <w:szCs w:val="18"/>
              </w:rPr>
            </w:pPr>
            <w:r>
              <w:rPr>
                <w:sz w:val="18"/>
                <w:szCs w:val="18"/>
              </w:rPr>
              <w:t>10</w:t>
            </w:r>
          </w:p>
        </w:tc>
        <w:tc>
          <w:tcPr>
            <w:tcW w:w="5808" w:type="dxa"/>
            <w:vAlign w:val="center"/>
          </w:tcPr>
          <w:p>
            <w:pPr>
              <w:rPr>
                <w:sz w:val="18"/>
                <w:szCs w:val="18"/>
              </w:rPr>
            </w:pPr>
            <w:r>
              <w:rPr>
                <w:sz w:val="18"/>
                <w:szCs w:val="18"/>
              </w:rPr>
              <w:t>对核心产品</w:t>
            </w:r>
            <w:r>
              <w:rPr>
                <w:rFonts w:hint="eastAsia"/>
                <w:color w:val="auto"/>
                <w:sz w:val="18"/>
                <w:szCs w:val="18"/>
                <w:lang w:eastAsia="zh-CN"/>
              </w:rPr>
              <w:t>（</w:t>
            </w:r>
            <w:r>
              <w:rPr>
                <w:rFonts w:hint="eastAsia"/>
                <w:color w:val="auto"/>
                <w:sz w:val="18"/>
                <w:szCs w:val="18"/>
                <w:lang w:val="en-US" w:eastAsia="zh-CN"/>
              </w:rPr>
              <w:t>六分力、车轮电子、车载电子、采集器</w:t>
            </w:r>
            <w:r>
              <w:rPr>
                <w:rFonts w:hint="eastAsia"/>
                <w:color w:val="auto"/>
                <w:sz w:val="18"/>
                <w:szCs w:val="18"/>
                <w:lang w:eastAsia="zh-CN"/>
              </w:rPr>
              <w:t>）</w:t>
            </w:r>
            <w:r>
              <w:rPr>
                <w:sz w:val="18"/>
                <w:szCs w:val="18"/>
              </w:rPr>
              <w:t>在项目中所起的作用和描述，每一项各2分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94" w:type="dxa"/>
            <w:vMerge w:val="continue"/>
            <w:vAlign w:val="center"/>
          </w:tcPr>
          <w:p>
            <w:pPr>
              <w:jc w:val="center"/>
              <w:rPr>
                <w:sz w:val="18"/>
                <w:szCs w:val="18"/>
              </w:rPr>
            </w:pPr>
          </w:p>
        </w:tc>
        <w:tc>
          <w:tcPr>
            <w:tcW w:w="747" w:type="dxa"/>
            <w:vAlign w:val="center"/>
          </w:tcPr>
          <w:p>
            <w:pPr>
              <w:ind w:left="0" w:leftChars="0" w:firstLine="0" w:firstLineChars="0"/>
              <w:jc w:val="center"/>
              <w:rPr>
                <w:sz w:val="18"/>
                <w:szCs w:val="18"/>
              </w:rPr>
            </w:pPr>
            <w:r>
              <w:rPr>
                <w:sz w:val="18"/>
                <w:szCs w:val="18"/>
              </w:rPr>
              <w:t>3</w:t>
            </w:r>
          </w:p>
        </w:tc>
        <w:tc>
          <w:tcPr>
            <w:tcW w:w="1051" w:type="dxa"/>
            <w:vAlign w:val="center"/>
          </w:tcPr>
          <w:p>
            <w:pPr>
              <w:ind w:left="0" w:leftChars="0" w:firstLine="0" w:firstLineChars="0"/>
              <w:jc w:val="center"/>
              <w:rPr>
                <w:sz w:val="18"/>
                <w:szCs w:val="18"/>
              </w:rPr>
            </w:pPr>
            <w:r>
              <w:rPr>
                <w:sz w:val="18"/>
                <w:szCs w:val="18"/>
              </w:rPr>
              <w:t>关键部件技术支持资料</w:t>
            </w:r>
          </w:p>
        </w:tc>
        <w:tc>
          <w:tcPr>
            <w:tcW w:w="836" w:type="dxa"/>
            <w:vAlign w:val="center"/>
          </w:tcPr>
          <w:p>
            <w:pPr>
              <w:ind w:left="0" w:leftChars="0" w:firstLine="0" w:firstLineChars="0"/>
              <w:jc w:val="center"/>
              <w:rPr>
                <w:sz w:val="18"/>
                <w:szCs w:val="18"/>
              </w:rPr>
            </w:pPr>
            <w:r>
              <w:rPr>
                <w:sz w:val="18"/>
                <w:szCs w:val="18"/>
              </w:rPr>
              <w:t>10</w:t>
            </w:r>
          </w:p>
        </w:tc>
        <w:tc>
          <w:tcPr>
            <w:tcW w:w="5808" w:type="dxa"/>
            <w:vAlign w:val="center"/>
          </w:tcPr>
          <w:p>
            <w:pPr>
              <w:rPr>
                <w:sz w:val="18"/>
                <w:szCs w:val="18"/>
              </w:rPr>
            </w:pPr>
            <w:r>
              <w:rPr>
                <w:sz w:val="18"/>
                <w:szCs w:val="18"/>
              </w:rPr>
              <w:t>关键部件技术支持资料完整（含不限于部件名称、数量、厂家等信息），以产品厂家网页内容或者实际宣传彩页为准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94" w:type="dxa"/>
            <w:vAlign w:val="center"/>
          </w:tcPr>
          <w:p>
            <w:pPr>
              <w:ind w:left="0" w:leftChars="0" w:firstLine="0" w:firstLineChars="0"/>
              <w:jc w:val="center"/>
              <w:rPr>
                <w:sz w:val="18"/>
                <w:szCs w:val="18"/>
              </w:rPr>
            </w:pPr>
            <w:r>
              <w:rPr>
                <w:sz w:val="18"/>
                <w:szCs w:val="18"/>
              </w:rPr>
              <w:t>答疑</w:t>
            </w:r>
          </w:p>
        </w:tc>
        <w:tc>
          <w:tcPr>
            <w:tcW w:w="747" w:type="dxa"/>
            <w:vAlign w:val="center"/>
          </w:tcPr>
          <w:p>
            <w:pPr>
              <w:ind w:left="0" w:leftChars="0" w:firstLine="0" w:firstLineChars="0"/>
              <w:jc w:val="center"/>
              <w:rPr>
                <w:sz w:val="18"/>
                <w:szCs w:val="18"/>
              </w:rPr>
            </w:pPr>
            <w:r>
              <w:rPr>
                <w:sz w:val="18"/>
                <w:szCs w:val="18"/>
              </w:rPr>
              <w:t>4</w:t>
            </w:r>
          </w:p>
        </w:tc>
        <w:tc>
          <w:tcPr>
            <w:tcW w:w="1051" w:type="dxa"/>
            <w:vAlign w:val="center"/>
          </w:tcPr>
          <w:p>
            <w:pPr>
              <w:ind w:left="0" w:leftChars="0" w:firstLine="0" w:firstLineChars="0"/>
              <w:jc w:val="center"/>
              <w:rPr>
                <w:sz w:val="18"/>
                <w:szCs w:val="18"/>
              </w:rPr>
            </w:pPr>
            <w:r>
              <w:rPr>
                <w:sz w:val="18"/>
                <w:szCs w:val="18"/>
              </w:rPr>
              <w:t>现场答疑</w:t>
            </w:r>
          </w:p>
        </w:tc>
        <w:tc>
          <w:tcPr>
            <w:tcW w:w="836" w:type="dxa"/>
            <w:vAlign w:val="center"/>
          </w:tcPr>
          <w:p>
            <w:pPr>
              <w:ind w:left="0" w:leftChars="0" w:firstLine="0" w:firstLineChars="0"/>
              <w:jc w:val="center"/>
              <w:rPr>
                <w:sz w:val="18"/>
                <w:szCs w:val="18"/>
              </w:rPr>
            </w:pPr>
            <w:r>
              <w:rPr>
                <w:sz w:val="18"/>
                <w:szCs w:val="18"/>
              </w:rPr>
              <w:t>6</w:t>
            </w:r>
          </w:p>
        </w:tc>
        <w:tc>
          <w:tcPr>
            <w:tcW w:w="5808" w:type="dxa"/>
            <w:vAlign w:val="center"/>
          </w:tcPr>
          <w:p>
            <w:pPr>
              <w:rPr>
                <w:sz w:val="18"/>
                <w:szCs w:val="18"/>
              </w:rPr>
            </w:pPr>
            <w:r>
              <w:rPr>
                <w:sz w:val="18"/>
                <w:szCs w:val="18"/>
              </w:rPr>
              <w:t>是否了解项目实际作用，谈一谈自己对项目的理解；（2分）</w:t>
            </w:r>
          </w:p>
          <w:p>
            <w:pPr>
              <w:rPr>
                <w:sz w:val="18"/>
                <w:szCs w:val="18"/>
              </w:rPr>
            </w:pPr>
            <w:r>
              <w:rPr>
                <w:sz w:val="18"/>
                <w:szCs w:val="18"/>
              </w:rPr>
              <w:t>是否在招标前至项目实际所在地勘察；（2分）</w:t>
            </w:r>
          </w:p>
          <w:p>
            <w:pPr>
              <w:rPr>
                <w:sz w:val="18"/>
                <w:szCs w:val="18"/>
              </w:rPr>
            </w:pPr>
            <w:r>
              <w:rPr>
                <w:sz w:val="18"/>
                <w:szCs w:val="18"/>
              </w:rPr>
              <w:t>是否了解客户现有的设备配置；（2分）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94" w:type="dxa"/>
            <w:vAlign w:val="center"/>
          </w:tcPr>
          <w:p>
            <w:pPr>
              <w:ind w:left="0" w:leftChars="0" w:firstLine="0" w:firstLineChars="0"/>
              <w:jc w:val="center"/>
              <w:rPr>
                <w:sz w:val="18"/>
                <w:szCs w:val="18"/>
              </w:rPr>
            </w:pPr>
            <w:r>
              <w:rPr>
                <w:sz w:val="18"/>
                <w:szCs w:val="18"/>
              </w:rPr>
              <w:t>技术偏离</w:t>
            </w:r>
          </w:p>
        </w:tc>
        <w:tc>
          <w:tcPr>
            <w:tcW w:w="747" w:type="dxa"/>
            <w:vAlign w:val="center"/>
          </w:tcPr>
          <w:p>
            <w:pPr>
              <w:ind w:left="0" w:leftChars="0" w:firstLine="0" w:firstLineChars="0"/>
              <w:jc w:val="center"/>
              <w:rPr>
                <w:sz w:val="18"/>
                <w:szCs w:val="18"/>
              </w:rPr>
            </w:pPr>
            <w:r>
              <w:rPr>
                <w:sz w:val="18"/>
                <w:szCs w:val="18"/>
              </w:rPr>
              <w:t>5</w:t>
            </w:r>
          </w:p>
        </w:tc>
        <w:tc>
          <w:tcPr>
            <w:tcW w:w="1051" w:type="dxa"/>
            <w:vAlign w:val="center"/>
          </w:tcPr>
          <w:p>
            <w:pPr>
              <w:ind w:left="0" w:leftChars="0" w:firstLine="0" w:firstLineChars="0"/>
              <w:jc w:val="center"/>
              <w:rPr>
                <w:sz w:val="18"/>
                <w:szCs w:val="18"/>
              </w:rPr>
            </w:pPr>
            <w:r>
              <w:rPr>
                <w:sz w:val="18"/>
                <w:szCs w:val="18"/>
              </w:rPr>
              <w:t>技术偏离</w:t>
            </w:r>
          </w:p>
        </w:tc>
        <w:tc>
          <w:tcPr>
            <w:tcW w:w="836" w:type="dxa"/>
            <w:vAlign w:val="center"/>
          </w:tcPr>
          <w:p>
            <w:pPr>
              <w:ind w:left="0" w:leftChars="0" w:firstLine="0" w:firstLineChars="0"/>
              <w:jc w:val="center"/>
              <w:rPr>
                <w:sz w:val="18"/>
                <w:szCs w:val="18"/>
              </w:rPr>
            </w:pPr>
            <w:r>
              <w:rPr>
                <w:sz w:val="18"/>
                <w:szCs w:val="18"/>
              </w:rPr>
              <w:t>12</w:t>
            </w:r>
          </w:p>
        </w:tc>
        <w:tc>
          <w:tcPr>
            <w:tcW w:w="5808" w:type="dxa"/>
            <w:vAlign w:val="center"/>
          </w:tcPr>
          <w:p>
            <w:pPr>
              <w:rPr>
                <w:sz w:val="18"/>
                <w:szCs w:val="18"/>
              </w:rPr>
            </w:pPr>
            <w:r>
              <w:rPr>
                <w:sz w:val="18"/>
                <w:szCs w:val="18"/>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94" w:type="dxa"/>
            <w:vAlign w:val="center"/>
          </w:tcPr>
          <w:p>
            <w:pPr>
              <w:ind w:left="0" w:leftChars="0" w:firstLine="0" w:firstLineChars="0"/>
              <w:jc w:val="center"/>
              <w:rPr>
                <w:sz w:val="18"/>
                <w:szCs w:val="18"/>
              </w:rPr>
            </w:pPr>
            <w:r>
              <w:rPr>
                <w:sz w:val="18"/>
                <w:szCs w:val="18"/>
              </w:rPr>
              <w:t>业绩</w:t>
            </w:r>
          </w:p>
        </w:tc>
        <w:tc>
          <w:tcPr>
            <w:tcW w:w="747" w:type="dxa"/>
            <w:vAlign w:val="center"/>
          </w:tcPr>
          <w:p>
            <w:pPr>
              <w:ind w:left="0" w:leftChars="0" w:firstLine="0" w:firstLineChars="0"/>
              <w:jc w:val="center"/>
              <w:rPr>
                <w:sz w:val="18"/>
                <w:szCs w:val="18"/>
              </w:rPr>
            </w:pPr>
            <w:r>
              <w:rPr>
                <w:sz w:val="18"/>
                <w:szCs w:val="18"/>
              </w:rPr>
              <w:t>6</w:t>
            </w:r>
          </w:p>
        </w:tc>
        <w:tc>
          <w:tcPr>
            <w:tcW w:w="1051" w:type="dxa"/>
            <w:vAlign w:val="center"/>
          </w:tcPr>
          <w:p>
            <w:pPr>
              <w:ind w:left="0" w:leftChars="0" w:firstLine="0" w:firstLineChars="0"/>
              <w:jc w:val="center"/>
              <w:rPr>
                <w:sz w:val="18"/>
                <w:szCs w:val="18"/>
              </w:rPr>
            </w:pPr>
            <w:r>
              <w:rPr>
                <w:sz w:val="18"/>
                <w:szCs w:val="18"/>
              </w:rPr>
              <w:t>业绩</w:t>
            </w:r>
          </w:p>
        </w:tc>
        <w:tc>
          <w:tcPr>
            <w:tcW w:w="836" w:type="dxa"/>
            <w:vAlign w:val="center"/>
          </w:tcPr>
          <w:p>
            <w:pPr>
              <w:ind w:left="0" w:leftChars="0" w:firstLine="0" w:firstLineChars="0"/>
              <w:jc w:val="center"/>
              <w:rPr>
                <w:sz w:val="18"/>
                <w:szCs w:val="18"/>
              </w:rPr>
            </w:pPr>
            <w:r>
              <w:rPr>
                <w:sz w:val="18"/>
                <w:szCs w:val="18"/>
              </w:rPr>
              <w:t>4</w:t>
            </w:r>
          </w:p>
        </w:tc>
        <w:tc>
          <w:tcPr>
            <w:tcW w:w="5808" w:type="dxa"/>
            <w:vAlign w:val="center"/>
          </w:tcPr>
          <w:p>
            <w:pPr>
              <w:rPr>
                <w:sz w:val="18"/>
                <w:szCs w:val="18"/>
              </w:rPr>
            </w:pPr>
            <w:r>
              <w:rPr>
                <w:sz w:val="18"/>
                <w:szCs w:val="18"/>
              </w:rPr>
              <w:t>同类型项目业绩：</w:t>
            </w:r>
          </w:p>
          <w:p>
            <w:pPr>
              <w:rPr>
                <w:sz w:val="18"/>
                <w:szCs w:val="18"/>
              </w:rPr>
            </w:pPr>
            <w:r>
              <w:rPr>
                <w:sz w:val="18"/>
                <w:szCs w:val="18"/>
              </w:rPr>
              <w:t>2020年1月以来到现在以来已交付使用的与本次招标项目类似产品的业绩，业绩最多者满分，第二名得4分，第三名得3分，第四名得2分，其余得1分。（时间以签订日期为准）。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94" w:type="dxa"/>
            <w:vMerge w:val="restart"/>
            <w:vAlign w:val="center"/>
          </w:tcPr>
          <w:p>
            <w:pPr>
              <w:ind w:left="0" w:leftChars="0" w:firstLine="0" w:firstLineChars="0"/>
              <w:jc w:val="center"/>
              <w:rPr>
                <w:sz w:val="18"/>
                <w:szCs w:val="18"/>
              </w:rPr>
            </w:pPr>
            <w:r>
              <w:rPr>
                <w:sz w:val="18"/>
                <w:szCs w:val="18"/>
              </w:rPr>
              <w:t>售后服务</w:t>
            </w:r>
          </w:p>
        </w:tc>
        <w:tc>
          <w:tcPr>
            <w:tcW w:w="747" w:type="dxa"/>
            <w:vAlign w:val="center"/>
          </w:tcPr>
          <w:p>
            <w:pPr>
              <w:ind w:left="0" w:leftChars="0" w:firstLine="0" w:firstLineChars="0"/>
              <w:jc w:val="center"/>
              <w:rPr>
                <w:sz w:val="18"/>
                <w:szCs w:val="18"/>
              </w:rPr>
            </w:pPr>
            <w:r>
              <w:rPr>
                <w:sz w:val="18"/>
                <w:szCs w:val="18"/>
              </w:rPr>
              <w:t>7</w:t>
            </w:r>
          </w:p>
        </w:tc>
        <w:tc>
          <w:tcPr>
            <w:tcW w:w="1051" w:type="dxa"/>
            <w:vAlign w:val="center"/>
          </w:tcPr>
          <w:p>
            <w:pPr>
              <w:ind w:left="0" w:leftChars="0" w:firstLine="0" w:firstLineChars="0"/>
              <w:jc w:val="center"/>
              <w:rPr>
                <w:sz w:val="18"/>
                <w:szCs w:val="18"/>
              </w:rPr>
            </w:pPr>
            <w:r>
              <w:rPr>
                <w:sz w:val="18"/>
                <w:szCs w:val="18"/>
              </w:rPr>
              <w:t>技术培训方案</w:t>
            </w:r>
          </w:p>
        </w:tc>
        <w:tc>
          <w:tcPr>
            <w:tcW w:w="836" w:type="dxa"/>
            <w:vAlign w:val="center"/>
          </w:tcPr>
          <w:p>
            <w:pPr>
              <w:ind w:left="0" w:leftChars="0" w:firstLine="0" w:firstLineChars="0"/>
              <w:jc w:val="center"/>
              <w:rPr>
                <w:sz w:val="18"/>
                <w:szCs w:val="18"/>
              </w:rPr>
            </w:pPr>
            <w:r>
              <w:rPr>
                <w:sz w:val="18"/>
                <w:szCs w:val="18"/>
              </w:rPr>
              <w:t>6</w:t>
            </w:r>
          </w:p>
        </w:tc>
        <w:tc>
          <w:tcPr>
            <w:tcW w:w="5808" w:type="dxa"/>
            <w:vAlign w:val="center"/>
          </w:tcPr>
          <w:p>
            <w:pPr>
              <w:rPr>
                <w:sz w:val="18"/>
                <w:szCs w:val="18"/>
              </w:rPr>
            </w:pPr>
            <w:r>
              <w:rPr>
                <w:sz w:val="18"/>
                <w:szCs w:val="18"/>
              </w:rPr>
              <w:t>对采购方人员的技术培训方案安排科学、合理、可行。</w:t>
            </w:r>
          </w:p>
          <w:p>
            <w:pPr>
              <w:rPr>
                <w:sz w:val="18"/>
                <w:szCs w:val="18"/>
              </w:rPr>
            </w:pPr>
            <w:r>
              <w:rPr>
                <w:sz w:val="18"/>
                <w:szCs w:val="18"/>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94" w:type="dxa"/>
            <w:vMerge w:val="continue"/>
            <w:vAlign w:val="center"/>
          </w:tcPr>
          <w:p>
            <w:pPr>
              <w:jc w:val="center"/>
              <w:rPr>
                <w:sz w:val="18"/>
                <w:szCs w:val="18"/>
              </w:rPr>
            </w:pPr>
          </w:p>
        </w:tc>
        <w:tc>
          <w:tcPr>
            <w:tcW w:w="747" w:type="dxa"/>
            <w:vAlign w:val="center"/>
          </w:tcPr>
          <w:p>
            <w:pPr>
              <w:ind w:left="0" w:leftChars="0" w:firstLine="0" w:firstLineChars="0"/>
              <w:jc w:val="center"/>
              <w:rPr>
                <w:sz w:val="18"/>
                <w:szCs w:val="18"/>
              </w:rPr>
            </w:pPr>
            <w:r>
              <w:rPr>
                <w:sz w:val="18"/>
                <w:szCs w:val="18"/>
              </w:rPr>
              <w:t>8</w:t>
            </w:r>
          </w:p>
        </w:tc>
        <w:tc>
          <w:tcPr>
            <w:tcW w:w="1051" w:type="dxa"/>
            <w:shd w:val="clear" w:color="auto" w:fill="auto"/>
            <w:vAlign w:val="center"/>
          </w:tcPr>
          <w:p>
            <w:pPr>
              <w:ind w:left="0" w:leftChars="0" w:firstLine="0" w:firstLineChars="0"/>
              <w:jc w:val="center"/>
              <w:rPr>
                <w:sz w:val="18"/>
                <w:szCs w:val="18"/>
              </w:rPr>
            </w:pPr>
            <w:r>
              <w:rPr>
                <w:sz w:val="18"/>
                <w:szCs w:val="18"/>
              </w:rPr>
              <w:t>专业技术力量</w:t>
            </w:r>
          </w:p>
        </w:tc>
        <w:tc>
          <w:tcPr>
            <w:tcW w:w="836" w:type="dxa"/>
            <w:shd w:val="clear" w:color="auto" w:fill="auto"/>
            <w:vAlign w:val="center"/>
          </w:tcPr>
          <w:p>
            <w:pPr>
              <w:ind w:left="0" w:leftChars="0" w:firstLine="0" w:firstLineChars="0"/>
              <w:jc w:val="center"/>
              <w:rPr>
                <w:sz w:val="18"/>
                <w:szCs w:val="18"/>
              </w:rPr>
            </w:pPr>
            <w:r>
              <w:rPr>
                <w:sz w:val="18"/>
                <w:szCs w:val="18"/>
              </w:rPr>
              <w:t>6</w:t>
            </w:r>
          </w:p>
        </w:tc>
        <w:tc>
          <w:tcPr>
            <w:tcW w:w="5808" w:type="dxa"/>
            <w:shd w:val="clear" w:color="auto" w:fill="auto"/>
            <w:vAlign w:val="center"/>
          </w:tcPr>
          <w:p>
            <w:pPr>
              <w:rPr>
                <w:sz w:val="18"/>
                <w:szCs w:val="18"/>
              </w:rPr>
            </w:pPr>
            <w:r>
              <w:rPr>
                <w:sz w:val="18"/>
                <w:szCs w:val="18"/>
              </w:rPr>
              <w:t>投标人在中国有常驻的专业技术力量的维保机构并具有实施本项目维保的专业技术人员。</w:t>
            </w:r>
          </w:p>
          <w:p>
            <w:pPr>
              <w:rPr>
                <w:sz w:val="18"/>
                <w:szCs w:val="18"/>
              </w:rPr>
            </w:pPr>
            <w:r>
              <w:rPr>
                <w:sz w:val="18"/>
                <w:szCs w:val="18"/>
              </w:rPr>
              <w:t>由评标委员会成员独立进行客观、公正的评价，按照优、良、一般进行赋分，优得6分，良得4分，一般得2分。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94" w:type="dxa"/>
            <w:vMerge w:val="continue"/>
            <w:vAlign w:val="center"/>
          </w:tcPr>
          <w:p>
            <w:pPr>
              <w:jc w:val="center"/>
              <w:rPr>
                <w:sz w:val="18"/>
                <w:szCs w:val="18"/>
              </w:rPr>
            </w:pPr>
          </w:p>
        </w:tc>
        <w:tc>
          <w:tcPr>
            <w:tcW w:w="747" w:type="dxa"/>
            <w:vAlign w:val="center"/>
          </w:tcPr>
          <w:p>
            <w:pPr>
              <w:ind w:left="0" w:leftChars="0" w:firstLine="0" w:firstLineChars="0"/>
              <w:jc w:val="center"/>
              <w:rPr>
                <w:sz w:val="18"/>
                <w:szCs w:val="18"/>
              </w:rPr>
            </w:pPr>
            <w:r>
              <w:rPr>
                <w:sz w:val="18"/>
                <w:szCs w:val="18"/>
              </w:rPr>
              <w:t>9</w:t>
            </w:r>
          </w:p>
        </w:tc>
        <w:tc>
          <w:tcPr>
            <w:tcW w:w="1051" w:type="dxa"/>
            <w:vAlign w:val="center"/>
          </w:tcPr>
          <w:p>
            <w:pPr>
              <w:ind w:left="0" w:leftChars="0" w:firstLine="0" w:firstLineChars="0"/>
              <w:jc w:val="center"/>
              <w:rPr>
                <w:sz w:val="18"/>
                <w:szCs w:val="18"/>
              </w:rPr>
            </w:pPr>
            <w:r>
              <w:rPr>
                <w:sz w:val="18"/>
                <w:szCs w:val="18"/>
              </w:rPr>
              <w:t>售后服务</w:t>
            </w:r>
          </w:p>
        </w:tc>
        <w:tc>
          <w:tcPr>
            <w:tcW w:w="836" w:type="dxa"/>
            <w:vAlign w:val="center"/>
          </w:tcPr>
          <w:p>
            <w:pPr>
              <w:ind w:left="0" w:leftChars="0" w:firstLine="0" w:firstLineChars="0"/>
              <w:jc w:val="center"/>
              <w:rPr>
                <w:sz w:val="18"/>
                <w:szCs w:val="18"/>
              </w:rPr>
            </w:pPr>
            <w:r>
              <w:rPr>
                <w:sz w:val="18"/>
                <w:szCs w:val="18"/>
              </w:rPr>
              <w:t>6</w:t>
            </w:r>
          </w:p>
        </w:tc>
        <w:tc>
          <w:tcPr>
            <w:tcW w:w="5808" w:type="dxa"/>
            <w:vAlign w:val="center"/>
          </w:tcPr>
          <w:p>
            <w:pPr>
              <w:rPr>
                <w:sz w:val="18"/>
                <w:szCs w:val="18"/>
              </w:rPr>
            </w:pPr>
            <w:r>
              <w:rPr>
                <w:sz w:val="18"/>
                <w:szCs w:val="18"/>
              </w:rPr>
              <w:t>售后服务及时周到，有相应的服务承诺和具体的保证措施。</w:t>
            </w:r>
          </w:p>
          <w:p>
            <w:pPr>
              <w:rPr>
                <w:sz w:val="18"/>
                <w:szCs w:val="18"/>
              </w:rPr>
            </w:pPr>
            <w:r>
              <w:rPr>
                <w:sz w:val="18"/>
                <w:szCs w:val="18"/>
              </w:rPr>
              <w:t>由评标委员会成员独立进行客观、公正的评价，按照优、良、一般进行赋分，优得6分，良得4分，一般得2分。</w:t>
            </w:r>
          </w:p>
        </w:tc>
      </w:tr>
    </w:tbl>
    <w:p>
      <w:pPr>
        <w:pStyle w:val="21"/>
        <w:rPr>
          <w:sz w:val="18"/>
          <w:szCs w:val="18"/>
        </w:rPr>
      </w:pPr>
    </w:p>
    <w:p>
      <w:pPr>
        <w:pStyle w:val="21"/>
      </w:pPr>
    </w:p>
    <w:p>
      <w:pPr>
        <w:sectPr>
          <w:headerReference r:id="rId27" w:type="first"/>
          <w:footerReference r:id="rId29" w:type="first"/>
          <w:headerReference r:id="rId26" w:type="default"/>
          <w:footerReference r:id="rId28" w:type="default"/>
          <w:pgSz w:w="11906" w:h="16838"/>
          <w:pgMar w:top="1588" w:right="1418" w:bottom="1134" w:left="1418" w:header="851" w:footer="992" w:gutter="0"/>
          <w:cols w:space="720" w:num="1"/>
          <w:titlePg/>
          <w:docGrid w:type="lines" w:linePitch="312" w:charSpace="0"/>
        </w:sectPr>
      </w:pPr>
    </w:p>
    <w:p>
      <w:pPr>
        <w:pStyle w:val="21"/>
        <w:spacing w:line="240" w:lineRule="auto"/>
        <w:ind w:firstLine="0" w:firstLineChars="0"/>
        <w:jc w:val="both"/>
        <w:textAlignment w:val="auto"/>
        <w:outlineLvl w:val="1"/>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附件15 SRM非生产供应商注册操作手册</w:t>
      </w:r>
    </w:p>
    <w:p>
      <w:pPr>
        <w:pStyle w:val="21"/>
      </w:pPr>
    </w:p>
    <w:p>
      <w:r>
        <w:t>浏览器中输入地址;</w:t>
      </w:r>
    </w:p>
    <w:p>
      <w:pPr>
        <w:rPr>
          <w:rFonts w:ascii="Times New Roman" w:hAnsi="Times New Roman" w:eastAsia="宋体" w:cs="Times New Roman"/>
          <w:sz w:val="24"/>
          <w:szCs w:val="24"/>
        </w:rPr>
      </w:pPr>
      <w:r>
        <w:fldChar w:fldCharType="begin"/>
      </w:r>
      <w:r>
        <w:instrText xml:space="preserve"> HYPERLINK "http://ecaitong.sinotruk.com:8012/" \l "/login" \t "dlt" </w:instrText>
      </w:r>
      <w:r>
        <w:fldChar w:fldCharType="separate"/>
      </w:r>
      <w:r>
        <w:rPr>
          <w:rFonts w:ascii="Times New Roman" w:hAnsi="Times New Roman" w:eastAsia="宋体" w:cs="Times New Roman"/>
          <w:sz w:val="24"/>
          <w:szCs w:val="24"/>
        </w:rPr>
        <w:t>http</w:t>
      </w:r>
      <w:r>
        <w:rPr>
          <w:rFonts w:hint="eastAsia" w:cs="Times New Roman"/>
          <w:sz w:val="24"/>
          <w:szCs w:val="24"/>
          <w:lang w:val="en-US" w:eastAsia="zh-CN"/>
        </w:rPr>
        <w:t>s</w:t>
      </w:r>
      <w:r>
        <w:rPr>
          <w:rFonts w:ascii="Times New Roman" w:hAnsi="Times New Roman" w:eastAsia="宋体" w:cs="Times New Roman"/>
          <w:sz w:val="24"/>
          <w:szCs w:val="24"/>
        </w:rPr>
        <w:t>://ecaitong.sinotruk.com:8012/#/login</w:t>
      </w:r>
      <w:r>
        <w:rPr>
          <w:rFonts w:ascii="Times New Roman" w:hAnsi="Times New Roman" w:eastAsia="宋体" w:cs="Times New Roman"/>
          <w:sz w:val="24"/>
          <w:szCs w:val="24"/>
        </w:rPr>
        <w:fldChar w:fldCharType="end"/>
      </w:r>
    </w:p>
    <w:p>
      <w:r>
        <w:t>1.点击立即注册</w:t>
      </w:r>
    </w:p>
    <w:p>
      <w:r>
        <w:drawing>
          <wp:inline distT="0" distB="0" distL="0" distR="0">
            <wp:extent cx="5760085" cy="2933065"/>
            <wp:effectExtent l="0" t="0" r="12065" b="63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35"/>
                    <a:stretch>
                      <a:fillRect/>
                    </a:stretch>
                  </pic:blipFill>
                  <pic:spPr>
                    <a:xfrm>
                      <a:off x="0" y="0"/>
                      <a:ext cx="5760085" cy="2933377"/>
                    </a:xfrm>
                    <a:prstGeom prst="rect">
                      <a:avLst/>
                    </a:prstGeom>
                  </pic:spPr>
                </pic:pic>
              </a:graphicData>
            </a:graphic>
          </wp:inline>
        </w:drawing>
      </w:r>
    </w:p>
    <w:p>
      <w:r>
        <w:t>2.填写手机号码（没有注册过的）</w:t>
      </w:r>
    </w:p>
    <w:p>
      <w:r>
        <w:drawing>
          <wp:inline distT="0" distB="0" distL="0" distR="0">
            <wp:extent cx="5760085" cy="2766695"/>
            <wp:effectExtent l="0" t="0" r="12065" b="14605"/>
            <wp:docPr id="15" name="picture" descr="descript"/>
            <wp:cNvGraphicFramePr/>
            <a:graphic xmlns:a="http://schemas.openxmlformats.org/drawingml/2006/main">
              <a:graphicData uri="http://schemas.openxmlformats.org/drawingml/2006/picture">
                <pic:pic xmlns:pic="http://schemas.openxmlformats.org/drawingml/2006/picture">
                  <pic:nvPicPr>
                    <pic:cNvPr id="15" name="picture" descr="descript"/>
                    <pic:cNvPicPr/>
                  </pic:nvPicPr>
                  <pic:blipFill>
                    <a:blip r:embed="rId36"/>
                    <a:stretch>
                      <a:fillRect/>
                    </a:stretch>
                  </pic:blipFill>
                  <pic:spPr>
                    <a:xfrm>
                      <a:off x="0" y="0"/>
                      <a:ext cx="5760085" cy="2766707"/>
                    </a:xfrm>
                    <a:prstGeom prst="rect">
                      <a:avLst/>
                    </a:prstGeom>
                  </pic:spPr>
                </pic:pic>
              </a:graphicData>
            </a:graphic>
          </wp:inline>
        </w:drawing>
      </w:r>
    </w:p>
    <w:p>
      <w:r>
        <w:t>3.注册成功登录这个手机号码的账号进入系统，点击供应商注册</w:t>
      </w:r>
    </w:p>
    <w:p>
      <w:r>
        <w:drawing>
          <wp:inline distT="0" distB="0" distL="0" distR="0">
            <wp:extent cx="5760085" cy="2869565"/>
            <wp:effectExtent l="0" t="0" r="12065" b="698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37"/>
                    <a:stretch>
                      <a:fillRect/>
                    </a:stretch>
                  </pic:blipFill>
                  <pic:spPr>
                    <a:xfrm>
                      <a:off x="0" y="0"/>
                      <a:ext cx="5760085" cy="2870054"/>
                    </a:xfrm>
                    <a:prstGeom prst="rect">
                      <a:avLst/>
                    </a:prstGeom>
                  </pic:spPr>
                </pic:pic>
              </a:graphicData>
            </a:graphic>
          </wp:inline>
        </w:drawing>
      </w:r>
    </w:p>
    <w:p>
      <w:r>
        <w:t>4.点击新增</w:t>
      </w:r>
    </w:p>
    <w:p>
      <w:r>
        <w:drawing>
          <wp:inline distT="0" distB="0" distL="0" distR="0">
            <wp:extent cx="5760085" cy="2853055"/>
            <wp:effectExtent l="0" t="0" r="12065" b="444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8"/>
                    <a:stretch>
                      <a:fillRect/>
                    </a:stretch>
                  </pic:blipFill>
                  <pic:spPr>
                    <a:xfrm>
                      <a:off x="0" y="0"/>
                      <a:ext cx="5760085" cy="2853375"/>
                    </a:xfrm>
                    <a:prstGeom prst="rect">
                      <a:avLst/>
                    </a:prstGeom>
                  </pic:spPr>
                </pic:pic>
              </a:graphicData>
            </a:graphic>
          </wp:inline>
        </w:drawing>
      </w:r>
    </w:p>
    <w:p>
      <w:r>
        <w:t>5.按要求填写所有信息，注意非生产类要填写合作单位，最后提交审批</w:t>
      </w:r>
    </w:p>
    <w:p>
      <w:pPr>
        <w:rPr>
          <w:rFonts w:eastAsia="宋体"/>
        </w:rPr>
      </w:pPr>
      <w:r>
        <w:t>审批通过后，注意记录本单位的“供应商代码”，代码用于登录系统后应标。登录信息如下：</w:t>
      </w:r>
    </w:p>
    <w:p>
      <w:r>
        <w:t>用 户 名：gys+供应商代码</w:t>
      </w:r>
    </w:p>
    <w:p>
      <w:r>
        <w:t>初始密码：</w:t>
      </w:r>
      <w:r>
        <w:rPr>
          <w:highlight w:val="yellow"/>
        </w:rPr>
        <w:t>scm@2022</w:t>
      </w:r>
    </w:p>
    <w:p>
      <w:pPr>
        <w:pStyle w:val="21"/>
      </w:pPr>
    </w:p>
    <w:p>
      <w:r>
        <w:drawing>
          <wp:inline distT="0" distB="0" distL="0" distR="0">
            <wp:extent cx="5760085" cy="2809875"/>
            <wp:effectExtent l="0" t="0" r="12065" b="952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9"/>
                    <a:stretch>
                      <a:fillRect/>
                    </a:stretch>
                  </pic:blipFill>
                  <pic:spPr>
                    <a:xfrm>
                      <a:off x="0" y="0"/>
                      <a:ext cx="5760085" cy="2810122"/>
                    </a:xfrm>
                    <a:prstGeom prst="rect">
                      <a:avLst/>
                    </a:prstGeom>
                  </pic:spPr>
                </pic:pic>
              </a:graphicData>
            </a:graphic>
          </wp:inline>
        </w:drawing>
      </w:r>
    </w:p>
    <w:p>
      <w:pPr>
        <w:pStyle w:val="21"/>
      </w:pPr>
      <w:r>
        <w:drawing>
          <wp:inline distT="0" distB="0" distL="0" distR="0">
            <wp:extent cx="5760085" cy="2820035"/>
            <wp:effectExtent l="0" t="0" r="12065" b="1841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0"/>
                    <a:stretch>
                      <a:fillRect/>
                    </a:stretch>
                  </pic:blipFill>
                  <pic:spPr>
                    <a:xfrm>
                      <a:off x="0" y="0"/>
                      <a:ext cx="5760085" cy="2820042"/>
                    </a:xfrm>
                    <a:prstGeom prst="rect">
                      <a:avLst/>
                    </a:prstGeom>
                  </pic:spPr>
                </pic:pic>
              </a:graphicData>
            </a:graphic>
          </wp:inline>
        </w:drawing>
      </w:r>
    </w:p>
    <w:p>
      <w:pPr>
        <w:pStyle w:val="21"/>
      </w:pPr>
    </w:p>
    <w:p>
      <w:pPr>
        <w:rPr>
          <w:b/>
          <w:bCs/>
          <w:highlight w:val="yellow"/>
        </w:rPr>
      </w:pPr>
      <w:r>
        <w:rPr>
          <w:b/>
          <w:bCs/>
          <w:highlight w:val="yellow"/>
        </w:rPr>
        <w:t>注：</w:t>
      </w:r>
    </w:p>
    <w:p>
      <w:pPr>
        <w:rPr>
          <w:b/>
          <w:bCs/>
          <w:highlight w:val="yellow"/>
        </w:rPr>
      </w:pPr>
      <w:r>
        <w:rPr>
          <w:b/>
          <w:bCs/>
          <w:highlight w:val="yellow"/>
        </w:rPr>
        <w:t>1.“项目名称”和“采购形式编号”见投标须知前附表1.1；</w:t>
      </w:r>
    </w:p>
    <w:p>
      <w:pPr>
        <w:pStyle w:val="21"/>
        <w:rPr>
          <w:b/>
          <w:bCs/>
        </w:rPr>
      </w:pPr>
      <w:r>
        <w:rPr>
          <w:b/>
          <w:bCs/>
          <w:highlight w:val="yellow"/>
        </w:rPr>
        <w:t>2.配套能力“供货类别”填“工艺设备”，业务主管部门为“工艺研究院”。</w:t>
      </w:r>
    </w:p>
    <w:p>
      <w:pPr>
        <w:pStyle w:val="21"/>
      </w:pPr>
    </w:p>
    <w:p>
      <w:pPr>
        <w:sectPr>
          <w:pgSz w:w="11906" w:h="16838"/>
          <w:pgMar w:top="1588" w:right="1418" w:bottom="1134" w:left="1418" w:header="851" w:footer="992" w:gutter="0"/>
          <w:cols w:space="720" w:num="1"/>
          <w:titlePg/>
          <w:docGrid w:type="lines" w:linePitch="312" w:charSpace="0"/>
        </w:sectPr>
      </w:pPr>
    </w:p>
    <w:p>
      <w:pPr>
        <w:pStyle w:val="21"/>
        <w:rPr>
          <w:b/>
          <w:bCs w:val="0"/>
        </w:rPr>
      </w:pPr>
      <w:r>
        <w:rPr>
          <w:b/>
          <w:bCs w:val="0"/>
        </w:rPr>
        <w:t>附件16 SRM系统供应商用户手册</w:t>
      </w:r>
    </w:p>
    <w:p>
      <w:r>
        <w:rPr>
          <w:color w:val="000000"/>
        </w:rPr>
        <w:t>系统网址：</w:t>
      </w:r>
      <w:r>
        <w:fldChar w:fldCharType="begin"/>
      </w:r>
      <w:r>
        <w:instrText xml:space="preserve"> HYPERLINK "http://ecaitong.sinotruk.com:8012/" \t "dlt" </w:instrText>
      </w:r>
      <w:r>
        <w:fldChar w:fldCharType="separate"/>
      </w:r>
      <w:r>
        <w:rPr>
          <w:rStyle w:val="48"/>
          <w:rFonts w:ascii="Times New Roman" w:hAnsi="Times New Roman" w:eastAsia="宋体" w:cs="Times New Roman"/>
          <w:sz w:val="24"/>
          <w:szCs w:val="24"/>
        </w:rPr>
        <w:t>http</w:t>
      </w:r>
      <w:r>
        <w:rPr>
          <w:rStyle w:val="48"/>
          <w:rFonts w:hint="eastAsia" w:cs="Times New Roman"/>
          <w:sz w:val="24"/>
          <w:szCs w:val="24"/>
          <w:lang w:val="en-US" w:eastAsia="zh-CN"/>
        </w:rPr>
        <w:t>s</w:t>
      </w:r>
      <w:r>
        <w:rPr>
          <w:rStyle w:val="48"/>
          <w:rFonts w:ascii="Times New Roman" w:hAnsi="Times New Roman" w:eastAsia="宋体" w:cs="Times New Roman"/>
          <w:sz w:val="24"/>
          <w:szCs w:val="24"/>
        </w:rPr>
        <w:t>://ecaitong.sinotruk.com:8012/</w:t>
      </w:r>
      <w:r>
        <w:rPr>
          <w:rStyle w:val="48"/>
          <w:rFonts w:ascii="Times New Roman" w:hAnsi="Times New Roman" w:eastAsia="宋体" w:cs="Times New Roman"/>
          <w:sz w:val="24"/>
          <w:szCs w:val="24"/>
        </w:rPr>
        <w:fldChar w:fldCharType="end"/>
      </w:r>
      <w:r>
        <w:rPr>
          <w:rStyle w:val="48"/>
          <w:rFonts w:ascii="Times New Roman" w:hAnsi="Times New Roman" w:eastAsia="宋体" w:cs="Times New Roman"/>
          <w:sz w:val="24"/>
          <w:szCs w:val="24"/>
        </w:rPr>
        <w:t>（以下内容可能非最新版本，仅供参考，请登录系统网址后，点检查看最新版供应商手册）</w:t>
      </w:r>
    </w:p>
    <w:p>
      <w:pPr>
        <w:rPr>
          <w:rFonts w:eastAsia="宋体"/>
          <w:sz w:val="24"/>
          <w:szCs w:val="24"/>
        </w:rPr>
      </w:pPr>
      <w:r>
        <mc:AlternateContent>
          <mc:Choice Requires="wps">
            <w:drawing>
              <wp:anchor distT="0" distB="0" distL="114300" distR="114300" simplePos="0" relativeHeight="251674624"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30" name="流程图: 过程 31"/>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流程图: 过程 31" o:spid="_x0000_s1026" o:spt="109" type="#_x0000_t109" style="position:absolute;left:0pt;margin-left:125.75pt;margin-top:287.45pt;height:25.35pt;width:169.6pt;z-index:251674624;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yZz3CNkAAAALAQAADwAAAAAAAAABACAAAAAiAAAA&#10;ZHJzL2Rvd25yZXYueG1sUEsBAhQAFAAAAAgAh07iQOTiIxexAgAAWwUAAA4AAAAAAAAAAQAgAAAA&#10;KAEAAGRycy9lMm9Eb2MueG1sUEsFBgAAAAAGAAYAWQEAAEsGA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41"/>
                    <a:stretch>
                      <a:fillRect/>
                    </a:stretch>
                  </pic:blipFill>
                  <pic:spPr>
                    <a:xfrm>
                      <a:off x="0" y="0"/>
                      <a:ext cx="4067175" cy="4876800"/>
                    </a:xfrm>
                    <a:prstGeom prst="rect">
                      <a:avLst/>
                    </a:prstGeom>
                    <a:noFill/>
                    <a:ln>
                      <a:noFill/>
                    </a:ln>
                  </pic:spPr>
                </pic:pic>
              </a:graphicData>
            </a:graphic>
          </wp:inline>
        </w:drawing>
      </w:r>
    </w:p>
    <w:p>
      <w:r>
        <w:rPr>
          <w:color w:val="000000"/>
        </w:rPr>
        <w:t>用 户 名：gys+供应商代码（</w:t>
      </w:r>
      <w:r>
        <w:t>注意：注册完毕后，用户名不要用手机号登录</w:t>
      </w:r>
      <w:r>
        <w:rPr>
          <w:color w:val="000000"/>
        </w:rPr>
        <w:t>）</w:t>
      </w:r>
    </w:p>
    <w:p>
      <w:r>
        <w:t>初始密码：</w:t>
      </w:r>
      <w:r>
        <w:rPr>
          <w:highlight w:val="yellow"/>
        </w:rPr>
        <w:t>scm@2022</w:t>
      </w:r>
    </w:p>
    <w:p>
      <w:pPr>
        <w:rPr>
          <w:b/>
          <w:bCs/>
        </w:rPr>
      </w:pPr>
      <w:r>
        <w:rPr>
          <w:b/>
          <w:bCs/>
        </w:rPr>
        <w:t>1.供应商应标</w:t>
      </w:r>
    </w:p>
    <w:p>
      <w:r>
        <w:t>路径：招投标中心-非生产类招投标-供应商应标</w:t>
      </w:r>
    </w:p>
    <w:p>
      <w:r>
        <w:t>点击应标，上传文件之后点击提交。</w:t>
      </w:r>
    </w:p>
    <w:p>
      <w:r>
        <w:drawing>
          <wp:inline distT="0" distB="0" distL="0" distR="0">
            <wp:extent cx="5760085" cy="2269490"/>
            <wp:effectExtent l="0" t="0" r="12065" b="16510"/>
            <wp:docPr id="35" name="picture" descr="descript"/>
            <wp:cNvGraphicFramePr/>
            <a:graphic xmlns:a="http://schemas.openxmlformats.org/drawingml/2006/main">
              <a:graphicData uri="http://schemas.openxmlformats.org/drawingml/2006/picture">
                <pic:pic xmlns:pic="http://schemas.openxmlformats.org/drawingml/2006/picture">
                  <pic:nvPicPr>
                    <pic:cNvPr id="35" name="picture" descr="descript"/>
                    <pic:cNvPicPr/>
                  </pic:nvPicPr>
                  <pic:blipFill>
                    <a:blip r:embed="rId42"/>
                    <a:stretch>
                      <a:fillRect/>
                    </a:stretch>
                  </pic:blipFill>
                  <pic:spPr>
                    <a:xfrm>
                      <a:off x="0" y="0"/>
                      <a:ext cx="5760085" cy="2269864"/>
                    </a:xfrm>
                    <a:prstGeom prst="rect">
                      <a:avLst/>
                    </a:prstGeom>
                  </pic:spPr>
                </pic:pic>
              </a:graphicData>
            </a:graphic>
          </wp:inline>
        </w:drawing>
      </w:r>
    </w:p>
    <w:p/>
    <w:p>
      <w:pPr>
        <w:rPr>
          <w:b/>
          <w:bCs/>
        </w:rPr>
      </w:pPr>
      <w:r>
        <w:rPr>
          <w:b/>
          <w:bCs/>
        </w:rPr>
        <w:t>2.供应商投标</w:t>
      </w:r>
    </w:p>
    <w:p>
      <w:r>
        <w:t>路径：招投标中心-非生产类招投标-供应商投标</w:t>
      </w:r>
    </w:p>
    <w:p>
      <w:r>
        <w:drawing>
          <wp:inline distT="0" distB="0" distL="0" distR="0">
            <wp:extent cx="5760085" cy="2125345"/>
            <wp:effectExtent l="0" t="0" r="12065" b="8255"/>
            <wp:docPr id="38" name="picture" descr="descript"/>
            <wp:cNvGraphicFramePr/>
            <a:graphic xmlns:a="http://schemas.openxmlformats.org/drawingml/2006/main">
              <a:graphicData uri="http://schemas.openxmlformats.org/drawingml/2006/picture">
                <pic:pic xmlns:pic="http://schemas.openxmlformats.org/drawingml/2006/picture">
                  <pic:nvPicPr>
                    <pic:cNvPr id="38" name="picture" descr="descript"/>
                    <pic:cNvPicPr/>
                  </pic:nvPicPr>
                  <pic:blipFill>
                    <a:blip r:embed="rId43"/>
                    <a:stretch>
                      <a:fillRect/>
                    </a:stretch>
                  </pic:blipFill>
                  <pic:spPr>
                    <a:xfrm>
                      <a:off x="0" y="0"/>
                      <a:ext cx="5760085" cy="2125673"/>
                    </a:xfrm>
                    <a:prstGeom prst="rect">
                      <a:avLst/>
                    </a:prstGeom>
                  </pic:spPr>
                </pic:pic>
              </a:graphicData>
            </a:graphic>
          </wp:inline>
        </w:drawing>
      </w:r>
    </w:p>
    <w:p>
      <w:r>
        <w:t>点击投标按钮，进入详情页，输入投标报价并上传相应的附件。</w:t>
      </w:r>
    </w:p>
    <w:p>
      <w:pPr>
        <w:rPr>
          <w:highlight w:val="yellow"/>
        </w:rPr>
      </w:pPr>
      <w:r>
        <w:rPr>
          <w:highlight w:val="yellow"/>
        </w:rPr>
        <w:t>注意：系统内的投标报价单位为“万元”，如开标现场发现填错报价，即直接淘汰。</w:t>
      </w:r>
    </w:p>
    <w:p>
      <w:pPr>
        <w:pStyle w:val="21"/>
      </w:pPr>
    </w:p>
    <w:p>
      <w:r>
        <w:drawing>
          <wp:inline distT="0" distB="0" distL="0" distR="0">
            <wp:extent cx="5490210" cy="2668905"/>
            <wp:effectExtent l="0" t="0" r="15240" b="17145"/>
            <wp:docPr id="41" name="picture" descr="descript"/>
            <wp:cNvGraphicFramePr/>
            <a:graphic xmlns:a="http://schemas.openxmlformats.org/drawingml/2006/main">
              <a:graphicData uri="http://schemas.openxmlformats.org/drawingml/2006/picture">
                <pic:pic xmlns:pic="http://schemas.openxmlformats.org/drawingml/2006/picture">
                  <pic:nvPicPr>
                    <pic:cNvPr id="41" name="picture" descr="descript"/>
                    <pic:cNvPicPr/>
                  </pic:nvPicPr>
                  <pic:blipFill>
                    <a:blip r:embed="rId44"/>
                    <a:stretch>
                      <a:fillRect/>
                    </a:stretch>
                  </pic:blipFill>
                  <pic:spPr>
                    <a:xfrm>
                      <a:off x="0" y="0"/>
                      <a:ext cx="5490210" cy="2669498"/>
                    </a:xfrm>
                    <a:prstGeom prst="rect">
                      <a:avLst/>
                    </a:prstGeom>
                  </pic:spPr>
                </pic:pic>
              </a:graphicData>
            </a:graphic>
          </wp:inline>
        </w:drawing>
      </w:r>
    </w:p>
    <w:p>
      <w:pPr>
        <w:rPr>
          <w:b/>
          <w:bCs/>
        </w:rPr>
      </w:pPr>
      <w:r>
        <w:rPr>
          <w:b/>
          <w:bCs/>
        </w:rPr>
        <w:t>3.供应商技术标澄清函</w:t>
      </w:r>
    </w:p>
    <w:p>
      <w:r>
        <w:t>路径：招投标中心-非生产类招投标-供应商技术标澄清函</w:t>
      </w:r>
    </w:p>
    <w:p>
      <w:r>
        <w:t>点击编辑按钮进入系统，编辑技术标澄清函最后填写授权代表姓名及电话。</w:t>
      </w:r>
    </w:p>
    <w:p>
      <w:pPr>
        <w:rPr>
          <w:rFonts w:eastAsia="Arial"/>
          <w:sz w:val="28"/>
        </w:rPr>
      </w:pPr>
      <w:r>
        <w:t>开标之后所有投标的供应商都可编辑提交，技术标入围之后 都不可编辑</w:t>
      </w:r>
      <w:r>
        <w:rPr>
          <w:rFonts w:eastAsia="Arial"/>
          <w:sz w:val="28"/>
        </w:rPr>
        <w:drawing>
          <wp:inline distT="0" distB="0" distL="0" distR="0">
            <wp:extent cx="5490210" cy="1992630"/>
            <wp:effectExtent l="0" t="0" r="15240" b="7620"/>
            <wp:docPr id="44" name="picture" descr="descript"/>
            <wp:cNvGraphicFramePr/>
            <a:graphic xmlns:a="http://schemas.openxmlformats.org/drawingml/2006/main">
              <a:graphicData uri="http://schemas.openxmlformats.org/drawingml/2006/picture">
                <pic:pic xmlns:pic="http://schemas.openxmlformats.org/drawingml/2006/picture">
                  <pic:nvPicPr>
                    <pic:cNvPr id="44" name="picture" descr="descript"/>
                    <pic:cNvPicPr/>
                  </pic:nvPicPr>
                  <pic:blipFill>
                    <a:blip r:embed="rId45"/>
                    <a:stretch>
                      <a:fillRect/>
                    </a:stretch>
                  </pic:blipFill>
                  <pic:spPr>
                    <a:xfrm>
                      <a:off x="0" y="0"/>
                      <a:ext cx="5490210" cy="1992743"/>
                    </a:xfrm>
                    <a:prstGeom prst="rect">
                      <a:avLst/>
                    </a:prstGeom>
                  </pic:spPr>
                </pic:pic>
              </a:graphicData>
            </a:graphic>
          </wp:inline>
        </w:drawing>
      </w:r>
    </w:p>
    <w:p>
      <w:pPr>
        <w:rPr>
          <w:b/>
          <w:bCs/>
        </w:rPr>
      </w:pPr>
      <w:r>
        <w:rPr>
          <w:b/>
          <w:bCs/>
        </w:rPr>
        <w:t>4.供应商报价</w:t>
      </w:r>
    </w:p>
    <w:p>
      <w:r>
        <w:t>路径：招投标中心-非生产类招投标-供应商报价</w:t>
      </w:r>
    </w:p>
    <w:p>
      <w:r>
        <w:t>点击报价按钮进入报价详情界面，请在此轮报价起止时间内报价，否则无法报价。</w:t>
      </w:r>
    </w:p>
    <w:p>
      <w:pPr>
        <w:rPr>
          <w:b/>
          <w:bCs/>
        </w:rPr>
      </w:pPr>
      <w:r>
        <w:rPr>
          <w:b/>
          <w:bCs/>
        </w:rPr>
        <w:t>5.供应商澄清报价</w:t>
      </w:r>
    </w:p>
    <w:p>
      <w:r>
        <w:t>路径：招投标中心-非生产类招投标-供应商澄清报价</w:t>
      </w:r>
    </w:p>
    <w:p>
      <w:r>
        <w:t>招标发起人接收建议价的同时会给供应商发送澄清报价，供应商在此界面进行澄清报价，点击编辑按钮进入澄清报价详细界面，输入价格并填写商务澄清内容（最后填写授权代表姓名、电话），之后点击提交。</w:t>
      </w:r>
    </w:p>
    <w:p>
      <w:r>
        <w:drawing>
          <wp:inline distT="0" distB="0" distL="0" distR="0">
            <wp:extent cx="5490210" cy="2544445"/>
            <wp:effectExtent l="0" t="0" r="15240" b="8255"/>
            <wp:docPr id="47" name="picture" descr="descript"/>
            <wp:cNvGraphicFramePr/>
            <a:graphic xmlns:a="http://schemas.openxmlformats.org/drawingml/2006/main">
              <a:graphicData uri="http://schemas.openxmlformats.org/drawingml/2006/picture">
                <pic:pic xmlns:pic="http://schemas.openxmlformats.org/drawingml/2006/picture">
                  <pic:nvPicPr>
                    <pic:cNvPr id="47" name="picture" descr="descript"/>
                    <pic:cNvPicPr/>
                  </pic:nvPicPr>
                  <pic:blipFill>
                    <a:blip r:embed="rId46"/>
                    <a:stretch>
                      <a:fillRect/>
                    </a:stretch>
                  </pic:blipFill>
                  <pic:spPr>
                    <a:xfrm>
                      <a:off x="0" y="0"/>
                      <a:ext cx="5490210" cy="2544669"/>
                    </a:xfrm>
                    <a:prstGeom prst="rect">
                      <a:avLst/>
                    </a:prstGeom>
                  </pic:spPr>
                </pic:pic>
              </a:graphicData>
            </a:graphic>
          </wp:inline>
        </w:drawing>
      </w:r>
    </w:p>
    <w:p>
      <w:pPr>
        <w:rPr>
          <w:b/>
          <w:bCs/>
        </w:rPr>
      </w:pPr>
      <w:r>
        <w:rPr>
          <w:b/>
          <w:bCs/>
        </w:rPr>
        <w:t>6.供应商查看中标通知</w:t>
      </w:r>
    </w:p>
    <w:p>
      <w:r>
        <w:t>路径：招投标中心-非生产类招投标-中标项目</w:t>
      </w:r>
    </w:p>
    <w:p>
      <w:r>
        <w:t>点击查看进入查看中标项目详情</w:t>
      </w:r>
    </w:p>
    <w:p>
      <w:r>
        <w:drawing>
          <wp:inline distT="0" distB="0" distL="0" distR="0">
            <wp:extent cx="5474335" cy="1300480"/>
            <wp:effectExtent l="0" t="0" r="12065" b="13970"/>
            <wp:docPr id="50" name="picture" descr="descript"/>
            <wp:cNvGraphicFramePr/>
            <a:graphic xmlns:a="http://schemas.openxmlformats.org/drawingml/2006/main">
              <a:graphicData uri="http://schemas.openxmlformats.org/drawingml/2006/picture">
                <pic:pic xmlns:pic="http://schemas.openxmlformats.org/drawingml/2006/picture">
                  <pic:nvPicPr>
                    <pic:cNvPr id="50" name="picture" descr="descript"/>
                    <pic:cNvPicPr/>
                  </pic:nvPicPr>
                  <pic:blipFill>
                    <a:blip r:embed="rId47"/>
                    <a:stretch>
                      <a:fillRect/>
                    </a:stretch>
                  </pic:blipFill>
                  <pic:spPr>
                    <a:xfrm>
                      <a:off x="0" y="0"/>
                      <a:ext cx="5474335" cy="1300480"/>
                    </a:xfrm>
                    <a:prstGeom prst="rect">
                      <a:avLst/>
                    </a:prstGeom>
                  </pic:spPr>
                </pic:pic>
              </a:graphicData>
            </a:graphic>
          </wp:inline>
        </w:drawing>
      </w:r>
    </w:p>
    <w:p>
      <w:pPr>
        <w:pStyle w:val="21"/>
        <w:rPr>
          <w:rFonts w:hint="default" w:ascii="Times New Roman" w:hAnsi="Times New Roman" w:eastAsia="宋体" w:cs="Times New Roman"/>
          <w:b/>
          <w:color w:val="000000"/>
          <w:sz w:val="24"/>
          <w:szCs w:val="24"/>
        </w:rPr>
      </w:pPr>
    </w:p>
    <w:sectPr>
      <w:headerReference r:id="rId31" w:type="first"/>
      <w:footerReference r:id="rId33" w:type="first"/>
      <w:headerReference r:id="rId30" w:type="default"/>
      <w:footerReference r:id="rId32" w:type="default"/>
      <w:pgSz w:w="11906" w:h="16838"/>
      <w:pgMar w:top="1588" w:right="1418" w:bottom="1134" w:left="1418" w:header="851" w:footer="992" w:gutter="0"/>
      <w:pgBorders>
        <w:top w:val="none" w:sz="0" w:space="0"/>
        <w:left w:val="none" w:sz="0" w:space="0"/>
        <w:bottom w:val="none" w:sz="0" w:space="0"/>
        <w:right w:val="none" w:sz="0" w:space="0"/>
      </w:pgBorders>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alibri Light">
    <w:panose1 w:val="020F0302020204030204"/>
    <w:charset w:val="00"/>
    <w:family w:val="swiss"/>
    <w:pitch w:val="default"/>
    <w:sig w:usb0="E4002EFF" w:usb1="C0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等线 Light">
    <w:panose1 w:val="02010600030101010101"/>
    <w:charset w:val="86"/>
    <w:family w:val="auto"/>
    <w:pitch w:val="default"/>
    <w:sig w:usb0="A00002BF" w:usb1="38CF7CFA" w:usb2="00000016" w:usb3="00000000" w:csb0="0004000F" w:csb1="00000000"/>
  </w:font>
  <w:font w:name="Cordia New">
    <w:altName w:val="宋体"/>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华文仿宋">
    <w:panose1 w:val="02010600040101010101"/>
    <w:charset w:val="86"/>
    <w:family w:val="auto"/>
    <w:pitch w:val="default"/>
    <w:sig w:usb0="00000287" w:usb1="080F0000" w:usb2="00000000" w:usb3="00000000" w:csb0="0004009F" w:csb1="DFD7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1QbaYtAgAAVwQAAA4AAABkcnMvZTJvRG9jLnhtbK1UzY7TMBC+I/EO&#10;lu80aYGlqp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1QbaY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3"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L1CvktAgAAWA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L1Cvk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49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VsZAgtAgAAWA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VsZAg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49</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9"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8"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mSxAItAgAAWA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xvk0KtRaP0PgvUVo6N6ZDn0znHscRuJd5VT8ghKBH/oeL/qKLhAeL00n02kOF4dv2AA/&#10;e7xunQ/vhVEkGgV1KGDSlR02PvShQ0jMps26kTIVUWrSgsXrN3m6cPEAXGrkiCT6x0YrdNvuzGxr&#10;yiOIOdM3h7d83SD5hvlwxxy6AQ/GvIRbLJU0SGLOFiW1cV//dR7jUSR4KWnRXQXVGCZK5AeN4gEw&#10;DIYbjO1g6L26MWjXMebQ8mTiggtyMCtn1BcM0TLmgItpjkwFDYN5E/oOxxBysVymILSbZWGj7y2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mSxAI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69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9"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roaAtAgAAWA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xroaA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69</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Times New Roman" w:hAnsi="Times New Roman" w:eastAsia="Times New Roman" w:cs="Times New Roman"/>
        <w:szCs w:val="18"/>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1" name="文本框 1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1"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89kvgLgIAAFg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Times New Roman" w:hAnsi="Times New Roman" w:eastAsia="Times New Roman" w:cs="Times New Roman"/>
        <w:szCs w:val="18"/>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73" name="文本框 1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64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2"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Y7gnsuAgAAWA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GO4J7LgIAAFg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64</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宋体" w:hAnsi="宋体" w:eastAsia="宋体" w:cs="宋体"/>
        <w:szCs w:val="18"/>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0"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wJ8tc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宋体" w:hAnsi="宋体" w:eastAsia="宋体" w:cs="宋体"/>
        <w:szCs w:val="17"/>
      </w:rP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7"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5"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1dTxti8CAABYBAAADgAAAAAAAAABACAAAAAfAQAAZHJzL2Uyb0RvYy54bWxQSwUGAAAA&#10;AAYABgBZAQAAwA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等线" w:hAnsi="等线" w:eastAsia="等线" w:cs="等线"/>
        <w:szCs w:val="17"/>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1"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wJSbU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79"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17"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Vju0AAAAAUBAAAPAAAAAAAAAAEAIAAAACIAAABkcnMvZG93bnJldi54bWxQSwECFAAUAAAA&#10;CACHTuJAqrsndi8CAABYBAAADgAAAAAAAAABACAAAAAfAQAAZHJzL2Uyb0RvYy54bWxQSwUGAAAA&#10;AAYABgBZAQAAwAU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- 165 -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9"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CAuhOyLgIAAFc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- 165 -</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83" name="文本框 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- 163 -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8"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ANOfwwtAgAAVw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- 163 -</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3uVt8tAgAAVgQAAA4AAABkcnMvZTJvRG9jLnhtbK1UzY7TMBC+I/EO&#10;lu80aYFV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3uVt8tAgAAVg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5"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0"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AbC+FRLgIAAFg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7"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1"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0iCokuAgAAWA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x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tIgqJLgIAAFg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9"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Q/TWguAgAAWAQAAA4AAABkcnMvZTJvRG9jLnhtbK1UzY7TMBC+I/EO&#10;lu80adGu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LNJWO7QAAAABQEAAA8AAAAAAAAAAQAgAAAAIgAAAGRycy9kb3ducmV2LnhtbFBLAQIUABQAAAAI&#10;AIdO4kB0P01oLgIAAFgEAAAOAAAAAAAAAAEAIAAAAB8BAABkcnMvZTJvRG9jLnhtbFBLBQYAAAAA&#10;BgAGAFkBAAC/BQ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1"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6"/>
                          </w:pPr>
                          <w:r>
                            <w:fldChar w:fldCharType="begin"/>
                          </w:r>
                          <w:r>
                            <w:instrText xml:space="preserve"> PAGE  \* MERGEFORMAT </w:instrText>
                          </w:r>
                          <w:r>
                            <w:fldChar w:fldCharType="separate"/>
                          </w:r>
                          <w:r>
                            <w:t>46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3"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DxhuQtAgAAWAQAAA4AAAAAAAAAAQAgAAAAHwEAAGRycy9lMm9Eb2MueG1sUEsFBgAAAAAG&#10;AAYAWQEAAL4FAAAAAA==&#10;">
              <v:fill on="f" focussize="0,0"/>
              <v:stroke on="f" weight="0.5pt"/>
              <v:imagedata o:title=""/>
              <o:lock v:ext="edit" aspectratio="f"/>
              <v:textbox inset="0mm,0mm,0mm,0mm" style="mso-fit-shape-to-text:t;">
                <w:txbxContent>
                  <w:p>
                    <w:pPr>
                      <w:pStyle w:val="26"/>
                    </w:pPr>
                    <w:r>
                      <w:fldChar w:fldCharType="begin"/>
                    </w:r>
                    <w:r>
                      <w:instrText xml:space="preserve"> PAGE  \* MERGEFORMAT </w:instrText>
                    </w:r>
                    <w:r>
                      <w:fldChar w:fldCharType="separate"/>
                    </w:r>
                    <w:r>
                      <w:t>46</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p>
    <w:pPr>
      <w:pStyle w:val="27"/>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pPr>
  </w:p>
  <w:p>
    <w:pPr>
      <w:pStyle w:val="2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869E458"/>
    <w:multiLevelType w:val="singleLevel"/>
    <w:tmpl w:val="0869E458"/>
    <w:lvl w:ilvl="0" w:tentative="0">
      <w:start w:val="1"/>
      <w:numFmt w:val="decimal"/>
      <w:suff w:val="space"/>
      <w:lvlText w:val="(%1)"/>
      <w:lvlJc w:val="left"/>
    </w:lvl>
  </w:abstractNum>
  <w:abstractNum w:abstractNumId="5">
    <w:nsid w:val="10000F7A"/>
    <w:multiLevelType w:val="multilevel"/>
    <w:tmpl w:val="10000F7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A17607A"/>
    <w:multiLevelType w:val="singleLevel"/>
    <w:tmpl w:val="1A17607A"/>
    <w:lvl w:ilvl="0" w:tentative="0">
      <w:start w:val="1"/>
      <w:numFmt w:val="decimal"/>
      <w:suff w:val="space"/>
      <w:lvlText w:val="%1."/>
      <w:lvlJc w:val="left"/>
    </w:lvl>
  </w:abstractNum>
  <w:abstractNum w:abstractNumId="7">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8">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9">
    <w:nsid w:val="317D4CB0"/>
    <w:multiLevelType w:val="singleLevel"/>
    <w:tmpl w:val="317D4CB0"/>
    <w:lvl w:ilvl="0" w:tentative="0">
      <w:start w:val="5"/>
      <w:numFmt w:val="chineseCounting"/>
      <w:suff w:val="nothing"/>
      <w:lvlText w:val="%1、"/>
      <w:lvlJc w:val="left"/>
      <w:rPr>
        <w:rFonts w:hint="eastAsia"/>
      </w:r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7DE7897"/>
    <w:multiLevelType w:val="singleLevel"/>
    <w:tmpl w:val="77DE7897"/>
    <w:lvl w:ilvl="0" w:tentative="0">
      <w:start w:val="1"/>
      <w:numFmt w:val="decimal"/>
      <w:lvlText w:val="%1."/>
      <w:lvlJc w:val="left"/>
      <w:pPr>
        <w:tabs>
          <w:tab w:val="left" w:pos="312"/>
        </w:tabs>
      </w:pPr>
    </w:lvl>
  </w:abstractNum>
  <w:num w:numId="1">
    <w:abstractNumId w:val="11"/>
  </w:num>
  <w:num w:numId="2">
    <w:abstractNumId w:val="12"/>
  </w:num>
  <w:num w:numId="3">
    <w:abstractNumId w:val="0"/>
  </w:num>
  <w:num w:numId="4">
    <w:abstractNumId w:val="1"/>
  </w:num>
  <w:num w:numId="5">
    <w:abstractNumId w:val="7"/>
  </w:num>
  <w:num w:numId="6">
    <w:abstractNumId w:val="3"/>
  </w:num>
  <w:num w:numId="7">
    <w:abstractNumId w:val="10"/>
  </w:num>
  <w:num w:numId="8">
    <w:abstractNumId w:val="2"/>
  </w:num>
  <w:num w:numId="9">
    <w:abstractNumId w:val="8"/>
  </w:num>
  <w:num w:numId="10">
    <w:abstractNumId w:val="6"/>
  </w:num>
  <w:num w:numId="11">
    <w:abstractNumId w:val="9"/>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GQyNWM1MmMwNTBmZDE3MjE4NWEyZmQzODJiYmYifQ=="/>
  </w:docVars>
  <w:rsids>
    <w:rsidRoot w:val="0056018A"/>
    <w:rsid w:val="000139F5"/>
    <w:rsid w:val="00022B06"/>
    <w:rsid w:val="00036836"/>
    <w:rsid w:val="0005777A"/>
    <w:rsid w:val="00065382"/>
    <w:rsid w:val="00080223"/>
    <w:rsid w:val="000905E8"/>
    <w:rsid w:val="000A0D64"/>
    <w:rsid w:val="000A5309"/>
    <w:rsid w:val="000D0478"/>
    <w:rsid w:val="000D6A51"/>
    <w:rsid w:val="000F45A3"/>
    <w:rsid w:val="001463D0"/>
    <w:rsid w:val="0019616D"/>
    <w:rsid w:val="001C1EE3"/>
    <w:rsid w:val="001C713C"/>
    <w:rsid w:val="001D75B9"/>
    <w:rsid w:val="001E4177"/>
    <w:rsid w:val="001F1142"/>
    <w:rsid w:val="002003EC"/>
    <w:rsid w:val="00200F05"/>
    <w:rsid w:val="002055D6"/>
    <w:rsid w:val="002066BD"/>
    <w:rsid w:val="00220056"/>
    <w:rsid w:val="002626ED"/>
    <w:rsid w:val="00265A40"/>
    <w:rsid w:val="00282FDE"/>
    <w:rsid w:val="0029130A"/>
    <w:rsid w:val="002F22F8"/>
    <w:rsid w:val="00330DC1"/>
    <w:rsid w:val="00352400"/>
    <w:rsid w:val="00355676"/>
    <w:rsid w:val="003A4540"/>
    <w:rsid w:val="003B4D7D"/>
    <w:rsid w:val="003E0AB3"/>
    <w:rsid w:val="003F13E6"/>
    <w:rsid w:val="003F5807"/>
    <w:rsid w:val="00401C42"/>
    <w:rsid w:val="004076DE"/>
    <w:rsid w:val="0041656A"/>
    <w:rsid w:val="004269B8"/>
    <w:rsid w:val="00460AFB"/>
    <w:rsid w:val="00470130"/>
    <w:rsid w:val="00483B0A"/>
    <w:rsid w:val="00497C8D"/>
    <w:rsid w:val="004B2FFC"/>
    <w:rsid w:val="004B5126"/>
    <w:rsid w:val="004E3CEB"/>
    <w:rsid w:val="004F7838"/>
    <w:rsid w:val="00503391"/>
    <w:rsid w:val="0052238A"/>
    <w:rsid w:val="00523B39"/>
    <w:rsid w:val="00552960"/>
    <w:rsid w:val="0056018A"/>
    <w:rsid w:val="00567344"/>
    <w:rsid w:val="00570D01"/>
    <w:rsid w:val="005829DC"/>
    <w:rsid w:val="00591B40"/>
    <w:rsid w:val="005A0501"/>
    <w:rsid w:val="005C0B4E"/>
    <w:rsid w:val="005C1FD0"/>
    <w:rsid w:val="005C421F"/>
    <w:rsid w:val="005D241C"/>
    <w:rsid w:val="005E7AC5"/>
    <w:rsid w:val="005F16F0"/>
    <w:rsid w:val="00607F72"/>
    <w:rsid w:val="0065185D"/>
    <w:rsid w:val="00680629"/>
    <w:rsid w:val="00686C52"/>
    <w:rsid w:val="006A5961"/>
    <w:rsid w:val="006F1414"/>
    <w:rsid w:val="00726F97"/>
    <w:rsid w:val="007432BF"/>
    <w:rsid w:val="007525BF"/>
    <w:rsid w:val="007800DC"/>
    <w:rsid w:val="007838AA"/>
    <w:rsid w:val="00783D5E"/>
    <w:rsid w:val="00785FD6"/>
    <w:rsid w:val="007B212D"/>
    <w:rsid w:val="007F7530"/>
    <w:rsid w:val="00806A61"/>
    <w:rsid w:val="00824BFD"/>
    <w:rsid w:val="008453B3"/>
    <w:rsid w:val="00852EF4"/>
    <w:rsid w:val="008963D4"/>
    <w:rsid w:val="008D3B56"/>
    <w:rsid w:val="008D5CEF"/>
    <w:rsid w:val="009360F9"/>
    <w:rsid w:val="00964F00"/>
    <w:rsid w:val="009A660F"/>
    <w:rsid w:val="009B2625"/>
    <w:rsid w:val="009B511E"/>
    <w:rsid w:val="009E0F5E"/>
    <w:rsid w:val="00A21EB2"/>
    <w:rsid w:val="00A31561"/>
    <w:rsid w:val="00A31E57"/>
    <w:rsid w:val="00A45D8E"/>
    <w:rsid w:val="00A54E95"/>
    <w:rsid w:val="00A80564"/>
    <w:rsid w:val="00A960B2"/>
    <w:rsid w:val="00AA0664"/>
    <w:rsid w:val="00AE6633"/>
    <w:rsid w:val="00B01FF1"/>
    <w:rsid w:val="00B6248A"/>
    <w:rsid w:val="00B72516"/>
    <w:rsid w:val="00B92BB4"/>
    <w:rsid w:val="00B92C97"/>
    <w:rsid w:val="00BA3C70"/>
    <w:rsid w:val="00BB4E42"/>
    <w:rsid w:val="00BC4E17"/>
    <w:rsid w:val="00BC6852"/>
    <w:rsid w:val="00BD533C"/>
    <w:rsid w:val="00BF2D90"/>
    <w:rsid w:val="00C01073"/>
    <w:rsid w:val="00C10E94"/>
    <w:rsid w:val="00C562A4"/>
    <w:rsid w:val="00C73C41"/>
    <w:rsid w:val="00C855F6"/>
    <w:rsid w:val="00C92F53"/>
    <w:rsid w:val="00C975BD"/>
    <w:rsid w:val="00CB1585"/>
    <w:rsid w:val="00CC6FB3"/>
    <w:rsid w:val="00CD5223"/>
    <w:rsid w:val="00CE5010"/>
    <w:rsid w:val="00CE6E17"/>
    <w:rsid w:val="00D0528A"/>
    <w:rsid w:val="00D11B37"/>
    <w:rsid w:val="00D16A9A"/>
    <w:rsid w:val="00D17589"/>
    <w:rsid w:val="00D247F6"/>
    <w:rsid w:val="00D32DE2"/>
    <w:rsid w:val="00D408EF"/>
    <w:rsid w:val="00D5145C"/>
    <w:rsid w:val="00D57090"/>
    <w:rsid w:val="00D6345E"/>
    <w:rsid w:val="00D64DAE"/>
    <w:rsid w:val="00D729A1"/>
    <w:rsid w:val="00D823E8"/>
    <w:rsid w:val="00D85BCA"/>
    <w:rsid w:val="00D87066"/>
    <w:rsid w:val="00DA33E5"/>
    <w:rsid w:val="00DB5225"/>
    <w:rsid w:val="00DB6F57"/>
    <w:rsid w:val="00DD1E5E"/>
    <w:rsid w:val="00DE6417"/>
    <w:rsid w:val="00E15B1B"/>
    <w:rsid w:val="00E1627A"/>
    <w:rsid w:val="00E34C35"/>
    <w:rsid w:val="00E650A8"/>
    <w:rsid w:val="00E878B4"/>
    <w:rsid w:val="00EB3D00"/>
    <w:rsid w:val="00F71720"/>
    <w:rsid w:val="00F77216"/>
    <w:rsid w:val="00F822BA"/>
    <w:rsid w:val="00FE040F"/>
    <w:rsid w:val="00FE42B3"/>
    <w:rsid w:val="010A7B74"/>
    <w:rsid w:val="010C2EB8"/>
    <w:rsid w:val="012D2227"/>
    <w:rsid w:val="01313540"/>
    <w:rsid w:val="0131654C"/>
    <w:rsid w:val="01317F69"/>
    <w:rsid w:val="014832F2"/>
    <w:rsid w:val="014A4B87"/>
    <w:rsid w:val="014D51C1"/>
    <w:rsid w:val="015D5D19"/>
    <w:rsid w:val="019E1409"/>
    <w:rsid w:val="01C43A72"/>
    <w:rsid w:val="01C52478"/>
    <w:rsid w:val="01D273B4"/>
    <w:rsid w:val="01E61EF6"/>
    <w:rsid w:val="01E90844"/>
    <w:rsid w:val="01F83FCB"/>
    <w:rsid w:val="02303773"/>
    <w:rsid w:val="02356272"/>
    <w:rsid w:val="0240504A"/>
    <w:rsid w:val="02467A44"/>
    <w:rsid w:val="026305F6"/>
    <w:rsid w:val="02637C37"/>
    <w:rsid w:val="027408EE"/>
    <w:rsid w:val="027D0D10"/>
    <w:rsid w:val="02853BBA"/>
    <w:rsid w:val="02963F39"/>
    <w:rsid w:val="02BA7274"/>
    <w:rsid w:val="03062D54"/>
    <w:rsid w:val="0319151A"/>
    <w:rsid w:val="03251978"/>
    <w:rsid w:val="0325718A"/>
    <w:rsid w:val="033A6F68"/>
    <w:rsid w:val="034E0B68"/>
    <w:rsid w:val="03545DBF"/>
    <w:rsid w:val="03701ADE"/>
    <w:rsid w:val="03704EF3"/>
    <w:rsid w:val="03B24323"/>
    <w:rsid w:val="03B7227C"/>
    <w:rsid w:val="03B87EBC"/>
    <w:rsid w:val="03BA08C7"/>
    <w:rsid w:val="040A2CF3"/>
    <w:rsid w:val="041651F4"/>
    <w:rsid w:val="041862B6"/>
    <w:rsid w:val="042921B6"/>
    <w:rsid w:val="04516091"/>
    <w:rsid w:val="045F303F"/>
    <w:rsid w:val="047D5273"/>
    <w:rsid w:val="04A9250C"/>
    <w:rsid w:val="04AD02B8"/>
    <w:rsid w:val="04B62533"/>
    <w:rsid w:val="04CB2483"/>
    <w:rsid w:val="04D806FC"/>
    <w:rsid w:val="04DF17D4"/>
    <w:rsid w:val="05071628"/>
    <w:rsid w:val="05327D0B"/>
    <w:rsid w:val="05412745"/>
    <w:rsid w:val="05491761"/>
    <w:rsid w:val="05993969"/>
    <w:rsid w:val="05A351AD"/>
    <w:rsid w:val="05A65ACA"/>
    <w:rsid w:val="05A94AB8"/>
    <w:rsid w:val="05AA653C"/>
    <w:rsid w:val="05E8688C"/>
    <w:rsid w:val="05EA6938"/>
    <w:rsid w:val="05F9748A"/>
    <w:rsid w:val="0624009C"/>
    <w:rsid w:val="06266F78"/>
    <w:rsid w:val="062A757F"/>
    <w:rsid w:val="063E7B7A"/>
    <w:rsid w:val="064047AA"/>
    <w:rsid w:val="06582413"/>
    <w:rsid w:val="067E33B8"/>
    <w:rsid w:val="06B5788B"/>
    <w:rsid w:val="06D118A6"/>
    <w:rsid w:val="06D15558"/>
    <w:rsid w:val="06E415DA"/>
    <w:rsid w:val="06E82FCB"/>
    <w:rsid w:val="06E86A46"/>
    <w:rsid w:val="06F34B95"/>
    <w:rsid w:val="07106873"/>
    <w:rsid w:val="0716156F"/>
    <w:rsid w:val="07571DAC"/>
    <w:rsid w:val="07B421C7"/>
    <w:rsid w:val="07BE7CD4"/>
    <w:rsid w:val="07C136C9"/>
    <w:rsid w:val="080E24AE"/>
    <w:rsid w:val="08172589"/>
    <w:rsid w:val="086C294F"/>
    <w:rsid w:val="08712B08"/>
    <w:rsid w:val="08921468"/>
    <w:rsid w:val="08A92ADB"/>
    <w:rsid w:val="08AF5C17"/>
    <w:rsid w:val="08E64121"/>
    <w:rsid w:val="08F31FA8"/>
    <w:rsid w:val="08F66888"/>
    <w:rsid w:val="09310546"/>
    <w:rsid w:val="0942017F"/>
    <w:rsid w:val="09914A5C"/>
    <w:rsid w:val="099F1469"/>
    <w:rsid w:val="09A3345C"/>
    <w:rsid w:val="09BA060C"/>
    <w:rsid w:val="09BA1FBB"/>
    <w:rsid w:val="09C120A6"/>
    <w:rsid w:val="09CB139F"/>
    <w:rsid w:val="09D477C7"/>
    <w:rsid w:val="09E13DD4"/>
    <w:rsid w:val="0A0106F5"/>
    <w:rsid w:val="0A112AB7"/>
    <w:rsid w:val="0A1E34B5"/>
    <w:rsid w:val="0A210A7E"/>
    <w:rsid w:val="0A516F86"/>
    <w:rsid w:val="0A851326"/>
    <w:rsid w:val="0A9A03A4"/>
    <w:rsid w:val="0A9F4195"/>
    <w:rsid w:val="0AAC240E"/>
    <w:rsid w:val="0ACA26AA"/>
    <w:rsid w:val="0AD025A1"/>
    <w:rsid w:val="0AD71BC7"/>
    <w:rsid w:val="0AEE0C79"/>
    <w:rsid w:val="0AF420EB"/>
    <w:rsid w:val="0B1E20D1"/>
    <w:rsid w:val="0B2B2BF5"/>
    <w:rsid w:val="0B2F3908"/>
    <w:rsid w:val="0B3F6206"/>
    <w:rsid w:val="0B8A6934"/>
    <w:rsid w:val="0BC86BBA"/>
    <w:rsid w:val="0BE12DB6"/>
    <w:rsid w:val="0BE81B6C"/>
    <w:rsid w:val="0C014A74"/>
    <w:rsid w:val="0C0E4809"/>
    <w:rsid w:val="0C1F4E62"/>
    <w:rsid w:val="0C365707"/>
    <w:rsid w:val="0C626CE4"/>
    <w:rsid w:val="0C824FFE"/>
    <w:rsid w:val="0CB038C7"/>
    <w:rsid w:val="0CE02843"/>
    <w:rsid w:val="0CE265BB"/>
    <w:rsid w:val="0D0C2B7B"/>
    <w:rsid w:val="0D0E5691"/>
    <w:rsid w:val="0D307327"/>
    <w:rsid w:val="0D525410"/>
    <w:rsid w:val="0D9308F8"/>
    <w:rsid w:val="0E1A1D85"/>
    <w:rsid w:val="0E4137B5"/>
    <w:rsid w:val="0E750568"/>
    <w:rsid w:val="0E8E053E"/>
    <w:rsid w:val="0E9648FA"/>
    <w:rsid w:val="0EB07ACA"/>
    <w:rsid w:val="0EC8388C"/>
    <w:rsid w:val="0F0F5662"/>
    <w:rsid w:val="0F233493"/>
    <w:rsid w:val="0F2D7A80"/>
    <w:rsid w:val="0F4277E5"/>
    <w:rsid w:val="0F5512C6"/>
    <w:rsid w:val="0F905369"/>
    <w:rsid w:val="0F987405"/>
    <w:rsid w:val="0FA75561"/>
    <w:rsid w:val="0FB83603"/>
    <w:rsid w:val="0FC2240E"/>
    <w:rsid w:val="0FCA77F1"/>
    <w:rsid w:val="0FEC63BE"/>
    <w:rsid w:val="1001155C"/>
    <w:rsid w:val="101E55DF"/>
    <w:rsid w:val="10270545"/>
    <w:rsid w:val="103539E9"/>
    <w:rsid w:val="107F2B01"/>
    <w:rsid w:val="108A1D4B"/>
    <w:rsid w:val="1099001F"/>
    <w:rsid w:val="10A10111"/>
    <w:rsid w:val="10A546BD"/>
    <w:rsid w:val="10BE093E"/>
    <w:rsid w:val="10F42D61"/>
    <w:rsid w:val="1114617F"/>
    <w:rsid w:val="111B0FE9"/>
    <w:rsid w:val="112729A3"/>
    <w:rsid w:val="113E3FDC"/>
    <w:rsid w:val="114C2986"/>
    <w:rsid w:val="115F67A8"/>
    <w:rsid w:val="119A7465"/>
    <w:rsid w:val="11C07DA5"/>
    <w:rsid w:val="11EB1794"/>
    <w:rsid w:val="11F76665"/>
    <w:rsid w:val="120E7E53"/>
    <w:rsid w:val="12242D48"/>
    <w:rsid w:val="12491386"/>
    <w:rsid w:val="127B1676"/>
    <w:rsid w:val="12804647"/>
    <w:rsid w:val="12993124"/>
    <w:rsid w:val="129F2533"/>
    <w:rsid w:val="12B10F0A"/>
    <w:rsid w:val="12BE53D5"/>
    <w:rsid w:val="12E60579"/>
    <w:rsid w:val="134F493E"/>
    <w:rsid w:val="13695B36"/>
    <w:rsid w:val="1372609F"/>
    <w:rsid w:val="13BA3B64"/>
    <w:rsid w:val="13C84126"/>
    <w:rsid w:val="13E470BD"/>
    <w:rsid w:val="140275A9"/>
    <w:rsid w:val="1413052D"/>
    <w:rsid w:val="14316CAE"/>
    <w:rsid w:val="14333BA0"/>
    <w:rsid w:val="145A6A37"/>
    <w:rsid w:val="1467440F"/>
    <w:rsid w:val="146D0E60"/>
    <w:rsid w:val="147121C4"/>
    <w:rsid w:val="14737A03"/>
    <w:rsid w:val="147831AA"/>
    <w:rsid w:val="148F40FD"/>
    <w:rsid w:val="14DD2758"/>
    <w:rsid w:val="14EF3F6B"/>
    <w:rsid w:val="14F61343"/>
    <w:rsid w:val="152240E7"/>
    <w:rsid w:val="152E3F01"/>
    <w:rsid w:val="15433A9B"/>
    <w:rsid w:val="15A71F89"/>
    <w:rsid w:val="15AE7982"/>
    <w:rsid w:val="15B8435D"/>
    <w:rsid w:val="15C40C95"/>
    <w:rsid w:val="15DF3F49"/>
    <w:rsid w:val="15FC2F04"/>
    <w:rsid w:val="16181FAC"/>
    <w:rsid w:val="163403BE"/>
    <w:rsid w:val="163B6071"/>
    <w:rsid w:val="1663474A"/>
    <w:rsid w:val="16750AB1"/>
    <w:rsid w:val="16772CE4"/>
    <w:rsid w:val="16862CF2"/>
    <w:rsid w:val="168756A0"/>
    <w:rsid w:val="16D276A1"/>
    <w:rsid w:val="16D54788"/>
    <w:rsid w:val="16F94849"/>
    <w:rsid w:val="17045E51"/>
    <w:rsid w:val="171138A9"/>
    <w:rsid w:val="172011D4"/>
    <w:rsid w:val="17204D88"/>
    <w:rsid w:val="172503B8"/>
    <w:rsid w:val="17252C3B"/>
    <w:rsid w:val="173F0A2E"/>
    <w:rsid w:val="174C7453"/>
    <w:rsid w:val="17770BC2"/>
    <w:rsid w:val="17966ED3"/>
    <w:rsid w:val="17A119AA"/>
    <w:rsid w:val="17B9647C"/>
    <w:rsid w:val="17CA481C"/>
    <w:rsid w:val="17EE7C40"/>
    <w:rsid w:val="17F43647"/>
    <w:rsid w:val="1821318F"/>
    <w:rsid w:val="18480522"/>
    <w:rsid w:val="18586F2B"/>
    <w:rsid w:val="1873157B"/>
    <w:rsid w:val="18AC5CCF"/>
    <w:rsid w:val="18CF0690"/>
    <w:rsid w:val="18DA5C03"/>
    <w:rsid w:val="18FF4051"/>
    <w:rsid w:val="190903DF"/>
    <w:rsid w:val="190A1374"/>
    <w:rsid w:val="191915B7"/>
    <w:rsid w:val="191E3E8E"/>
    <w:rsid w:val="19204688"/>
    <w:rsid w:val="192A2FE7"/>
    <w:rsid w:val="194D1260"/>
    <w:rsid w:val="19632832"/>
    <w:rsid w:val="1977452F"/>
    <w:rsid w:val="19870B55"/>
    <w:rsid w:val="19942F68"/>
    <w:rsid w:val="1997455B"/>
    <w:rsid w:val="19A766B9"/>
    <w:rsid w:val="19C57049"/>
    <w:rsid w:val="19CE76BA"/>
    <w:rsid w:val="19D454DE"/>
    <w:rsid w:val="19F26070"/>
    <w:rsid w:val="19F94F44"/>
    <w:rsid w:val="19FF46E1"/>
    <w:rsid w:val="1A0F6516"/>
    <w:rsid w:val="1A1523CE"/>
    <w:rsid w:val="1A5272F2"/>
    <w:rsid w:val="1A704494"/>
    <w:rsid w:val="1A7F47B4"/>
    <w:rsid w:val="1A883FD3"/>
    <w:rsid w:val="1A8B0360"/>
    <w:rsid w:val="1A9C7C88"/>
    <w:rsid w:val="1AA730BD"/>
    <w:rsid w:val="1ABB4681"/>
    <w:rsid w:val="1AFC4CEC"/>
    <w:rsid w:val="1B264783"/>
    <w:rsid w:val="1B2E0C1E"/>
    <w:rsid w:val="1B333D5D"/>
    <w:rsid w:val="1B375D24"/>
    <w:rsid w:val="1B587618"/>
    <w:rsid w:val="1B5F19C7"/>
    <w:rsid w:val="1B73638D"/>
    <w:rsid w:val="1B7A3E63"/>
    <w:rsid w:val="1B866CAC"/>
    <w:rsid w:val="1B8A7C50"/>
    <w:rsid w:val="1B9A2547"/>
    <w:rsid w:val="1B9D053F"/>
    <w:rsid w:val="1BB17D1D"/>
    <w:rsid w:val="1BDB2B53"/>
    <w:rsid w:val="1C1C709B"/>
    <w:rsid w:val="1C4C71AB"/>
    <w:rsid w:val="1C6B48D7"/>
    <w:rsid w:val="1CA312E3"/>
    <w:rsid w:val="1CA607B0"/>
    <w:rsid w:val="1CB87339"/>
    <w:rsid w:val="1CD14B29"/>
    <w:rsid w:val="1CF14289"/>
    <w:rsid w:val="1CF27BC8"/>
    <w:rsid w:val="1D150CCF"/>
    <w:rsid w:val="1D53605D"/>
    <w:rsid w:val="1D5C514E"/>
    <w:rsid w:val="1D865D14"/>
    <w:rsid w:val="1D8705EC"/>
    <w:rsid w:val="1D941E20"/>
    <w:rsid w:val="1D96215A"/>
    <w:rsid w:val="1DC87107"/>
    <w:rsid w:val="1DE87F80"/>
    <w:rsid w:val="1DF934E2"/>
    <w:rsid w:val="1E01086B"/>
    <w:rsid w:val="1E223977"/>
    <w:rsid w:val="1E311151"/>
    <w:rsid w:val="1E340A18"/>
    <w:rsid w:val="1E43150B"/>
    <w:rsid w:val="1EA00084"/>
    <w:rsid w:val="1EA93E80"/>
    <w:rsid w:val="1ED33FB6"/>
    <w:rsid w:val="1EE81332"/>
    <w:rsid w:val="1F32415A"/>
    <w:rsid w:val="1F4719E1"/>
    <w:rsid w:val="1F6B391A"/>
    <w:rsid w:val="1F9574BD"/>
    <w:rsid w:val="1FC55BA1"/>
    <w:rsid w:val="1FDF698A"/>
    <w:rsid w:val="1FED4A5D"/>
    <w:rsid w:val="20084055"/>
    <w:rsid w:val="20107567"/>
    <w:rsid w:val="20222199"/>
    <w:rsid w:val="2028170F"/>
    <w:rsid w:val="20827A42"/>
    <w:rsid w:val="20884224"/>
    <w:rsid w:val="20971BF9"/>
    <w:rsid w:val="20AB56C6"/>
    <w:rsid w:val="20BE47F2"/>
    <w:rsid w:val="21104A68"/>
    <w:rsid w:val="21167382"/>
    <w:rsid w:val="21350F58"/>
    <w:rsid w:val="214418F5"/>
    <w:rsid w:val="21456897"/>
    <w:rsid w:val="21602B55"/>
    <w:rsid w:val="2176507C"/>
    <w:rsid w:val="2179799C"/>
    <w:rsid w:val="217A5E64"/>
    <w:rsid w:val="217F0425"/>
    <w:rsid w:val="21967AF2"/>
    <w:rsid w:val="21BE35AF"/>
    <w:rsid w:val="21C11174"/>
    <w:rsid w:val="21ED538F"/>
    <w:rsid w:val="21F540A6"/>
    <w:rsid w:val="22244B28"/>
    <w:rsid w:val="22467FD4"/>
    <w:rsid w:val="226508ED"/>
    <w:rsid w:val="229451FD"/>
    <w:rsid w:val="22A12DB6"/>
    <w:rsid w:val="22B151B1"/>
    <w:rsid w:val="22BB64D4"/>
    <w:rsid w:val="22BC5EBB"/>
    <w:rsid w:val="23515DF1"/>
    <w:rsid w:val="239614B2"/>
    <w:rsid w:val="23BD5235"/>
    <w:rsid w:val="23C962E8"/>
    <w:rsid w:val="23FF3096"/>
    <w:rsid w:val="241412F8"/>
    <w:rsid w:val="247E4FED"/>
    <w:rsid w:val="24AB4DFF"/>
    <w:rsid w:val="24B30BE8"/>
    <w:rsid w:val="24BD18F2"/>
    <w:rsid w:val="24E34060"/>
    <w:rsid w:val="25154FDD"/>
    <w:rsid w:val="253A0491"/>
    <w:rsid w:val="2551032A"/>
    <w:rsid w:val="25785FB8"/>
    <w:rsid w:val="25A62FB3"/>
    <w:rsid w:val="25DD7C8F"/>
    <w:rsid w:val="25E036B2"/>
    <w:rsid w:val="25E9082A"/>
    <w:rsid w:val="25EA1307"/>
    <w:rsid w:val="25F42473"/>
    <w:rsid w:val="262D044F"/>
    <w:rsid w:val="265B2C37"/>
    <w:rsid w:val="266656E9"/>
    <w:rsid w:val="26AF2D79"/>
    <w:rsid w:val="26B34B91"/>
    <w:rsid w:val="26B35986"/>
    <w:rsid w:val="26CF1507"/>
    <w:rsid w:val="26DB7EAB"/>
    <w:rsid w:val="26E06647"/>
    <w:rsid w:val="270C5D43"/>
    <w:rsid w:val="270D66E8"/>
    <w:rsid w:val="27205BFE"/>
    <w:rsid w:val="272600FB"/>
    <w:rsid w:val="2730280E"/>
    <w:rsid w:val="276C4DC7"/>
    <w:rsid w:val="278B0DAB"/>
    <w:rsid w:val="27A64735"/>
    <w:rsid w:val="27CC4DF2"/>
    <w:rsid w:val="27E44804"/>
    <w:rsid w:val="27EB411E"/>
    <w:rsid w:val="27ED433A"/>
    <w:rsid w:val="27F60D15"/>
    <w:rsid w:val="27F93F2E"/>
    <w:rsid w:val="281864F2"/>
    <w:rsid w:val="284F1E5E"/>
    <w:rsid w:val="28567598"/>
    <w:rsid w:val="286903EF"/>
    <w:rsid w:val="287F5DD3"/>
    <w:rsid w:val="288047CB"/>
    <w:rsid w:val="289E62FA"/>
    <w:rsid w:val="28A76D6D"/>
    <w:rsid w:val="28F40148"/>
    <w:rsid w:val="29003BF9"/>
    <w:rsid w:val="2916410F"/>
    <w:rsid w:val="291E2CA6"/>
    <w:rsid w:val="29331862"/>
    <w:rsid w:val="29376630"/>
    <w:rsid w:val="29483628"/>
    <w:rsid w:val="295245B5"/>
    <w:rsid w:val="29763DAA"/>
    <w:rsid w:val="298C1931"/>
    <w:rsid w:val="299A401B"/>
    <w:rsid w:val="299E147F"/>
    <w:rsid w:val="29CF26DC"/>
    <w:rsid w:val="29E51041"/>
    <w:rsid w:val="29F15C38"/>
    <w:rsid w:val="29F61BA1"/>
    <w:rsid w:val="2A1A424E"/>
    <w:rsid w:val="2A1C5DA0"/>
    <w:rsid w:val="2A200D39"/>
    <w:rsid w:val="2A4E4D36"/>
    <w:rsid w:val="2A507EFF"/>
    <w:rsid w:val="2A5942A3"/>
    <w:rsid w:val="2A8146ED"/>
    <w:rsid w:val="2A832D34"/>
    <w:rsid w:val="2ABF3E12"/>
    <w:rsid w:val="2AC5147F"/>
    <w:rsid w:val="2ADC05A4"/>
    <w:rsid w:val="2AE66DC1"/>
    <w:rsid w:val="2AF12B52"/>
    <w:rsid w:val="2B0E1050"/>
    <w:rsid w:val="2B2F26CE"/>
    <w:rsid w:val="2B373B1E"/>
    <w:rsid w:val="2B6F0D7F"/>
    <w:rsid w:val="2B6F5066"/>
    <w:rsid w:val="2B8716BD"/>
    <w:rsid w:val="2BCC27B1"/>
    <w:rsid w:val="2C155C0E"/>
    <w:rsid w:val="2C424529"/>
    <w:rsid w:val="2C5F332D"/>
    <w:rsid w:val="2CA60F5C"/>
    <w:rsid w:val="2CAC29D6"/>
    <w:rsid w:val="2CC846C8"/>
    <w:rsid w:val="2D025012"/>
    <w:rsid w:val="2D265BF9"/>
    <w:rsid w:val="2D4178F0"/>
    <w:rsid w:val="2D4F6EFD"/>
    <w:rsid w:val="2D7C07E0"/>
    <w:rsid w:val="2DAE631A"/>
    <w:rsid w:val="2DD877E0"/>
    <w:rsid w:val="2DE616C9"/>
    <w:rsid w:val="2DFC2451"/>
    <w:rsid w:val="2E0C3040"/>
    <w:rsid w:val="2E0D7650"/>
    <w:rsid w:val="2E6E566D"/>
    <w:rsid w:val="2E7F188E"/>
    <w:rsid w:val="2E8710F6"/>
    <w:rsid w:val="2E8828A0"/>
    <w:rsid w:val="2E8B1366"/>
    <w:rsid w:val="2E90716B"/>
    <w:rsid w:val="2EBC0905"/>
    <w:rsid w:val="2EC15BD9"/>
    <w:rsid w:val="2EC73739"/>
    <w:rsid w:val="2EE33C48"/>
    <w:rsid w:val="2EEA5F41"/>
    <w:rsid w:val="2EEB0EA8"/>
    <w:rsid w:val="2EEC2BA0"/>
    <w:rsid w:val="2F5C684F"/>
    <w:rsid w:val="2F600347"/>
    <w:rsid w:val="2F6B3D97"/>
    <w:rsid w:val="2F866E22"/>
    <w:rsid w:val="2F953851"/>
    <w:rsid w:val="2FB12ACB"/>
    <w:rsid w:val="2FFD70E5"/>
    <w:rsid w:val="30222262"/>
    <w:rsid w:val="303B24C1"/>
    <w:rsid w:val="307401E5"/>
    <w:rsid w:val="30756308"/>
    <w:rsid w:val="307776D1"/>
    <w:rsid w:val="30862574"/>
    <w:rsid w:val="30B631E1"/>
    <w:rsid w:val="311933AA"/>
    <w:rsid w:val="31673515"/>
    <w:rsid w:val="317D15BB"/>
    <w:rsid w:val="318F02CA"/>
    <w:rsid w:val="31917CE2"/>
    <w:rsid w:val="31971564"/>
    <w:rsid w:val="319C292D"/>
    <w:rsid w:val="31D07E6C"/>
    <w:rsid w:val="31E71DFA"/>
    <w:rsid w:val="31EF7BED"/>
    <w:rsid w:val="32356659"/>
    <w:rsid w:val="323F65DA"/>
    <w:rsid w:val="32412074"/>
    <w:rsid w:val="3286BD9C"/>
    <w:rsid w:val="329A3C8C"/>
    <w:rsid w:val="32BB5035"/>
    <w:rsid w:val="32BD2C02"/>
    <w:rsid w:val="32C65EB4"/>
    <w:rsid w:val="32CB34CA"/>
    <w:rsid w:val="32DB7DD2"/>
    <w:rsid w:val="32DE0199"/>
    <w:rsid w:val="32FA790B"/>
    <w:rsid w:val="33041585"/>
    <w:rsid w:val="33154745"/>
    <w:rsid w:val="33373E70"/>
    <w:rsid w:val="33525036"/>
    <w:rsid w:val="335B2774"/>
    <w:rsid w:val="335F3EAF"/>
    <w:rsid w:val="33966B01"/>
    <w:rsid w:val="33A4642E"/>
    <w:rsid w:val="33C80DE4"/>
    <w:rsid w:val="33D4039C"/>
    <w:rsid w:val="33D47E05"/>
    <w:rsid w:val="33FB393B"/>
    <w:rsid w:val="33FE342B"/>
    <w:rsid w:val="34087631"/>
    <w:rsid w:val="340A0022"/>
    <w:rsid w:val="3413677D"/>
    <w:rsid w:val="342B544B"/>
    <w:rsid w:val="345F6138"/>
    <w:rsid w:val="3469758A"/>
    <w:rsid w:val="349A7C69"/>
    <w:rsid w:val="349D0E96"/>
    <w:rsid w:val="34A240A4"/>
    <w:rsid w:val="34B306BA"/>
    <w:rsid w:val="34C06413"/>
    <w:rsid w:val="34DE1E4F"/>
    <w:rsid w:val="34E42621"/>
    <w:rsid w:val="34F07DB1"/>
    <w:rsid w:val="34F44A1A"/>
    <w:rsid w:val="35142DF9"/>
    <w:rsid w:val="353251AA"/>
    <w:rsid w:val="35501969"/>
    <w:rsid w:val="356E759F"/>
    <w:rsid w:val="35751D97"/>
    <w:rsid w:val="35B2048C"/>
    <w:rsid w:val="35D354B8"/>
    <w:rsid w:val="35D4025C"/>
    <w:rsid w:val="35D71437"/>
    <w:rsid w:val="35E17D38"/>
    <w:rsid w:val="35F7165A"/>
    <w:rsid w:val="360F74A5"/>
    <w:rsid w:val="362666BC"/>
    <w:rsid w:val="36455341"/>
    <w:rsid w:val="367B5207"/>
    <w:rsid w:val="368A6B11"/>
    <w:rsid w:val="36BB3A8A"/>
    <w:rsid w:val="36EF34FF"/>
    <w:rsid w:val="37085B1F"/>
    <w:rsid w:val="37264B1B"/>
    <w:rsid w:val="372E04CB"/>
    <w:rsid w:val="375A306E"/>
    <w:rsid w:val="3772660A"/>
    <w:rsid w:val="378A3DF8"/>
    <w:rsid w:val="3797022F"/>
    <w:rsid w:val="37C16778"/>
    <w:rsid w:val="38086E10"/>
    <w:rsid w:val="383733B0"/>
    <w:rsid w:val="385E093C"/>
    <w:rsid w:val="38FD0155"/>
    <w:rsid w:val="390D33AB"/>
    <w:rsid w:val="39176129"/>
    <w:rsid w:val="391E6D06"/>
    <w:rsid w:val="394B2FF0"/>
    <w:rsid w:val="39665CFB"/>
    <w:rsid w:val="39870292"/>
    <w:rsid w:val="39900E42"/>
    <w:rsid w:val="39A137C1"/>
    <w:rsid w:val="39A736F9"/>
    <w:rsid w:val="39AF520E"/>
    <w:rsid w:val="39BC591B"/>
    <w:rsid w:val="39E8099F"/>
    <w:rsid w:val="3A074847"/>
    <w:rsid w:val="3A7A7584"/>
    <w:rsid w:val="3A942275"/>
    <w:rsid w:val="3AA90FE6"/>
    <w:rsid w:val="3AA9318F"/>
    <w:rsid w:val="3AB62DA0"/>
    <w:rsid w:val="3AD76784"/>
    <w:rsid w:val="3AEA295B"/>
    <w:rsid w:val="3B4454D5"/>
    <w:rsid w:val="3B7D3FD5"/>
    <w:rsid w:val="3B823DDF"/>
    <w:rsid w:val="3BA40D5C"/>
    <w:rsid w:val="3BD66A3C"/>
    <w:rsid w:val="3BEC625F"/>
    <w:rsid w:val="3C0417FB"/>
    <w:rsid w:val="3C096E11"/>
    <w:rsid w:val="3C0C1CC3"/>
    <w:rsid w:val="3C0D4B53"/>
    <w:rsid w:val="3C237ED3"/>
    <w:rsid w:val="3C5E64E4"/>
    <w:rsid w:val="3C722C08"/>
    <w:rsid w:val="3C7870CD"/>
    <w:rsid w:val="3CA451CB"/>
    <w:rsid w:val="3CAA596A"/>
    <w:rsid w:val="3CB1587B"/>
    <w:rsid w:val="3CB735F2"/>
    <w:rsid w:val="3CC33464"/>
    <w:rsid w:val="3CCC4F7C"/>
    <w:rsid w:val="3D0A1AA7"/>
    <w:rsid w:val="3D0F48FB"/>
    <w:rsid w:val="3D186684"/>
    <w:rsid w:val="3D8B2178"/>
    <w:rsid w:val="3D934BE4"/>
    <w:rsid w:val="3DA32BB0"/>
    <w:rsid w:val="3DD115F5"/>
    <w:rsid w:val="3DDC789F"/>
    <w:rsid w:val="3DE435F0"/>
    <w:rsid w:val="3DE5122C"/>
    <w:rsid w:val="3DF37E53"/>
    <w:rsid w:val="3E0930F8"/>
    <w:rsid w:val="3E0C372D"/>
    <w:rsid w:val="3E216694"/>
    <w:rsid w:val="3E22178F"/>
    <w:rsid w:val="3E693B97"/>
    <w:rsid w:val="3EB56DDC"/>
    <w:rsid w:val="3ED26DE9"/>
    <w:rsid w:val="3EED17D0"/>
    <w:rsid w:val="3EF23B8C"/>
    <w:rsid w:val="3F0C0304"/>
    <w:rsid w:val="3F0E4319"/>
    <w:rsid w:val="3F1B1335"/>
    <w:rsid w:val="3F2226C4"/>
    <w:rsid w:val="3F46108E"/>
    <w:rsid w:val="3F5E56C6"/>
    <w:rsid w:val="3F8D09BA"/>
    <w:rsid w:val="3F91215F"/>
    <w:rsid w:val="3FDA2C0A"/>
    <w:rsid w:val="3FEC147E"/>
    <w:rsid w:val="3FEF68D9"/>
    <w:rsid w:val="3FF42F44"/>
    <w:rsid w:val="401069C0"/>
    <w:rsid w:val="401B2088"/>
    <w:rsid w:val="40291830"/>
    <w:rsid w:val="4035024E"/>
    <w:rsid w:val="40376375"/>
    <w:rsid w:val="40572841"/>
    <w:rsid w:val="406C796F"/>
    <w:rsid w:val="408A104B"/>
    <w:rsid w:val="409969B6"/>
    <w:rsid w:val="40A84E4B"/>
    <w:rsid w:val="40C003E6"/>
    <w:rsid w:val="40E67721"/>
    <w:rsid w:val="40E93594"/>
    <w:rsid w:val="41022986"/>
    <w:rsid w:val="412732B7"/>
    <w:rsid w:val="4127791F"/>
    <w:rsid w:val="41281794"/>
    <w:rsid w:val="413C1FDF"/>
    <w:rsid w:val="414B735B"/>
    <w:rsid w:val="41524DB6"/>
    <w:rsid w:val="41831414"/>
    <w:rsid w:val="41942973"/>
    <w:rsid w:val="419E6E6E"/>
    <w:rsid w:val="41B0259C"/>
    <w:rsid w:val="41BC6F1C"/>
    <w:rsid w:val="41C55588"/>
    <w:rsid w:val="41EF2363"/>
    <w:rsid w:val="41F77860"/>
    <w:rsid w:val="421166B1"/>
    <w:rsid w:val="42323A7F"/>
    <w:rsid w:val="424A4B98"/>
    <w:rsid w:val="42581D3A"/>
    <w:rsid w:val="42A3395E"/>
    <w:rsid w:val="42AC7E17"/>
    <w:rsid w:val="42F920AC"/>
    <w:rsid w:val="42FE0080"/>
    <w:rsid w:val="431467C7"/>
    <w:rsid w:val="432151A2"/>
    <w:rsid w:val="43315D2E"/>
    <w:rsid w:val="434075BC"/>
    <w:rsid w:val="43574906"/>
    <w:rsid w:val="43824A1C"/>
    <w:rsid w:val="43885078"/>
    <w:rsid w:val="439350AD"/>
    <w:rsid w:val="43974BC7"/>
    <w:rsid w:val="43D110E1"/>
    <w:rsid w:val="43E873C9"/>
    <w:rsid w:val="43FF153D"/>
    <w:rsid w:val="44044A8E"/>
    <w:rsid w:val="4416656F"/>
    <w:rsid w:val="441C4633"/>
    <w:rsid w:val="441F0BB8"/>
    <w:rsid w:val="44371AEC"/>
    <w:rsid w:val="44444E8A"/>
    <w:rsid w:val="446D379C"/>
    <w:rsid w:val="44797E31"/>
    <w:rsid w:val="44905B1F"/>
    <w:rsid w:val="44A57709"/>
    <w:rsid w:val="450665E4"/>
    <w:rsid w:val="451231DA"/>
    <w:rsid w:val="4520559C"/>
    <w:rsid w:val="452A5A17"/>
    <w:rsid w:val="45316885"/>
    <w:rsid w:val="45731D17"/>
    <w:rsid w:val="45A139C3"/>
    <w:rsid w:val="45A95EE9"/>
    <w:rsid w:val="45B003DA"/>
    <w:rsid w:val="45FB0F21"/>
    <w:rsid w:val="46163826"/>
    <w:rsid w:val="46331BB5"/>
    <w:rsid w:val="467852BF"/>
    <w:rsid w:val="468C2B19"/>
    <w:rsid w:val="46EC69F4"/>
    <w:rsid w:val="46EE732F"/>
    <w:rsid w:val="47082778"/>
    <w:rsid w:val="470B3604"/>
    <w:rsid w:val="47200EE3"/>
    <w:rsid w:val="472753AE"/>
    <w:rsid w:val="47367830"/>
    <w:rsid w:val="47435AC2"/>
    <w:rsid w:val="47544B78"/>
    <w:rsid w:val="47587AF7"/>
    <w:rsid w:val="47745A86"/>
    <w:rsid w:val="479779C7"/>
    <w:rsid w:val="479D462C"/>
    <w:rsid w:val="47A74EBD"/>
    <w:rsid w:val="47D97EFF"/>
    <w:rsid w:val="47E239AC"/>
    <w:rsid w:val="47E76E06"/>
    <w:rsid w:val="480F4B73"/>
    <w:rsid w:val="485F59A1"/>
    <w:rsid w:val="48BD3139"/>
    <w:rsid w:val="48C52312"/>
    <w:rsid w:val="48DB38E3"/>
    <w:rsid w:val="48DD0A15"/>
    <w:rsid w:val="49001B5E"/>
    <w:rsid w:val="49376DB0"/>
    <w:rsid w:val="49394628"/>
    <w:rsid w:val="49470F79"/>
    <w:rsid w:val="4953791E"/>
    <w:rsid w:val="49804BB7"/>
    <w:rsid w:val="49826DCB"/>
    <w:rsid w:val="49831FB1"/>
    <w:rsid w:val="499013E7"/>
    <w:rsid w:val="49995C78"/>
    <w:rsid w:val="49AF04E3"/>
    <w:rsid w:val="49C8088A"/>
    <w:rsid w:val="49F0016B"/>
    <w:rsid w:val="49F25CA5"/>
    <w:rsid w:val="4A301C93"/>
    <w:rsid w:val="4A3302AB"/>
    <w:rsid w:val="4A365275"/>
    <w:rsid w:val="4ABE620A"/>
    <w:rsid w:val="4AC85D49"/>
    <w:rsid w:val="4AC9433B"/>
    <w:rsid w:val="4AE308A9"/>
    <w:rsid w:val="4B6673DB"/>
    <w:rsid w:val="4B6C4CC7"/>
    <w:rsid w:val="4B893ACB"/>
    <w:rsid w:val="4B9A1456"/>
    <w:rsid w:val="4BA32C82"/>
    <w:rsid w:val="4BE70627"/>
    <w:rsid w:val="4C0A5AE1"/>
    <w:rsid w:val="4C130AB8"/>
    <w:rsid w:val="4C341C88"/>
    <w:rsid w:val="4C5A284D"/>
    <w:rsid w:val="4C821378"/>
    <w:rsid w:val="4C9E5354"/>
    <w:rsid w:val="4CB46925"/>
    <w:rsid w:val="4CB91C4F"/>
    <w:rsid w:val="4CB96B43"/>
    <w:rsid w:val="4CD63947"/>
    <w:rsid w:val="4CFC49F4"/>
    <w:rsid w:val="4D073D73"/>
    <w:rsid w:val="4D100ABE"/>
    <w:rsid w:val="4D1E27BA"/>
    <w:rsid w:val="4D23574A"/>
    <w:rsid w:val="4D4C4DB0"/>
    <w:rsid w:val="4D7322D5"/>
    <w:rsid w:val="4D99279A"/>
    <w:rsid w:val="4DD7034C"/>
    <w:rsid w:val="4DDA43BA"/>
    <w:rsid w:val="4DE312CB"/>
    <w:rsid w:val="4E0B01ED"/>
    <w:rsid w:val="4E127DA7"/>
    <w:rsid w:val="4E1F4862"/>
    <w:rsid w:val="4E2E4393"/>
    <w:rsid w:val="4E506C69"/>
    <w:rsid w:val="4E535EF2"/>
    <w:rsid w:val="4E604FB7"/>
    <w:rsid w:val="4E704ACE"/>
    <w:rsid w:val="4E93587F"/>
    <w:rsid w:val="4EAA19A9"/>
    <w:rsid w:val="4EC526B2"/>
    <w:rsid w:val="4EF15201"/>
    <w:rsid w:val="4EFD0A57"/>
    <w:rsid w:val="4F005E52"/>
    <w:rsid w:val="4F08773C"/>
    <w:rsid w:val="4F0C2F31"/>
    <w:rsid w:val="4F1D2EA8"/>
    <w:rsid w:val="4F31409F"/>
    <w:rsid w:val="4F3933C0"/>
    <w:rsid w:val="4F583EE0"/>
    <w:rsid w:val="4F7D660C"/>
    <w:rsid w:val="4F846A83"/>
    <w:rsid w:val="4FA90297"/>
    <w:rsid w:val="4FAD5FDA"/>
    <w:rsid w:val="4FCF5D1D"/>
    <w:rsid w:val="50070E2C"/>
    <w:rsid w:val="50183D19"/>
    <w:rsid w:val="50392CE3"/>
    <w:rsid w:val="504B134F"/>
    <w:rsid w:val="504B57F2"/>
    <w:rsid w:val="507012B1"/>
    <w:rsid w:val="50897D65"/>
    <w:rsid w:val="50923421"/>
    <w:rsid w:val="509E3B74"/>
    <w:rsid w:val="50C62BC7"/>
    <w:rsid w:val="50E65BBF"/>
    <w:rsid w:val="50ED1473"/>
    <w:rsid w:val="50F72A66"/>
    <w:rsid w:val="511F2F07"/>
    <w:rsid w:val="5123368C"/>
    <w:rsid w:val="5130747C"/>
    <w:rsid w:val="515C765A"/>
    <w:rsid w:val="5165102E"/>
    <w:rsid w:val="51905BB3"/>
    <w:rsid w:val="51946FCB"/>
    <w:rsid w:val="51986815"/>
    <w:rsid w:val="519B00B4"/>
    <w:rsid w:val="51DD796B"/>
    <w:rsid w:val="51DF373B"/>
    <w:rsid w:val="51F43C48"/>
    <w:rsid w:val="520143BB"/>
    <w:rsid w:val="521034E4"/>
    <w:rsid w:val="523E560F"/>
    <w:rsid w:val="52405D9F"/>
    <w:rsid w:val="5256023C"/>
    <w:rsid w:val="529E60AD"/>
    <w:rsid w:val="52AB5A20"/>
    <w:rsid w:val="52EF4CB5"/>
    <w:rsid w:val="52F959F0"/>
    <w:rsid w:val="5302488E"/>
    <w:rsid w:val="53051C89"/>
    <w:rsid w:val="538532AA"/>
    <w:rsid w:val="539A4AC7"/>
    <w:rsid w:val="539C282C"/>
    <w:rsid w:val="53B4545D"/>
    <w:rsid w:val="53C658BC"/>
    <w:rsid w:val="53D63AE4"/>
    <w:rsid w:val="53F87A68"/>
    <w:rsid w:val="54433155"/>
    <w:rsid w:val="54613AA5"/>
    <w:rsid w:val="54672CD7"/>
    <w:rsid w:val="54723943"/>
    <w:rsid w:val="54756FFB"/>
    <w:rsid w:val="54A61722"/>
    <w:rsid w:val="54A656ED"/>
    <w:rsid w:val="54B31FAF"/>
    <w:rsid w:val="551F5133"/>
    <w:rsid w:val="55326D63"/>
    <w:rsid w:val="5550794C"/>
    <w:rsid w:val="555D1A10"/>
    <w:rsid w:val="555D3FFE"/>
    <w:rsid w:val="5581792D"/>
    <w:rsid w:val="558D1A3C"/>
    <w:rsid w:val="55A97243"/>
    <w:rsid w:val="55BA300B"/>
    <w:rsid w:val="55C3004C"/>
    <w:rsid w:val="55F94631"/>
    <w:rsid w:val="56097CE2"/>
    <w:rsid w:val="561D378D"/>
    <w:rsid w:val="56356469"/>
    <w:rsid w:val="564E7F11"/>
    <w:rsid w:val="566B44F9"/>
    <w:rsid w:val="567A6E1F"/>
    <w:rsid w:val="56A417B8"/>
    <w:rsid w:val="56A43CD3"/>
    <w:rsid w:val="56AC4A78"/>
    <w:rsid w:val="56D4209E"/>
    <w:rsid w:val="56DB16B9"/>
    <w:rsid w:val="56F61F80"/>
    <w:rsid w:val="57342B3C"/>
    <w:rsid w:val="57376AD1"/>
    <w:rsid w:val="573B2358"/>
    <w:rsid w:val="577A3463"/>
    <w:rsid w:val="57912C64"/>
    <w:rsid w:val="579D4B86"/>
    <w:rsid w:val="57D904B8"/>
    <w:rsid w:val="57F967AD"/>
    <w:rsid w:val="58052975"/>
    <w:rsid w:val="581C69F3"/>
    <w:rsid w:val="584A63E6"/>
    <w:rsid w:val="587624AC"/>
    <w:rsid w:val="58896851"/>
    <w:rsid w:val="58913FBE"/>
    <w:rsid w:val="589715D5"/>
    <w:rsid w:val="58E525CA"/>
    <w:rsid w:val="58F72073"/>
    <w:rsid w:val="59342941"/>
    <w:rsid w:val="59347CE5"/>
    <w:rsid w:val="593D045A"/>
    <w:rsid w:val="5960739E"/>
    <w:rsid w:val="59787213"/>
    <w:rsid w:val="59896D0A"/>
    <w:rsid w:val="59917DCC"/>
    <w:rsid w:val="59A77972"/>
    <w:rsid w:val="59B72684"/>
    <w:rsid w:val="59D423B5"/>
    <w:rsid w:val="5A4C4641"/>
    <w:rsid w:val="5A555AC8"/>
    <w:rsid w:val="5A761811"/>
    <w:rsid w:val="5A766077"/>
    <w:rsid w:val="5A907841"/>
    <w:rsid w:val="5A9579AE"/>
    <w:rsid w:val="5A9810EB"/>
    <w:rsid w:val="5AC468CD"/>
    <w:rsid w:val="5ACB5DBF"/>
    <w:rsid w:val="5B091E9E"/>
    <w:rsid w:val="5B2024F2"/>
    <w:rsid w:val="5B31060C"/>
    <w:rsid w:val="5B342B9A"/>
    <w:rsid w:val="5B3A6B8F"/>
    <w:rsid w:val="5B5419FF"/>
    <w:rsid w:val="5B630802"/>
    <w:rsid w:val="5B6D6D9D"/>
    <w:rsid w:val="5B807F68"/>
    <w:rsid w:val="5B8D6CAB"/>
    <w:rsid w:val="5BC6295A"/>
    <w:rsid w:val="5BCB2F13"/>
    <w:rsid w:val="5BF202E8"/>
    <w:rsid w:val="5C034D53"/>
    <w:rsid w:val="5C4822C2"/>
    <w:rsid w:val="5C955CAE"/>
    <w:rsid w:val="5CA36CB7"/>
    <w:rsid w:val="5CA51411"/>
    <w:rsid w:val="5CB26EAF"/>
    <w:rsid w:val="5D573A29"/>
    <w:rsid w:val="5D600C81"/>
    <w:rsid w:val="5D9F51D4"/>
    <w:rsid w:val="5DD61E40"/>
    <w:rsid w:val="5E0F7E5F"/>
    <w:rsid w:val="5E1D6F56"/>
    <w:rsid w:val="5E2A220E"/>
    <w:rsid w:val="5E52187F"/>
    <w:rsid w:val="5E6A13CD"/>
    <w:rsid w:val="5E705D15"/>
    <w:rsid w:val="5E93326C"/>
    <w:rsid w:val="5EA7605B"/>
    <w:rsid w:val="5EE4753E"/>
    <w:rsid w:val="5EF37781"/>
    <w:rsid w:val="5EFB4BA4"/>
    <w:rsid w:val="5F132B6E"/>
    <w:rsid w:val="5F1D23EB"/>
    <w:rsid w:val="5F312898"/>
    <w:rsid w:val="5F4533A9"/>
    <w:rsid w:val="5F5F46B5"/>
    <w:rsid w:val="5F946B1F"/>
    <w:rsid w:val="5FA12D39"/>
    <w:rsid w:val="5FB16998"/>
    <w:rsid w:val="5FB62A60"/>
    <w:rsid w:val="5FBA3CC0"/>
    <w:rsid w:val="5FBF0588"/>
    <w:rsid w:val="5FD90D61"/>
    <w:rsid w:val="5FDE33CF"/>
    <w:rsid w:val="5FE9422B"/>
    <w:rsid w:val="5FF95DDF"/>
    <w:rsid w:val="5FFC4F5B"/>
    <w:rsid w:val="60177697"/>
    <w:rsid w:val="602329DB"/>
    <w:rsid w:val="603B318E"/>
    <w:rsid w:val="60457B68"/>
    <w:rsid w:val="6062071A"/>
    <w:rsid w:val="607777D6"/>
    <w:rsid w:val="60897AFF"/>
    <w:rsid w:val="609141CA"/>
    <w:rsid w:val="60BC76A1"/>
    <w:rsid w:val="60C5514D"/>
    <w:rsid w:val="610B7637"/>
    <w:rsid w:val="610C16A6"/>
    <w:rsid w:val="611A2DA3"/>
    <w:rsid w:val="615F5624"/>
    <w:rsid w:val="6190493F"/>
    <w:rsid w:val="61945045"/>
    <w:rsid w:val="61B2122D"/>
    <w:rsid w:val="61C1696C"/>
    <w:rsid w:val="61CD4AD9"/>
    <w:rsid w:val="61D215CF"/>
    <w:rsid w:val="61F56AA1"/>
    <w:rsid w:val="623F6839"/>
    <w:rsid w:val="62483940"/>
    <w:rsid w:val="624E2A18"/>
    <w:rsid w:val="62546789"/>
    <w:rsid w:val="625719EA"/>
    <w:rsid w:val="625B65A0"/>
    <w:rsid w:val="625C563D"/>
    <w:rsid w:val="625D575C"/>
    <w:rsid w:val="626A1704"/>
    <w:rsid w:val="62976675"/>
    <w:rsid w:val="62B362C8"/>
    <w:rsid w:val="62B44BDC"/>
    <w:rsid w:val="62C1330E"/>
    <w:rsid w:val="62E53885"/>
    <w:rsid w:val="62F514C8"/>
    <w:rsid w:val="630409AF"/>
    <w:rsid w:val="631A1780"/>
    <w:rsid w:val="632A1297"/>
    <w:rsid w:val="6342085E"/>
    <w:rsid w:val="6351468A"/>
    <w:rsid w:val="63631E53"/>
    <w:rsid w:val="636F415C"/>
    <w:rsid w:val="636F70AC"/>
    <w:rsid w:val="637A3FCD"/>
    <w:rsid w:val="64167B1A"/>
    <w:rsid w:val="643942A8"/>
    <w:rsid w:val="643F0584"/>
    <w:rsid w:val="64433865"/>
    <w:rsid w:val="646E3CD1"/>
    <w:rsid w:val="64786E14"/>
    <w:rsid w:val="64917820"/>
    <w:rsid w:val="64A54489"/>
    <w:rsid w:val="64AA1CC5"/>
    <w:rsid w:val="64B251B8"/>
    <w:rsid w:val="64F102BF"/>
    <w:rsid w:val="6516236A"/>
    <w:rsid w:val="65165F77"/>
    <w:rsid w:val="65314B5F"/>
    <w:rsid w:val="65463A24"/>
    <w:rsid w:val="654F3237"/>
    <w:rsid w:val="655F1B25"/>
    <w:rsid w:val="656960A7"/>
    <w:rsid w:val="656B2909"/>
    <w:rsid w:val="65A3045D"/>
    <w:rsid w:val="65B15668"/>
    <w:rsid w:val="65D97752"/>
    <w:rsid w:val="65E25E59"/>
    <w:rsid w:val="65F52031"/>
    <w:rsid w:val="66307F76"/>
    <w:rsid w:val="663C1A0D"/>
    <w:rsid w:val="663F4F8F"/>
    <w:rsid w:val="66580EAF"/>
    <w:rsid w:val="66694D0D"/>
    <w:rsid w:val="66A84A98"/>
    <w:rsid w:val="66C00C35"/>
    <w:rsid w:val="66F041A8"/>
    <w:rsid w:val="66F745C7"/>
    <w:rsid w:val="6721178A"/>
    <w:rsid w:val="672531AB"/>
    <w:rsid w:val="67326041"/>
    <w:rsid w:val="6739399A"/>
    <w:rsid w:val="673F39DE"/>
    <w:rsid w:val="67441F09"/>
    <w:rsid w:val="674C5D22"/>
    <w:rsid w:val="67582877"/>
    <w:rsid w:val="67663AF8"/>
    <w:rsid w:val="67717495"/>
    <w:rsid w:val="67762CFD"/>
    <w:rsid w:val="677A678D"/>
    <w:rsid w:val="678B00F9"/>
    <w:rsid w:val="67AA61B4"/>
    <w:rsid w:val="67BD2554"/>
    <w:rsid w:val="67FF4DAF"/>
    <w:rsid w:val="68011379"/>
    <w:rsid w:val="68252C37"/>
    <w:rsid w:val="685E210F"/>
    <w:rsid w:val="68817BAC"/>
    <w:rsid w:val="689A5E59"/>
    <w:rsid w:val="689B50FC"/>
    <w:rsid w:val="68A97139"/>
    <w:rsid w:val="68D0643D"/>
    <w:rsid w:val="68EE72DF"/>
    <w:rsid w:val="69274F19"/>
    <w:rsid w:val="693A1B46"/>
    <w:rsid w:val="69485FEA"/>
    <w:rsid w:val="69677DC0"/>
    <w:rsid w:val="696D49F3"/>
    <w:rsid w:val="69937EC7"/>
    <w:rsid w:val="699D4215"/>
    <w:rsid w:val="69D64558"/>
    <w:rsid w:val="69E2467A"/>
    <w:rsid w:val="6A042548"/>
    <w:rsid w:val="6A386990"/>
    <w:rsid w:val="6A3D3FA6"/>
    <w:rsid w:val="6A404140"/>
    <w:rsid w:val="6A413A96"/>
    <w:rsid w:val="6A445335"/>
    <w:rsid w:val="6A471EFD"/>
    <w:rsid w:val="6A652B72"/>
    <w:rsid w:val="6A761055"/>
    <w:rsid w:val="6A7D43A3"/>
    <w:rsid w:val="6A7F7311"/>
    <w:rsid w:val="6AB57116"/>
    <w:rsid w:val="6AC62D19"/>
    <w:rsid w:val="6AC845AF"/>
    <w:rsid w:val="6B17424A"/>
    <w:rsid w:val="6B2218FA"/>
    <w:rsid w:val="6B364C7D"/>
    <w:rsid w:val="6B530A7D"/>
    <w:rsid w:val="6B5E00AD"/>
    <w:rsid w:val="6B691672"/>
    <w:rsid w:val="6B767770"/>
    <w:rsid w:val="6BA02A3F"/>
    <w:rsid w:val="6BC26511"/>
    <w:rsid w:val="6BCE30C3"/>
    <w:rsid w:val="6BDB3A77"/>
    <w:rsid w:val="6C1D2246"/>
    <w:rsid w:val="6C2E0E71"/>
    <w:rsid w:val="6C4756A6"/>
    <w:rsid w:val="6C4E249B"/>
    <w:rsid w:val="6C5E6A51"/>
    <w:rsid w:val="6C6513C3"/>
    <w:rsid w:val="6C744268"/>
    <w:rsid w:val="6CAB788B"/>
    <w:rsid w:val="6CD62D03"/>
    <w:rsid w:val="6CD838C5"/>
    <w:rsid w:val="6CD97FB6"/>
    <w:rsid w:val="6CED64FE"/>
    <w:rsid w:val="6D2B6338"/>
    <w:rsid w:val="6D390A55"/>
    <w:rsid w:val="6D4D4500"/>
    <w:rsid w:val="6D6F26C8"/>
    <w:rsid w:val="6D930013"/>
    <w:rsid w:val="6DB17653"/>
    <w:rsid w:val="6DBE0F5A"/>
    <w:rsid w:val="6DCA3DA3"/>
    <w:rsid w:val="6DD73909"/>
    <w:rsid w:val="6E0C281C"/>
    <w:rsid w:val="6E1A1656"/>
    <w:rsid w:val="6E4B6C92"/>
    <w:rsid w:val="6E5024FA"/>
    <w:rsid w:val="6E5A5288"/>
    <w:rsid w:val="6E91666F"/>
    <w:rsid w:val="6E942996"/>
    <w:rsid w:val="6EB655FE"/>
    <w:rsid w:val="6EC24C9B"/>
    <w:rsid w:val="6ECD4992"/>
    <w:rsid w:val="6EE013EE"/>
    <w:rsid w:val="6EE079F1"/>
    <w:rsid w:val="6EE42C42"/>
    <w:rsid w:val="6F011A46"/>
    <w:rsid w:val="6F0E605B"/>
    <w:rsid w:val="6F1E6154"/>
    <w:rsid w:val="6F7F7CB0"/>
    <w:rsid w:val="6F891E77"/>
    <w:rsid w:val="6FA81EC2"/>
    <w:rsid w:val="6FC30AAA"/>
    <w:rsid w:val="6FC60C4E"/>
    <w:rsid w:val="6FE0165C"/>
    <w:rsid w:val="6FEA4288"/>
    <w:rsid w:val="70222744"/>
    <w:rsid w:val="70383EEB"/>
    <w:rsid w:val="705028DA"/>
    <w:rsid w:val="705931BC"/>
    <w:rsid w:val="706D2B21"/>
    <w:rsid w:val="707B1384"/>
    <w:rsid w:val="70857A34"/>
    <w:rsid w:val="708B3E03"/>
    <w:rsid w:val="708B5B25"/>
    <w:rsid w:val="70985D3C"/>
    <w:rsid w:val="70F21646"/>
    <w:rsid w:val="71047C73"/>
    <w:rsid w:val="7109004F"/>
    <w:rsid w:val="71103167"/>
    <w:rsid w:val="71241A1C"/>
    <w:rsid w:val="712E56F7"/>
    <w:rsid w:val="71691ABB"/>
    <w:rsid w:val="71723986"/>
    <w:rsid w:val="71AE1AEA"/>
    <w:rsid w:val="71C3561C"/>
    <w:rsid w:val="71CF3B6C"/>
    <w:rsid w:val="72253C9E"/>
    <w:rsid w:val="722922C6"/>
    <w:rsid w:val="72346E11"/>
    <w:rsid w:val="72C07522"/>
    <w:rsid w:val="72C60FDD"/>
    <w:rsid w:val="72E01973"/>
    <w:rsid w:val="72FC67AC"/>
    <w:rsid w:val="732D4B5D"/>
    <w:rsid w:val="73393C88"/>
    <w:rsid w:val="73612AB3"/>
    <w:rsid w:val="7362513F"/>
    <w:rsid w:val="73771D49"/>
    <w:rsid w:val="73A1354E"/>
    <w:rsid w:val="73A63AAE"/>
    <w:rsid w:val="73A81128"/>
    <w:rsid w:val="73C667E8"/>
    <w:rsid w:val="740724E9"/>
    <w:rsid w:val="74126BAB"/>
    <w:rsid w:val="74230C1B"/>
    <w:rsid w:val="744E128A"/>
    <w:rsid w:val="747E3B9D"/>
    <w:rsid w:val="74A11E7D"/>
    <w:rsid w:val="750E49A6"/>
    <w:rsid w:val="751A0051"/>
    <w:rsid w:val="753366D1"/>
    <w:rsid w:val="753A180E"/>
    <w:rsid w:val="75590B0A"/>
    <w:rsid w:val="757A34CC"/>
    <w:rsid w:val="7582279F"/>
    <w:rsid w:val="75A209CE"/>
    <w:rsid w:val="75BB71AF"/>
    <w:rsid w:val="75BE3DC8"/>
    <w:rsid w:val="75EE45A9"/>
    <w:rsid w:val="75F01962"/>
    <w:rsid w:val="75F56562"/>
    <w:rsid w:val="7601232C"/>
    <w:rsid w:val="760468B2"/>
    <w:rsid w:val="760E19DF"/>
    <w:rsid w:val="763B569F"/>
    <w:rsid w:val="765D721E"/>
    <w:rsid w:val="76676A53"/>
    <w:rsid w:val="76724FD8"/>
    <w:rsid w:val="76981B69"/>
    <w:rsid w:val="76B620A1"/>
    <w:rsid w:val="76B929A5"/>
    <w:rsid w:val="76C21ADF"/>
    <w:rsid w:val="76F771BD"/>
    <w:rsid w:val="76FC1F1B"/>
    <w:rsid w:val="770F2826"/>
    <w:rsid w:val="77462524"/>
    <w:rsid w:val="774B1875"/>
    <w:rsid w:val="775B548B"/>
    <w:rsid w:val="776456C6"/>
    <w:rsid w:val="779C40BA"/>
    <w:rsid w:val="77A21064"/>
    <w:rsid w:val="77E34EB2"/>
    <w:rsid w:val="780A7F5B"/>
    <w:rsid w:val="780B4CEE"/>
    <w:rsid w:val="781564B8"/>
    <w:rsid w:val="781E2697"/>
    <w:rsid w:val="78224ACF"/>
    <w:rsid w:val="786170B2"/>
    <w:rsid w:val="78652C9A"/>
    <w:rsid w:val="78742D97"/>
    <w:rsid w:val="787F1D9C"/>
    <w:rsid w:val="78A71A65"/>
    <w:rsid w:val="78CD4EB2"/>
    <w:rsid w:val="78CD6DCC"/>
    <w:rsid w:val="78CE60D3"/>
    <w:rsid w:val="78D07CAF"/>
    <w:rsid w:val="78DE12D7"/>
    <w:rsid w:val="7906574A"/>
    <w:rsid w:val="791D122B"/>
    <w:rsid w:val="79210683"/>
    <w:rsid w:val="79222CE5"/>
    <w:rsid w:val="793B46DB"/>
    <w:rsid w:val="794C4D0C"/>
    <w:rsid w:val="79534D97"/>
    <w:rsid w:val="795E2F6A"/>
    <w:rsid w:val="796055BB"/>
    <w:rsid w:val="796240DB"/>
    <w:rsid w:val="799C3465"/>
    <w:rsid w:val="79B14EC4"/>
    <w:rsid w:val="79B46E76"/>
    <w:rsid w:val="79C95D8B"/>
    <w:rsid w:val="79DB4902"/>
    <w:rsid w:val="79F91C98"/>
    <w:rsid w:val="7A083C89"/>
    <w:rsid w:val="7A0B0D9A"/>
    <w:rsid w:val="7A1C7734"/>
    <w:rsid w:val="7A2A6B4A"/>
    <w:rsid w:val="7A4A24F3"/>
    <w:rsid w:val="7A666C01"/>
    <w:rsid w:val="7A681070"/>
    <w:rsid w:val="7A71119E"/>
    <w:rsid w:val="7A860C7C"/>
    <w:rsid w:val="7AB879FE"/>
    <w:rsid w:val="7B167D97"/>
    <w:rsid w:val="7B3264DD"/>
    <w:rsid w:val="7B590514"/>
    <w:rsid w:val="7B81188A"/>
    <w:rsid w:val="7B9E2902"/>
    <w:rsid w:val="7BC854E2"/>
    <w:rsid w:val="7BCC253D"/>
    <w:rsid w:val="7BF3420A"/>
    <w:rsid w:val="7C0562EC"/>
    <w:rsid w:val="7C127041"/>
    <w:rsid w:val="7C134B67"/>
    <w:rsid w:val="7C27683F"/>
    <w:rsid w:val="7C376AA7"/>
    <w:rsid w:val="7C3F0118"/>
    <w:rsid w:val="7C444D20"/>
    <w:rsid w:val="7C865339"/>
    <w:rsid w:val="7CA46E31"/>
    <w:rsid w:val="7CB14B4D"/>
    <w:rsid w:val="7CCA16C9"/>
    <w:rsid w:val="7CD25041"/>
    <w:rsid w:val="7CDB38D7"/>
    <w:rsid w:val="7CEF7382"/>
    <w:rsid w:val="7CF26969"/>
    <w:rsid w:val="7D356F30"/>
    <w:rsid w:val="7D7C230A"/>
    <w:rsid w:val="7D8C7017"/>
    <w:rsid w:val="7DA95765"/>
    <w:rsid w:val="7DB23041"/>
    <w:rsid w:val="7E290672"/>
    <w:rsid w:val="7E3F7F98"/>
    <w:rsid w:val="7E5F7809"/>
    <w:rsid w:val="7E7105DF"/>
    <w:rsid w:val="7E937CCF"/>
    <w:rsid w:val="7EA20594"/>
    <w:rsid w:val="7EB268B9"/>
    <w:rsid w:val="7ED56C53"/>
    <w:rsid w:val="7EE11B15"/>
    <w:rsid w:val="7EEA1BAF"/>
    <w:rsid w:val="7F3A1B4A"/>
    <w:rsid w:val="7F485D15"/>
    <w:rsid w:val="7F64412A"/>
    <w:rsid w:val="7F7B42E3"/>
    <w:rsid w:val="7F833DB1"/>
    <w:rsid w:val="7F92302A"/>
    <w:rsid w:val="7FA302E2"/>
    <w:rsid w:val="7FB80376"/>
    <w:rsid w:val="7FC5780A"/>
    <w:rsid w:val="7FEC7BA9"/>
    <w:rsid w:val="7FFE743D"/>
    <w:rsid w:val="9EAD48A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84"/>
    <w:autoRedefine/>
    <w:qFormat/>
    <w:uiPriority w:val="9"/>
    <w:pPr>
      <w:keepNext/>
      <w:keepLines/>
      <w:jc w:val="center"/>
      <w:outlineLvl w:val="0"/>
    </w:pPr>
    <w:rPr>
      <w:b/>
      <w:bCs/>
      <w:kern w:val="44"/>
      <w:sz w:val="36"/>
      <w:szCs w:val="44"/>
    </w:rPr>
  </w:style>
  <w:style w:type="paragraph" w:styleId="4">
    <w:name w:val="heading 2"/>
    <w:basedOn w:val="1"/>
    <w:next w:val="1"/>
    <w:link w:val="159"/>
    <w:autoRedefine/>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66"/>
    <w:autoRedefine/>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link w:val="58"/>
    <w:autoRedefine/>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autoRedefine/>
    <w:unhideWhenUsed/>
    <w:qFormat/>
    <w:uiPriority w:val="9"/>
    <w:pPr>
      <w:keepNext/>
      <w:keepLines/>
      <w:spacing w:before="280" w:after="290" w:line="372" w:lineRule="auto"/>
      <w:outlineLvl w:val="4"/>
    </w:pPr>
    <w:rPr>
      <w:b/>
      <w:sz w:val="28"/>
    </w:rPr>
  </w:style>
  <w:style w:type="paragraph" w:styleId="8">
    <w:name w:val="heading 6"/>
    <w:basedOn w:val="1"/>
    <w:next w:val="1"/>
    <w:autoRedefine/>
    <w:unhideWhenUsed/>
    <w:qFormat/>
    <w:uiPriority w:val="9"/>
    <w:pPr>
      <w:keepNext/>
      <w:keepLines/>
      <w:spacing w:before="240" w:after="64" w:line="317" w:lineRule="auto"/>
      <w:outlineLvl w:val="5"/>
    </w:pPr>
    <w:rPr>
      <w:rFonts w:ascii="Arial" w:hAnsi="Arial" w:eastAsia="黑体"/>
      <w:b/>
      <w:sz w:val="24"/>
    </w:rPr>
  </w:style>
  <w:style w:type="paragraph" w:styleId="9">
    <w:name w:val="heading 7"/>
    <w:basedOn w:val="1"/>
    <w:next w:val="1"/>
    <w:link w:val="161"/>
    <w:autoRedefine/>
    <w:unhideWhenUsed/>
    <w:qFormat/>
    <w:uiPriority w:val="9"/>
    <w:pPr>
      <w:keepNext/>
      <w:keepLines/>
      <w:spacing w:before="240" w:after="64" w:line="317" w:lineRule="auto"/>
      <w:outlineLvl w:val="6"/>
    </w:pPr>
    <w:rPr>
      <w:b/>
      <w:sz w:val="24"/>
    </w:rPr>
  </w:style>
  <w:style w:type="paragraph" w:styleId="10">
    <w:name w:val="heading 9"/>
    <w:basedOn w:val="1"/>
    <w:next w:val="1"/>
    <w:autoRedefine/>
    <w:semiHidden/>
    <w:unhideWhenUsed/>
    <w:qFormat/>
    <w:uiPriority w:val="9"/>
    <w:pPr>
      <w:keepNext/>
      <w:keepLines/>
      <w:spacing w:before="240" w:after="64" w:line="317" w:lineRule="auto"/>
      <w:outlineLvl w:val="8"/>
    </w:pPr>
    <w:rPr>
      <w:rFonts w:ascii="Arial" w:hAnsi="Arial" w:eastAsia="黑体"/>
    </w:rPr>
  </w:style>
  <w:style w:type="character" w:default="1" w:styleId="42">
    <w:name w:val="Default Paragraph Font"/>
    <w:autoRedefine/>
    <w:semiHidden/>
    <w:unhideWhenUsed/>
    <w:qFormat/>
    <w:uiPriority w:val="1"/>
  </w:style>
  <w:style w:type="table" w:default="1" w:styleId="40">
    <w:name w:val="Normal Table"/>
    <w:autoRedefine/>
    <w:semiHidden/>
    <w:unhideWhenUsed/>
    <w:qFormat/>
    <w:uiPriority w:val="99"/>
    <w:tblPr>
      <w:tblCellMar>
        <w:top w:w="0" w:type="dxa"/>
        <w:left w:w="108" w:type="dxa"/>
        <w:bottom w:w="0" w:type="dxa"/>
        <w:right w:w="108" w:type="dxa"/>
      </w:tblCellMar>
    </w:tblPr>
  </w:style>
  <w:style w:type="paragraph" w:styleId="3">
    <w:name w:val="toc 3"/>
    <w:basedOn w:val="1"/>
    <w:next w:val="1"/>
    <w:autoRedefine/>
    <w:qFormat/>
    <w:uiPriority w:val="39"/>
    <w:pPr>
      <w:ind w:left="480"/>
      <w:jc w:val="left"/>
    </w:pPr>
    <w:rPr>
      <w:rFonts w:ascii="Calibri" w:hAnsi="Calibri" w:eastAsia="宋体" w:cs="Times New Roman"/>
      <w:i/>
      <w:iCs/>
      <w:sz w:val="20"/>
      <w:szCs w:val="20"/>
    </w:rPr>
  </w:style>
  <w:style w:type="paragraph" w:styleId="11">
    <w:name w:val="toc 7"/>
    <w:basedOn w:val="1"/>
    <w:next w:val="1"/>
    <w:autoRedefine/>
    <w:qFormat/>
    <w:uiPriority w:val="39"/>
    <w:pPr>
      <w:ind w:left="1440"/>
      <w:jc w:val="left"/>
    </w:pPr>
    <w:rPr>
      <w:rFonts w:ascii="Calibri" w:hAnsi="Calibri" w:eastAsia="宋体" w:cs="Times New Roman"/>
      <w:sz w:val="18"/>
      <w:szCs w:val="18"/>
    </w:rPr>
  </w:style>
  <w:style w:type="paragraph" w:styleId="12">
    <w:name w:val="caption"/>
    <w:basedOn w:val="1"/>
    <w:next w:val="1"/>
    <w:autoRedefine/>
    <w:qFormat/>
    <w:uiPriority w:val="35"/>
    <w:pPr>
      <w:spacing w:before="152" w:after="160"/>
    </w:pPr>
    <w:rPr>
      <w:rFonts w:ascii="Arial" w:hAnsi="Arial" w:eastAsia="黑体" w:cs="Arial"/>
      <w:sz w:val="20"/>
      <w:szCs w:val="20"/>
    </w:rPr>
  </w:style>
  <w:style w:type="paragraph" w:styleId="13">
    <w:name w:val="Document Map"/>
    <w:basedOn w:val="1"/>
    <w:link w:val="137"/>
    <w:autoRedefine/>
    <w:qFormat/>
    <w:uiPriority w:val="0"/>
    <w:pPr>
      <w:shd w:val="clear" w:color="auto" w:fill="000080"/>
    </w:pPr>
    <w:rPr>
      <w:sz w:val="24"/>
    </w:rPr>
  </w:style>
  <w:style w:type="paragraph" w:styleId="14">
    <w:name w:val="toa heading"/>
    <w:basedOn w:val="1"/>
    <w:next w:val="1"/>
    <w:autoRedefine/>
    <w:qFormat/>
    <w:uiPriority w:val="99"/>
    <w:pPr>
      <w:spacing w:before="120"/>
    </w:pPr>
    <w:rPr>
      <w:rFonts w:ascii="Arial" w:hAnsi="Arial" w:eastAsia="宋体" w:cs="Arial"/>
      <w:sz w:val="24"/>
      <w:szCs w:val="24"/>
    </w:rPr>
  </w:style>
  <w:style w:type="paragraph" w:styleId="15">
    <w:name w:val="annotation text"/>
    <w:basedOn w:val="1"/>
    <w:link w:val="120"/>
    <w:autoRedefine/>
    <w:qFormat/>
    <w:uiPriority w:val="99"/>
    <w:pPr>
      <w:jc w:val="left"/>
    </w:pPr>
    <w:rPr>
      <w:rFonts w:hint="eastAsia" w:ascii="等线" w:hAnsi="等线" w:eastAsia="等线" w:cs="Times New Roman"/>
    </w:rPr>
  </w:style>
  <w:style w:type="paragraph" w:styleId="16">
    <w:name w:val="index 6"/>
    <w:basedOn w:val="1"/>
    <w:next w:val="1"/>
    <w:autoRedefine/>
    <w:qFormat/>
    <w:uiPriority w:val="0"/>
    <w:rPr>
      <w:rFonts w:ascii="宋体" w:hAnsi="宋体"/>
      <w:color w:val="000000" w:themeColor="text1"/>
      <w:sz w:val="20"/>
      <w:szCs w:val="20"/>
      <w14:textFill>
        <w14:solidFill>
          <w14:schemeClr w14:val="tx1"/>
        </w14:solidFill>
      </w14:textFill>
    </w:rPr>
  </w:style>
  <w:style w:type="paragraph" w:styleId="17">
    <w:name w:val="Body Text"/>
    <w:basedOn w:val="1"/>
    <w:link w:val="89"/>
    <w:autoRedefine/>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8">
    <w:name w:val="Body Text Indent"/>
    <w:basedOn w:val="1"/>
    <w:link w:val="148"/>
    <w:autoRedefine/>
    <w:qFormat/>
    <w:uiPriority w:val="99"/>
    <w:pPr>
      <w:spacing w:after="120"/>
      <w:ind w:left="420" w:leftChars="200"/>
    </w:pPr>
    <w:rPr>
      <w:rFonts w:ascii="Calibri" w:hAnsi="Calibri" w:eastAsia="宋体" w:cs="Times New Roman"/>
      <w:szCs w:val="20"/>
    </w:rPr>
  </w:style>
  <w:style w:type="paragraph" w:styleId="19">
    <w:name w:val="index 4"/>
    <w:basedOn w:val="1"/>
    <w:next w:val="1"/>
    <w:autoRedefine/>
    <w:qFormat/>
    <w:uiPriority w:val="0"/>
    <w:pPr>
      <w:ind w:left="600" w:leftChars="600"/>
    </w:pPr>
  </w:style>
  <w:style w:type="paragraph" w:styleId="20">
    <w:name w:val="toc 5"/>
    <w:basedOn w:val="1"/>
    <w:next w:val="1"/>
    <w:autoRedefine/>
    <w:qFormat/>
    <w:uiPriority w:val="39"/>
    <w:pPr>
      <w:ind w:left="960"/>
      <w:jc w:val="left"/>
    </w:pPr>
    <w:rPr>
      <w:rFonts w:ascii="Calibri" w:hAnsi="Calibri" w:eastAsia="宋体" w:cs="Times New Roman"/>
      <w:sz w:val="18"/>
      <w:szCs w:val="18"/>
    </w:rPr>
  </w:style>
  <w:style w:type="paragraph" w:styleId="21">
    <w:name w:val="Plain Text"/>
    <w:basedOn w:val="1"/>
    <w:link w:val="85"/>
    <w:autoRedefine/>
    <w:qFormat/>
    <w:uiPriority w:val="0"/>
    <w:rPr>
      <w:rFonts w:ascii="宋体" w:hAnsi="Courier New"/>
    </w:rPr>
  </w:style>
  <w:style w:type="paragraph" w:styleId="22">
    <w:name w:val="toc 8"/>
    <w:basedOn w:val="1"/>
    <w:next w:val="1"/>
    <w:autoRedefine/>
    <w:qFormat/>
    <w:uiPriority w:val="39"/>
    <w:pPr>
      <w:ind w:left="1680"/>
      <w:jc w:val="left"/>
    </w:pPr>
    <w:rPr>
      <w:rFonts w:ascii="Calibri" w:hAnsi="Calibri" w:eastAsia="宋体" w:cs="Times New Roman"/>
      <w:sz w:val="18"/>
      <w:szCs w:val="18"/>
    </w:rPr>
  </w:style>
  <w:style w:type="paragraph" w:styleId="23">
    <w:name w:val="Date"/>
    <w:basedOn w:val="1"/>
    <w:next w:val="1"/>
    <w:link w:val="112"/>
    <w:autoRedefine/>
    <w:qFormat/>
    <w:uiPriority w:val="0"/>
    <w:pPr>
      <w:ind w:left="100" w:leftChars="2500"/>
    </w:pPr>
    <w:rPr>
      <w:sz w:val="24"/>
    </w:rPr>
  </w:style>
  <w:style w:type="paragraph" w:styleId="24">
    <w:name w:val="Body Text Indent 2"/>
    <w:basedOn w:val="1"/>
    <w:link w:val="119"/>
    <w:autoRedefine/>
    <w:qFormat/>
    <w:uiPriority w:val="0"/>
    <w:pPr>
      <w:spacing w:after="120" w:line="480" w:lineRule="auto"/>
      <w:ind w:left="420" w:leftChars="200"/>
    </w:pPr>
  </w:style>
  <w:style w:type="paragraph" w:styleId="25">
    <w:name w:val="Balloon Text"/>
    <w:basedOn w:val="1"/>
    <w:link w:val="117"/>
    <w:autoRedefine/>
    <w:qFormat/>
    <w:uiPriority w:val="0"/>
    <w:rPr>
      <w:sz w:val="18"/>
    </w:rPr>
  </w:style>
  <w:style w:type="paragraph" w:styleId="26">
    <w:name w:val="footer"/>
    <w:basedOn w:val="1"/>
    <w:link w:val="67"/>
    <w:autoRedefine/>
    <w:qFormat/>
    <w:uiPriority w:val="99"/>
    <w:pPr>
      <w:tabs>
        <w:tab w:val="center" w:pos="4153"/>
        <w:tab w:val="right" w:pos="8306"/>
      </w:tabs>
      <w:snapToGrid w:val="0"/>
      <w:jc w:val="left"/>
    </w:pPr>
    <w:rPr>
      <w:sz w:val="18"/>
    </w:rPr>
  </w:style>
  <w:style w:type="paragraph" w:styleId="27">
    <w:name w:val="header"/>
    <w:basedOn w:val="1"/>
    <w:link w:val="91"/>
    <w:autoRedefine/>
    <w:qFormat/>
    <w:uiPriority w:val="0"/>
    <w:pPr>
      <w:pBdr>
        <w:bottom w:val="single" w:color="auto" w:sz="6" w:space="1"/>
      </w:pBdr>
      <w:tabs>
        <w:tab w:val="center" w:pos="4153"/>
        <w:tab w:val="right" w:pos="8306"/>
      </w:tabs>
      <w:snapToGrid w:val="0"/>
      <w:jc w:val="center"/>
    </w:pPr>
    <w:rPr>
      <w:sz w:val="18"/>
    </w:rPr>
  </w:style>
  <w:style w:type="paragraph" w:styleId="28">
    <w:name w:val="toc 1"/>
    <w:basedOn w:val="1"/>
    <w:next w:val="1"/>
    <w:autoRedefine/>
    <w:qFormat/>
    <w:uiPriority w:val="39"/>
    <w:pPr>
      <w:spacing w:line="360" w:lineRule="auto"/>
      <w:jc w:val="left"/>
    </w:pPr>
    <w:rPr>
      <w:rFonts w:ascii="宋体" w:hAnsi="宋体" w:eastAsia="宋体" w:cs="Times New Roman"/>
      <w:b/>
      <w:caps/>
      <w:color w:val="FF0000"/>
      <w:szCs w:val="21"/>
    </w:rPr>
  </w:style>
  <w:style w:type="paragraph" w:styleId="29">
    <w:name w:val="toc 4"/>
    <w:basedOn w:val="1"/>
    <w:next w:val="1"/>
    <w:autoRedefine/>
    <w:qFormat/>
    <w:uiPriority w:val="39"/>
    <w:pPr>
      <w:ind w:left="720"/>
      <w:jc w:val="left"/>
    </w:pPr>
    <w:rPr>
      <w:rFonts w:ascii="Calibri" w:hAnsi="Calibri" w:eastAsia="宋体" w:cs="Times New Roman"/>
      <w:sz w:val="18"/>
      <w:szCs w:val="18"/>
    </w:rPr>
  </w:style>
  <w:style w:type="paragraph" w:styleId="30">
    <w:name w:val="List"/>
    <w:basedOn w:val="1"/>
    <w:autoRedefine/>
    <w:qFormat/>
    <w:uiPriority w:val="99"/>
    <w:pPr>
      <w:ind w:left="420" w:hanging="420"/>
    </w:pPr>
    <w:rPr>
      <w:rFonts w:ascii="Times New Roman" w:hAnsi="Times New Roman" w:eastAsia="宋体" w:cs="Times New Roman"/>
      <w:szCs w:val="20"/>
    </w:rPr>
  </w:style>
  <w:style w:type="paragraph" w:styleId="31">
    <w:name w:val="toc 6"/>
    <w:basedOn w:val="1"/>
    <w:next w:val="1"/>
    <w:autoRedefine/>
    <w:qFormat/>
    <w:uiPriority w:val="39"/>
    <w:pPr>
      <w:ind w:left="1200"/>
      <w:jc w:val="left"/>
    </w:pPr>
    <w:rPr>
      <w:rFonts w:ascii="Calibri" w:hAnsi="Calibri" w:eastAsia="宋体" w:cs="Times New Roman"/>
      <w:sz w:val="18"/>
      <w:szCs w:val="18"/>
    </w:rPr>
  </w:style>
  <w:style w:type="paragraph" w:styleId="32">
    <w:name w:val="Body Text Indent 3"/>
    <w:basedOn w:val="1"/>
    <w:link w:val="97"/>
    <w:autoRedefine/>
    <w:qFormat/>
    <w:uiPriority w:val="0"/>
    <w:pPr>
      <w:spacing w:after="120"/>
      <w:ind w:left="420" w:leftChars="200"/>
    </w:pPr>
    <w:rPr>
      <w:sz w:val="16"/>
    </w:rPr>
  </w:style>
  <w:style w:type="paragraph" w:styleId="33">
    <w:name w:val="toc 2"/>
    <w:basedOn w:val="1"/>
    <w:next w:val="1"/>
    <w:autoRedefine/>
    <w:unhideWhenUsed/>
    <w:qFormat/>
    <w:uiPriority w:val="39"/>
    <w:pPr>
      <w:ind w:left="420" w:leftChars="200"/>
    </w:pPr>
    <w:rPr>
      <w:rFonts w:ascii="Calibri" w:hAnsi="Calibri" w:eastAsia="宋体" w:cs="Times New Roman"/>
      <w:szCs w:val="20"/>
    </w:rPr>
  </w:style>
  <w:style w:type="paragraph" w:styleId="34">
    <w:name w:val="toc 9"/>
    <w:basedOn w:val="1"/>
    <w:next w:val="1"/>
    <w:autoRedefine/>
    <w:qFormat/>
    <w:uiPriority w:val="39"/>
    <w:pPr>
      <w:ind w:left="1920"/>
      <w:jc w:val="left"/>
    </w:pPr>
    <w:rPr>
      <w:rFonts w:ascii="Calibri" w:hAnsi="Calibri" w:eastAsia="宋体" w:cs="Times New Roman"/>
      <w:sz w:val="18"/>
      <w:szCs w:val="18"/>
    </w:rPr>
  </w:style>
  <w:style w:type="paragraph" w:styleId="35">
    <w:name w:val="Normal (Web)"/>
    <w:basedOn w:val="1"/>
    <w:autoRedefine/>
    <w:qFormat/>
    <w:uiPriority w:val="99"/>
    <w:rPr>
      <w:rFonts w:ascii="Calibri" w:hAnsi="Calibri" w:eastAsia="宋体" w:cs="Times New Roman"/>
      <w:sz w:val="24"/>
      <w:szCs w:val="20"/>
    </w:rPr>
  </w:style>
  <w:style w:type="paragraph" w:styleId="36">
    <w:name w:val="index 1"/>
    <w:basedOn w:val="1"/>
    <w:next w:val="1"/>
    <w:autoRedefine/>
    <w:qFormat/>
    <w:uiPriority w:val="99"/>
    <w:rPr>
      <w:rFonts w:ascii="Calibri" w:hAnsi="Calibri" w:eastAsia="宋体" w:cs="Times New Roman"/>
      <w:sz w:val="24"/>
      <w:szCs w:val="24"/>
    </w:rPr>
  </w:style>
  <w:style w:type="paragraph" w:styleId="37">
    <w:name w:val="Title"/>
    <w:basedOn w:val="1"/>
    <w:link w:val="144"/>
    <w:autoRedefine/>
    <w:qFormat/>
    <w:uiPriority w:val="0"/>
    <w:pPr>
      <w:spacing w:before="160" w:after="40" w:line="240" w:lineRule="atLeast"/>
      <w:ind w:left="425" w:hanging="425"/>
      <w:jc w:val="center"/>
      <w:outlineLvl w:val="0"/>
    </w:pPr>
    <w:rPr>
      <w:rFonts w:ascii="Arial" w:hAnsi="Arial"/>
      <w:b/>
      <w:sz w:val="32"/>
    </w:rPr>
  </w:style>
  <w:style w:type="paragraph" w:styleId="38">
    <w:name w:val="annotation subject"/>
    <w:basedOn w:val="15"/>
    <w:next w:val="15"/>
    <w:link w:val="60"/>
    <w:autoRedefine/>
    <w:qFormat/>
    <w:uiPriority w:val="0"/>
    <w:rPr>
      <w:b/>
    </w:rPr>
  </w:style>
  <w:style w:type="paragraph" w:styleId="39">
    <w:name w:val="Body Text First Indent 2"/>
    <w:basedOn w:val="18"/>
    <w:autoRedefine/>
    <w:semiHidden/>
    <w:qFormat/>
    <w:uiPriority w:val="99"/>
    <w:pPr>
      <w:spacing w:line="276" w:lineRule="auto"/>
      <w:ind w:firstLine="420" w:firstLineChars="200"/>
      <w:jc w:val="left"/>
    </w:pPr>
  </w:style>
  <w:style w:type="table" w:styleId="41">
    <w:name w:val="Table Grid"/>
    <w:basedOn w:val="40"/>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autoRedefine/>
    <w:qFormat/>
    <w:uiPriority w:val="22"/>
    <w:rPr>
      <w:b/>
    </w:rPr>
  </w:style>
  <w:style w:type="character" w:styleId="44">
    <w:name w:val="page number"/>
    <w:basedOn w:val="42"/>
    <w:autoRedefine/>
    <w:qFormat/>
    <w:uiPriority w:val="99"/>
    <w:rPr>
      <w:rFonts w:cs="Times New Roman"/>
    </w:rPr>
  </w:style>
  <w:style w:type="character" w:styleId="45">
    <w:name w:val="FollowedHyperlink"/>
    <w:basedOn w:val="42"/>
    <w:autoRedefine/>
    <w:qFormat/>
    <w:uiPriority w:val="99"/>
    <w:rPr>
      <w:color w:val="800080"/>
      <w:u w:val="single"/>
    </w:rPr>
  </w:style>
  <w:style w:type="character" w:styleId="46">
    <w:name w:val="Emphasis"/>
    <w:autoRedefine/>
    <w:qFormat/>
    <w:uiPriority w:val="99"/>
    <w:rPr>
      <w:rFonts w:cs="Times New Roman"/>
      <w:color w:val="auto"/>
    </w:rPr>
  </w:style>
  <w:style w:type="character" w:styleId="47">
    <w:name w:val="HTML Acronym"/>
    <w:basedOn w:val="42"/>
    <w:autoRedefine/>
    <w:qFormat/>
    <w:uiPriority w:val="99"/>
  </w:style>
  <w:style w:type="character" w:styleId="48">
    <w:name w:val="Hyperlink"/>
    <w:basedOn w:val="42"/>
    <w:autoRedefine/>
    <w:qFormat/>
    <w:uiPriority w:val="99"/>
    <w:rPr>
      <w:color w:val="1F4F88"/>
      <w:u w:val="none"/>
    </w:rPr>
  </w:style>
  <w:style w:type="character" w:styleId="49">
    <w:name w:val="annotation reference"/>
    <w:basedOn w:val="42"/>
    <w:autoRedefine/>
    <w:qFormat/>
    <w:uiPriority w:val="99"/>
    <w:rPr>
      <w:sz w:val="21"/>
    </w:rPr>
  </w:style>
  <w:style w:type="character" w:customStyle="1" w:styleId="50">
    <w:name w:val="页眉 字符1"/>
    <w:basedOn w:val="42"/>
    <w:autoRedefine/>
    <w:semiHidden/>
    <w:qFormat/>
    <w:uiPriority w:val="99"/>
    <w:rPr>
      <w:sz w:val="18"/>
      <w:szCs w:val="18"/>
    </w:rPr>
  </w:style>
  <w:style w:type="character" w:customStyle="1" w:styleId="51">
    <w:name w:val="批注主题 Char"/>
    <w:autoRedefine/>
    <w:qFormat/>
    <w:uiPriority w:val="0"/>
    <w:rPr>
      <w:b/>
      <w:kern w:val="2"/>
    </w:rPr>
  </w:style>
  <w:style w:type="character" w:customStyle="1" w:styleId="52">
    <w:name w:val="页眉 字符11"/>
    <w:basedOn w:val="42"/>
    <w:autoRedefine/>
    <w:semiHidden/>
    <w:qFormat/>
    <w:uiPriority w:val="99"/>
    <w:rPr>
      <w:rFonts w:cs="Times New Roman"/>
      <w:kern w:val="2"/>
      <w:sz w:val="18"/>
      <w:szCs w:val="18"/>
    </w:rPr>
  </w:style>
  <w:style w:type="character" w:customStyle="1" w:styleId="53">
    <w:name w:val="标书表格 字符"/>
    <w:link w:val="54"/>
    <w:autoRedefine/>
    <w:qFormat/>
    <w:locked/>
    <w:uiPriority w:val="0"/>
    <w:rPr>
      <w:rFonts w:ascii="Times New Roman" w:hAnsi="Times New Roman" w:eastAsia="宋体" w:cs="Times New Roman"/>
      <w:b/>
      <w:szCs w:val="20"/>
    </w:rPr>
  </w:style>
  <w:style w:type="paragraph" w:customStyle="1" w:styleId="54">
    <w:name w:val="标书表格"/>
    <w:basedOn w:val="1"/>
    <w:link w:val="53"/>
    <w:autoRedefine/>
    <w:qFormat/>
    <w:uiPriority w:val="0"/>
    <w:pPr>
      <w:jc w:val="center"/>
    </w:pPr>
    <w:rPr>
      <w:rFonts w:ascii="Times New Roman" w:hAnsi="Times New Roman" w:eastAsia="宋体" w:cs="Times New Roman"/>
      <w:b/>
      <w:szCs w:val="20"/>
    </w:rPr>
  </w:style>
  <w:style w:type="paragraph" w:customStyle="1" w:styleId="55">
    <w:name w:val="ATXT_Table"/>
    <w:basedOn w:val="1"/>
    <w:autoRedefine/>
    <w:qFormat/>
    <w:uiPriority w:val="0"/>
    <w:pPr>
      <w:widowControl/>
    </w:pPr>
    <w:rPr>
      <w:rFonts w:ascii="Arial" w:hAnsi="Arial" w:eastAsia="宋体" w:cs="Times New Roman"/>
      <w:kern w:val="0"/>
      <w:sz w:val="20"/>
      <w:szCs w:val="20"/>
      <w:lang w:val="de-DE" w:eastAsia="de-DE"/>
    </w:rPr>
  </w:style>
  <w:style w:type="paragraph" w:customStyle="1" w:styleId="56">
    <w:name w:val="_Style 4"/>
    <w:basedOn w:val="2"/>
    <w:next w:val="1"/>
    <w:autoRedefine/>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57">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character" w:customStyle="1" w:styleId="58">
    <w:name w:val="标题 4 字符"/>
    <w:basedOn w:val="42"/>
    <w:link w:val="6"/>
    <w:autoRedefine/>
    <w:qFormat/>
    <w:uiPriority w:val="0"/>
    <w:rPr>
      <w:rFonts w:ascii="等线 Light" w:hAnsi="等线 Light" w:eastAsia="等线 Light" w:cs="Times New Roman"/>
      <w:b/>
      <w:bCs/>
      <w:kern w:val="2"/>
      <w:sz w:val="28"/>
      <w:szCs w:val="28"/>
    </w:rPr>
  </w:style>
  <w:style w:type="paragraph" w:customStyle="1" w:styleId="59">
    <w:name w:val="Char Char Char Char Char Char Char"/>
    <w:basedOn w:val="1"/>
    <w:autoRedefine/>
    <w:qFormat/>
    <w:uiPriority w:val="0"/>
    <w:rPr>
      <w:rFonts w:ascii="Verdana" w:hAnsi="Verdana" w:eastAsia="宋体" w:cs="Times New Roman"/>
      <w:kern w:val="0"/>
      <w:sz w:val="20"/>
      <w:szCs w:val="20"/>
      <w:lang w:eastAsia="en-US"/>
    </w:rPr>
  </w:style>
  <w:style w:type="character" w:customStyle="1" w:styleId="60">
    <w:name w:val="批注主题 字符"/>
    <w:link w:val="38"/>
    <w:autoRedefine/>
    <w:qFormat/>
    <w:locked/>
    <w:uiPriority w:val="0"/>
    <w:rPr>
      <w:b/>
    </w:rPr>
  </w:style>
  <w:style w:type="character" w:customStyle="1" w:styleId="61">
    <w:name w:val="纯文本 字符11"/>
    <w:basedOn w:val="42"/>
    <w:autoRedefine/>
    <w:qFormat/>
    <w:uiPriority w:val="0"/>
    <w:rPr>
      <w:rFonts w:hAnsi="Courier New" w:cs="Courier New" w:asciiTheme="minorEastAsia" w:eastAsiaTheme="minorEastAsia"/>
      <w:kern w:val="2"/>
      <w:sz w:val="21"/>
    </w:rPr>
  </w:style>
  <w:style w:type="paragraph" w:customStyle="1" w:styleId="62">
    <w:name w:val="修订1"/>
    <w:autoRedefine/>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63">
    <w:name w:val="标题 4 字符2"/>
    <w:autoRedefine/>
    <w:qFormat/>
    <w:uiPriority w:val="0"/>
    <w:rPr>
      <w:b/>
      <w:bCs/>
      <w:kern w:val="2"/>
      <w:sz w:val="24"/>
      <w:szCs w:val="28"/>
    </w:rPr>
  </w:style>
  <w:style w:type="character" w:customStyle="1" w:styleId="64">
    <w:name w:val="批注框文本 字符1"/>
    <w:basedOn w:val="42"/>
    <w:autoRedefine/>
    <w:semiHidden/>
    <w:qFormat/>
    <w:uiPriority w:val="99"/>
    <w:rPr>
      <w:sz w:val="18"/>
      <w:szCs w:val="18"/>
    </w:rPr>
  </w:style>
  <w:style w:type="paragraph" w:customStyle="1" w:styleId="65">
    <w:name w:val="Table Text"/>
    <w:basedOn w:val="1"/>
    <w:autoRedefine/>
    <w:semiHidden/>
    <w:qFormat/>
    <w:uiPriority w:val="0"/>
    <w:pPr>
      <w:widowControl/>
      <w:kinsoku w:val="0"/>
      <w:autoSpaceDE w:val="0"/>
      <w:autoSpaceDN w:val="0"/>
      <w:adjustRightInd w:val="0"/>
      <w:snapToGrid w:val="0"/>
      <w:jc w:val="left"/>
      <w:textAlignment w:val="baseline"/>
    </w:pPr>
    <w:rPr>
      <w:rFonts w:ascii="Times New Roman" w:hAnsi="Times New Roman" w:eastAsia="宋体" w:cs="Times New Roman"/>
      <w:color w:val="000000"/>
      <w:kern w:val="0"/>
      <w:sz w:val="22"/>
    </w:rPr>
  </w:style>
  <w:style w:type="character" w:customStyle="1" w:styleId="66">
    <w:name w:val="标题 3 字符"/>
    <w:basedOn w:val="42"/>
    <w:link w:val="5"/>
    <w:autoRedefine/>
    <w:semiHidden/>
    <w:qFormat/>
    <w:uiPriority w:val="9"/>
    <w:rPr>
      <w:rFonts w:ascii="Calibri" w:hAnsi="Calibri" w:eastAsia="宋体" w:cs="Times New Roman"/>
      <w:b/>
      <w:bCs/>
      <w:sz w:val="32"/>
      <w:szCs w:val="32"/>
    </w:rPr>
  </w:style>
  <w:style w:type="character" w:customStyle="1" w:styleId="67">
    <w:name w:val="页脚 字符"/>
    <w:link w:val="26"/>
    <w:autoRedefine/>
    <w:qFormat/>
    <w:locked/>
    <w:uiPriority w:val="99"/>
    <w:rPr>
      <w:sz w:val="18"/>
    </w:rPr>
  </w:style>
  <w:style w:type="paragraph" w:customStyle="1" w:styleId="68">
    <w:name w:val="标书三级标题"/>
    <w:basedOn w:val="5"/>
    <w:next w:val="69"/>
    <w:link w:val="105"/>
    <w:autoRedefine/>
    <w:qFormat/>
    <w:uiPriority w:val="0"/>
    <w:pPr>
      <w:spacing w:before="0" w:after="0" w:line="240" w:lineRule="auto"/>
      <w:ind w:firstLine="482" w:firstLineChars="200"/>
    </w:pPr>
    <w:rPr>
      <w:rFonts w:ascii="Times New Roman" w:hAnsi="Times New Roman"/>
      <w:color w:val="000000"/>
      <w:sz w:val="24"/>
      <w:szCs w:val="24"/>
    </w:rPr>
  </w:style>
  <w:style w:type="paragraph" w:customStyle="1" w:styleId="69">
    <w:name w:val="标书正文格式"/>
    <w:basedOn w:val="21"/>
    <w:link w:val="125"/>
    <w:autoRedefine/>
    <w:qFormat/>
    <w:uiPriority w:val="0"/>
    <w:pPr>
      <w:spacing w:line="360" w:lineRule="auto"/>
      <w:ind w:firstLine="200" w:firstLineChars="200"/>
    </w:pPr>
    <w:rPr>
      <w:rFonts w:hAnsi="宋体"/>
      <w:color w:val="000000"/>
      <w:sz w:val="24"/>
      <w:szCs w:val="24"/>
    </w:rPr>
  </w:style>
  <w:style w:type="character" w:customStyle="1" w:styleId="70">
    <w:name w:val="批注主题 字符11"/>
    <w:basedOn w:val="71"/>
    <w:autoRedefine/>
    <w:semiHidden/>
    <w:qFormat/>
    <w:uiPriority w:val="99"/>
    <w:rPr>
      <w:rFonts w:cs="Times New Roman"/>
      <w:b/>
      <w:bCs/>
      <w:kern w:val="2"/>
      <w:sz w:val="21"/>
    </w:rPr>
  </w:style>
  <w:style w:type="character" w:customStyle="1" w:styleId="71">
    <w:name w:val="批注文字 字符11"/>
    <w:basedOn w:val="42"/>
    <w:autoRedefine/>
    <w:qFormat/>
    <w:uiPriority w:val="0"/>
    <w:rPr>
      <w:rFonts w:cs="Times New Roman"/>
      <w:kern w:val="2"/>
      <w:sz w:val="21"/>
    </w:rPr>
  </w:style>
  <w:style w:type="table" w:customStyle="1" w:styleId="72">
    <w:name w:val="Rohde &amp; Schwarz - Standard Table"/>
    <w:basedOn w:val="40"/>
    <w:autoRedefine/>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73">
    <w:name w:val="1列"/>
    <w:basedOn w:val="1"/>
    <w:autoRedefine/>
    <w:qFormat/>
    <w:uiPriority w:val="0"/>
    <w:pPr>
      <w:spacing w:line="360" w:lineRule="auto"/>
      <w:ind w:left="401" w:hanging="401" w:hangingChars="191"/>
    </w:pPr>
    <w:rPr>
      <w:rFonts w:ascii="Calibri" w:hAnsi="Calibri" w:eastAsia="宋体" w:cs="Times New Roman"/>
      <w:szCs w:val="24"/>
    </w:rPr>
  </w:style>
  <w:style w:type="character" w:customStyle="1" w:styleId="74">
    <w:name w:val="Char Char3"/>
    <w:autoRedefine/>
    <w:qFormat/>
    <w:uiPriority w:val="0"/>
    <w:rPr>
      <w:rFonts w:ascii="宋体" w:hAnsi="Courier New" w:eastAsia="宋体"/>
      <w:kern w:val="2"/>
      <w:sz w:val="21"/>
      <w:lang w:val="en-US" w:eastAsia="zh-CN"/>
    </w:rPr>
  </w:style>
  <w:style w:type="character" w:customStyle="1" w:styleId="75">
    <w:name w:val="标题 2 字符"/>
    <w:basedOn w:val="42"/>
    <w:link w:val="4"/>
    <w:autoRedefine/>
    <w:qFormat/>
    <w:uiPriority w:val="0"/>
    <w:rPr>
      <w:rFonts w:ascii="Arial" w:hAnsi="Arial" w:eastAsia="宋体" w:cs="Times New Roman"/>
      <w:b/>
      <w:bCs/>
      <w:sz w:val="24"/>
      <w:szCs w:val="32"/>
    </w:rPr>
  </w:style>
  <w:style w:type="character" w:customStyle="1" w:styleId="76">
    <w:name w:val="标题 字符11"/>
    <w:basedOn w:val="42"/>
    <w:autoRedefine/>
    <w:qFormat/>
    <w:uiPriority w:val="10"/>
    <w:rPr>
      <w:rFonts w:cs="Times New Roman" w:asciiTheme="majorHAnsi" w:hAnsiTheme="majorHAnsi" w:eastAsiaTheme="majorEastAsia"/>
      <w:b/>
      <w:bCs/>
      <w:kern w:val="2"/>
      <w:sz w:val="32"/>
      <w:szCs w:val="32"/>
    </w:rPr>
  </w:style>
  <w:style w:type="paragraph" w:styleId="77">
    <w:name w:val="List Paragraph"/>
    <w:basedOn w:val="1"/>
    <w:autoRedefine/>
    <w:qFormat/>
    <w:uiPriority w:val="99"/>
    <w:pPr>
      <w:ind w:firstLine="420" w:firstLineChars="200"/>
    </w:pPr>
  </w:style>
  <w:style w:type="character" w:customStyle="1" w:styleId="78">
    <w:name w:val="正文文本缩进 3 字符1"/>
    <w:basedOn w:val="42"/>
    <w:autoRedefine/>
    <w:semiHidden/>
    <w:qFormat/>
    <w:uiPriority w:val="99"/>
    <w:rPr>
      <w:sz w:val="16"/>
      <w:szCs w:val="16"/>
    </w:rPr>
  </w:style>
  <w:style w:type="character" w:customStyle="1" w:styleId="79">
    <w:name w:val="标三级标题 字符"/>
    <w:link w:val="80"/>
    <w:autoRedefine/>
    <w:qFormat/>
    <w:locked/>
    <w:uiPriority w:val="0"/>
    <w:rPr>
      <w:b/>
      <w:color w:val="000000"/>
      <w:sz w:val="24"/>
    </w:rPr>
  </w:style>
  <w:style w:type="paragraph" w:customStyle="1" w:styleId="80">
    <w:name w:val="标三级标题"/>
    <w:basedOn w:val="68"/>
    <w:link w:val="79"/>
    <w:autoRedefine/>
    <w:qFormat/>
    <w:uiPriority w:val="0"/>
    <w:rPr>
      <w:rFonts w:asciiTheme="minorHAnsi" w:hAnsiTheme="minorHAnsi" w:eastAsiaTheme="minorEastAsia" w:cstheme="minorBidi"/>
      <w:bCs w:val="0"/>
      <w:szCs w:val="22"/>
    </w:rPr>
  </w:style>
  <w:style w:type="character" w:customStyle="1" w:styleId="81">
    <w:name w:val="fontstyle01"/>
    <w:autoRedefine/>
    <w:qFormat/>
    <w:uiPriority w:val="0"/>
    <w:rPr>
      <w:rFonts w:hint="eastAsia" w:ascii="宋体" w:hAnsi="宋体" w:eastAsia="宋体"/>
      <w:color w:val="000000"/>
      <w:sz w:val="24"/>
      <w:szCs w:val="24"/>
    </w:rPr>
  </w:style>
  <w:style w:type="character" w:customStyle="1" w:styleId="82">
    <w:name w:val="Classification"/>
    <w:autoRedefine/>
    <w:qFormat/>
    <w:uiPriority w:val="99"/>
    <w:rPr>
      <w:rFonts w:ascii="Calibri" w:hAnsi="Calibri" w:eastAsia="宋体" w:cs="Cordia New"/>
      <w:b/>
      <w:bCs/>
      <w:caps/>
      <w:color w:val="000000"/>
      <w:spacing w:val="20"/>
      <w:sz w:val="24"/>
      <w:szCs w:val="24"/>
    </w:rPr>
  </w:style>
  <w:style w:type="character" w:customStyle="1" w:styleId="83">
    <w:name w:val="正文文本缩进 2 字符11"/>
    <w:basedOn w:val="42"/>
    <w:autoRedefine/>
    <w:semiHidden/>
    <w:qFormat/>
    <w:uiPriority w:val="99"/>
    <w:rPr>
      <w:rFonts w:cs="Times New Roman"/>
      <w:kern w:val="2"/>
      <w:sz w:val="21"/>
    </w:rPr>
  </w:style>
  <w:style w:type="character" w:customStyle="1" w:styleId="84">
    <w:name w:val="标题 1 字符"/>
    <w:basedOn w:val="42"/>
    <w:link w:val="2"/>
    <w:autoRedefine/>
    <w:qFormat/>
    <w:uiPriority w:val="9"/>
    <w:rPr>
      <w:rFonts w:ascii="Calibri" w:hAnsi="Calibri" w:eastAsia="宋体" w:cs="Times New Roman"/>
      <w:b/>
      <w:bCs/>
      <w:kern w:val="44"/>
      <w:sz w:val="36"/>
      <w:szCs w:val="44"/>
    </w:rPr>
  </w:style>
  <w:style w:type="character" w:customStyle="1" w:styleId="85">
    <w:name w:val="纯文本 字符"/>
    <w:link w:val="21"/>
    <w:autoRedefine/>
    <w:qFormat/>
    <w:locked/>
    <w:uiPriority w:val="0"/>
    <w:rPr>
      <w:rFonts w:ascii="宋体" w:hAnsi="Courier New"/>
    </w:rPr>
  </w:style>
  <w:style w:type="paragraph" w:customStyle="1" w:styleId="86">
    <w:name w:val="1正文段落"/>
    <w:basedOn w:val="1"/>
    <w:autoRedefine/>
    <w:qFormat/>
    <w:uiPriority w:val="0"/>
    <w:pPr>
      <w:spacing w:line="360" w:lineRule="auto"/>
      <w:ind w:firstLine="480" w:firstLineChars="200"/>
      <w:jc w:val="left"/>
    </w:pPr>
    <w:rPr>
      <w:rFonts w:ascii="Times New Roman" w:hAnsi="Times New Roman" w:eastAsia="宋体" w:cs="Times New Roman"/>
      <w:kern w:val="0"/>
      <w:szCs w:val="20"/>
    </w:rPr>
  </w:style>
  <w:style w:type="character" w:customStyle="1" w:styleId="87">
    <w:name w:val="标书二级标题 字符"/>
    <w:link w:val="88"/>
    <w:autoRedefine/>
    <w:qFormat/>
    <w:locked/>
    <w:uiPriority w:val="0"/>
    <w:rPr>
      <w:rFonts w:ascii="宋体" w:hAnsi="宋体" w:eastAsia="黑体" w:cs="Times New Roman"/>
      <w:bCs/>
      <w:sz w:val="28"/>
      <w:szCs w:val="30"/>
    </w:rPr>
  </w:style>
  <w:style w:type="paragraph" w:customStyle="1" w:styleId="88">
    <w:name w:val="标书二级标题"/>
    <w:basedOn w:val="4"/>
    <w:link w:val="87"/>
    <w:autoRedefine/>
    <w:qFormat/>
    <w:uiPriority w:val="0"/>
    <w:pPr>
      <w:spacing w:line="240" w:lineRule="auto"/>
      <w:jc w:val="left"/>
    </w:pPr>
    <w:rPr>
      <w:rFonts w:ascii="宋体" w:hAnsi="宋体" w:eastAsia="黑体"/>
      <w:b w:val="0"/>
      <w:sz w:val="28"/>
      <w:szCs w:val="30"/>
    </w:rPr>
  </w:style>
  <w:style w:type="character" w:customStyle="1" w:styleId="89">
    <w:name w:val="正文文本 字符"/>
    <w:basedOn w:val="42"/>
    <w:link w:val="17"/>
    <w:autoRedefine/>
    <w:qFormat/>
    <w:uiPriority w:val="99"/>
    <w:rPr>
      <w:rFonts w:ascii="Calibri" w:hAnsi="Calibri" w:eastAsia="新宋体" w:cs="Times New Roman"/>
      <w:szCs w:val="21"/>
    </w:rPr>
  </w:style>
  <w:style w:type="character" w:customStyle="1" w:styleId="90">
    <w:name w:val="批注文字 字符"/>
    <w:autoRedefine/>
    <w:qFormat/>
    <w:locked/>
    <w:uiPriority w:val="99"/>
  </w:style>
  <w:style w:type="character" w:customStyle="1" w:styleId="91">
    <w:name w:val="页眉 字符"/>
    <w:link w:val="27"/>
    <w:autoRedefine/>
    <w:qFormat/>
    <w:locked/>
    <w:uiPriority w:val="0"/>
    <w:rPr>
      <w:sz w:val="18"/>
    </w:rPr>
  </w:style>
  <w:style w:type="paragraph" w:customStyle="1" w:styleId="92">
    <w:name w:val="标正文"/>
    <w:basedOn w:val="69"/>
    <w:link w:val="107"/>
    <w:autoRedefine/>
    <w:qFormat/>
    <w:uiPriority w:val="0"/>
    <w:pPr>
      <w:ind w:firstLine="480"/>
    </w:pPr>
    <w:rPr>
      <w:rFonts w:eastAsia="宋体" w:hAnsiTheme="minorHAnsi"/>
      <w:szCs w:val="22"/>
    </w:rPr>
  </w:style>
  <w:style w:type="character" w:customStyle="1" w:styleId="93">
    <w:name w:val="标题 3 字符2"/>
    <w:autoRedefine/>
    <w:qFormat/>
    <w:uiPriority w:val="0"/>
    <w:rPr>
      <w:b/>
      <w:kern w:val="2"/>
      <w:sz w:val="24"/>
    </w:rPr>
  </w:style>
  <w:style w:type="character" w:customStyle="1" w:styleId="94">
    <w:name w:val="apple-converted-space"/>
    <w:basedOn w:val="42"/>
    <w:autoRedefine/>
    <w:qFormat/>
    <w:uiPriority w:val="0"/>
    <w:rPr>
      <w:rFonts w:cs="Times New Roman"/>
    </w:rPr>
  </w:style>
  <w:style w:type="character" w:customStyle="1" w:styleId="95">
    <w:name w:val="纯文本 字符1"/>
    <w:basedOn w:val="42"/>
    <w:autoRedefine/>
    <w:semiHidden/>
    <w:qFormat/>
    <w:uiPriority w:val="99"/>
    <w:rPr>
      <w:rFonts w:hAnsi="Courier New" w:cs="Courier New" w:asciiTheme="minorEastAsia"/>
    </w:rPr>
  </w:style>
  <w:style w:type="paragraph" w:customStyle="1" w:styleId="96">
    <w:name w:val="Pied"/>
    <w:basedOn w:val="1"/>
    <w:autoRedefine/>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character" w:customStyle="1" w:styleId="97">
    <w:name w:val="正文文本缩进 3 字符"/>
    <w:link w:val="32"/>
    <w:autoRedefine/>
    <w:qFormat/>
    <w:locked/>
    <w:uiPriority w:val="0"/>
    <w:rPr>
      <w:sz w:val="16"/>
    </w:rPr>
  </w:style>
  <w:style w:type="paragraph" w:customStyle="1" w:styleId="98">
    <w:name w:val="HR正文表格"/>
    <w:basedOn w:val="1"/>
    <w:autoRedefine/>
    <w:qFormat/>
    <w:uiPriority w:val="0"/>
    <w:pPr>
      <w:spacing w:beforeLines="25" w:afterLines="25" w:line="300" w:lineRule="auto"/>
    </w:pPr>
    <w:rPr>
      <w:szCs w:val="24"/>
    </w:rPr>
  </w:style>
  <w:style w:type="table" w:customStyle="1" w:styleId="99">
    <w:name w:val="Table Normal"/>
    <w:autoRedefine/>
    <w:semiHidden/>
    <w:unhideWhenUsed/>
    <w:qFormat/>
    <w:uiPriority w:val="0"/>
    <w:tblPr>
      <w:tblCellMar>
        <w:top w:w="0" w:type="dxa"/>
        <w:left w:w="0" w:type="dxa"/>
        <w:bottom w:w="0" w:type="dxa"/>
        <w:right w:w="0" w:type="dxa"/>
      </w:tblCellMar>
    </w:tblPr>
  </w:style>
  <w:style w:type="paragraph" w:customStyle="1" w:styleId="100">
    <w:name w:val="List Paragraph1"/>
    <w:basedOn w:val="1"/>
    <w:autoRedefine/>
    <w:qFormat/>
    <w:uiPriority w:val="0"/>
    <w:pPr>
      <w:ind w:firstLine="420" w:firstLineChars="200"/>
    </w:pPr>
    <w:rPr>
      <w:rFonts w:ascii="Calibri" w:hAnsi="Calibri"/>
    </w:rPr>
  </w:style>
  <w:style w:type="character" w:customStyle="1" w:styleId="101">
    <w:name w:val="NormalCharacter"/>
    <w:autoRedefine/>
    <w:qFormat/>
    <w:uiPriority w:val="0"/>
  </w:style>
  <w:style w:type="paragraph" w:customStyle="1" w:styleId="102">
    <w:name w:val="AVL_Continuous_normal"/>
    <w:autoRedefine/>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character" w:customStyle="1" w:styleId="103">
    <w:name w:val="列出段落 字符"/>
    <w:link w:val="104"/>
    <w:autoRedefine/>
    <w:qFormat/>
    <w:locked/>
    <w:uiPriority w:val="34"/>
    <w:rPr>
      <w:sz w:val="22"/>
    </w:rPr>
  </w:style>
  <w:style w:type="paragraph" w:customStyle="1" w:styleId="104">
    <w:name w:val="列出段落1"/>
    <w:basedOn w:val="1"/>
    <w:link w:val="103"/>
    <w:autoRedefine/>
    <w:qFormat/>
    <w:uiPriority w:val="34"/>
    <w:pPr>
      <w:ind w:firstLine="420" w:firstLineChars="200"/>
    </w:pPr>
    <w:rPr>
      <w:sz w:val="22"/>
    </w:rPr>
  </w:style>
  <w:style w:type="character" w:customStyle="1" w:styleId="105">
    <w:name w:val="标书三级标题 字符"/>
    <w:link w:val="68"/>
    <w:autoRedefine/>
    <w:qFormat/>
    <w:locked/>
    <w:uiPriority w:val="0"/>
    <w:rPr>
      <w:rFonts w:ascii="Times New Roman" w:hAnsi="Times New Roman" w:eastAsia="宋体" w:cs="Times New Roman"/>
      <w:b/>
      <w:bCs/>
      <w:color w:val="000000"/>
      <w:sz w:val="24"/>
      <w:szCs w:val="24"/>
    </w:rPr>
  </w:style>
  <w:style w:type="paragraph" w:styleId="106">
    <w:name w:val="No Spacing"/>
    <w:autoRedefine/>
    <w:qFormat/>
    <w:uiPriority w:val="1"/>
    <w:rPr>
      <w:rFonts w:ascii="等线" w:hAnsi="等线" w:eastAsia="等线" w:cs="Times New Roman"/>
      <w:sz w:val="21"/>
      <w:szCs w:val="21"/>
      <w:lang w:val="en-US" w:eastAsia="zh-CN" w:bidi="ar-SA"/>
    </w:rPr>
  </w:style>
  <w:style w:type="character" w:customStyle="1" w:styleId="107">
    <w:name w:val="标正文 字符"/>
    <w:link w:val="92"/>
    <w:autoRedefine/>
    <w:qFormat/>
    <w:locked/>
    <w:uiPriority w:val="0"/>
    <w:rPr>
      <w:rFonts w:ascii="宋体" w:eastAsia="宋体"/>
      <w:color w:val="000000"/>
      <w:sz w:val="24"/>
    </w:rPr>
  </w:style>
  <w:style w:type="character" w:customStyle="1" w:styleId="108">
    <w:name w:val="页脚 字符11"/>
    <w:basedOn w:val="42"/>
    <w:autoRedefine/>
    <w:semiHidden/>
    <w:qFormat/>
    <w:uiPriority w:val="99"/>
    <w:rPr>
      <w:rFonts w:cs="Times New Roman"/>
      <w:kern w:val="2"/>
      <w:sz w:val="18"/>
      <w:szCs w:val="18"/>
    </w:rPr>
  </w:style>
  <w:style w:type="character" w:customStyle="1" w:styleId="109">
    <w:name w:val="Default Char"/>
    <w:link w:val="110"/>
    <w:autoRedefine/>
    <w:qFormat/>
    <w:locked/>
    <w:uiPriority w:val="0"/>
    <w:rPr>
      <w:rFonts w:ascii="仿宋_GB2312" w:eastAsia="仿宋_GB2312"/>
      <w:color w:val="000000"/>
      <w:sz w:val="24"/>
    </w:rPr>
  </w:style>
  <w:style w:type="paragraph" w:customStyle="1" w:styleId="110">
    <w:name w:val="Default"/>
    <w:link w:val="109"/>
    <w:autoRedefine/>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111">
    <w:name w:val="正文文本缩进 3 字符11"/>
    <w:basedOn w:val="42"/>
    <w:autoRedefine/>
    <w:semiHidden/>
    <w:qFormat/>
    <w:uiPriority w:val="99"/>
    <w:rPr>
      <w:rFonts w:cs="Times New Roman"/>
      <w:kern w:val="2"/>
      <w:sz w:val="16"/>
      <w:szCs w:val="16"/>
    </w:rPr>
  </w:style>
  <w:style w:type="character" w:customStyle="1" w:styleId="112">
    <w:name w:val="日期 字符"/>
    <w:link w:val="23"/>
    <w:autoRedefine/>
    <w:qFormat/>
    <w:locked/>
    <w:uiPriority w:val="0"/>
    <w:rPr>
      <w:sz w:val="24"/>
    </w:rPr>
  </w:style>
  <w:style w:type="character" w:customStyle="1" w:styleId="113">
    <w:name w:val="文档结构图 字符11"/>
    <w:basedOn w:val="42"/>
    <w:autoRedefine/>
    <w:semiHidden/>
    <w:qFormat/>
    <w:uiPriority w:val="99"/>
    <w:rPr>
      <w:rFonts w:ascii="Microsoft YaHei UI" w:eastAsia="Microsoft YaHei UI" w:cs="Times New Roman"/>
      <w:kern w:val="2"/>
      <w:sz w:val="18"/>
      <w:szCs w:val="18"/>
    </w:rPr>
  </w:style>
  <w:style w:type="character" w:customStyle="1" w:styleId="114">
    <w:name w:val="BODY TEXT Char"/>
    <w:autoRedefine/>
    <w:qFormat/>
    <w:locked/>
    <w:uiPriority w:val="0"/>
    <w:rPr>
      <w:rFonts w:eastAsia="新宋体"/>
      <w:kern w:val="2"/>
      <w:sz w:val="21"/>
    </w:rPr>
  </w:style>
  <w:style w:type="paragraph" w:customStyle="1" w:styleId="115">
    <w:name w:val="标书一级标题"/>
    <w:basedOn w:val="2"/>
    <w:autoRedefine/>
    <w:qFormat/>
    <w:uiPriority w:val="0"/>
    <w:rPr>
      <w:rFonts w:eastAsia="黑体"/>
      <w:b w:val="0"/>
      <w:color w:val="000000"/>
      <w:sz w:val="30"/>
      <w:szCs w:val="24"/>
    </w:rPr>
  </w:style>
  <w:style w:type="paragraph" w:customStyle="1" w:styleId="116">
    <w:name w:val="1"/>
    <w:basedOn w:val="1"/>
    <w:autoRedefine/>
    <w:qFormat/>
    <w:uiPriority w:val="0"/>
    <w:pPr>
      <w:widowControl/>
      <w:spacing w:before="100" w:beforeAutospacing="1" w:after="100" w:afterAutospacing="1"/>
      <w:jc w:val="left"/>
    </w:pPr>
    <w:rPr>
      <w:rFonts w:ascii="宋体" w:hAnsi="宋体" w:eastAsia="宋体" w:cs="Times New Roman"/>
      <w:kern w:val="0"/>
      <w:sz w:val="24"/>
      <w:szCs w:val="24"/>
    </w:rPr>
  </w:style>
  <w:style w:type="character" w:customStyle="1" w:styleId="117">
    <w:name w:val="批注框文本 字符"/>
    <w:link w:val="25"/>
    <w:autoRedefine/>
    <w:qFormat/>
    <w:locked/>
    <w:uiPriority w:val="0"/>
    <w:rPr>
      <w:sz w:val="18"/>
    </w:rPr>
  </w:style>
  <w:style w:type="paragraph" w:customStyle="1" w:styleId="118">
    <w:name w:val="msolistparagraph"/>
    <w:basedOn w:val="1"/>
    <w:autoRedefine/>
    <w:qFormat/>
    <w:uiPriority w:val="0"/>
    <w:pPr>
      <w:widowControl/>
      <w:spacing w:line="300" w:lineRule="auto"/>
      <w:ind w:firstLine="420" w:firstLineChars="200"/>
      <w:jc w:val="left"/>
    </w:pPr>
    <w:rPr>
      <w:kern w:val="0"/>
    </w:rPr>
  </w:style>
  <w:style w:type="character" w:customStyle="1" w:styleId="119">
    <w:name w:val="正文文本缩进 2 字符"/>
    <w:link w:val="24"/>
    <w:autoRedefine/>
    <w:qFormat/>
    <w:locked/>
    <w:uiPriority w:val="0"/>
  </w:style>
  <w:style w:type="character" w:customStyle="1" w:styleId="120">
    <w:name w:val="批注文字 字符2"/>
    <w:basedOn w:val="42"/>
    <w:link w:val="15"/>
    <w:autoRedefine/>
    <w:qFormat/>
    <w:uiPriority w:val="0"/>
    <w:rPr>
      <w:rFonts w:hint="eastAsia" w:ascii="等线" w:hAnsi="等线" w:eastAsia="等线" w:cs="等线"/>
      <w:kern w:val="2"/>
      <w:sz w:val="21"/>
      <w:szCs w:val="22"/>
    </w:rPr>
  </w:style>
  <w:style w:type="character" w:customStyle="1" w:styleId="121">
    <w:name w:val="日期 字符11"/>
    <w:basedOn w:val="42"/>
    <w:autoRedefine/>
    <w:semiHidden/>
    <w:qFormat/>
    <w:uiPriority w:val="99"/>
    <w:rPr>
      <w:rFonts w:cs="Times New Roman"/>
      <w:kern w:val="2"/>
      <w:sz w:val="21"/>
    </w:rPr>
  </w:style>
  <w:style w:type="paragraph" w:customStyle="1" w:styleId="122">
    <w:name w:val="ATXT_Bullets"/>
    <w:link w:val="132"/>
    <w:autoRedefine/>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paragraph" w:customStyle="1" w:styleId="123">
    <w:name w:val="TOC 标题1"/>
    <w:basedOn w:val="2"/>
    <w:next w:val="1"/>
    <w:autoRedefine/>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ATXT_Standard"/>
    <w:autoRedefine/>
    <w:qFormat/>
    <w:uiPriority w:val="99"/>
    <w:pPr>
      <w:widowControl w:val="0"/>
      <w:autoSpaceDE w:val="0"/>
      <w:autoSpaceDN w:val="0"/>
      <w:adjustRightInd w:val="0"/>
      <w:ind w:left="1134"/>
      <w:jc w:val="both"/>
    </w:pPr>
    <w:rPr>
      <w:rFonts w:ascii="Arial" w:hAnsi="Arial" w:eastAsia="宋体" w:cs="Arial"/>
      <w:lang w:val="en-US" w:eastAsia="zh-CN" w:bidi="ar-SA"/>
    </w:rPr>
  </w:style>
  <w:style w:type="character" w:customStyle="1" w:styleId="125">
    <w:name w:val="标书正文格式 字符"/>
    <w:link w:val="69"/>
    <w:autoRedefine/>
    <w:qFormat/>
    <w:locked/>
    <w:uiPriority w:val="0"/>
    <w:rPr>
      <w:rFonts w:ascii="宋体" w:hAnsi="宋体"/>
      <w:color w:val="000000"/>
      <w:sz w:val="24"/>
      <w:szCs w:val="24"/>
    </w:rPr>
  </w:style>
  <w:style w:type="character" w:customStyle="1" w:styleId="126">
    <w:name w:val="页脚 Char"/>
    <w:autoRedefine/>
    <w:qFormat/>
    <w:locked/>
    <w:uiPriority w:val="99"/>
    <w:rPr>
      <w:sz w:val="18"/>
    </w:rPr>
  </w:style>
  <w:style w:type="character" w:customStyle="1" w:styleId="127">
    <w:name w:val="日期 字符1"/>
    <w:basedOn w:val="42"/>
    <w:autoRedefine/>
    <w:semiHidden/>
    <w:qFormat/>
    <w:uiPriority w:val="99"/>
  </w:style>
  <w:style w:type="paragraph" w:customStyle="1" w:styleId="128">
    <w:name w:val="正文1"/>
    <w:basedOn w:val="1"/>
    <w:autoRedefine/>
    <w:qFormat/>
    <w:uiPriority w:val="0"/>
    <w:pPr>
      <w:adjustRightInd w:val="0"/>
      <w:spacing w:line="312" w:lineRule="atLeast"/>
    </w:pPr>
    <w:rPr>
      <w:rFonts w:ascii="楷体_GB2312" w:hAnsi="Calibri" w:eastAsia="楷体_GB2312" w:cs="Times New Roman"/>
      <w:kern w:val="0"/>
      <w:sz w:val="24"/>
      <w:szCs w:val="20"/>
    </w:rPr>
  </w:style>
  <w:style w:type="character" w:customStyle="1" w:styleId="129">
    <w:name w:val="纯文本 Char"/>
    <w:autoRedefine/>
    <w:qFormat/>
    <w:uiPriority w:val="0"/>
    <w:rPr>
      <w:rFonts w:ascii="宋体" w:hAnsi="Courier New" w:eastAsia="宋体"/>
      <w:kern w:val="2"/>
      <w:sz w:val="21"/>
      <w:lang w:val="en-US" w:eastAsia="zh-CN"/>
    </w:rPr>
  </w:style>
  <w:style w:type="paragraph" w:customStyle="1" w:styleId="130">
    <w:name w:val="Char Char Char Char Char Char1 Char"/>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31">
    <w:name w:val="TOC 标题2"/>
    <w:basedOn w:val="2"/>
    <w:next w:val="1"/>
    <w:autoRedefine/>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32">
    <w:name w:val="ATXT_Bullets Zchn"/>
    <w:link w:val="122"/>
    <w:autoRedefine/>
    <w:qFormat/>
    <w:locked/>
    <w:uiPriority w:val="99"/>
    <w:rPr>
      <w:rFonts w:ascii="Arial" w:hAnsi="Arial"/>
      <w:lang w:val="de-AT" w:eastAsia="zh-CN"/>
    </w:rPr>
  </w:style>
  <w:style w:type="character" w:customStyle="1" w:styleId="133">
    <w:name w:val="Char Char5"/>
    <w:autoRedefine/>
    <w:qFormat/>
    <w:uiPriority w:val="0"/>
    <w:rPr>
      <w:rFonts w:ascii="宋体" w:hAnsi="Courier New" w:eastAsia="宋体"/>
      <w:kern w:val="2"/>
      <w:sz w:val="21"/>
      <w:lang w:val="en-US" w:eastAsia="zh-CN"/>
    </w:rPr>
  </w:style>
  <w:style w:type="character" w:customStyle="1" w:styleId="134">
    <w:name w:val="标题 字符1"/>
    <w:basedOn w:val="42"/>
    <w:autoRedefine/>
    <w:qFormat/>
    <w:uiPriority w:val="10"/>
    <w:rPr>
      <w:rFonts w:asciiTheme="majorHAnsi" w:hAnsiTheme="majorHAnsi" w:eastAsiaTheme="majorEastAsia" w:cstheme="majorBidi"/>
      <w:b/>
      <w:bCs/>
      <w:sz w:val="32"/>
      <w:szCs w:val="32"/>
    </w:rPr>
  </w:style>
  <w:style w:type="paragraph" w:customStyle="1" w:styleId="135">
    <w:name w:val="列出段落2"/>
    <w:basedOn w:val="1"/>
    <w:autoRedefine/>
    <w:qFormat/>
    <w:uiPriority w:val="0"/>
    <w:pPr>
      <w:spacing w:line="360" w:lineRule="auto"/>
      <w:ind w:firstLine="420" w:firstLineChars="200"/>
    </w:pPr>
    <w:rPr>
      <w:sz w:val="24"/>
      <w:szCs w:val="24"/>
    </w:rPr>
  </w:style>
  <w:style w:type="character" w:customStyle="1" w:styleId="136">
    <w:name w:val="页脚 字符1"/>
    <w:basedOn w:val="42"/>
    <w:autoRedefine/>
    <w:semiHidden/>
    <w:qFormat/>
    <w:uiPriority w:val="99"/>
    <w:rPr>
      <w:sz w:val="18"/>
      <w:szCs w:val="18"/>
    </w:rPr>
  </w:style>
  <w:style w:type="character" w:customStyle="1" w:styleId="137">
    <w:name w:val="文档结构图 字符"/>
    <w:link w:val="13"/>
    <w:autoRedefine/>
    <w:qFormat/>
    <w:locked/>
    <w:uiPriority w:val="0"/>
    <w:rPr>
      <w:sz w:val="24"/>
      <w:shd w:val="clear" w:color="auto" w:fill="000080"/>
    </w:rPr>
  </w:style>
  <w:style w:type="character" w:customStyle="1" w:styleId="138">
    <w:name w:val="批注框文本 字符11"/>
    <w:basedOn w:val="42"/>
    <w:autoRedefine/>
    <w:semiHidden/>
    <w:qFormat/>
    <w:uiPriority w:val="99"/>
    <w:rPr>
      <w:rFonts w:cs="Times New Roman"/>
      <w:kern w:val="2"/>
      <w:sz w:val="18"/>
      <w:szCs w:val="18"/>
    </w:rPr>
  </w:style>
  <w:style w:type="character" w:customStyle="1" w:styleId="139">
    <w:name w:val="批注文字 Char"/>
    <w:autoRedefine/>
    <w:qFormat/>
    <w:uiPriority w:val="0"/>
    <w:rPr>
      <w:kern w:val="2"/>
    </w:rPr>
  </w:style>
  <w:style w:type="character" w:customStyle="1" w:styleId="140">
    <w:name w:val="批注文字 字符1"/>
    <w:basedOn w:val="42"/>
    <w:autoRedefine/>
    <w:semiHidden/>
    <w:qFormat/>
    <w:uiPriority w:val="99"/>
  </w:style>
  <w:style w:type="character" w:customStyle="1" w:styleId="141">
    <w:name w:val="批注主题 字符1"/>
    <w:basedOn w:val="140"/>
    <w:autoRedefine/>
    <w:semiHidden/>
    <w:qFormat/>
    <w:uiPriority w:val="99"/>
    <w:rPr>
      <w:b/>
      <w:bCs/>
    </w:rPr>
  </w:style>
  <w:style w:type="character" w:customStyle="1" w:styleId="142">
    <w:name w:val="文档结构图 字符1"/>
    <w:basedOn w:val="42"/>
    <w:autoRedefine/>
    <w:semiHidden/>
    <w:qFormat/>
    <w:uiPriority w:val="99"/>
    <w:rPr>
      <w:rFonts w:ascii="Microsoft YaHei UI" w:eastAsia="Microsoft YaHei UI"/>
      <w:sz w:val="18"/>
      <w:szCs w:val="18"/>
    </w:rPr>
  </w:style>
  <w:style w:type="character" w:customStyle="1" w:styleId="143">
    <w:name w:val="HTML Markup"/>
    <w:autoRedefine/>
    <w:qFormat/>
    <w:uiPriority w:val="0"/>
    <w:rPr>
      <w:vanish/>
      <w:color w:val="FF0000"/>
    </w:rPr>
  </w:style>
  <w:style w:type="character" w:customStyle="1" w:styleId="144">
    <w:name w:val="标题 字符"/>
    <w:link w:val="37"/>
    <w:autoRedefine/>
    <w:qFormat/>
    <w:locked/>
    <w:uiPriority w:val="0"/>
    <w:rPr>
      <w:rFonts w:ascii="Arial" w:hAnsi="Arial"/>
      <w:b/>
      <w:sz w:val="32"/>
    </w:rPr>
  </w:style>
  <w:style w:type="character" w:customStyle="1" w:styleId="145">
    <w:name w:val="正文文本缩进 2 字符1"/>
    <w:basedOn w:val="42"/>
    <w:autoRedefine/>
    <w:semiHidden/>
    <w:qFormat/>
    <w:uiPriority w:val="99"/>
  </w:style>
  <w:style w:type="paragraph" w:customStyle="1" w:styleId="146">
    <w:name w:val="WPSOffice手动目录 1"/>
    <w:autoRedefine/>
    <w:qFormat/>
    <w:uiPriority w:val="0"/>
    <w:rPr>
      <w:rFonts w:ascii="Times New Roman" w:hAnsi="Times New Roman" w:eastAsia="宋体" w:cs="Times New Roman"/>
      <w:lang w:val="en-US" w:eastAsia="zh-CN" w:bidi="ar-SA"/>
    </w:rPr>
  </w:style>
  <w:style w:type="paragraph" w:customStyle="1" w:styleId="147">
    <w:name w:val="Table Paragraph"/>
    <w:basedOn w:val="1"/>
    <w:autoRedefine/>
    <w:qFormat/>
    <w:uiPriority w:val="1"/>
    <w:rPr>
      <w:rFonts w:ascii="宋体" w:hAnsi="宋体" w:eastAsia="宋体" w:cs="宋体"/>
    </w:rPr>
  </w:style>
  <w:style w:type="character" w:customStyle="1" w:styleId="148">
    <w:name w:val="正文文本缩进 字符"/>
    <w:basedOn w:val="42"/>
    <w:link w:val="18"/>
    <w:autoRedefine/>
    <w:qFormat/>
    <w:uiPriority w:val="99"/>
    <w:rPr>
      <w:rFonts w:ascii="Calibri" w:hAnsi="Calibri" w:eastAsia="宋体" w:cs="Times New Roman"/>
      <w:szCs w:val="20"/>
    </w:rPr>
  </w:style>
  <w:style w:type="paragraph" w:customStyle="1" w:styleId="149">
    <w:name w:val="二级列表 Char"/>
    <w:basedOn w:val="1"/>
    <w:autoRedefine/>
    <w:qFormat/>
    <w:uiPriority w:val="0"/>
    <w:rPr>
      <w:rFonts w:ascii="Calibri" w:hAnsi="Calibri" w:eastAsia="宋体" w:cs="Times New Roman"/>
      <w:szCs w:val="20"/>
    </w:rPr>
  </w:style>
  <w:style w:type="paragraph" w:customStyle="1" w:styleId="150">
    <w:name w:val="2"/>
    <w:basedOn w:val="1"/>
    <w:autoRedefine/>
    <w:qFormat/>
    <w:uiPriority w:val="0"/>
    <w:pPr>
      <w:widowControl/>
      <w:spacing w:after="160" w:line="240" w:lineRule="exact"/>
      <w:jc w:val="left"/>
    </w:pPr>
    <w:rPr>
      <w:rFonts w:ascii="Arial" w:hAnsi="Arial" w:eastAsia="宋体" w:cs="Verdana"/>
      <w:b/>
      <w:kern w:val="0"/>
      <w:sz w:val="24"/>
      <w:szCs w:val="24"/>
      <w:lang w:eastAsia="en-US" w:bidi="th-TH"/>
    </w:rPr>
  </w:style>
  <w:style w:type="character" w:customStyle="1" w:styleId="151">
    <w:name w:val="Char Char2"/>
    <w:autoRedefine/>
    <w:qFormat/>
    <w:uiPriority w:val="0"/>
    <w:rPr>
      <w:rFonts w:ascii="宋体" w:hAnsi="Courier New"/>
      <w:kern w:val="2"/>
      <w:sz w:val="21"/>
    </w:rPr>
  </w:style>
  <w:style w:type="character" w:customStyle="1" w:styleId="152">
    <w:name w:val="font12"/>
    <w:basedOn w:val="42"/>
    <w:autoRedefine/>
    <w:qFormat/>
    <w:uiPriority w:val="0"/>
    <w:rPr>
      <w:rFonts w:hint="eastAsia" w:ascii="微软雅黑" w:hAnsi="微软雅黑" w:eastAsia="微软雅黑" w:cs="微软雅黑"/>
      <w:b/>
      <w:bCs/>
      <w:color w:val="000000"/>
      <w:sz w:val="22"/>
      <w:szCs w:val="22"/>
      <w:u w:val="none"/>
    </w:rPr>
  </w:style>
  <w:style w:type="character" w:customStyle="1" w:styleId="153">
    <w:name w:val="font31"/>
    <w:basedOn w:val="42"/>
    <w:autoRedefine/>
    <w:qFormat/>
    <w:uiPriority w:val="0"/>
    <w:rPr>
      <w:rFonts w:hint="eastAsia" w:ascii="微软雅黑" w:hAnsi="微软雅黑" w:eastAsia="微软雅黑" w:cs="微软雅黑"/>
      <w:color w:val="000000"/>
      <w:sz w:val="22"/>
      <w:szCs w:val="22"/>
      <w:u w:val="none"/>
    </w:rPr>
  </w:style>
  <w:style w:type="character" w:customStyle="1" w:styleId="154">
    <w:name w:val="font21"/>
    <w:basedOn w:val="42"/>
    <w:autoRedefine/>
    <w:qFormat/>
    <w:uiPriority w:val="0"/>
    <w:rPr>
      <w:rFonts w:hint="default" w:ascii="Calibri" w:hAnsi="Calibri" w:cs="Calibri"/>
      <w:color w:val="000000"/>
      <w:sz w:val="22"/>
      <w:szCs w:val="22"/>
      <w:u w:val="none"/>
    </w:rPr>
  </w:style>
  <w:style w:type="character" w:customStyle="1" w:styleId="155">
    <w:name w:val="font71"/>
    <w:basedOn w:val="42"/>
    <w:autoRedefine/>
    <w:qFormat/>
    <w:uiPriority w:val="0"/>
    <w:rPr>
      <w:rFonts w:hint="default" w:ascii="Arial" w:hAnsi="Arial" w:cs="Arial"/>
      <w:color w:val="000000"/>
      <w:sz w:val="22"/>
      <w:szCs w:val="22"/>
      <w:u w:val="none"/>
    </w:rPr>
  </w:style>
  <w:style w:type="character" w:customStyle="1" w:styleId="156">
    <w:name w:val="font91"/>
    <w:basedOn w:val="42"/>
    <w:autoRedefine/>
    <w:qFormat/>
    <w:uiPriority w:val="0"/>
    <w:rPr>
      <w:rFonts w:hint="eastAsia" w:ascii="微软雅黑" w:hAnsi="微软雅黑" w:eastAsia="微软雅黑" w:cs="微软雅黑"/>
      <w:color w:val="000000"/>
      <w:sz w:val="21"/>
      <w:szCs w:val="21"/>
      <w:u w:val="none"/>
    </w:rPr>
  </w:style>
  <w:style w:type="character" w:customStyle="1" w:styleId="157">
    <w:name w:val="font101"/>
    <w:basedOn w:val="42"/>
    <w:autoRedefine/>
    <w:qFormat/>
    <w:uiPriority w:val="0"/>
    <w:rPr>
      <w:rFonts w:hint="default" w:ascii="Arial" w:hAnsi="Arial" w:cs="Arial"/>
      <w:color w:val="000000"/>
      <w:sz w:val="21"/>
      <w:szCs w:val="21"/>
      <w:u w:val="none"/>
    </w:rPr>
  </w:style>
  <w:style w:type="character" w:customStyle="1" w:styleId="158">
    <w:name w:val="font111"/>
    <w:basedOn w:val="42"/>
    <w:autoRedefine/>
    <w:qFormat/>
    <w:uiPriority w:val="0"/>
    <w:rPr>
      <w:rFonts w:hint="eastAsia" w:ascii="宋体" w:hAnsi="宋体" w:eastAsia="宋体" w:cs="宋体"/>
      <w:color w:val="000000"/>
      <w:sz w:val="21"/>
      <w:szCs w:val="21"/>
      <w:u w:val="none"/>
    </w:rPr>
  </w:style>
  <w:style w:type="character" w:customStyle="1" w:styleId="159">
    <w:name w:val="标题 2 Char"/>
    <w:basedOn w:val="42"/>
    <w:link w:val="4"/>
    <w:autoRedefine/>
    <w:qFormat/>
    <w:uiPriority w:val="0"/>
    <w:rPr>
      <w:rFonts w:ascii="Cambria" w:hAnsi="Cambria" w:eastAsia="宋体" w:cs="Times New Roman"/>
      <w:b/>
      <w:bCs/>
      <w:kern w:val="2"/>
      <w:sz w:val="32"/>
      <w:szCs w:val="32"/>
    </w:rPr>
  </w:style>
  <w:style w:type="paragraph" w:customStyle="1" w:styleId="160">
    <w:name w:val="3级"/>
    <w:basedOn w:val="1"/>
    <w:next w:val="1"/>
    <w:autoRedefine/>
    <w:qFormat/>
    <w:uiPriority w:val="0"/>
    <w:pPr>
      <w:spacing w:line="360" w:lineRule="auto"/>
      <w:ind w:firstLine="480" w:firstLineChars="200"/>
    </w:pPr>
    <w:rPr>
      <w:rFonts w:hint="eastAsia" w:ascii="宋体" w:hAnsi="宋体" w:eastAsia="宋体" w:cs="宋体"/>
      <w:sz w:val="24"/>
      <w:szCs w:val="24"/>
    </w:rPr>
  </w:style>
  <w:style w:type="character" w:customStyle="1" w:styleId="161">
    <w:name w:val="标题 7 Char"/>
    <w:link w:val="9"/>
    <w:autoRedefine/>
    <w:qFormat/>
    <w:uiPriority w:val="9"/>
    <w:rPr>
      <w:b/>
      <w:sz w:val="24"/>
    </w:rPr>
  </w:style>
  <w:style w:type="paragraph" w:customStyle="1" w:styleId="162">
    <w:name w:val="样式1"/>
    <w:basedOn w:val="1"/>
    <w:next w:val="1"/>
    <w:autoRedefine/>
    <w:qFormat/>
    <w:uiPriority w:val="0"/>
    <w:pPr>
      <w:keepNext/>
      <w:keepLines/>
      <w:spacing w:before="240" w:after="64" w:line="317" w:lineRule="auto"/>
      <w:outlineLvl w:val="5"/>
    </w:pPr>
    <w:rPr>
      <w:rFonts w:hint="eastAsia" w:ascii="Arial" w:hAnsi="Arial" w:eastAsia="黑体"/>
      <w:b/>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0" Type="http://schemas.openxmlformats.org/officeDocument/2006/relationships/fontTable" Target="fontTable.xml"/><Relationship Id="rId5" Type="http://schemas.openxmlformats.org/officeDocument/2006/relationships/footer" Target="foot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13.png"/><Relationship Id="rId46" Type="http://schemas.openxmlformats.org/officeDocument/2006/relationships/image" Target="media/image12.png"/><Relationship Id="rId45" Type="http://schemas.openxmlformats.org/officeDocument/2006/relationships/image" Target="media/image11.png"/><Relationship Id="rId44" Type="http://schemas.openxmlformats.org/officeDocument/2006/relationships/image" Target="media/image10.png"/><Relationship Id="rId43" Type="http://schemas.openxmlformats.org/officeDocument/2006/relationships/image" Target="media/image9.png"/><Relationship Id="rId42" Type="http://schemas.openxmlformats.org/officeDocument/2006/relationships/image" Target="media/image8.png"/><Relationship Id="rId41" Type="http://schemas.openxmlformats.org/officeDocument/2006/relationships/image" Target="media/image7.png"/><Relationship Id="rId40" Type="http://schemas.openxmlformats.org/officeDocument/2006/relationships/image" Target="media/image6.png"/><Relationship Id="rId4" Type="http://schemas.openxmlformats.org/officeDocument/2006/relationships/header" Target="header2.xml"/><Relationship Id="rId39" Type="http://schemas.openxmlformats.org/officeDocument/2006/relationships/image" Target="media/image5.png"/><Relationship Id="rId38" Type="http://schemas.openxmlformats.org/officeDocument/2006/relationships/image" Target="media/image4.png"/><Relationship Id="rId37" Type="http://schemas.openxmlformats.org/officeDocument/2006/relationships/image" Target="media/image3.png"/><Relationship Id="rId36" Type="http://schemas.openxmlformats.org/officeDocument/2006/relationships/image" Target="media/image2.png"/><Relationship Id="rId35" Type="http://schemas.openxmlformats.org/officeDocument/2006/relationships/image" Target="media/image1.png"/><Relationship Id="rId34" Type="http://schemas.openxmlformats.org/officeDocument/2006/relationships/theme" Target="theme/theme1.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header" Target="header10.xml"/><Relationship Id="rId30" Type="http://schemas.openxmlformats.org/officeDocument/2006/relationships/header" Target="header9.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header" Target="header8.xml"/><Relationship Id="rId26" Type="http://schemas.openxmlformats.org/officeDocument/2006/relationships/header" Target="header7.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85</Pages>
  <Words>56369</Words>
  <Characters>59497</Characters>
  <Lines>434</Lines>
  <Paragraphs>122</Paragraphs>
  <TotalTime>24</TotalTime>
  <ScaleCrop>false</ScaleCrop>
  <LinksUpToDate>false</LinksUpToDate>
  <CharactersWithSpaces>65957</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2024-02-01T00:11:00Z</dcterms:created>
  <dc:creator>admin</dc:creator>
  <cp:lastModifiedBy>林保良</cp:lastModifiedBy>
  <dcterms:modified xsi:type="dcterms:W3CDTF">2024-07-30T02:02:17Z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996A4BE042CC41D7B8EE4D720AEED173_13</vt:lpwstr>
  </property>
</Properties>
</file>