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spacing w:val="-8"/>
          <w:sz w:val="48"/>
          <w:szCs w:val="44"/>
        </w:rPr>
      </w:pPr>
      <w:r>
        <w:rPr>
          <w:rFonts w:hint="eastAsia" w:ascii="Calibri" w:hAnsi="宋体" w:eastAsia="宋体" w:cs="Times New Roman"/>
          <w:b/>
          <w:bCs/>
          <w:color w:val="000000"/>
          <w:spacing w:val="-8"/>
          <w:sz w:val="48"/>
          <w:szCs w:val="44"/>
        </w:rPr>
        <w:t>减振器试验台设备</w:t>
      </w:r>
    </w:p>
    <w:p>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pPr>
        <w:jc w:val="center"/>
        <w:rPr>
          <w:rFonts w:ascii="Calibri" w:hAnsi="Calibri" w:eastAsia="宋体" w:cs="Times New Roman"/>
          <w:color w:val="000000"/>
          <w:sz w:val="28"/>
          <w:szCs w:val="28"/>
        </w:rPr>
      </w:pPr>
    </w:p>
    <w:p>
      <w:pPr>
        <w:pStyle w:val="17"/>
        <w:jc w:val="center"/>
      </w:pPr>
    </w:p>
    <w:p>
      <w:pPr>
        <w:jc w:val="center"/>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jc w:val="center"/>
        <w:rPr>
          <w:rFonts w:ascii="黑体" w:hAnsi="宋体" w:eastAsia="黑体" w:cs="Times New Roman"/>
          <w:color w:val="000000"/>
          <w:sz w:val="72"/>
          <w:szCs w:val="72"/>
        </w:rPr>
      </w:pP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rPr>
        <w:t>批准：</w:t>
      </w:r>
      <w:r>
        <w:rPr>
          <w:rFonts w:hint="eastAsia" w:ascii="华文仿宋" w:hAnsi="华文仿宋" w:eastAsia="华文仿宋"/>
          <w:b/>
          <w:bCs/>
          <w:sz w:val="32"/>
          <w:szCs w:val="28"/>
          <w:lang w:val="en-US" w:eastAsia="zh-CN"/>
        </w:rPr>
        <w:t xml:space="preserve">  </w:t>
      </w:r>
    </w:p>
    <w:p>
      <w:pPr>
        <w:pStyle w:val="17"/>
        <w:jc w:val="center"/>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spacing w:line="480" w:lineRule="auto"/>
        <w:jc w:val="center"/>
        <w:rPr>
          <w:rFonts w:cs="宋体"/>
          <w:b/>
          <w:bCs/>
          <w:color w:val="auto"/>
          <w:sz w:val="48"/>
          <w:szCs w:val="48"/>
        </w:rPr>
      </w:pPr>
      <w:r>
        <w:rPr>
          <w:rFonts w:ascii="宋体" w:hAnsi="宋体" w:eastAsia="宋体" w:cs="宋体"/>
          <w:b/>
          <w:bCs/>
          <w:color w:val="auto"/>
          <w:sz w:val="48"/>
          <w:szCs w:val="48"/>
        </w:rPr>
        <w:t>目录</w:t>
      </w:r>
    </w:p>
    <w:p>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_Toc28281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_Toc29337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_Toc217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13</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_Toc20786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16</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_Toc24206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_Toc11315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20</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4</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7</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3</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pPr>
        <w:pStyle w:val="24"/>
        <w:tabs>
          <w:tab w:val="right" w:leader="dot" w:pos="9071"/>
        </w:tabs>
        <w:rPr>
          <w:rFonts w:hint="eastAsia"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p>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项目名称：减振器试验台设备采购</w:t>
            </w:r>
            <w:r>
              <w:rPr>
                <w:rFonts w:hint="eastAsia" w:ascii="宋体" w:hAnsi="宋体" w:eastAsia="宋体" w:cs="宋体"/>
                <w:b/>
                <w:bCs/>
                <w:sz w:val="24"/>
                <w:szCs w:val="24"/>
                <w:lang w:val="en-US" w:eastAsia="zh-CN"/>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采购形式编号：CGZX2024070145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招标内容：减振器试验台设备。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联系人：</w:t>
            </w:r>
            <w:r>
              <w:rPr>
                <w:rFonts w:hint="eastAsia" w:ascii="宋体" w:hAnsi="宋体" w:eastAsia="宋体" w:cs="宋体"/>
                <w:sz w:val="24"/>
                <w:szCs w:val="24"/>
                <w:lang w:val="en-US" w:eastAsia="zh-CN"/>
              </w:rPr>
              <w:t>孔明伟</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电话：</w:t>
            </w:r>
            <w:r>
              <w:rPr>
                <w:rFonts w:hint="eastAsia" w:ascii="宋体" w:hAnsi="宋体" w:eastAsia="宋体" w:cs="宋体"/>
                <w:sz w:val="24"/>
                <w:szCs w:val="24"/>
                <w:lang w:eastAsia="zh-CN"/>
              </w:rPr>
              <w:t>1786060</w:t>
            </w:r>
            <w:r>
              <w:rPr>
                <w:rFonts w:hint="eastAsia" w:ascii="宋体" w:hAnsi="宋体" w:eastAsia="宋体" w:cs="宋体"/>
                <w:sz w:val="24"/>
                <w:szCs w:val="24"/>
                <w:lang w:val="en-US" w:eastAsia="zh-CN"/>
              </w:rPr>
              <w:t>9557</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"mailto:linbl@sinotruk.com"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kongmingwei</w:t>
            </w:r>
            <w:r>
              <w:rPr>
                <w:rFonts w:hint="eastAsia" w:ascii="宋体" w:hAnsi="宋体" w:eastAsia="宋体" w:cs="宋体"/>
                <w:b w:val="0"/>
                <w:bCs w:val="0"/>
                <w:sz w:val="24"/>
                <w:szCs w:val="24"/>
              </w:rPr>
              <w:t>@sinotruk.com</w:t>
            </w:r>
            <w:r>
              <w:rPr>
                <w:rFonts w:hint="eastAsia" w:ascii="宋体" w:hAnsi="宋体" w:eastAsia="宋体" w:cs="宋体"/>
                <w:b w:val="0"/>
                <w:bCs w:val="0"/>
                <w:sz w:val="24"/>
                <w:szCs w:val="24"/>
              </w:rPr>
              <w:fldChar w:fldCharType="end"/>
            </w:r>
          </w:p>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val="0"/>
                <w:bCs w:val="0"/>
                <w:sz w:val="24"/>
                <w:szCs w:val="24"/>
                <w:lang w:val="en-US" w:eastAsia="zh-CN"/>
              </w:rPr>
              <w:t>魏晓燕</w:t>
            </w:r>
          </w:p>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b w:val="0"/>
                <w:bCs w:val="0"/>
                <w:sz w:val="24"/>
                <w:szCs w:val="24"/>
                <w:lang w:val="en-US" w:eastAsia="zh-CN"/>
              </w:rPr>
              <w:t>+86-18654558358</w:t>
            </w:r>
          </w:p>
          <w:p>
            <w:pPr>
              <w:ind w:firstLine="482" w:firstLineChars="200"/>
            </w:pPr>
            <w:r>
              <w:rPr>
                <w:rFonts w:hint="eastAsia" w:ascii="宋体" w:hAnsi="宋体" w:eastAsia="宋体" w:cs="宋体"/>
                <w:b/>
                <w:bCs/>
                <w:sz w:val="24"/>
                <w:szCs w:val="24"/>
              </w:rPr>
              <w:t>邮箱：</w:t>
            </w:r>
            <w:r>
              <w:rPr>
                <w:rFonts w:hint="eastAsia" w:ascii="宋体" w:hAnsi="宋体" w:eastAsia="宋体" w:cs="宋体"/>
                <w:b w:val="0"/>
                <w:bCs w:val="0"/>
                <w:sz w:val="24"/>
                <w:szCs w:val="24"/>
                <w:lang w:val="en-US" w:eastAsia="zh-CN"/>
              </w:rPr>
              <w:t>weixiaoyan@sinotruk.com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）只能选择一种</w:t>
            </w:r>
            <w:r>
              <w:rPr>
                <w:rFonts w:hint="eastAsia" w:ascii="宋体" w:hAnsi="宋体" w:eastAsia="宋体" w:cs="Times New Roman"/>
                <w:color w:val="000000"/>
                <w:sz w:val="24"/>
                <w:szCs w:val="24"/>
                <w:highlight w:val="none"/>
              </w:rPr>
              <w:t>。</w:t>
            </w:r>
          </w:p>
          <w:p>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 xml:space="preserve">人民币 </w:t>
            </w:r>
            <w:r>
              <w:rPr>
                <w:rFonts w:hint="eastAsia" w:hAnsi="宋体" w:eastAsia="宋体" w:cs="Times New Roman"/>
                <w:b/>
                <w:bCs/>
                <w:color w:val="000000"/>
                <w:sz w:val="24"/>
                <w:szCs w:val="24"/>
                <w:highlight w:val="yellow"/>
                <w:lang w:val="en-US" w:eastAsia="zh-CN"/>
              </w:rPr>
              <w:t>785</w:t>
            </w:r>
            <w:r>
              <w:rPr>
                <w:rFonts w:hint="eastAsia" w:hAnsi="宋体" w:eastAsia="宋体" w:cs="Times New Roman"/>
                <w:color w:val="000000"/>
                <w:sz w:val="24"/>
                <w:szCs w:val="24"/>
                <w:highlight w:val="yellow"/>
                <w:lang w:val="en-US" w:eastAsia="zh-CN"/>
              </w:rPr>
              <w:t>万元，含税，超过投标限价无法投标。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pPr>
              <w:pStyle w:val="17"/>
              <w:spacing w:line="320" w:lineRule="exact"/>
              <w:ind w:firstLine="482" w:firstLineChars="200"/>
              <w:rPr>
                <w:rFonts w:hint="eastAsia" w:ascii="宋体" w:hAnsi="宋体" w:eastAsia="宋体" w:cs="宋体"/>
                <w:b/>
                <w:bCs/>
                <w:sz w:val="24"/>
                <w:szCs w:val="24"/>
              </w:rPr>
            </w:pPr>
            <w:r>
              <w:rPr>
                <w:rFonts w:hint="eastAsia" w:hAnsi="宋体" w:eastAsia="宋体" w:cs="宋体"/>
                <w:b/>
                <w:bCs/>
                <w:sz w:val="24"/>
                <w:szCs w:val="24"/>
                <w:lang w:val="en-US" w:eastAsia="zh-CN"/>
              </w:rPr>
              <w:t>1.</w:t>
            </w:r>
            <w:r>
              <w:rPr>
                <w:rFonts w:hint="eastAsia" w:ascii="宋体" w:hAnsi="宋体" w:eastAsia="宋体" w:cs="宋体"/>
                <w:b/>
                <w:bCs/>
                <w:sz w:val="24"/>
                <w:szCs w:val="24"/>
              </w:rPr>
              <w:t>对于中国境内投标人，投标条件如下：</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color w:val="000000"/>
                <w:sz w:val="24"/>
                <w:szCs w:val="24"/>
              </w:rPr>
              <w:t>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color w:val="000000"/>
                <w:sz w:val="24"/>
                <w:szCs w:val="24"/>
              </w:rPr>
              <w:t>拟投标人应提供营业执照</w:t>
            </w:r>
            <w:r>
              <w:rPr>
                <w:rFonts w:hint="eastAsia" w:ascii="宋体" w:hAnsi="宋体" w:eastAsia="宋体" w:cs="宋体"/>
                <w:b/>
                <w:sz w:val="24"/>
                <w:szCs w:val="24"/>
              </w:rPr>
              <w:t>副本原件和扫描件（需盖章）</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color w:val="000000"/>
                <w:sz w:val="24"/>
                <w:szCs w:val="24"/>
              </w:rPr>
              <w:t>拟投标人应提供法定代表人资格证明文件</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color w:val="000000"/>
                <w:sz w:val="24"/>
                <w:szCs w:val="24"/>
              </w:rPr>
              <w:t>拟投标人不存在严重违规或被列入招标人“黑名单”的声明</w:t>
            </w:r>
            <w:r>
              <w:rPr>
                <w:rFonts w:hint="eastAsia" w:ascii="宋体" w:hAnsi="宋体" w:eastAsia="宋体" w:cs="宋体"/>
                <w:sz w:val="24"/>
                <w:szCs w:val="24"/>
              </w:rPr>
              <w:t>。</w:t>
            </w:r>
          </w:p>
          <w:p>
            <w:pPr>
              <w:pStyle w:val="17"/>
              <w:ind w:firstLine="480" w:firstLineChars="200"/>
              <w:rPr>
                <w:rFonts w:hint="eastAsia" w:ascii="宋体" w:hAnsi="宋体" w:eastAsia="宋体" w:cs="宋体"/>
                <w:color w:val="FF0000"/>
                <w:sz w:val="24"/>
                <w:szCs w:val="24"/>
              </w:rPr>
            </w:pPr>
            <w:r>
              <w:rPr>
                <w:rFonts w:hint="eastAsia" w:ascii="宋体" w:hAnsi="宋体" w:eastAsia="宋体" w:cs="宋体"/>
                <w:bCs/>
                <w:sz w:val="24"/>
                <w:szCs w:val="24"/>
              </w:rPr>
              <w:t>1.6</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经会计师事务所审计且出具无保留意见的财务审计报告，并加盖公章，包括但不限于报告页、经审计的资产负债表、利润表、现金流量表及报表附注；</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1.7拟投标人有与本次招标设备</w:t>
            </w:r>
            <w:r>
              <w:rPr>
                <w:rFonts w:hint="eastAsia" w:hAnsi="宋体" w:eastAsia="宋体" w:cs="宋体"/>
                <w:sz w:val="24"/>
                <w:szCs w:val="24"/>
                <w:lang w:eastAsia="zh-CN"/>
              </w:rPr>
              <w:t>（</w:t>
            </w:r>
            <w:r>
              <w:rPr>
                <w:rFonts w:hint="eastAsia" w:ascii="宋体" w:hAnsi="宋体" w:eastAsia="宋体" w:cs="宋体"/>
                <w:b/>
                <w:bCs/>
                <w:sz w:val="24"/>
                <w:szCs w:val="24"/>
                <w:highlight w:val="yellow"/>
              </w:rPr>
              <w:t>减振器试验台设备</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同类的项目经验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highlight w:val="none"/>
              </w:rPr>
              <w:t>1.8</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年内无因产品交付问题与客户产生商业纠纷事件</w:t>
            </w:r>
            <w:r>
              <w:rPr>
                <w:rFonts w:hint="eastAsia" w:hAnsi="宋体" w:eastAsia="宋体" w:cs="宋体"/>
                <w:sz w:val="24"/>
                <w:szCs w:val="24"/>
                <w:lang w:eastAsia="zh-CN"/>
              </w:rPr>
              <w:t>。</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1.9</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r>
              <w:rPr>
                <w:rFonts w:hint="eastAsia" w:ascii="宋体" w:hAnsi="宋体" w:eastAsia="宋体" w:cs="宋体"/>
                <w:sz w:val="24"/>
                <w:szCs w:val="24"/>
              </w:rPr>
              <w:t>。</w:t>
            </w:r>
          </w:p>
          <w:p>
            <w:pPr>
              <w:pStyle w:val="17"/>
              <w:spacing w:line="32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lang w:val="en-US" w:eastAsia="zh-CN"/>
              </w:rPr>
              <w:t>1.11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pPr>
              <w:pStyle w:val="17"/>
              <w:spacing w:line="320" w:lineRule="exact"/>
              <w:ind w:firstLine="480"/>
              <w:rPr>
                <w:rFonts w:hint="eastAsia" w:ascii="宋体" w:hAnsi="宋体" w:eastAsia="宋体" w:cs="宋体"/>
                <w:color w:val="000000"/>
                <w:kern w:val="2"/>
                <w:sz w:val="24"/>
                <w:szCs w:val="24"/>
                <w:highlight w:val="none"/>
                <w:lang w:val="en-US" w:eastAsia="zh-CN" w:bidi="ar-SA"/>
              </w:rPr>
            </w:pPr>
            <w:r>
              <w:rPr>
                <w:rFonts w:hint="eastAsia" w:hAnsi="宋体" w:eastAsia="宋体" w:cs="宋体"/>
                <w:sz w:val="24"/>
                <w:szCs w:val="24"/>
                <w:lang w:val="en-US" w:eastAsia="zh-CN"/>
              </w:rPr>
              <w:t>1.12</w:t>
            </w:r>
            <w:r>
              <w:rPr>
                <w:rFonts w:hint="eastAsia" w:hAnsi="宋体" w:eastAsia="宋体" w:cs="宋体"/>
                <w:color w:val="000000"/>
                <w:sz w:val="24"/>
                <w:szCs w:val="24"/>
              </w:rPr>
              <w:t>拟投标人信用证明材料（</w:t>
            </w:r>
            <w:r>
              <w:rPr>
                <w:rFonts w:hint="eastAsia" w:hAnsi="宋体" w:eastAsia="宋体" w:cs="宋体"/>
                <w:color w:val="000000"/>
                <w:sz w:val="24"/>
                <w:szCs w:val="24"/>
                <w:lang w:val="en-US" w:eastAsia="zh-CN"/>
              </w:rPr>
              <w:t>信用</w:t>
            </w:r>
            <w:r>
              <w:rPr>
                <w:rFonts w:hint="eastAsia" w:hAnsi="宋体" w:eastAsia="宋体" w:cs="宋体"/>
                <w:color w:val="000000"/>
                <w:sz w:val="24"/>
                <w:szCs w:val="24"/>
              </w:rPr>
              <w:t>报告）未显示异常</w:t>
            </w:r>
            <w:r>
              <w:rPr>
                <w:rFonts w:hint="eastAsia" w:ascii="宋体" w:hAnsi="宋体" w:eastAsia="宋体" w:cs="宋体"/>
                <w:color w:val="000000"/>
                <w:kern w:val="2"/>
                <w:sz w:val="24"/>
                <w:szCs w:val="24"/>
                <w:highlight w:val="none"/>
                <w:lang w:val="en-US" w:eastAsia="zh-CN" w:bidi="ar-SA"/>
              </w:rPr>
              <w:t>。</w:t>
            </w:r>
          </w:p>
          <w:p>
            <w:pPr>
              <w:pStyle w:val="17"/>
              <w:spacing w:line="32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kern w:val="2"/>
                <w:sz w:val="24"/>
                <w:szCs w:val="24"/>
                <w:highlight w:val="none"/>
                <w:lang w:val="en-US" w:eastAsia="zh-CN" w:bidi="ar-SA"/>
              </w:rPr>
              <w:t>1.13</w:t>
            </w:r>
            <w:r>
              <w:rPr>
                <w:rFonts w:hint="eastAsia" w:hAnsi="宋体" w:eastAsia="宋体" w:cs="宋体"/>
                <w:color w:val="000000"/>
                <w:sz w:val="24"/>
                <w:szCs w:val="24"/>
              </w:rPr>
              <w:t>拟投标人的直接或间接股东、法定代表人、董事、监事、高管非重汽员工及其亲属</w:t>
            </w:r>
            <w:r>
              <w:rPr>
                <w:rFonts w:hint="eastAsia" w:ascii="宋体" w:hAnsi="宋体" w:eastAsia="宋体" w:cs="宋体"/>
                <w:color w:val="000000"/>
                <w:sz w:val="24"/>
                <w:szCs w:val="24"/>
                <w:highlight w:val="none"/>
                <w:lang w:eastAsia="zh-CN"/>
              </w:rPr>
              <w:t>。</w:t>
            </w:r>
          </w:p>
          <w:p>
            <w:pPr>
              <w:pStyle w:val="17"/>
              <w:spacing w:line="320" w:lineRule="exact"/>
              <w:ind w:firstLine="48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1.14</w:t>
            </w:r>
            <w:r>
              <w:rPr>
                <w:rFonts w:hint="eastAsia" w:hAnsi="宋体" w:eastAsia="宋体" w:cs="宋体"/>
                <w:color w:val="000000"/>
                <w:sz w:val="24"/>
                <w:szCs w:val="24"/>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val="en-US" w:eastAsia="zh-CN"/>
              </w:rPr>
              <w:t>。</w:t>
            </w:r>
          </w:p>
          <w:p>
            <w:pPr>
              <w:pStyle w:val="17"/>
              <w:spacing w:line="320" w:lineRule="exact"/>
              <w:ind w:firstLine="48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1.15</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w:t>
            </w:r>
            <w:r>
              <w:rPr>
                <w:rFonts w:hint="eastAsia" w:hAnsi="宋体" w:eastAsia="宋体" w:cs="宋体"/>
                <w:color w:val="000000"/>
                <w:sz w:val="24"/>
                <w:szCs w:val="24"/>
                <w:highlight w:val="none"/>
              </w:rPr>
              <w:t>单位</w:t>
            </w:r>
            <w:r>
              <w:rPr>
                <w:rFonts w:ascii="宋体" w:hAnsi="宋体" w:eastAsia="宋体" w:cs="宋体"/>
                <w:sz w:val="24"/>
                <w:szCs w:val="24"/>
                <w:highlight w:val="none"/>
              </w:rPr>
              <w:t>。</w:t>
            </w:r>
          </w:p>
          <w:p>
            <w:pPr>
              <w:pStyle w:val="17"/>
              <w:spacing w:line="320" w:lineRule="exact"/>
              <w:ind w:firstLine="480"/>
              <w:rPr>
                <w:rFonts w:hint="eastAsia" w:ascii="宋体" w:hAnsi="宋体" w:eastAsia="宋体" w:cs="宋体"/>
                <w:sz w:val="24"/>
                <w:szCs w:val="24"/>
              </w:rPr>
            </w:pPr>
            <w:r>
              <w:rPr>
                <w:rFonts w:hint="eastAsia" w:hAnsi="宋体" w:eastAsia="宋体" w:cs="宋体"/>
                <w:sz w:val="24"/>
                <w:szCs w:val="24"/>
                <w:lang w:val="en-US" w:eastAsia="zh-CN"/>
              </w:rPr>
              <w:t>1.16</w:t>
            </w:r>
            <w:r>
              <w:rPr>
                <w:rFonts w:hAnsi="宋体" w:eastAsia="宋体" w:cs="宋体"/>
                <w:sz w:val="24"/>
                <w:szCs w:val="24"/>
              </w:rPr>
              <w:t>与招标人存在利害关系可能影响招标公正性的法人、其他组织或者个人，不得参加投标</w:t>
            </w:r>
            <w:r>
              <w:rPr>
                <w:rFonts w:hint="eastAsia" w:ascii="宋体" w:hAnsi="宋体" w:eastAsia="宋体" w:cs="宋体"/>
                <w:sz w:val="24"/>
                <w:szCs w:val="24"/>
              </w:rPr>
              <w:t>。</w:t>
            </w:r>
          </w:p>
          <w:p>
            <w:pPr>
              <w:pStyle w:val="17"/>
              <w:spacing w:line="320" w:lineRule="exact"/>
              <w:ind w:firstLine="482" w:firstLineChars="200"/>
              <w:rPr>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对于境外投标人，投标条件如下：</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2.1拟投标人设立的证明文件。</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2.2拟投标人对授权代表出具的可参加中国境内投标并签署合同的授权书。</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2.3请提供护照原件或者身份证原件，并准备复印件以备现场核验。</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2.4</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r>
              <w:rPr>
                <w:rFonts w:hint="eastAsia" w:ascii="宋体" w:hAnsi="宋体" w:eastAsia="宋体" w:cs="宋体"/>
                <w:sz w:val="24"/>
                <w:szCs w:val="24"/>
              </w:rPr>
              <w:t>。若没有财务审计报告，需提供资产负债表、利润表、现金流量表（加盖公章版）未显示异常。</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2.5拟投标人有与本次招标设备</w:t>
            </w:r>
            <w:r>
              <w:rPr>
                <w:rFonts w:hint="eastAsia" w:ascii="宋体" w:hAnsi="宋体" w:eastAsia="宋体" w:cs="宋体"/>
                <w:b/>
                <w:bCs/>
                <w:sz w:val="24"/>
                <w:szCs w:val="24"/>
                <w:highlight w:val="yellow"/>
              </w:rPr>
              <w:t>减振器试验台设备</w:t>
            </w:r>
            <w:r>
              <w:rPr>
                <w:rFonts w:hint="eastAsia" w:ascii="宋体" w:hAnsi="宋体" w:eastAsia="宋体" w:cs="宋体"/>
                <w:sz w:val="24"/>
                <w:szCs w:val="24"/>
              </w:rPr>
              <w:t>同类的项目经验</w:t>
            </w:r>
            <w:r>
              <w:rPr>
                <w:rFonts w:hint="eastAsia" w:hAnsi="宋体" w:eastAsia="宋体" w:cs="宋体"/>
                <w:sz w:val="24"/>
                <w:szCs w:val="24"/>
                <w:lang w:eastAsia="zh-CN"/>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2.6</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年内无因产品交付问题与客户产生商业纠纷事件</w:t>
            </w:r>
            <w:r>
              <w:rPr>
                <w:rFonts w:hint="eastAsia" w:hAnsi="宋体" w:eastAsia="宋体" w:cs="宋体"/>
                <w:sz w:val="24"/>
                <w:szCs w:val="24"/>
                <w:lang w:eastAsia="zh-CN"/>
              </w:rPr>
              <w:t>。</w:t>
            </w:r>
          </w:p>
          <w:p>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2.7</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pPr>
              <w:pStyle w:val="17"/>
              <w:spacing w:line="320" w:lineRule="exact"/>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2.8</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pPr>
              <w:pStyle w:val="17"/>
              <w:ind w:firstLine="480" w:firstLineChars="200"/>
              <w:rPr>
                <w:rFonts w:hint="eastAsia" w:hAnsi="宋体" w:eastAsia="宋体" w:cs="宋体"/>
                <w:color w:val="000000"/>
                <w:sz w:val="24"/>
                <w:szCs w:val="24"/>
                <w:highlight w:val="none"/>
              </w:rPr>
            </w:pPr>
            <w:r>
              <w:rPr>
                <w:rFonts w:hint="eastAsia" w:hAnsi="宋体" w:eastAsia="宋体" w:cs="宋体"/>
                <w:sz w:val="24"/>
                <w:szCs w:val="24"/>
                <w:lang w:val="en-US" w:eastAsia="zh-CN"/>
              </w:rPr>
              <w:t>2.9</w:t>
            </w:r>
            <w:r>
              <w:rPr>
                <w:rFonts w:ascii="宋体" w:hAnsi="宋体" w:eastAsia="宋体" w:cs="宋体"/>
                <w:sz w:val="24"/>
                <w:szCs w:val="24"/>
              </w:rPr>
              <w:t>拟投标人必须是最终投标单位、签订合同单位，不得以任何形式分包或转包给其他单位。</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注：</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a)如果是授权委托人投标，要携带营业执照副本原件和复印件、法人授权委托书、身份证原件参加开标会议；否则视为弃标；</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b)如果是法人参加投标，要携带要携带营业执照副本原件和复印件、法人代表证明原件、身份证原件参加开标会议；否则视为弃标；</w:t>
            </w:r>
          </w:p>
          <w:p>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c)如果是代理商投标，除上述a)b)中要求的资料，需另外携带生产商的授权书、原厂售后服务承诺书参加开标会议；否则视为弃标。</w:t>
            </w:r>
          </w:p>
          <w:p>
            <w:pPr>
              <w:pStyle w:val="17"/>
              <w:spacing w:line="320" w:lineRule="exact"/>
              <w:rPr>
                <w:rFonts w:hAnsi="宋体" w:eastAsia="宋体" w:cs="宋体"/>
                <w:sz w:val="24"/>
                <w:szCs w:val="24"/>
              </w:rPr>
            </w:pPr>
            <w:r>
              <w:rPr>
                <w:rFonts w:hint="eastAsia" w:hAnsi="宋体" w:eastAsia="宋体" w:cs="宋体"/>
                <w:color w:val="000000"/>
                <w:sz w:val="24"/>
                <w:szCs w:val="24"/>
                <w:highlight w:val="none"/>
                <w:lang w:val="en-US" w:eastAsia="zh-CN"/>
              </w:rPr>
              <w:t>d)本项目不接受联合体投标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4</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7</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19</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宋体"/>
                <w:color w:val="000000"/>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4</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8</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w:t>
            </w:r>
            <w:r>
              <w:rPr>
                <w:rFonts w:hint="eastAsia" w:ascii="宋体" w:hAnsi="宋体" w:eastAsia="宋体" w:cs="宋体"/>
                <w:bCs/>
                <w:color w:val="FF0000"/>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u w:val="single"/>
                <w:lang w:val="en-US" w:eastAsia="zh-CN"/>
              </w:rPr>
              <w:t>8</w:t>
            </w:r>
            <w:r>
              <w:rPr>
                <w:rFonts w:hint="eastAsia" w:eastAsia="宋体" w:cs="宋体"/>
                <w:highlight w:val="yellow"/>
              </w:rPr>
              <w:t>月</w:t>
            </w:r>
            <w:r>
              <w:rPr>
                <w:rFonts w:hint="eastAsia" w:eastAsia="宋体" w:cs="宋体"/>
                <w:highlight w:val="yellow"/>
                <w:u w:val="single"/>
                <w:lang w:val="en-US" w:eastAsia="zh-CN"/>
              </w:rPr>
              <w:t>1</w:t>
            </w:r>
            <w:r>
              <w:rPr>
                <w:rFonts w:hint="eastAsia" w:eastAsia="宋体" w:cs="宋体"/>
                <w:highlight w:val="yellow"/>
              </w:rPr>
              <w:t>日17时00分00秒</w:t>
            </w:r>
          </w:p>
          <w:p>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ascii="宋体" w:hAnsi="宋体" w:eastAsia="宋体" w:cs="宋体"/>
                <w:b/>
                <w:sz w:val="24"/>
                <w:szCs w:val="24"/>
                <w:highlight w:val="yellow"/>
                <w:lang w:val="en-US"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7"/>
              <w:ind w:firstLine="480" w:firstLineChars="200"/>
              <w:rPr>
                <w:rFonts w:ascii="等线" w:hAnsi="等线" w:eastAsia="宋体" w:cs="宋体"/>
                <w:bCs/>
                <w:sz w:val="24"/>
                <w:szCs w:val="24"/>
              </w:rPr>
            </w:pPr>
            <w:r>
              <w:rPr>
                <w:rFonts w:hint="eastAsia" w:ascii="等线" w:hAnsi="等线" w:eastAsia="宋体" w:cs="宋体"/>
                <w:bCs/>
                <w:sz w:val="24"/>
                <w:szCs w:val="24"/>
              </w:rPr>
              <w:t>如选择到场参与开标，自行携带纸质投标文件于开标前至开标地点即可。</w:t>
            </w:r>
          </w:p>
          <w:p>
            <w:pPr>
              <w:pStyle w:val="17"/>
              <w:ind w:firstLine="480" w:firstLineChars="200"/>
              <w:rPr>
                <w:rFonts w:ascii="等线" w:hAnsi="等线" w:eastAsia="宋体" w:cs="宋体"/>
                <w:bCs/>
                <w:sz w:val="24"/>
                <w:szCs w:val="24"/>
              </w:rPr>
            </w:pPr>
            <w:r>
              <w:rPr>
                <w:rFonts w:hint="eastAsia" w:ascii="等线" w:hAnsi="等线" w:eastAsia="宋体" w:cs="宋体"/>
                <w:bCs/>
                <w:sz w:val="24"/>
                <w:szCs w:val="24"/>
              </w:rPr>
              <w:t>如选择线上参与开标，纸质投标文件需在开标日前两天，邮寄到指定地址。</w:t>
            </w:r>
          </w:p>
          <w:p>
            <w:pPr>
              <w:pStyle w:val="17"/>
              <w:rPr>
                <w:rFonts w:hAnsi="宋体" w:eastAsia="宋体" w:cs="Times New Roman"/>
                <w:color w:val="000000"/>
                <w:sz w:val="24"/>
                <w:szCs w:val="24"/>
                <w:highlight w:val="yellow"/>
              </w:rPr>
            </w:pPr>
            <w:r>
              <w:rPr>
                <w:rFonts w:hint="eastAsia" w:ascii="等线" w:hAnsi="等线" w:eastAsia="宋体" w:cs="宋体"/>
                <w:b/>
                <w:sz w:val="24"/>
                <w:szCs w:val="24"/>
              </w:rPr>
              <w:t>邮寄地址：</w:t>
            </w:r>
            <w:r>
              <w:rPr>
                <w:rFonts w:hint="eastAsia" w:hAnsi="宋体" w:eastAsia="宋体" w:cs="Times New Roman"/>
                <w:color w:val="000000"/>
                <w:sz w:val="24"/>
                <w:szCs w:val="24"/>
                <w:highlight w:val="yellow"/>
              </w:rPr>
              <w:t>山东省济南市高新区华奥路777号</w:t>
            </w:r>
          </w:p>
          <w:p>
            <w:pPr>
              <w:pStyle w:val="17"/>
              <w:rPr>
                <w:rFonts w:hint="default" w:hAnsi="宋体" w:eastAsia="宋体" w:cs="Times New Roman"/>
                <w:color w:val="000000"/>
                <w:sz w:val="24"/>
                <w:szCs w:val="24"/>
                <w:lang w:val="en-US" w:eastAsia="zh-CN"/>
              </w:rPr>
            </w:pPr>
            <w:r>
              <w:rPr>
                <w:rFonts w:hint="eastAsia" w:hAnsi="宋体" w:eastAsia="宋体" w:cs="Times New Roman"/>
                <w:color w:val="000000"/>
                <w:sz w:val="24"/>
                <w:szCs w:val="24"/>
                <w:highlight w:val="yellow"/>
              </w:rPr>
              <w:t>联系人及联系方式：</w:t>
            </w:r>
            <w:r>
              <w:rPr>
                <w:rFonts w:hint="eastAsia" w:hAnsi="宋体" w:eastAsia="宋体" w:cs="Times New Roman"/>
                <w:color w:val="000000"/>
                <w:sz w:val="24"/>
                <w:szCs w:val="24"/>
                <w:highlight w:val="yellow"/>
                <w:lang w:val="en-US" w:eastAsia="zh-CN"/>
              </w:rPr>
              <w:t>孔明伟</w:t>
            </w:r>
            <w:r>
              <w:rPr>
                <w:rFonts w:hint="eastAsia" w:hAnsi="宋体" w:eastAsia="宋体" w:cs="Times New Roman"/>
                <w:color w:val="000000"/>
                <w:sz w:val="24"/>
                <w:szCs w:val="24"/>
                <w:highlight w:val="yellow"/>
              </w:rPr>
              <w:t>/</w:t>
            </w:r>
            <w:r>
              <w:rPr>
                <w:rFonts w:hint="eastAsia" w:hAnsi="宋体" w:eastAsia="宋体" w:cs="Times New Roman"/>
                <w:color w:val="000000"/>
                <w:sz w:val="24"/>
                <w:szCs w:val="24"/>
                <w:highlight w:val="yellow"/>
                <w:lang w:eastAsia="zh-CN"/>
              </w:rPr>
              <w:t>1786060</w:t>
            </w:r>
            <w:r>
              <w:rPr>
                <w:rFonts w:hint="eastAsia" w:hAnsi="宋体" w:eastAsia="宋体" w:cs="Times New Roman"/>
                <w:color w:val="000000"/>
                <w:sz w:val="24"/>
                <w:szCs w:val="24"/>
                <w:highlight w:val="yellow"/>
                <w:lang w:val="en-US" w:eastAsia="zh-CN"/>
              </w:rPr>
              <w:t>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ascii="等线" w:hAnsi="等线" w:eastAsia="宋体" w:cs="宋体"/>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8</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50000.00</w:t>
            </w:r>
            <w:r>
              <w:rPr>
                <w:rFonts w:hint="eastAsia" w:ascii="宋体" w:hAnsi="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left="479" w:leftChars="228" w:firstLine="0" w:firstLineChars="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pPr>
              <w:pStyle w:val="36"/>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pPr>
              <w:ind w:firstLine="480" w:firstLineChars="200"/>
              <w:rPr>
                <w:rFonts w:ascii="宋体" w:hAnsi="宋体" w:eastAsia="宋体" w:cs="宋体"/>
                <w:strike/>
                <w:sz w:val="24"/>
                <w:szCs w:val="24"/>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firstLineChars="200"/>
              <w:rPr>
                <w:rFonts w:hint="eastAsia" w:ascii="宋体" w:hAnsi="宋体" w:eastAsia="宋体" w:cs="宋体"/>
                <w:b/>
                <w:bCs/>
                <w:sz w:val="24"/>
                <w:szCs w:val="24"/>
              </w:rPr>
            </w:pPr>
            <w:r>
              <w:rPr>
                <w:rFonts w:hint="eastAsia" w:ascii="宋体" w:hAnsi="宋体" w:cs="宋体"/>
                <w:b/>
                <w:bCs/>
                <w:sz w:val="24"/>
                <w:szCs w:val="24"/>
              </w:rPr>
              <w:t>保证金缴纳截止时间：</w:t>
            </w:r>
            <w:r>
              <w:rPr>
                <w:rFonts w:hint="eastAsia" w:ascii="等线" w:hAnsi="宋体" w:eastAsia="宋体" w:cs="宋体"/>
                <w:kern w:val="2"/>
                <w:sz w:val="24"/>
                <w:szCs w:val="24"/>
                <w:highlight w:val="yellow"/>
                <w:u w:val="single"/>
                <w:lang w:val="en-US" w:eastAsia="zh-CN" w:bidi="ar-SA"/>
              </w:rPr>
              <w:t>2024年</w:t>
            </w:r>
            <w:r>
              <w:rPr>
                <w:rFonts w:hint="eastAsia" w:ascii="等线" w:hAnsi="宋体" w:cs="宋体"/>
                <w:kern w:val="2"/>
                <w:sz w:val="24"/>
                <w:szCs w:val="24"/>
                <w:highlight w:val="yellow"/>
                <w:u w:val="single"/>
                <w:lang w:val="en-US" w:eastAsia="zh-CN" w:bidi="ar-SA"/>
              </w:rPr>
              <w:t>8</w:t>
            </w:r>
            <w:r>
              <w:rPr>
                <w:rFonts w:hint="eastAsia" w:ascii="等线" w:hAnsi="宋体" w:eastAsia="宋体" w:cs="宋体"/>
                <w:kern w:val="2"/>
                <w:sz w:val="24"/>
                <w:szCs w:val="24"/>
                <w:highlight w:val="yellow"/>
                <w:u w:val="single"/>
                <w:lang w:val="en-US" w:eastAsia="zh-CN" w:bidi="ar-SA"/>
              </w:rPr>
              <w:t>月</w:t>
            </w:r>
            <w:r>
              <w:rPr>
                <w:rFonts w:hint="eastAsia" w:ascii="等线" w:hAnsi="宋体" w:cs="宋体"/>
                <w:kern w:val="2"/>
                <w:sz w:val="24"/>
                <w:szCs w:val="24"/>
                <w:highlight w:val="yellow"/>
                <w:u w:val="single"/>
                <w:lang w:val="en-US" w:eastAsia="zh-CN" w:bidi="ar-SA"/>
              </w:rPr>
              <w:t>1</w:t>
            </w:r>
            <w:r>
              <w:rPr>
                <w:rFonts w:hint="eastAsia" w:ascii="等线" w:hAnsi="宋体" w:eastAsia="宋体" w:cs="宋体"/>
                <w:kern w:val="2"/>
                <w:sz w:val="24"/>
                <w:szCs w:val="24"/>
                <w:highlight w:val="yellow"/>
                <w:u w:val="single"/>
                <w:lang w:val="en-US" w:eastAsia="zh-CN" w:bidi="ar-SA"/>
              </w:rPr>
              <w:t>日17时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8</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w:t>
            </w:r>
            <w:bookmarkStart w:id="4" w:name="OLE_LINK2"/>
            <w:r>
              <w:rPr>
                <w:rFonts w:hint="eastAsia" w:ascii="宋体" w:hAnsi="宋体" w:eastAsia="宋体" w:cs="宋体"/>
                <w:b/>
                <w:bCs/>
                <w:sz w:val="24"/>
                <w:szCs w:val="24"/>
                <w:lang w:val="en-US" w:eastAsia="zh-CN"/>
              </w:rPr>
              <w:t>→</w:t>
            </w:r>
            <w:bookmarkEnd w:id="4"/>
            <w:r>
              <w:rPr>
                <w:rFonts w:hint="eastAsia" w:ascii="宋体" w:hAnsi="宋体" w:eastAsia="宋体" w:cs="宋体"/>
                <w:b/>
                <w:bCs/>
                <w:sz w:val="24"/>
                <w:szCs w:val="24"/>
                <w:lang w:val="en-US" w:eastAsia="zh-CN"/>
              </w:rPr>
              <w:t>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接</w:t>
            </w:r>
            <w:r>
              <w:rPr>
                <w:rFonts w:hint="eastAsia" w:hAnsi="宋体" w:eastAsia="宋体" w:cs="宋体"/>
                <w:color w:val="000000"/>
                <w:sz w:val="24"/>
                <w:szCs w:val="24"/>
                <w:highlight w:val="yellow"/>
                <w:lang w:val="en-US" w:eastAsia="zh-CN"/>
              </w:rPr>
              <w:t>甲方通知发货后300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rPr>
              <w:t>3</w:t>
            </w:r>
            <w:r>
              <w:rPr>
                <w:rFonts w:hint="eastAsia" w:hAnsi="宋体" w:eastAsia="宋体" w:cs="宋体"/>
                <w:color w:val="000000"/>
                <w:sz w:val="24"/>
                <w:szCs w:val="24"/>
                <w:highlight w:val="yellow"/>
                <w:lang w:val="en-US" w:eastAsia="zh-CN"/>
              </w:rPr>
              <w:t>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进口货物</w:t>
            </w:r>
            <w:r>
              <w:rPr>
                <w:rFonts w:hint="eastAsia" w:hAnsi="宋体" w:eastAsia="宋体" w:cs="宋体"/>
                <w:b/>
                <w:bCs/>
                <w:color w:val="000000"/>
                <w:sz w:val="24"/>
                <w:szCs w:val="24"/>
                <w:highlight w:val="none"/>
                <w:lang w:eastAsia="zh-CN"/>
              </w:rPr>
              <w:t>到货方式</w:t>
            </w:r>
            <w:r>
              <w:rPr>
                <w:rFonts w:hint="eastAsia" w:hAnsi="宋体" w:eastAsia="宋体" w:cs="宋体"/>
                <w:b/>
                <w:bCs/>
                <w:color w:val="000000"/>
                <w:sz w:val="24"/>
                <w:szCs w:val="24"/>
                <w:highlight w:val="none"/>
              </w:rPr>
              <w:t xml:space="preserve">：CIF青岛。 </w:t>
            </w:r>
          </w:p>
          <w:p>
            <w:pPr>
              <w:pStyle w:val="17"/>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国内货物交货地点：</w:t>
            </w:r>
            <w:r>
              <w:rPr>
                <w:rFonts w:hint="eastAsia" w:ascii="宋体" w:hAnsi="宋体" w:eastAsia="宋体" w:cs="宋体"/>
                <w:b/>
                <w:bCs/>
                <w:sz w:val="24"/>
                <w:szCs w:val="24"/>
                <w:lang w:val="en-US" w:eastAsia="zh-CN"/>
              </w:rPr>
              <w:t>济南市历城区华奥路777号科技大厦园区6号试验室</w:t>
            </w:r>
            <w:r>
              <w:rPr>
                <w:rFonts w:hint="eastAsia" w:hAnsi="宋体" w:eastAsia="宋体" w:cs="宋体"/>
                <w:color w:val="000000"/>
                <w:sz w:val="24"/>
                <w:szCs w:val="24"/>
                <w:highlight w:val="none"/>
              </w:rPr>
              <w:t>。</w:t>
            </w:r>
          </w:p>
          <w:p>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整体项目：</w:t>
            </w:r>
            <w:r>
              <w:rPr>
                <w:rFonts w:hint="eastAsia" w:hAnsi="宋体" w:eastAsia="宋体" w:cs="宋体"/>
                <w:color w:val="000000"/>
                <w:sz w:val="24"/>
                <w:szCs w:val="24"/>
                <w:highlight w:val="none"/>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none"/>
              </w:rPr>
              <w:t>项目建设地点：</w:t>
            </w:r>
            <w:r>
              <w:rPr>
                <w:rFonts w:hint="eastAsia" w:hAnsi="宋体" w:eastAsia="宋体" w:cs="宋体"/>
                <w:color w:val="000000"/>
                <w:sz w:val="24"/>
                <w:szCs w:val="24"/>
                <w:highlight w:val="none"/>
              </w:rPr>
              <w:t>济南市高新区华奥路777号重汽科技中心园区。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6"/>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u w:val="single"/>
              </w:rPr>
              <w:t>Ⅰ.国际付款方式：电汇</w:t>
            </w:r>
            <w:r>
              <w:rPr>
                <w:rFonts w:hint="eastAsia" w:ascii="宋体" w:hAnsi="宋体" w:cs="宋体"/>
                <w:sz w:val="24"/>
                <w:szCs w:val="24"/>
                <w:highlight w:val="yellow"/>
              </w:rPr>
              <w:t xml:space="preserve">  </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1.预付款</w:t>
            </w:r>
          </w:p>
          <w:p>
            <w:pPr>
              <w:pStyle w:val="36"/>
              <w:spacing w:after="0" w:line="240" w:lineRule="auto"/>
              <w:ind w:left="0" w:leftChars="0" w:firstLine="480" w:firstLineChars="200"/>
              <w:rPr>
                <w:rFonts w:hint="eastAsia" w:ascii="宋体" w:hAnsi="宋体" w:cs="宋体"/>
                <w:sz w:val="24"/>
                <w:szCs w:val="24"/>
                <w:highlight w:val="yellow"/>
              </w:rPr>
            </w:pPr>
            <w:r>
              <w:rPr>
                <w:rFonts w:hint="eastAsia" w:ascii="宋体" w:hAnsi="宋体" w:cs="宋体"/>
                <w:sz w:val="24"/>
                <w:szCs w:val="24"/>
                <w:highlight w:val="yellow"/>
                <w:lang w:val="en-US" w:eastAsia="zh-CN"/>
              </w:rPr>
              <w:t>a.</w:t>
            </w:r>
            <w:r>
              <w:rPr>
                <w:rFonts w:hint="eastAsia" w:ascii="宋体" w:hAnsi="宋体" w:cs="宋体"/>
                <w:sz w:val="24"/>
                <w:szCs w:val="24"/>
                <w:highlight w:val="yellow"/>
              </w:rPr>
              <w:t>买方在收到一份卖方出具</w:t>
            </w:r>
            <w:r>
              <w:rPr>
                <w:rFonts w:hint="eastAsia" w:ascii="宋体" w:hAnsi="宋体" w:cs="宋体"/>
                <w:sz w:val="24"/>
                <w:szCs w:val="24"/>
                <w:highlight w:val="yellow"/>
                <w:lang w:val="en-US" w:eastAsia="zh-CN"/>
              </w:rPr>
              <w:t>的</w:t>
            </w:r>
            <w:r>
              <w:rPr>
                <w:rFonts w:hint="eastAsia" w:ascii="宋体" w:hAnsi="宋体" w:eastAsia="宋体" w:cs="宋体"/>
                <w:sz w:val="24"/>
                <w:szCs w:val="24"/>
                <w:highlight w:val="yellow"/>
              </w:rPr>
              <w:t>适用于国际商会见索即付保函统一规则（URDG758）的，</w:t>
            </w:r>
            <w:r>
              <w:rPr>
                <w:rFonts w:hint="eastAsia" w:ascii="宋体" w:hAnsi="宋体" w:cs="宋体"/>
                <w:sz w:val="24"/>
                <w:szCs w:val="24"/>
                <w:highlight w:val="yellow"/>
              </w:rPr>
              <w:t>以买方为受益人的无条件不可撤销银行预付款保函（合同总额的</w:t>
            </w:r>
            <w:r>
              <w:rPr>
                <w:rFonts w:hint="eastAsia" w:ascii="宋体" w:hAnsi="宋体" w:cs="宋体"/>
                <w:b/>
                <w:bCs/>
                <w:sz w:val="24"/>
                <w:szCs w:val="24"/>
                <w:highlight w:val="yellow"/>
                <w:lang w:val="en-US" w:eastAsia="zh-CN"/>
              </w:rPr>
              <w:t>20</w:t>
            </w:r>
            <w:r>
              <w:rPr>
                <w:rFonts w:hint="eastAsia" w:ascii="宋体" w:hAnsi="宋体" w:cs="宋体"/>
                <w:b/>
                <w:bCs/>
                <w:sz w:val="24"/>
                <w:szCs w:val="24"/>
                <w:highlight w:val="yellow"/>
              </w:rPr>
              <w:t>%</w:t>
            </w:r>
            <w:r>
              <w:rPr>
                <w:rFonts w:hint="eastAsia" w:ascii="宋体" w:hAnsi="宋体" w:cs="宋体"/>
                <w:sz w:val="24"/>
                <w:szCs w:val="24"/>
                <w:highlight w:val="yellow"/>
              </w:rPr>
              <w:t>）后30天内，通过电汇方式将合同总额的</w:t>
            </w:r>
            <w:r>
              <w:rPr>
                <w:rFonts w:hint="eastAsia" w:ascii="宋体" w:hAnsi="宋体" w:cs="宋体"/>
                <w:b/>
                <w:bCs/>
                <w:sz w:val="24"/>
                <w:szCs w:val="24"/>
                <w:highlight w:val="yellow"/>
                <w:lang w:val="en-US" w:eastAsia="zh-CN"/>
              </w:rPr>
              <w:t>20</w:t>
            </w:r>
            <w:r>
              <w:rPr>
                <w:rFonts w:hint="eastAsia" w:ascii="宋体" w:hAnsi="宋体" w:cs="宋体"/>
                <w:b/>
                <w:bCs/>
                <w:sz w:val="24"/>
                <w:szCs w:val="24"/>
                <w:highlight w:val="yellow"/>
              </w:rPr>
              <w:t>%</w:t>
            </w:r>
            <w:r>
              <w:rPr>
                <w:rFonts w:hint="eastAsia" w:ascii="宋体" w:hAnsi="宋体" w:cs="宋体"/>
                <w:sz w:val="24"/>
                <w:szCs w:val="24"/>
                <w:highlight w:val="yellow"/>
              </w:rPr>
              <w:t>（下称“预付款”）作为预付款支付给卖方。</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lang w:val="en-US" w:eastAsia="zh-CN"/>
              </w:rPr>
              <w:t>b.</w:t>
            </w:r>
            <w:r>
              <w:rPr>
                <w:rFonts w:hint="eastAsia" w:ascii="宋体" w:hAnsi="宋体" w:eastAsia="宋体" w:cs="宋体"/>
                <w:sz w:val="24"/>
                <w:szCs w:val="24"/>
                <w:highlight w:val="yellow"/>
              </w:rPr>
              <w:t>预付款</w:t>
            </w:r>
            <w:r>
              <w:rPr>
                <w:rFonts w:hint="eastAsia" w:ascii="宋体" w:hAnsi="宋体" w:cs="宋体"/>
                <w:sz w:val="24"/>
                <w:szCs w:val="24"/>
                <w:highlight w:val="yellow"/>
              </w:rPr>
              <w:t>银行保函草稿应由买方收到后5天内确认完毕，该银行保函须满足：（I）卖方应确保买方于合同签订后30天内收到银行保函，和(II)有效期截止装船日期之后的30天，若交货延期，卖方应相应延长保函的有效期。</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2.货款、终验收款</w:t>
            </w:r>
          </w:p>
          <w:p>
            <w:pPr>
              <w:pStyle w:val="36"/>
              <w:spacing w:after="0" w:line="240" w:lineRule="auto"/>
              <w:ind w:left="0" w:leftChars="0"/>
              <w:rPr>
                <w:rFonts w:hint="eastAsia" w:ascii="宋体" w:hAnsi="宋体" w:cs="宋体"/>
                <w:sz w:val="24"/>
                <w:szCs w:val="24"/>
                <w:highlight w:val="yellow"/>
              </w:rPr>
            </w:pPr>
            <w:r>
              <w:rPr>
                <w:rFonts w:hint="eastAsia" w:ascii="宋体" w:hAnsi="宋体" w:cs="宋体"/>
                <w:sz w:val="24"/>
                <w:szCs w:val="24"/>
                <w:highlight w:val="yellow"/>
                <w:lang w:val="en-US" w:eastAsia="zh-CN"/>
              </w:rPr>
              <w:t>a.</w:t>
            </w:r>
            <w:r>
              <w:rPr>
                <w:rFonts w:hint="eastAsia" w:ascii="宋体" w:hAnsi="宋体" w:cs="宋体"/>
                <w:sz w:val="24"/>
                <w:szCs w:val="24"/>
                <w:highlight w:val="yellow"/>
              </w:rPr>
              <w:t>买方应在发货前</w:t>
            </w:r>
            <w:r>
              <w:rPr>
                <w:rFonts w:hint="eastAsia" w:ascii="宋体" w:hAnsi="宋体" w:cs="宋体"/>
                <w:sz w:val="24"/>
                <w:szCs w:val="24"/>
                <w:highlight w:val="yellow"/>
                <w:u w:val="none"/>
              </w:rPr>
              <w:t>30</w:t>
            </w:r>
            <w:r>
              <w:rPr>
                <w:rFonts w:hint="eastAsia" w:ascii="宋体" w:hAnsi="宋体" w:cs="宋体"/>
                <w:sz w:val="24"/>
                <w:szCs w:val="24"/>
                <w:highlight w:val="yellow"/>
              </w:rPr>
              <w:t>个日历日前在中国境内的一家一流银行开立一个以卖方为受益人的不可撤销</w:t>
            </w:r>
            <w:r>
              <w:rPr>
                <w:rFonts w:hint="eastAsia" w:ascii="宋体" w:hAnsi="宋体" w:eastAsia="宋体" w:cs="宋体"/>
                <w:sz w:val="24"/>
                <w:szCs w:val="24"/>
                <w:highlight w:val="yellow"/>
              </w:rPr>
              <w:t>非保兑</w:t>
            </w:r>
            <w:r>
              <w:rPr>
                <w:rFonts w:hint="eastAsia" w:ascii="宋体" w:hAnsi="宋体" w:cs="宋体"/>
                <w:sz w:val="24"/>
                <w:szCs w:val="24"/>
                <w:highlight w:val="yellow"/>
              </w:rPr>
              <w:t>信用证，开证金额为合同全部金额的</w:t>
            </w:r>
            <w:r>
              <w:rPr>
                <w:rFonts w:hint="eastAsia" w:ascii="宋体" w:hAnsi="宋体" w:cs="宋体"/>
                <w:b/>
                <w:bCs/>
                <w:sz w:val="24"/>
                <w:szCs w:val="24"/>
                <w:highlight w:val="yellow"/>
                <w:lang w:val="en-US" w:eastAsia="zh-CN"/>
              </w:rPr>
              <w:t>80</w:t>
            </w:r>
            <w:r>
              <w:rPr>
                <w:rFonts w:hint="eastAsia" w:ascii="宋体" w:hAnsi="宋体" w:cs="宋体"/>
                <w:b/>
                <w:bCs/>
                <w:sz w:val="24"/>
                <w:szCs w:val="24"/>
                <w:highlight w:val="yellow"/>
                <w:u w:val="none"/>
              </w:rPr>
              <w:t>%</w:t>
            </w:r>
            <w:r>
              <w:rPr>
                <w:rFonts w:hint="eastAsia" w:ascii="宋体" w:hAnsi="宋体" w:cs="宋体"/>
                <w:sz w:val="24"/>
                <w:szCs w:val="24"/>
                <w:highlight w:val="yellow"/>
              </w:rPr>
              <w:t>,信用证有效期为最终验收日期后</w:t>
            </w:r>
            <w:r>
              <w:rPr>
                <w:rFonts w:hint="eastAsia" w:ascii="宋体" w:hAnsi="宋体" w:cs="宋体"/>
                <w:sz w:val="24"/>
                <w:szCs w:val="24"/>
                <w:highlight w:val="yellow"/>
                <w:u w:val="none"/>
              </w:rPr>
              <w:t>21</w:t>
            </w:r>
            <w:r>
              <w:rPr>
                <w:rFonts w:hint="eastAsia" w:ascii="宋体" w:hAnsi="宋体" w:cs="宋体"/>
                <w:sz w:val="24"/>
                <w:szCs w:val="24"/>
                <w:highlight w:val="yellow"/>
              </w:rPr>
              <w:t>天。信用证草稿应在开证前</w:t>
            </w:r>
            <w:r>
              <w:rPr>
                <w:rFonts w:hint="eastAsia" w:ascii="宋体" w:hAnsi="宋体" w:cs="宋体"/>
                <w:sz w:val="24"/>
                <w:szCs w:val="24"/>
                <w:highlight w:val="yellow"/>
                <w:u w:val="none"/>
              </w:rPr>
              <w:t>7</w:t>
            </w:r>
            <w:r>
              <w:rPr>
                <w:rFonts w:hint="eastAsia" w:ascii="宋体" w:hAnsi="宋体" w:cs="宋体"/>
                <w:sz w:val="24"/>
                <w:szCs w:val="24"/>
                <w:highlight w:val="yellow"/>
              </w:rPr>
              <w:t>天发送给卖方。</w:t>
            </w:r>
          </w:p>
          <w:p>
            <w:pPr>
              <w:pStyle w:val="36"/>
              <w:spacing w:after="0" w:line="240" w:lineRule="auto"/>
              <w:ind w:left="0" w:leftChars="0"/>
              <w:rPr>
                <w:rFonts w:hint="eastAsia" w:ascii="宋体" w:hAnsi="宋体" w:eastAsia="宋体" w:cs="宋体"/>
                <w:sz w:val="24"/>
                <w:szCs w:val="24"/>
                <w:highlight w:val="yellow"/>
                <w:lang w:eastAsia="zh-CN"/>
              </w:rPr>
            </w:pPr>
            <w:r>
              <w:rPr>
                <w:rFonts w:hint="eastAsia" w:ascii="宋体" w:hAnsi="宋体" w:cs="宋体"/>
                <w:sz w:val="24"/>
                <w:szCs w:val="24"/>
                <w:highlight w:val="yellow"/>
                <w:lang w:val="en-US" w:eastAsia="zh-CN"/>
              </w:rPr>
              <w:t>b.</w:t>
            </w:r>
            <w:r>
              <w:rPr>
                <w:rFonts w:hint="eastAsia" w:ascii="宋体" w:hAnsi="宋体" w:cs="宋体"/>
                <w:sz w:val="24"/>
                <w:szCs w:val="24"/>
                <w:highlight w:val="yellow"/>
              </w:rPr>
              <w:t>在卖方通过向开证行提交</w:t>
            </w:r>
            <w:r>
              <w:rPr>
                <w:rFonts w:hint="eastAsia" w:ascii="宋体" w:hAnsi="宋体" w:cs="宋体"/>
                <w:sz w:val="24"/>
                <w:szCs w:val="24"/>
                <w:highlight w:val="yellow"/>
                <w:lang w:val="en-US" w:eastAsia="zh-CN"/>
              </w:rPr>
              <w:t>该批次货物交货金额</w:t>
            </w:r>
            <w:r>
              <w:rPr>
                <w:rFonts w:hint="eastAsia" w:ascii="宋体" w:hAnsi="宋体" w:cs="宋体"/>
                <w:sz w:val="24"/>
                <w:szCs w:val="24"/>
                <w:highlight w:val="yellow"/>
                <w:u w:val="none"/>
                <w:lang w:val="en-US" w:eastAsia="zh-CN"/>
              </w:rPr>
              <w:t>30</w:t>
            </w:r>
            <w:r>
              <w:rPr>
                <w:rFonts w:hint="eastAsia" w:ascii="宋体" w:hAnsi="宋体" w:cs="宋体"/>
                <w:sz w:val="24"/>
                <w:szCs w:val="24"/>
                <w:highlight w:val="yellow"/>
                <w:u w:val="none"/>
              </w:rPr>
              <w:t>%</w:t>
            </w:r>
            <w:r>
              <w:rPr>
                <w:rFonts w:hint="eastAsia" w:ascii="宋体" w:hAnsi="宋体" w:cs="宋体"/>
                <w:sz w:val="24"/>
                <w:szCs w:val="24"/>
                <w:highlight w:val="yellow"/>
              </w:rPr>
              <w:t>的即期汇票及装船单据后，买方应将</w:t>
            </w:r>
            <w:r>
              <w:rPr>
                <w:rFonts w:hint="eastAsia" w:ascii="宋体" w:hAnsi="宋体" w:cs="宋体"/>
                <w:sz w:val="24"/>
                <w:szCs w:val="24"/>
                <w:highlight w:val="yellow"/>
                <w:lang w:val="en-US" w:eastAsia="zh-CN"/>
              </w:rPr>
              <w:t>该批次货物交货金额</w:t>
            </w:r>
            <w:r>
              <w:rPr>
                <w:rFonts w:hint="eastAsia" w:ascii="宋体" w:hAnsi="宋体" w:cs="宋体"/>
                <w:sz w:val="24"/>
                <w:szCs w:val="24"/>
                <w:highlight w:val="yellow"/>
              </w:rPr>
              <w:t>的</w:t>
            </w:r>
            <w:r>
              <w:rPr>
                <w:rFonts w:hint="eastAsia" w:ascii="宋体" w:hAnsi="宋体" w:cs="宋体"/>
                <w:b/>
                <w:bCs/>
                <w:sz w:val="24"/>
                <w:szCs w:val="24"/>
                <w:highlight w:val="yellow"/>
                <w:u w:val="none"/>
                <w:lang w:val="en-US" w:eastAsia="zh-CN"/>
              </w:rPr>
              <w:t>30</w:t>
            </w:r>
            <w:r>
              <w:rPr>
                <w:rFonts w:hint="eastAsia" w:ascii="宋体" w:hAnsi="宋体" w:cs="宋体"/>
                <w:b/>
                <w:bCs/>
                <w:sz w:val="24"/>
                <w:szCs w:val="24"/>
                <w:highlight w:val="yellow"/>
                <w:u w:val="none"/>
              </w:rPr>
              <w:t>%</w:t>
            </w:r>
            <w:r>
              <w:rPr>
                <w:rFonts w:hint="eastAsia" w:ascii="宋体" w:hAnsi="宋体" w:cs="宋体"/>
                <w:sz w:val="24"/>
                <w:szCs w:val="24"/>
                <w:highlight w:val="yellow"/>
              </w:rPr>
              <w:t>支付给卖方。</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lang w:val="en-US" w:eastAsia="zh-CN"/>
              </w:rPr>
              <w:t>c.</w:t>
            </w:r>
            <w:r>
              <w:rPr>
                <w:rFonts w:hint="eastAsia" w:ascii="宋体" w:hAnsi="宋体" w:cs="宋体"/>
                <w:sz w:val="24"/>
                <w:szCs w:val="24"/>
                <w:highlight w:val="yellow"/>
              </w:rPr>
              <w:t>设备全部到齐，经现场安装、调试、验收合格交付使用后，在卖方通过向开证行提交</w:t>
            </w:r>
            <w:r>
              <w:rPr>
                <w:rFonts w:hint="eastAsia" w:ascii="宋体" w:hAnsi="宋体" w:cs="宋体"/>
                <w:sz w:val="24"/>
                <w:szCs w:val="24"/>
                <w:highlight w:val="yellow"/>
                <w:lang w:val="en-US" w:eastAsia="zh-CN"/>
              </w:rPr>
              <w:t>合同</w:t>
            </w:r>
            <w:r>
              <w:rPr>
                <w:rFonts w:hint="eastAsia" w:ascii="宋体" w:hAnsi="宋体" w:cs="宋体"/>
                <w:sz w:val="24"/>
                <w:szCs w:val="24"/>
                <w:highlight w:val="yellow"/>
              </w:rPr>
              <w:t>总</w:t>
            </w:r>
            <w:r>
              <w:rPr>
                <w:rFonts w:hint="eastAsia" w:ascii="宋体" w:hAnsi="宋体" w:cs="宋体"/>
                <w:sz w:val="24"/>
                <w:szCs w:val="24"/>
                <w:highlight w:val="yellow"/>
                <w:lang w:val="en-US" w:eastAsia="zh-CN"/>
              </w:rPr>
              <w:t>额</w:t>
            </w:r>
            <w:r>
              <w:rPr>
                <w:rFonts w:hint="eastAsia" w:ascii="宋体" w:hAnsi="宋体" w:cs="宋体"/>
                <w:sz w:val="24"/>
                <w:szCs w:val="24"/>
                <w:highlight w:val="yellow"/>
                <w:u w:val="none"/>
                <w:lang w:val="en-US" w:eastAsia="zh-CN"/>
              </w:rPr>
              <w:t>40</w:t>
            </w:r>
            <w:r>
              <w:rPr>
                <w:rFonts w:hint="eastAsia" w:ascii="宋体" w:hAnsi="宋体" w:cs="宋体"/>
                <w:sz w:val="24"/>
                <w:szCs w:val="24"/>
                <w:highlight w:val="yellow"/>
                <w:u w:val="none"/>
              </w:rPr>
              <w:t>%</w:t>
            </w:r>
            <w:r>
              <w:rPr>
                <w:rFonts w:hint="eastAsia" w:ascii="宋体" w:hAnsi="宋体" w:cs="宋体"/>
                <w:sz w:val="24"/>
                <w:szCs w:val="24"/>
                <w:highlight w:val="yellow"/>
              </w:rPr>
              <w:t>的即期汇票，买方支付合同总额的</w:t>
            </w:r>
            <w:r>
              <w:rPr>
                <w:rFonts w:hint="eastAsia" w:ascii="宋体" w:hAnsi="宋体" w:cs="宋体"/>
                <w:b/>
                <w:bCs/>
                <w:sz w:val="24"/>
                <w:szCs w:val="24"/>
                <w:highlight w:val="yellow"/>
                <w:u w:val="none"/>
                <w:lang w:val="en-US" w:eastAsia="zh-CN"/>
              </w:rPr>
              <w:t>40</w:t>
            </w:r>
            <w:r>
              <w:rPr>
                <w:rFonts w:hint="eastAsia" w:ascii="宋体" w:hAnsi="宋体" w:cs="宋体"/>
                <w:b/>
                <w:bCs/>
                <w:sz w:val="24"/>
                <w:szCs w:val="24"/>
                <w:highlight w:val="yellow"/>
                <w:u w:val="none"/>
              </w:rPr>
              <w:t>%</w:t>
            </w:r>
            <w:r>
              <w:rPr>
                <w:rFonts w:hint="eastAsia" w:ascii="宋体" w:hAnsi="宋体" w:cs="宋体"/>
                <w:sz w:val="24"/>
                <w:szCs w:val="24"/>
                <w:highlight w:val="yellow"/>
              </w:rPr>
              <w:t>给卖方。</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3.</w:t>
            </w:r>
            <w:r>
              <w:rPr>
                <w:rFonts w:hint="eastAsia" w:ascii="宋体" w:hAnsi="宋体" w:cs="宋体"/>
                <w:sz w:val="24"/>
                <w:szCs w:val="24"/>
                <w:highlight w:val="yellow"/>
                <w:u w:val="single"/>
              </w:rPr>
              <w:t>质保金</w:t>
            </w:r>
          </w:p>
          <w:p>
            <w:pPr>
              <w:pStyle w:val="36"/>
              <w:spacing w:after="0" w:line="240" w:lineRule="auto"/>
              <w:ind w:left="0" w:leftChars="0"/>
              <w:rPr>
                <w:rFonts w:ascii="宋体" w:hAnsi="宋体" w:eastAsia="宋体" w:cs="宋体"/>
                <w:sz w:val="24"/>
                <w:szCs w:val="24"/>
                <w:highlight w:val="yellow"/>
              </w:rPr>
            </w:pPr>
            <w:r>
              <w:rPr>
                <w:rFonts w:ascii="宋体" w:hAnsi="宋体" w:eastAsia="宋体" w:cs="宋体"/>
                <w:sz w:val="24"/>
                <w:szCs w:val="24"/>
                <w:highlight w:val="yellow"/>
              </w:rPr>
              <w:t>合同总额的</w:t>
            </w:r>
            <w:r>
              <w:rPr>
                <w:rFonts w:ascii="宋体" w:hAnsi="宋体" w:eastAsia="宋体" w:cs="宋体"/>
                <w:b/>
                <w:bCs/>
                <w:sz w:val="24"/>
                <w:szCs w:val="24"/>
                <w:highlight w:val="yellow"/>
              </w:rPr>
              <w:t>10%</w:t>
            </w:r>
            <w:r>
              <w:rPr>
                <w:rFonts w:ascii="宋体" w:hAnsi="宋体" w:eastAsia="宋体" w:cs="宋体"/>
                <w:sz w:val="24"/>
                <w:szCs w:val="24"/>
                <w:highlight w:val="yellow"/>
              </w:rPr>
              <w:t>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36"/>
              <w:spacing w:after="0" w:line="240" w:lineRule="auto"/>
              <w:ind w:left="0" w:leftChars="0"/>
              <w:rPr>
                <w:rFonts w:hint="eastAsia" w:ascii="宋体" w:hAnsi="宋体" w:cs="宋体"/>
                <w:sz w:val="24"/>
                <w:szCs w:val="24"/>
                <w:highlight w:val="yellow"/>
              </w:rPr>
            </w:pPr>
            <w:r>
              <w:rPr>
                <w:rFonts w:hint="eastAsia" w:ascii="宋体" w:hAnsi="宋体" w:cs="宋体"/>
                <w:sz w:val="24"/>
                <w:szCs w:val="24"/>
                <w:highlight w:val="yellow"/>
              </w:rPr>
              <w:t>4</w:t>
            </w:r>
            <w:r>
              <w:rPr>
                <w:rFonts w:hint="eastAsia" w:ascii="宋体" w:hAnsi="宋体" w:cs="宋体"/>
                <w:sz w:val="24"/>
                <w:szCs w:val="24"/>
                <w:highlight w:val="yellow"/>
                <w:lang w:eastAsia="zh-TW"/>
              </w:rPr>
              <w:t>.</w:t>
            </w:r>
            <w:r>
              <w:rPr>
                <w:rFonts w:hint="eastAsia" w:ascii="宋体" w:hAnsi="宋体" w:cs="宋体"/>
                <w:sz w:val="24"/>
                <w:szCs w:val="24"/>
                <w:highlight w:val="yellow"/>
              </w:rPr>
              <w:t>买方银行及其代理行的银行费用、佣金等相关费用由买方承担。卖方银行及其代理行的费用、佣金等相关费用由卖方承担。</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5</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Ⅱ.国内付款方式：半年期商业汇票（包括银行承兑汇票和商业承兑汇票）</w:t>
            </w:r>
          </w:p>
          <w:p>
            <w:pPr>
              <w:pStyle w:val="17"/>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20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20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pPr>
              <w:pStyle w:val="17"/>
              <w:ind w:firstLine="480" w:firstLineChars="200"/>
              <w:jc w:val="left"/>
              <w:rPr>
                <w:rFonts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rPr>
              <w:t>10</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5" w:name="_Toc29337"/>
      <w:r>
        <w:rPr>
          <w:rFonts w:hint="eastAsia" w:ascii="Calibri" w:hAnsi="Calibri" w:eastAsia="宋体" w:cs="Times New Roman"/>
          <w:b/>
          <w:bCs/>
          <w:kern w:val="44"/>
          <w:sz w:val="36"/>
          <w:szCs w:val="44"/>
        </w:rPr>
        <w:t>第二部分 投标须知</w:t>
      </w:r>
      <w:bookmarkEnd w:id="5"/>
    </w:p>
    <w:p>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color w:val="000000"/>
          <w:sz w:val="24"/>
          <w:szCs w:val="24"/>
          <w:lang w:eastAsia="zh-CN"/>
        </w:rPr>
        <w:t>。</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spacing w:line="360" w:lineRule="auto"/>
        <w:ind w:firstLine="480" w:firstLineChars="200"/>
        <w:rPr>
          <w:rFonts w:hint="eastAsia" w:ascii="宋体" w:hAnsi="宋体" w:eastAsia="宋体" w:cs="Times New Roman"/>
          <w:b w:val="0"/>
          <w:bCs w:val="0"/>
          <w:color w:val="000000"/>
          <w:sz w:val="24"/>
          <w:szCs w:val="24"/>
          <w:highlight w:val="yellow"/>
        </w:rPr>
      </w:pPr>
      <w:r>
        <w:rPr>
          <w:rFonts w:hint="eastAsia" w:ascii="宋体" w:hAnsi="宋体" w:eastAsia="宋体" w:cs="Times New Roman"/>
          <w:b w:val="0"/>
          <w:bCs w:val="0"/>
          <w:color w:val="000000"/>
          <w:sz w:val="24"/>
          <w:szCs w:val="24"/>
          <w:highlight w:val="yellow"/>
        </w:rPr>
        <w:t>总报价</w:t>
      </w:r>
      <w:r>
        <w:rPr>
          <w:rFonts w:hint="eastAsia" w:ascii="宋体" w:hAnsi="宋体" w:eastAsia="宋体" w:cs="Times New Roman"/>
          <w:b w:val="0"/>
          <w:bCs w:val="0"/>
          <w:color w:val="000000"/>
          <w:sz w:val="24"/>
          <w:szCs w:val="24"/>
          <w:highlight w:val="yellow"/>
          <w:lang w:eastAsia="zh-CN"/>
        </w:rPr>
        <w:t>包含</w:t>
      </w:r>
      <w:r>
        <w:rPr>
          <w:rFonts w:hint="eastAsia" w:ascii="宋体" w:hAnsi="宋体" w:eastAsia="宋体" w:cs="Times New Roman"/>
          <w:b w:val="0"/>
          <w:bCs w:val="0"/>
          <w:color w:val="000000"/>
          <w:sz w:val="24"/>
          <w:szCs w:val="24"/>
          <w:highlight w:val="yellow"/>
        </w:rPr>
        <w:t>进口货物报价与国内货物报价。</w:t>
      </w:r>
    </w:p>
    <w:p>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报价为外币（实际支付货币为外币），需按照发标日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2024年7月19日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p>
    <w:p>
      <w:pPr>
        <w:pStyle w:val="3"/>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w:t>
      </w:r>
      <w:r>
        <w:rPr>
          <w:rFonts w:hint="eastAsia" w:ascii="宋体" w:hAnsi="宋体" w:cs="Times New Roman"/>
          <w:b/>
          <w:bCs/>
          <w:color w:val="000000"/>
          <w:sz w:val="24"/>
          <w:szCs w:val="24"/>
          <w:highlight w:val="yellow"/>
          <w:lang w:val="en-US" w:eastAsia="zh-CN"/>
        </w:rPr>
        <w:t>7</w:t>
      </w:r>
      <w:r>
        <w:rPr>
          <w:rFonts w:hint="eastAsia" w:ascii="宋体" w:hAnsi="宋体" w:eastAsia="宋体" w:cs="Times New Roman"/>
          <w:b/>
          <w:bCs/>
          <w:color w:val="000000"/>
          <w:sz w:val="24"/>
          <w:szCs w:val="24"/>
          <w:highlight w:val="yellow"/>
          <w:lang w:val="en-US" w:eastAsia="zh-CN"/>
        </w:rPr>
        <w:t>月</w:t>
      </w:r>
      <w:r>
        <w:rPr>
          <w:rFonts w:hint="eastAsia" w:ascii="宋体" w:hAnsi="宋体" w:cs="Times New Roman"/>
          <w:b/>
          <w:bCs/>
          <w:color w:val="000000"/>
          <w:sz w:val="24"/>
          <w:szCs w:val="24"/>
          <w:highlight w:val="yellow"/>
          <w:lang w:val="en-US" w:eastAsia="zh-CN"/>
        </w:rPr>
        <w:t>19</w:t>
      </w:r>
      <w:r>
        <w:rPr>
          <w:rFonts w:hint="eastAsia" w:ascii="宋体" w:hAnsi="宋体" w:eastAsia="宋体" w:cs="Times New Roman"/>
          <w:b/>
          <w:bCs/>
          <w:color w:val="000000"/>
          <w:sz w:val="24"/>
          <w:szCs w:val="24"/>
          <w:highlight w:val="yellow"/>
          <w:lang w:val="en-US" w:eastAsia="zh-CN"/>
        </w:rPr>
        <w:t>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p>
    <w:p>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pPr>
        <w:spacing w:line="360" w:lineRule="auto"/>
        <w:ind w:firstLine="480" w:firstLineChars="200"/>
        <w:rPr>
          <w:rFonts w:hint="eastAsia" w:ascii="宋体" w:hAnsi="宋体" w:eastAsia="宋体" w:cs="Times New Roman"/>
          <w:color w:val="000000"/>
          <w:sz w:val="24"/>
          <w:szCs w:val="24"/>
          <w:highlight w:val="yellow"/>
          <w:lang w:val="en-US" w:eastAsia="zh-CN"/>
        </w:rPr>
      </w:pPr>
      <w:r>
        <w:rPr>
          <w:rFonts w:hint="eastAsia" w:ascii="宋体" w:hAnsi="宋体" w:eastAsia="宋体" w:cs="Times New Roman"/>
          <w:color w:val="000000"/>
          <w:sz w:val="24"/>
          <w:szCs w:val="24"/>
          <w:highlight w:val="yellow"/>
          <w:lang w:val="en-US" w:eastAsia="zh-CN"/>
        </w:rPr>
        <w:t>3.2.2纸质报价说明：</w:t>
      </w:r>
    </w:p>
    <w:p>
      <w:pPr>
        <w:spacing w:line="360" w:lineRule="auto"/>
        <w:ind w:firstLine="480" w:firstLineChars="200"/>
        <w:rPr>
          <w:rFonts w:hint="eastAsia" w:ascii="宋体" w:hAnsi="宋体" w:eastAsia="宋体" w:cs="Times New Roman"/>
          <w:color w:val="000000"/>
          <w:sz w:val="24"/>
          <w:szCs w:val="24"/>
          <w:highlight w:val="yellow"/>
          <w:lang w:eastAsia="zh-CN"/>
        </w:rPr>
      </w:pPr>
      <w:r>
        <w:rPr>
          <w:rFonts w:hint="eastAsia" w:ascii="宋体" w:hAnsi="宋体" w:eastAsia="宋体" w:cs="Times New Roman"/>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（应同时报含税价和不含税价并写明税率）；并分别注明应实际支付货币币种和金额</w:t>
      </w:r>
      <w:r>
        <w:rPr>
          <w:rFonts w:hint="eastAsia" w:ascii="宋体" w:hAnsi="宋体" w:eastAsia="宋体" w:cs="Times New Roman"/>
          <w:color w:val="000000"/>
          <w:sz w:val="24"/>
          <w:szCs w:val="24"/>
          <w:highlight w:val="yellow"/>
          <w:lang w:eastAsia="zh-CN"/>
        </w:rPr>
        <w:t>。</w:t>
      </w:r>
    </w:p>
    <w:p>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w:t>
      </w:r>
      <w:r>
        <w:rPr>
          <w:rFonts w:hint="eastAsia" w:eastAsia="宋体" w:cs="Times New Roman"/>
          <w:highlight w:val="none"/>
        </w:rPr>
        <w:t>描版，</w:t>
      </w:r>
      <w:r>
        <w:rPr>
          <w:rFonts w:hint="eastAsia" w:eastAsia="宋体" w:cs="Times New Roman"/>
          <w:highlight w:val="yellow"/>
        </w:rPr>
        <w:t>用公司名称+文件名称命名。</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bookmarkStart w:id="7" w:name="_Toc33266914"/>
      <w:bookmarkStart w:id="8" w:name="_Toc33267001"/>
      <w:bookmarkStart w:id="9" w:name="_Toc33265752"/>
      <w:bookmarkStart w:id="10" w:name="_Toc33266950"/>
      <w:bookmarkStart w:id="11" w:name="_Toc33266627"/>
      <w:bookmarkStart w:id="12" w:name="_Toc33285487"/>
      <w:bookmarkStart w:id="13" w:name="_Toc33265653"/>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5" w:name="_Toc33266915"/>
      <w:bookmarkStart w:id="16" w:name="_Toc33285489"/>
      <w:bookmarkStart w:id="17" w:name="_Toc33266628"/>
      <w:bookmarkStart w:id="18" w:name="_Toc395116634"/>
      <w:bookmarkStart w:id="19" w:name="_Toc33266951"/>
      <w:bookmarkStart w:id="20" w:name="_Toc33265753"/>
      <w:bookmarkStart w:id="21" w:name="_Toc33265654"/>
      <w:bookmarkStart w:id="22"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w:t>
      </w:r>
      <w:r>
        <w:rPr>
          <w:rFonts w:hint="eastAsia" w:ascii="宋体" w:hAnsi="宋体" w:eastAsia="宋体" w:cs="宋体"/>
          <w:b/>
          <w:color w:val="000000"/>
          <w:sz w:val="24"/>
          <w:szCs w:val="24"/>
          <w:highlight w:val="yellow"/>
        </w:rPr>
        <w:t>对未中标单位不做任何解释。</w:t>
      </w:r>
    </w:p>
    <w:bookmarkEnd w:id="15"/>
    <w:bookmarkEnd w:id="16"/>
    <w:bookmarkEnd w:id="17"/>
    <w:bookmarkEnd w:id="18"/>
    <w:bookmarkEnd w:id="19"/>
    <w:bookmarkEnd w:id="20"/>
    <w:bookmarkEnd w:id="21"/>
    <w:bookmarkEnd w:id="22"/>
    <w:p>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pageBreakBefore w:val="0"/>
        <w:numPr>
          <w:ilvl w:val="0"/>
          <w:numId w:val="9"/>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）投标人报价均超过采购预算的；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pPr>
        <w:pStyle w:val="17"/>
        <w:numPr>
          <w:ilvl w:val="255"/>
          <w:numId w:val="0"/>
        </w:numPr>
        <w:jc w:val="center"/>
        <w:outlineLvl w:val="0"/>
        <w:rPr>
          <w:rFonts w:ascii="Calibri" w:hAnsi="Calibri" w:eastAsia="宋体" w:cs="Times New Roman"/>
          <w:b/>
          <w:bCs/>
          <w:kern w:val="44"/>
          <w:sz w:val="36"/>
          <w:szCs w:val="44"/>
        </w:rPr>
      </w:pPr>
      <w:bookmarkStart w:id="23" w:name="_Toc217"/>
      <w:r>
        <w:rPr>
          <w:rFonts w:hint="eastAsia" w:ascii="Calibri" w:hAnsi="Calibri" w:eastAsia="宋体" w:cs="Times New Roman"/>
          <w:b/>
          <w:bCs/>
          <w:kern w:val="44"/>
          <w:sz w:val="36"/>
          <w:szCs w:val="44"/>
        </w:rPr>
        <w:t>第三部分 投标文件编制</w:t>
      </w:r>
      <w:bookmarkEnd w:id="23"/>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4"/>
          <w:highlight w:val="yellow"/>
          <w:lang w:val="en-US" w:eastAsia="zh-CN" w:bidi="en-US"/>
        </w:rPr>
        <w:t>在授权单位的</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w:t>
      </w:r>
      <w:r>
        <w:rPr>
          <w:rFonts w:hint="eastAsia" w:ascii="宋体" w:hAnsi="宋体" w:eastAsia="宋体" w:cs="Times New Roman"/>
          <w:color w:val="000000"/>
          <w:sz w:val="24"/>
          <w:szCs w:val="24"/>
          <w:highlight w:val="none"/>
          <w:lang w:val="en-US" w:eastAsia="zh-CN"/>
        </w:rPr>
        <w:t>信用</w:t>
      </w:r>
      <w:r>
        <w:rPr>
          <w:rFonts w:hint="eastAsia" w:ascii="宋体" w:hAnsi="宋体" w:eastAsia="宋体" w:cs="Times New Roman"/>
          <w:color w:val="000000"/>
          <w:sz w:val="24"/>
          <w:szCs w:val="24"/>
          <w:highlight w:val="none"/>
        </w:rPr>
        <w:t>报告）；</w:t>
      </w:r>
    </w:p>
    <w:p>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Times New Roman"/>
          <w:b w:val="0"/>
          <w:bCs/>
          <w:color w:val="000000"/>
          <w:sz w:val="24"/>
          <w:szCs w:val="24"/>
          <w:highlight w:val="none"/>
        </w:rPr>
        <w:t>；</w:t>
      </w:r>
    </w:p>
    <w:p>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rPr>
        <w:t>1.10企业对外担保说明</w:t>
      </w:r>
      <w:r>
        <w:rPr>
          <w:rFonts w:hint="eastAsia" w:ascii="宋体" w:hAnsi="宋体" w:eastAsia="宋体" w:cs="Times New Roman"/>
          <w:color w:val="000000"/>
          <w:kern w:val="2"/>
          <w:sz w:val="24"/>
          <w:szCs w:val="24"/>
          <w:highlight w:val="none"/>
          <w:lang w:val="en-US" w:eastAsia="zh-CN"/>
        </w:rPr>
        <w:t>（写明贵单位对外有无对外担保和 质押业务，需加盖公章）</w:t>
      </w:r>
    </w:p>
    <w:p>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1.11保密承诺函（附件4）；</w:t>
      </w:r>
    </w:p>
    <w:p>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1.12 2020年1月1日至今，企业近三年同类项目业绩证明；</w:t>
      </w:r>
    </w:p>
    <w:p>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 xml:space="preserve">3 </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lang w:val="en-US" w:eastAsia="zh-CN"/>
        </w:rPr>
        <w:t>2021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pPr>
        <w:spacing w:line="360" w:lineRule="auto"/>
        <w:ind w:firstLine="480" w:firstLineChars="200"/>
        <w:rPr>
          <w:rFonts w:ascii="宋体" w:hAnsi="宋体" w:eastAsia="宋体" w:cs="Times New Roman"/>
          <w:color w:val="000000"/>
          <w:sz w:val="24"/>
          <w:szCs w:val="24"/>
        </w:rPr>
      </w:pPr>
      <w:bookmarkStart w:id="24"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4"/>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br w:type="page"/>
      </w:r>
    </w:p>
    <w:p>
      <w:pPr>
        <w:rPr>
          <w:rFonts w:ascii="宋体" w:hAnsi="Calibri" w:eastAsia="宋体" w:cs="Times New Roman"/>
          <w:color w:val="000000"/>
          <w:sz w:val="30"/>
          <w:szCs w:val="30"/>
        </w:rPr>
      </w:pPr>
    </w:p>
    <w:bookmarkEnd w:id="0"/>
    <w:bookmarkEnd w:id="1"/>
    <w:p>
      <w:pPr>
        <w:keepNext/>
        <w:keepLines/>
        <w:jc w:val="center"/>
        <w:outlineLvl w:val="0"/>
        <w:rPr>
          <w:rFonts w:ascii="Calibri" w:hAnsi="Calibri" w:eastAsia="宋体" w:cs="Times New Roman"/>
          <w:b/>
          <w:bCs/>
          <w:kern w:val="44"/>
          <w:sz w:val="36"/>
          <w:szCs w:val="44"/>
        </w:rPr>
      </w:pPr>
      <w:bookmarkStart w:id="25" w:name="_Toc9849"/>
      <w:bookmarkStart w:id="26" w:name="_Toc169605877"/>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25"/>
    </w:p>
    <w:p>
      <w:pPr>
        <w:pStyle w:val="17"/>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减振器试验台</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bookmarkStart w:id="27"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7"/>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highlight w:val="yellow"/>
          <w:u w:val="single"/>
          <w:lang w:val="en-US" w:eastAsia="zh-CN"/>
        </w:rPr>
        <w:t>减振器试验台</w:t>
      </w:r>
      <w:r>
        <w:rPr>
          <w:rFonts w:hint="eastAsia" w:ascii="宋体" w:hAnsi="宋体" w:eastAsia="宋体" w:cs="宋体"/>
          <w:color w:val="000000"/>
          <w:sz w:val="24"/>
          <w:szCs w:val="24"/>
          <w:highlight w:val="yellow"/>
          <w:u w:val="single"/>
          <w:lang w:val="en-US" w:eastAsia="zh-CN"/>
        </w:rPr>
        <w:t>项目</w:t>
      </w:r>
    </w:p>
    <w:p>
      <w:pPr>
        <w:spacing w:line="360" w:lineRule="auto"/>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yellow"/>
          <w:u w:val="single"/>
        </w:rPr>
        <w:t>山东省济南市高新区华奥路777号</w:t>
      </w:r>
      <w:r>
        <w:rPr>
          <w:rFonts w:hint="eastAsia" w:ascii="宋体" w:hAnsi="宋体" w:eastAsia="宋体" w:cs="宋体"/>
          <w:color w:val="000000"/>
          <w:sz w:val="24"/>
          <w:szCs w:val="24"/>
          <w:highlight w:val="yellow"/>
          <w:u w:val="single"/>
          <w:lang w:val="en-US" w:eastAsia="zh-CN"/>
        </w:rPr>
        <w:t>6号试验室</w:t>
      </w:r>
    </w:p>
    <w:p>
      <w:pPr>
        <w:spacing w:line="360" w:lineRule="auto"/>
        <w:outlineLvl w:val="3"/>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yellow"/>
          <w:u w:val="single"/>
        </w:rPr>
        <w:t>山东省济南市高新区华奥路777号</w:t>
      </w:r>
      <w:r>
        <w:rPr>
          <w:rFonts w:hint="eastAsia" w:ascii="宋体" w:hAnsi="宋体" w:eastAsia="宋体" w:cs="宋体"/>
          <w:color w:val="000000"/>
          <w:sz w:val="24"/>
          <w:szCs w:val="24"/>
          <w:highlight w:val="yellow"/>
          <w:u w:val="single"/>
          <w:lang w:val="en-US" w:eastAsia="zh-CN"/>
        </w:rPr>
        <w:t>6号试验室</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℃、极端最高温度45℃。</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1、电力：中国制式，供电电压690V±15%/380V±15%/220V±15%，供电频率50Hz±2%。</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2、给水：市政自来水。</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3、压缩空气：自备空压机自产压缩空气，0.6～1.0MPa。</w:t>
      </w:r>
    </w:p>
    <w:p>
      <w:pPr>
        <w:pStyle w:val="17"/>
        <w:ind w:firstLine="480"/>
        <w:rPr>
          <w:rFonts w:hint="default" w:hAnsi="宋体" w:eastAsia="宋体" w:cs="宋体"/>
          <w:bCs/>
          <w:sz w:val="24"/>
          <w:szCs w:val="24"/>
          <w:highlight w:val="none"/>
          <w:lang w:val="en-US" w:eastAsia="zh-CN"/>
        </w:rPr>
      </w:pP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bCs/>
          <w:sz w:val="24"/>
          <w:szCs w:val="24"/>
          <w:u w:val="single"/>
          <w:lang w:val="en-US" w:eastAsia="zh-CN"/>
        </w:rPr>
        <w:t>减振器试验台</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u w:val="single"/>
          <w:shd w:val="pct10" w:color="auto" w:fill="FFFFFF"/>
          <w:lang w:val="en-US" w:eastAsia="zh-CN"/>
        </w:rPr>
        <w:t>台</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7"/>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33"/>
        <w:gridCol w:w="3495"/>
        <w:gridCol w:w="111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43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495"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子项</w:t>
            </w:r>
          </w:p>
        </w:tc>
        <w:tc>
          <w:tcPr>
            <w:tcW w:w="1110"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40"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114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试验台主体部分</w:t>
            </w:r>
          </w:p>
        </w:tc>
        <w:tc>
          <w:tcPr>
            <w:tcW w:w="3495"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减振器测试主机框架</w:t>
            </w:r>
          </w:p>
        </w:tc>
        <w:tc>
          <w:tcPr>
            <w:tcW w:w="111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作动器（含伺服阀）</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主载荷传感器</w:t>
            </w:r>
            <w:r>
              <w:rPr>
                <w:rFonts w:hint="eastAsia" w:ascii="宋体" w:hAnsi="宋体" w:eastAsia="宋体" w:cs="宋体"/>
                <w:kern w:val="2"/>
                <w:sz w:val="21"/>
                <w:szCs w:val="21"/>
                <w:highlight w:val="none"/>
                <w:lang w:val="en-US" w:eastAsia="zh-CN" w:bidi="ar-SA"/>
              </w:rPr>
              <w:t>（50kN）</w:t>
            </w:r>
          </w:p>
        </w:tc>
        <w:tc>
          <w:tcPr>
            <w:tcW w:w="111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个</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摩擦力测试专用载荷传感器（5kN）</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个</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作动器活塞杆防扭转装置</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lang w:val="en-US" w:eastAsia="zh-CN"/>
              </w:rPr>
            </w:pPr>
            <w:r>
              <w:rPr>
                <w:rFonts w:hint="eastAsia" w:ascii="宋体" w:hAnsi="宋体" w:eastAsia="宋体" w:cs="宋体"/>
                <w:sz w:val="21"/>
                <w:szCs w:val="21"/>
                <w:lang w:val="en-US" w:eastAsia="zh-CN"/>
              </w:rPr>
              <w:t>侧向力加载系统</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减振器测试系统隔振系统</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33" w:type="dxa"/>
            <w:vMerge w:val="restart"/>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环境控制机械部分</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环境箱</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台</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导轨</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组</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冷却系统</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33" w:type="dxa"/>
            <w:vMerge w:val="restart"/>
            <w:shd w:val="clear" w:color="auto" w:fill="auto"/>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液压系统组件</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动力油源</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液压油（足量）</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分油器（高性能蓄能器）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default" w:ascii="宋体" w:hAnsi="宋体" w:eastAsia="宋体" w:cs="宋体"/>
                <w:sz w:val="21"/>
                <w:szCs w:val="21"/>
                <w:highlight w:val="none"/>
                <w:lang w:val="en-US"/>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软管</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color w:val="0000FF"/>
                <w:sz w:val="21"/>
                <w:szCs w:val="21"/>
                <w:highlight w:val="none"/>
                <w:lang w:val="en-US" w:eastAsia="zh-CN"/>
              </w:rPr>
              <w:t>套</w:t>
            </w:r>
          </w:p>
        </w:tc>
        <w:tc>
          <w:tcPr>
            <w:tcW w:w="114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控制系统和电脑</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多用途测试软件</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减振器专用测试软件</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远程操作手柄及支架</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线缆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sz w:val="21"/>
                <w:szCs w:val="21"/>
                <w:highlight w:val="none"/>
                <w:lang w:val="en-US" w:eastAsia="zh-CN"/>
              </w:rPr>
              <w:t>套</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工装及其他配件</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减振器专用夹持装置</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密封件备件</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1433" w:type="dxa"/>
            <w:vMerge w:val="restart"/>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安装调试服务</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液压管路安装调试</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设备主体安装调试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水电气安装调试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其它辅助设施安装、调试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校准服务</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出厂校准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现场校准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设计服务</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房间布局、地基、设备和试验方案设计等</w:t>
            </w:r>
          </w:p>
        </w:tc>
        <w:tc>
          <w:tcPr>
            <w:tcW w:w="111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运费及保险</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预验收费用</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设备主体原产地验收，重汽人员差旅、食宿自付</w:t>
            </w: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培训服务</w:t>
            </w:r>
          </w:p>
        </w:tc>
        <w:tc>
          <w:tcPr>
            <w:tcW w:w="3495" w:type="dxa"/>
            <w:vAlign w:val="center"/>
          </w:tcPr>
          <w:p>
            <w:pPr>
              <w:widowControl/>
              <w:jc w:val="center"/>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color w:val="0000FF"/>
                <w:kern w:val="0"/>
                <w:szCs w:val="21"/>
              </w:rPr>
              <w:t>软硬件</w:t>
            </w:r>
            <w:r>
              <w:rPr>
                <w:rFonts w:hint="eastAsia" w:ascii="宋体" w:hAnsi="宋体" w:eastAsia="宋体" w:cs="宋体"/>
                <w:color w:val="0000FF"/>
                <w:kern w:val="0"/>
                <w:szCs w:val="21"/>
                <w:lang w:val="en-US" w:eastAsia="zh-CN"/>
              </w:rPr>
              <w:t>现场</w:t>
            </w:r>
            <w:r>
              <w:rPr>
                <w:rFonts w:hint="eastAsia" w:ascii="宋体" w:hAnsi="宋体" w:eastAsia="宋体" w:cs="宋体"/>
                <w:color w:val="0000FF"/>
                <w:kern w:val="0"/>
                <w:szCs w:val="21"/>
              </w:rPr>
              <w:t>培训</w:t>
            </w:r>
          </w:p>
        </w:tc>
        <w:tc>
          <w:tcPr>
            <w:tcW w:w="1110" w:type="dxa"/>
            <w:vAlign w:val="center"/>
          </w:tcPr>
          <w:p>
            <w:pPr>
              <w:widowControl/>
              <w:jc w:val="center"/>
              <w:rPr>
                <w:rFonts w:hint="default" w:ascii="宋体" w:hAnsi="宋体" w:eastAsia="宋体" w:cs="宋体"/>
                <w:color w:val="0000FF"/>
                <w:sz w:val="21"/>
                <w:szCs w:val="21"/>
                <w:highlight w:val="none"/>
                <w:lang w:val="en-US" w:eastAsia="zh-CN"/>
              </w:rPr>
            </w:pPr>
            <w:r>
              <w:rPr>
                <w:rFonts w:hint="eastAsia" w:ascii="宋体" w:hAnsi="宋体" w:eastAsia="宋体" w:cs="宋体"/>
                <w:color w:val="0000FF"/>
                <w:sz w:val="21"/>
                <w:szCs w:val="21"/>
                <w:highlight w:val="none"/>
                <w:lang w:val="en-US" w:eastAsia="zh-CN"/>
              </w:rPr>
              <w:t>天</w:t>
            </w:r>
          </w:p>
        </w:tc>
        <w:tc>
          <w:tcPr>
            <w:tcW w:w="1140" w:type="dxa"/>
            <w:vAlign w:val="center"/>
          </w:tcPr>
          <w:p>
            <w:pPr>
              <w:widowControl/>
              <w:jc w:val="center"/>
              <w:rPr>
                <w:rFonts w:hint="default" w:eastAsiaTheme="minorEastAsia"/>
                <w:color w:val="0000FF"/>
                <w:lang w:val="en-US" w:eastAsia="zh-CN"/>
              </w:rPr>
            </w:pPr>
            <w:r>
              <w:rPr>
                <w:rFonts w:hint="eastAsia" w:ascii="宋体" w:hAnsi="宋体" w:eastAsia="宋体" w:cs="宋体"/>
                <w:color w:val="0000FF"/>
                <w:kern w:val="0"/>
                <w:szCs w:val="21"/>
                <w:lang w:val="en-US" w:eastAsia="zh-CN"/>
              </w:rPr>
              <w:t>≥7</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技术资料</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图纸、说明书等</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center"/>
          </w:tcPr>
          <w:p>
            <w:pPr>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ind w:firstLine="480" w:firstLineChars="200"/>
        <w:jc w:val="center"/>
        <w:rPr>
          <w:rFonts w:ascii="宋体" w:hAnsi="宋体" w:eastAsia="宋体" w:cs="宋体"/>
          <w:bCs/>
          <w:sz w:val="24"/>
          <w:szCs w:val="24"/>
        </w:rPr>
      </w:pPr>
      <w:r>
        <w:rPr>
          <w:rFonts w:hint="eastAsia" w:ascii="宋体" w:hAnsi="宋体" w:eastAsia="宋体" w:cs="宋体"/>
          <w:bCs/>
          <w:sz w:val="24"/>
          <w:szCs w:val="24"/>
        </w:rPr>
        <w:t>主要器件品牌表（可选同等或更有质量品牌）</w:t>
      </w:r>
    </w:p>
    <w:tbl>
      <w:tblPr>
        <w:tblStyle w:val="3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701"/>
        <w:gridCol w:w="3402"/>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序号</w:t>
            </w:r>
          </w:p>
        </w:tc>
        <w:tc>
          <w:tcPr>
            <w:tcW w:w="1701"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器件名称</w:t>
            </w:r>
          </w:p>
        </w:tc>
        <w:tc>
          <w:tcPr>
            <w:tcW w:w="3402"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品牌</w:t>
            </w:r>
          </w:p>
        </w:tc>
        <w:tc>
          <w:tcPr>
            <w:tcW w:w="3543"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1</w:t>
            </w:r>
          </w:p>
        </w:tc>
        <w:tc>
          <w:tcPr>
            <w:tcW w:w="1701" w:type="dxa"/>
            <w:vAlign w:val="center"/>
          </w:tcPr>
          <w:p>
            <w:pPr>
              <w:spacing w:line="360" w:lineRule="auto"/>
              <w:jc w:val="center"/>
              <w:rPr>
                <w:rFonts w:ascii="宋体" w:hAnsi="宋体" w:eastAsia="宋体" w:cs="宋体"/>
                <w:bCs/>
                <w:sz w:val="24"/>
                <w:szCs w:val="24"/>
              </w:rPr>
            </w:pPr>
          </w:p>
        </w:tc>
        <w:tc>
          <w:tcPr>
            <w:tcW w:w="3402" w:type="dxa"/>
            <w:vAlign w:val="center"/>
          </w:tcPr>
          <w:p>
            <w:pPr>
              <w:spacing w:line="360" w:lineRule="auto"/>
              <w:jc w:val="center"/>
              <w:rPr>
                <w:rFonts w:ascii="宋体" w:hAnsi="宋体" w:eastAsia="宋体" w:cs="宋体"/>
                <w:bCs/>
                <w:sz w:val="24"/>
                <w:szCs w:val="24"/>
              </w:rPr>
            </w:pPr>
          </w:p>
        </w:tc>
        <w:tc>
          <w:tcPr>
            <w:tcW w:w="3543" w:type="dxa"/>
            <w:vAlign w:val="center"/>
          </w:tcPr>
          <w:p>
            <w:pPr>
              <w:spacing w:line="360" w:lineRule="auto"/>
              <w:jc w:val="center"/>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2</w:t>
            </w:r>
          </w:p>
        </w:tc>
        <w:tc>
          <w:tcPr>
            <w:tcW w:w="1701" w:type="dxa"/>
            <w:vAlign w:val="center"/>
          </w:tcPr>
          <w:p>
            <w:pPr>
              <w:spacing w:line="360" w:lineRule="auto"/>
              <w:jc w:val="center"/>
              <w:rPr>
                <w:rFonts w:ascii="宋体" w:hAnsi="宋体" w:eastAsia="宋体" w:cs="宋体"/>
                <w:bCs/>
                <w:sz w:val="24"/>
                <w:szCs w:val="24"/>
              </w:rPr>
            </w:pPr>
          </w:p>
        </w:tc>
        <w:tc>
          <w:tcPr>
            <w:tcW w:w="3402" w:type="dxa"/>
            <w:vAlign w:val="center"/>
          </w:tcPr>
          <w:p>
            <w:pPr>
              <w:spacing w:line="360" w:lineRule="auto"/>
              <w:jc w:val="center"/>
              <w:rPr>
                <w:rFonts w:ascii="宋体" w:hAnsi="宋体" w:eastAsia="宋体" w:cs="宋体"/>
                <w:bCs/>
                <w:sz w:val="24"/>
                <w:szCs w:val="24"/>
              </w:rPr>
            </w:pPr>
          </w:p>
        </w:tc>
        <w:tc>
          <w:tcPr>
            <w:tcW w:w="3543" w:type="dxa"/>
            <w:vAlign w:val="center"/>
          </w:tcPr>
          <w:p>
            <w:pPr>
              <w:spacing w:line="360" w:lineRule="auto"/>
              <w:jc w:val="center"/>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3</w:t>
            </w:r>
          </w:p>
        </w:tc>
        <w:tc>
          <w:tcPr>
            <w:tcW w:w="1701" w:type="dxa"/>
            <w:vAlign w:val="center"/>
          </w:tcPr>
          <w:p>
            <w:pPr>
              <w:spacing w:line="360" w:lineRule="auto"/>
              <w:jc w:val="center"/>
              <w:rPr>
                <w:rFonts w:ascii="宋体" w:hAnsi="宋体" w:eastAsia="宋体" w:cs="宋体"/>
                <w:bCs/>
                <w:sz w:val="24"/>
                <w:szCs w:val="24"/>
              </w:rPr>
            </w:pPr>
          </w:p>
        </w:tc>
        <w:tc>
          <w:tcPr>
            <w:tcW w:w="3402" w:type="dxa"/>
            <w:vAlign w:val="center"/>
          </w:tcPr>
          <w:p>
            <w:pPr>
              <w:spacing w:line="360" w:lineRule="auto"/>
              <w:jc w:val="center"/>
              <w:rPr>
                <w:rFonts w:ascii="宋体" w:hAnsi="宋体" w:eastAsia="宋体" w:cs="宋体"/>
                <w:bCs/>
                <w:sz w:val="24"/>
                <w:szCs w:val="24"/>
              </w:rPr>
            </w:pPr>
          </w:p>
        </w:tc>
        <w:tc>
          <w:tcPr>
            <w:tcW w:w="3543" w:type="dxa"/>
            <w:vAlign w:val="center"/>
          </w:tcPr>
          <w:p>
            <w:pPr>
              <w:spacing w:line="360" w:lineRule="auto"/>
              <w:jc w:val="center"/>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4</w:t>
            </w:r>
          </w:p>
        </w:tc>
        <w:tc>
          <w:tcPr>
            <w:tcW w:w="1701" w:type="dxa"/>
            <w:vAlign w:val="center"/>
          </w:tcPr>
          <w:p>
            <w:pPr>
              <w:spacing w:line="360" w:lineRule="auto"/>
              <w:jc w:val="center"/>
              <w:rPr>
                <w:rFonts w:ascii="宋体" w:hAnsi="宋体" w:eastAsia="宋体" w:cs="宋体"/>
                <w:bCs/>
                <w:sz w:val="24"/>
                <w:szCs w:val="24"/>
              </w:rPr>
            </w:pPr>
          </w:p>
        </w:tc>
        <w:tc>
          <w:tcPr>
            <w:tcW w:w="3402" w:type="dxa"/>
            <w:vAlign w:val="center"/>
          </w:tcPr>
          <w:p>
            <w:pPr>
              <w:spacing w:line="360" w:lineRule="auto"/>
              <w:jc w:val="center"/>
              <w:rPr>
                <w:rFonts w:ascii="宋体" w:hAnsi="宋体" w:eastAsia="宋体" w:cs="宋体"/>
                <w:bCs/>
                <w:sz w:val="24"/>
                <w:szCs w:val="24"/>
              </w:rPr>
            </w:pPr>
          </w:p>
        </w:tc>
        <w:tc>
          <w:tcPr>
            <w:tcW w:w="3543" w:type="dxa"/>
            <w:vAlign w:val="center"/>
          </w:tcPr>
          <w:p>
            <w:pPr>
              <w:spacing w:line="360" w:lineRule="auto"/>
              <w:jc w:val="center"/>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spacing w:line="360" w:lineRule="auto"/>
              <w:jc w:val="center"/>
              <w:rPr>
                <w:rFonts w:ascii="宋体" w:hAnsi="宋体" w:eastAsia="宋体" w:cs="宋体"/>
                <w:bCs/>
                <w:sz w:val="24"/>
                <w:szCs w:val="24"/>
              </w:rPr>
            </w:pPr>
            <w:r>
              <w:rPr>
                <w:rFonts w:hint="eastAsia" w:ascii="宋体" w:hAnsi="宋体" w:eastAsia="宋体" w:cs="宋体"/>
                <w:bCs/>
                <w:sz w:val="24"/>
                <w:szCs w:val="24"/>
              </w:rPr>
              <w:t>5</w:t>
            </w:r>
          </w:p>
        </w:tc>
        <w:tc>
          <w:tcPr>
            <w:tcW w:w="1701" w:type="dxa"/>
            <w:vAlign w:val="center"/>
          </w:tcPr>
          <w:p>
            <w:pPr>
              <w:spacing w:line="360" w:lineRule="auto"/>
              <w:jc w:val="center"/>
              <w:rPr>
                <w:rFonts w:ascii="宋体" w:hAnsi="宋体" w:eastAsia="宋体" w:cs="宋体"/>
                <w:bCs/>
                <w:sz w:val="24"/>
                <w:szCs w:val="24"/>
              </w:rPr>
            </w:pPr>
          </w:p>
        </w:tc>
        <w:tc>
          <w:tcPr>
            <w:tcW w:w="3402" w:type="dxa"/>
            <w:vAlign w:val="center"/>
          </w:tcPr>
          <w:p>
            <w:pPr>
              <w:spacing w:line="360" w:lineRule="auto"/>
              <w:jc w:val="center"/>
              <w:rPr>
                <w:rFonts w:ascii="宋体" w:hAnsi="宋体" w:eastAsia="宋体" w:cs="宋体"/>
                <w:bCs/>
                <w:sz w:val="24"/>
                <w:szCs w:val="24"/>
              </w:rPr>
            </w:pPr>
          </w:p>
        </w:tc>
        <w:tc>
          <w:tcPr>
            <w:tcW w:w="3543" w:type="dxa"/>
            <w:vAlign w:val="center"/>
          </w:tcPr>
          <w:p>
            <w:pPr>
              <w:spacing w:line="360" w:lineRule="auto"/>
              <w:jc w:val="center"/>
              <w:rPr>
                <w:rFonts w:ascii="宋体" w:hAnsi="宋体" w:eastAsia="宋体" w:cs="宋体"/>
                <w:bCs/>
                <w:sz w:val="24"/>
                <w:szCs w:val="24"/>
              </w:rPr>
            </w:pPr>
          </w:p>
        </w:tc>
      </w:tr>
    </w:tbl>
    <w:p>
      <w:pPr>
        <w:pStyle w:val="17"/>
        <w:jc w:val="center"/>
        <w:rPr>
          <w:rFonts w:hint="eastAsia" w:hAnsi="宋体" w:eastAsia="宋体" w:cs="宋体"/>
          <w:bCs/>
          <w:sz w:val="24"/>
          <w:szCs w:val="24"/>
          <w:highlight w:val="yellow"/>
          <w:lang w:eastAsia="zh-CN"/>
        </w:rPr>
      </w:pPr>
    </w:p>
    <w:p>
      <w:pPr>
        <w:pStyle w:val="17"/>
        <w:rPr>
          <w:rFonts w:hint="eastAsia" w:ascii="宋体" w:hAnsi="宋体" w:eastAsia="宋体" w:cs="宋体"/>
          <w:bCs/>
          <w:sz w:val="24"/>
          <w:szCs w:val="24"/>
          <w:highlight w:val="red"/>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8"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8"/>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pStyle w:val="116"/>
        <w:spacing w:line="360" w:lineRule="auto"/>
        <w:ind w:firstLine="482" w:firstLineChars="200"/>
        <w:outlineLvl w:val="2"/>
        <w:rPr>
          <w:rFonts w:hint="default" w:ascii="宋体" w:hAnsi="宋体" w:eastAsia="宋体" w:cs="Times New Roman"/>
          <w:color w:val="0070C0"/>
          <w:sz w:val="24"/>
          <w:szCs w:val="24"/>
          <w:highlight w:val="none"/>
          <w:lang w:val="en-US" w:eastAsia="zh-CN"/>
        </w:rPr>
      </w:pPr>
      <w:r>
        <w:rPr>
          <w:rFonts w:hint="eastAsia" w:eastAsia="宋体" w:cs="宋体"/>
          <w:b/>
          <w:bCs w:val="0"/>
          <w:color w:val="auto"/>
          <w:sz w:val="24"/>
          <w:szCs w:val="24"/>
          <w:highlight w:val="none"/>
        </w:rPr>
        <w:t>三、技术要求</w:t>
      </w:r>
      <w:r>
        <w:rPr>
          <w:rFonts w:hint="eastAsia" w:eastAsia="宋体" w:cs="宋体"/>
          <w:b/>
          <w:bCs w:val="0"/>
          <w:color w:val="auto"/>
          <w:sz w:val="24"/>
          <w:szCs w:val="24"/>
          <w:highlight w:val="none"/>
          <w:lang w:val="en-US" w:eastAsia="zh-CN"/>
        </w:rPr>
        <w:t>（注：带</w:t>
      </w:r>
      <w:r>
        <w:rPr>
          <w:rFonts w:hint="eastAsia" w:hAnsi="宋体" w:eastAsia="宋体" w:cs="Times New Roman"/>
          <w:color w:val="auto"/>
          <w:sz w:val="24"/>
          <w:szCs w:val="24"/>
          <w:highlight w:val="none"/>
        </w:rPr>
        <w:t>★</w:t>
      </w:r>
      <w:r>
        <w:rPr>
          <w:rFonts w:hint="eastAsia" w:eastAsia="宋体" w:cs="Times New Roman"/>
          <w:b/>
          <w:bCs w:val="0"/>
          <w:color w:val="auto"/>
          <w:sz w:val="24"/>
          <w:szCs w:val="24"/>
          <w:highlight w:val="none"/>
          <w:lang w:val="en-US" w:eastAsia="zh-CN"/>
        </w:rPr>
        <w:t>的项目</w:t>
      </w:r>
      <w:r>
        <w:rPr>
          <w:rFonts w:hint="eastAsia" w:hAnsi="宋体" w:eastAsia="宋体" w:cs="Times New Roman"/>
          <w:b/>
          <w:bCs w:val="0"/>
          <w:color w:val="auto"/>
          <w:sz w:val="24"/>
          <w:szCs w:val="24"/>
          <w:highlight w:val="none"/>
          <w:lang w:val="en-US" w:eastAsia="zh-CN"/>
        </w:rPr>
        <w:t>为</w:t>
      </w:r>
      <w:r>
        <w:rPr>
          <w:rFonts w:hint="eastAsia" w:eastAsia="宋体" w:cs="Times New Roman"/>
          <w:b/>
          <w:bCs w:val="0"/>
          <w:color w:val="auto"/>
          <w:sz w:val="24"/>
          <w:szCs w:val="24"/>
          <w:highlight w:val="none"/>
          <w:lang w:val="en-US" w:eastAsia="zh-CN"/>
        </w:rPr>
        <w:t>废标</w:t>
      </w:r>
      <w:r>
        <w:rPr>
          <w:rFonts w:hint="eastAsia" w:hAnsi="宋体" w:eastAsia="宋体" w:cs="Times New Roman"/>
          <w:b/>
          <w:bCs w:val="0"/>
          <w:color w:val="auto"/>
          <w:sz w:val="24"/>
          <w:szCs w:val="24"/>
          <w:highlight w:val="none"/>
          <w:lang w:val="en-US" w:eastAsia="zh-CN"/>
        </w:rPr>
        <w:t>项目</w:t>
      </w:r>
      <w:r>
        <w:rPr>
          <w:rFonts w:hint="eastAsia" w:eastAsia="宋体" w:cs="Times New Roman"/>
          <w:b/>
          <w:bCs w:val="0"/>
          <w:color w:val="auto"/>
          <w:sz w:val="24"/>
          <w:szCs w:val="24"/>
          <w:highlight w:val="none"/>
          <w:lang w:val="en-US" w:eastAsia="zh-CN"/>
        </w:rPr>
        <w:t>，如有一项不能满足即废标；其余项目为一般项目</w:t>
      </w:r>
      <w:r>
        <w:rPr>
          <w:rFonts w:hint="eastAsia" w:eastAsia="宋体" w:cs="宋体"/>
          <w:b/>
          <w:bCs w:val="0"/>
          <w:color w:val="auto"/>
          <w:sz w:val="24"/>
          <w:szCs w:val="24"/>
          <w:highlight w:val="none"/>
          <w:lang w:val="en-US" w:eastAsia="zh-CN"/>
        </w:rPr>
        <w:t>）</w:t>
      </w:r>
    </w:p>
    <w:p>
      <w:pPr>
        <w:spacing w:line="360" w:lineRule="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1、功能用途、供货周期、适用减振器类型等要求。</w:t>
      </w:r>
    </w:p>
    <w:p>
      <w:pPr>
        <w:spacing w:line="360" w:lineRule="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1.1功能用途</w:t>
      </w:r>
    </w:p>
    <w:p>
      <w:pPr>
        <w:spacing w:line="360" w:lineRule="auto"/>
        <w:ind w:firstLine="480" w:firstLineChars="200"/>
        <w:rPr>
          <w:rFonts w:hint="eastAsia" w:ascii="宋体" w:hAnsi="宋体" w:eastAsia="宋体" w:cs="Times New Roman"/>
          <w:sz w:val="24"/>
          <w:szCs w:val="24"/>
          <w:highlight w:val="none"/>
        </w:rPr>
      </w:pPr>
      <w:r>
        <w:rPr>
          <w:rFonts w:hint="eastAsia" w:hAnsi="宋体" w:eastAsia="宋体" w:cs="Times New Roman"/>
          <w:sz w:val="24"/>
          <w:szCs w:val="24"/>
        </w:rPr>
        <w:t>★</w:t>
      </w:r>
      <w:r>
        <w:rPr>
          <w:rFonts w:hint="eastAsia" w:ascii="宋体" w:hAnsi="宋体" w:eastAsia="宋体" w:cs="Times New Roman"/>
          <w:sz w:val="24"/>
          <w:szCs w:val="24"/>
          <w:highlight w:val="none"/>
          <w:lang w:val="en-US" w:eastAsia="zh-CN"/>
        </w:rPr>
        <w:t>本项目为减振器试验设备，能够按照QC/T 491中规定的试验方法完成减振器各项性能测试：示功、速度特性、摩擦力试验、气体反弹力试验、温度特性试验、抗泡沫化试验、耐久试验（输入负荷波形及路谱）、抗拉强度试验等。</w:t>
      </w:r>
      <w:r>
        <w:rPr>
          <w:rFonts w:hint="eastAsia" w:ascii="宋体" w:hAnsi="宋体" w:eastAsia="宋体" w:cs="Times New Roman"/>
          <w:sz w:val="24"/>
          <w:szCs w:val="24"/>
          <w:highlight w:val="none"/>
        </w:rPr>
        <w:t>设备的功能、量程和精度、关键配件的加工要求等须皆能满足且优于标准中的各项要求。</w:t>
      </w:r>
    </w:p>
    <w:p>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★要求为设计方案成熟的高性能台架。台架主体在原产地能够进行预验收，进口件具备原产地证明。</w:t>
      </w:r>
    </w:p>
    <w:p>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投标方提供的减振器性能试验台应是一套功能完整，符合各类减振器试验要求的、运行正常的、全新的试验台。投标方应能提供设备完整的结构图、连接图和控制/测试原理图。本招标书没有提到的部件、结构及测试方法，投标方应有责任向买方提供。</w:t>
      </w:r>
    </w:p>
    <w:p>
      <w:pPr>
        <w:spacing w:line="360" w:lineRule="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1.2供货周期</w:t>
      </w:r>
    </w:p>
    <w:p>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供货周期对于本项目是非常重要的评价指标，投标方需严格遵守，供货周期为合同签订后300个日历日以内。</w:t>
      </w:r>
    </w:p>
    <w:p>
      <w:pPr>
        <w:spacing w:line="360" w:lineRule="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1.3 适用减振器类型</w:t>
      </w:r>
    </w:p>
    <w:p>
      <w:pPr>
        <w:spacing w:line="360" w:lineRule="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 xml:space="preserve">    投标方在配置试验台控制通道时，应考虑能满足筒式减振器、充气式减振器、CDC式减振器、磁流变式减振器等性能测试要求。</w:t>
      </w:r>
    </w:p>
    <w:p>
      <w:pPr>
        <w:spacing w:line="360" w:lineRule="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2、技术性能参数要求</w:t>
      </w:r>
    </w:p>
    <w:tbl>
      <w:tblPr>
        <w:tblStyle w:val="37"/>
        <w:tblpPr w:leftFromText="180" w:rightFromText="180" w:vertAnchor="text" w:horzAnchor="page" w:tblpX="1571" w:tblpY="348"/>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123"/>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top"/>
          </w:tcPr>
          <w:p>
            <w:pPr>
              <w:pStyle w:val="118"/>
              <w:rPr>
                <w:lang w:val="en-US" w:eastAsia="zh-CN"/>
              </w:rPr>
            </w:pPr>
            <w:r>
              <w:rPr>
                <w:rFonts w:hint="eastAsia" w:ascii="宋体" w:hAnsi="宋体" w:eastAsia="宋体" w:cs="宋体"/>
                <w:lang w:val="en-US" w:eastAsia="zh-CN"/>
              </w:rPr>
              <w:t>序号</w:t>
            </w:r>
          </w:p>
        </w:tc>
        <w:tc>
          <w:tcPr>
            <w:tcW w:w="605" w:type="pct"/>
            <w:noWrap w:val="0"/>
            <w:vAlign w:val="top"/>
          </w:tcPr>
          <w:p>
            <w:pPr>
              <w:pStyle w:val="118"/>
              <w:rPr>
                <w:rFonts w:hint="eastAsia" w:ascii="宋体" w:hAnsi="宋体" w:eastAsia="宋体" w:cs="宋体"/>
                <w:lang w:val="en-US" w:eastAsia="zh-CN"/>
              </w:rPr>
            </w:pPr>
            <w:r>
              <w:rPr>
                <w:rFonts w:hint="eastAsia" w:ascii="宋体" w:hAnsi="宋体" w:eastAsia="宋体"/>
                <w:sz w:val="18"/>
                <w:szCs w:val="18"/>
              </w:rPr>
              <w:t>名称</w:t>
            </w:r>
          </w:p>
        </w:tc>
        <w:tc>
          <w:tcPr>
            <w:tcW w:w="3973" w:type="pct"/>
            <w:noWrap w:val="0"/>
            <w:vAlign w:val="top"/>
          </w:tcPr>
          <w:p>
            <w:pPr>
              <w:pStyle w:val="118"/>
              <w:rPr>
                <w:lang w:val="en-US" w:eastAsia="zh-CN"/>
              </w:rPr>
            </w:pPr>
            <w:r>
              <w:rPr>
                <w:rFonts w:hint="eastAsia" w:ascii="宋体" w:hAnsi="宋体" w:eastAsia="宋体" w:cs="宋体"/>
                <w:lang w:val="en-US" w:eastAsia="zh-CN"/>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eastAsia" w:ascii="Times New Roman" w:hAnsi="Times New Roman" w:eastAsia="宋体" w:cs="Times New Roman"/>
                <w:b w:val="0"/>
                <w:kern w:val="2"/>
                <w:sz w:val="21"/>
                <w:szCs w:val="20"/>
                <w:lang w:val="en-US" w:eastAsia="zh-CN" w:bidi="ar-SA"/>
              </w:rPr>
            </w:pPr>
            <w:r>
              <w:rPr>
                <w:rFonts w:hint="eastAsia"/>
                <w:b w:val="0"/>
                <w:lang w:val="en-US" w:eastAsia="zh-CN"/>
              </w:rPr>
              <w:t>1</w:t>
            </w:r>
          </w:p>
        </w:tc>
        <w:tc>
          <w:tcPr>
            <w:tcW w:w="605" w:type="pct"/>
            <w:noWrap w:val="0"/>
            <w:vAlign w:val="center"/>
          </w:tcPr>
          <w:p>
            <w:pPr>
              <w:pStyle w:val="118"/>
              <w:jc w:val="center"/>
              <w:rPr>
                <w:rFonts w:hint="default" w:ascii="宋体" w:hAnsi="宋体" w:eastAsia="宋体" w:cs="宋体"/>
                <w:b w:val="0"/>
                <w:lang w:val="en-US" w:eastAsia="zh-CN"/>
              </w:rPr>
            </w:pPr>
            <w:r>
              <w:rPr>
                <w:rFonts w:hint="eastAsia" w:ascii="宋体" w:hAnsi="宋体" w:eastAsia="宋体" w:cs="宋体"/>
                <w:b w:val="0"/>
                <w:lang w:val="en-US" w:eastAsia="zh-CN"/>
              </w:rPr>
              <w:t>试验台</w:t>
            </w:r>
            <w:r>
              <w:rPr>
                <w:rFonts w:hint="eastAsia" w:ascii="宋体" w:hAnsi="宋体" w:cs="宋体"/>
                <w:b w:val="0"/>
                <w:lang w:val="en-US" w:eastAsia="zh-CN"/>
              </w:rPr>
              <w:t>主体部分</w:t>
            </w:r>
          </w:p>
          <w:p>
            <w:pPr>
              <w:pStyle w:val="118"/>
              <w:jc w:val="center"/>
              <w:rPr>
                <w:rFonts w:hint="default" w:ascii="宋体" w:hAnsi="宋体" w:eastAsia="宋体" w:cs="宋体"/>
                <w:b w:val="0"/>
                <w:kern w:val="2"/>
                <w:sz w:val="21"/>
                <w:szCs w:val="20"/>
                <w:lang w:val="en-US" w:eastAsia="zh-CN" w:bidi="ar-SA"/>
              </w:rPr>
            </w:pPr>
          </w:p>
        </w:tc>
        <w:tc>
          <w:tcPr>
            <w:tcW w:w="3973" w:type="pct"/>
            <w:noWrap w:val="0"/>
            <w:vAlign w:val="top"/>
          </w:tcPr>
          <w:p>
            <w:pPr>
              <w:pStyle w:val="129"/>
              <w:numPr>
                <w:ilvl w:val="0"/>
                <w:numId w:val="10"/>
              </w:numPr>
              <w:spacing w:line="360" w:lineRule="auto"/>
              <w:ind w:left="0" w:leftChars="0" w:firstLine="0" w:firstLineChars="0"/>
              <w:rPr>
                <w:rFonts w:hint="default" w:ascii="宋体" w:hAnsi="宋体" w:eastAsia="宋体"/>
                <w:sz w:val="21"/>
                <w:szCs w:val="21"/>
                <w:lang w:val="en-US" w:eastAsia="zh-CN"/>
              </w:rPr>
            </w:pPr>
            <w:r>
              <w:rPr>
                <w:rFonts w:hint="eastAsia" w:ascii="宋体" w:hAnsi="宋体" w:eastAsia="宋体"/>
                <w:sz w:val="21"/>
                <w:szCs w:val="21"/>
                <w:lang w:val="en-US" w:eastAsia="zh-CN"/>
              </w:rPr>
              <w:t>立柱式加载框架，具备足够强度和刚度，能有效降低系统固有振动对试验的影响；</w:t>
            </w:r>
          </w:p>
          <w:p>
            <w:pPr>
              <w:pStyle w:val="129"/>
              <w:numPr>
                <w:ilvl w:val="0"/>
                <w:numId w:val="10"/>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立柱间距（水平测试空间）不得低于520mm；</w:t>
            </w:r>
          </w:p>
          <w:p>
            <w:pPr>
              <w:pStyle w:val="129"/>
              <w:numPr>
                <w:ilvl w:val="0"/>
                <w:numId w:val="10"/>
              </w:numPr>
              <w:spacing w:line="360" w:lineRule="auto"/>
              <w:ind w:left="0" w:leftChars="0" w:firstLine="0" w:firstLineChars="0"/>
              <w:rPr>
                <w:rFonts w:hint="eastAsia" w:ascii="宋体" w:hAnsi="宋体" w:eastAsia="宋体"/>
                <w:sz w:val="21"/>
                <w:szCs w:val="21"/>
                <w:lang w:val="en-US" w:eastAsia="zh-CN"/>
              </w:rPr>
            </w:pPr>
            <w:r>
              <w:rPr>
                <w:rFonts w:ascii="宋体" w:hAnsi="宋体" w:eastAsia="宋体" w:cs="宋体"/>
                <w:szCs w:val="21"/>
              </w:rPr>
              <w:t>★</w:t>
            </w:r>
            <w:r>
              <w:rPr>
                <w:rFonts w:hint="eastAsia" w:ascii="宋体" w:hAnsi="宋体" w:eastAsia="宋体"/>
                <w:sz w:val="21"/>
                <w:szCs w:val="21"/>
                <w:lang w:val="en-US" w:eastAsia="zh-CN"/>
              </w:rPr>
              <w:t>最大垂向工作空间至少为作动器上方高度300～1200mm，可满足200～900mm各类长度测试件；</w:t>
            </w:r>
          </w:p>
          <w:p>
            <w:pPr>
              <w:pStyle w:val="129"/>
              <w:numPr>
                <w:ilvl w:val="0"/>
                <w:numId w:val="10"/>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横梁升降系统为手自一体双向调节液压方式，可手动液压调节高度，配备机械标尺便于观察，若能数显更佳；升降系统稳定可靠、运行无卡滞；横梁须有锁止装置（包括液压锁止和机械锁止）；</w:t>
            </w:r>
          </w:p>
          <w:p>
            <w:pPr>
              <w:pStyle w:val="129"/>
              <w:numPr>
                <w:ilvl w:val="0"/>
                <w:numId w:val="10"/>
              </w:numPr>
              <w:spacing w:line="360" w:lineRule="auto"/>
              <w:ind w:left="0" w:leftChars="0" w:firstLine="0" w:firstLineChars="0"/>
              <w:rPr>
                <w:rFonts w:hint="default" w:ascii="宋体" w:hAnsi="宋体" w:eastAsia="宋体"/>
                <w:color w:val="auto"/>
                <w:sz w:val="21"/>
                <w:szCs w:val="21"/>
                <w:lang w:val="en-US" w:eastAsia="zh-CN"/>
              </w:rPr>
            </w:pPr>
            <w:r>
              <w:rPr>
                <w:rFonts w:hint="eastAsia" w:ascii="宋体" w:hAnsi="宋体" w:eastAsia="宋体"/>
                <w:sz w:val="21"/>
                <w:szCs w:val="21"/>
                <w:lang w:val="en-US" w:eastAsia="zh-CN"/>
              </w:rPr>
              <w:t>单样件测试时具备侧向力加载系统，用于侧向载荷加载与控制，闭环控制，能实现多种波形加</w:t>
            </w:r>
            <w:r>
              <w:rPr>
                <w:rFonts w:hint="eastAsia" w:ascii="宋体" w:hAnsi="宋体" w:eastAsia="宋体"/>
                <w:color w:val="auto"/>
                <w:sz w:val="21"/>
                <w:szCs w:val="21"/>
                <w:lang w:val="en-US" w:eastAsia="zh-CN"/>
              </w:rPr>
              <w:t>载，侧向力加载额定载荷0-2kN；该套系统要求安装调节方便，包含与样件之间的安装附件，适用不同长度，不同缸筒的减振器的加载。</w:t>
            </w:r>
          </w:p>
          <w:p>
            <w:pPr>
              <w:pStyle w:val="129"/>
              <w:numPr>
                <w:ilvl w:val="0"/>
                <w:numId w:val="10"/>
              </w:numPr>
              <w:spacing w:line="360" w:lineRule="auto"/>
              <w:ind w:left="0" w:leftChars="0" w:firstLine="0" w:firstLineChars="0"/>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减振器测试系统具备高性能隔振系统或同等效力减振装置；</w:t>
            </w:r>
          </w:p>
          <w:p>
            <w:pPr>
              <w:pStyle w:val="129"/>
              <w:numPr>
                <w:ilvl w:val="0"/>
                <w:numId w:val="10"/>
              </w:numPr>
              <w:spacing w:line="360" w:lineRule="auto"/>
              <w:ind w:left="0" w:leftChars="0" w:firstLine="0" w:firstLineChars="0"/>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作动缸额定载荷不低于50kN，静态过载能力为额定载荷满量程的150%；</w:t>
            </w:r>
          </w:p>
          <w:p>
            <w:pPr>
              <w:pStyle w:val="129"/>
              <w:numPr>
                <w:ilvl w:val="0"/>
                <w:numId w:val="10"/>
              </w:numPr>
              <w:spacing w:line="360" w:lineRule="auto"/>
              <w:ind w:left="0" w:leftChars="0" w:firstLine="0" w:firstLineChars="0"/>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作动缸活塞杆同轴内置安装LVDT型位移传感器，采用静压支撑轴承端盖。动态位移：不低于±125mm；位移传感器精度：优于±0.5%FS；</w:t>
            </w:r>
          </w:p>
          <w:p>
            <w:pPr>
              <w:pStyle w:val="129"/>
              <w:numPr>
                <w:ilvl w:val="0"/>
                <w:numId w:val="10"/>
              </w:numPr>
              <w:spacing w:line="360" w:lineRule="auto"/>
              <w:ind w:left="0" w:leftChars="0" w:firstLine="0" w:firstLineChars="0"/>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试验台测试系统力传感器量程不低于50kN；力传感器精度：优于±0.5%FS。</w:t>
            </w:r>
          </w:p>
          <w:p>
            <w:pPr>
              <w:pStyle w:val="129"/>
              <w:numPr>
                <w:ilvl w:val="0"/>
                <w:numId w:val="10"/>
              </w:numPr>
              <w:spacing w:line="360" w:lineRule="auto"/>
              <w:ind w:left="0" w:leftChars="0" w:firstLine="0" w:firstLineChars="0"/>
              <w:rPr>
                <w:rFonts w:hint="default" w:ascii="宋体" w:hAnsi="宋体" w:eastAsia="宋体" w:cs="宋体"/>
                <w:b w:val="0"/>
                <w:color w:val="auto"/>
                <w:kern w:val="2"/>
                <w:sz w:val="21"/>
                <w:szCs w:val="20"/>
                <w:lang w:val="en-US" w:eastAsia="zh-CN" w:bidi="ar-SA"/>
              </w:rPr>
            </w:pPr>
            <w:r>
              <w:rPr>
                <w:rFonts w:ascii="宋体" w:hAnsi="宋体" w:eastAsia="宋体" w:cs="宋体"/>
                <w:color w:val="auto"/>
                <w:szCs w:val="21"/>
              </w:rPr>
              <w:t>★</w:t>
            </w:r>
            <w:r>
              <w:rPr>
                <w:rFonts w:hint="eastAsia" w:ascii="宋体" w:hAnsi="宋体" w:eastAsia="宋体"/>
                <w:color w:val="auto"/>
                <w:sz w:val="21"/>
                <w:szCs w:val="21"/>
                <w:lang w:val="en-US" w:eastAsia="zh-CN"/>
              </w:rPr>
              <w:t>测试最低速度不高于0.004m/s，适配专用小载荷力传感器，用于摩擦力测量，传感器精度：优于±0.5%FS；</w:t>
            </w:r>
          </w:p>
          <w:p>
            <w:pPr>
              <w:pStyle w:val="129"/>
              <w:numPr>
                <w:ilvl w:val="0"/>
                <w:numId w:val="10"/>
              </w:numPr>
              <w:spacing w:line="360" w:lineRule="auto"/>
              <w:ind w:left="0" w:leftChars="0" w:firstLine="0" w:firstLineChars="0"/>
              <w:rPr>
                <w:rFonts w:hint="eastAsia" w:ascii="宋体" w:hAnsi="宋体" w:eastAsia="宋体" w:cstheme="minorBidi"/>
                <w:color w:val="auto"/>
                <w:kern w:val="2"/>
                <w:sz w:val="21"/>
                <w:szCs w:val="21"/>
                <w:lang w:val="en-US" w:eastAsia="zh-CN" w:bidi="ar-SA"/>
              </w:rPr>
            </w:pPr>
            <w:r>
              <w:rPr>
                <w:rFonts w:ascii="宋体" w:hAnsi="宋体" w:eastAsia="宋体" w:cs="宋体"/>
                <w:color w:val="auto"/>
                <w:szCs w:val="21"/>
              </w:rPr>
              <w:t>★</w:t>
            </w:r>
            <w:r>
              <w:rPr>
                <w:rFonts w:hint="eastAsia" w:ascii="宋体" w:hAnsi="宋体" w:eastAsia="宋体"/>
                <w:color w:val="auto"/>
                <w:sz w:val="21"/>
                <w:szCs w:val="21"/>
                <w:lang w:val="en-US" w:eastAsia="zh-CN"/>
              </w:rPr>
              <w:t>测试最高速度不低于3m/s，且行程100mm、2.0m/s下可正常运行，可加载力值不得低于20kN。</w:t>
            </w:r>
          </w:p>
          <w:p>
            <w:pPr>
              <w:pStyle w:val="129"/>
              <w:numPr>
                <w:ilvl w:val="0"/>
                <w:numId w:val="10"/>
              </w:numPr>
              <w:spacing w:line="360" w:lineRule="auto"/>
              <w:ind w:left="0" w:leftChars="0" w:firstLine="0" w:firstLineChars="0"/>
              <w:rPr>
                <w:rFonts w:hint="default" w:ascii="宋体" w:hAnsi="宋体" w:eastAsia="宋体" w:cs="宋体"/>
                <w:b w:val="0"/>
                <w:kern w:val="2"/>
                <w:sz w:val="21"/>
                <w:szCs w:val="20"/>
                <w:lang w:val="en-US" w:eastAsia="zh-CN" w:bidi="ar-SA"/>
              </w:rPr>
            </w:pPr>
            <w:r>
              <w:rPr>
                <w:rFonts w:hint="eastAsia" w:ascii="宋体" w:hAnsi="宋体" w:eastAsia="宋体" w:cstheme="minorBidi"/>
                <w:color w:val="auto"/>
                <w:kern w:val="2"/>
                <w:sz w:val="21"/>
                <w:szCs w:val="21"/>
                <w:lang w:val="en-US" w:eastAsia="zh-CN" w:bidi="ar-SA"/>
              </w:rPr>
              <w:t>设备特性曲线投标方应详细列出。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lang w:val="en-US" w:eastAsia="zh-CN"/>
              </w:rPr>
            </w:pPr>
            <w:r>
              <w:rPr>
                <w:rFonts w:hint="eastAsia"/>
                <w:b w:val="0"/>
                <w:lang w:val="en-US" w:eastAsia="zh-CN"/>
              </w:rPr>
              <w:t>2</w:t>
            </w:r>
          </w:p>
        </w:tc>
        <w:tc>
          <w:tcPr>
            <w:tcW w:w="605" w:type="pct"/>
            <w:noWrap w:val="0"/>
            <w:vAlign w:val="center"/>
          </w:tcPr>
          <w:p>
            <w:pPr>
              <w:pStyle w:val="118"/>
              <w:jc w:val="center"/>
              <w:rPr>
                <w:rFonts w:hint="default" w:ascii="宋体" w:hAnsi="宋体" w:eastAsia="宋体" w:cs="宋体"/>
                <w:b w:val="0"/>
                <w:kern w:val="2"/>
                <w:sz w:val="21"/>
                <w:szCs w:val="20"/>
                <w:lang w:val="en-US" w:eastAsia="zh-CN" w:bidi="ar-SA"/>
              </w:rPr>
            </w:pPr>
            <w:r>
              <w:rPr>
                <w:rFonts w:hint="eastAsia" w:ascii="宋体" w:hAnsi="宋体" w:cs="宋体"/>
                <w:b w:val="0"/>
                <w:kern w:val="2"/>
                <w:sz w:val="21"/>
                <w:szCs w:val="20"/>
                <w:lang w:val="en-US" w:eastAsia="zh-CN" w:bidi="ar-SA"/>
              </w:rPr>
              <w:t>软件</w:t>
            </w:r>
          </w:p>
        </w:tc>
        <w:tc>
          <w:tcPr>
            <w:tcW w:w="3973" w:type="pct"/>
            <w:noWrap w:val="0"/>
            <w:vAlign w:val="top"/>
          </w:tcPr>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 w:val="21"/>
                <w:szCs w:val="21"/>
              </w:rPr>
              <w:t>具有良好的人际交互界面，对试验过程中所有的参数进行输入、实时显示和记录，包括数字量和曲线两种方式，便于操作人员及时了解试验状态、分析试验数据；</w:t>
            </w:r>
          </w:p>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 w:val="21"/>
                <w:szCs w:val="21"/>
              </w:rPr>
              <w:t>试验参数包括但不限于载荷、</w:t>
            </w:r>
            <w:r>
              <w:rPr>
                <w:rFonts w:hint="eastAsia" w:hAnsi="宋体" w:eastAsia="宋体"/>
                <w:sz w:val="21"/>
                <w:szCs w:val="21"/>
                <w:lang w:val="en-US" w:eastAsia="zh-CN"/>
              </w:rPr>
              <w:t>速度</w:t>
            </w:r>
            <w:r>
              <w:rPr>
                <w:rFonts w:hint="eastAsia" w:hAnsi="宋体" w:eastAsia="宋体"/>
                <w:sz w:val="21"/>
                <w:szCs w:val="21"/>
              </w:rPr>
              <w:t>、</w:t>
            </w:r>
            <w:r>
              <w:rPr>
                <w:rFonts w:hint="eastAsia" w:hAnsi="宋体" w:eastAsia="宋体"/>
                <w:sz w:val="21"/>
                <w:szCs w:val="21"/>
                <w:lang w:val="en-US" w:eastAsia="zh-CN"/>
              </w:rPr>
              <w:t>位移</w:t>
            </w:r>
            <w:r>
              <w:rPr>
                <w:rFonts w:hint="eastAsia" w:hAnsi="宋体" w:eastAsia="宋体"/>
                <w:sz w:val="21"/>
                <w:szCs w:val="21"/>
              </w:rPr>
              <w:t>、循环次数、运行时间</w:t>
            </w:r>
            <w:r>
              <w:rPr>
                <w:rFonts w:hint="eastAsia" w:hAnsi="宋体" w:eastAsia="宋体"/>
                <w:sz w:val="21"/>
                <w:szCs w:val="21"/>
                <w:lang w:eastAsia="zh-CN"/>
              </w:rPr>
              <w:t>、</w:t>
            </w:r>
            <w:r>
              <w:rPr>
                <w:rFonts w:hint="eastAsia" w:hAnsi="宋体" w:eastAsia="宋体"/>
                <w:sz w:val="21"/>
                <w:szCs w:val="21"/>
                <w:lang w:val="en-US" w:eastAsia="zh-CN"/>
              </w:rPr>
              <w:t>温度</w:t>
            </w:r>
            <w:r>
              <w:rPr>
                <w:rFonts w:hint="eastAsia" w:hAnsi="宋体" w:eastAsia="宋体"/>
                <w:sz w:val="21"/>
                <w:szCs w:val="21"/>
              </w:rPr>
              <w:t>以及各参量之间的关系曲线等</w:t>
            </w:r>
            <w:r>
              <w:rPr>
                <w:rFonts w:hint="eastAsia" w:hAnsi="宋体" w:eastAsia="宋体"/>
                <w:sz w:val="21"/>
                <w:szCs w:val="21"/>
                <w:lang w:eastAsia="zh-CN"/>
              </w:rPr>
              <w:t>，</w:t>
            </w:r>
            <w:r>
              <w:rPr>
                <w:rFonts w:hint="eastAsia" w:hAnsi="宋体" w:eastAsia="宋体"/>
                <w:sz w:val="21"/>
                <w:szCs w:val="21"/>
                <w:lang w:val="en-US" w:eastAsia="zh-CN"/>
              </w:rPr>
              <w:t>包含但不限于减振器示功图，速度特性图，温度特性图</w:t>
            </w:r>
            <w:r>
              <w:rPr>
                <w:rFonts w:hint="eastAsia" w:hAnsi="宋体" w:eastAsia="宋体"/>
                <w:sz w:val="21"/>
                <w:szCs w:val="21"/>
              </w:rPr>
              <w:t>；</w:t>
            </w:r>
          </w:p>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 w:val="21"/>
                <w:szCs w:val="21"/>
              </w:rPr>
              <w:t>可对试验参数进行阈值设定，超出设定值范围时，可触发保护机制，设备自动卸载停机；</w:t>
            </w:r>
          </w:p>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 w:val="21"/>
                <w:szCs w:val="21"/>
              </w:rPr>
              <w:t>具有数据分析功能，可自动生成报告，并进行输出和打印；</w:t>
            </w:r>
          </w:p>
          <w:p>
            <w:pPr>
              <w:pStyle w:val="129"/>
              <w:numPr>
                <w:ilvl w:val="0"/>
                <w:numId w:val="11"/>
              </w:numPr>
              <w:spacing w:line="360" w:lineRule="auto"/>
              <w:ind w:left="0" w:leftChars="0" w:firstLine="0" w:firstLineChars="0"/>
              <w:rPr>
                <w:rFonts w:ascii="宋体" w:hAnsi="宋体" w:eastAsia="宋体"/>
                <w:sz w:val="21"/>
                <w:szCs w:val="21"/>
              </w:rPr>
            </w:pPr>
            <w:r>
              <w:rPr>
                <w:rFonts w:hint="eastAsia" w:ascii="宋体" w:hAnsi="宋体" w:eastAsia="宋体"/>
                <w:sz w:val="21"/>
                <w:szCs w:val="21"/>
              </w:rPr>
              <w:t>具有数据库或者类似数据库的功能，</w:t>
            </w:r>
            <w:r>
              <w:rPr>
                <w:rFonts w:hint="eastAsia" w:hAnsi="宋体" w:eastAsia="宋体"/>
                <w:sz w:val="21"/>
                <w:szCs w:val="21"/>
              </w:rPr>
              <w:t>内含样件信息、测试条件数据、测试结果数据，具有索引功能，方便用户储存和查找；</w:t>
            </w:r>
          </w:p>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 w:val="21"/>
                <w:szCs w:val="21"/>
              </w:rPr>
              <w:t>软件操作界面为中文或英文；</w:t>
            </w:r>
          </w:p>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 w:val="21"/>
                <w:szCs w:val="21"/>
              </w:rPr>
              <w:t>所提供的软件须全部为完整授权的正版软件，提供所有软件备份或安装程序，在电脑硬件损坏等情况下，</w:t>
            </w:r>
            <w:r>
              <w:rPr>
                <w:rFonts w:hint="eastAsia" w:hAnsi="宋体" w:eastAsia="宋体"/>
                <w:sz w:val="21"/>
                <w:szCs w:val="21"/>
                <w:lang w:eastAsia="zh-CN"/>
              </w:rPr>
              <w:t>投标方</w:t>
            </w:r>
            <w:r>
              <w:rPr>
                <w:rFonts w:hint="eastAsia" w:hAnsi="宋体" w:eastAsia="宋体"/>
                <w:sz w:val="21"/>
                <w:szCs w:val="21"/>
              </w:rPr>
              <w:t>应能免费提供软件的迁移服务或者用户自己可以方便进行迁移；</w:t>
            </w:r>
          </w:p>
          <w:p>
            <w:pPr>
              <w:pStyle w:val="17"/>
              <w:numPr>
                <w:ilvl w:val="0"/>
                <w:numId w:val="11"/>
              </w:numPr>
              <w:spacing w:line="360" w:lineRule="auto"/>
              <w:ind w:left="0" w:leftChars="0" w:firstLine="0" w:firstLineChars="0"/>
              <w:rPr>
                <w:rFonts w:hAnsi="宋体" w:eastAsia="宋体"/>
                <w:sz w:val="21"/>
                <w:szCs w:val="21"/>
              </w:rPr>
            </w:pPr>
            <w:r>
              <w:rPr>
                <w:rFonts w:hint="eastAsia" w:hAnsi="宋体" w:eastAsia="宋体"/>
                <w:szCs w:val="21"/>
              </w:rPr>
              <w:t>软件应能够满足当前的要求和以后的升级需要，提供软件在两年内免费升级到最新版的服务，并提供相应的培训服务，设备应满足控制分析软件升级的要求；</w:t>
            </w:r>
          </w:p>
          <w:p>
            <w:pPr>
              <w:pStyle w:val="17"/>
              <w:numPr>
                <w:ilvl w:val="0"/>
                <w:numId w:val="11"/>
              </w:numPr>
              <w:spacing w:line="360" w:lineRule="auto"/>
              <w:ind w:left="0" w:leftChars="0" w:firstLine="0" w:firstLineChars="0"/>
              <w:rPr>
                <w:rFonts w:hint="default" w:ascii="宋体" w:hAnsi="宋体" w:eastAsia="宋体" w:cs="宋体"/>
                <w:b w:val="0"/>
                <w:kern w:val="2"/>
                <w:sz w:val="21"/>
                <w:szCs w:val="20"/>
                <w:lang w:val="en-US" w:eastAsia="zh-CN" w:bidi="ar-SA"/>
              </w:rPr>
            </w:pPr>
            <w:r>
              <w:rPr>
                <w:rFonts w:hint="eastAsia" w:hAnsi="宋体" w:eastAsia="宋体" w:cs="宋体"/>
                <w:sz w:val="21"/>
                <w:szCs w:val="21"/>
              </w:rPr>
              <w:t>计算机软件（L</w:t>
            </w:r>
            <w:r>
              <w:rPr>
                <w:rFonts w:hAnsi="宋体" w:eastAsia="宋体" w:cs="宋体"/>
                <w:sz w:val="21"/>
                <w:szCs w:val="21"/>
              </w:rPr>
              <w:t>INUX</w:t>
            </w:r>
            <w:r>
              <w:rPr>
                <w:rFonts w:hint="eastAsia" w:hAnsi="宋体" w:eastAsia="宋体" w:cs="宋体"/>
                <w:sz w:val="21"/>
                <w:szCs w:val="21"/>
              </w:rPr>
              <w:t>操作系统或者</w:t>
            </w:r>
            <w:r>
              <w:rPr>
                <w:rFonts w:hAnsi="宋体" w:eastAsia="宋体" w:cs="宋体"/>
                <w:sz w:val="21"/>
                <w:szCs w:val="21"/>
              </w:rPr>
              <w:t>Microsoft WINDOWS 10</w:t>
            </w:r>
            <w:r>
              <w:rPr>
                <w:rFonts w:hint="eastAsia" w:hAnsi="宋体" w:eastAsia="宋体" w:cs="宋体"/>
                <w:sz w:val="21"/>
                <w:szCs w:val="21"/>
                <w:lang w:val="en-US" w:eastAsia="zh-CN"/>
              </w:rPr>
              <w:t>及以上</w:t>
            </w:r>
            <w:r>
              <w:rPr>
                <w:rFonts w:hint="eastAsia" w:hAnsi="宋体" w:eastAsia="宋体" w:cs="宋体"/>
                <w:sz w:val="21"/>
                <w:szCs w:val="21"/>
              </w:rPr>
              <w:t>操作系统专业版，提供</w:t>
            </w:r>
            <w:r>
              <w:rPr>
                <w:rFonts w:hAnsi="宋体" w:eastAsia="宋体" w:cs="宋体"/>
                <w:sz w:val="21"/>
                <w:szCs w:val="21"/>
              </w:rPr>
              <w:t>Microsoft office</w:t>
            </w:r>
            <w:r>
              <w:rPr>
                <w:rFonts w:hint="eastAsia" w:hAnsi="宋体" w:eastAsia="宋体" w:cs="宋体"/>
                <w:sz w:val="21"/>
                <w:szCs w:val="21"/>
              </w:rPr>
              <w:t>办公软件等相关应用程序）</w:t>
            </w:r>
            <w:r>
              <w:rPr>
                <w:rFonts w:hint="eastAsia"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lang w:val="en-US" w:eastAsia="zh-CN"/>
              </w:rPr>
            </w:pPr>
            <w:r>
              <w:rPr>
                <w:rFonts w:hint="eastAsia"/>
                <w:b w:val="0"/>
                <w:lang w:val="en-US" w:eastAsia="zh-CN"/>
              </w:rPr>
              <w:t>3</w:t>
            </w:r>
          </w:p>
        </w:tc>
        <w:tc>
          <w:tcPr>
            <w:tcW w:w="605" w:type="pct"/>
            <w:noWrap w:val="0"/>
            <w:vAlign w:val="center"/>
          </w:tcPr>
          <w:p>
            <w:pPr>
              <w:pStyle w:val="118"/>
              <w:jc w:val="center"/>
              <w:rPr>
                <w:rFonts w:hint="eastAsia" w:ascii="宋体" w:hAnsi="宋体" w:cs="宋体"/>
                <w:b w:val="0"/>
                <w:lang w:val="en-US" w:eastAsia="zh-CN"/>
              </w:rPr>
            </w:pPr>
            <w:r>
              <w:rPr>
                <w:rFonts w:hint="eastAsia" w:ascii="宋体" w:hAnsi="宋体" w:cs="宋体"/>
                <w:b w:val="0"/>
                <w:lang w:val="en-US" w:eastAsia="zh-CN"/>
              </w:rPr>
              <w:t>控制系统</w:t>
            </w:r>
          </w:p>
          <w:p>
            <w:pPr>
              <w:pStyle w:val="118"/>
              <w:jc w:val="center"/>
              <w:rPr>
                <w:rFonts w:hint="default" w:ascii="宋体" w:hAnsi="宋体" w:cs="宋体"/>
                <w:b w:val="0"/>
                <w:lang w:val="en-US" w:eastAsia="zh-CN"/>
              </w:rPr>
            </w:pPr>
          </w:p>
        </w:tc>
        <w:tc>
          <w:tcPr>
            <w:tcW w:w="3973" w:type="pct"/>
            <w:noWrap w:val="0"/>
            <w:vAlign w:val="top"/>
          </w:tcPr>
          <w:p>
            <w:pPr>
              <w:pStyle w:val="17"/>
              <w:numPr>
                <w:ilvl w:val="0"/>
                <w:numId w:val="12"/>
              </w:numPr>
              <w:spacing w:line="360" w:lineRule="auto"/>
              <w:ind w:left="0" w:leftChars="0" w:firstLine="0" w:firstLineChars="0"/>
              <w:rPr>
                <w:rFonts w:hAnsi="宋体" w:eastAsia="宋体"/>
                <w:sz w:val="21"/>
                <w:szCs w:val="21"/>
              </w:rPr>
            </w:pPr>
            <w:r>
              <w:rPr>
                <w:rFonts w:hint="eastAsia" w:hAnsi="宋体" w:eastAsia="宋体"/>
                <w:color w:val="000000" w:themeColor="text1"/>
                <w:sz w:val="21"/>
                <w:szCs w:val="21"/>
                <w14:textFill>
                  <w14:solidFill>
                    <w14:schemeClr w14:val="tx1"/>
                  </w14:solidFill>
                </w14:textFill>
              </w:rPr>
              <w:t>配备</w:t>
            </w:r>
            <w:r>
              <w:rPr>
                <w:rFonts w:hint="eastAsia" w:hAnsi="宋体" w:eastAsia="宋体"/>
                <w:color w:val="000000" w:themeColor="text1"/>
                <w:sz w:val="21"/>
                <w:szCs w:val="21"/>
                <w:lang w:val="en-US" w:eastAsia="zh-CN"/>
                <w14:textFill>
                  <w14:solidFill>
                    <w14:schemeClr w14:val="tx1"/>
                  </w14:solidFill>
                </w14:textFill>
              </w:rPr>
              <w:t>可靠、通用且易于使用的伺服控制器，可提供实时闭环控制功能，具有  传感器信号调理回路、函数发生以及伺服阀驱动等功能。</w:t>
            </w:r>
          </w:p>
          <w:p>
            <w:pPr>
              <w:pStyle w:val="17"/>
              <w:numPr>
                <w:ilvl w:val="0"/>
                <w:numId w:val="12"/>
              </w:numPr>
              <w:spacing w:line="360" w:lineRule="auto"/>
              <w:ind w:left="0" w:leftChars="0" w:firstLine="0" w:firstLineChars="0"/>
              <w:rPr>
                <w:rFonts w:hAnsi="宋体" w:eastAsia="宋体"/>
                <w:color w:val="auto"/>
                <w:sz w:val="21"/>
                <w:szCs w:val="21"/>
              </w:rPr>
            </w:pPr>
            <w:r>
              <w:rPr>
                <w:rFonts w:hint="eastAsia" w:hAnsi="宋体" w:eastAsia="宋体"/>
                <w:color w:val="000000" w:themeColor="text1"/>
                <w:sz w:val="21"/>
                <w:szCs w:val="21"/>
                <w:lang w:val="en-US" w:eastAsia="zh-CN"/>
                <w14:textFill>
                  <w14:solidFill>
                    <w14:schemeClr w14:val="tx1"/>
                  </w14:solidFill>
                </w14:textFill>
              </w:rPr>
              <w:t>控制器适用于但不限于轴向加</w:t>
            </w:r>
            <w:r>
              <w:rPr>
                <w:rFonts w:hint="eastAsia" w:hAnsi="宋体" w:eastAsia="宋体"/>
                <w:color w:val="auto"/>
                <w:sz w:val="21"/>
                <w:szCs w:val="21"/>
                <w:lang w:val="en-US" w:eastAsia="zh-CN"/>
              </w:rPr>
              <w:t>载、结构测试以及使用伺服作动缸的力学试验系统等；</w:t>
            </w:r>
          </w:p>
          <w:p>
            <w:pPr>
              <w:pStyle w:val="17"/>
              <w:numPr>
                <w:ilvl w:val="0"/>
                <w:numId w:val="12"/>
              </w:numPr>
              <w:spacing w:line="360" w:lineRule="auto"/>
              <w:ind w:left="0" w:leftChars="0" w:firstLine="0" w:firstLineChars="0"/>
              <w:rPr>
                <w:rFonts w:hAnsi="宋体" w:eastAsia="宋体"/>
                <w:sz w:val="21"/>
                <w:szCs w:val="21"/>
                <w:highlight w:val="none"/>
              </w:rPr>
            </w:pPr>
            <w:r>
              <w:rPr>
                <w:rFonts w:hint="eastAsia" w:hAnsi="宋体" w:eastAsia="宋体"/>
                <w:color w:val="000000" w:themeColor="text1"/>
                <w:sz w:val="21"/>
                <w:szCs w:val="21"/>
                <w:lang w:val="en-US" w:eastAsia="zh-CN"/>
                <w14:textFill>
                  <w14:solidFill>
                    <w14:schemeClr w14:val="tx1"/>
                  </w14:solidFill>
                </w14:textFill>
              </w:rPr>
              <w:t>控制器可进行系统资源</w:t>
            </w:r>
            <w:r>
              <w:rPr>
                <w:rFonts w:hint="eastAsia" w:hAnsi="宋体" w:eastAsia="宋体"/>
                <w:color w:val="000000" w:themeColor="text1"/>
                <w:sz w:val="21"/>
                <w:szCs w:val="21"/>
                <w:highlight w:val="none"/>
                <w:lang w:val="en-US" w:eastAsia="zh-CN"/>
                <w14:textFill>
                  <w14:solidFill>
                    <w14:schemeClr w14:val="tx1"/>
                  </w14:solidFill>
                </w14:textFill>
              </w:rPr>
              <w:t>重新分配，无需更改硬件配置或者移动现有控制器硬件就可以适用不同试验系统；</w:t>
            </w:r>
          </w:p>
          <w:p>
            <w:pPr>
              <w:pStyle w:val="17"/>
              <w:numPr>
                <w:ilvl w:val="0"/>
                <w:numId w:val="12"/>
              </w:numPr>
              <w:spacing w:line="360" w:lineRule="auto"/>
              <w:ind w:left="0" w:leftChars="0" w:firstLine="0" w:firstLineChars="0"/>
              <w:rPr>
                <w:rFonts w:hAnsi="宋体" w:eastAsia="宋体"/>
                <w:sz w:val="21"/>
                <w:szCs w:val="21"/>
                <w:highlight w:val="none"/>
              </w:rPr>
            </w:pPr>
            <w:r>
              <w:rPr>
                <w:rFonts w:hint="eastAsia" w:hAnsi="宋体" w:eastAsia="宋体"/>
                <w:color w:val="000000" w:themeColor="text1"/>
                <w:sz w:val="21"/>
                <w:szCs w:val="21"/>
                <w:highlight w:val="none"/>
                <w:lang w:val="en-US" w:eastAsia="zh-CN"/>
                <w14:textFill>
                  <w14:solidFill>
                    <w14:schemeClr w14:val="tx1"/>
                  </w14:solidFill>
                </w14:textFill>
              </w:rPr>
              <w:t>处理器板卡可按需进行现场升级，扩展试验</w:t>
            </w:r>
            <w:r>
              <w:rPr>
                <w:rFonts w:hint="eastAsia" w:hAnsi="宋体" w:eastAsia="宋体"/>
                <w:color w:val="auto"/>
                <w:sz w:val="21"/>
                <w:szCs w:val="21"/>
                <w:highlight w:val="none"/>
                <w:lang w:val="en-US" w:eastAsia="zh-CN"/>
              </w:rPr>
              <w:t>能力。</w:t>
            </w:r>
          </w:p>
          <w:p>
            <w:pPr>
              <w:pStyle w:val="17"/>
              <w:numPr>
                <w:ilvl w:val="0"/>
                <w:numId w:val="12"/>
              </w:numPr>
              <w:spacing w:line="360" w:lineRule="auto"/>
              <w:ind w:left="0" w:leftChars="0" w:firstLine="0" w:firstLineChars="0"/>
              <w:rPr>
                <w:rFonts w:hAnsi="宋体" w:eastAsia="宋体"/>
                <w:sz w:val="21"/>
                <w:szCs w:val="21"/>
                <w:highlight w:val="none"/>
              </w:rPr>
            </w:pPr>
            <w:r>
              <w:rPr>
                <w:rFonts w:hint="eastAsia" w:hAnsi="宋体" w:eastAsia="宋体"/>
                <w:sz w:val="21"/>
                <w:szCs w:val="21"/>
                <w:highlight w:val="none"/>
                <w:lang w:val="en-US" w:eastAsia="zh-CN"/>
              </w:rPr>
              <w:t>通用信号调理回路适用多种类型传感器，包括直流型传感器和交流型传感器；</w:t>
            </w:r>
          </w:p>
          <w:p>
            <w:pPr>
              <w:pStyle w:val="17"/>
              <w:numPr>
                <w:ilvl w:val="0"/>
                <w:numId w:val="12"/>
              </w:numPr>
              <w:spacing w:line="360" w:lineRule="auto"/>
              <w:ind w:left="0" w:leftChars="0" w:firstLine="0" w:firstLineChars="0"/>
              <w:rPr>
                <w:rFonts w:hAnsi="宋体" w:eastAsia="宋体"/>
                <w:sz w:val="21"/>
                <w:szCs w:val="21"/>
                <w:highlight w:val="none"/>
              </w:rPr>
            </w:pPr>
            <w:r>
              <w:rPr>
                <w:rFonts w:hint="eastAsia" w:hAnsi="宋体" w:eastAsia="宋体"/>
                <w:sz w:val="21"/>
                <w:szCs w:val="21"/>
                <w:highlight w:val="none"/>
                <w:lang w:val="en-US" w:eastAsia="zh-CN"/>
              </w:rPr>
              <w:t>控制器通道或板卡资源，至少满足但不限于QC/T 491中规定的减振器试验项目所涉及通道数，并充分考虑CDC式减振器及磁流变式减振器，模拟量通道数应满足实际使用需求，投标时提供详细方案并予以解释；</w:t>
            </w:r>
          </w:p>
          <w:p>
            <w:pPr>
              <w:pStyle w:val="17"/>
              <w:numPr>
                <w:ilvl w:val="0"/>
                <w:numId w:val="12"/>
              </w:numPr>
              <w:spacing w:line="360" w:lineRule="auto"/>
              <w:ind w:left="0" w:leftChars="0" w:firstLine="0" w:firstLineChars="0"/>
              <w:rPr>
                <w:rFonts w:hAnsi="宋体" w:eastAsia="宋体"/>
                <w:sz w:val="21"/>
                <w:szCs w:val="21"/>
              </w:rPr>
            </w:pPr>
            <w:r>
              <w:rPr>
                <w:rFonts w:hint="eastAsia" w:hAnsi="宋体" w:eastAsia="宋体"/>
                <w:color w:val="000000" w:themeColor="text1"/>
                <w:sz w:val="21"/>
                <w:szCs w:val="21"/>
                <w:lang w:val="en-US" w:eastAsia="zh-CN"/>
                <w14:textFill>
                  <w14:solidFill>
                    <w14:schemeClr w14:val="tx1"/>
                  </w14:solidFill>
                </w14:textFill>
              </w:rPr>
              <w:t>传感器调理模块具有激励电压损耗补偿功能，较长传感器线缆情况下不影响测试精度；</w:t>
            </w:r>
          </w:p>
          <w:p>
            <w:pPr>
              <w:pStyle w:val="17"/>
              <w:numPr>
                <w:ilvl w:val="0"/>
                <w:numId w:val="12"/>
              </w:numPr>
              <w:spacing w:line="360" w:lineRule="auto"/>
              <w:ind w:left="0" w:leftChars="0" w:firstLine="0" w:firstLineChars="0"/>
              <w:rPr>
                <w:rFonts w:hint="eastAsia" w:hAnsi="宋体" w:eastAsia="宋体"/>
                <w:color w:val="000000" w:themeColor="text1"/>
                <w:sz w:val="21"/>
                <w:szCs w:val="21"/>
                <w:lang w:val="en-US" w:eastAsia="zh-CN"/>
                <w14:textFill>
                  <w14:solidFill>
                    <w14:schemeClr w14:val="tx1"/>
                  </w14:solidFill>
                </w14:textFill>
              </w:rPr>
            </w:pPr>
            <w:r>
              <w:rPr>
                <w:rFonts w:hint="eastAsia" w:hAnsi="宋体" w:eastAsia="宋体"/>
                <w:color w:val="000000" w:themeColor="text1"/>
                <w:sz w:val="21"/>
                <w:szCs w:val="21"/>
                <w:lang w:val="en-US" w:eastAsia="zh-CN"/>
                <w14:textFill>
                  <w14:solidFill>
                    <w14:schemeClr w14:val="tx1"/>
                  </w14:solidFill>
                </w14:textFill>
              </w:rPr>
              <w:t>具有一种或多种控制补偿算法，实现优化控制；</w:t>
            </w:r>
          </w:p>
          <w:p>
            <w:pPr>
              <w:pStyle w:val="17"/>
              <w:numPr>
                <w:ilvl w:val="0"/>
                <w:numId w:val="12"/>
              </w:numPr>
              <w:spacing w:line="360" w:lineRule="auto"/>
              <w:ind w:left="0" w:leftChars="0" w:firstLine="0" w:firstLineChars="0"/>
              <w:rPr>
                <w:rFonts w:hint="eastAsia" w:hAnsi="宋体" w:eastAsia="宋体"/>
                <w:color w:val="000000" w:themeColor="text1"/>
                <w:sz w:val="21"/>
                <w:szCs w:val="21"/>
                <w:lang w:val="en-US" w:eastAsia="zh-CN"/>
                <w14:textFill>
                  <w14:solidFill>
                    <w14:schemeClr w14:val="tx1"/>
                  </w14:solidFill>
                </w14:textFill>
              </w:rPr>
            </w:pPr>
            <w:r>
              <w:rPr>
                <w:rFonts w:hint="eastAsia" w:hAnsi="宋体" w:eastAsia="宋体"/>
                <w:color w:val="000000" w:themeColor="text1"/>
                <w:sz w:val="21"/>
                <w:szCs w:val="21"/>
                <w:lang w:val="en-US" w:eastAsia="zh-CN"/>
                <w14:textFill>
                  <w14:solidFill>
                    <w14:schemeClr w14:val="tx1"/>
                  </w14:solidFill>
                </w14:textFill>
              </w:rPr>
              <w:t>具有激励缺失检测功能，确保系统安全，以及传感器断线保护，避免致命错误；</w:t>
            </w:r>
          </w:p>
          <w:p>
            <w:pPr>
              <w:pStyle w:val="17"/>
              <w:numPr>
                <w:ilvl w:val="0"/>
                <w:numId w:val="12"/>
              </w:numPr>
              <w:spacing w:line="360" w:lineRule="auto"/>
              <w:ind w:left="0" w:leftChars="0" w:firstLine="0" w:firstLineChars="0"/>
              <w:rPr>
                <w:rFonts w:ascii="宋体" w:hAnsi="宋体" w:eastAsia="宋体"/>
                <w:sz w:val="21"/>
                <w:szCs w:val="21"/>
              </w:rPr>
            </w:pPr>
            <w:r>
              <w:rPr>
                <w:rFonts w:hint="eastAsia" w:ascii="宋体" w:hAnsi="宋体" w:eastAsia="宋体"/>
                <w:szCs w:val="21"/>
              </w:rPr>
              <w:t>★设备应有软件和硬件过载保护功能以防止损坏试验台和</w:t>
            </w:r>
            <w:r>
              <w:rPr>
                <w:rFonts w:hint="eastAsia" w:ascii="宋体" w:hAnsi="宋体" w:eastAsia="宋体"/>
                <w:szCs w:val="21"/>
                <w:lang w:val="en-US" w:eastAsia="zh-CN"/>
              </w:rPr>
              <w:t>试验样件</w:t>
            </w:r>
            <w:r>
              <w:rPr>
                <w:rFonts w:hint="eastAsia" w:ascii="宋体" w:hAnsi="宋体" w:eastAsia="宋体"/>
                <w:szCs w:val="21"/>
              </w:rPr>
              <w:t>；</w:t>
            </w:r>
          </w:p>
          <w:p>
            <w:pPr>
              <w:pStyle w:val="17"/>
              <w:numPr>
                <w:ilvl w:val="0"/>
                <w:numId w:val="12"/>
              </w:numPr>
              <w:spacing w:line="360" w:lineRule="auto"/>
              <w:ind w:left="0" w:leftChars="0" w:firstLine="0" w:firstLineChars="0"/>
              <w:rPr>
                <w:rFonts w:hAnsi="宋体" w:eastAsia="宋体"/>
                <w:sz w:val="21"/>
                <w:szCs w:val="21"/>
              </w:rPr>
            </w:pPr>
            <w:r>
              <w:rPr>
                <w:rFonts w:hint="eastAsia" w:hAnsi="宋体" w:eastAsia="宋体"/>
                <w:sz w:val="21"/>
                <w:szCs w:val="21"/>
              </w:rPr>
              <w:t>能够同步采样，采集频率</w:t>
            </w:r>
            <w:r>
              <w:rPr>
                <w:rFonts w:hAnsi="宋体" w:eastAsia="宋体"/>
                <w:sz w:val="21"/>
                <w:szCs w:val="21"/>
              </w:rPr>
              <w:t>1024</w:t>
            </w:r>
            <w:r>
              <w:rPr>
                <w:rFonts w:hint="eastAsia" w:hAnsi="宋体" w:eastAsia="宋体"/>
                <w:sz w:val="21"/>
                <w:szCs w:val="21"/>
              </w:rPr>
              <w:t>Hz以上，可以</w:t>
            </w:r>
            <w:r>
              <w:rPr>
                <w:rFonts w:hint="eastAsia" w:hAnsi="宋体" w:eastAsia="宋体"/>
                <w:sz w:val="21"/>
                <w:szCs w:val="21"/>
                <w:lang w:val="en-US" w:eastAsia="zh-CN"/>
              </w:rPr>
              <w:t>实时查看和</w:t>
            </w:r>
            <w:r>
              <w:rPr>
                <w:rFonts w:hint="eastAsia" w:hAnsi="宋体" w:eastAsia="宋体"/>
                <w:sz w:val="21"/>
                <w:szCs w:val="21"/>
              </w:rPr>
              <w:t>记录保存所有传感器通道数据；</w:t>
            </w:r>
          </w:p>
          <w:p>
            <w:pPr>
              <w:pStyle w:val="17"/>
              <w:numPr>
                <w:ilvl w:val="0"/>
                <w:numId w:val="12"/>
              </w:numPr>
              <w:spacing w:line="360" w:lineRule="auto"/>
              <w:ind w:left="0" w:leftChars="0" w:firstLine="0" w:firstLineChars="0"/>
              <w:rPr>
                <w:rFonts w:hint="eastAsia" w:hAnsi="宋体" w:eastAsia="宋体"/>
                <w:color w:val="000000" w:themeColor="text1"/>
                <w:sz w:val="21"/>
                <w:szCs w:val="21"/>
                <w:lang w:val="en-US" w:eastAsia="zh-CN"/>
                <w14:textFill>
                  <w14:solidFill>
                    <w14:schemeClr w14:val="tx1"/>
                  </w14:solidFill>
                </w14:textFill>
              </w:rPr>
            </w:pPr>
            <w:r>
              <w:rPr>
                <w:rFonts w:hint="eastAsia" w:hAnsi="宋体" w:eastAsia="宋体"/>
                <w:color w:val="000000" w:themeColor="text1"/>
                <w:sz w:val="21"/>
                <w:szCs w:val="21"/>
                <w:lang w:val="en-US" w:eastAsia="zh-CN"/>
                <w14:textFill>
                  <w14:solidFill>
                    <w14:schemeClr w14:val="tx1"/>
                  </w14:solidFill>
                </w14:textFill>
              </w:rPr>
              <w:t>具有载荷校准功能；</w:t>
            </w:r>
          </w:p>
          <w:p>
            <w:pPr>
              <w:pStyle w:val="17"/>
              <w:numPr>
                <w:ilvl w:val="0"/>
                <w:numId w:val="12"/>
              </w:numPr>
              <w:spacing w:line="360" w:lineRule="auto"/>
              <w:ind w:left="0" w:leftChars="0" w:firstLine="0" w:firstLineChars="0"/>
              <w:rPr>
                <w:rFonts w:hint="eastAsia" w:hAnsi="宋体" w:eastAsia="宋体"/>
                <w:color w:val="000000" w:themeColor="text1"/>
                <w:sz w:val="21"/>
                <w:szCs w:val="21"/>
                <w:lang w:val="en-US" w:eastAsia="zh-CN"/>
                <w14:textFill>
                  <w14:solidFill>
                    <w14:schemeClr w14:val="tx1"/>
                  </w14:solidFill>
                </w14:textFill>
              </w:rPr>
            </w:pPr>
            <w:r>
              <w:rPr>
                <w:rFonts w:hint="eastAsia" w:hAnsi="宋体" w:eastAsia="宋体"/>
                <w:color w:val="000000" w:themeColor="text1"/>
                <w:sz w:val="21"/>
                <w:szCs w:val="21"/>
                <w:lang w:val="en-US" w:eastAsia="zh-CN"/>
                <w14:textFill>
                  <w14:solidFill>
                    <w14:schemeClr w14:val="tx1"/>
                  </w14:solidFill>
                </w14:textFill>
              </w:rPr>
              <w:t>具备远程操作手柄，方便使用，可远程启动或停止当前测试，兼容控制器。</w:t>
            </w:r>
          </w:p>
          <w:p>
            <w:pPr>
              <w:pStyle w:val="17"/>
              <w:numPr>
                <w:ilvl w:val="0"/>
                <w:numId w:val="12"/>
              </w:numPr>
              <w:spacing w:line="360" w:lineRule="auto"/>
              <w:ind w:left="0" w:leftChars="0" w:firstLine="0" w:firstLineChars="0"/>
              <w:rPr>
                <w:rFonts w:hint="default" w:ascii="宋体" w:hAnsi="宋体" w:eastAsia="宋体"/>
                <w:sz w:val="21"/>
                <w:szCs w:val="21"/>
                <w:lang w:val="en-US" w:eastAsia="zh-CN"/>
              </w:rPr>
            </w:pPr>
            <w:r>
              <w:rPr>
                <w:rFonts w:hint="eastAsia" w:hAnsi="宋体" w:eastAsia="宋体"/>
                <w:color w:val="000000" w:themeColor="text1"/>
                <w:sz w:val="21"/>
                <w:szCs w:val="21"/>
                <w:lang w:val="en-US" w:eastAsia="zh-CN"/>
                <w14:textFill>
                  <w14:solidFill>
                    <w14:schemeClr w14:val="tx1"/>
                  </w14:solidFill>
                </w14:textFill>
              </w:rPr>
              <w:t>设备应有故障诊断功能，在软件上显示设备的工作状态及故障，并指示排除方法；</w:t>
            </w:r>
          </w:p>
          <w:p>
            <w:pPr>
              <w:pStyle w:val="17"/>
              <w:numPr>
                <w:ilvl w:val="0"/>
                <w:numId w:val="12"/>
              </w:numPr>
              <w:spacing w:line="360" w:lineRule="auto"/>
              <w:ind w:left="0" w:leftChars="0" w:firstLine="0" w:firstLineChars="0"/>
              <w:rPr>
                <w:rFonts w:hint="default" w:ascii="宋体" w:hAnsi="宋体" w:cs="宋体"/>
                <w:b w:val="0"/>
                <w:lang w:val="en-US" w:eastAsia="zh-CN"/>
              </w:rPr>
            </w:pPr>
            <w:r>
              <w:rPr>
                <w:rFonts w:hint="eastAsia" w:hAnsi="宋体" w:eastAsia="宋体"/>
                <w:sz w:val="21"/>
                <w:szCs w:val="21"/>
              </w:rPr>
              <w:t>控制台桌面位置和试验台周围皆需安装急停开关，用于停止台架运行和切断动力源</w:t>
            </w:r>
            <w:r>
              <w:rPr>
                <w:rFonts w:hint="eastAsia" w:hAnsi="宋体" w:eastAsia="宋体"/>
                <w:sz w:val="21"/>
                <w:szCs w:val="21"/>
                <w:lang w:eastAsia="zh-CN"/>
              </w:rPr>
              <w:t>，</w:t>
            </w:r>
            <w:r>
              <w:rPr>
                <w:rFonts w:hint="eastAsia" w:hAnsi="宋体" w:eastAsia="宋体"/>
                <w:sz w:val="21"/>
                <w:szCs w:val="21"/>
                <w:lang w:val="en-US" w:eastAsia="zh-CN"/>
              </w:rPr>
              <w:t>急停电缆长度按需</w:t>
            </w:r>
            <w:r>
              <w:rPr>
                <w:rFonts w:hint="eastAsia"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eastAsia"/>
                <w:b w:val="0"/>
                <w:lang w:val="en-US" w:eastAsia="zh-CN"/>
              </w:rPr>
            </w:pPr>
            <w:r>
              <w:rPr>
                <w:rFonts w:hint="eastAsia"/>
                <w:b w:val="0"/>
                <w:lang w:val="en-US" w:eastAsia="zh-CN"/>
              </w:rPr>
              <w:t>4</w:t>
            </w:r>
          </w:p>
        </w:tc>
        <w:tc>
          <w:tcPr>
            <w:tcW w:w="605" w:type="pct"/>
            <w:noWrap w:val="0"/>
            <w:vAlign w:val="center"/>
          </w:tcPr>
          <w:p>
            <w:pPr>
              <w:pStyle w:val="118"/>
              <w:ind w:left="210" w:leftChars="0" w:hanging="210" w:hangingChars="100"/>
              <w:jc w:val="center"/>
              <w:rPr>
                <w:rFonts w:hint="default" w:ascii="宋体" w:hAnsi="宋体" w:cs="宋体"/>
                <w:b w:val="0"/>
                <w:lang w:val="en-US" w:eastAsia="zh-CN"/>
              </w:rPr>
            </w:pPr>
            <w:r>
              <w:rPr>
                <w:rFonts w:hint="eastAsia" w:ascii="宋体" w:hAnsi="宋体" w:eastAsia="宋体" w:cs="宋体"/>
                <w:b w:val="0"/>
                <w:lang w:val="en-US" w:eastAsia="zh-CN"/>
              </w:rPr>
              <w:t>不间断电源UPS</w:t>
            </w:r>
          </w:p>
        </w:tc>
        <w:tc>
          <w:tcPr>
            <w:tcW w:w="3973" w:type="pct"/>
            <w:noWrap w:val="0"/>
            <w:vAlign w:val="top"/>
          </w:tcPr>
          <w:p>
            <w:pPr>
              <w:pStyle w:val="17"/>
              <w:numPr>
                <w:ilvl w:val="0"/>
                <w:numId w:val="13"/>
              </w:numPr>
              <w:spacing w:line="360" w:lineRule="auto"/>
              <w:ind w:left="0" w:leftChars="0" w:firstLine="0" w:firstLineChars="0"/>
              <w:rPr>
                <w:rFonts w:hAnsi="宋体" w:eastAsia="宋体"/>
                <w:sz w:val="21"/>
                <w:szCs w:val="21"/>
              </w:rPr>
            </w:pPr>
            <w:r>
              <w:rPr>
                <w:rFonts w:hint="eastAsia" w:ascii="宋体" w:hAnsi="宋体" w:eastAsia="宋体" w:cs="宋体"/>
                <w:sz w:val="21"/>
                <w:szCs w:val="21"/>
                <w:lang w:val="en-US" w:eastAsia="zh-CN"/>
              </w:rPr>
              <w:t>与控制系统关键设备相连，包括控制器、电脑和显示器等</w:t>
            </w:r>
            <w:r>
              <w:rPr>
                <w:rFonts w:hint="eastAsia" w:hAnsi="宋体" w:eastAsia="宋体" w:cs="宋体"/>
                <w:sz w:val="21"/>
                <w:szCs w:val="21"/>
                <w:lang w:val="en-US" w:eastAsia="zh-CN"/>
              </w:rPr>
              <w:t>；</w:t>
            </w:r>
          </w:p>
          <w:p>
            <w:pPr>
              <w:pStyle w:val="17"/>
              <w:numPr>
                <w:ilvl w:val="0"/>
                <w:numId w:val="13"/>
              </w:numPr>
              <w:spacing w:line="360" w:lineRule="auto"/>
              <w:ind w:left="0" w:leftChars="0" w:firstLine="0" w:firstLineChars="0"/>
              <w:rPr>
                <w:rFonts w:hint="default" w:ascii="宋体" w:hAnsi="宋体" w:eastAsia="宋体"/>
                <w:sz w:val="21"/>
                <w:szCs w:val="21"/>
                <w:lang w:val="en-US" w:eastAsia="zh-CN"/>
              </w:rPr>
            </w:pPr>
            <w:r>
              <w:rPr>
                <w:rFonts w:hint="eastAsia" w:ascii="宋体" w:hAnsi="宋体" w:eastAsia="宋体"/>
                <w:szCs w:val="21"/>
              </w:rPr>
              <w:t xml:space="preserve">对控制仪器和设备均提供UPS保护功能，UPS功率≥ </w:t>
            </w:r>
            <w:r>
              <w:rPr>
                <w:rFonts w:ascii="宋体" w:hAnsi="宋体" w:eastAsia="宋体"/>
                <w:szCs w:val="21"/>
              </w:rPr>
              <w:t>3</w:t>
            </w:r>
            <w:r>
              <w:rPr>
                <w:rFonts w:hint="eastAsia" w:ascii="宋体" w:hAnsi="宋体" w:eastAsia="宋体"/>
                <w:szCs w:val="21"/>
              </w:rPr>
              <w:t xml:space="preserve"> kW，持续供电时间≥20分钟；</w:t>
            </w:r>
          </w:p>
          <w:p>
            <w:pPr>
              <w:pStyle w:val="17"/>
              <w:numPr>
                <w:ilvl w:val="0"/>
                <w:numId w:val="13"/>
              </w:numPr>
              <w:spacing w:line="360" w:lineRule="auto"/>
              <w:ind w:left="0" w:leftChars="0" w:firstLine="0" w:firstLineChars="0"/>
              <w:rPr>
                <w:rFonts w:hint="eastAsia" w:hAnsi="宋体" w:eastAsia="宋体"/>
                <w:sz w:val="21"/>
                <w:szCs w:val="21"/>
              </w:rPr>
            </w:pPr>
            <w:r>
              <w:rPr>
                <w:rFonts w:hint="eastAsia" w:hAnsi="宋体" w:eastAsia="宋体"/>
                <w:sz w:val="21"/>
                <w:szCs w:val="21"/>
                <w:lang w:val="en-US" w:eastAsia="zh-CN"/>
              </w:rPr>
              <w:t>具有LCD显示屏，提供必要的状态信息。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21" w:type="pct"/>
            <w:noWrap w:val="0"/>
            <w:vAlign w:val="center"/>
          </w:tcPr>
          <w:p>
            <w:pPr>
              <w:pStyle w:val="118"/>
              <w:jc w:val="center"/>
              <w:rPr>
                <w:rFonts w:hint="eastAsia" w:ascii="Times New Roman" w:hAnsi="Times New Roman" w:eastAsia="宋体" w:cs="Times New Roman"/>
                <w:b w:val="0"/>
                <w:kern w:val="2"/>
                <w:sz w:val="21"/>
                <w:szCs w:val="20"/>
                <w:lang w:val="en-US" w:eastAsia="zh-CN" w:bidi="ar-SA"/>
              </w:rPr>
            </w:pPr>
            <w:r>
              <w:rPr>
                <w:rFonts w:hint="eastAsia"/>
                <w:b w:val="0"/>
                <w:lang w:val="en-US" w:eastAsia="zh-CN"/>
              </w:rPr>
              <w:t>5</w:t>
            </w:r>
          </w:p>
        </w:tc>
        <w:tc>
          <w:tcPr>
            <w:tcW w:w="605" w:type="pct"/>
            <w:noWrap w:val="0"/>
            <w:vAlign w:val="center"/>
          </w:tcPr>
          <w:p>
            <w:pPr>
              <w:pStyle w:val="118"/>
              <w:jc w:val="center"/>
              <w:rPr>
                <w:rFonts w:hint="default" w:ascii="宋体" w:hAnsi="宋体" w:cs="宋体"/>
                <w:b w:val="0"/>
                <w:lang w:val="en-US" w:eastAsia="zh-CN"/>
              </w:rPr>
            </w:pPr>
            <w:r>
              <w:rPr>
                <w:rFonts w:hint="eastAsia" w:ascii="宋体" w:hAnsi="宋体" w:cs="宋体"/>
                <w:b w:val="0"/>
                <w:lang w:val="en-US" w:eastAsia="zh-CN"/>
              </w:rPr>
              <w:t>环境控制部分</w:t>
            </w:r>
          </w:p>
          <w:p>
            <w:pPr>
              <w:pStyle w:val="118"/>
              <w:ind w:left="210" w:hanging="210" w:hangingChars="100"/>
              <w:jc w:val="center"/>
              <w:rPr>
                <w:rFonts w:hint="eastAsia" w:ascii="宋体" w:hAnsi="宋体" w:eastAsia="宋体" w:cs="宋体"/>
                <w:b w:val="0"/>
                <w:lang w:val="en-US" w:eastAsia="zh-CN"/>
              </w:rPr>
            </w:pPr>
          </w:p>
        </w:tc>
        <w:tc>
          <w:tcPr>
            <w:tcW w:w="3973" w:type="pct"/>
            <w:noWrap w:val="0"/>
            <w:vAlign w:val="top"/>
          </w:tcPr>
          <w:p>
            <w:pPr>
              <w:pStyle w:val="129"/>
              <w:numPr>
                <w:ilvl w:val="0"/>
                <w:numId w:val="14"/>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Cs w:val="21"/>
              </w:rPr>
              <w:t>★</w:t>
            </w:r>
            <w:r>
              <w:rPr>
                <w:rFonts w:hint="eastAsia" w:ascii="宋体" w:hAnsi="宋体" w:eastAsia="宋体"/>
                <w:sz w:val="21"/>
                <w:szCs w:val="21"/>
                <w:lang w:val="en-US" w:eastAsia="zh-CN"/>
              </w:rPr>
              <w:t>环境箱主要参数：</w:t>
            </w:r>
          </w:p>
          <w:p>
            <w:pPr>
              <w:pStyle w:val="129"/>
              <w:numPr>
                <w:ilvl w:val="0"/>
                <w:numId w:val="0"/>
              </w:numPr>
              <w:spacing w:line="360" w:lineRule="auto"/>
              <w:ind w:leftChars="0" w:firstLine="420" w:firstLineChars="200"/>
              <w:rPr>
                <w:rFonts w:hint="eastAsia" w:ascii="宋体" w:hAnsi="宋体" w:eastAsia="宋体"/>
                <w:sz w:val="21"/>
                <w:szCs w:val="21"/>
                <w:lang w:val="en-US" w:eastAsia="zh-CN"/>
              </w:rPr>
            </w:pPr>
            <w:r>
              <w:rPr>
                <w:rFonts w:hint="eastAsia" w:ascii="宋体" w:hAnsi="宋体" w:eastAsia="宋体"/>
                <w:sz w:val="21"/>
                <w:szCs w:val="21"/>
                <w:lang w:val="en-US" w:eastAsia="zh-CN"/>
              </w:rPr>
              <w:t>温度范围：-60℃～120℃；</w:t>
            </w:r>
          </w:p>
          <w:p>
            <w:pPr>
              <w:pStyle w:val="129"/>
              <w:numPr>
                <w:ilvl w:val="0"/>
                <w:numId w:val="0"/>
              </w:numPr>
              <w:spacing w:line="360" w:lineRule="auto"/>
              <w:ind w:leftChars="0" w:firstLine="420" w:firstLineChars="200"/>
              <w:rPr>
                <w:rFonts w:hint="eastAsia" w:ascii="宋体" w:hAnsi="宋体" w:eastAsia="宋体"/>
                <w:sz w:val="21"/>
                <w:szCs w:val="21"/>
                <w:lang w:val="en-US" w:eastAsia="zh-CN"/>
              </w:rPr>
            </w:pPr>
            <w:r>
              <w:rPr>
                <w:rFonts w:hint="eastAsia" w:ascii="宋体" w:hAnsi="宋体" w:eastAsia="宋体"/>
                <w:sz w:val="21"/>
                <w:szCs w:val="21"/>
                <w:lang w:val="en-US" w:eastAsia="zh-CN"/>
              </w:rPr>
              <w:t>温度波动度：≤±0.5℃；</w:t>
            </w:r>
          </w:p>
          <w:p>
            <w:pPr>
              <w:pStyle w:val="129"/>
              <w:numPr>
                <w:ilvl w:val="0"/>
                <w:numId w:val="0"/>
              </w:numPr>
              <w:spacing w:line="360" w:lineRule="auto"/>
              <w:ind w:leftChars="0" w:firstLine="420" w:firstLineChars="200"/>
              <w:rPr>
                <w:rFonts w:hint="eastAsia" w:ascii="宋体" w:hAnsi="宋体" w:eastAsia="宋体"/>
                <w:sz w:val="21"/>
                <w:szCs w:val="21"/>
                <w:lang w:val="en-US" w:eastAsia="zh-CN"/>
              </w:rPr>
            </w:pPr>
            <w:r>
              <w:rPr>
                <w:rFonts w:hint="eastAsia" w:ascii="宋体" w:hAnsi="宋体" w:eastAsia="宋体"/>
                <w:sz w:val="21"/>
                <w:szCs w:val="21"/>
                <w:lang w:val="en-US" w:eastAsia="zh-CN"/>
              </w:rPr>
              <w:t>温度均匀度：≤±2℃；</w:t>
            </w:r>
          </w:p>
          <w:p>
            <w:pPr>
              <w:pStyle w:val="129"/>
              <w:numPr>
                <w:ilvl w:val="0"/>
                <w:numId w:val="0"/>
              </w:numPr>
              <w:spacing w:line="360" w:lineRule="auto"/>
              <w:ind w:leftChars="0" w:firstLine="420" w:firstLineChars="200"/>
              <w:rPr>
                <w:rFonts w:hint="eastAsia" w:ascii="宋体" w:hAnsi="宋体" w:eastAsia="宋体"/>
                <w:sz w:val="21"/>
                <w:szCs w:val="21"/>
                <w:lang w:val="en-US" w:eastAsia="zh-CN"/>
              </w:rPr>
            </w:pPr>
            <w:r>
              <w:rPr>
                <w:rFonts w:hint="eastAsia" w:ascii="宋体" w:hAnsi="宋体" w:eastAsia="宋体"/>
                <w:sz w:val="21"/>
                <w:szCs w:val="21"/>
                <w:lang w:val="en-US" w:eastAsia="zh-CN"/>
              </w:rPr>
              <w:t>降温速率：不低于1.5℃/min（定负载15公斤铝锭，由投标方验收时提供使用）；</w:t>
            </w:r>
          </w:p>
          <w:p>
            <w:pPr>
              <w:pStyle w:val="129"/>
              <w:numPr>
                <w:ilvl w:val="0"/>
                <w:numId w:val="0"/>
              </w:numPr>
              <w:spacing w:line="360" w:lineRule="auto"/>
              <w:ind w:leftChars="0" w:firstLine="420" w:firstLineChars="200"/>
              <w:rPr>
                <w:rFonts w:hint="eastAsia" w:ascii="宋体" w:hAnsi="宋体" w:eastAsia="宋体"/>
                <w:sz w:val="21"/>
                <w:szCs w:val="21"/>
                <w:lang w:val="en-US" w:eastAsia="zh-CN"/>
              </w:rPr>
            </w:pPr>
            <w:r>
              <w:rPr>
                <w:rFonts w:hint="eastAsia" w:ascii="宋体" w:hAnsi="宋体" w:eastAsia="宋体"/>
                <w:sz w:val="21"/>
                <w:szCs w:val="21"/>
                <w:lang w:val="en-US" w:eastAsia="zh-CN"/>
              </w:rPr>
              <w:t>升温速率：不低于3℃/min。</w:t>
            </w:r>
          </w:p>
          <w:p>
            <w:pPr>
              <w:pStyle w:val="129"/>
              <w:numPr>
                <w:ilvl w:val="0"/>
                <w:numId w:val="14"/>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试样及环境箱温度均可输出至控制器，并通过控制电脑显示器进行监测；且当试样到达设定温度时，可实现作动器</w:t>
            </w:r>
            <w:r>
              <w:rPr>
                <w:rFonts w:hint="eastAsia" w:ascii="宋体" w:hAnsi="宋体" w:eastAsia="宋体"/>
                <w:sz w:val="21"/>
                <w:szCs w:val="21"/>
                <w:highlight w:val="none"/>
                <w:lang w:val="en-US" w:eastAsia="zh-CN"/>
              </w:rPr>
              <w:t>自动开始或停</w:t>
            </w:r>
            <w:r>
              <w:rPr>
                <w:rFonts w:hint="eastAsia" w:ascii="宋体" w:hAnsi="宋体" w:eastAsia="宋体"/>
                <w:sz w:val="21"/>
                <w:szCs w:val="21"/>
                <w:lang w:val="en-US" w:eastAsia="zh-CN"/>
              </w:rPr>
              <w:t>止运行。</w:t>
            </w:r>
          </w:p>
          <w:p>
            <w:pPr>
              <w:pStyle w:val="129"/>
              <w:numPr>
                <w:ilvl w:val="0"/>
                <w:numId w:val="14"/>
              </w:numPr>
              <w:spacing w:line="360" w:lineRule="auto"/>
              <w:ind w:left="0" w:leftChars="0" w:firstLine="0" w:firstLineChars="0"/>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整个温度量程内可灵活设定温度曲线并查看，实现稳定控制。温度参数设定精度±1℃。</w:t>
            </w:r>
          </w:p>
          <w:p>
            <w:pPr>
              <w:pStyle w:val="129"/>
              <w:numPr>
                <w:ilvl w:val="0"/>
                <w:numId w:val="14"/>
              </w:numPr>
              <w:spacing w:line="360" w:lineRule="auto"/>
              <w:ind w:left="0" w:leftChars="0" w:firstLine="0" w:firstLineChars="0"/>
              <w:rPr>
                <w:rFonts w:hint="default" w:ascii="宋体" w:hAnsi="宋体" w:eastAsia="宋体"/>
                <w:color w:val="auto"/>
                <w:sz w:val="21"/>
                <w:szCs w:val="21"/>
                <w:lang w:val="en-US" w:eastAsia="zh-CN"/>
              </w:rPr>
            </w:pPr>
            <w:r>
              <w:rPr>
                <w:rFonts w:hint="eastAsia" w:ascii="宋体" w:hAnsi="宋体" w:eastAsia="宋体"/>
                <w:color w:val="auto"/>
                <w:szCs w:val="21"/>
              </w:rPr>
              <w:t>★</w:t>
            </w:r>
            <w:r>
              <w:rPr>
                <w:rFonts w:hint="eastAsia" w:ascii="宋体" w:hAnsi="宋体" w:eastAsia="宋体"/>
                <w:color w:val="auto"/>
                <w:sz w:val="21"/>
                <w:szCs w:val="21"/>
                <w:lang w:val="en-US" w:eastAsia="zh-CN"/>
              </w:rPr>
              <w:t>对测试件表面温度进行温度监控，可读取样件温度，不少于两个点。测量温度范围-60℃～120℃，精度±0.5℃。</w:t>
            </w:r>
          </w:p>
          <w:p>
            <w:pPr>
              <w:pStyle w:val="129"/>
              <w:numPr>
                <w:ilvl w:val="0"/>
                <w:numId w:val="14"/>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温度显示分辨率不低于0.1℃，可同时观测环境箱内温度及试件表面测试温度。</w:t>
            </w:r>
          </w:p>
          <w:p>
            <w:pPr>
              <w:pStyle w:val="129"/>
              <w:numPr>
                <w:ilvl w:val="0"/>
                <w:numId w:val="14"/>
              </w:numPr>
              <w:spacing w:line="360" w:lineRule="auto"/>
              <w:ind w:left="0" w:leftChars="0" w:firstLine="0" w:firstLineChars="0"/>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适配温控箱内部尺寸不能小于500*200*1000，需满足200～900mm各类长度测试件；</w:t>
            </w:r>
          </w:p>
          <w:p>
            <w:pPr>
              <w:pStyle w:val="129"/>
              <w:numPr>
                <w:ilvl w:val="0"/>
                <w:numId w:val="14"/>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环境箱配备运行指示灯，运行时能够实现自动声光报警、预设停机、试验暂停/停止、急停及急停恢复等功能；</w:t>
            </w:r>
          </w:p>
          <w:p>
            <w:pPr>
              <w:pStyle w:val="129"/>
              <w:numPr>
                <w:ilvl w:val="0"/>
                <w:numId w:val="14"/>
              </w:numPr>
              <w:spacing w:line="360" w:lineRule="auto"/>
              <w:ind w:left="0" w:leftChars="0" w:firstLine="0" w:firstLineChars="0"/>
              <w:rPr>
                <w:rFonts w:hint="eastAsia" w:ascii="宋体" w:hAnsi="宋体" w:eastAsia="宋体" w:cs="宋体"/>
                <w:b w:val="0"/>
                <w:lang w:val="en-US" w:eastAsia="zh-CN"/>
              </w:rPr>
            </w:pPr>
            <w:r>
              <w:rPr>
                <w:rFonts w:hint="eastAsia" w:ascii="宋体" w:hAnsi="宋体" w:eastAsia="宋体"/>
                <w:sz w:val="21"/>
                <w:szCs w:val="21"/>
                <w:lang w:val="en-US" w:eastAsia="zh-CN"/>
              </w:rPr>
              <w:t>高低温箱及其制冷系统优先考虑一体式结构，整体重心稳定，移动过程中不易倾翻。相关线缆需满足移动要求，且满足试验室现场管理要求；</w:t>
            </w:r>
          </w:p>
          <w:p>
            <w:pPr>
              <w:pStyle w:val="129"/>
              <w:numPr>
                <w:ilvl w:val="0"/>
                <w:numId w:val="14"/>
              </w:numPr>
              <w:spacing w:line="360" w:lineRule="auto"/>
              <w:ind w:left="0" w:leftChars="0" w:firstLine="0" w:firstLineChars="0"/>
              <w:rPr>
                <w:rFonts w:hint="eastAsia" w:ascii="宋体" w:hAnsi="宋体" w:eastAsia="宋体" w:cs="宋体"/>
                <w:b w:val="0"/>
                <w:lang w:val="en-US" w:eastAsia="zh-CN"/>
              </w:rPr>
            </w:pPr>
            <w:r>
              <w:rPr>
                <w:rFonts w:hint="eastAsia" w:ascii="宋体" w:hAnsi="宋体" w:eastAsia="宋体"/>
                <w:sz w:val="21"/>
                <w:szCs w:val="21"/>
                <w:lang w:val="en-US" w:eastAsia="zh-CN"/>
              </w:rPr>
              <w:t>环境箱应设计接水槽，以便收集和及时排掉冷凝水；</w:t>
            </w:r>
          </w:p>
          <w:p>
            <w:pPr>
              <w:pStyle w:val="129"/>
              <w:numPr>
                <w:ilvl w:val="0"/>
                <w:numId w:val="14"/>
              </w:numPr>
              <w:spacing w:line="360" w:lineRule="auto"/>
              <w:ind w:left="0" w:leftChars="0" w:firstLine="0" w:firstLineChars="0"/>
              <w:rPr>
                <w:rFonts w:hint="eastAsia" w:ascii="宋体" w:hAnsi="宋体" w:eastAsia="宋体" w:cs="宋体"/>
                <w:b w:val="0"/>
                <w:lang w:val="en-US" w:eastAsia="zh-CN"/>
              </w:rPr>
            </w:pPr>
            <w:r>
              <w:rPr>
                <w:rFonts w:hint="eastAsia" w:ascii="宋体" w:hAnsi="宋体" w:eastAsia="宋体"/>
                <w:sz w:val="21"/>
                <w:szCs w:val="21"/>
                <w:lang w:val="en-US" w:eastAsia="zh-CN"/>
              </w:rPr>
              <w:t>环境箱配观察窗，可清晰观察样件状态；</w:t>
            </w:r>
          </w:p>
          <w:p>
            <w:pPr>
              <w:pStyle w:val="129"/>
              <w:numPr>
                <w:ilvl w:val="0"/>
                <w:numId w:val="14"/>
              </w:numPr>
              <w:spacing w:line="360" w:lineRule="auto"/>
              <w:ind w:left="0" w:leftChars="0" w:firstLine="0" w:firstLineChars="0"/>
              <w:rPr>
                <w:rFonts w:hint="eastAsia" w:ascii="宋体" w:hAnsi="宋体" w:eastAsia="宋体" w:cs="宋体"/>
                <w:b w:val="0"/>
                <w:lang w:val="en-US" w:eastAsia="zh-CN"/>
              </w:rPr>
            </w:pPr>
            <w:r>
              <w:rPr>
                <w:rFonts w:hint="eastAsia" w:ascii="宋体" w:hAnsi="宋体" w:eastAsia="宋体"/>
                <w:sz w:val="21"/>
                <w:szCs w:val="21"/>
                <w:lang w:val="en-US" w:eastAsia="zh-CN"/>
              </w:rPr>
              <w:t>投标时应明确环境箱制冷制热原理，布局合理，方便使用；</w:t>
            </w:r>
          </w:p>
          <w:p>
            <w:pPr>
              <w:pStyle w:val="129"/>
              <w:numPr>
                <w:ilvl w:val="0"/>
                <w:numId w:val="14"/>
              </w:numPr>
              <w:spacing w:line="360" w:lineRule="auto"/>
              <w:ind w:left="0" w:leftChars="0" w:firstLine="0" w:firstLineChars="0"/>
              <w:rPr>
                <w:rFonts w:hint="eastAsia" w:ascii="宋体" w:hAnsi="宋体" w:eastAsia="宋体" w:cs="宋体"/>
                <w:b w:val="0"/>
                <w:lang w:val="en-US" w:eastAsia="zh-CN"/>
              </w:rPr>
            </w:pPr>
            <w:r>
              <w:rPr>
                <w:rFonts w:hint="eastAsia" w:ascii="宋体" w:hAnsi="宋体" w:eastAsia="宋体"/>
                <w:color w:val="auto"/>
                <w:szCs w:val="21"/>
              </w:rPr>
              <w:t>★</w:t>
            </w:r>
            <w:r>
              <w:rPr>
                <w:rFonts w:hint="eastAsia" w:hAnsi="宋体" w:eastAsia="宋体" w:cs="宋体"/>
                <w:color w:val="auto"/>
                <w:kern w:val="2"/>
                <w:sz w:val="21"/>
                <w:szCs w:val="21"/>
                <w:highlight w:val="none"/>
                <w:lang w:val="en-US" w:eastAsia="zh-CN" w:bidi="ar-SA"/>
              </w:rPr>
              <w:t>电机功率7.5kW（含）以上，能效需为一</w:t>
            </w:r>
            <w:r>
              <w:rPr>
                <w:rFonts w:hint="eastAsia" w:ascii="宋体" w:hAnsi="宋体" w:eastAsia="宋体" w:cs="宋体"/>
                <w:color w:val="auto"/>
                <w:kern w:val="2"/>
                <w:sz w:val="21"/>
                <w:szCs w:val="21"/>
                <w:highlight w:val="none"/>
                <w:lang w:val="en-US" w:eastAsia="zh-CN" w:bidi="ar-SA"/>
              </w:rPr>
              <w:t>级能</w:t>
            </w:r>
            <w:r>
              <w:rPr>
                <w:rFonts w:hint="eastAsia" w:hAnsi="宋体" w:eastAsia="宋体" w:cs="宋体"/>
                <w:color w:val="auto"/>
                <w:kern w:val="2"/>
                <w:sz w:val="21"/>
                <w:szCs w:val="21"/>
                <w:highlight w:val="none"/>
                <w:lang w:val="en-US" w:eastAsia="zh-CN" w:bidi="ar-SA"/>
              </w:rPr>
              <w:t>效，7.5kW以下，不低于二级能效。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eastAsia="宋体"/>
                <w:b w:val="0"/>
                <w:lang w:val="en-US" w:eastAsia="zh-CN"/>
              </w:rPr>
            </w:pPr>
            <w:r>
              <w:rPr>
                <w:rFonts w:hint="eastAsia"/>
                <w:b w:val="0"/>
                <w:lang w:val="en-US" w:eastAsia="zh-CN"/>
              </w:rPr>
              <w:t>6</w:t>
            </w:r>
          </w:p>
        </w:tc>
        <w:tc>
          <w:tcPr>
            <w:tcW w:w="605" w:type="pct"/>
            <w:noWrap w:val="0"/>
            <w:vAlign w:val="center"/>
          </w:tcPr>
          <w:p>
            <w:pPr>
              <w:pStyle w:val="118"/>
              <w:jc w:val="center"/>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工业级计算机</w:t>
            </w:r>
          </w:p>
        </w:tc>
        <w:tc>
          <w:tcPr>
            <w:tcW w:w="3973" w:type="pct"/>
            <w:noWrap w:val="0"/>
            <w:vAlign w:val="top"/>
          </w:tcPr>
          <w:p>
            <w:pPr>
              <w:pStyle w:val="17"/>
              <w:spacing w:line="360" w:lineRule="auto"/>
              <w:rPr>
                <w:rFonts w:hint="eastAsia" w:ascii="宋体" w:hAnsi="宋体" w:eastAsia="宋体" w:cs="宋体"/>
                <w:sz w:val="21"/>
                <w:szCs w:val="21"/>
              </w:rPr>
            </w:pPr>
            <w:r>
              <w:rPr>
                <w:rFonts w:hint="eastAsia" w:ascii="宋体" w:hAnsi="宋体" w:eastAsia="宋体" w:cs="宋体"/>
                <w:sz w:val="21"/>
                <w:szCs w:val="21"/>
              </w:rPr>
              <w:t>最低配置如下：</w:t>
            </w:r>
          </w:p>
          <w:p>
            <w:pPr>
              <w:numPr>
                <w:ilvl w:val="0"/>
                <w:numId w:val="15"/>
              </w:numPr>
              <w:spacing w:line="360" w:lineRule="auto"/>
              <w:jc w:val="left"/>
              <w:rPr>
                <w:rFonts w:ascii="宋体" w:hAnsi="宋体" w:eastAsia="宋体" w:cs="宋体"/>
                <w:szCs w:val="21"/>
              </w:rPr>
            </w:pPr>
            <w:r>
              <w:rPr>
                <w:rFonts w:hint="eastAsia" w:ascii="宋体" w:hAnsi="宋体" w:eastAsia="宋体" w:cs="宋体"/>
                <w:szCs w:val="21"/>
              </w:rPr>
              <w:t>国际知名品牌；</w:t>
            </w:r>
          </w:p>
          <w:p>
            <w:pPr>
              <w:numPr>
                <w:ilvl w:val="0"/>
                <w:numId w:val="15"/>
              </w:numPr>
              <w:spacing w:line="360" w:lineRule="auto"/>
              <w:jc w:val="left"/>
              <w:rPr>
                <w:rFonts w:ascii="宋体" w:hAnsi="宋体" w:eastAsia="宋体" w:cs="宋体"/>
                <w:szCs w:val="21"/>
              </w:rPr>
            </w:pPr>
            <w:r>
              <w:rPr>
                <w:rFonts w:hint="eastAsia" w:ascii="宋体" w:hAnsi="宋体" w:eastAsia="宋体"/>
                <w:szCs w:val="21"/>
              </w:rPr>
              <w:t>台式机</w:t>
            </w:r>
            <w:r>
              <w:rPr>
                <w:rFonts w:ascii="宋体" w:hAnsi="宋体" w:eastAsia="宋体"/>
                <w:szCs w:val="21"/>
              </w:rPr>
              <w:t>27</w:t>
            </w:r>
            <w:r>
              <w:rPr>
                <w:rFonts w:hint="eastAsia" w:ascii="宋体" w:hAnsi="宋体" w:eastAsia="宋体"/>
                <w:szCs w:val="21"/>
              </w:rPr>
              <w:t>寸高清显示器（分辨率</w:t>
            </w:r>
            <w:r>
              <w:rPr>
                <w:rFonts w:ascii="宋体" w:hAnsi="宋体" w:eastAsia="宋体"/>
                <w:szCs w:val="21"/>
              </w:rPr>
              <w:t>4</w:t>
            </w:r>
            <w:r>
              <w:rPr>
                <w:rFonts w:hint="eastAsia" w:ascii="宋体" w:hAnsi="宋体" w:eastAsia="宋体"/>
                <w:szCs w:val="21"/>
              </w:rPr>
              <w:t>k）；</w:t>
            </w:r>
          </w:p>
          <w:p>
            <w:pPr>
              <w:numPr>
                <w:ilvl w:val="0"/>
                <w:numId w:val="15"/>
              </w:numPr>
              <w:spacing w:line="360" w:lineRule="auto"/>
              <w:rPr>
                <w:rFonts w:ascii="宋体" w:hAnsi="宋体" w:eastAsia="宋体" w:cs="宋体"/>
                <w:szCs w:val="21"/>
              </w:rPr>
            </w:pPr>
            <w:r>
              <w:rPr>
                <w:rFonts w:hint="eastAsia" w:ascii="宋体" w:hAnsi="宋体" w:eastAsia="宋体"/>
                <w:szCs w:val="21"/>
              </w:rPr>
              <w:t>1</w:t>
            </w:r>
            <w:r>
              <w:rPr>
                <w:rFonts w:ascii="宋体" w:hAnsi="宋体" w:eastAsia="宋体"/>
                <w:szCs w:val="21"/>
              </w:rPr>
              <w:t>T</w:t>
            </w:r>
            <w:r>
              <w:rPr>
                <w:rFonts w:hint="eastAsia" w:ascii="宋体" w:hAnsi="宋体" w:eastAsia="宋体"/>
                <w:szCs w:val="21"/>
              </w:rPr>
              <w:t>固态硬盘及</w:t>
            </w:r>
            <w:r>
              <w:rPr>
                <w:rFonts w:ascii="宋体" w:hAnsi="宋体" w:eastAsia="宋体"/>
                <w:szCs w:val="21"/>
              </w:rPr>
              <w:t>2T</w:t>
            </w:r>
            <w:r>
              <w:rPr>
                <w:rFonts w:hint="eastAsia" w:ascii="宋体" w:hAnsi="宋体" w:eastAsia="宋体"/>
                <w:szCs w:val="21"/>
              </w:rPr>
              <w:t>机械硬盘存储盘（企业级）；</w:t>
            </w:r>
          </w:p>
          <w:p>
            <w:pPr>
              <w:numPr>
                <w:ilvl w:val="0"/>
                <w:numId w:val="15"/>
              </w:numPr>
              <w:spacing w:line="360" w:lineRule="auto"/>
              <w:rPr>
                <w:rFonts w:ascii="宋体" w:hAnsi="宋体" w:eastAsia="宋体" w:cs="宋体"/>
                <w:szCs w:val="21"/>
              </w:rPr>
            </w:pPr>
            <w:r>
              <w:rPr>
                <w:rFonts w:hint="eastAsia" w:ascii="宋体" w:hAnsi="宋体" w:eastAsia="宋体"/>
                <w:szCs w:val="21"/>
              </w:rPr>
              <w:t>32</w:t>
            </w:r>
            <w:r>
              <w:rPr>
                <w:rFonts w:ascii="宋体" w:hAnsi="宋体" w:eastAsia="宋体"/>
                <w:szCs w:val="21"/>
              </w:rPr>
              <w:t>GB DDR5</w:t>
            </w:r>
            <w:r>
              <w:rPr>
                <w:rFonts w:hint="eastAsia" w:ascii="宋体" w:hAnsi="宋体" w:eastAsia="宋体"/>
                <w:szCs w:val="21"/>
              </w:rPr>
              <w:t>及以上内存；</w:t>
            </w:r>
          </w:p>
          <w:p>
            <w:pPr>
              <w:numPr>
                <w:ilvl w:val="0"/>
                <w:numId w:val="15"/>
              </w:numPr>
              <w:spacing w:line="360" w:lineRule="auto"/>
              <w:rPr>
                <w:rFonts w:ascii="宋体" w:hAnsi="宋体" w:eastAsia="宋体"/>
                <w:szCs w:val="21"/>
              </w:rPr>
            </w:pPr>
            <w:r>
              <w:rPr>
                <w:rFonts w:ascii="宋体" w:hAnsi="宋体" w:eastAsia="宋体"/>
                <w:szCs w:val="21"/>
              </w:rPr>
              <w:t>I7</w:t>
            </w:r>
            <w:r>
              <w:rPr>
                <w:rFonts w:hint="eastAsia" w:ascii="宋体" w:hAnsi="宋体" w:eastAsia="宋体"/>
                <w:szCs w:val="21"/>
              </w:rPr>
              <w:t>-</w:t>
            </w:r>
            <w:r>
              <w:rPr>
                <w:rFonts w:ascii="宋体" w:hAnsi="宋体" w:eastAsia="宋体"/>
                <w:szCs w:val="21"/>
              </w:rPr>
              <w:t>13</w:t>
            </w:r>
            <w:r>
              <w:rPr>
                <w:rFonts w:hint="eastAsia" w:ascii="宋体" w:hAnsi="宋体" w:eastAsia="宋体"/>
                <w:szCs w:val="21"/>
              </w:rPr>
              <w:t>代以上的英特尔中央处理器；</w:t>
            </w:r>
          </w:p>
          <w:p>
            <w:pPr>
              <w:numPr>
                <w:ilvl w:val="0"/>
                <w:numId w:val="15"/>
              </w:numPr>
              <w:spacing w:line="360" w:lineRule="auto"/>
              <w:rPr>
                <w:rFonts w:ascii="宋体" w:hAnsi="宋体" w:eastAsia="宋体" w:cs="宋体"/>
                <w:szCs w:val="21"/>
              </w:rPr>
            </w:pPr>
            <w:r>
              <w:rPr>
                <w:rFonts w:hint="eastAsia" w:ascii="宋体" w:hAnsi="宋体" w:eastAsia="宋体"/>
                <w:szCs w:val="21"/>
              </w:rPr>
              <w:t>独立显卡，显存不低于8</w:t>
            </w:r>
            <w:r>
              <w:rPr>
                <w:rFonts w:ascii="宋体" w:hAnsi="宋体" w:eastAsia="宋体"/>
                <w:szCs w:val="21"/>
              </w:rPr>
              <w:t>G</w:t>
            </w:r>
            <w:r>
              <w:rPr>
                <w:rFonts w:hint="eastAsia" w:ascii="宋体" w:hAnsi="宋体" w:eastAsia="宋体"/>
                <w:szCs w:val="21"/>
              </w:rPr>
              <w:t>；</w:t>
            </w:r>
          </w:p>
          <w:p>
            <w:pPr>
              <w:numPr>
                <w:ilvl w:val="0"/>
                <w:numId w:val="15"/>
              </w:numPr>
              <w:spacing w:line="360" w:lineRule="auto"/>
              <w:jc w:val="left"/>
              <w:rPr>
                <w:rFonts w:ascii="宋体" w:hAnsi="宋体" w:eastAsia="宋体" w:cs="宋体"/>
                <w:szCs w:val="21"/>
              </w:rPr>
            </w:pPr>
            <w:r>
              <w:rPr>
                <w:rFonts w:hint="eastAsia" w:ascii="宋体" w:hAnsi="宋体" w:eastAsia="宋体" w:cs="宋体"/>
                <w:szCs w:val="21"/>
              </w:rPr>
              <w:t>配备</w:t>
            </w:r>
            <w:r>
              <w:rPr>
                <w:rFonts w:ascii="宋体" w:hAnsi="宋体" w:eastAsia="宋体" w:cs="宋体"/>
                <w:szCs w:val="21"/>
              </w:rPr>
              <w:t>1000</w:t>
            </w:r>
            <w:r>
              <w:rPr>
                <w:rFonts w:hint="eastAsia" w:ascii="宋体" w:hAnsi="宋体" w:eastAsia="宋体" w:cs="宋体"/>
                <w:szCs w:val="21"/>
              </w:rPr>
              <w:t>兆</w:t>
            </w:r>
            <w:r>
              <w:rPr>
                <w:rFonts w:ascii="宋体" w:hAnsi="宋体" w:eastAsia="宋体" w:cs="宋体"/>
                <w:szCs w:val="21"/>
              </w:rPr>
              <w:t>/</w:t>
            </w:r>
            <w:r>
              <w:rPr>
                <w:rFonts w:hint="eastAsia" w:ascii="宋体" w:hAnsi="宋体" w:eastAsia="宋体" w:cs="宋体"/>
                <w:szCs w:val="21"/>
              </w:rPr>
              <w:t>秒的以太网口；</w:t>
            </w:r>
          </w:p>
          <w:p>
            <w:pPr>
              <w:numPr>
                <w:ilvl w:val="0"/>
                <w:numId w:val="16"/>
              </w:numPr>
              <w:spacing w:line="360" w:lineRule="auto"/>
              <w:jc w:val="left"/>
              <w:rPr>
                <w:rFonts w:hint="eastAsia" w:ascii="宋体" w:hAnsi="宋体" w:eastAsia="宋体" w:cs="宋体"/>
                <w:b w:val="0"/>
                <w:sz w:val="21"/>
                <w:szCs w:val="21"/>
                <w:lang w:eastAsia="zh-CN"/>
              </w:rPr>
            </w:pPr>
            <w:r>
              <w:rPr>
                <w:rFonts w:hint="eastAsia" w:ascii="宋体" w:hAnsi="宋体" w:eastAsia="宋体" w:cs="宋体"/>
                <w:szCs w:val="21"/>
              </w:rPr>
              <w:t>无线键鼠套装；</w:t>
            </w:r>
          </w:p>
          <w:p>
            <w:pPr>
              <w:numPr>
                <w:ilvl w:val="0"/>
                <w:numId w:val="16"/>
              </w:numPr>
              <w:spacing w:line="360" w:lineRule="auto"/>
              <w:jc w:val="left"/>
              <w:rPr>
                <w:rFonts w:hint="default" w:ascii="宋体" w:hAnsi="宋体" w:eastAsia="宋体"/>
                <w:sz w:val="21"/>
                <w:szCs w:val="21"/>
                <w:lang w:val="en-US"/>
              </w:rPr>
            </w:pPr>
            <w:r>
              <w:rPr>
                <w:rFonts w:hint="eastAsia" w:hAnsi="宋体" w:eastAsia="宋体" w:cs="Arial"/>
                <w:szCs w:val="21"/>
              </w:rPr>
              <w:t>计算机</w:t>
            </w:r>
            <w:r>
              <w:rPr>
                <w:rFonts w:hint="eastAsia" w:hAnsi="宋体" w:eastAsia="宋体"/>
                <w:szCs w:val="21"/>
              </w:rPr>
              <w:t>软件（L</w:t>
            </w:r>
            <w:r>
              <w:rPr>
                <w:rFonts w:hAnsi="宋体" w:eastAsia="宋体"/>
                <w:szCs w:val="21"/>
              </w:rPr>
              <w:t>INUX</w:t>
            </w:r>
            <w:r>
              <w:rPr>
                <w:rFonts w:hint="eastAsia" w:hAnsi="宋体" w:eastAsia="宋体"/>
                <w:szCs w:val="21"/>
              </w:rPr>
              <w:t>操作系统或者</w:t>
            </w:r>
            <w:r>
              <w:rPr>
                <w:rFonts w:hAnsi="宋体" w:eastAsia="宋体"/>
                <w:szCs w:val="21"/>
              </w:rPr>
              <w:t>Microsoft WINDOWS 10</w:t>
            </w:r>
            <w:r>
              <w:rPr>
                <w:rFonts w:hint="eastAsia" w:hAnsi="宋体" w:eastAsia="宋体"/>
                <w:szCs w:val="21"/>
                <w:lang w:val="en-US" w:eastAsia="zh-CN"/>
              </w:rPr>
              <w:t>及以上</w:t>
            </w:r>
            <w:r>
              <w:rPr>
                <w:rFonts w:hint="eastAsia" w:hAnsi="宋体" w:eastAsia="宋体"/>
                <w:szCs w:val="21"/>
              </w:rPr>
              <w:t>操作系统专业版，提供</w:t>
            </w:r>
            <w:r>
              <w:rPr>
                <w:rFonts w:hAnsi="宋体" w:eastAsia="宋体"/>
                <w:szCs w:val="21"/>
              </w:rPr>
              <w:t>Microsoft office</w:t>
            </w:r>
            <w:r>
              <w:rPr>
                <w:rFonts w:hint="eastAsia" w:hAnsi="宋体" w:eastAsia="宋体"/>
                <w:szCs w:val="21"/>
              </w:rPr>
              <w:t>办公软件等相关应用程序）</w:t>
            </w:r>
            <w:r>
              <w:rPr>
                <w:rFonts w:hint="eastAsia" w:hAnsi="宋体" w:eastAsia="宋体"/>
                <w:szCs w:val="21"/>
                <w:lang w:eastAsia="zh-CN"/>
              </w:rPr>
              <w:t>；</w:t>
            </w:r>
          </w:p>
          <w:p>
            <w:pPr>
              <w:numPr>
                <w:ilvl w:val="0"/>
                <w:numId w:val="16"/>
              </w:numPr>
              <w:spacing w:line="360" w:lineRule="auto"/>
              <w:jc w:val="left"/>
              <w:rPr>
                <w:rFonts w:hint="default" w:ascii="宋体" w:hAnsi="宋体" w:eastAsia="宋体"/>
                <w:sz w:val="21"/>
                <w:szCs w:val="21"/>
                <w:lang w:val="en-US"/>
              </w:rPr>
            </w:pPr>
            <w:r>
              <w:rPr>
                <w:rFonts w:hint="eastAsia" w:hAnsi="宋体" w:eastAsia="宋体"/>
                <w:color w:val="000000" w:themeColor="text1"/>
                <w:sz w:val="21"/>
                <w:szCs w:val="21"/>
                <w:lang w:val="en-US" w:eastAsia="zh-CN"/>
                <w14:textFill>
                  <w14:solidFill>
                    <w14:schemeClr w14:val="tx1"/>
                  </w14:solidFill>
                </w14:textFill>
              </w:rPr>
              <w:t>配备主流激光打印机。</w:t>
            </w:r>
          </w:p>
          <w:p>
            <w:pPr>
              <w:pStyle w:val="17"/>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eastAsia" w:ascii="Times New Roman" w:hAnsi="Times New Roman" w:eastAsia="宋体" w:cs="Times New Roman"/>
                <w:b w:val="0"/>
                <w:kern w:val="2"/>
                <w:sz w:val="21"/>
                <w:szCs w:val="20"/>
                <w:lang w:val="en-US" w:eastAsia="zh-CN" w:bidi="ar-SA"/>
              </w:rPr>
            </w:pPr>
            <w:r>
              <w:rPr>
                <w:rFonts w:hint="eastAsia"/>
                <w:b w:val="0"/>
                <w:lang w:val="en-US" w:eastAsia="zh-CN"/>
              </w:rPr>
              <w:t>7</w:t>
            </w:r>
          </w:p>
        </w:tc>
        <w:tc>
          <w:tcPr>
            <w:tcW w:w="605" w:type="pct"/>
            <w:noWrap w:val="0"/>
            <w:vAlign w:val="center"/>
          </w:tcPr>
          <w:p>
            <w:pPr>
              <w:pStyle w:val="118"/>
              <w:jc w:val="center"/>
              <w:rPr>
                <w:rFonts w:hint="default" w:ascii="宋体" w:hAnsi="宋体" w:eastAsia="宋体" w:cs="宋体"/>
                <w:b w:val="0"/>
                <w:kern w:val="2"/>
                <w:sz w:val="21"/>
                <w:szCs w:val="20"/>
                <w:lang w:val="en-US" w:eastAsia="zh-CN" w:bidi="ar-SA"/>
              </w:rPr>
            </w:pPr>
            <w:r>
              <w:rPr>
                <w:rFonts w:hint="eastAsia" w:ascii="宋体" w:hAnsi="宋体" w:cs="宋体"/>
                <w:b w:val="0"/>
                <w:lang w:val="en-US" w:eastAsia="zh-CN"/>
              </w:rPr>
              <w:t>动力油源</w:t>
            </w:r>
          </w:p>
        </w:tc>
        <w:tc>
          <w:tcPr>
            <w:tcW w:w="3973" w:type="pct"/>
            <w:noWrap w:val="0"/>
            <w:vAlign w:val="top"/>
          </w:tcPr>
          <w:p>
            <w:pPr>
              <w:numPr>
                <w:ilvl w:val="0"/>
                <w:numId w:val="17"/>
              </w:numPr>
              <w:spacing w:line="360" w:lineRule="auto"/>
              <w:rPr>
                <w:rFonts w:ascii="宋体" w:hAnsi="宋体" w:eastAsia="宋体"/>
                <w:szCs w:val="21"/>
              </w:rPr>
            </w:pPr>
            <w:r>
              <w:rPr>
                <w:rFonts w:hint="eastAsia" w:ascii="宋体" w:hAnsi="宋体" w:eastAsia="宋体"/>
                <w:szCs w:val="21"/>
              </w:rPr>
              <w:t>投标方提供</w:t>
            </w:r>
            <w:r>
              <w:rPr>
                <w:rFonts w:hint="eastAsia" w:ascii="宋体" w:hAnsi="宋体" w:eastAsia="宋体"/>
                <w:szCs w:val="21"/>
                <w:lang w:val="en-US" w:eastAsia="zh-CN"/>
              </w:rPr>
              <w:t>减振器</w:t>
            </w:r>
            <w:r>
              <w:rPr>
                <w:rFonts w:hint="eastAsia" w:ascii="宋体" w:hAnsi="宋体" w:eastAsia="宋体"/>
                <w:szCs w:val="21"/>
              </w:rPr>
              <w:t>试验台所需的动力</w:t>
            </w:r>
            <w:r>
              <w:rPr>
                <w:rFonts w:hint="eastAsia" w:ascii="宋体" w:hAnsi="宋体" w:eastAsia="宋体"/>
                <w:szCs w:val="21"/>
                <w:lang w:val="en-US" w:eastAsia="zh-CN"/>
              </w:rPr>
              <w:t>油</w:t>
            </w:r>
            <w:r>
              <w:rPr>
                <w:rFonts w:hint="eastAsia" w:ascii="宋体" w:hAnsi="宋体" w:eastAsia="宋体"/>
                <w:szCs w:val="21"/>
              </w:rPr>
              <w:t>源及其它辅助系统（若需），运行可靠，动力源及其它辅助系统（若需）能满足招标方提供的工作环境要求；</w:t>
            </w:r>
          </w:p>
          <w:p>
            <w:pPr>
              <w:numPr>
                <w:ilvl w:val="0"/>
                <w:numId w:val="17"/>
              </w:numPr>
              <w:spacing w:line="360" w:lineRule="auto"/>
              <w:rPr>
                <w:rFonts w:ascii="宋体" w:hAnsi="宋体" w:eastAsia="宋体"/>
                <w:szCs w:val="21"/>
              </w:rPr>
            </w:pPr>
            <w:r>
              <w:rPr>
                <w:rFonts w:hint="eastAsia" w:ascii="宋体" w:hAnsi="宋体" w:eastAsia="宋体"/>
                <w:szCs w:val="21"/>
              </w:rPr>
              <w:t>液压系统的要求如下：</w:t>
            </w:r>
          </w:p>
          <w:p>
            <w:pPr>
              <w:numPr>
                <w:ilvl w:val="1"/>
                <w:numId w:val="17"/>
              </w:numPr>
              <w:spacing w:line="360" w:lineRule="auto"/>
              <w:rPr>
                <w:rFonts w:ascii="宋体" w:hAnsi="宋体" w:eastAsia="宋体"/>
                <w:szCs w:val="21"/>
              </w:rPr>
            </w:pPr>
            <w:r>
              <w:rPr>
                <w:rFonts w:hint="eastAsia" w:ascii="宋体" w:hAnsi="宋体" w:eastAsia="宋体"/>
                <w:szCs w:val="21"/>
              </w:rPr>
              <w:t>液压油应使用国内便于采购的主流品牌和型号，由投标方提供调试及初次正常工作（含冲洗）所需的液压油；</w:t>
            </w:r>
          </w:p>
          <w:p>
            <w:pPr>
              <w:numPr>
                <w:ilvl w:val="1"/>
                <w:numId w:val="17"/>
              </w:numPr>
              <w:spacing w:line="360" w:lineRule="auto"/>
              <w:rPr>
                <w:rFonts w:ascii="宋体" w:hAnsi="宋体" w:eastAsia="宋体"/>
                <w:szCs w:val="21"/>
              </w:rPr>
            </w:pPr>
            <w:r>
              <w:rPr>
                <w:rFonts w:hint="eastAsia" w:ascii="宋体" w:hAnsi="宋体" w:eastAsia="宋体"/>
                <w:szCs w:val="21"/>
              </w:rPr>
              <w:t>投标方根据招标方试验室情况，负责提供满足</w:t>
            </w:r>
            <w:r>
              <w:rPr>
                <w:rFonts w:hint="eastAsia" w:ascii="宋体" w:hAnsi="宋体" w:eastAsia="宋体"/>
                <w:szCs w:val="21"/>
                <w:lang w:val="en-US" w:eastAsia="zh-CN"/>
              </w:rPr>
              <w:t>减振器</w:t>
            </w:r>
            <w:r>
              <w:rPr>
                <w:rFonts w:hint="eastAsia" w:ascii="宋体" w:hAnsi="宋体" w:eastAsia="宋体"/>
                <w:szCs w:val="21"/>
              </w:rPr>
              <w:t>试验台内部各设备间所需的液压油管，保证试验安全、可靠运行；</w:t>
            </w:r>
          </w:p>
          <w:p>
            <w:pPr>
              <w:numPr>
                <w:ilvl w:val="1"/>
                <w:numId w:val="17"/>
              </w:numPr>
              <w:spacing w:line="360" w:lineRule="auto"/>
              <w:rPr>
                <w:rFonts w:ascii="宋体" w:hAnsi="宋体" w:eastAsia="宋体"/>
                <w:szCs w:val="21"/>
              </w:rPr>
            </w:pPr>
            <w:r>
              <w:rPr>
                <w:rFonts w:hint="eastAsia" w:ascii="宋体" w:hAnsi="宋体" w:eastAsia="宋体"/>
                <w:szCs w:val="21"/>
              </w:rPr>
              <w:t>所配置的液压泵须为静音泵站，噪声≤</w:t>
            </w:r>
            <w:r>
              <w:rPr>
                <w:rFonts w:hint="eastAsia" w:ascii="宋体" w:hAnsi="宋体" w:eastAsia="宋体"/>
                <w:szCs w:val="21"/>
                <w:lang w:val="en-US" w:eastAsia="zh-CN"/>
              </w:rPr>
              <w:t>68</w:t>
            </w:r>
            <w:r>
              <w:rPr>
                <w:rFonts w:hint="eastAsia" w:ascii="宋体" w:hAnsi="宋体" w:eastAsia="宋体"/>
                <w:szCs w:val="21"/>
              </w:rPr>
              <w:t>dB（A），流量可满足试验需求；</w:t>
            </w:r>
          </w:p>
          <w:p>
            <w:pPr>
              <w:numPr>
                <w:ilvl w:val="1"/>
                <w:numId w:val="17"/>
              </w:numPr>
              <w:spacing w:line="360" w:lineRule="auto"/>
              <w:rPr>
                <w:rFonts w:ascii="宋体" w:hAnsi="宋体" w:eastAsia="宋体"/>
                <w:szCs w:val="21"/>
              </w:rPr>
            </w:pPr>
            <w:r>
              <w:rPr>
                <w:rFonts w:hint="eastAsia" w:ascii="宋体" w:hAnsi="宋体" w:eastAsia="宋体"/>
                <w:szCs w:val="21"/>
              </w:rPr>
              <w:t>管路系统安装力求整齐、弯曲少，软管不得出现压扁、折叠和扭曲现象，</w:t>
            </w:r>
            <w:r>
              <w:rPr>
                <w:rFonts w:hint="eastAsia" w:ascii="宋体" w:hAnsi="宋体" w:eastAsia="宋体"/>
                <w:szCs w:val="21"/>
                <w:lang w:val="en-US" w:eastAsia="zh-CN"/>
              </w:rPr>
              <w:t>必要时可采用硬管；</w:t>
            </w:r>
            <w:r>
              <w:rPr>
                <w:rFonts w:hint="eastAsia" w:ascii="宋体" w:hAnsi="宋体" w:eastAsia="宋体"/>
                <w:szCs w:val="21"/>
              </w:rPr>
              <w:t>管路承压能力应能够在招标方提供的工作环境下满足设备运行及安全要求（需提供照片或设计图纸等相关证明）；</w:t>
            </w:r>
          </w:p>
          <w:p>
            <w:pPr>
              <w:pStyle w:val="17"/>
              <w:numPr>
                <w:ilvl w:val="0"/>
                <w:numId w:val="17"/>
              </w:numPr>
              <w:spacing w:line="360" w:lineRule="auto"/>
              <w:rPr>
                <w:rFonts w:hAnsi="宋体" w:eastAsia="宋体"/>
                <w:szCs w:val="21"/>
              </w:rPr>
            </w:pPr>
            <w:r>
              <w:rPr>
                <w:rFonts w:hint="eastAsia" w:hAnsi="宋体" w:eastAsia="宋体"/>
                <w:szCs w:val="21"/>
              </w:rPr>
              <w:t>招标方负责在设备附近2</w:t>
            </w:r>
            <w:r>
              <w:rPr>
                <w:rFonts w:hAnsi="宋体" w:eastAsia="宋体"/>
                <w:szCs w:val="21"/>
              </w:rPr>
              <w:t>0</w:t>
            </w:r>
            <w:r>
              <w:rPr>
                <w:rFonts w:hint="eastAsia" w:hAnsi="宋体" w:eastAsia="宋体"/>
                <w:szCs w:val="21"/>
              </w:rPr>
              <w:t>米以内提供动力电配电柜、冷却水阀门等，投标方负责提供从配电柜和冷却水阀门到设备之间所需的管路、线缆</w:t>
            </w:r>
            <w:r>
              <w:rPr>
                <w:rFonts w:hint="eastAsia" w:hAnsi="宋体" w:eastAsia="宋体"/>
                <w:szCs w:val="21"/>
                <w:lang w:eastAsia="zh-CN"/>
              </w:rPr>
              <w:t>、</w:t>
            </w:r>
            <w:r>
              <w:rPr>
                <w:rFonts w:hint="eastAsia" w:hAnsi="宋体" w:eastAsia="宋体"/>
                <w:szCs w:val="21"/>
                <w:lang w:val="en-US" w:eastAsia="zh-CN"/>
              </w:rPr>
              <w:t>桥架</w:t>
            </w:r>
            <w:r>
              <w:rPr>
                <w:rFonts w:hint="eastAsia" w:hAnsi="宋体" w:eastAsia="宋体"/>
                <w:szCs w:val="21"/>
              </w:rPr>
              <w:t>等材料和施工</w:t>
            </w:r>
            <w:r>
              <w:rPr>
                <w:rFonts w:hint="eastAsia" w:hAnsi="宋体" w:eastAsia="宋体"/>
                <w:szCs w:val="21"/>
                <w:lang w:eastAsia="zh-CN"/>
              </w:rPr>
              <w:t>，</w:t>
            </w:r>
            <w:r>
              <w:rPr>
                <w:rFonts w:hint="eastAsia" w:hAnsi="宋体" w:eastAsia="宋体"/>
                <w:szCs w:val="21"/>
                <w:lang w:val="en-US" w:eastAsia="zh-CN"/>
              </w:rPr>
              <w:t>若有地面施工需负责恢复地面</w:t>
            </w:r>
            <w:r>
              <w:rPr>
                <w:rFonts w:hint="eastAsia" w:hAnsi="宋体" w:eastAsia="宋体"/>
                <w:szCs w:val="21"/>
              </w:rPr>
              <w:t>，并在合同签订后提供所需水、电参数要求和方案；</w:t>
            </w:r>
          </w:p>
          <w:p>
            <w:pPr>
              <w:pStyle w:val="17"/>
              <w:numPr>
                <w:ilvl w:val="0"/>
                <w:numId w:val="17"/>
              </w:numPr>
              <w:spacing w:line="360" w:lineRule="auto"/>
              <w:rPr>
                <w:rFonts w:hAnsi="宋体" w:eastAsia="宋体"/>
                <w:szCs w:val="21"/>
              </w:rPr>
            </w:pPr>
            <w:r>
              <w:rPr>
                <w:rFonts w:hint="eastAsia" w:hAnsi="宋体" w:eastAsia="宋体"/>
                <w:szCs w:val="21"/>
              </w:rPr>
              <w:t>泵站或电机等应有良好的隔振设计，不得影响设备测量精度；</w:t>
            </w:r>
          </w:p>
          <w:p>
            <w:pPr>
              <w:pStyle w:val="17"/>
              <w:numPr>
                <w:ilvl w:val="0"/>
                <w:numId w:val="17"/>
              </w:numPr>
              <w:spacing w:line="360" w:lineRule="auto"/>
              <w:rPr>
                <w:rFonts w:hint="default" w:ascii="宋体" w:hAnsi="宋体" w:eastAsia="宋体" w:cs="宋体"/>
                <w:b w:val="0"/>
                <w:kern w:val="2"/>
                <w:sz w:val="21"/>
                <w:szCs w:val="20"/>
                <w:lang w:val="en-US" w:eastAsia="zh-CN" w:bidi="ar-SA"/>
              </w:rPr>
            </w:pPr>
            <w:r>
              <w:rPr>
                <w:rFonts w:hint="eastAsia" w:hAnsi="宋体" w:eastAsia="宋体"/>
                <w:szCs w:val="21"/>
                <w:lang w:val="en-US" w:eastAsia="zh-CN"/>
              </w:rPr>
              <w:t>可</w:t>
            </w:r>
            <w:r>
              <w:rPr>
                <w:rFonts w:hint="eastAsia" w:hAnsi="宋体" w:eastAsia="宋体"/>
                <w:szCs w:val="21"/>
              </w:rPr>
              <w:t>连接至控制器进行远程控制。</w:t>
            </w:r>
          </w:p>
          <w:p>
            <w:pPr>
              <w:pStyle w:val="17"/>
              <w:numPr>
                <w:ilvl w:val="0"/>
                <w:numId w:val="17"/>
              </w:numPr>
              <w:spacing w:line="360" w:lineRule="auto"/>
              <w:rPr>
                <w:rFonts w:hint="default" w:ascii="宋体" w:hAnsi="宋体" w:eastAsia="宋体" w:cs="宋体"/>
                <w:b w:val="0"/>
                <w:kern w:val="2"/>
                <w:sz w:val="21"/>
                <w:szCs w:val="20"/>
                <w:lang w:val="en-US" w:eastAsia="zh-CN" w:bidi="ar-SA"/>
              </w:rPr>
            </w:pPr>
            <w:r>
              <w:rPr>
                <w:rFonts w:hint="eastAsia" w:ascii="宋体" w:hAnsi="宋体" w:eastAsia="宋体"/>
                <w:color w:val="auto"/>
                <w:szCs w:val="21"/>
              </w:rPr>
              <w:t>★</w:t>
            </w:r>
            <w:r>
              <w:rPr>
                <w:rFonts w:hint="eastAsia" w:hAnsi="宋体" w:eastAsia="宋体" w:cs="宋体"/>
                <w:color w:val="auto"/>
                <w:kern w:val="2"/>
                <w:sz w:val="21"/>
                <w:szCs w:val="21"/>
                <w:highlight w:val="none"/>
                <w:lang w:val="en-US" w:eastAsia="zh-CN" w:bidi="ar-SA"/>
              </w:rPr>
              <w:t>电机功率7.5kW（含）以上，能效需为一</w:t>
            </w:r>
            <w:r>
              <w:rPr>
                <w:rFonts w:hint="eastAsia" w:ascii="宋体" w:hAnsi="宋体" w:eastAsia="宋体" w:cs="宋体"/>
                <w:color w:val="auto"/>
                <w:kern w:val="2"/>
                <w:sz w:val="21"/>
                <w:szCs w:val="21"/>
                <w:highlight w:val="none"/>
                <w:lang w:val="en-US" w:eastAsia="zh-CN" w:bidi="ar-SA"/>
              </w:rPr>
              <w:t>级能</w:t>
            </w:r>
            <w:r>
              <w:rPr>
                <w:rFonts w:hint="eastAsia" w:hAnsi="宋体" w:eastAsia="宋体" w:cs="宋体"/>
                <w:color w:val="auto"/>
                <w:kern w:val="2"/>
                <w:sz w:val="21"/>
                <w:szCs w:val="21"/>
                <w:highlight w:val="none"/>
                <w:lang w:val="en-US" w:eastAsia="zh-CN" w:bidi="ar-SA"/>
              </w:rPr>
              <w:t>效，7.5kW以下，不低于二级能效。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eastAsia="宋体"/>
                <w:b w:val="0"/>
                <w:lang w:val="en-US" w:eastAsia="zh-CN"/>
              </w:rPr>
            </w:pPr>
            <w:r>
              <w:rPr>
                <w:rFonts w:hint="eastAsia"/>
                <w:b w:val="0"/>
                <w:lang w:val="en-US" w:eastAsia="zh-CN"/>
              </w:rPr>
              <w:t>8</w:t>
            </w:r>
          </w:p>
        </w:tc>
        <w:tc>
          <w:tcPr>
            <w:tcW w:w="605" w:type="pct"/>
            <w:noWrap w:val="0"/>
            <w:vAlign w:val="center"/>
          </w:tcPr>
          <w:p>
            <w:pPr>
              <w:pStyle w:val="118"/>
              <w:jc w:val="center"/>
              <w:rPr>
                <w:rFonts w:hint="default" w:ascii="宋体" w:hAnsi="宋体" w:eastAsia="宋体" w:cs="宋体"/>
                <w:b w:val="0"/>
                <w:lang w:val="en-US" w:eastAsia="zh-CN"/>
              </w:rPr>
            </w:pPr>
            <w:r>
              <w:rPr>
                <w:rFonts w:hint="eastAsia" w:ascii="宋体" w:hAnsi="宋体" w:cs="宋体"/>
                <w:b w:val="0"/>
                <w:lang w:val="en-US" w:eastAsia="zh-CN"/>
              </w:rPr>
              <w:t>分油器（含高性能蓄能器）</w:t>
            </w:r>
          </w:p>
        </w:tc>
        <w:tc>
          <w:tcPr>
            <w:tcW w:w="3973" w:type="pct"/>
            <w:noWrap w:val="0"/>
            <w:vAlign w:val="top"/>
          </w:tcPr>
          <w:p>
            <w:pPr>
              <w:pStyle w:val="129"/>
              <w:numPr>
                <w:ilvl w:val="0"/>
                <w:numId w:val="18"/>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控制压力启停，高压-低压切换；</w:t>
            </w:r>
          </w:p>
          <w:p>
            <w:pPr>
              <w:pStyle w:val="129"/>
              <w:numPr>
                <w:ilvl w:val="0"/>
                <w:numId w:val="18"/>
              </w:numPr>
              <w:spacing w:line="360" w:lineRule="auto"/>
              <w:ind w:left="0" w:leftChars="0" w:firstLine="0" w:firstLineChars="0"/>
              <w:rPr>
                <w:rFonts w:hint="default" w:ascii="宋体" w:hAnsi="宋体"/>
                <w:b w:val="0"/>
                <w:szCs w:val="21"/>
                <w:lang w:val="en-US" w:eastAsia="zh-CN"/>
              </w:rPr>
            </w:pPr>
            <w:r>
              <w:rPr>
                <w:rFonts w:hint="eastAsia" w:ascii="宋体" w:hAnsi="宋体" w:eastAsia="宋体"/>
                <w:sz w:val="21"/>
                <w:szCs w:val="21"/>
                <w:lang w:val="en-US" w:eastAsia="zh-CN"/>
              </w:rPr>
              <w:t>包含全流量回路泄压阀；</w:t>
            </w:r>
          </w:p>
          <w:p>
            <w:pPr>
              <w:pStyle w:val="129"/>
              <w:numPr>
                <w:ilvl w:val="0"/>
                <w:numId w:val="18"/>
              </w:numPr>
              <w:spacing w:line="360" w:lineRule="auto"/>
              <w:ind w:left="0" w:leftChars="0" w:firstLine="0" w:firstLineChars="0"/>
              <w:rPr>
                <w:rFonts w:hint="default" w:ascii="宋体" w:hAnsi="宋体"/>
                <w:b w:val="0"/>
                <w:szCs w:val="21"/>
                <w:lang w:val="en-US" w:eastAsia="zh-CN"/>
              </w:rPr>
            </w:pPr>
            <w:r>
              <w:rPr>
                <w:rFonts w:hint="eastAsia" w:ascii="宋体" w:hAnsi="宋体" w:eastAsia="宋体"/>
                <w:sz w:val="21"/>
                <w:szCs w:val="21"/>
                <w:lang w:val="en-US" w:eastAsia="zh-CN"/>
              </w:rPr>
              <w:t>与地板固定支座安装；</w:t>
            </w:r>
          </w:p>
          <w:p>
            <w:pPr>
              <w:pStyle w:val="129"/>
              <w:numPr>
                <w:ilvl w:val="0"/>
                <w:numId w:val="18"/>
              </w:numPr>
              <w:spacing w:line="360" w:lineRule="auto"/>
              <w:ind w:left="0" w:leftChars="0" w:firstLine="0" w:firstLineChars="0"/>
              <w:rPr>
                <w:rFonts w:hint="default" w:ascii="宋体" w:hAnsi="宋体"/>
                <w:b w:val="0"/>
                <w:szCs w:val="21"/>
                <w:lang w:val="en-US" w:eastAsia="zh-CN"/>
              </w:rPr>
            </w:pPr>
            <w:r>
              <w:rPr>
                <w:rFonts w:hint="eastAsia" w:ascii="宋体" w:hAnsi="宋体" w:eastAsia="宋体"/>
                <w:sz w:val="21"/>
                <w:szCs w:val="21"/>
                <w:lang w:val="en-US" w:eastAsia="zh-CN"/>
              </w:rPr>
              <w:t>蓄能器认证合格证书；</w:t>
            </w:r>
          </w:p>
          <w:p>
            <w:pPr>
              <w:pStyle w:val="129"/>
              <w:numPr>
                <w:ilvl w:val="0"/>
                <w:numId w:val="18"/>
              </w:numPr>
              <w:spacing w:line="360" w:lineRule="auto"/>
              <w:ind w:left="0" w:leftChars="0" w:firstLine="0" w:firstLineChars="0"/>
              <w:rPr>
                <w:rFonts w:hint="default" w:ascii="宋体" w:hAnsi="宋体"/>
                <w:b w:val="0"/>
                <w:szCs w:val="21"/>
                <w:lang w:val="en-US" w:eastAsia="zh-CN"/>
              </w:rPr>
            </w:pPr>
            <w:r>
              <w:rPr>
                <w:rFonts w:hint="eastAsia" w:ascii="宋体" w:hAnsi="宋体" w:eastAsia="宋体"/>
                <w:sz w:val="21"/>
                <w:szCs w:val="21"/>
                <w:lang w:val="en-US" w:eastAsia="zh-CN"/>
              </w:rPr>
              <w:t>配备一套压力检验工具和充氮工具套装；</w:t>
            </w:r>
          </w:p>
          <w:p>
            <w:pPr>
              <w:pStyle w:val="129"/>
              <w:numPr>
                <w:ilvl w:val="0"/>
                <w:numId w:val="18"/>
              </w:numPr>
              <w:spacing w:line="360" w:lineRule="auto"/>
              <w:ind w:left="0" w:leftChars="0" w:firstLine="0" w:firstLineChars="0"/>
              <w:rPr>
                <w:rFonts w:hint="default" w:ascii="宋体" w:hAnsi="宋体"/>
                <w:b w:val="0"/>
                <w:szCs w:val="21"/>
                <w:lang w:val="en-US" w:eastAsia="zh-CN"/>
              </w:rPr>
            </w:pPr>
            <w:r>
              <w:rPr>
                <w:rFonts w:ascii="宋体" w:hAnsi="宋体" w:eastAsia="宋体" w:cs="宋体"/>
                <w:sz w:val="24"/>
                <w:szCs w:val="24"/>
              </w:rPr>
              <w:t>根据蓄能器类别需要提供登记备案注册文件</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lang w:val="en-US" w:eastAsia="zh-CN"/>
              </w:rPr>
            </w:pPr>
            <w:r>
              <w:rPr>
                <w:rFonts w:hint="eastAsia"/>
                <w:b w:val="0"/>
                <w:lang w:val="en-US" w:eastAsia="zh-CN"/>
              </w:rPr>
              <w:t>9</w:t>
            </w:r>
          </w:p>
        </w:tc>
        <w:tc>
          <w:tcPr>
            <w:tcW w:w="605" w:type="pct"/>
            <w:noWrap w:val="0"/>
            <w:vAlign w:val="center"/>
          </w:tcPr>
          <w:p>
            <w:pPr>
              <w:pStyle w:val="118"/>
              <w:jc w:val="center"/>
              <w:rPr>
                <w:rFonts w:hint="eastAsia" w:ascii="宋体" w:hAnsi="宋体" w:eastAsia="宋体" w:cs="宋体"/>
                <w:b w:val="0"/>
                <w:kern w:val="2"/>
                <w:sz w:val="21"/>
                <w:szCs w:val="20"/>
                <w:lang w:val="en-US" w:eastAsia="zh-CN" w:bidi="ar-SA"/>
              </w:rPr>
            </w:pPr>
            <w:r>
              <w:rPr>
                <w:rFonts w:hint="eastAsia" w:ascii="宋体" w:hAnsi="宋体" w:cs="宋体"/>
                <w:b w:val="0"/>
                <w:lang w:val="en-US" w:eastAsia="zh-CN"/>
              </w:rPr>
              <w:t>软管</w:t>
            </w:r>
          </w:p>
        </w:tc>
        <w:tc>
          <w:tcPr>
            <w:tcW w:w="3973" w:type="pct"/>
            <w:noWrap w:val="0"/>
            <w:vAlign w:val="top"/>
          </w:tcPr>
          <w:p>
            <w:pPr>
              <w:pStyle w:val="129"/>
              <w:numPr>
                <w:ilvl w:val="0"/>
                <w:numId w:val="19"/>
              </w:numPr>
              <w:spacing w:line="360" w:lineRule="auto"/>
              <w:ind w:left="0" w:leftChars="0" w:firstLine="0" w:firstLineChars="0"/>
              <w:rPr>
                <w:rFonts w:hint="default" w:ascii="宋体" w:hAnsi="宋体"/>
                <w:b w:val="0"/>
                <w:szCs w:val="21"/>
                <w:lang w:val="en-US" w:eastAsia="zh-CN"/>
              </w:rPr>
            </w:pPr>
            <w:r>
              <w:rPr>
                <w:rFonts w:hint="eastAsia" w:ascii="宋体" w:hAnsi="宋体" w:eastAsia="宋体"/>
                <w:sz w:val="21"/>
                <w:szCs w:val="21"/>
                <w:lang w:val="en-US" w:eastAsia="zh-CN"/>
              </w:rPr>
              <w:t>满足系统额定工作压力；</w:t>
            </w:r>
          </w:p>
          <w:p>
            <w:pPr>
              <w:pStyle w:val="129"/>
              <w:numPr>
                <w:ilvl w:val="0"/>
                <w:numId w:val="19"/>
              </w:numPr>
              <w:spacing w:line="360" w:lineRule="auto"/>
              <w:ind w:left="0" w:leftChars="0" w:firstLine="0" w:firstLineChars="0"/>
              <w:rPr>
                <w:rFonts w:hint="eastAsia" w:ascii="宋体" w:hAnsi="宋体" w:eastAsiaTheme="minorEastAsia" w:cstheme="minorBidi"/>
                <w:b w:val="0"/>
                <w:kern w:val="2"/>
                <w:sz w:val="21"/>
                <w:szCs w:val="21"/>
                <w:lang w:val="en-US" w:eastAsia="zh-CN" w:bidi="ar-SA"/>
              </w:rPr>
            </w:pPr>
            <w:r>
              <w:rPr>
                <w:rFonts w:hint="eastAsia" w:ascii="宋体" w:hAnsi="宋体" w:eastAsia="宋体"/>
                <w:sz w:val="21"/>
                <w:szCs w:val="21"/>
                <w:lang w:val="en-US" w:eastAsia="zh-CN"/>
              </w:rPr>
              <w:t>满足压力耐压测试及管路冲洗需要。</w:t>
            </w:r>
          </w:p>
          <w:p>
            <w:pPr>
              <w:pStyle w:val="129"/>
              <w:numPr>
                <w:ilvl w:val="0"/>
                <w:numId w:val="19"/>
              </w:numPr>
              <w:spacing w:line="360" w:lineRule="auto"/>
              <w:ind w:left="0" w:leftChars="0" w:firstLine="0" w:firstLineChars="0"/>
              <w:rPr>
                <w:rFonts w:hint="eastAsia" w:ascii="宋体" w:hAnsi="宋体" w:eastAsiaTheme="minorEastAsia" w:cstheme="minorBidi"/>
                <w:b w:val="0"/>
                <w:kern w:val="2"/>
                <w:sz w:val="21"/>
                <w:szCs w:val="21"/>
                <w:lang w:val="en-US" w:eastAsia="zh-CN" w:bidi="ar-SA"/>
              </w:rPr>
            </w:pPr>
            <w:r>
              <w:rPr>
                <w:rFonts w:hint="eastAsia" w:ascii="宋体" w:hAnsi="宋体" w:eastAsia="宋体"/>
                <w:sz w:val="21"/>
                <w:szCs w:val="21"/>
                <w:lang w:val="en-US" w:eastAsia="zh-CN"/>
              </w:rPr>
              <w:t>长度、数量按需。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eastAsia="宋体"/>
                <w:b w:val="0"/>
                <w:lang w:val="en-US" w:eastAsia="zh-CN"/>
              </w:rPr>
            </w:pPr>
            <w:r>
              <w:rPr>
                <w:rFonts w:hint="eastAsia"/>
                <w:b w:val="0"/>
                <w:lang w:val="en-US" w:eastAsia="zh-CN"/>
              </w:rPr>
              <w:t>10</w:t>
            </w:r>
          </w:p>
        </w:tc>
        <w:tc>
          <w:tcPr>
            <w:tcW w:w="605" w:type="pct"/>
            <w:noWrap w:val="0"/>
            <w:vAlign w:val="center"/>
          </w:tcPr>
          <w:p>
            <w:pPr>
              <w:pStyle w:val="118"/>
              <w:jc w:val="center"/>
              <w:rPr>
                <w:rFonts w:hint="default" w:ascii="宋体" w:hAnsi="宋体" w:eastAsia="宋体" w:cs="宋体"/>
                <w:b w:val="0"/>
                <w:kern w:val="2"/>
                <w:sz w:val="21"/>
                <w:szCs w:val="20"/>
                <w:lang w:val="en-US" w:eastAsia="zh-CN" w:bidi="ar-SA"/>
              </w:rPr>
            </w:pPr>
            <w:r>
              <w:rPr>
                <w:rFonts w:hint="eastAsia" w:ascii="宋体" w:hAnsi="宋体" w:cs="宋体"/>
                <w:b w:val="0"/>
                <w:kern w:val="2"/>
                <w:sz w:val="21"/>
                <w:szCs w:val="20"/>
                <w:lang w:val="en-US" w:eastAsia="zh-CN" w:bidi="ar-SA"/>
              </w:rPr>
              <w:t>校准服务</w:t>
            </w:r>
          </w:p>
        </w:tc>
        <w:tc>
          <w:tcPr>
            <w:tcW w:w="3973" w:type="pct"/>
            <w:noWrap w:val="0"/>
            <w:vAlign w:val="top"/>
          </w:tcPr>
          <w:p>
            <w:pPr>
              <w:pStyle w:val="129"/>
              <w:numPr>
                <w:ilvl w:val="0"/>
                <w:numId w:val="20"/>
              </w:numPr>
              <w:spacing w:line="360" w:lineRule="auto"/>
              <w:ind w:left="0" w:leftChars="0" w:firstLine="0" w:firstLineChars="0"/>
              <w:rPr>
                <w:rFonts w:ascii="宋体" w:hAnsi="宋体" w:eastAsia="宋体"/>
                <w:sz w:val="21"/>
                <w:szCs w:val="21"/>
              </w:rPr>
            </w:pPr>
            <w:r>
              <w:rPr>
                <w:rFonts w:ascii="宋体" w:hAnsi="宋体" w:eastAsia="宋体"/>
                <w:sz w:val="21"/>
                <w:szCs w:val="21"/>
              </w:rPr>
              <w:t>所有传感器在设备运装前都应该按照符合产地</w:t>
            </w:r>
            <w:r>
              <w:rPr>
                <w:rFonts w:hint="eastAsia" w:ascii="宋体" w:hAnsi="宋体" w:eastAsia="宋体"/>
                <w:sz w:val="21"/>
                <w:szCs w:val="21"/>
              </w:rPr>
              <w:t>国</w:t>
            </w:r>
            <w:r>
              <w:rPr>
                <w:rFonts w:ascii="宋体" w:hAnsi="宋体" w:eastAsia="宋体"/>
                <w:sz w:val="21"/>
                <w:szCs w:val="21"/>
              </w:rPr>
              <w:t>最高计量体系进行校准</w:t>
            </w:r>
            <w:r>
              <w:rPr>
                <w:rFonts w:hint="eastAsia" w:ascii="宋体" w:hAnsi="宋体" w:eastAsia="宋体"/>
                <w:sz w:val="21"/>
                <w:szCs w:val="21"/>
                <w:lang w:eastAsia="zh-CN"/>
              </w:rPr>
              <w:t>，</w:t>
            </w:r>
            <w:r>
              <w:rPr>
                <w:rFonts w:hint="eastAsia" w:ascii="宋体" w:hAnsi="宋体" w:eastAsia="宋体" w:cstheme="minorBidi"/>
                <w:b w:val="0"/>
                <w:kern w:val="2"/>
                <w:sz w:val="21"/>
                <w:szCs w:val="21"/>
                <w:lang w:val="en-US" w:eastAsia="zh-CN" w:bidi="ar-SA"/>
              </w:rPr>
              <w:t>提供各传感器（参数）公制单位校准证书，校准范围为满量程</w:t>
            </w:r>
            <w:r>
              <w:rPr>
                <w:rFonts w:ascii="宋体" w:hAnsi="宋体" w:eastAsia="宋体"/>
                <w:sz w:val="21"/>
                <w:szCs w:val="21"/>
              </w:rPr>
              <w:t>；</w:t>
            </w:r>
          </w:p>
          <w:p>
            <w:pPr>
              <w:pStyle w:val="129"/>
              <w:numPr>
                <w:ilvl w:val="0"/>
                <w:numId w:val="20"/>
              </w:numPr>
              <w:spacing w:line="360" w:lineRule="auto"/>
              <w:ind w:left="0" w:leftChars="0" w:firstLine="0" w:firstLineChars="0"/>
              <w:rPr>
                <w:rFonts w:hint="default" w:ascii="宋体" w:hAnsi="宋体" w:eastAsia="宋体" w:cs="宋体"/>
                <w:b w:val="0"/>
                <w:kern w:val="2"/>
                <w:sz w:val="21"/>
                <w:szCs w:val="20"/>
                <w:lang w:val="en-US" w:eastAsia="zh-CN" w:bidi="ar-SA"/>
              </w:rPr>
            </w:pPr>
            <w:r>
              <w:rPr>
                <w:rFonts w:ascii="宋体" w:hAnsi="宋体" w:eastAsia="宋体"/>
                <w:sz w:val="21"/>
                <w:szCs w:val="21"/>
              </w:rPr>
              <w:t>设备</w:t>
            </w:r>
            <w:r>
              <w:rPr>
                <w:rFonts w:hint="eastAsia" w:ascii="宋体" w:hAnsi="宋体" w:eastAsia="宋体"/>
                <w:sz w:val="21"/>
                <w:szCs w:val="21"/>
              </w:rPr>
              <w:t>安装调试完毕后应进行由</w:t>
            </w:r>
            <w:r>
              <w:rPr>
                <w:rFonts w:hint="eastAsia" w:ascii="宋体" w:hAnsi="宋体" w:eastAsia="宋体"/>
                <w:sz w:val="21"/>
                <w:szCs w:val="21"/>
                <w:lang w:val="en-US" w:eastAsia="zh-CN"/>
              </w:rPr>
              <w:t>市</w:t>
            </w:r>
            <w:r>
              <w:rPr>
                <w:rFonts w:hint="eastAsia" w:ascii="宋体" w:hAnsi="宋体" w:eastAsia="宋体"/>
                <w:sz w:val="21"/>
                <w:szCs w:val="21"/>
              </w:rPr>
              <w:t>级或</w:t>
            </w:r>
            <w:r>
              <w:rPr>
                <w:rFonts w:hint="eastAsia" w:ascii="宋体" w:hAnsi="宋体" w:eastAsia="宋体"/>
                <w:sz w:val="21"/>
                <w:szCs w:val="21"/>
                <w:lang w:val="en-US" w:eastAsia="zh-CN"/>
              </w:rPr>
              <w:t>市</w:t>
            </w:r>
            <w:r>
              <w:rPr>
                <w:rFonts w:hint="eastAsia" w:ascii="宋体" w:hAnsi="宋体" w:eastAsia="宋体"/>
                <w:sz w:val="21"/>
                <w:szCs w:val="21"/>
              </w:rPr>
              <w:t>级以上</w:t>
            </w:r>
            <w:r>
              <w:rPr>
                <w:rFonts w:hint="eastAsia" w:ascii="宋体" w:hAnsi="宋体" w:eastAsia="宋体"/>
                <w:sz w:val="21"/>
                <w:szCs w:val="21"/>
                <w:lang w:eastAsia="zh-CN"/>
              </w:rPr>
              <w:t>（</w:t>
            </w:r>
            <w:r>
              <w:rPr>
                <w:rFonts w:hint="eastAsia" w:ascii="宋体" w:hAnsi="宋体" w:eastAsia="宋体"/>
                <w:sz w:val="21"/>
                <w:szCs w:val="21"/>
                <w:lang w:val="en-US" w:eastAsia="zh-CN"/>
              </w:rPr>
              <w:t>本地优先</w:t>
            </w:r>
            <w:r>
              <w:rPr>
                <w:rFonts w:hint="eastAsia" w:ascii="宋体" w:hAnsi="宋体" w:eastAsia="宋体"/>
                <w:sz w:val="21"/>
                <w:szCs w:val="21"/>
                <w:lang w:eastAsia="zh-CN"/>
              </w:rPr>
              <w:t>）</w:t>
            </w:r>
            <w:r>
              <w:rPr>
                <w:rFonts w:hint="eastAsia" w:ascii="宋体" w:hAnsi="宋体" w:eastAsia="宋体"/>
                <w:sz w:val="21"/>
                <w:szCs w:val="21"/>
              </w:rPr>
              <w:t>的检测机构进行校准，并出具校准或检定证书</w:t>
            </w:r>
            <w:r>
              <w:rPr>
                <w:rFonts w:hint="eastAsia" w:ascii="宋体" w:hAnsi="宋体" w:eastAsia="宋体"/>
                <w:sz w:val="21"/>
                <w:szCs w:val="21"/>
                <w:lang w:eastAsia="zh-CN"/>
              </w:rPr>
              <w:t>，</w:t>
            </w:r>
            <w:r>
              <w:rPr>
                <w:rFonts w:hint="eastAsia" w:ascii="宋体" w:hAnsi="宋体" w:eastAsia="宋体"/>
                <w:sz w:val="21"/>
                <w:szCs w:val="21"/>
                <w:lang w:val="en-US" w:eastAsia="zh-CN"/>
              </w:rPr>
              <w:t>校准</w:t>
            </w:r>
            <w:r>
              <w:rPr>
                <w:rFonts w:hint="eastAsia" w:ascii="宋体" w:hAnsi="宋体" w:eastAsia="宋体" w:cstheme="minorBidi"/>
                <w:b w:val="0"/>
                <w:kern w:val="2"/>
                <w:sz w:val="21"/>
                <w:szCs w:val="21"/>
                <w:lang w:val="en-US" w:eastAsia="zh-CN" w:bidi="ar-SA"/>
              </w:rPr>
              <w:t>范围为满量程</w:t>
            </w:r>
            <w:r>
              <w:rPr>
                <w:rFonts w:hint="eastAsia" w:ascii="宋体" w:hAnsi="宋体" w:eastAsia="宋体"/>
                <w:sz w:val="21"/>
                <w:szCs w:val="21"/>
              </w:rPr>
              <w:t>；</w:t>
            </w:r>
          </w:p>
          <w:p>
            <w:pPr>
              <w:pStyle w:val="129"/>
              <w:numPr>
                <w:ilvl w:val="0"/>
                <w:numId w:val="20"/>
              </w:numPr>
              <w:spacing w:line="360" w:lineRule="auto"/>
              <w:ind w:left="0" w:leftChars="0" w:firstLine="0" w:firstLineChars="0"/>
              <w:rPr>
                <w:rFonts w:hint="default" w:ascii="宋体" w:hAnsi="宋体" w:eastAsia="宋体" w:cs="宋体"/>
                <w:b w:val="0"/>
                <w:kern w:val="2"/>
                <w:sz w:val="21"/>
                <w:szCs w:val="20"/>
                <w:lang w:val="en-US" w:eastAsia="zh-CN" w:bidi="ar-SA"/>
              </w:rPr>
            </w:pPr>
            <w:r>
              <w:rPr>
                <w:rFonts w:hint="eastAsia" w:ascii="宋体" w:hAnsi="宋体" w:eastAsia="宋体"/>
                <w:sz w:val="21"/>
                <w:szCs w:val="21"/>
              </w:rPr>
              <w:t>提供一套快速标定工具，便于招标方自行对载荷、位移传感器等进行标定。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lang w:val="en-US" w:eastAsia="zh-CN"/>
              </w:rPr>
            </w:pPr>
            <w:r>
              <w:rPr>
                <w:rFonts w:hint="eastAsia"/>
                <w:b w:val="0"/>
                <w:lang w:val="en-US" w:eastAsia="zh-CN"/>
              </w:rPr>
              <w:t>11</w:t>
            </w:r>
          </w:p>
        </w:tc>
        <w:tc>
          <w:tcPr>
            <w:tcW w:w="605" w:type="pct"/>
            <w:noWrap w:val="0"/>
            <w:vAlign w:val="center"/>
          </w:tcPr>
          <w:p>
            <w:pPr>
              <w:pStyle w:val="118"/>
              <w:jc w:val="center"/>
              <w:rPr>
                <w:rFonts w:hint="default" w:ascii="宋体" w:hAnsi="宋体" w:cs="宋体"/>
                <w:b w:val="0"/>
                <w:kern w:val="2"/>
                <w:sz w:val="21"/>
                <w:szCs w:val="20"/>
                <w:lang w:val="en-US" w:eastAsia="zh-CN" w:bidi="ar-SA"/>
              </w:rPr>
            </w:pPr>
            <w:r>
              <w:rPr>
                <w:rFonts w:hint="eastAsia" w:ascii="宋体" w:hAnsi="宋体" w:cs="宋体"/>
                <w:b w:val="0"/>
                <w:kern w:val="2"/>
                <w:sz w:val="21"/>
                <w:szCs w:val="20"/>
                <w:lang w:val="en-US" w:eastAsia="zh-CN" w:bidi="ar-SA"/>
              </w:rPr>
              <w:t>技术资料</w:t>
            </w:r>
          </w:p>
        </w:tc>
        <w:tc>
          <w:tcPr>
            <w:tcW w:w="3973" w:type="pct"/>
            <w:noWrap w:val="0"/>
            <w:vAlign w:val="top"/>
          </w:tcPr>
          <w:p>
            <w:pPr>
              <w:spacing w:line="360" w:lineRule="auto"/>
              <w:rPr>
                <w:rFonts w:ascii="宋体" w:hAnsi="宋体" w:eastAsia="宋体"/>
                <w:snapToGrid w:val="0"/>
                <w:kern w:val="0"/>
                <w:sz w:val="21"/>
                <w:szCs w:val="21"/>
                <w:lang w:val="en-GB"/>
              </w:rPr>
            </w:pPr>
            <w:r>
              <w:rPr>
                <w:rFonts w:hint="eastAsia" w:ascii="宋体" w:hAnsi="宋体" w:eastAsia="宋体" w:cs="宋体"/>
                <w:snapToGrid w:val="0"/>
                <w:kern w:val="0"/>
                <w:sz w:val="21"/>
                <w:szCs w:val="21"/>
                <w:lang w:val="en-GB"/>
              </w:rPr>
              <w:t>所交付资料和文件纸质版一式</w:t>
            </w:r>
            <w:r>
              <w:rPr>
                <w:rFonts w:hint="eastAsia" w:ascii="宋体" w:hAnsi="宋体" w:eastAsia="宋体" w:cs="宋体"/>
                <w:snapToGrid w:val="0"/>
                <w:kern w:val="0"/>
                <w:sz w:val="21"/>
                <w:szCs w:val="21"/>
              </w:rPr>
              <w:t>五</w:t>
            </w:r>
            <w:r>
              <w:rPr>
                <w:rFonts w:hint="eastAsia" w:ascii="宋体" w:hAnsi="宋体" w:eastAsia="宋体" w:cs="宋体"/>
                <w:snapToGrid w:val="0"/>
                <w:kern w:val="0"/>
                <w:sz w:val="21"/>
                <w:szCs w:val="21"/>
                <w:lang w:val="en-GB"/>
              </w:rPr>
              <w:t>份，电子版</w:t>
            </w:r>
            <w:r>
              <w:rPr>
                <w:rFonts w:ascii="宋体" w:hAnsi="宋体" w:eastAsia="宋体" w:cs="宋体"/>
                <w:snapToGrid w:val="0"/>
                <w:kern w:val="0"/>
                <w:sz w:val="21"/>
                <w:szCs w:val="21"/>
                <w:lang w:val="en-GB"/>
              </w:rPr>
              <w:t>1</w:t>
            </w:r>
            <w:r>
              <w:rPr>
                <w:rFonts w:hint="eastAsia" w:ascii="宋体" w:hAnsi="宋体" w:eastAsia="宋体" w:cs="宋体"/>
                <w:snapToGrid w:val="0"/>
                <w:kern w:val="0"/>
                <w:sz w:val="21"/>
                <w:szCs w:val="21"/>
                <w:lang w:val="en-GB"/>
              </w:rPr>
              <w:t>份，语言为中文或英文，其包括但不限于以下内容：</w:t>
            </w:r>
          </w:p>
          <w:p>
            <w:pPr>
              <w:spacing w:line="360" w:lineRule="auto"/>
              <w:ind w:left="420"/>
              <w:rPr>
                <w:rFonts w:ascii="宋体" w:hAnsi="宋体" w:eastAsia="宋体"/>
                <w:sz w:val="18"/>
                <w:szCs w:val="18"/>
              </w:rPr>
            </w:pPr>
            <w:r>
              <w:rPr>
                <w:rFonts w:hint="eastAsia" w:ascii="宋体" w:hAnsi="宋体" w:eastAsia="宋体"/>
                <w:sz w:val="18"/>
                <w:szCs w:val="18"/>
              </w:rPr>
              <w:t>1、投标时应提供的技术资料</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系统技术方案、平面布置图、主要设备结构、特点介绍和说明；</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系统中各主要部件的生产厂家、性能参数等，明确投标设备的型号；</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安装使用条件的要求，包括地基、水、电、气等动力能源技术要求，以图纸形式提供；</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设备的验收标准；</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选配件、备件、易损件清单及价格；</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外购件清单及外购件供应商清单；</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软件主要功能模块的详细说明（功能、特点、在本系统中的作用等），并提供控制软件能够解算的所有参数列表；</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设备制造厂家的业绩说明及厂家联系方式列表；</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指出设备安装时，需要进行的土建工作及所需的其他配套设备（不包含在技术要求中的附属设备）等。</w:t>
            </w:r>
          </w:p>
          <w:p>
            <w:pPr>
              <w:spacing w:line="360" w:lineRule="auto"/>
              <w:ind w:left="420"/>
              <w:rPr>
                <w:rFonts w:ascii="宋体" w:hAnsi="宋体" w:eastAsia="宋体"/>
                <w:sz w:val="18"/>
                <w:szCs w:val="18"/>
              </w:rPr>
            </w:pPr>
            <w:r>
              <w:rPr>
                <w:rFonts w:hint="eastAsia" w:ascii="宋体" w:hAnsi="宋体" w:eastAsia="宋体"/>
                <w:sz w:val="18"/>
                <w:szCs w:val="18"/>
              </w:rPr>
              <w:t>2、合同签订后一个月内应提供的技术资料</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基础条件、地基设计图及布置设计图；</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水、电、气等动力接口位置图，线路设计布置图；</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管道系统接口条件及位置图；</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设备能耗（水、电、气）；</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项目时间计划表，项目管理方案；</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整套设备的设计方案，包括测控系统、试验程序、显示模板，夹具等；</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培训方案。</w:t>
            </w:r>
          </w:p>
          <w:p>
            <w:pPr>
              <w:spacing w:line="360" w:lineRule="auto"/>
              <w:ind w:left="420"/>
              <w:rPr>
                <w:rFonts w:ascii="宋体" w:hAnsi="宋体" w:eastAsia="宋体"/>
                <w:sz w:val="18"/>
                <w:szCs w:val="18"/>
              </w:rPr>
            </w:pPr>
            <w:r>
              <w:rPr>
                <w:rFonts w:hint="eastAsia" w:ascii="宋体" w:hAnsi="宋体" w:eastAsia="宋体"/>
                <w:sz w:val="18"/>
                <w:szCs w:val="18"/>
              </w:rPr>
              <w:t>3、终验收时应提供的技术资料</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主要系统的构成、机械平面图、气动、液压原理图、电气原理图；</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主要系统安装图；</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主要系统规格书，说明书；</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技术和操作手册，应包括系统的结构、硬件和软件操作、标定过程、维护、常见故障说明及详细解决方案等的完整描述；设备操作规程、设备点检标准、保养标准、维护周期和方法；</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提供主要部件及子系统的以下信息：规格、型号、出厂时间、定货号、产品说明书、合格证以及供应商的名称、联系方式等；</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专用工具、易损件和备件清单，包括名称、数量；</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传感器</w:t>
            </w:r>
            <w:r>
              <w:rPr>
                <w:rFonts w:hint="eastAsia" w:ascii="宋体" w:hAnsi="宋体" w:eastAsia="宋体" w:cs="宋体"/>
                <w:sz w:val="18"/>
                <w:szCs w:val="18"/>
                <w:lang w:val="en-US" w:eastAsia="zh-CN"/>
              </w:rPr>
              <w:t>校准</w:t>
            </w:r>
            <w:r>
              <w:rPr>
                <w:rFonts w:hint="eastAsia" w:ascii="宋体" w:hAnsi="宋体" w:eastAsia="宋体" w:cs="宋体"/>
                <w:sz w:val="18"/>
                <w:szCs w:val="18"/>
              </w:rPr>
              <w:t>合格证书；</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lang w:val="en-US" w:eastAsia="zh-CN"/>
              </w:rPr>
              <w:t>减振器工装</w:t>
            </w:r>
            <w:r>
              <w:rPr>
                <w:rFonts w:hint="eastAsia" w:ascii="宋体" w:hAnsi="宋体" w:eastAsia="宋体" w:cs="宋体"/>
                <w:sz w:val="18"/>
                <w:szCs w:val="18"/>
              </w:rPr>
              <w:t>、传感器适配器安装夹具设计及制造的技术要求资料，机加易损件（如传感器安装器件等）图纸资料，包括二维图纸（含装配）、S</w:t>
            </w:r>
            <w:r>
              <w:rPr>
                <w:rFonts w:ascii="宋体" w:hAnsi="宋体" w:eastAsia="宋体" w:cs="宋体"/>
                <w:sz w:val="18"/>
                <w:szCs w:val="18"/>
              </w:rPr>
              <w:t>TP格式数模</w:t>
            </w:r>
            <w:r>
              <w:rPr>
                <w:rFonts w:hint="eastAsia" w:ascii="宋体" w:hAnsi="宋体" w:eastAsia="宋体" w:cs="宋体"/>
                <w:sz w:val="18"/>
                <w:szCs w:val="18"/>
              </w:rPr>
              <w:t>（含装配）</w:t>
            </w:r>
            <w:r>
              <w:rPr>
                <w:rFonts w:ascii="宋体" w:hAnsi="宋体" w:eastAsia="宋体" w:cs="宋体"/>
                <w:sz w:val="18"/>
                <w:szCs w:val="18"/>
              </w:rPr>
              <w:t>等；</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整套系统（包括操作系统、控制软件）应备份，保证在重装系统时能及时恢复；</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设备</w:t>
            </w:r>
            <w:r>
              <w:rPr>
                <w:rFonts w:hint="eastAsia" w:ascii="宋体" w:hAnsi="宋体" w:eastAsia="宋体" w:cs="宋体"/>
                <w:sz w:val="18"/>
                <w:szCs w:val="18"/>
                <w:lang w:eastAsia="zh-CN"/>
              </w:rPr>
              <w:t>投标方</w:t>
            </w:r>
            <w:r>
              <w:rPr>
                <w:rFonts w:hint="eastAsia" w:ascii="宋体" w:hAnsi="宋体" w:eastAsia="宋体" w:cs="宋体"/>
                <w:sz w:val="18"/>
                <w:szCs w:val="18"/>
              </w:rPr>
              <w:t>应明确设备安装外部条件，并提供设备维护保养要求和费用清单；</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提供专用工具、易耗件、易损件和备件清单，包括名称、数量、单价和总价；</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标定校准方法、出厂验收文件、售后有能力标定的供应商清单等；</w:t>
            </w:r>
          </w:p>
          <w:p>
            <w:pPr>
              <w:numPr>
                <w:ilvl w:val="0"/>
                <w:numId w:val="21"/>
              </w:numPr>
              <w:spacing w:line="360" w:lineRule="auto"/>
              <w:ind w:left="426" w:hanging="284"/>
              <w:jc w:val="left"/>
              <w:rPr>
                <w:rFonts w:ascii="宋体" w:hAnsi="宋体" w:eastAsia="宋体" w:cs="宋体"/>
                <w:sz w:val="18"/>
                <w:szCs w:val="18"/>
              </w:rPr>
            </w:pPr>
            <w:r>
              <w:rPr>
                <w:rFonts w:hint="eastAsia" w:ascii="宋体" w:hAnsi="宋体" w:eastAsia="宋体" w:cs="宋体"/>
                <w:sz w:val="18"/>
                <w:szCs w:val="18"/>
              </w:rPr>
              <w:t>本项目涉及的所有设备通讯协议需在提资时一并提供给买方，并协助买方开展设备联网等工作；</w:t>
            </w:r>
          </w:p>
          <w:p>
            <w:pPr>
              <w:pStyle w:val="129"/>
              <w:numPr>
                <w:ilvl w:val="0"/>
                <w:numId w:val="0"/>
              </w:numPr>
              <w:spacing w:line="360" w:lineRule="auto"/>
              <w:ind w:leftChars="0" w:firstLine="420" w:firstLineChars="200"/>
              <w:rPr>
                <w:rFonts w:hint="eastAsia" w:ascii="宋体" w:hAnsi="宋体" w:eastAsia="宋体"/>
                <w:sz w:val="21"/>
                <w:szCs w:val="21"/>
              </w:rPr>
            </w:pPr>
            <w:r>
              <w:rPr>
                <w:rFonts w:hint="eastAsia" w:ascii="宋体" w:hAnsi="宋体" w:eastAsia="宋体" w:cs="宋体"/>
                <w:sz w:val="21"/>
                <w:szCs w:val="21"/>
              </w:rPr>
              <w:t>设备各单元原理图、电路图、程序框图、技术规格和指标、接口协议、各部件型号和参数清单需在提资时一并提供给买方。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lang w:val="en-US" w:eastAsia="zh-CN"/>
              </w:rPr>
            </w:pPr>
            <w:r>
              <w:rPr>
                <w:rFonts w:hint="eastAsia"/>
                <w:b w:val="0"/>
                <w:lang w:val="en-US" w:eastAsia="zh-CN"/>
              </w:rPr>
              <w:t>12</w:t>
            </w:r>
          </w:p>
        </w:tc>
        <w:tc>
          <w:tcPr>
            <w:tcW w:w="605" w:type="pct"/>
            <w:noWrap w:val="0"/>
            <w:vAlign w:val="center"/>
          </w:tcPr>
          <w:p>
            <w:pPr>
              <w:pStyle w:val="118"/>
              <w:jc w:val="center"/>
              <w:rPr>
                <w:rFonts w:hint="default" w:ascii="宋体" w:hAnsi="宋体" w:cs="宋体"/>
                <w:b w:val="0"/>
                <w:kern w:val="2"/>
                <w:sz w:val="21"/>
                <w:szCs w:val="20"/>
                <w:lang w:val="en-US" w:eastAsia="zh-CN" w:bidi="ar-SA"/>
              </w:rPr>
            </w:pPr>
            <w:r>
              <w:rPr>
                <w:rFonts w:hint="eastAsia" w:ascii="宋体" w:hAnsi="宋体" w:cs="宋体"/>
                <w:b w:val="0"/>
                <w:kern w:val="2"/>
                <w:sz w:val="21"/>
                <w:szCs w:val="20"/>
                <w:lang w:val="en-US" w:eastAsia="zh-CN" w:bidi="ar-SA"/>
              </w:rPr>
              <w:t>其他要求</w:t>
            </w:r>
          </w:p>
        </w:tc>
        <w:tc>
          <w:tcPr>
            <w:tcW w:w="3973" w:type="pct"/>
            <w:noWrap w:val="0"/>
            <w:vAlign w:val="top"/>
          </w:tcPr>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布置方式：采用全埋式安装，保持地面的平整，电缆、油管、信号线等均要走槽，并做好防鼠</w:t>
            </w:r>
            <w:r>
              <w:rPr>
                <w:rFonts w:hint="eastAsia" w:ascii="宋体" w:hAnsi="宋体" w:eastAsia="宋体"/>
                <w:sz w:val="21"/>
                <w:szCs w:val="21"/>
              </w:rPr>
              <w:t>防虫</w:t>
            </w:r>
            <w:r>
              <w:rPr>
                <w:rFonts w:ascii="宋体" w:hAnsi="宋体" w:eastAsia="宋体"/>
                <w:sz w:val="21"/>
                <w:szCs w:val="21"/>
              </w:rPr>
              <w:t>措施；</w:t>
            </w:r>
          </w:p>
          <w:p>
            <w:pPr>
              <w:pStyle w:val="129"/>
              <w:numPr>
                <w:ilvl w:val="0"/>
                <w:numId w:val="22"/>
              </w:numPr>
              <w:spacing w:line="360" w:lineRule="auto"/>
              <w:ind w:left="0" w:leftChars="0" w:firstLine="0" w:firstLineChars="0"/>
              <w:rPr>
                <w:rFonts w:ascii="宋体" w:hAnsi="宋体" w:eastAsia="宋体"/>
                <w:sz w:val="21"/>
                <w:szCs w:val="21"/>
              </w:rPr>
            </w:pPr>
            <w:r>
              <w:rPr>
                <w:rFonts w:hint="eastAsia" w:ascii="宋体" w:hAnsi="宋体" w:eastAsia="宋体"/>
                <w:sz w:val="21"/>
                <w:szCs w:val="21"/>
                <w:lang w:eastAsia="zh-CN"/>
              </w:rPr>
              <w:t>投标方</w:t>
            </w:r>
            <w:r>
              <w:rPr>
                <w:rFonts w:ascii="宋体" w:hAnsi="宋体" w:eastAsia="宋体"/>
                <w:sz w:val="21"/>
                <w:szCs w:val="21"/>
              </w:rPr>
              <w:t>在报价文件中提供的设备清单必须包括买方设备清单中的所有设备和必要的零部件，对进行技术条件所要求的试验来说是充分的、足够的。</w:t>
            </w:r>
            <w:r>
              <w:rPr>
                <w:rFonts w:hint="eastAsia" w:ascii="宋体" w:hAnsi="宋体" w:eastAsia="宋体"/>
                <w:sz w:val="21"/>
                <w:szCs w:val="21"/>
                <w:lang w:eastAsia="zh-CN"/>
              </w:rPr>
              <w:t>投标方</w:t>
            </w:r>
            <w:r>
              <w:rPr>
                <w:rFonts w:ascii="宋体" w:hAnsi="宋体" w:eastAsia="宋体"/>
                <w:sz w:val="21"/>
                <w:szCs w:val="21"/>
              </w:rPr>
              <w:t>应在合同文本中作出承诺：在该系统应该包括的试验范围内，买方不再需要购买额外配合设备清单以外的任何其它设备；如果进行试验时发现仍有缺项，</w:t>
            </w:r>
            <w:r>
              <w:rPr>
                <w:rFonts w:hint="eastAsia" w:ascii="宋体" w:hAnsi="宋体" w:eastAsia="宋体"/>
                <w:sz w:val="21"/>
                <w:szCs w:val="21"/>
                <w:lang w:eastAsia="zh-CN"/>
              </w:rPr>
              <w:t>投标方</w:t>
            </w:r>
            <w:r>
              <w:rPr>
                <w:rFonts w:ascii="宋体" w:hAnsi="宋体" w:eastAsia="宋体"/>
                <w:sz w:val="21"/>
                <w:szCs w:val="21"/>
              </w:rPr>
              <w:t>应为买方免费配齐缺项；</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该系统设备的所有部分必须是技术成熟的定型产品，且所有台架、传感器、夹具及附件必须是最新的产品；</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能与计算机建立良好的数据传输，并配备相应的数据后处理软件（具备数据格式转换、导入、分析功能）；</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提供检查、维修等所需的全套专用工具；</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电源、测量线路之间应分开或屏蔽，以避免相互影响；</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系统具有防止突然断电而损坏设备的自我保护能力；</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所有系统的设计和制造能满足连续运转的要求；</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设备应具有自动控制和测量系统；</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设备应具有数据库管理试验数据的功能；</w:t>
            </w:r>
          </w:p>
          <w:p>
            <w:pPr>
              <w:pStyle w:val="129"/>
              <w:numPr>
                <w:ilvl w:val="0"/>
                <w:numId w:val="22"/>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设备应具有数据处理、数据图形输出和测试报告输出打印功能；</w:t>
            </w:r>
          </w:p>
          <w:p>
            <w:pPr>
              <w:pStyle w:val="129"/>
              <w:numPr>
                <w:ilvl w:val="0"/>
                <w:numId w:val="22"/>
              </w:numPr>
              <w:spacing w:line="360" w:lineRule="auto"/>
              <w:ind w:left="0" w:leftChars="0" w:firstLine="0" w:firstLineChars="0"/>
              <w:rPr>
                <w:rFonts w:hint="eastAsia" w:ascii="宋体" w:hAnsi="宋体" w:eastAsia="宋体"/>
                <w:sz w:val="21"/>
                <w:szCs w:val="21"/>
              </w:rPr>
            </w:pPr>
            <w:r>
              <w:rPr>
                <w:rFonts w:ascii="宋体" w:hAnsi="宋体" w:eastAsia="宋体"/>
                <w:sz w:val="21"/>
                <w:szCs w:val="21"/>
              </w:rPr>
              <w:t>设备应具有过载保护，以防止损坏试验台架和被测试</w:t>
            </w:r>
            <w:r>
              <w:rPr>
                <w:rFonts w:hint="eastAsia" w:ascii="宋体" w:hAnsi="宋体" w:eastAsia="宋体"/>
                <w:sz w:val="21"/>
                <w:szCs w:val="21"/>
                <w:lang w:val="en-US" w:eastAsia="zh-CN"/>
              </w:rPr>
              <w:t>样件。</w:t>
            </w:r>
          </w:p>
          <w:p>
            <w:pPr>
              <w:pStyle w:val="129"/>
              <w:numPr>
                <w:ilvl w:val="0"/>
                <w:numId w:val="22"/>
              </w:numPr>
              <w:spacing w:line="360" w:lineRule="auto"/>
              <w:ind w:left="0" w:leftChars="0" w:firstLine="0" w:firstLineChars="0"/>
              <w:rPr>
                <w:rFonts w:hint="eastAsia" w:ascii="宋体" w:hAnsi="宋体" w:eastAsia="宋体"/>
                <w:sz w:val="21"/>
                <w:szCs w:val="21"/>
              </w:rPr>
            </w:pPr>
            <w:r>
              <w:rPr>
                <w:rFonts w:ascii="宋体" w:hAnsi="宋体" w:eastAsia="宋体"/>
                <w:sz w:val="21"/>
                <w:szCs w:val="21"/>
              </w:rPr>
              <w:t>设备应具有系统初始自检标定功能；</w:t>
            </w:r>
            <w:r>
              <w:rPr>
                <w:rFonts w:hint="eastAsia" w:ascii="宋体" w:hAnsi="宋体" w:eastAsia="宋体"/>
                <w:sz w:val="21"/>
                <w:szCs w:val="21"/>
              </w:rPr>
              <w:t>提供设备的标定系统用于设备标定，并提供相应标定、验收方法</w:t>
            </w:r>
            <w:r>
              <w:rPr>
                <w:rFonts w:hint="eastAsia" w:ascii="宋体" w:hAnsi="宋体" w:eastAsia="宋体"/>
                <w:sz w:val="21"/>
                <w:szCs w:val="21"/>
                <w:lang w:eastAsia="zh-CN"/>
              </w:rPr>
              <w:t>；</w:t>
            </w:r>
          </w:p>
          <w:p>
            <w:pPr>
              <w:pStyle w:val="129"/>
              <w:numPr>
                <w:ilvl w:val="0"/>
                <w:numId w:val="22"/>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供方必须提供所有设备程序的源代码，包括但不限于PLC程序、HMI程序、机器人程序、视觉程序、伺服等；</w:t>
            </w:r>
          </w:p>
          <w:p>
            <w:pPr>
              <w:pStyle w:val="129"/>
              <w:numPr>
                <w:ilvl w:val="0"/>
                <w:numId w:val="22"/>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供方所提供的程序不得设置任何密码、保护等限制手段，PLC不得设置修改下载权限，功能块不得设置密码保护；</w:t>
            </w:r>
          </w:p>
          <w:p>
            <w:pPr>
              <w:pStyle w:val="129"/>
              <w:numPr>
                <w:ilvl w:val="0"/>
                <w:numId w:val="22"/>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HMI界面等需要密码保护的程序，供方必须提供所有级别的用户名、密码；</w:t>
            </w:r>
          </w:p>
          <w:p>
            <w:pPr>
              <w:pStyle w:val="129"/>
              <w:numPr>
                <w:ilvl w:val="0"/>
                <w:numId w:val="22"/>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供方需在终验收前提供最新的设备程序源码，HMI界面各级用户名和密码，并保证与现场程序一致；</w:t>
            </w:r>
          </w:p>
          <w:p>
            <w:pPr>
              <w:pStyle w:val="129"/>
              <w:numPr>
                <w:ilvl w:val="0"/>
                <w:numId w:val="22"/>
              </w:numPr>
              <w:spacing w:line="360" w:lineRule="auto"/>
              <w:ind w:left="0" w:leftChars="0" w:firstLine="0" w:firstLineChars="0"/>
              <w:rPr>
                <w:rFonts w:hint="eastAsia" w:ascii="宋体" w:hAnsi="宋体" w:eastAsia="宋体"/>
                <w:sz w:val="21"/>
                <w:szCs w:val="21"/>
              </w:rPr>
            </w:pPr>
            <w:r>
              <w:rPr>
                <w:rFonts w:hint="eastAsia" w:ascii="宋体" w:hAnsi="宋体" w:eastAsia="宋体"/>
                <w:sz w:val="21"/>
                <w:szCs w:val="21"/>
                <w:lang w:val="en-US" w:eastAsia="zh-CN"/>
              </w:rPr>
              <w:t>供方需在终验收前提供最新的设备电气图纸，图纸要求为可编辑原格式（EPLAN、CAD格式）且与实际接线一致。</w:t>
            </w:r>
          </w:p>
          <w:p>
            <w:pPr>
              <w:pStyle w:val="129"/>
              <w:numPr>
                <w:ilvl w:val="0"/>
                <w:numId w:val="0"/>
              </w:numPr>
              <w:spacing w:line="360" w:lineRule="auto"/>
              <w:ind w:leftChars="0" w:firstLine="420" w:firstLineChars="200"/>
              <w:rPr>
                <w:rFonts w:hint="eastAsia" w:ascii="宋体" w:hAnsi="宋体" w:eastAsia="宋体"/>
                <w:sz w:val="21"/>
                <w:szCs w:val="21"/>
              </w:rPr>
            </w:pPr>
          </w:p>
          <w:p>
            <w:pPr>
              <w:pStyle w:val="129"/>
              <w:numPr>
                <w:ilvl w:val="0"/>
                <w:numId w:val="0"/>
              </w:numPr>
              <w:spacing w:line="360" w:lineRule="auto"/>
              <w:ind w:leftChars="0" w:firstLine="420" w:firstLineChars="200"/>
              <w:rPr>
                <w:rFonts w:hint="eastAsia"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lang w:val="en-US" w:eastAsia="zh-CN"/>
              </w:rPr>
            </w:pPr>
            <w:r>
              <w:rPr>
                <w:rFonts w:hint="eastAsia"/>
                <w:b w:val="0"/>
                <w:lang w:val="en-US" w:eastAsia="zh-CN"/>
              </w:rPr>
              <w:t>13</w:t>
            </w:r>
          </w:p>
        </w:tc>
        <w:tc>
          <w:tcPr>
            <w:tcW w:w="605" w:type="pct"/>
            <w:noWrap w:val="0"/>
            <w:vAlign w:val="center"/>
          </w:tcPr>
          <w:p>
            <w:pPr>
              <w:pStyle w:val="118"/>
              <w:jc w:val="center"/>
              <w:rPr>
                <w:rFonts w:hint="eastAsia" w:ascii="宋体" w:hAnsi="宋体" w:cs="宋体"/>
                <w:b w:val="0"/>
                <w:kern w:val="2"/>
                <w:sz w:val="21"/>
                <w:szCs w:val="20"/>
                <w:lang w:val="en-US" w:eastAsia="zh-CN" w:bidi="ar-SA"/>
              </w:rPr>
            </w:pPr>
            <w:r>
              <w:rPr>
                <w:rFonts w:hint="eastAsia" w:ascii="宋体" w:hAnsi="宋体" w:cs="宋体"/>
                <w:b w:val="0"/>
                <w:kern w:val="2"/>
                <w:sz w:val="21"/>
                <w:szCs w:val="20"/>
                <w:lang w:val="en-US" w:eastAsia="zh-CN" w:bidi="ar-SA"/>
              </w:rPr>
              <w:t>主要设备、零部件、元器件的选用和配置要求</w:t>
            </w:r>
          </w:p>
        </w:tc>
        <w:tc>
          <w:tcPr>
            <w:tcW w:w="3973" w:type="pct"/>
            <w:noWrap w:val="0"/>
            <w:vAlign w:val="top"/>
          </w:tcPr>
          <w:p>
            <w:pPr>
              <w:pStyle w:val="129"/>
              <w:numPr>
                <w:ilvl w:val="0"/>
                <w:numId w:val="23"/>
              </w:numPr>
              <w:spacing w:line="360" w:lineRule="auto"/>
              <w:ind w:firstLineChars="0"/>
              <w:rPr>
                <w:rFonts w:ascii="宋体" w:hAnsi="宋体" w:eastAsia="宋体"/>
                <w:color w:val="auto"/>
                <w:sz w:val="21"/>
                <w:szCs w:val="21"/>
              </w:rPr>
            </w:pPr>
            <w:r>
              <w:rPr>
                <w:rFonts w:hint="eastAsia" w:ascii="宋体" w:hAnsi="宋体" w:eastAsia="宋体"/>
                <w:sz w:val="21"/>
                <w:szCs w:val="21"/>
              </w:rPr>
              <w:t>电气系统</w:t>
            </w:r>
            <w:r>
              <w:rPr>
                <w:rFonts w:ascii="宋体" w:hAnsi="宋体" w:eastAsia="宋体"/>
                <w:sz w:val="21"/>
                <w:szCs w:val="21"/>
              </w:rPr>
              <w:t>(投标</w:t>
            </w:r>
            <w:r>
              <w:rPr>
                <w:rFonts w:ascii="宋体" w:hAnsi="宋体" w:eastAsia="宋体"/>
                <w:color w:val="auto"/>
                <w:sz w:val="21"/>
                <w:szCs w:val="21"/>
              </w:rPr>
              <w:t>时须标明品牌和产地)</w:t>
            </w:r>
          </w:p>
          <w:p>
            <w:pPr>
              <w:pStyle w:val="129"/>
              <w:spacing w:line="360" w:lineRule="auto"/>
              <w:ind w:left="420" w:firstLine="0" w:firstLineChars="0"/>
              <w:rPr>
                <w:rFonts w:ascii="宋体" w:hAnsi="宋体" w:eastAsia="宋体"/>
                <w:color w:val="auto"/>
                <w:sz w:val="21"/>
                <w:szCs w:val="21"/>
              </w:rPr>
            </w:pPr>
            <w:r>
              <w:rPr>
                <w:rFonts w:hint="eastAsia" w:ascii="宋体" w:hAnsi="宋体" w:eastAsia="宋体"/>
                <w:color w:val="auto"/>
                <w:sz w:val="21"/>
                <w:szCs w:val="21"/>
              </w:rPr>
              <w:t>防护等级：电气柜、按钮箱、分线盒等防护等级</w:t>
            </w:r>
            <w:r>
              <w:rPr>
                <w:rFonts w:ascii="宋体" w:hAnsi="宋体" w:eastAsia="宋体"/>
                <w:color w:val="auto"/>
                <w:sz w:val="21"/>
                <w:szCs w:val="21"/>
              </w:rPr>
              <w:t>IP</w:t>
            </w:r>
            <w:r>
              <w:rPr>
                <w:rFonts w:hint="eastAsia" w:ascii="宋体" w:hAnsi="宋体" w:eastAsia="宋体"/>
                <w:color w:val="auto"/>
                <w:sz w:val="21"/>
                <w:szCs w:val="21"/>
                <w:lang w:val="en-US" w:eastAsia="zh-CN"/>
              </w:rPr>
              <w:t>5</w:t>
            </w:r>
            <w:r>
              <w:rPr>
                <w:rFonts w:ascii="宋体" w:hAnsi="宋体" w:eastAsia="宋体"/>
                <w:color w:val="auto"/>
                <w:sz w:val="21"/>
                <w:szCs w:val="21"/>
              </w:rPr>
              <w:t>5，台架上的电器防护等级IP</w:t>
            </w:r>
            <w:r>
              <w:rPr>
                <w:rFonts w:hint="eastAsia" w:ascii="宋体" w:hAnsi="宋体" w:eastAsia="宋体"/>
                <w:color w:val="auto"/>
                <w:sz w:val="21"/>
                <w:szCs w:val="21"/>
                <w:lang w:val="en-US" w:eastAsia="zh-CN"/>
              </w:rPr>
              <w:t>5</w:t>
            </w:r>
            <w:r>
              <w:rPr>
                <w:rFonts w:ascii="宋体" w:hAnsi="宋体" w:eastAsia="宋体"/>
                <w:color w:val="auto"/>
                <w:sz w:val="21"/>
                <w:szCs w:val="21"/>
              </w:rPr>
              <w:t>5；</w:t>
            </w:r>
          </w:p>
          <w:p>
            <w:pPr>
              <w:pStyle w:val="129"/>
              <w:spacing w:line="360" w:lineRule="auto"/>
              <w:ind w:left="420" w:firstLine="0" w:firstLineChars="0"/>
              <w:rPr>
                <w:rFonts w:ascii="宋体" w:hAnsi="宋体" w:eastAsia="宋体"/>
                <w:color w:val="auto"/>
                <w:sz w:val="21"/>
                <w:szCs w:val="21"/>
              </w:rPr>
            </w:pPr>
            <w:r>
              <w:rPr>
                <w:rFonts w:hint="eastAsia" w:ascii="宋体" w:hAnsi="宋体" w:eastAsia="宋体"/>
                <w:color w:val="auto"/>
                <w:sz w:val="21"/>
                <w:szCs w:val="21"/>
              </w:rPr>
              <w:t>电气柜：独立落地型，散热及时，带照明和维修电源插座；</w:t>
            </w:r>
          </w:p>
          <w:p>
            <w:pPr>
              <w:pStyle w:val="129"/>
              <w:spacing w:line="360" w:lineRule="auto"/>
              <w:ind w:left="420" w:firstLine="0" w:firstLineChars="0"/>
              <w:rPr>
                <w:rFonts w:ascii="宋体" w:hAnsi="宋体" w:eastAsia="宋体"/>
                <w:color w:val="auto"/>
                <w:sz w:val="21"/>
                <w:szCs w:val="21"/>
              </w:rPr>
            </w:pPr>
            <w:r>
              <w:rPr>
                <w:rFonts w:hint="eastAsia" w:ascii="宋体" w:hAnsi="宋体" w:eastAsia="宋体"/>
                <w:color w:val="auto"/>
                <w:sz w:val="21"/>
                <w:szCs w:val="21"/>
              </w:rPr>
              <w:t>所有元件和管线必须有标识，走管、走线应整洁、规范，维修方便；</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投标方</w:t>
            </w:r>
            <w:r>
              <w:rPr>
                <w:rFonts w:hint="eastAsia" w:ascii="宋体" w:hAnsi="宋体" w:eastAsia="宋体"/>
                <w:color w:val="auto"/>
                <w:sz w:val="21"/>
                <w:szCs w:val="21"/>
              </w:rPr>
              <w:t>应在技术标书里提供详细的选用配置表，买方确认；</w:t>
            </w:r>
          </w:p>
          <w:p>
            <w:pPr>
              <w:pStyle w:val="129"/>
              <w:numPr>
                <w:ilvl w:val="0"/>
                <w:numId w:val="23"/>
              </w:numPr>
              <w:spacing w:line="360" w:lineRule="auto"/>
              <w:ind w:firstLineChars="0"/>
              <w:rPr>
                <w:rFonts w:ascii="宋体" w:hAnsi="宋体" w:eastAsia="宋体"/>
                <w:color w:val="auto"/>
                <w:sz w:val="21"/>
                <w:szCs w:val="21"/>
              </w:rPr>
            </w:pPr>
            <w:r>
              <w:rPr>
                <w:rFonts w:ascii="宋体" w:hAnsi="宋体" w:eastAsia="宋体"/>
                <w:color w:val="auto"/>
                <w:sz w:val="21"/>
                <w:szCs w:val="21"/>
              </w:rPr>
              <w:t>电器元件(投标时须标明品牌和产地)</w:t>
            </w:r>
          </w:p>
          <w:p>
            <w:pPr>
              <w:pStyle w:val="129"/>
              <w:spacing w:line="360" w:lineRule="auto"/>
              <w:ind w:left="420" w:firstLine="0" w:firstLineChars="0"/>
              <w:rPr>
                <w:rFonts w:ascii="宋体" w:hAnsi="宋体" w:eastAsia="宋体"/>
                <w:color w:val="auto"/>
                <w:sz w:val="21"/>
                <w:szCs w:val="21"/>
              </w:rPr>
            </w:pPr>
            <w:r>
              <w:rPr>
                <w:rFonts w:hint="eastAsia" w:ascii="宋体" w:hAnsi="宋体" w:eastAsia="宋体"/>
                <w:color w:val="auto"/>
                <w:sz w:val="21"/>
                <w:szCs w:val="21"/>
              </w:rPr>
              <w:t>控制系统应采用国际知名品牌产品；</w:t>
            </w:r>
          </w:p>
          <w:p>
            <w:pPr>
              <w:pStyle w:val="129"/>
              <w:spacing w:line="360" w:lineRule="auto"/>
              <w:ind w:left="420" w:firstLine="0" w:firstLineChars="0"/>
              <w:rPr>
                <w:rFonts w:ascii="宋体" w:hAnsi="宋体" w:eastAsia="宋体"/>
                <w:color w:val="auto"/>
                <w:sz w:val="21"/>
                <w:szCs w:val="21"/>
              </w:rPr>
            </w:pPr>
            <w:r>
              <w:rPr>
                <w:rFonts w:hint="eastAsia" w:ascii="宋体" w:hAnsi="宋体" w:eastAsia="宋体"/>
                <w:color w:val="auto"/>
                <w:sz w:val="21"/>
                <w:szCs w:val="21"/>
              </w:rPr>
              <w:t>低压元件应采用国际知名品牌产品；</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lang w:eastAsia="zh-CN"/>
              </w:rPr>
              <w:t>投标方</w:t>
            </w:r>
            <w:r>
              <w:rPr>
                <w:rFonts w:hint="eastAsia" w:ascii="宋体" w:hAnsi="宋体" w:eastAsia="宋体"/>
                <w:sz w:val="21"/>
                <w:szCs w:val="21"/>
              </w:rPr>
              <w:t>应在技术标书里提供详细的选用配置表，买方确认；</w:t>
            </w:r>
          </w:p>
          <w:p>
            <w:pPr>
              <w:pStyle w:val="129"/>
              <w:numPr>
                <w:ilvl w:val="0"/>
                <w:numId w:val="23"/>
              </w:numPr>
              <w:spacing w:line="360" w:lineRule="auto"/>
              <w:ind w:firstLineChars="0"/>
              <w:rPr>
                <w:rFonts w:ascii="宋体" w:hAnsi="宋体" w:eastAsia="宋体"/>
                <w:sz w:val="21"/>
                <w:szCs w:val="21"/>
              </w:rPr>
            </w:pPr>
            <w:r>
              <w:rPr>
                <w:rFonts w:ascii="宋体" w:hAnsi="宋体" w:eastAsia="宋体"/>
                <w:sz w:val="21"/>
                <w:szCs w:val="21"/>
              </w:rPr>
              <w:t>气动、液压元器件(投标时须标明品牌和产地)</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气动元件应采用国际知名品牌产品；</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液压元器件应采用国际知名品牌产品；</w:t>
            </w:r>
          </w:p>
          <w:p>
            <w:pPr>
              <w:pStyle w:val="129"/>
              <w:numPr>
                <w:ilvl w:val="0"/>
                <w:numId w:val="0"/>
              </w:numPr>
              <w:spacing w:line="360" w:lineRule="auto"/>
              <w:ind w:leftChars="0" w:firstLine="420" w:firstLineChars="200"/>
              <w:rPr>
                <w:rFonts w:hint="eastAsia" w:ascii="宋体" w:hAnsi="宋体" w:eastAsia="宋体" w:cs="宋体"/>
                <w:sz w:val="21"/>
                <w:szCs w:val="21"/>
              </w:rPr>
            </w:pPr>
            <w:r>
              <w:rPr>
                <w:rFonts w:hint="eastAsia" w:ascii="宋体" w:hAnsi="宋体" w:eastAsia="宋体"/>
                <w:color w:val="auto"/>
                <w:sz w:val="21"/>
                <w:szCs w:val="21"/>
                <w:lang w:eastAsia="zh-CN"/>
              </w:rPr>
              <w:t>投标方</w:t>
            </w:r>
            <w:r>
              <w:rPr>
                <w:rFonts w:hint="eastAsia" w:ascii="宋体" w:hAnsi="宋体" w:eastAsia="宋体"/>
                <w:color w:val="auto"/>
                <w:sz w:val="21"/>
                <w:szCs w:val="21"/>
              </w:rPr>
              <w:t>应在技术标书里提供详细的选用配置表</w:t>
            </w:r>
            <w:r>
              <w:rPr>
                <w:rFonts w:hint="eastAsia" w:ascii="宋体" w:hAnsi="宋体" w:eastAsia="宋体"/>
                <w:sz w:val="21"/>
                <w:szCs w:val="21"/>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bCs w:val="0"/>
                <w:lang w:val="en-US" w:eastAsia="zh-CN"/>
              </w:rPr>
            </w:pPr>
            <w:r>
              <w:rPr>
                <w:rFonts w:hint="eastAsia"/>
                <w:b w:val="0"/>
                <w:bCs w:val="0"/>
                <w:lang w:val="en-US" w:eastAsia="zh-CN"/>
              </w:rPr>
              <w:t>14</w:t>
            </w:r>
          </w:p>
        </w:tc>
        <w:tc>
          <w:tcPr>
            <w:tcW w:w="605" w:type="pct"/>
            <w:noWrap w:val="0"/>
            <w:vAlign w:val="center"/>
          </w:tcPr>
          <w:p>
            <w:pPr>
              <w:pStyle w:val="118"/>
              <w:jc w:val="center"/>
              <w:rPr>
                <w:rFonts w:hint="eastAsia" w:ascii="宋体" w:hAnsi="宋体" w:cs="宋体"/>
                <w:b w:val="0"/>
                <w:bCs w:val="0"/>
                <w:kern w:val="2"/>
                <w:sz w:val="21"/>
                <w:szCs w:val="21"/>
                <w:lang w:val="en-US" w:eastAsia="zh-CN" w:bidi="ar-SA"/>
              </w:rPr>
            </w:pPr>
            <w:r>
              <w:rPr>
                <w:rFonts w:hint="eastAsia" w:ascii="宋体" w:hAnsi="宋体" w:eastAsia="宋体"/>
                <w:b w:val="0"/>
                <w:bCs w:val="0"/>
                <w:sz w:val="21"/>
                <w:szCs w:val="21"/>
              </w:rPr>
              <w:t>配电系统</w:t>
            </w:r>
          </w:p>
        </w:tc>
        <w:tc>
          <w:tcPr>
            <w:tcW w:w="3973" w:type="pct"/>
            <w:noWrap w:val="0"/>
            <w:vAlign w:val="top"/>
          </w:tcPr>
          <w:p>
            <w:pPr>
              <w:pStyle w:val="129"/>
              <w:numPr>
                <w:ilvl w:val="0"/>
                <w:numId w:val="24"/>
              </w:numPr>
              <w:spacing w:line="360" w:lineRule="auto"/>
              <w:ind w:left="0" w:leftChars="0" w:firstLine="0" w:firstLineChars="0"/>
              <w:rPr>
                <w:rFonts w:ascii="宋体" w:hAnsi="宋体" w:eastAsia="宋体"/>
                <w:sz w:val="21"/>
                <w:szCs w:val="21"/>
              </w:rPr>
            </w:pPr>
            <w:r>
              <w:rPr>
                <w:rFonts w:ascii="宋体" w:hAnsi="宋体" w:eastAsia="宋体"/>
                <w:sz w:val="21"/>
                <w:szCs w:val="21"/>
              </w:rPr>
              <w:t>安全保护措施</w:t>
            </w:r>
            <w:r>
              <w:rPr>
                <w:rFonts w:hint="eastAsia" w:ascii="宋体" w:hAnsi="宋体" w:eastAsia="宋体"/>
                <w:sz w:val="21"/>
                <w:szCs w:val="21"/>
              </w:rPr>
              <w:t>应</w:t>
            </w:r>
            <w:r>
              <w:rPr>
                <w:rFonts w:ascii="宋体" w:hAnsi="宋体" w:eastAsia="宋体"/>
                <w:sz w:val="21"/>
                <w:szCs w:val="21"/>
              </w:rPr>
              <w:t>不低于</w:t>
            </w:r>
            <w:r>
              <w:rPr>
                <w:rFonts w:ascii="宋体" w:hAnsi="宋体" w:eastAsia="宋体"/>
                <w:sz w:val="21"/>
                <w:szCs w:val="21"/>
                <w:highlight w:val="yellow"/>
              </w:rPr>
              <w:t>IP</w:t>
            </w:r>
            <w:r>
              <w:rPr>
                <w:rFonts w:hint="eastAsia" w:ascii="宋体" w:hAnsi="宋体" w:eastAsia="宋体"/>
                <w:sz w:val="21"/>
                <w:szCs w:val="21"/>
                <w:highlight w:val="yellow"/>
                <w:lang w:val="en-US" w:eastAsia="zh-CN"/>
              </w:rPr>
              <w:t>55</w:t>
            </w:r>
            <w:r>
              <w:rPr>
                <w:rFonts w:ascii="宋体" w:hAnsi="宋体" w:eastAsia="宋体"/>
                <w:sz w:val="21"/>
                <w:szCs w:val="21"/>
              </w:rPr>
              <w:t>要求，包括过流、过压、失压保护，限温保护，跳闸保护功能；绝缘等级不低于F，能防潮，且有相应措施防止冷凝水对电器元件，特别是电机造成损害；</w:t>
            </w:r>
          </w:p>
          <w:p>
            <w:pPr>
              <w:pStyle w:val="129"/>
              <w:numPr>
                <w:ilvl w:val="0"/>
                <w:numId w:val="24"/>
              </w:numPr>
              <w:spacing w:line="360" w:lineRule="auto"/>
              <w:ind w:left="0" w:leftChars="0" w:firstLine="0" w:firstLineChars="0"/>
              <w:rPr>
                <w:rFonts w:ascii="宋体" w:hAnsi="宋体" w:eastAsia="宋体"/>
                <w:sz w:val="21"/>
                <w:szCs w:val="21"/>
              </w:rPr>
            </w:pPr>
            <w:r>
              <w:rPr>
                <w:rFonts w:ascii="宋体" w:hAnsi="宋体" w:eastAsia="宋体"/>
                <w:sz w:val="21"/>
                <w:szCs w:val="21"/>
              </w:rPr>
              <w:t>设备的配电系统应采用双路IGBT装置，配置配电柜，保证电缆底部接入；</w:t>
            </w:r>
          </w:p>
          <w:p>
            <w:pPr>
              <w:pStyle w:val="129"/>
              <w:numPr>
                <w:ilvl w:val="0"/>
                <w:numId w:val="24"/>
              </w:numPr>
              <w:spacing w:line="360" w:lineRule="auto"/>
              <w:ind w:left="0" w:leftChars="0" w:firstLine="0" w:firstLineChars="0"/>
              <w:rPr>
                <w:rFonts w:hint="eastAsia" w:ascii="宋体" w:hAnsi="宋体" w:eastAsia="宋体" w:cs="宋体"/>
                <w:b w:val="0"/>
                <w:bCs w:val="0"/>
                <w:sz w:val="21"/>
                <w:szCs w:val="21"/>
              </w:rPr>
            </w:pPr>
            <w:r>
              <w:rPr>
                <w:rFonts w:ascii="宋体" w:hAnsi="宋体" w:eastAsia="宋体"/>
                <w:sz w:val="21"/>
                <w:szCs w:val="21"/>
              </w:rPr>
              <w:t>设备的配电系统应符合国际通用电气标准。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bCs w:val="0"/>
                <w:lang w:val="en-US" w:eastAsia="zh-CN"/>
              </w:rPr>
            </w:pPr>
            <w:r>
              <w:rPr>
                <w:rFonts w:hint="eastAsia"/>
                <w:b w:val="0"/>
                <w:bCs w:val="0"/>
                <w:lang w:val="en-US" w:eastAsia="zh-CN"/>
              </w:rPr>
              <w:t>15</w:t>
            </w:r>
          </w:p>
        </w:tc>
        <w:tc>
          <w:tcPr>
            <w:tcW w:w="605" w:type="pct"/>
            <w:noWrap w:val="0"/>
            <w:vAlign w:val="center"/>
          </w:tcPr>
          <w:p>
            <w:pPr>
              <w:spacing w:line="360" w:lineRule="auto"/>
              <w:jc w:val="center"/>
              <w:rPr>
                <w:rFonts w:hint="eastAsia" w:ascii="宋体" w:hAnsi="宋体" w:eastAsia="宋体"/>
                <w:b w:val="0"/>
                <w:bCs w:val="0"/>
                <w:sz w:val="21"/>
                <w:szCs w:val="21"/>
              </w:rPr>
            </w:pPr>
            <w:r>
              <w:rPr>
                <w:rFonts w:hint="eastAsia" w:ascii="宋体" w:hAnsi="宋体" w:eastAsia="宋体" w:cs="宋体"/>
                <w:b w:val="0"/>
                <w:kern w:val="2"/>
                <w:sz w:val="21"/>
                <w:szCs w:val="20"/>
                <w:lang w:val="en-US" w:eastAsia="zh-CN" w:bidi="ar-SA"/>
              </w:rPr>
              <w:t>保养、维修、使用方便性要求</w:t>
            </w:r>
          </w:p>
        </w:tc>
        <w:tc>
          <w:tcPr>
            <w:tcW w:w="3973" w:type="pct"/>
            <w:noWrap w:val="0"/>
            <w:vAlign w:val="center"/>
          </w:tcPr>
          <w:p>
            <w:pPr>
              <w:spacing w:line="360" w:lineRule="auto"/>
              <w:jc w:val="both"/>
              <w:rPr>
                <w:rFonts w:ascii="宋体" w:hAnsi="宋体" w:eastAsia="宋体"/>
                <w:sz w:val="21"/>
                <w:szCs w:val="21"/>
              </w:rPr>
            </w:pPr>
            <w:r>
              <w:rPr>
                <w:rFonts w:hint="eastAsia" w:ascii="宋体" w:hAnsi="宋体" w:eastAsia="宋体"/>
                <w:sz w:val="21"/>
                <w:szCs w:val="21"/>
                <w:lang w:eastAsia="zh-CN"/>
              </w:rPr>
              <w:t>投标方</w:t>
            </w:r>
            <w:r>
              <w:rPr>
                <w:rFonts w:hint="eastAsia" w:ascii="宋体" w:hAnsi="宋体" w:eastAsia="宋体"/>
                <w:sz w:val="21"/>
                <w:szCs w:val="21"/>
              </w:rPr>
              <w:t>应在技术标书中提供保养、维修、使用的详细说明，买方确认。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noWrap w:val="0"/>
            <w:vAlign w:val="center"/>
          </w:tcPr>
          <w:p>
            <w:pPr>
              <w:pStyle w:val="118"/>
              <w:jc w:val="center"/>
              <w:rPr>
                <w:rFonts w:hint="default"/>
                <w:b w:val="0"/>
                <w:bCs w:val="0"/>
                <w:lang w:val="en-US" w:eastAsia="zh-CN"/>
              </w:rPr>
            </w:pPr>
            <w:r>
              <w:rPr>
                <w:rFonts w:hint="eastAsia"/>
                <w:b w:val="0"/>
                <w:bCs w:val="0"/>
                <w:lang w:val="en-US" w:eastAsia="zh-CN"/>
              </w:rPr>
              <w:t>16</w:t>
            </w:r>
          </w:p>
        </w:tc>
        <w:tc>
          <w:tcPr>
            <w:tcW w:w="605" w:type="pct"/>
            <w:noWrap w:val="0"/>
            <w:vAlign w:val="center"/>
          </w:tcPr>
          <w:p>
            <w:pPr>
              <w:spacing w:line="360" w:lineRule="auto"/>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备件</w:t>
            </w:r>
          </w:p>
        </w:tc>
        <w:tc>
          <w:tcPr>
            <w:tcW w:w="3973" w:type="pct"/>
            <w:noWrap w:val="0"/>
            <w:vAlign w:val="center"/>
          </w:tcPr>
          <w:p>
            <w:pPr>
              <w:spacing w:line="360" w:lineRule="auto"/>
              <w:jc w:val="both"/>
              <w:rPr>
                <w:rFonts w:hint="default" w:ascii="宋体" w:hAnsi="宋体" w:eastAsia="宋体"/>
                <w:sz w:val="21"/>
                <w:szCs w:val="21"/>
                <w:lang w:val="en-US" w:eastAsia="zh-CN"/>
              </w:rPr>
            </w:pPr>
            <w:r>
              <w:rPr>
                <w:rFonts w:hint="eastAsia" w:ascii="宋体" w:hAnsi="宋体" w:eastAsia="宋体"/>
                <w:sz w:val="21"/>
                <w:szCs w:val="21"/>
                <w:lang w:val="en-US" w:eastAsia="zh-CN"/>
              </w:rPr>
              <w:t>投标方提供备件清单及价格。</w:t>
            </w:r>
          </w:p>
        </w:tc>
      </w:tr>
    </w:tbl>
    <w:p>
      <w:pPr>
        <w:pStyle w:val="17"/>
        <w:rPr>
          <w:rFonts w:hint="eastAsia"/>
          <w:lang w:val="en-US" w:eastAsia="zh-CN"/>
        </w:rPr>
      </w:pPr>
    </w:p>
    <w:p>
      <w:pPr>
        <w:pStyle w:val="121"/>
        <w:rPr>
          <w:rFonts w:hint="eastAsia" w:ascii="宋体" w:hAnsi="宋体" w:eastAsia="宋体" w:cs="Times New Roman"/>
          <w:color w:val="0000FF"/>
          <w:kern w:val="2"/>
          <w:sz w:val="24"/>
          <w:szCs w:val="24"/>
          <w:lang w:val="en-US" w:eastAsia="zh-CN" w:bidi="ar-SA"/>
        </w:rPr>
      </w:pPr>
    </w:p>
    <w:p>
      <w:pPr>
        <w:pStyle w:val="121"/>
        <w:ind w:left="0" w:leftChars="0" w:firstLine="0" w:firstLineChars="0"/>
        <w:rPr>
          <w:rFonts w:hint="eastAsia" w:ascii="宋体" w:hAnsi="宋体" w:eastAsia="宋体" w:cs="Times New Roman"/>
          <w:color w:val="0000FF"/>
          <w:kern w:val="2"/>
          <w:sz w:val="24"/>
          <w:szCs w:val="24"/>
          <w:lang w:val="en-US" w:eastAsia="zh-CN" w:bidi="ar-SA"/>
        </w:rPr>
      </w:pPr>
      <w:r>
        <w:rPr>
          <w:rFonts w:hint="eastAsia" w:ascii="宋体" w:hAnsi="宋体" w:eastAsia="宋体" w:cs="Times New Roman"/>
          <w:color w:val="0000FF"/>
          <w:kern w:val="2"/>
          <w:sz w:val="24"/>
          <w:szCs w:val="24"/>
          <w:lang w:val="en-US" w:eastAsia="zh-CN" w:bidi="ar-SA"/>
        </w:rPr>
        <w:t>3.2、配件和耗材技术要求</w:t>
      </w:r>
      <w:r>
        <w:rPr>
          <w:rFonts w:hint="eastAsia" w:ascii="宋体" w:hAnsi="宋体" w:eastAsia="宋体" w:cs="Times New Roman"/>
          <w:color w:val="0000FF"/>
          <w:kern w:val="2"/>
          <w:sz w:val="24"/>
          <w:szCs w:val="24"/>
          <w:lang w:val="en-US" w:eastAsia="zh-CN" w:bidi="ar-SA"/>
        </w:rPr>
        <w:tab/>
      </w:r>
    </w:p>
    <w:p>
      <w:pPr>
        <w:pStyle w:val="115"/>
        <w:rPr>
          <w:rFonts w:hint="eastAsia"/>
          <w:lang w:val="en-US" w:eastAsia="zh-CN"/>
        </w:rPr>
      </w:pPr>
    </w:p>
    <w:tbl>
      <w:tblPr>
        <w:tblStyle w:val="3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56"/>
        <w:gridCol w:w="5731"/>
        <w:gridCol w:w="22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6" w:type="dxa"/>
            <w:tcBorders>
              <w:top w:val="single" w:color="auto" w:sz="4" w:space="0"/>
              <w:left w:val="single" w:color="auto" w:sz="4" w:space="0"/>
              <w:bottom w:val="single" w:color="auto" w:sz="4" w:space="0"/>
              <w:right w:val="single" w:color="auto" w:sz="4" w:space="0"/>
            </w:tcBorders>
            <w:noWrap w:val="0"/>
            <w:vAlign w:val="top"/>
          </w:tcPr>
          <w:p>
            <w:pPr>
              <w:pStyle w:val="118"/>
              <w:rPr>
                <w:lang w:val="en-US" w:eastAsia="zh-CN"/>
              </w:rPr>
            </w:pPr>
            <w:r>
              <w:rPr>
                <w:rFonts w:hint="eastAsia" w:ascii="宋体" w:hAnsi="宋体" w:eastAsia="宋体" w:cs="宋体"/>
                <w:lang w:val="en-US" w:eastAsia="zh-CN"/>
              </w:rPr>
              <w:t>序号</w:t>
            </w:r>
          </w:p>
        </w:tc>
        <w:tc>
          <w:tcPr>
            <w:tcW w:w="5731" w:type="dxa"/>
            <w:tcBorders>
              <w:top w:val="single" w:color="auto" w:sz="4" w:space="0"/>
              <w:left w:val="single" w:color="auto" w:sz="4" w:space="0"/>
              <w:bottom w:val="single" w:color="auto" w:sz="4" w:space="0"/>
              <w:right w:val="single" w:color="auto" w:sz="4" w:space="0"/>
            </w:tcBorders>
            <w:noWrap w:val="0"/>
            <w:vAlign w:val="top"/>
          </w:tcPr>
          <w:p>
            <w:pPr>
              <w:pStyle w:val="118"/>
              <w:rPr>
                <w:lang w:val="en-US" w:eastAsia="zh-CN"/>
              </w:rPr>
            </w:pPr>
            <w:r>
              <w:rPr>
                <w:rFonts w:hint="eastAsia" w:ascii="宋体" w:hAnsi="宋体" w:eastAsia="宋体" w:cs="宋体"/>
                <w:lang w:val="en-US" w:eastAsia="zh-CN"/>
              </w:rPr>
              <w:t>主要技术参数</w:t>
            </w:r>
          </w:p>
        </w:tc>
        <w:tc>
          <w:tcPr>
            <w:tcW w:w="2299" w:type="dxa"/>
            <w:tcBorders>
              <w:top w:val="single" w:color="auto" w:sz="4" w:space="0"/>
              <w:left w:val="single" w:color="auto" w:sz="4" w:space="0"/>
              <w:bottom w:val="single" w:color="auto" w:sz="4" w:space="0"/>
              <w:right w:val="single" w:color="auto" w:sz="4" w:space="0"/>
            </w:tcBorders>
            <w:noWrap w:val="0"/>
            <w:vAlign w:val="top"/>
          </w:tcPr>
          <w:p>
            <w:pPr>
              <w:pStyle w:val="118"/>
              <w:rPr>
                <w:lang w:val="en-US" w:eastAsia="zh-CN"/>
              </w:rPr>
            </w:pPr>
            <w:r>
              <w:rPr>
                <w:rFonts w:hint="eastAsia" w:ascii="宋体" w:hAnsi="宋体" w:eastAsia="宋体" w:cs="宋体"/>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6" w:type="dxa"/>
            <w:tcBorders>
              <w:top w:val="single" w:color="auto" w:sz="4" w:space="0"/>
              <w:left w:val="single" w:color="auto" w:sz="4" w:space="0"/>
              <w:bottom w:val="single" w:color="auto" w:sz="4" w:space="0"/>
              <w:right w:val="single" w:color="auto" w:sz="4" w:space="0"/>
            </w:tcBorders>
            <w:noWrap w:val="0"/>
            <w:vAlign w:val="top"/>
          </w:tcPr>
          <w:p>
            <w:pPr>
              <w:pStyle w:val="118"/>
              <w:rPr>
                <w:rFonts w:hint="default"/>
                <w:b w:val="0"/>
                <w:lang w:val="en-US" w:eastAsia="zh-CN"/>
              </w:rPr>
            </w:pPr>
            <w:r>
              <w:rPr>
                <w:rFonts w:hint="eastAsia"/>
                <w:b w:val="0"/>
                <w:lang w:val="en-US" w:eastAsia="zh-CN"/>
              </w:rPr>
              <w:t>1</w:t>
            </w:r>
          </w:p>
        </w:tc>
        <w:tc>
          <w:tcPr>
            <w:tcW w:w="5731" w:type="dxa"/>
            <w:tcBorders>
              <w:top w:val="single" w:color="auto" w:sz="4" w:space="0"/>
              <w:left w:val="single" w:color="auto" w:sz="4" w:space="0"/>
              <w:bottom w:val="single" w:color="auto" w:sz="4" w:space="0"/>
              <w:right w:val="single" w:color="auto" w:sz="4" w:space="0"/>
            </w:tcBorders>
            <w:noWrap w:val="0"/>
            <w:vAlign w:val="top"/>
          </w:tcPr>
          <w:p>
            <w:pPr>
              <w:pStyle w:val="118"/>
              <w:jc w:val="left"/>
              <w:rPr>
                <w:rFonts w:hint="default" w:ascii="宋体" w:hAnsi="宋体" w:eastAsia="宋体" w:cs="宋体"/>
                <w:b w:val="0"/>
                <w:lang w:val="en-US" w:eastAsia="zh-CN"/>
              </w:rPr>
            </w:pPr>
          </w:p>
        </w:tc>
        <w:tc>
          <w:tcPr>
            <w:tcW w:w="2299" w:type="dxa"/>
            <w:tcBorders>
              <w:top w:val="single" w:color="auto" w:sz="4" w:space="0"/>
              <w:left w:val="single" w:color="auto" w:sz="4" w:space="0"/>
              <w:bottom w:val="single" w:color="auto" w:sz="4" w:space="0"/>
              <w:right w:val="single" w:color="auto" w:sz="4" w:space="0"/>
            </w:tcBorders>
            <w:noWrap w:val="0"/>
            <w:vAlign w:val="top"/>
          </w:tcPr>
          <w:p>
            <w:pPr>
              <w:pStyle w:val="118"/>
              <w:rPr>
                <w:b w:val="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6" w:type="dxa"/>
            <w:tcBorders>
              <w:top w:val="single" w:color="auto" w:sz="4" w:space="0"/>
              <w:left w:val="single" w:color="auto" w:sz="4" w:space="0"/>
              <w:bottom w:val="single" w:color="auto" w:sz="4" w:space="0"/>
              <w:right w:val="single" w:color="auto" w:sz="4" w:space="0"/>
            </w:tcBorders>
            <w:noWrap w:val="0"/>
            <w:vAlign w:val="top"/>
          </w:tcPr>
          <w:p>
            <w:pPr>
              <w:pStyle w:val="118"/>
              <w:rPr>
                <w:rFonts w:hint="eastAsia"/>
                <w:b w:val="0"/>
                <w:lang w:val="en-US" w:eastAsia="zh-CN"/>
              </w:rPr>
            </w:pPr>
            <w:r>
              <w:rPr>
                <w:rFonts w:hint="eastAsia" w:eastAsia="宋体"/>
                <w:b w:val="0"/>
                <w:lang w:val="en-US" w:eastAsia="zh-CN"/>
              </w:rPr>
              <w:t>2</w:t>
            </w:r>
          </w:p>
        </w:tc>
        <w:tc>
          <w:tcPr>
            <w:tcW w:w="5731" w:type="dxa"/>
            <w:tcBorders>
              <w:top w:val="single" w:color="auto" w:sz="4" w:space="0"/>
              <w:left w:val="single" w:color="auto" w:sz="4" w:space="0"/>
              <w:bottom w:val="single" w:color="auto" w:sz="4" w:space="0"/>
              <w:right w:val="single" w:color="auto" w:sz="4" w:space="0"/>
            </w:tcBorders>
            <w:noWrap w:val="0"/>
            <w:vAlign w:val="top"/>
          </w:tcPr>
          <w:p>
            <w:pPr>
              <w:pStyle w:val="118"/>
              <w:jc w:val="left"/>
              <w:rPr>
                <w:rFonts w:hint="eastAsia" w:ascii="宋体" w:hAnsi="宋体" w:cs="宋体"/>
                <w:b w:val="0"/>
                <w:lang w:val="en-US" w:eastAsia="zh-CN"/>
              </w:rPr>
            </w:pPr>
          </w:p>
        </w:tc>
        <w:tc>
          <w:tcPr>
            <w:tcW w:w="2299" w:type="dxa"/>
            <w:tcBorders>
              <w:top w:val="single" w:color="auto" w:sz="4" w:space="0"/>
              <w:left w:val="single" w:color="auto" w:sz="4" w:space="0"/>
              <w:bottom w:val="single" w:color="auto" w:sz="4" w:space="0"/>
              <w:right w:val="single" w:color="auto" w:sz="4" w:space="0"/>
            </w:tcBorders>
            <w:noWrap w:val="0"/>
            <w:vAlign w:val="top"/>
          </w:tcPr>
          <w:p>
            <w:pPr>
              <w:pStyle w:val="118"/>
              <w:rPr>
                <w:rFonts w:hint="eastAsia" w:ascii="宋体" w:hAnsi="宋体" w:cs="宋体"/>
                <w:b w:val="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6" w:type="dxa"/>
            <w:tcBorders>
              <w:top w:val="single" w:color="auto" w:sz="4" w:space="0"/>
              <w:left w:val="single" w:color="auto" w:sz="4" w:space="0"/>
              <w:bottom w:val="single" w:color="auto" w:sz="4" w:space="0"/>
              <w:right w:val="single" w:color="auto" w:sz="4" w:space="0"/>
            </w:tcBorders>
            <w:noWrap w:val="0"/>
            <w:vAlign w:val="top"/>
          </w:tcPr>
          <w:p>
            <w:pPr>
              <w:pStyle w:val="118"/>
              <w:rPr>
                <w:rFonts w:hint="eastAsia" w:eastAsia="宋体"/>
                <w:b w:val="0"/>
                <w:lang w:val="en-US" w:eastAsia="zh-CN"/>
              </w:rPr>
            </w:pPr>
            <w:r>
              <w:rPr>
                <w:rFonts w:hint="eastAsia" w:eastAsia="宋体"/>
                <w:b w:val="0"/>
                <w:lang w:val="en-US" w:eastAsia="zh-CN"/>
              </w:rPr>
              <w:t>3</w:t>
            </w:r>
          </w:p>
        </w:tc>
        <w:tc>
          <w:tcPr>
            <w:tcW w:w="5731" w:type="dxa"/>
            <w:tcBorders>
              <w:top w:val="single" w:color="auto" w:sz="4" w:space="0"/>
              <w:left w:val="single" w:color="auto" w:sz="4" w:space="0"/>
              <w:bottom w:val="single" w:color="auto" w:sz="4" w:space="0"/>
              <w:right w:val="single" w:color="auto" w:sz="4" w:space="0"/>
            </w:tcBorders>
            <w:noWrap w:val="0"/>
            <w:vAlign w:val="top"/>
          </w:tcPr>
          <w:p>
            <w:pPr>
              <w:pStyle w:val="118"/>
              <w:jc w:val="both"/>
              <w:rPr>
                <w:rFonts w:hint="eastAsia" w:ascii="宋体" w:hAnsi="宋体" w:eastAsia="宋体" w:cs="宋体"/>
                <w:b w:val="0"/>
                <w:lang w:val="en-US" w:eastAsia="zh-CN"/>
              </w:rPr>
            </w:pPr>
          </w:p>
        </w:tc>
        <w:tc>
          <w:tcPr>
            <w:tcW w:w="2299" w:type="dxa"/>
            <w:tcBorders>
              <w:top w:val="single" w:color="auto" w:sz="4" w:space="0"/>
              <w:left w:val="single" w:color="auto" w:sz="4" w:space="0"/>
              <w:bottom w:val="single" w:color="auto" w:sz="4" w:space="0"/>
              <w:right w:val="single" w:color="auto" w:sz="4" w:space="0"/>
            </w:tcBorders>
            <w:noWrap w:val="0"/>
            <w:vAlign w:val="top"/>
          </w:tcPr>
          <w:p>
            <w:pPr>
              <w:pStyle w:val="118"/>
              <w:rPr>
                <w:rFonts w:hint="eastAsia" w:ascii="宋体" w:hAnsi="宋体" w:cs="宋体"/>
                <w:b w:val="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6" w:type="dxa"/>
            <w:tcBorders>
              <w:top w:val="single" w:color="auto" w:sz="4" w:space="0"/>
              <w:left w:val="single" w:color="auto" w:sz="4" w:space="0"/>
              <w:bottom w:val="single" w:color="auto" w:sz="4" w:space="0"/>
              <w:right w:val="single" w:color="auto" w:sz="4" w:space="0"/>
            </w:tcBorders>
            <w:noWrap w:val="0"/>
            <w:vAlign w:val="top"/>
          </w:tcPr>
          <w:p>
            <w:pPr>
              <w:pStyle w:val="118"/>
              <w:rPr>
                <w:rFonts w:hint="eastAsia" w:eastAsia="宋体"/>
                <w:b w:val="0"/>
                <w:lang w:val="en-US" w:eastAsia="zh-CN"/>
              </w:rPr>
            </w:pPr>
            <w:r>
              <w:rPr>
                <w:rFonts w:hint="eastAsia" w:eastAsia="宋体"/>
                <w:b w:val="0"/>
                <w:lang w:val="en-US" w:eastAsia="zh-CN"/>
              </w:rPr>
              <w:t>4</w:t>
            </w:r>
          </w:p>
        </w:tc>
        <w:tc>
          <w:tcPr>
            <w:tcW w:w="5731" w:type="dxa"/>
            <w:tcBorders>
              <w:top w:val="single" w:color="auto" w:sz="4" w:space="0"/>
              <w:left w:val="single" w:color="auto" w:sz="4" w:space="0"/>
              <w:bottom w:val="single" w:color="auto" w:sz="4" w:space="0"/>
              <w:right w:val="single" w:color="auto" w:sz="4" w:space="0"/>
            </w:tcBorders>
            <w:noWrap w:val="0"/>
            <w:vAlign w:val="top"/>
          </w:tcPr>
          <w:p>
            <w:pPr>
              <w:pStyle w:val="118"/>
              <w:jc w:val="both"/>
              <w:rPr>
                <w:rFonts w:hint="eastAsia" w:ascii="宋体" w:hAnsi="宋体" w:eastAsia="宋体" w:cs="宋体"/>
                <w:b w:val="0"/>
                <w:lang w:val="en-US" w:eastAsia="zh-CN"/>
              </w:rPr>
            </w:pPr>
          </w:p>
        </w:tc>
        <w:tc>
          <w:tcPr>
            <w:tcW w:w="2299" w:type="dxa"/>
            <w:tcBorders>
              <w:top w:val="single" w:color="auto" w:sz="4" w:space="0"/>
              <w:left w:val="single" w:color="auto" w:sz="4" w:space="0"/>
              <w:bottom w:val="single" w:color="auto" w:sz="4" w:space="0"/>
              <w:right w:val="single" w:color="auto" w:sz="4" w:space="0"/>
            </w:tcBorders>
            <w:noWrap w:val="0"/>
            <w:vAlign w:val="top"/>
          </w:tcPr>
          <w:p>
            <w:pPr>
              <w:pStyle w:val="118"/>
              <w:rPr>
                <w:rFonts w:hint="eastAsia" w:ascii="宋体" w:hAnsi="宋体" w:cs="宋体"/>
                <w:b w:val="0"/>
                <w:lang w:val="en-US" w:eastAsia="zh-CN"/>
              </w:rPr>
            </w:pPr>
          </w:p>
        </w:tc>
      </w:tr>
    </w:tbl>
    <w:p>
      <w:pPr>
        <w:pStyle w:val="116"/>
        <w:spacing w:line="360" w:lineRule="auto"/>
        <w:outlineLvl w:val="2"/>
        <w:rPr>
          <w:rFonts w:hint="eastAsia" w:eastAsia="宋体" w:cs="宋体"/>
          <w:b/>
          <w:bCs w:val="0"/>
          <w:color w:val="0000FF"/>
          <w:sz w:val="24"/>
          <w:szCs w:val="24"/>
          <w:highlight w:val="none"/>
        </w:rPr>
      </w:pPr>
    </w:p>
    <w:p>
      <w:pPr>
        <w:pStyle w:val="121"/>
        <w:spacing w:line="360" w:lineRule="auto"/>
        <w:outlineLvl w:val="2"/>
        <w:rPr>
          <w:rFonts w:hint="eastAsia" w:ascii="宋体" w:hAnsi="宋体" w:cs="宋体"/>
          <w:color w:val="auto"/>
        </w:rPr>
      </w:pPr>
      <w:bookmarkStart w:id="29"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w:t>
      </w:r>
      <w:r>
        <w:rPr>
          <w:rFonts w:hint="eastAsia" w:ascii="宋体" w:hAnsi="宋体" w:eastAsia="宋体" w:cs="宋体"/>
          <w:sz w:val="24"/>
          <w:szCs w:val="24"/>
          <w:lang w:eastAsia="zh-CN"/>
        </w:rPr>
        <w:t>投标方</w:t>
      </w:r>
      <w:r>
        <w:rPr>
          <w:rFonts w:hint="eastAsia" w:ascii="宋体" w:hAnsi="宋体" w:eastAsia="宋体" w:cs="宋体"/>
          <w:sz w:val="24"/>
          <w:szCs w:val="24"/>
        </w:rPr>
        <w:t>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olor w:val="000000"/>
              </w:rPr>
              <w:t>投标方提供行业内的推荐性、企业、国家标准。</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QC/T 491</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9"/>
    </w:p>
    <w:p/>
    <w:p>
      <w:pPr>
        <w:keepNext/>
        <w:keepLines/>
        <w:spacing w:line="360" w:lineRule="auto"/>
        <w:jc w:val="center"/>
        <w:outlineLvl w:val="2"/>
        <w:rPr>
          <w:rFonts w:ascii="宋体" w:hAnsi="宋体" w:eastAsia="宋体" w:cs="宋体"/>
          <w:b/>
          <w:bCs/>
          <w:sz w:val="24"/>
          <w:szCs w:val="32"/>
        </w:rPr>
      </w:pPr>
      <w:bookmarkStart w:id="30" w:name="_Toc169605882"/>
      <w:r>
        <w:rPr>
          <w:rFonts w:hint="eastAsia" w:ascii="宋体" w:hAnsi="宋体" w:eastAsia="宋体" w:cs="宋体"/>
          <w:b/>
          <w:bCs/>
          <w:sz w:val="24"/>
          <w:szCs w:val="32"/>
        </w:rPr>
        <w:t>第一节  供货范围</w:t>
      </w:r>
      <w:bookmarkEnd w:id="30"/>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default"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pStyle w:val="17"/>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default"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8</w:t>
            </w:r>
          </w:p>
        </w:tc>
        <w:tc>
          <w:tcPr>
            <w:tcW w:w="2977" w:type="dxa"/>
            <w:vAlign w:val="center"/>
          </w:tcPr>
          <w:p>
            <w:pPr>
              <w:pStyle w:val="128"/>
              <w:spacing w:before="78" w:after="78"/>
              <w:rPr>
                <w:rFonts w:hint="eastAsia"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9</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8"/>
              <w:spacing w:before="78" w:after="78"/>
              <w:rPr>
                <w:rFonts w:hint="default" w:ascii="宋体" w:hAnsi="宋体" w:eastAsia="宋体" w:cstheme="minorBidi"/>
                <w:b w:val="0"/>
                <w:bCs/>
                <w:kern w:val="2"/>
                <w:sz w:val="21"/>
                <w:szCs w:val="21"/>
                <w:lang w:val="en-US" w:eastAsia="zh-CN" w:bidi="ar-SA"/>
              </w:rPr>
            </w:pPr>
            <w:r>
              <w:rPr>
                <w:rFonts w:hint="eastAsia" w:ascii="宋体" w:hAnsi="宋体" w:eastAsia="宋体" w:cstheme="minorBidi"/>
                <w:b w:val="0"/>
                <w:bCs/>
                <w:kern w:val="2"/>
                <w:sz w:val="21"/>
                <w:szCs w:val="21"/>
                <w:lang w:val="en-US" w:eastAsia="zh-CN" w:bidi="ar-SA"/>
              </w:rPr>
              <w:t>10</w:t>
            </w:r>
          </w:p>
        </w:tc>
        <w:tc>
          <w:tcPr>
            <w:tcW w:w="2977" w:type="dxa"/>
            <w:vAlign w:val="center"/>
          </w:tcPr>
          <w:p>
            <w:pPr>
              <w:pStyle w:val="128"/>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1" w:name="_Toc169605883"/>
    </w:p>
    <w:p>
      <w:pPr>
        <w:pStyle w:val="17"/>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1"/>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yellow"/>
          <w:u w:val="single"/>
        </w:rPr>
        <w:t>山东省济南市高新区华奥路777号</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300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u w:val="single"/>
          <w:shd w:val="clear" w:color="auto" w:fill="FFFFFF"/>
          <w:lang w:val="en-US" w:eastAsia="zh-CN"/>
        </w:rPr>
        <w:t>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lang w:val="en-US" w:eastAsia="zh-CN"/>
        </w:rPr>
        <w:t>35</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2"/>
    </w:p>
    <w:p>
      <w:pPr>
        <w:pStyle w:val="121"/>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w:t>
      </w:r>
      <w:r>
        <w:rPr>
          <w:rFonts w:hint="eastAsia" w:ascii="宋体" w:hAnsi="宋体" w:eastAsia="宋体" w:cs="宋体"/>
          <w:sz w:val="24"/>
          <w:szCs w:val="24"/>
          <w:lang w:eastAsia="zh-CN"/>
        </w:rPr>
        <w:t>投标方</w:t>
      </w:r>
      <w:r>
        <w:rPr>
          <w:rFonts w:hint="eastAsia" w:ascii="宋体" w:hAnsi="宋体" w:eastAsia="宋体" w:cs="宋体"/>
          <w:sz w:val="24"/>
          <w:szCs w:val="24"/>
        </w:rPr>
        <w:t>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21"/>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7</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提供货物涉及到外购外协货物、而且该货物的技术质量等较为关键时，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原因造成的延期，所发生的费用全部由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达到货物的各项技术指标和性能要求。</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在买方现场进行的货物的安装、调试和试运行，买方有权参与，</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所提供货物需要得到买方建设项目所在地政府或行业主管部门的查验、试验、验收时，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21"/>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提供的货物涉及的所有售后服务均由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负责。如果发生问题并且收到通知，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派往买方使用现场的人员，应具有较高的业务素质；现场解决问题时，不得无故拖延或推迟，应为买方提供最佳的服务。</w:t>
      </w:r>
    </w:p>
    <w:p>
      <w:pPr>
        <w:pStyle w:val="121"/>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所提供货物有需要进口的，</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17"/>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33" w:name="_Toc465187646"/>
      <w:r>
        <w:rPr>
          <w:rFonts w:hint="eastAsia" w:ascii="Calibri" w:hAnsi="Calibri" w:eastAsia="宋体" w:cs="Times New Roman"/>
          <w:b/>
          <w:bCs/>
          <w:kern w:val="44"/>
          <w:sz w:val="28"/>
          <w:szCs w:val="28"/>
        </w:rPr>
        <w:t>第五章  预验收和终验收</w:t>
      </w:r>
      <w:bookmarkEnd w:id="33"/>
    </w:p>
    <w:p>
      <w:pPr>
        <w:pStyle w:val="121"/>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21"/>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pPr>
        <w:pStyle w:val="121"/>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1.6 </w:t>
      </w:r>
      <w:r>
        <w:rPr>
          <w:rFonts w:hint="eastAsia" w:ascii="宋体" w:hAnsi="宋体" w:eastAsia="宋体" w:cs="宋体"/>
          <w:color w:val="000000"/>
          <w:sz w:val="24"/>
          <w:szCs w:val="24"/>
          <w:highlight w:val="yellow"/>
          <w:lang w:val="en-US" w:eastAsia="zh-CN"/>
        </w:rPr>
        <w:t>招标方</w:t>
      </w:r>
      <w:r>
        <w:rPr>
          <w:rFonts w:hint="eastAsia" w:ascii="宋体" w:hAnsi="宋体" w:eastAsia="宋体" w:cs="宋体"/>
          <w:color w:val="000000"/>
          <w:sz w:val="24"/>
          <w:szCs w:val="24"/>
          <w:highlight w:val="yellow"/>
        </w:rPr>
        <w:t>派出不少于</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名技术人员在设备生产制造现场进行预验收，时间不少于</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个工作日，</w:t>
      </w:r>
      <w:r>
        <w:rPr>
          <w:rFonts w:hint="eastAsia" w:ascii="宋体" w:hAnsi="宋体" w:eastAsia="宋体" w:cs="宋体"/>
          <w:color w:val="000000"/>
          <w:sz w:val="24"/>
          <w:szCs w:val="24"/>
          <w:highlight w:val="yellow"/>
          <w:lang w:val="en-US" w:eastAsia="zh-CN"/>
        </w:rPr>
        <w:t>预验收期间投标</w:t>
      </w:r>
      <w:r>
        <w:rPr>
          <w:rFonts w:hint="eastAsia" w:ascii="宋体" w:hAnsi="宋体" w:eastAsia="宋体" w:cs="宋体"/>
          <w:color w:val="000000"/>
          <w:sz w:val="24"/>
          <w:szCs w:val="24"/>
          <w:highlight w:val="yellow"/>
        </w:rPr>
        <w:t>方负责</w:t>
      </w:r>
      <w:r>
        <w:rPr>
          <w:rFonts w:hint="eastAsia" w:ascii="宋体" w:hAnsi="宋体" w:eastAsia="宋体" w:cs="宋体"/>
          <w:color w:val="000000"/>
          <w:sz w:val="24"/>
          <w:szCs w:val="24"/>
          <w:highlight w:val="yellow"/>
          <w:lang w:val="en-US" w:eastAsia="zh-CN"/>
        </w:rPr>
        <w:t>陪同并</w:t>
      </w:r>
      <w:r>
        <w:rPr>
          <w:rFonts w:hint="eastAsia" w:ascii="宋体" w:hAnsi="宋体" w:eastAsia="宋体" w:cs="宋体"/>
          <w:color w:val="000000"/>
          <w:sz w:val="24"/>
          <w:szCs w:val="24"/>
          <w:highlight w:val="yellow"/>
        </w:rPr>
        <w:t>安排行程，技术人员从出发地至验收地往返的交通和食宿由买方负责。</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提供合格证或第三方鉴定文件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auto"/>
          <w:sz w:val="24"/>
          <w:szCs w:val="24"/>
        </w:rPr>
        <w:t>3.1</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highlight w:val="yellow"/>
          <w:lang w:val="en-US" w:eastAsia="zh-CN"/>
        </w:rPr>
        <w:t>设备测量参数应满足招标书中的技术要求，设备</w:t>
      </w:r>
      <w:r>
        <w:rPr>
          <w:rFonts w:hint="eastAsia" w:ascii="宋体" w:hAnsi="宋体" w:eastAsia="宋体" w:cs="宋体"/>
          <w:color w:val="000000"/>
          <w:sz w:val="24"/>
          <w:szCs w:val="24"/>
          <w:lang w:val="en-US" w:eastAsia="zh-CN"/>
        </w:rPr>
        <w:t>管路、线束等排布须整洁有序，满足试验室现场管理要求。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减振器试验台</w:t>
      </w:r>
      <w:r>
        <w:rPr>
          <w:rFonts w:hint="eastAsia" w:ascii="宋体" w:hAnsi="宋体" w:eastAsia="宋体" w:cs="宋体"/>
          <w:color w:val="000000"/>
          <w:sz w:val="24"/>
          <w:szCs w:val="24"/>
          <w:highlight w:val="yellow"/>
        </w:rPr>
        <w:t>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终验收原则上要求一次完成。若一次验收不成功，最多允许两次；如果出现第三次验收失败，退货并赔偿招标方全部损失；</w:t>
      </w:r>
    </w:p>
    <w:p>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pPr>
        <w:pStyle w:val="17"/>
        <w:spacing w:line="360" w:lineRule="auto"/>
      </w:pPr>
    </w:p>
    <w:p>
      <w:pPr>
        <w:pStyle w:val="134"/>
        <w:spacing w:line="360" w:lineRule="auto"/>
        <w:outlineLvl w:val="1"/>
        <w:rPr>
          <w:rFonts w:eastAsia="宋体"/>
          <w:b/>
          <w:bCs w:val="0"/>
          <w:i w:val="0"/>
          <w:iCs/>
          <w:color w:val="auto"/>
          <w:sz w:val="28"/>
        </w:rPr>
      </w:pPr>
      <w:bookmarkStart w:id="34" w:name="_Toc465187647"/>
      <w:r>
        <w:rPr>
          <w:rFonts w:eastAsia="宋体"/>
          <w:b/>
          <w:bCs w:val="0"/>
          <w:i w:val="0"/>
          <w:iCs/>
          <w:color w:val="auto"/>
          <w:sz w:val="28"/>
        </w:rPr>
        <w:t>第六章  投标技术文件一般要求</w:t>
      </w:r>
      <w:bookmarkEnd w:id="34"/>
    </w:p>
    <w:p>
      <w:pPr>
        <w:pStyle w:val="121"/>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1"/>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21"/>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2"/>
        <w:spacing w:before="120" w:after="120" w:line="360" w:lineRule="auto"/>
        <w:jc w:val="center"/>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35" w:name="_Toc465187648"/>
    </w:p>
    <w:p>
      <w:pPr>
        <w:pStyle w:val="134"/>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35"/>
    </w:p>
    <w:p>
      <w:pPr>
        <w:pStyle w:val="121"/>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21"/>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w:t>
      </w:r>
      <w:r>
        <w:rPr>
          <w:rFonts w:hint="eastAsia" w:ascii="宋体" w:hAnsi="宋体" w:eastAsia="宋体" w:cs="宋体"/>
          <w:sz w:val="24"/>
          <w:szCs w:val="24"/>
          <w:lang w:eastAsia="zh-CN"/>
        </w:rPr>
        <w:t>投标方</w:t>
      </w:r>
      <w:r>
        <w:rPr>
          <w:rFonts w:hint="eastAsia" w:ascii="宋体" w:hAnsi="宋体" w:eastAsia="宋体" w:cs="宋体"/>
          <w:color w:val="000000"/>
          <w:sz w:val="24"/>
          <w:szCs w:val="24"/>
        </w:rPr>
        <w:t>。</w:t>
      </w:r>
    </w:p>
    <w:p>
      <w:pPr>
        <w:pStyle w:val="17"/>
        <w:spacing w:line="360" w:lineRule="auto"/>
        <w:rPr>
          <w:rFonts w:hAnsi="宋体" w:eastAsia="宋体" w:cs="宋体"/>
        </w:rPr>
        <w:sectPr>
          <w:headerReference r:id="rId14" w:type="default"/>
          <w:footerReference r:id="rId15" w:type="default"/>
          <w:pgSz w:w="11907" w:h="16840"/>
          <w:pgMar w:top="1304" w:right="1418" w:bottom="1304" w:left="1418" w:header="724" w:footer="851" w:gutter="0"/>
          <w:cols w:space="720" w:num="1"/>
          <w:docGrid w:linePitch="290" w:charSpace="-3931"/>
        </w:sectPr>
      </w:pPr>
    </w:p>
    <w:bookmarkEnd w:id="26"/>
    <w:p>
      <w:pPr>
        <w:spacing w:line="360" w:lineRule="auto"/>
        <w:jc w:val="center"/>
        <w:outlineLvl w:val="0"/>
        <w:rPr>
          <w:rFonts w:ascii="宋体" w:hAnsi="Calibri" w:eastAsia="宋体" w:cs="Times New Roman"/>
          <w:b/>
          <w:sz w:val="36"/>
          <w:szCs w:val="36"/>
        </w:rPr>
      </w:pPr>
      <w:bookmarkStart w:id="36"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pPr>
        <w:jc w:val="center"/>
        <w:outlineLvl w:val="9"/>
        <w:rPr>
          <w:sz w:val="11"/>
          <w:szCs w:val="15"/>
        </w:rPr>
      </w:pPr>
      <w:r>
        <w:rPr>
          <w:rFonts w:hint="eastAsia" w:ascii="方正小标宋简体" w:hAnsi="宋体" w:eastAsia="方正小标宋简体"/>
          <w:sz w:val="22"/>
          <w:szCs w:val="16"/>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footerReference r:id="rId16" w:type="default"/>
          <w:pgSz w:w="11907" w:h="16840"/>
          <w:pgMar w:top="1304" w:right="1418" w:bottom="1304" w:left="1418" w:header="724" w:footer="851" w:gutter="0"/>
          <w:cols w:space="720" w:num="1"/>
          <w:docGrid w:linePitch="290" w:charSpace="-3931"/>
        </w:sectPr>
      </w:pPr>
    </w:p>
    <w:p>
      <w:pPr>
        <w:spacing w:line="360" w:lineRule="auto"/>
        <w:ind w:right="480"/>
        <w:rPr>
          <w:rFonts w:ascii="宋体" w:hAnsi="宋体" w:cs="宋体"/>
          <w:bCs/>
          <w:sz w:val="24"/>
          <w:u w:val="single"/>
        </w:rPr>
      </w:pPr>
      <w:r>
        <w:rPr>
          <w:rFonts w:hint="eastAsia" w:ascii="宋体" w:hAnsi="宋体" w:cs="宋体"/>
          <w:bCs/>
          <w:sz w:val="22"/>
        </w:rPr>
        <w:t xml:space="preserve"> </w:t>
      </w:r>
      <w:r>
        <w:rPr>
          <w:rFonts w:hint="eastAsia" w:ascii="宋体" w:hAnsi="宋体" w:cs="宋体"/>
          <w:bCs/>
          <w:sz w:val="24"/>
        </w:rPr>
        <w:t xml:space="preserve"> </w:t>
      </w:r>
    </w:p>
    <w:p>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37" w:name="_Toc24623"/>
      <w:bookmarkStart w:id="38" w:name="_Toc16330037"/>
      <w:bookmarkStart w:id="39" w:name="_Toc3778"/>
      <w:bookmarkStart w:id="40" w:name="_Toc5379"/>
      <w:bookmarkStart w:id="41" w:name="_Toc25120"/>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等线" w:hAnsi="等线" w:eastAsia="等线" w:cs="等线"/>
          <w:sz w:val="20"/>
          <w:szCs w:val="20"/>
        </w:rPr>
      </w:pPr>
      <w:r>
        <w:rPr>
          <w:rFonts w:hint="eastAsia" w:ascii="等线" w:hAnsi="等线" w:eastAsia="等线" w:cs="等线"/>
          <w:sz w:val="20"/>
          <w:szCs w:val="20"/>
        </w:rPr>
        <w:br w:type="page"/>
      </w:r>
    </w:p>
    <w:p>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37"/>
      <w:bookmarkEnd w:id="38"/>
      <w:bookmarkEnd w:id="39"/>
      <w:bookmarkEnd w:id="40"/>
      <w:bookmarkEnd w:id="41"/>
      <w:r>
        <w:rPr>
          <w:rFonts w:hint="eastAsia" w:ascii="黑体" w:hAnsi="黑体" w:eastAsia="黑体" w:cs="等线"/>
          <w:b w:val="0"/>
          <w:sz w:val="28"/>
          <w:szCs w:val="28"/>
        </w:rPr>
        <w:t>技术协议书</w:t>
      </w:r>
    </w:p>
    <w:p>
      <w:pPr>
        <w:ind w:right="360"/>
        <w:rPr>
          <w:rFonts w:ascii="等线" w:hAnsi="等线" w:eastAsia="等线" w:cs="等线"/>
          <w:sz w:val="20"/>
          <w:szCs w:val="20"/>
        </w:rPr>
      </w:pPr>
    </w:p>
    <w:p>
      <w:pPr>
        <w:jc w:val="right"/>
        <w:rPr>
          <w:rFonts w:ascii="等线" w:hAnsi="等线" w:eastAsia="等线" w:cs="等线"/>
          <w:sz w:val="20"/>
          <w:szCs w:val="20"/>
        </w:rPr>
      </w:pPr>
    </w:p>
    <w:p>
      <w:pPr>
        <w:jc w:val="right"/>
        <w:rPr>
          <w:rFonts w:ascii="等线" w:hAnsi="等线" w:eastAsia="等线" w:cs="等线"/>
          <w:sz w:val="20"/>
          <w:szCs w:val="20"/>
        </w:rPr>
      </w:pPr>
    </w:p>
    <w:p>
      <w:pPr>
        <w:jc w:val="right"/>
        <w:rPr>
          <w:rFonts w:ascii="等线" w:hAnsi="等线" w:eastAsia="等线" w:cs="等线"/>
          <w:sz w:val="20"/>
          <w:szCs w:val="20"/>
        </w:rPr>
      </w:pPr>
      <w:r>
        <w:rPr>
          <w:rFonts w:hint="eastAsia" w:ascii="等线" w:hAnsi="等线" w:eastAsia="等线" w:cs="等线"/>
          <w:sz w:val="20"/>
          <w:szCs w:val="20"/>
        </w:rPr>
        <w:t xml:space="preserve">                                      </w:t>
      </w:r>
    </w:p>
    <w:p>
      <w:pPr>
        <w:jc w:val="right"/>
        <w:rPr>
          <w:rFonts w:ascii="等线" w:hAnsi="等线" w:eastAsia="等线" w:cs="等线"/>
          <w:sz w:val="20"/>
          <w:szCs w:val="20"/>
        </w:rPr>
      </w:pPr>
    </w:p>
    <w:p>
      <w:pPr>
        <w:wordWrap w:val="0"/>
        <w:ind w:right="480"/>
        <w:rPr>
          <w:rFonts w:ascii="等线" w:hAnsi="等线" w:eastAsia="等线" w:cs="等线"/>
          <w:sz w:val="20"/>
          <w:szCs w:val="20"/>
        </w:rPr>
      </w:pPr>
    </w:p>
    <w:p>
      <w:pPr>
        <w:jc w:val="right"/>
        <w:rPr>
          <w:rFonts w:ascii="楷体_GB2312" w:hAnsi="宋体" w:eastAsia="楷体_GB2312"/>
          <w:sz w:val="24"/>
        </w:rPr>
      </w:pPr>
    </w:p>
    <w:p>
      <w:pPr>
        <w:ind w:right="480"/>
        <w:jc w:val="center"/>
        <w:rPr>
          <w:sz w:val="24"/>
          <w:szCs w:val="24"/>
        </w:rPr>
      </w:pPr>
      <w:r>
        <w:rPr>
          <w:rFonts w:hint="eastAsia" w:ascii="楷体_GB2312" w:hAnsi="宋体" w:eastAsia="楷体_GB2312"/>
          <w:sz w:val="24"/>
        </w:rPr>
        <w:t xml:space="preserve">                                    </w:t>
      </w:r>
    </w:p>
    <w:p>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pPr>
        <w:adjustRightInd w:val="0"/>
        <w:snapToGrid w:val="0"/>
        <w:spacing w:line="360" w:lineRule="auto"/>
        <w:jc w:val="center"/>
        <w:outlineLvl w:val="1"/>
        <w:rPr>
          <w:rFonts w:ascii="方正小标宋简体" w:hAnsi="宋体" w:eastAsia="方正小标宋简体"/>
          <w:sz w:val="52"/>
          <w:szCs w:val="36"/>
        </w:rPr>
      </w:pPr>
      <w:r>
        <w:rPr>
          <w:rFonts w:hint="eastAsia" w:ascii="方正小标宋简体" w:hAnsi="宋体" w:eastAsia="方正小标宋简体"/>
          <w:bCs/>
          <w:sz w:val="52"/>
          <w:szCs w:val="36"/>
        </w:rPr>
        <w:t>货物买卖合同（模板</w:t>
      </w:r>
      <w:r>
        <w:rPr>
          <w:rFonts w:hint="eastAsia" w:ascii="方正小标宋简体" w:hAnsi="宋体" w:eastAsia="方正小标宋简体"/>
          <w:bCs/>
          <w:sz w:val="52"/>
          <w:szCs w:val="36"/>
          <w:lang w:val="en-US" w:eastAsia="zh-CN"/>
        </w:rPr>
        <w:t>2</w:t>
      </w:r>
      <w:r>
        <w:rPr>
          <w:rFonts w:hint="eastAsia" w:ascii="方正小标宋简体" w:hAnsi="宋体" w:eastAsia="方正小标宋简体"/>
          <w:bCs/>
          <w:sz w:val="52"/>
          <w:szCs w:val="36"/>
        </w:rPr>
        <w:t>）</w:t>
      </w:r>
    </w:p>
    <w:p>
      <w:pPr>
        <w:jc w:val="center"/>
        <w:outlineLvl w:val="9"/>
        <w:rPr>
          <w:sz w:val="11"/>
          <w:szCs w:val="15"/>
        </w:rPr>
      </w:pPr>
      <w:r>
        <w:rPr>
          <w:rFonts w:hint="eastAsia" w:ascii="方正小标宋简体" w:hAnsi="宋体" w:eastAsia="方正小标宋简体"/>
          <w:sz w:val="22"/>
          <w:szCs w:val="16"/>
        </w:rPr>
        <w:t>(合同以双方最终签署的版本为准)</w:t>
      </w:r>
    </w:p>
    <w:p>
      <w:pPr>
        <w:pStyle w:val="34"/>
        <w:spacing w:line="240" w:lineRule="auto"/>
        <w:ind w:right="-290" w:rightChars="-138"/>
        <w:outlineLvl w:val="2"/>
        <w:rPr>
          <w:rFonts w:eastAsia="仿宋" w:cs="Arial"/>
        </w:rPr>
      </w:pPr>
      <w:r>
        <w:rPr>
          <w:rFonts w:eastAsia="仿宋" w:cs="Arial"/>
        </w:rPr>
        <w:t>Contract for Sale and Purchase of Commodities</w:t>
      </w:r>
    </w:p>
    <w:p>
      <w:pPr>
        <w:pStyle w:val="34"/>
        <w:spacing w:line="240" w:lineRule="auto"/>
        <w:outlineLvl w:val="2"/>
        <w:rPr>
          <w:rFonts w:eastAsia="仿宋" w:cs="Arial"/>
        </w:rPr>
      </w:pPr>
      <w:r>
        <w:rPr>
          <w:rFonts w:eastAsia="仿宋" w:cs="Arial"/>
        </w:rPr>
        <w:t>货物买卖合同</w:t>
      </w:r>
    </w:p>
    <w:p>
      <w:pPr>
        <w:ind w:left="360" w:hanging="360"/>
        <w:rPr>
          <w:rFonts w:ascii="Arial" w:hAnsi="Arial" w:eastAsia="仿宋" w:cs="Arial"/>
          <w:szCs w:val="21"/>
        </w:rPr>
      </w:pPr>
    </w:p>
    <w:p>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pPr>
        <w:ind w:left="360" w:hanging="360"/>
        <w:jc w:val="right"/>
        <w:rPr>
          <w:rFonts w:ascii="Arial" w:hAnsi="Arial" w:eastAsia="仿宋" w:cs="Arial"/>
          <w:sz w:val="24"/>
          <w:szCs w:val="24"/>
        </w:rPr>
      </w:pPr>
    </w:p>
    <w:p>
      <w:pPr>
        <w:ind w:left="360" w:hanging="360"/>
        <w:jc w:val="right"/>
        <w:rPr>
          <w:rFonts w:ascii="Arial" w:hAnsi="Arial" w:cs="Arial"/>
          <w:sz w:val="24"/>
          <w:szCs w:val="24"/>
        </w:rPr>
      </w:pPr>
    </w:p>
    <w:p>
      <w:pPr>
        <w:spacing w:line="240" w:lineRule="auto"/>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pPr>
        <w:spacing w:line="240" w:lineRule="auto"/>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pPr>
        <w:spacing w:line="240" w:lineRule="auto"/>
        <w:rPr>
          <w:rFonts w:eastAsia="仿宋" w:cs="Times New Roman"/>
          <w:szCs w:val="21"/>
        </w:rPr>
      </w:pPr>
    </w:p>
    <w:p>
      <w:pPr>
        <w:spacing w:line="240" w:lineRule="auto"/>
        <w:rPr>
          <w:rFonts w:eastAsia="仿宋" w:cs="Times New Roman"/>
          <w:szCs w:val="21"/>
        </w:rPr>
      </w:pPr>
      <w:r>
        <w:rPr>
          <w:rFonts w:eastAsia="仿宋" w:cs="Times New Roman"/>
          <w:szCs w:val="21"/>
        </w:rPr>
        <w:t>The Buyer:</w:t>
      </w:r>
    </w:p>
    <w:p>
      <w:pPr>
        <w:spacing w:line="240" w:lineRule="auto"/>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pPr>
        <w:spacing w:line="240" w:lineRule="auto"/>
        <w:rPr>
          <w:rFonts w:eastAsia="仿宋" w:cs="Times New Roman"/>
          <w:szCs w:val="21"/>
        </w:rPr>
      </w:pPr>
      <w:r>
        <w:rPr>
          <w:rFonts w:eastAsia="仿宋" w:cs="Times New Roman"/>
          <w:szCs w:val="21"/>
        </w:rPr>
        <w:t xml:space="preserve">Address: </w:t>
      </w:r>
    </w:p>
    <w:p>
      <w:pPr>
        <w:spacing w:line="240" w:lineRule="auto"/>
        <w:rPr>
          <w:rFonts w:eastAsia="仿宋" w:cs="Times New Roman"/>
          <w:szCs w:val="21"/>
        </w:rPr>
      </w:pPr>
      <w:r>
        <w:rPr>
          <w:rFonts w:eastAsia="仿宋" w:cs="Times New Roman"/>
          <w:szCs w:val="21"/>
        </w:rPr>
        <w:t>地址：</w:t>
      </w:r>
    </w:p>
    <w:p>
      <w:pPr>
        <w:spacing w:line="240" w:lineRule="auto"/>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pPr>
        <w:spacing w:line="240" w:lineRule="auto"/>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pPr>
        <w:spacing w:line="240" w:lineRule="auto"/>
        <w:rPr>
          <w:rFonts w:eastAsia="仿宋" w:cs="Times New Roman"/>
          <w:szCs w:val="21"/>
          <w:lang w:val="fr-FR"/>
        </w:rPr>
      </w:pPr>
      <w:r>
        <w:rPr>
          <w:rFonts w:eastAsia="仿宋" w:cs="Times New Roman"/>
          <w:szCs w:val="21"/>
          <w:lang w:val="fr-FR"/>
        </w:rPr>
        <w:t xml:space="preserve">Email:  </w:t>
      </w:r>
    </w:p>
    <w:p>
      <w:pPr>
        <w:spacing w:line="240" w:lineRule="auto"/>
        <w:rPr>
          <w:rFonts w:eastAsia="仿宋" w:cs="Times New Roman"/>
          <w:szCs w:val="21"/>
        </w:rPr>
      </w:pPr>
    </w:p>
    <w:p>
      <w:pPr>
        <w:spacing w:line="240" w:lineRule="auto"/>
        <w:rPr>
          <w:rFonts w:eastAsia="仿宋" w:cs="Times New Roman"/>
          <w:szCs w:val="21"/>
          <w:lang w:val="fr-FR"/>
        </w:rPr>
      </w:pPr>
    </w:p>
    <w:p>
      <w:pPr>
        <w:spacing w:line="240" w:lineRule="auto"/>
        <w:rPr>
          <w:rFonts w:eastAsia="仿宋" w:cs="Times New Roman"/>
          <w:szCs w:val="21"/>
          <w:lang w:val="fr-FR"/>
        </w:rPr>
      </w:pPr>
      <w:r>
        <w:rPr>
          <w:rFonts w:eastAsia="仿宋" w:cs="Times New Roman"/>
          <w:szCs w:val="21"/>
          <w:lang w:val="fr-FR"/>
        </w:rPr>
        <w:t xml:space="preserve">The Seller:  </w:t>
      </w:r>
    </w:p>
    <w:p>
      <w:pPr>
        <w:spacing w:line="240" w:lineRule="auto"/>
        <w:rPr>
          <w:rFonts w:eastAsia="仿宋" w:cs="Times New Roman"/>
          <w:szCs w:val="21"/>
        </w:rPr>
      </w:pPr>
      <w:r>
        <w:rPr>
          <w:rFonts w:eastAsia="仿宋" w:cs="Times New Roman"/>
          <w:szCs w:val="21"/>
        </w:rPr>
        <w:t xml:space="preserve">卖方：      </w:t>
      </w:r>
    </w:p>
    <w:p>
      <w:pPr>
        <w:spacing w:line="240" w:lineRule="auto"/>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pPr>
        <w:spacing w:line="240" w:lineRule="auto"/>
        <w:rPr>
          <w:rFonts w:eastAsia="仿宋" w:cs="Times New Roman"/>
          <w:szCs w:val="21"/>
          <w:lang w:val="fr-FR"/>
        </w:rPr>
      </w:pPr>
      <w:r>
        <w:rPr>
          <w:rFonts w:eastAsia="仿宋" w:cs="Times New Roman"/>
          <w:szCs w:val="21"/>
          <w:lang w:val="fr-FR"/>
        </w:rPr>
        <w:t xml:space="preserve">Tel:      </w:t>
      </w:r>
    </w:p>
    <w:p>
      <w:pPr>
        <w:spacing w:line="240" w:lineRule="auto"/>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pPr>
        <w:spacing w:line="240" w:lineRule="auto"/>
        <w:rPr>
          <w:rFonts w:eastAsia="仿宋" w:cs="Times New Roman"/>
          <w:szCs w:val="21"/>
          <w:lang w:val="fr-FR"/>
        </w:rPr>
      </w:pPr>
      <w:r>
        <w:rPr>
          <w:rFonts w:eastAsia="仿宋" w:cs="Times New Roman"/>
          <w:szCs w:val="21"/>
          <w:lang w:val="fr-FR"/>
        </w:rPr>
        <w:t xml:space="preserve">Email:     </w:t>
      </w:r>
    </w:p>
    <w:p>
      <w:pPr>
        <w:spacing w:line="240" w:lineRule="auto"/>
        <w:rPr>
          <w:rFonts w:eastAsia="仿宋" w:cs="Times New Roman"/>
          <w:szCs w:val="21"/>
          <w:lang w:val="fr-FR"/>
        </w:rPr>
      </w:pPr>
    </w:p>
    <w:p>
      <w:pPr>
        <w:spacing w:line="240" w:lineRule="auto"/>
        <w:rPr>
          <w:rFonts w:eastAsia="仿宋" w:cs="Times New Roman"/>
          <w:szCs w:val="21"/>
        </w:rPr>
      </w:pPr>
    </w:p>
    <w:p>
      <w:pPr>
        <w:spacing w:line="240" w:lineRule="auto"/>
        <w:rPr>
          <w:rFonts w:eastAsia="仿宋" w:cs="Times New Roman"/>
          <w:szCs w:val="21"/>
        </w:rPr>
      </w:pPr>
      <w:r>
        <w:rPr>
          <w:rFonts w:eastAsia="仿宋" w:cs="Times New Roman"/>
          <w:szCs w:val="21"/>
        </w:rPr>
        <w:t xml:space="preserve">The Enduser: </w:t>
      </w:r>
    </w:p>
    <w:p>
      <w:pPr>
        <w:spacing w:line="240" w:lineRule="auto"/>
        <w:rPr>
          <w:rFonts w:eastAsia="仿宋" w:cs="Times New Roman"/>
          <w:szCs w:val="21"/>
        </w:rPr>
      </w:pPr>
      <w:r>
        <w:rPr>
          <w:rFonts w:eastAsia="仿宋" w:cs="Times New Roman"/>
          <w:szCs w:val="21"/>
        </w:rPr>
        <w:t xml:space="preserve">最终用户： </w:t>
      </w:r>
    </w:p>
    <w:p>
      <w:pPr>
        <w:spacing w:line="240" w:lineRule="auto"/>
        <w:rPr>
          <w:rFonts w:eastAsia="仿宋" w:cs="Times New Roman"/>
          <w:szCs w:val="21"/>
        </w:rPr>
      </w:pPr>
      <w:r>
        <w:rPr>
          <w:rFonts w:eastAsia="仿宋" w:cs="Times New Roman"/>
          <w:szCs w:val="21"/>
        </w:rPr>
        <w:t xml:space="preserve">Address:  </w:t>
      </w:r>
    </w:p>
    <w:p>
      <w:pPr>
        <w:spacing w:line="240" w:lineRule="auto"/>
        <w:rPr>
          <w:rFonts w:eastAsia="仿宋" w:cs="Times New Roman"/>
          <w:szCs w:val="21"/>
        </w:rPr>
      </w:pPr>
      <w:r>
        <w:rPr>
          <w:rFonts w:eastAsia="仿宋" w:cs="Times New Roman"/>
          <w:szCs w:val="21"/>
        </w:rPr>
        <w:t>Tel:         </w:t>
      </w:r>
    </w:p>
    <w:p>
      <w:pPr>
        <w:spacing w:line="240" w:lineRule="auto"/>
        <w:rPr>
          <w:rFonts w:eastAsia="仿宋" w:cs="Times New Roman"/>
          <w:szCs w:val="21"/>
        </w:rPr>
      </w:pPr>
      <w:r>
        <w:rPr>
          <w:rFonts w:eastAsia="仿宋" w:cs="Times New Roman"/>
          <w:szCs w:val="21"/>
        </w:rPr>
        <w:t xml:space="preserve">Fax:       </w:t>
      </w:r>
    </w:p>
    <w:p>
      <w:pPr>
        <w:spacing w:line="240" w:lineRule="auto"/>
        <w:rPr>
          <w:rFonts w:eastAsia="仿宋" w:cs="Times New Roman"/>
          <w:szCs w:val="21"/>
        </w:rPr>
      </w:pPr>
      <w:r>
        <w:rPr>
          <w:rFonts w:eastAsia="仿宋" w:cs="Times New Roman"/>
          <w:szCs w:val="21"/>
        </w:rPr>
        <w:t>Email:    </w:t>
      </w:r>
    </w:p>
    <w:p>
      <w:pPr>
        <w:spacing w:line="240" w:lineRule="auto"/>
        <w:rPr>
          <w:rFonts w:eastAsia="仿宋" w:cs="Times New Roman"/>
          <w:szCs w:val="21"/>
        </w:rPr>
      </w:pPr>
      <w:r>
        <w:rPr>
          <w:rFonts w:eastAsia="仿宋" w:cs="Times New Roman"/>
          <w:b/>
          <w:szCs w:val="21"/>
        </w:rPr>
        <w:t xml:space="preserve"> </w:t>
      </w:r>
    </w:p>
    <w:p>
      <w:pPr>
        <w:spacing w:line="240" w:lineRule="auto"/>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pPr>
        <w:spacing w:line="240" w:lineRule="auto"/>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pPr>
        <w:spacing w:line="240" w:lineRule="auto"/>
        <w:rPr>
          <w:rFonts w:eastAsia="仿宋" w:cs="Times New Roman"/>
          <w:szCs w:val="21"/>
        </w:rPr>
      </w:pPr>
    </w:p>
    <w:p>
      <w:pPr>
        <w:tabs>
          <w:tab w:val="left" w:pos="567"/>
        </w:tabs>
        <w:spacing w:line="240" w:lineRule="auto"/>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pPr>
        <w:spacing w:line="240" w:lineRule="auto"/>
        <w:rPr>
          <w:rFonts w:eastAsia="仿宋" w:cs="Times New Roman"/>
          <w:szCs w:val="21"/>
          <w:lang w:eastAsia="zh-TW"/>
        </w:rPr>
      </w:pPr>
    </w:p>
    <w:tbl>
      <w:tblPr>
        <w:tblStyle w:val="37"/>
        <w:tblW w:w="0" w:type="auto"/>
        <w:tblInd w:w="108" w:type="dxa"/>
        <w:tblLayout w:type="fixed"/>
        <w:tblCellMar>
          <w:top w:w="0" w:type="dxa"/>
          <w:left w:w="108" w:type="dxa"/>
          <w:bottom w:w="0" w:type="dxa"/>
          <w:right w:w="108" w:type="dxa"/>
        </w:tblCellMar>
      </w:tblPr>
      <w:tblGrid>
        <w:gridCol w:w="2835"/>
        <w:gridCol w:w="284"/>
        <w:gridCol w:w="5674"/>
      </w:tblGrid>
      <w:tr>
        <w:tblPrEx>
          <w:tblCellMar>
            <w:top w:w="0" w:type="dxa"/>
            <w:left w:w="108" w:type="dxa"/>
            <w:bottom w:w="0" w:type="dxa"/>
            <w:right w:w="108" w:type="dxa"/>
          </w:tblCellMar>
        </w:tblPrEx>
        <w:tc>
          <w:tcPr>
            <w:tcW w:w="2835" w:type="dxa"/>
          </w:tcPr>
          <w:p>
            <w:pPr>
              <w:spacing w:line="240" w:lineRule="auto"/>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pPr>
              <w:spacing w:line="240" w:lineRule="auto"/>
              <w:rPr>
                <w:rFonts w:eastAsia="仿宋" w:cs="Times New Roman"/>
                <w:szCs w:val="21"/>
              </w:rPr>
            </w:pPr>
            <w:r>
              <w:rPr>
                <w:rFonts w:hint="eastAsia" w:eastAsia="仿宋" w:cs="Times New Roman"/>
                <w:szCs w:val="21"/>
                <w:lang w:eastAsia="zh-TW"/>
              </w:rPr>
              <w:t>贸易术语</w:t>
            </w:r>
          </w:p>
        </w:tc>
        <w:tc>
          <w:tcPr>
            <w:tcW w:w="284" w:type="dxa"/>
          </w:tcPr>
          <w:p>
            <w:pPr>
              <w:spacing w:line="240" w:lineRule="auto"/>
              <w:rPr>
                <w:rFonts w:eastAsia="仿宋" w:cs="Times New Roman"/>
                <w:szCs w:val="21"/>
              </w:rPr>
            </w:pPr>
          </w:p>
        </w:tc>
        <w:tc>
          <w:tcPr>
            <w:tcW w:w="5674" w:type="dxa"/>
          </w:tcPr>
          <w:p>
            <w:pPr>
              <w:spacing w:line="240" w:lineRule="auto"/>
              <w:rPr>
                <w:rFonts w:eastAsia="仿宋" w:cs="Times New Roman"/>
                <w:szCs w:val="21"/>
              </w:rPr>
            </w:pPr>
            <w:r>
              <w:rPr>
                <w:rFonts w:eastAsia="仿宋" w:cs="Times New Roman"/>
                <w:szCs w:val="21"/>
                <w:lang w:eastAsia="zh-TW"/>
              </w:rPr>
              <w:t>This contract uses trade terms as defined in INCOTERMS® 2020</w:t>
            </w:r>
          </w:p>
          <w:p>
            <w:pPr>
              <w:spacing w:line="240" w:lineRule="auto"/>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pPr>
              <w:spacing w:line="240" w:lineRule="auto"/>
              <w:rPr>
                <w:rFonts w:eastAsia="仿宋" w:cs="Times New Roman"/>
                <w:szCs w:val="21"/>
              </w:rPr>
            </w:pP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Contract Value</w:t>
            </w:r>
          </w:p>
          <w:p>
            <w:pPr>
              <w:spacing w:line="240" w:lineRule="auto"/>
              <w:rPr>
                <w:rFonts w:eastAsia="仿宋" w:cs="Times New Roman"/>
                <w:szCs w:val="21"/>
              </w:rPr>
            </w:pPr>
            <w:r>
              <w:rPr>
                <w:rFonts w:eastAsia="仿宋" w:cs="Times New Roman"/>
                <w:szCs w:val="21"/>
              </w:rPr>
              <w:t>合同价格</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lang w:val="en"/>
              </w:rPr>
            </w:pPr>
            <w:r>
              <w:rPr>
                <w:rFonts w:eastAsia="仿宋" w:cs="Times New Roman"/>
                <w:szCs w:val="21"/>
                <w:lang w:val="en"/>
              </w:rPr>
              <w:t>means the total price for the Commodities under this Contract as specified in Article 10</w:t>
            </w:r>
          </w:p>
          <w:p>
            <w:pPr>
              <w:spacing w:line="240" w:lineRule="auto"/>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Commodities</w:t>
            </w:r>
          </w:p>
          <w:p>
            <w:pPr>
              <w:spacing w:line="240" w:lineRule="auto"/>
              <w:rPr>
                <w:rFonts w:eastAsia="仿宋" w:cs="Times New Roman"/>
                <w:szCs w:val="21"/>
              </w:rPr>
            </w:pPr>
            <w:r>
              <w:rPr>
                <w:rFonts w:eastAsia="仿宋" w:cs="Times New Roman"/>
                <w:szCs w:val="21"/>
              </w:rPr>
              <w:t>货物</w:t>
            </w:r>
          </w:p>
        </w:tc>
        <w:tc>
          <w:tcPr>
            <w:tcW w:w="284" w:type="dxa"/>
          </w:tcPr>
          <w:p>
            <w:pPr>
              <w:spacing w:line="240" w:lineRule="auto"/>
              <w:rPr>
                <w:rFonts w:eastAsia="仿宋" w:cs="Times New Roman"/>
                <w:szCs w:val="21"/>
                <w:lang w:eastAsia="zh-TW"/>
              </w:rPr>
            </w:pPr>
          </w:p>
        </w:tc>
        <w:tc>
          <w:tcPr>
            <w:tcW w:w="5674" w:type="dxa"/>
          </w:tcPr>
          <w:p>
            <w:pPr>
              <w:spacing w:line="240" w:lineRule="auto"/>
            </w:pPr>
            <w:r>
              <w:rPr>
                <w:rFonts w:hint="eastAsia"/>
              </w:rPr>
              <w:t>means the products including relevant technologies and  software supplied by the Seller to the Buyer as described in Article 2</w:t>
            </w:r>
          </w:p>
          <w:p>
            <w:pPr>
              <w:spacing w:line="240" w:lineRule="auto"/>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pPr>
              <w:spacing w:line="240" w:lineRule="auto"/>
              <w:rPr>
                <w:rFonts w:eastAsia="仿宋" w:cs="Times New Roman"/>
                <w:szCs w:val="21"/>
              </w:rPr>
            </w:pPr>
            <w:r>
              <w:rPr>
                <w:rFonts w:eastAsia="仿宋" w:cs="Times New Roman"/>
                <w:szCs w:val="21"/>
              </w:rPr>
              <w:t>不可抗力</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pPr>
              <w:spacing w:line="240" w:lineRule="auto"/>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Party</w:t>
            </w:r>
          </w:p>
          <w:p>
            <w:pPr>
              <w:spacing w:line="240" w:lineRule="auto"/>
              <w:rPr>
                <w:rFonts w:eastAsia="仿宋" w:cs="Times New Roman"/>
                <w:szCs w:val="21"/>
              </w:rPr>
            </w:pPr>
            <w:r>
              <w:rPr>
                <w:rFonts w:eastAsia="仿宋" w:cs="Times New Roman"/>
                <w:szCs w:val="21"/>
              </w:rPr>
              <w:t>当事方</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p>
          <w:p>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Parties</w:t>
            </w:r>
          </w:p>
          <w:p>
            <w:pPr>
              <w:spacing w:line="240" w:lineRule="auto"/>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lang w:eastAsia="zh-TW"/>
              </w:rPr>
            </w:pPr>
            <w:r>
              <w:rPr>
                <w:rFonts w:hint="eastAsia" w:eastAsia="仿宋" w:cs="Times New Roman"/>
                <w:szCs w:val="21"/>
                <w:lang w:eastAsia="zh-TW"/>
              </w:rPr>
              <w:t>means the Seller, the Buyer and the Enduser collectively</w:t>
            </w:r>
          </w:p>
          <w:p>
            <w:pPr>
              <w:spacing w:line="240" w:lineRule="auto"/>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PRC</w:t>
            </w:r>
          </w:p>
          <w:p>
            <w:pPr>
              <w:spacing w:line="240" w:lineRule="auto"/>
              <w:rPr>
                <w:rFonts w:eastAsia="仿宋" w:cs="Times New Roman"/>
                <w:szCs w:val="21"/>
              </w:rPr>
            </w:pPr>
            <w:r>
              <w:rPr>
                <w:rFonts w:hint="eastAsia" w:eastAsia="仿宋" w:cs="Times New Roman"/>
                <w:szCs w:val="21"/>
              </w:rPr>
              <w:t>中国</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pPr>
              <w:spacing w:line="240" w:lineRule="auto"/>
              <w:rPr>
                <w:rFonts w:eastAsia="仿宋" w:cs="Times New Roman"/>
                <w:szCs w:val="21"/>
              </w:rPr>
            </w:pPr>
            <w:r>
              <w:rPr>
                <w:rFonts w:eastAsia="仿宋" w:cs="Times New Roman"/>
                <w:szCs w:val="21"/>
              </w:rPr>
              <w:t>交货时间表</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pPr>
              <w:spacing w:line="240" w:lineRule="auto"/>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lang w:eastAsia="zh-TW"/>
              </w:rPr>
            </w:pPr>
            <w:r>
              <w:rPr>
                <w:rFonts w:eastAsia="仿宋" w:cs="Times New Roman"/>
                <w:szCs w:val="21"/>
                <w:lang w:eastAsia="zh-TW"/>
              </w:rPr>
              <w:t>Technical Agreement</w:t>
            </w:r>
          </w:p>
          <w:p>
            <w:pPr>
              <w:spacing w:line="240" w:lineRule="auto"/>
              <w:rPr>
                <w:rFonts w:eastAsia="仿宋" w:cs="Times New Roman"/>
                <w:szCs w:val="21"/>
              </w:rPr>
            </w:pPr>
            <w:r>
              <w:rPr>
                <w:rFonts w:eastAsia="仿宋" w:cs="Times New Roman"/>
                <w:szCs w:val="21"/>
              </w:rPr>
              <w:t>技术协议</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spacing w:line="240" w:lineRule="auto"/>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tblPrEx>
          <w:tblCellMar>
            <w:top w:w="0" w:type="dxa"/>
            <w:left w:w="108" w:type="dxa"/>
            <w:bottom w:w="0" w:type="dxa"/>
            <w:right w:w="108" w:type="dxa"/>
          </w:tblCellMar>
        </w:tblPrEx>
        <w:tc>
          <w:tcPr>
            <w:tcW w:w="2835" w:type="dxa"/>
          </w:tcPr>
          <w:p>
            <w:pPr>
              <w:spacing w:line="240" w:lineRule="auto"/>
              <w:jc w:val="left"/>
              <w:rPr>
                <w:rFonts w:eastAsia="仿宋" w:cs="Times New Roman"/>
                <w:szCs w:val="21"/>
                <w:lang w:eastAsia="zh-TW"/>
              </w:rPr>
            </w:pPr>
            <w:r>
              <w:rPr>
                <w:rFonts w:eastAsia="仿宋" w:cs="Times New Roman"/>
                <w:szCs w:val="21"/>
                <w:lang w:eastAsia="zh-TW"/>
              </w:rPr>
              <w:t>Quality Guarantee Agreement</w:t>
            </w:r>
          </w:p>
          <w:p>
            <w:pPr>
              <w:spacing w:line="240" w:lineRule="auto"/>
              <w:rPr>
                <w:rFonts w:eastAsia="仿宋" w:cs="Times New Roman"/>
                <w:szCs w:val="21"/>
              </w:rPr>
            </w:pPr>
            <w:r>
              <w:rPr>
                <w:rFonts w:hint="eastAsia" w:eastAsia="仿宋" w:cs="Times New Roman"/>
                <w:szCs w:val="21"/>
              </w:rPr>
              <w:t>质量保证协议</w:t>
            </w:r>
          </w:p>
          <w:p>
            <w:pPr>
              <w:spacing w:line="240" w:lineRule="auto"/>
              <w:rPr>
                <w:rFonts w:eastAsia="仿宋" w:cs="Times New Roman"/>
                <w:szCs w:val="21"/>
              </w:rPr>
            </w:pPr>
            <w:r>
              <w:rPr>
                <w:rFonts w:hint="eastAsia" w:eastAsia="仿宋" w:cs="Times New Roman"/>
                <w:i/>
                <w:iCs/>
                <w:szCs w:val="21"/>
              </w:rPr>
              <w:t>（如有）</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spacing w:line="240" w:lineRule="auto"/>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tblPrEx>
          <w:tblCellMar>
            <w:top w:w="0" w:type="dxa"/>
            <w:left w:w="108" w:type="dxa"/>
            <w:bottom w:w="0" w:type="dxa"/>
            <w:right w:w="108" w:type="dxa"/>
          </w:tblCellMar>
        </w:tblPrEx>
        <w:tc>
          <w:tcPr>
            <w:tcW w:w="2835" w:type="dxa"/>
          </w:tcPr>
          <w:p>
            <w:pPr>
              <w:spacing w:line="240" w:lineRule="auto"/>
              <w:jc w:val="left"/>
              <w:rPr>
                <w:rFonts w:eastAsia="楷体_GB2312" w:cs="Times New Roman"/>
                <w:iCs/>
                <w:szCs w:val="21"/>
              </w:rPr>
            </w:pPr>
            <w:r>
              <w:rPr>
                <w:rFonts w:eastAsia="楷体_GB2312" w:cs="Times New Roman"/>
                <w:iCs/>
                <w:szCs w:val="21"/>
              </w:rPr>
              <w:t>Final Acceptance</w:t>
            </w:r>
          </w:p>
          <w:p>
            <w:pPr>
              <w:spacing w:line="240" w:lineRule="auto"/>
              <w:jc w:val="left"/>
              <w:rPr>
                <w:rFonts w:ascii="Arial" w:hAnsi="Arial" w:eastAsia="楷体_GB2312"/>
                <w:iCs/>
                <w:szCs w:val="21"/>
              </w:rPr>
            </w:pPr>
            <w:r>
              <w:rPr>
                <w:rFonts w:hint="eastAsia" w:ascii="Arial" w:hAnsi="Arial" w:eastAsia="楷体_GB2312"/>
                <w:iCs/>
                <w:szCs w:val="21"/>
              </w:rPr>
              <w:t>最终验收</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spacing w:line="240" w:lineRule="auto"/>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pPr>
              <w:spacing w:line="240" w:lineRule="auto"/>
              <w:rPr>
                <w:rFonts w:eastAsia="仿宋" w:cs="Times New Roman"/>
                <w:szCs w:val="21"/>
              </w:rPr>
            </w:pPr>
            <w:r>
              <w:rPr>
                <w:rFonts w:ascii="仿宋" w:hAnsi="仿宋" w:eastAsia="仿宋" w:cs="Arial"/>
                <w:szCs w:val="21"/>
              </w:rPr>
              <w:t>最终用户</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rPr>
              <w:t>means the company (</w:t>
            </w:r>
            <w:r>
              <w:rPr>
                <w:rFonts w:hint="eastAsia" w:eastAsia="仿宋" w:cs="Times New Roman"/>
                <w:szCs w:val="21"/>
              </w:rPr>
              <w:t>【公司英文名称】</w:t>
            </w:r>
            <w:r>
              <w:rPr>
                <w:rFonts w:eastAsia="仿宋" w:cs="Times New Roman"/>
                <w:szCs w:val="21"/>
              </w:rPr>
              <w:t>) at whose designated premises the Commodities under this Contract will be installed and used</w:t>
            </w:r>
          </w:p>
          <w:p>
            <w:pPr>
              <w:spacing w:line="240" w:lineRule="auto"/>
              <w:rPr>
                <w:rFonts w:eastAsia="仿宋" w:cs="Times New Roman"/>
                <w:szCs w:val="21"/>
              </w:rPr>
            </w:pPr>
            <w:r>
              <w:rPr>
                <w:rFonts w:eastAsia="仿宋" w:cs="Times New Roman"/>
                <w:szCs w:val="21"/>
              </w:rPr>
              <w:t>本合同项下设备的安装和使用方，即</w:t>
            </w:r>
            <w:r>
              <w:rPr>
                <w:rFonts w:hint="eastAsia" w:eastAsia="仿宋" w:cs="Times New Roman"/>
                <w:szCs w:val="21"/>
              </w:rPr>
              <w:t>【公司中文名称】</w:t>
            </w:r>
          </w:p>
        </w:tc>
      </w:tr>
    </w:tbl>
    <w:p>
      <w:pPr>
        <w:spacing w:line="240" w:lineRule="auto"/>
        <w:rPr>
          <w:rFonts w:eastAsia="仿宋" w:cs="Times New Roman"/>
          <w:szCs w:val="21"/>
        </w:rPr>
      </w:pPr>
      <w:r>
        <w:rPr>
          <w:rFonts w:eastAsia="仿宋" w:cs="Times New Roman"/>
          <w:szCs w:val="21"/>
        </w:rPr>
        <w:t xml:space="preserve"> </w:t>
      </w:r>
    </w:p>
    <w:p>
      <w:pPr>
        <w:tabs>
          <w:tab w:val="left" w:pos="567"/>
        </w:tabs>
        <w:spacing w:line="240" w:lineRule="auto"/>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pPr>
        <w:spacing w:line="240" w:lineRule="auto"/>
        <w:ind w:left="360" w:hanging="360"/>
        <w:rPr>
          <w:rFonts w:eastAsia="仿宋" w:cs="Times New Roman"/>
          <w:szCs w:val="21"/>
          <w:lang w:eastAsia="zh-TW"/>
        </w:rPr>
      </w:pP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a)</w:t>
      </w: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pPr>
        <w:spacing w:line="240" w:lineRule="auto"/>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pPr>
        <w:spacing w:line="240" w:lineRule="auto"/>
        <w:ind w:left="840"/>
        <w:rPr>
          <w:rFonts w:eastAsia="仿宋" w:cs="Times New Roman"/>
          <w:szCs w:val="21"/>
        </w:rPr>
      </w:pPr>
    </w:p>
    <w:tbl>
      <w:tblPr>
        <w:tblStyle w:val="37"/>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rFonts w:eastAsia="仿宋" w:cs="Times New Roman"/>
                <w:szCs w:val="21"/>
              </w:rPr>
            </w:pPr>
            <w:r>
              <w:rPr>
                <w:rFonts w:eastAsia="仿宋" w:cs="Times New Roman"/>
                <w:szCs w:val="21"/>
              </w:rPr>
              <w:t>Item</w:t>
            </w:r>
          </w:p>
          <w:p>
            <w:pPr>
              <w:spacing w:line="240" w:lineRule="auto"/>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pPr>
              <w:spacing w:line="240" w:lineRule="auto"/>
              <w:jc w:val="center"/>
              <w:rPr>
                <w:rFonts w:eastAsia="仿宋" w:cs="Times New Roman"/>
                <w:szCs w:val="21"/>
              </w:rPr>
            </w:pPr>
            <w:r>
              <w:rPr>
                <w:rFonts w:eastAsia="仿宋" w:cs="Times New Roman"/>
                <w:szCs w:val="21"/>
              </w:rPr>
              <w:t>Description</w:t>
            </w:r>
          </w:p>
          <w:p>
            <w:pPr>
              <w:spacing w:line="240" w:lineRule="auto"/>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pPr>
              <w:spacing w:line="240" w:lineRule="auto"/>
              <w:jc w:val="center"/>
              <w:rPr>
                <w:rFonts w:eastAsia="仿宋" w:cs="Times New Roman"/>
                <w:szCs w:val="21"/>
              </w:rPr>
            </w:pPr>
            <w:r>
              <w:rPr>
                <w:rFonts w:eastAsia="仿宋" w:cs="Times New Roman"/>
                <w:szCs w:val="21"/>
              </w:rPr>
              <w:t>Unit</w:t>
            </w:r>
          </w:p>
          <w:p>
            <w:pPr>
              <w:spacing w:line="240" w:lineRule="auto"/>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pPr>
              <w:spacing w:line="240" w:lineRule="auto"/>
              <w:jc w:val="center"/>
              <w:rPr>
                <w:rFonts w:eastAsia="仿宋" w:cs="Times New Roman"/>
                <w:szCs w:val="21"/>
              </w:rPr>
            </w:pPr>
            <w:r>
              <w:rPr>
                <w:rFonts w:eastAsia="仿宋" w:cs="Times New Roman"/>
                <w:szCs w:val="21"/>
              </w:rPr>
              <w:t>Qty</w:t>
            </w:r>
          </w:p>
          <w:p>
            <w:pPr>
              <w:spacing w:line="240" w:lineRule="auto"/>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pPr>
              <w:spacing w:line="240" w:lineRule="auto"/>
              <w:jc w:val="center"/>
              <w:rPr>
                <w:rFonts w:eastAsia="仿宋" w:cs="Times New Roman"/>
                <w:szCs w:val="21"/>
              </w:rPr>
            </w:pPr>
            <w:r>
              <w:rPr>
                <w:rFonts w:eastAsia="仿宋" w:cs="Times New Roman"/>
                <w:szCs w:val="21"/>
              </w:rPr>
              <w:t>Unit Price单价</w:t>
            </w:r>
          </w:p>
          <w:p>
            <w:pPr>
              <w:spacing w:line="240" w:lineRule="auto"/>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pPr>
              <w:spacing w:line="240" w:lineRule="auto"/>
              <w:jc w:val="center"/>
              <w:rPr>
                <w:rFonts w:eastAsia="仿宋" w:cs="Times New Roman"/>
                <w:szCs w:val="21"/>
              </w:rPr>
            </w:pPr>
            <w:r>
              <w:rPr>
                <w:rFonts w:eastAsia="仿宋" w:cs="Times New Roman"/>
                <w:szCs w:val="21"/>
              </w:rPr>
              <w:t>Total Price总价</w:t>
            </w:r>
          </w:p>
          <w:p>
            <w:pPr>
              <w:spacing w:line="240" w:lineRule="auto"/>
              <w:jc w:val="center"/>
              <w:rPr>
                <w:rFonts w:eastAsia="仿宋" w:cs="Times New Roman"/>
                <w:szCs w:val="21"/>
              </w:rPr>
            </w:pPr>
          </w:p>
        </w:tc>
      </w:tr>
      <w:tr>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pPr>
              <w:spacing w:line="240" w:lineRule="auto"/>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pPr>
              <w:pStyle w:val="3"/>
              <w:rPr>
                <w:rFonts w:eastAsia="仿宋" w:cs="Times New Roman"/>
                <w:color w:val="auto"/>
                <w:sz w:val="21"/>
                <w:szCs w:val="21"/>
              </w:rPr>
            </w:pPr>
            <w:r>
              <w:rPr>
                <w:rFonts w:eastAsia="仿宋" w:cs="Times New Roman"/>
                <w:color w:val="auto"/>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pPr>
              <w:spacing w:line="240" w:lineRule="auto"/>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pPr>
              <w:spacing w:line="240" w:lineRule="auto"/>
              <w:jc w:val="center"/>
              <w:rPr>
                <w:rFonts w:eastAsia="仿宋" w:cs="Times New Roman"/>
                <w:b/>
                <w:bCs/>
                <w:szCs w:val="21"/>
              </w:rPr>
            </w:pPr>
          </w:p>
          <w:p>
            <w:pPr>
              <w:spacing w:line="240" w:lineRule="auto"/>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pPr>
              <w:spacing w:line="240" w:lineRule="auto"/>
              <w:rPr>
                <w:rFonts w:eastAsia="仿宋" w:cs="Times New Roman"/>
                <w:b/>
                <w:bCs/>
                <w:szCs w:val="21"/>
              </w:rPr>
            </w:pPr>
          </w:p>
        </w:tc>
      </w:tr>
      <w:tr>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pPr>
              <w:spacing w:line="240" w:lineRule="auto"/>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pPr>
              <w:spacing w:line="240" w:lineRule="auto"/>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pPr>
              <w:spacing w:line="240" w:lineRule="auto"/>
              <w:rPr>
                <w:rFonts w:eastAsia="仿宋" w:cs="Times New Roman"/>
                <w:b/>
                <w:bCs/>
                <w:szCs w:val="21"/>
              </w:rPr>
            </w:pPr>
          </w:p>
          <w:p>
            <w:pPr>
              <w:spacing w:line="240" w:lineRule="auto"/>
              <w:rPr>
                <w:rFonts w:eastAsia="仿宋" w:cs="Times New Roman"/>
                <w:b/>
                <w:bCs/>
                <w:szCs w:val="21"/>
              </w:rPr>
            </w:pPr>
          </w:p>
        </w:tc>
      </w:tr>
      <w:tr>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rFonts w:eastAsia="仿宋" w:cs="Times New Roman"/>
                <w:b/>
                <w:bCs/>
                <w:szCs w:val="21"/>
              </w:rPr>
            </w:pPr>
            <w:r>
              <w:rPr>
                <w:rFonts w:eastAsia="仿宋" w:cs="Times New Roman"/>
                <w:b/>
                <w:bCs/>
                <w:szCs w:val="21"/>
              </w:rPr>
              <w:t>Total value</w:t>
            </w:r>
          </w:p>
          <w:p>
            <w:pPr>
              <w:spacing w:line="240" w:lineRule="auto"/>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pPr>
              <w:spacing w:line="240" w:lineRule="auto"/>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pPr>
              <w:spacing w:line="240" w:lineRule="auto"/>
              <w:rPr>
                <w:rFonts w:eastAsia="仿宋" w:cs="Times New Roman"/>
                <w:szCs w:val="21"/>
              </w:rPr>
            </w:pPr>
          </w:p>
        </w:tc>
      </w:tr>
    </w:tbl>
    <w:p>
      <w:pPr>
        <w:spacing w:line="240" w:lineRule="auto"/>
        <w:rPr>
          <w:rFonts w:eastAsia="仿宋" w:cs="Times New Roman"/>
          <w:b/>
          <w:szCs w:val="21"/>
          <w:lang w:eastAsia="zh-TW"/>
        </w:rPr>
      </w:pP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b)</w:t>
      </w: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pPr>
        <w:tabs>
          <w:tab w:val="left" w:pos="390"/>
          <w:tab w:val="left" w:pos="840"/>
        </w:tabs>
        <w:spacing w:line="240" w:lineRule="auto"/>
        <w:ind w:left="840"/>
        <w:rPr>
          <w:rFonts w:ascii="仿宋" w:hAnsi="仿宋" w:eastAsia="仿宋" w:cs="仿宋"/>
          <w:szCs w:val="21"/>
          <w:lang w:eastAsia="zh-TW"/>
        </w:rPr>
      </w:pPr>
      <w:r>
        <w:rPr>
          <w:rFonts w:hint="eastAsia" w:ascii="仿宋" w:hAnsi="仿宋" w:eastAsia="仿宋" w:cs="仿宋"/>
          <w:szCs w:val="21"/>
        </w:rPr>
        <w:t>贸易术语：</w:t>
      </w: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hint="eastAsia" w:eastAsia="仿宋" w:cs="Times New Roman"/>
          <w:szCs w:val="21"/>
          <w:lang w:eastAsia="zh-TW"/>
        </w:rPr>
        <w:t>：</w:t>
      </w:r>
    </w:p>
    <w:p>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品牌：</w:t>
      </w: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d)</w:t>
      </w:r>
      <w:r>
        <w:rPr>
          <w:szCs w:val="21"/>
        </w:rPr>
        <w:t>The product model type is</w:t>
      </w:r>
      <w:r>
        <w:rPr>
          <w:rFonts w:hint="eastAsia" w:ascii="仿宋" w:hAnsi="仿宋" w:eastAsia="仿宋"/>
          <w:szCs w:val="21"/>
        </w:rPr>
        <w:t>：</w:t>
      </w:r>
    </w:p>
    <w:p>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产品型号：</w:t>
      </w: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e)</w:t>
      </w:r>
      <w:r>
        <w:rPr>
          <w:rFonts w:hint="eastAsia" w:eastAsia="仿宋" w:cs="Times New Roman"/>
          <w:szCs w:val="21"/>
          <w:lang w:eastAsia="zh-TW"/>
        </w:rPr>
        <w:t>The county of origin is：</w:t>
      </w:r>
    </w:p>
    <w:p>
      <w:pPr>
        <w:tabs>
          <w:tab w:val="left" w:pos="390"/>
          <w:tab w:val="left" w:pos="840"/>
        </w:tabs>
        <w:spacing w:line="240" w:lineRule="auto"/>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pPr>
        <w:tabs>
          <w:tab w:val="left" w:pos="390"/>
          <w:tab w:val="left" w:pos="840"/>
        </w:tabs>
        <w:spacing w:line="240" w:lineRule="auto"/>
        <w:ind w:firstLine="422" w:firstLineChars="200"/>
        <w:rPr>
          <w:rFonts w:ascii="仿宋" w:hAnsi="仿宋" w:eastAsia="仿宋" w:cs="Times New Roman"/>
          <w:szCs w:val="21"/>
        </w:rPr>
      </w:pPr>
      <w:r>
        <w:rPr>
          <w:rFonts w:eastAsia="仿宋" w:cs="Times New Roman"/>
          <w:b/>
          <w:szCs w:val="21"/>
          <w:lang w:eastAsia="zh-TW"/>
        </w:rPr>
        <w:t>f)</w:t>
      </w:r>
      <w:r>
        <w:rPr>
          <w:rFonts w:hint="eastAsia" w:ascii="仿宋" w:hAnsi="仿宋" w:eastAsia="仿宋" w:cs="Times New Roman"/>
          <w:szCs w:val="21"/>
        </w:rPr>
        <w:t>The mode of Transport is: BY SEA/ BY AIR</w:t>
      </w:r>
    </w:p>
    <w:p>
      <w:pPr>
        <w:tabs>
          <w:tab w:val="left" w:pos="390"/>
          <w:tab w:val="left" w:pos="840"/>
        </w:tabs>
        <w:spacing w:line="240" w:lineRule="auto"/>
        <w:ind w:left="840"/>
        <w:rPr>
          <w:rFonts w:ascii="仿宋" w:hAnsi="仿宋" w:eastAsia="仿宋" w:cs="Times New Roman"/>
          <w:szCs w:val="21"/>
        </w:rPr>
      </w:pPr>
      <w:r>
        <w:rPr>
          <w:rFonts w:hint="eastAsia" w:ascii="仿宋" w:hAnsi="仿宋" w:eastAsia="仿宋" w:cs="Times New Roman"/>
          <w:szCs w:val="21"/>
        </w:rPr>
        <w:t>运输方式：</w:t>
      </w:r>
    </w:p>
    <w:p>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g</w:t>
      </w:r>
      <w:r>
        <w:rPr>
          <w:rFonts w:eastAsia="仿宋" w:cs="Times New Roman"/>
          <w:b/>
          <w:szCs w:val="21"/>
          <w:lang w:eastAsia="zh-TW"/>
        </w:rPr>
        <w:t>)</w:t>
      </w:r>
      <w:r>
        <w:rPr>
          <w:rFonts w:eastAsia="仿宋" w:cs="Times New Roman"/>
          <w:szCs w:val="21"/>
          <w:lang w:eastAsia="zh-TW"/>
        </w:rPr>
        <w:t xml:space="preserve">The import port is:   </w:t>
      </w:r>
    </w:p>
    <w:p>
      <w:pPr>
        <w:tabs>
          <w:tab w:val="left" w:pos="390"/>
          <w:tab w:val="left" w:pos="840"/>
        </w:tabs>
        <w:spacing w:line="240" w:lineRule="auto"/>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pPr>
        <w:tabs>
          <w:tab w:val="left" w:pos="390"/>
          <w:tab w:val="left" w:pos="840"/>
        </w:tabs>
        <w:spacing w:line="240" w:lineRule="auto"/>
        <w:ind w:left="840"/>
        <w:rPr>
          <w:rFonts w:eastAsia="仿宋" w:cs="Times New Roman"/>
          <w:b/>
          <w:i/>
          <w:iCs/>
          <w:sz w:val="24"/>
          <w:szCs w:val="24"/>
          <w:lang w:eastAsia="zh-TW"/>
        </w:rPr>
      </w:pPr>
    </w:p>
    <w:p>
      <w:pPr>
        <w:tabs>
          <w:tab w:val="left" w:pos="390"/>
          <w:tab w:val="left" w:pos="840"/>
        </w:tabs>
        <w:spacing w:line="240" w:lineRule="auto"/>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pPr>
        <w:tabs>
          <w:tab w:val="left" w:pos="390"/>
          <w:tab w:val="left" w:pos="840"/>
        </w:tabs>
        <w:spacing w:line="240" w:lineRule="auto"/>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pPr>
        <w:tabs>
          <w:tab w:val="left" w:pos="390"/>
          <w:tab w:val="left" w:pos="840"/>
        </w:tabs>
        <w:spacing w:line="240" w:lineRule="auto"/>
        <w:rPr>
          <w:rFonts w:cs="Times New Roman" w:eastAsiaTheme="minorEastAsia"/>
          <w:szCs w:val="21"/>
        </w:rPr>
      </w:pPr>
      <w:r>
        <w:rPr>
          <w:rFonts w:hint="eastAsia" w:cs="Times New Roman" w:eastAsiaTheme="minorEastAsia"/>
          <w:szCs w:val="21"/>
        </w:rPr>
        <w:t xml:space="preserve"> </w:t>
      </w:r>
      <w:r>
        <w:rPr>
          <w:rFonts w:cs="Times New Roman" w:eastAsiaTheme="minorEastAsia"/>
          <w:szCs w:val="21"/>
        </w:rPr>
        <w:t xml:space="preserve">  </w:t>
      </w:r>
    </w:p>
    <w:p>
      <w:pPr>
        <w:numPr>
          <w:ilvl w:val="1"/>
          <w:numId w:val="0"/>
        </w:numPr>
        <w:spacing w:line="240" w:lineRule="auto"/>
        <w:ind w:left="840" w:hanging="420"/>
        <w:rPr>
          <w:rFonts w:eastAsia="仿宋" w:cs="Times New Roman"/>
          <w:szCs w:val="21"/>
        </w:rPr>
      </w:pPr>
      <w:r>
        <w:rPr>
          <w:rFonts w:hint="eastAsia" w:eastAsia="仿宋" w:cs="Times New Roman"/>
          <w:b/>
          <w:szCs w:val="21"/>
        </w:rPr>
        <w:t>h</w:t>
      </w:r>
      <w:r>
        <w:rPr>
          <w:rFonts w:eastAsia="仿宋" w:cs="Times New Roman"/>
          <w:b/>
          <w:szCs w:val="21"/>
        </w:rPr>
        <w:t>)</w:t>
      </w:r>
      <w:r>
        <w:rPr>
          <w:rFonts w:eastAsia="仿宋" w:cs="Times New Roman"/>
          <w:szCs w:val="21"/>
        </w:rPr>
        <w:t>The Commodities</w:t>
      </w:r>
      <w:r>
        <w:rPr>
          <w:rFonts w:hint="eastAsia" w:eastAsia="仿宋" w:cs="Times New Roman"/>
          <w:szCs w:val="21"/>
        </w:rPr>
        <w:t xml:space="preserve"> shall </w:t>
      </w:r>
      <w:r>
        <w:rPr>
          <w:rFonts w:eastAsia="仿宋" w:cs="Times New Roman"/>
          <w:szCs w:val="21"/>
        </w:rPr>
        <w:t xml:space="preserve">fully </w:t>
      </w:r>
      <w:r>
        <w:rPr>
          <w:rFonts w:hint="eastAsia" w:eastAsia="仿宋" w:cs="Times New Roman"/>
          <w:szCs w:val="21"/>
        </w:rPr>
        <w:t>conform to the standards descri</w:t>
      </w:r>
      <w:r>
        <w:rPr>
          <w:rFonts w:eastAsia="仿宋" w:cs="Times New Roman"/>
          <w:szCs w:val="21"/>
        </w:rPr>
        <w:t>bed</w:t>
      </w:r>
      <w:r>
        <w:rPr>
          <w:rFonts w:hint="eastAsia" w:eastAsia="仿宋" w:cs="Times New Roman"/>
          <w:szCs w:val="21"/>
        </w:rPr>
        <w:t xml:space="preserve"> in the drawing of MAN and regulations in M3211，M3214，M3416</w:t>
      </w:r>
      <w:r>
        <w:rPr>
          <w:rFonts w:eastAsia="仿宋" w:cs="Times New Roman"/>
          <w:szCs w:val="21"/>
        </w:rPr>
        <w:t xml:space="preserve">, only the raw material C38 mod BY n. </w:t>
      </w:r>
      <w:r>
        <w:rPr>
          <w:rFonts w:hint="eastAsia" w:eastAsia="仿宋" w:cs="Times New Roman"/>
          <w:szCs w:val="21"/>
        </w:rPr>
        <w:t xml:space="preserve">M3214 </w:t>
      </w:r>
      <w:r>
        <w:rPr>
          <w:rFonts w:eastAsia="仿宋" w:cs="Times New Roman"/>
          <w:szCs w:val="21"/>
        </w:rPr>
        <w:t>delivered by GMH Georgsmarienhütte shall be processed by the Seller</w:t>
      </w:r>
      <w:r>
        <w:rPr>
          <w:rFonts w:hint="eastAsia" w:eastAsia="仿宋" w:cs="Times New Roman"/>
          <w:szCs w:val="21"/>
        </w:rPr>
        <w:t>.</w:t>
      </w:r>
    </w:p>
    <w:p>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602" w:firstLineChars="250"/>
        <w:rPr>
          <w:rFonts w:eastAsia="PMingLiU" w:cs="Times New Roman"/>
          <w:b/>
          <w:sz w:val="24"/>
          <w:szCs w:val="24"/>
          <w:lang w:eastAsia="zh-TW"/>
        </w:rPr>
      </w:pPr>
      <w:r>
        <w:rPr>
          <w:rFonts w:hint="eastAsia" w:eastAsia="仿宋" w:cs="Times New Roman"/>
          <w:b/>
          <w:i/>
          <w:iCs/>
          <w:sz w:val="24"/>
          <w:szCs w:val="24"/>
          <w:lang w:eastAsia="zh-TW"/>
        </w:rPr>
        <w:t>（曼机零部件适用）</w:t>
      </w:r>
      <w:r>
        <w:rPr>
          <w:rFonts w:hint="eastAsia" w:ascii="Arial" w:hAnsi="Arial" w:eastAsia="楷体_GB2312"/>
          <w:szCs w:val="21"/>
        </w:rPr>
        <w:t>货物应</w:t>
      </w:r>
      <w:r>
        <w:rPr>
          <w:rFonts w:hint="eastAsia" w:ascii="Arial" w:eastAsia="楷体_GB2312"/>
          <w:bCs/>
          <w:szCs w:val="21"/>
        </w:rPr>
        <w:t>完全符合</w:t>
      </w:r>
      <w:r>
        <w:rPr>
          <w:rFonts w:hint="eastAsia" w:ascii="Arial" w:eastAsia="楷体_GB2312"/>
          <w:szCs w:val="21"/>
        </w:rPr>
        <w:t>德国</w:t>
      </w:r>
      <w:r>
        <w:rPr>
          <w:rFonts w:hint="eastAsia" w:ascii="Arial" w:hAnsi="Arial" w:eastAsia="楷体_GB2312"/>
          <w:szCs w:val="21"/>
        </w:rPr>
        <w:t>MAN</w:t>
      </w:r>
      <w:r>
        <w:rPr>
          <w:rFonts w:hint="eastAsia" w:ascii="Arial" w:eastAsia="楷体_GB2312"/>
          <w:szCs w:val="21"/>
        </w:rPr>
        <w:t>公司图纸和M3211、M3214及M3416的规格要求</w:t>
      </w:r>
      <w:r>
        <w:rPr>
          <w:rFonts w:hint="eastAsia" w:ascii="Arial" w:hAnsi="Arial" w:eastAsia="楷体_GB2312"/>
          <w:szCs w:val="21"/>
        </w:rPr>
        <w:t xml:space="preserve">，卖方仅加工由GMH </w:t>
      </w:r>
      <w:r>
        <w:rPr>
          <w:rFonts w:ascii="Arial" w:hAnsi="Arial" w:eastAsia="楷体_GB2312"/>
          <w:szCs w:val="21"/>
        </w:rPr>
        <w:t>Georgsmarienhütte</w:t>
      </w:r>
      <w:r>
        <w:rPr>
          <w:rFonts w:hint="eastAsia" w:ascii="Arial" w:hAnsi="Arial" w:eastAsia="楷体_GB2312"/>
          <w:szCs w:val="21"/>
        </w:rPr>
        <w:t>交付的原材料</w:t>
      </w:r>
      <w:r>
        <w:rPr>
          <w:rFonts w:ascii="Arial" w:hAnsi="Arial" w:eastAsia="楷体_GB2312"/>
          <w:szCs w:val="21"/>
        </w:rPr>
        <w:t xml:space="preserve">C38 mod BY n. </w:t>
      </w:r>
      <w:r>
        <w:rPr>
          <w:rFonts w:hint="eastAsia" w:ascii="Arial" w:hAnsi="Arial" w:eastAsia="楷体_GB2312"/>
          <w:szCs w:val="21"/>
        </w:rPr>
        <w:t>M3214.</w:t>
      </w:r>
      <w:r>
        <w:rPr>
          <w:rFonts w:hint="eastAsia" w:eastAsia="仿宋" w:cs="Times New Roman"/>
          <w:szCs w:val="21"/>
          <w:lang w:eastAsia="zh-TW"/>
        </w:rPr>
        <w:t>。</w:t>
      </w:r>
    </w:p>
    <w:p>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i</w:t>
      </w:r>
      <w:r>
        <w:rPr>
          <w:rFonts w:eastAsia="仿宋" w:cs="Times New Roman"/>
          <w:b/>
          <w:szCs w:val="21"/>
          <w:lang w:eastAsia="zh-TW"/>
        </w:rPr>
        <w:t>)</w:t>
      </w: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pPr>
        <w:spacing w:line="240" w:lineRule="auto"/>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pPr>
        <w:spacing w:line="240" w:lineRule="auto"/>
        <w:ind w:left="420"/>
        <w:rPr>
          <w:rFonts w:eastAsia="仿宋" w:cs="Times New Roman"/>
          <w:b/>
          <w:szCs w:val="21"/>
          <w:lang w:eastAsia="zh-TW"/>
        </w:rPr>
      </w:pPr>
    </w:p>
    <w:p>
      <w:pPr>
        <w:spacing w:line="240" w:lineRule="auto"/>
        <w:rPr>
          <w:rFonts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i/>
          <w:iCs/>
          <w:sz w:val="24"/>
          <w:szCs w:val="24"/>
          <w:lang w:eastAsia="zh-TW"/>
        </w:rPr>
        <w:t>（</w:t>
      </w:r>
      <w:r>
        <w:rPr>
          <w:rFonts w:eastAsia="仿宋" w:cs="Times New Roman"/>
          <w:b/>
          <w:i/>
          <w:iCs/>
          <w:sz w:val="24"/>
          <w:szCs w:val="24"/>
          <w:lang w:eastAsia="zh-TW"/>
        </w:rPr>
        <w:t>FOB.CFR.CIF. CIP.CPT</w:t>
      </w:r>
      <w:r>
        <w:rPr>
          <w:rFonts w:hint="eastAsia" w:eastAsia="仿宋" w:cs="Times New Roman"/>
          <w:b/>
          <w:i/>
          <w:iCs/>
          <w:sz w:val="24"/>
          <w:szCs w:val="24"/>
          <w:lang w:eastAsia="zh-TW"/>
        </w:rPr>
        <w:t>适用）</w:t>
      </w:r>
    </w:p>
    <w:p>
      <w:pPr>
        <w:spacing w:line="240" w:lineRule="auto"/>
        <w:rPr>
          <w:rFonts w:eastAsia="仿宋" w:cs="Times New Roman"/>
          <w:szCs w:val="21"/>
          <w:lang w:eastAsia="zh-TW"/>
        </w:rPr>
      </w:pPr>
    </w:p>
    <w:p>
      <w:pPr>
        <w:spacing w:line="240" w:lineRule="auto"/>
        <w:ind w:firstLine="420" w:firstLineChars="200"/>
        <w:rPr>
          <w:rFonts w:eastAsia="仿宋" w:cs="Times New Roman"/>
          <w:szCs w:val="21"/>
          <w:lang w:eastAsia="zh-TW"/>
        </w:rPr>
      </w:pPr>
      <w:r>
        <w:rPr>
          <w:rFonts w:eastAsia="仿宋" w:cs="Times New Roman"/>
          <w:szCs w:val="21"/>
          <w:lang w:eastAsia="zh-TW"/>
        </w:rPr>
        <w:t>The loading port of the Commodities shall be</w:t>
      </w:r>
      <w:r>
        <w:rPr>
          <w:rFonts w:hint="eastAsia" w:eastAsia="仿宋" w:cs="Times New Roman"/>
          <w:szCs w:val="21"/>
        </w:rPr>
        <w:t>【】</w:t>
      </w:r>
      <w:r>
        <w:rPr>
          <w:rFonts w:eastAsia="仿宋" w:cs="Times New Roman"/>
          <w:szCs w:val="21"/>
          <w:lang w:eastAsia="zh-TW"/>
        </w:rPr>
        <w:t xml:space="preserve"> Seaport /Airport.</w:t>
      </w:r>
    </w:p>
    <w:p>
      <w:pPr>
        <w:spacing w:line="240" w:lineRule="auto"/>
        <w:ind w:firstLine="420" w:firstLineChars="200"/>
        <w:rPr>
          <w:rFonts w:eastAsia="仿宋" w:cs="Times New Roman"/>
          <w:szCs w:val="21"/>
        </w:rPr>
      </w:pPr>
      <w:r>
        <w:rPr>
          <w:rFonts w:eastAsia="仿宋" w:cs="Times New Roman"/>
          <w:szCs w:val="21"/>
        </w:rPr>
        <w:t>货物的装运港口为</w:t>
      </w:r>
      <w:r>
        <w:rPr>
          <w:rFonts w:hint="eastAsia" w:eastAsia="仿宋" w:cs="Times New Roman"/>
          <w:szCs w:val="21"/>
        </w:rPr>
        <w:t>【】</w:t>
      </w:r>
      <w:r>
        <w:rPr>
          <w:rFonts w:eastAsia="仿宋" w:cs="Times New Roman"/>
          <w:szCs w:val="21"/>
        </w:rPr>
        <w:t>港口</w:t>
      </w:r>
      <w:r>
        <w:rPr>
          <w:rFonts w:hint="eastAsia" w:eastAsia="仿宋" w:cs="Times New Roman"/>
          <w:szCs w:val="21"/>
        </w:rPr>
        <w:t>/机场</w:t>
      </w:r>
      <w:r>
        <w:rPr>
          <w:rFonts w:eastAsia="仿宋" w:cs="Times New Roman"/>
          <w:szCs w:val="21"/>
        </w:rPr>
        <w:t>。</w:t>
      </w:r>
    </w:p>
    <w:p>
      <w:pPr>
        <w:spacing w:line="240" w:lineRule="auto"/>
        <w:rPr>
          <w:rFonts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i/>
          <w:iCs/>
          <w:sz w:val="24"/>
          <w:szCs w:val="24"/>
          <w:lang w:eastAsia="zh-TW"/>
        </w:rPr>
        <w:t>（FOB.CFR.CIF. CIP.CPT适用）</w:t>
      </w:r>
    </w:p>
    <w:p>
      <w:pPr>
        <w:spacing w:line="240" w:lineRule="auto"/>
        <w:rPr>
          <w:rFonts w:eastAsia="仿宋" w:cs="Times New Roman"/>
          <w:b/>
          <w:szCs w:val="21"/>
          <w:lang w:eastAsia="zh-TW"/>
        </w:rPr>
      </w:pPr>
    </w:p>
    <w:p>
      <w:pPr>
        <w:spacing w:line="240" w:lineRule="auto"/>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hint="eastAsia" w:eastAsia="仿宋" w:cs="Times New Roman"/>
          <w:szCs w:val="21"/>
        </w:rPr>
        <w:t>【】</w:t>
      </w:r>
      <w:r>
        <w:rPr>
          <w:rFonts w:eastAsia="仿宋" w:cs="Times New Roman"/>
          <w:szCs w:val="21"/>
        </w:rPr>
        <w:t>Seaport/A</w:t>
      </w:r>
      <w:r>
        <w:rPr>
          <w:rFonts w:hint="eastAsia" w:eastAsia="仿宋" w:cs="Times New Roman"/>
          <w:szCs w:val="21"/>
        </w:rPr>
        <w:t>irport, the PRC</w:t>
      </w:r>
      <w:r>
        <w:rPr>
          <w:rFonts w:eastAsia="仿宋" w:cs="Times New Roman"/>
          <w:szCs w:val="21"/>
        </w:rPr>
        <w:t>.</w:t>
      </w:r>
    </w:p>
    <w:p>
      <w:pPr>
        <w:spacing w:line="240" w:lineRule="auto"/>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w:t>
      </w:r>
      <w:r>
        <w:rPr>
          <w:rFonts w:hint="eastAsia" w:eastAsia="仿宋" w:cs="Times New Roman"/>
          <w:szCs w:val="21"/>
        </w:rPr>
        <w:t>【】</w:t>
      </w:r>
      <w:r>
        <w:rPr>
          <w:rFonts w:eastAsia="仿宋" w:cs="Times New Roman"/>
          <w:szCs w:val="21"/>
        </w:rPr>
        <w:t>港</w:t>
      </w:r>
      <w:r>
        <w:rPr>
          <w:rFonts w:hint="eastAsia" w:eastAsia="仿宋" w:cs="Times New Roman"/>
          <w:szCs w:val="21"/>
        </w:rPr>
        <w:t>/机场</w:t>
      </w:r>
      <w:r>
        <w:rPr>
          <w:rFonts w:eastAsia="仿宋" w:cs="Times New Roman"/>
          <w:szCs w:val="21"/>
        </w:rPr>
        <w:t>。</w:t>
      </w:r>
    </w:p>
    <w:p>
      <w:pPr>
        <w:spacing w:line="240" w:lineRule="auto"/>
        <w:ind w:left="420" w:leftChars="200"/>
        <w:rPr>
          <w:rFonts w:eastAsia="仿宋" w:cs="Times New Roman"/>
          <w:szCs w:val="21"/>
        </w:rPr>
      </w:pPr>
    </w:p>
    <w:p>
      <w:pPr>
        <w:spacing w:line="240" w:lineRule="auto"/>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i/>
          <w:iCs/>
          <w:sz w:val="24"/>
          <w:szCs w:val="24"/>
          <w:lang w:eastAsia="zh-TW"/>
        </w:rPr>
        <w:t>（FCA.DAP.DDP术语适用）</w:t>
      </w:r>
    </w:p>
    <w:p>
      <w:pPr>
        <w:spacing w:line="240" w:lineRule="auto"/>
        <w:ind w:firstLine="422" w:firstLineChars="200"/>
        <w:rPr>
          <w:rFonts w:eastAsia="仿宋" w:cs="Times New Roman"/>
          <w:b/>
          <w:szCs w:val="21"/>
        </w:rPr>
      </w:pPr>
    </w:p>
    <w:p>
      <w:pPr>
        <w:spacing w:line="240" w:lineRule="auto"/>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w:t>
      </w:r>
      <w:r>
        <w:rPr>
          <w:rFonts w:hint="eastAsia" w:eastAsia="仿宋" w:cs="Times New Roman"/>
          <w:b/>
          <w:szCs w:val="21"/>
        </w:rPr>
        <w:t>【】</w:t>
      </w:r>
    </w:p>
    <w:p>
      <w:pPr>
        <w:spacing w:line="240" w:lineRule="auto"/>
        <w:ind w:firstLine="422" w:firstLineChars="200"/>
        <w:rPr>
          <w:rFonts w:eastAsia="仿宋" w:cs="Times New Roman"/>
          <w:b/>
          <w:szCs w:val="21"/>
        </w:rPr>
      </w:pPr>
      <w:r>
        <w:rPr>
          <w:rFonts w:hint="eastAsia" w:eastAsia="仿宋" w:cs="Times New Roman"/>
          <w:b/>
          <w:szCs w:val="21"/>
        </w:rPr>
        <w:t>货物的交货地为：【】</w:t>
      </w:r>
    </w:p>
    <w:p>
      <w:pPr>
        <w:spacing w:line="240" w:lineRule="auto"/>
        <w:ind w:left="420" w:leftChars="200"/>
        <w:rPr>
          <w:rFonts w:eastAsia="仿宋" w:cs="Times New Roman"/>
          <w:szCs w:val="21"/>
        </w:rPr>
      </w:pPr>
    </w:p>
    <w:p>
      <w:pPr>
        <w:spacing w:line="240" w:lineRule="auto"/>
        <w:rPr>
          <w:rFonts w:eastAsia="仿宋" w:cs="Times New Roman"/>
          <w:b/>
          <w:szCs w:val="21"/>
        </w:rPr>
      </w:pPr>
    </w:p>
    <w:p>
      <w:pPr>
        <w:spacing w:line="240" w:lineRule="auto"/>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pPr>
        <w:spacing w:line="240" w:lineRule="auto"/>
        <w:rPr>
          <w:rFonts w:eastAsia="仿宋" w:cs="Times New Roman"/>
          <w:b/>
          <w:szCs w:val="21"/>
          <w:lang w:eastAsia="zh-TW"/>
        </w:rPr>
      </w:pPr>
    </w:p>
    <w:p>
      <w:pPr>
        <w:spacing w:line="240" w:lineRule="auto"/>
        <w:ind w:left="420" w:leftChars="200"/>
        <w:rPr>
          <w:rFonts w:eastAsia="仿宋" w:cs="Times New Roman"/>
          <w:b/>
          <w:sz w:val="24"/>
          <w:szCs w:val="24"/>
        </w:rPr>
      </w:pPr>
      <w:r>
        <w:rPr>
          <w:rFonts w:hint="eastAsia" w:eastAsia="仿宋" w:cs="Times New Roman"/>
          <w:b/>
          <w:i/>
          <w:iCs/>
          <w:sz w:val="24"/>
          <w:szCs w:val="24"/>
          <w:lang w:eastAsia="zh-TW"/>
        </w:rPr>
        <w:t>（EXW. FCA适用）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w:t>
      </w:r>
      <w:r>
        <w:rPr>
          <w:rFonts w:hint="eastAsia" w:eastAsia="仿宋" w:cs="Times New Roman"/>
          <w:szCs w:val="21"/>
        </w:rPr>
        <w:t>.</w:t>
      </w:r>
      <w:r>
        <w:rPr>
          <w:rFonts w:eastAsia="仿宋" w:cs="Times New Roman"/>
          <w:szCs w:val="21"/>
        </w:rPr>
        <w:t xml:space="preserve"> ** .</w:t>
      </w:r>
    </w:p>
    <w:p>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w:t>
      </w:r>
      <w:r>
        <w:rPr>
          <w:rFonts w:hint="eastAsia" w:eastAsia="仿宋" w:cs="Times New Roman"/>
          <w:szCs w:val="21"/>
        </w:rPr>
        <w:t>交货</w:t>
      </w:r>
      <w:r>
        <w:rPr>
          <w:rFonts w:eastAsia="仿宋" w:cs="Times New Roman"/>
          <w:szCs w:val="21"/>
        </w:rPr>
        <w:t>。</w:t>
      </w:r>
    </w:p>
    <w:p>
      <w:pPr>
        <w:spacing w:line="240" w:lineRule="auto"/>
        <w:ind w:left="420" w:leftChars="200"/>
        <w:rPr>
          <w:rFonts w:eastAsia="仿宋" w:cs="Times New Roman"/>
          <w:szCs w:val="21"/>
        </w:rPr>
      </w:pPr>
      <w:r>
        <w:rPr>
          <w:rFonts w:hint="eastAsia" w:eastAsia="仿宋" w:cs="Times New Roman"/>
          <w:b/>
          <w:i/>
          <w:iCs/>
          <w:sz w:val="24"/>
          <w:szCs w:val="24"/>
          <w:lang w:eastAsia="zh-TW"/>
        </w:rPr>
        <w:t>（FOB适用）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日前装船。</w:t>
      </w:r>
      <w:r>
        <w:rPr>
          <w:rFonts w:hint="eastAsia" w:eastAsia="仿宋" w:cs="Times New Roman"/>
          <w:szCs w:val="21"/>
        </w:rPr>
        <w:t xml:space="preserve"> </w:t>
      </w:r>
      <w:r>
        <w:rPr>
          <w:rFonts w:eastAsia="仿宋" w:cs="Times New Roman"/>
          <w:szCs w:val="21"/>
        </w:rPr>
        <w:t xml:space="preserve">                </w:t>
      </w:r>
    </w:p>
    <w:p>
      <w:pPr>
        <w:spacing w:line="240" w:lineRule="auto"/>
        <w:ind w:left="420" w:leftChars="200"/>
        <w:rPr>
          <w:rFonts w:eastAsia="仿宋" w:cs="Times New Roman"/>
          <w:szCs w:val="21"/>
        </w:rPr>
      </w:pPr>
      <w:r>
        <w:rPr>
          <w:rFonts w:hint="eastAsia" w:eastAsia="仿宋" w:cs="Times New Roman"/>
          <w:b/>
          <w:i/>
          <w:iCs/>
          <w:sz w:val="24"/>
          <w:szCs w:val="24"/>
          <w:lang w:eastAsia="zh-TW"/>
        </w:rPr>
        <w:t>（CIF.CFR.CIP.CPT适用）A</w:t>
      </w:r>
      <w:r>
        <w:rPr>
          <w:rFonts w:eastAsia="仿宋" w:cs="Times New Roman"/>
          <w:szCs w:val="21"/>
        </w:rPr>
        <w:t>ll the Commodities shall arrive at Seaport</w:t>
      </w:r>
      <w:r>
        <w:rPr>
          <w:rFonts w:hint="eastAsia" w:eastAsia="仿宋" w:cs="Times New Roman"/>
          <w:szCs w:val="21"/>
        </w:rPr>
        <w:t>/</w:t>
      </w:r>
      <w:r>
        <w:rPr>
          <w:rFonts w:eastAsia="仿宋" w:cs="Times New Roman"/>
          <w:szCs w:val="21"/>
        </w:rPr>
        <w:t>Airport before **. **</w:t>
      </w:r>
      <w:r>
        <w:rPr>
          <w:rFonts w:hint="eastAsia" w:eastAsia="仿宋" w:cs="Times New Roman"/>
          <w:szCs w:val="21"/>
        </w:rPr>
        <w:t>.</w:t>
      </w:r>
      <w:r>
        <w:rPr>
          <w:rFonts w:eastAsia="仿宋" w:cs="Times New Roman"/>
          <w:szCs w:val="21"/>
        </w:rPr>
        <w:t xml:space="preserve"> ** .</w:t>
      </w:r>
    </w:p>
    <w:p>
      <w:pPr>
        <w:spacing w:line="240" w:lineRule="auto"/>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pPr>
        <w:spacing w:line="240" w:lineRule="auto"/>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 【】days after arrival of the Commodities at the factory of the</w:t>
      </w:r>
      <w:r>
        <w:rPr>
          <w:rFonts w:eastAsia="仿宋" w:cs="Times New Roman"/>
          <w:szCs w:val="21"/>
        </w:rPr>
        <w:t xml:space="preserve"> Enduser</w:t>
      </w:r>
      <w:r>
        <w:rPr>
          <w:rFonts w:hint="eastAsia" w:eastAsia="仿宋" w:cs="Times New Roman"/>
          <w:szCs w:val="21"/>
        </w:rPr>
        <w:t>.</w:t>
      </w:r>
    </w:p>
    <w:p>
      <w:pPr>
        <w:spacing w:line="240" w:lineRule="auto"/>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pPr>
        <w:spacing w:line="240" w:lineRule="auto"/>
        <w:ind w:firstLine="435"/>
        <w:rPr>
          <w:rFonts w:eastAsia="仿宋" w:cs="Times New Roman"/>
          <w:szCs w:val="21"/>
        </w:rPr>
      </w:pPr>
      <w:r>
        <w:rPr>
          <w:rFonts w:hint="eastAsia" w:eastAsia="仿宋" w:cs="Times New Roman"/>
          <w:szCs w:val="21"/>
        </w:rPr>
        <w:t xml:space="preserve"> </w:t>
      </w:r>
    </w:p>
    <w:p>
      <w:pPr>
        <w:spacing w:line="240" w:lineRule="auto"/>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pPr>
        <w:spacing w:line="240" w:lineRule="auto"/>
        <w:ind w:left="2975"/>
        <w:rPr>
          <w:rFonts w:eastAsia="仿宋" w:cs="Times New Roman"/>
          <w:b/>
          <w:szCs w:val="21"/>
        </w:rPr>
      </w:pPr>
    </w:p>
    <w:p>
      <w:pPr>
        <w:spacing w:line="240" w:lineRule="auto"/>
        <w:ind w:left="420" w:leftChars="20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spacing w:line="240" w:lineRule="auto"/>
        <w:outlineLvl w:val="9"/>
        <w:rPr>
          <w:rFonts w:eastAsia="仿宋" w:cs="Times New Roman"/>
          <w:b w:val="0"/>
          <w:szCs w:val="21"/>
        </w:rPr>
      </w:pPr>
    </w:p>
    <w:p>
      <w:pPr>
        <w:spacing w:line="240" w:lineRule="auto"/>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pPr>
        <w:spacing w:line="240" w:lineRule="auto"/>
        <w:rPr>
          <w:rFonts w:eastAsia="仿宋" w:cs="Times New Roman"/>
          <w:szCs w:val="21"/>
        </w:rPr>
      </w:pPr>
    </w:p>
    <w:p>
      <w:pPr>
        <w:spacing w:line="240" w:lineRule="auto"/>
        <w:ind w:left="420" w:leftChars="200"/>
        <w:rPr>
          <w:rFonts w:eastAsia="仿宋" w:cs="Times New Roman"/>
          <w:szCs w:val="21"/>
        </w:rPr>
      </w:pPr>
    </w:p>
    <w:p>
      <w:pPr>
        <w:spacing w:line="240" w:lineRule="auto"/>
        <w:rPr>
          <w:rFonts w:eastAsia="仿宋" w:cs="Times New Roman"/>
          <w:szCs w:val="21"/>
        </w:rPr>
      </w:pPr>
    </w:p>
    <w:p>
      <w:pPr>
        <w:spacing w:line="240" w:lineRule="auto"/>
        <w:rPr>
          <w:rFonts w:eastAsia="仿宋" w:cs="Times New Roman"/>
          <w:szCs w:val="21"/>
        </w:rPr>
      </w:pPr>
    </w:p>
    <w:p>
      <w:pPr>
        <w:spacing w:line="240" w:lineRule="auto"/>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pPr>
        <w:spacing w:line="240" w:lineRule="auto"/>
        <w:rPr>
          <w:rFonts w:eastAsia="仿宋" w:cs="Times New Roman"/>
          <w:b/>
          <w:szCs w:val="21"/>
        </w:rPr>
      </w:pPr>
    </w:p>
    <w:p>
      <w:pPr>
        <w:spacing w:line="240" w:lineRule="auto"/>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w:t>
      </w:r>
    </w:p>
    <w:p>
      <w:pPr>
        <w:spacing w:line="240" w:lineRule="auto"/>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w:t>
      </w:r>
      <w:r>
        <w:rPr>
          <w:rFonts w:eastAsia="仿宋" w:cs="Times New Roman"/>
          <w:szCs w:val="21"/>
        </w:rPr>
        <w:t>生产。</w:t>
      </w:r>
    </w:p>
    <w:p>
      <w:pPr>
        <w:spacing w:line="240" w:lineRule="auto"/>
        <w:rPr>
          <w:rFonts w:eastAsia="仿宋" w:cs="Times New Roman"/>
          <w:szCs w:val="21"/>
        </w:rPr>
      </w:pPr>
    </w:p>
    <w:p>
      <w:pPr>
        <w:spacing w:line="240" w:lineRule="auto"/>
        <w:rPr>
          <w:rFonts w:eastAsia="仿宋" w:cs="Times New Roman"/>
          <w:szCs w:val="21"/>
        </w:rPr>
      </w:pPr>
    </w:p>
    <w:p>
      <w:pPr>
        <w:pStyle w:val="12"/>
        <w:spacing w:line="240" w:lineRule="auto"/>
        <w:rPr>
          <w:rFonts w:eastAsia="仿宋" w:cs="Times New Roman"/>
          <w:sz w:val="21"/>
          <w:szCs w:val="21"/>
          <w:lang w:eastAsia="zh-TW"/>
        </w:rPr>
      </w:pPr>
      <w:r>
        <w:rPr>
          <w:rFonts w:eastAsia="仿宋" w:cs="Times New Roman"/>
          <w:b/>
          <w:szCs w:val="24"/>
          <w:lang w:eastAsia="zh-TW"/>
        </w:rPr>
        <w:t>8.</w:t>
      </w:r>
      <w:r>
        <w:rPr>
          <w:rFonts w:eastAsia="仿宋" w:cs="Times New Roman"/>
          <w:b/>
          <w:szCs w:val="24"/>
          <w:lang w:eastAsia="zh-TW"/>
        </w:rPr>
        <w:tab/>
      </w:r>
      <w:r>
        <w:rPr>
          <w:rFonts w:eastAsia="仿宋" w:cs="Times New Roman"/>
          <w:b/>
          <w:szCs w:val="24"/>
        </w:rPr>
        <w:t>PACKING包装</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trike/>
          <w:szCs w:val="21"/>
        </w:rPr>
        <w:t xml:space="preserve"> </w:t>
      </w:r>
      <w:r>
        <w:rPr>
          <w:rFonts w:hint="eastAsia" w:eastAsia="仿宋" w:cs="Times New Roman"/>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pPr>
        <w:pStyle w:val="12"/>
        <w:spacing w:line="240" w:lineRule="auto"/>
        <w:ind w:left="477" w:hanging="476" w:hangingChars="227"/>
        <w:rPr>
          <w:rFonts w:eastAsia="仿宋" w:cs="Times New Roman"/>
          <w:sz w:val="21"/>
          <w:szCs w:val="21"/>
          <w:lang w:eastAsia="zh-TW"/>
        </w:rPr>
      </w:pPr>
    </w:p>
    <w:p>
      <w:pPr>
        <w:widowControl w:val="0"/>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w:t>
      </w:r>
      <w:r>
        <w:rPr>
          <w:rFonts w:hint="eastAsia" w:eastAsia="仿宋" w:cs="Times New Roman"/>
          <w:szCs w:val="21"/>
        </w:rPr>
        <w:t>/空运</w:t>
      </w:r>
      <w:r>
        <w:rPr>
          <w:rFonts w:eastAsia="仿宋" w:cs="Times New Roman"/>
          <w:szCs w:val="21"/>
        </w:rPr>
        <w:t>运输标准的包装并且防雨防潮。</w:t>
      </w:r>
      <w:r>
        <w:rPr>
          <w:rFonts w:hint="eastAsia" w:eastAsia="仿宋" w:cs="Times New Roman"/>
          <w:szCs w:val="21"/>
        </w:rPr>
        <w:t>标签上须有明显的买方件号、件名、数量及批号标识和生产日期、发运地等。买方可随时要求卖方提供不同于卖方标准出口标识和包装的标识和包装。</w:t>
      </w:r>
    </w:p>
    <w:p>
      <w:pPr>
        <w:spacing w:line="240" w:lineRule="auto"/>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42" w:name="_Hlk110350048"/>
      <w:r>
        <w:rPr>
          <w:rFonts w:eastAsia="仿宋" w:cs="Times New Roman"/>
          <w:szCs w:val="21"/>
        </w:rPr>
        <w:t>Commodities</w:t>
      </w:r>
      <w:bookmarkEnd w:id="42"/>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pPr>
        <w:spacing w:line="240" w:lineRule="auto"/>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pPr>
        <w:numPr>
          <w:ilvl w:val="1"/>
          <w:numId w:val="25"/>
        </w:numPr>
        <w:tabs>
          <w:tab w:val="left" w:pos="420"/>
          <w:tab w:val="clear" w:pos="360"/>
        </w:tabs>
        <w:spacing w:line="240" w:lineRule="auto"/>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pPr>
        <w:spacing w:line="240" w:lineRule="auto"/>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pPr>
        <w:spacing w:line="240" w:lineRule="auto"/>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spacing w:line="240" w:lineRule="auto"/>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pPr>
        <w:spacing w:line="240" w:lineRule="auto"/>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pPr>
        <w:tabs>
          <w:tab w:val="left" w:pos="360"/>
        </w:tabs>
        <w:spacing w:line="240" w:lineRule="auto"/>
        <w:ind w:left="422" w:hanging="422" w:hangingChars="200"/>
        <w:rPr>
          <w:rFonts w:eastAsia="仿宋" w:cs="Times New Roman"/>
          <w:b/>
          <w:sz w:val="24"/>
          <w:szCs w:val="24"/>
        </w:rPr>
      </w:pPr>
      <w:r>
        <w:rPr>
          <w:rFonts w:eastAsia="仿宋" w:cs="Times New Roman"/>
          <w:b/>
          <w:szCs w:val="21"/>
        </w:rPr>
        <w:t xml:space="preserve">8.6 </w:t>
      </w:r>
      <w:r>
        <w:rPr>
          <w:rFonts w:hint="eastAsia" w:eastAsia="仿宋" w:cs="Times New Roman"/>
          <w:b/>
          <w:szCs w:val="21"/>
        </w:rPr>
        <w:t xml:space="preserve"> </w:t>
      </w:r>
      <w:r>
        <w:rPr>
          <w:rFonts w:eastAsia="仿宋" w:cs="Times New Roman"/>
          <w:szCs w:val="21"/>
        </w:rPr>
        <w:t>After the</w:t>
      </w:r>
      <w:r>
        <w:rPr>
          <w:rFonts w:eastAsia="仿宋" w:cs="Times New Roman"/>
          <w:szCs w:val="21"/>
          <w:lang w:eastAsia="zh-TW"/>
        </w:rPr>
        <w:t xml:space="preserve"> Commodities</w:t>
      </w:r>
      <w:r>
        <w:rPr>
          <w:rFonts w:eastAsia="仿宋" w:cs="Times New Roman"/>
          <w:szCs w:val="21"/>
        </w:rPr>
        <w:t xml:space="preserve"> arrive at the</w:t>
      </w:r>
      <w:r>
        <w:rPr>
          <w:rFonts w:hint="eastAsia" w:eastAsia="仿宋" w:cs="Times New Roman"/>
          <w:szCs w:val="21"/>
        </w:rPr>
        <w:t xml:space="preserve"> </w:t>
      </w:r>
      <w:r>
        <w:rPr>
          <w:rFonts w:eastAsia="仿宋" w:cs="Times New Roman"/>
          <w:szCs w:val="21"/>
        </w:rPr>
        <w:t xml:space="preserve">Buyer's </w:t>
      </w:r>
      <w:r>
        <w:rPr>
          <w:rFonts w:hint="eastAsia" w:eastAsia="仿宋" w:cs="Times New Roman"/>
          <w:szCs w:val="21"/>
        </w:rPr>
        <w:t>or the</w:t>
      </w:r>
      <w:r>
        <w:rPr>
          <w:rFonts w:eastAsia="仿宋" w:cs="Times New Roman"/>
          <w:szCs w:val="21"/>
        </w:rPr>
        <w:t xml:space="preserve"> Enduser's</w:t>
      </w:r>
      <w:r>
        <w:rPr>
          <w:rFonts w:hint="eastAsia" w:eastAsia="仿宋" w:cs="Times New Roman"/>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pPr>
        <w:spacing w:line="240" w:lineRule="auto"/>
        <w:ind w:left="422" w:leftChars="200" w:hanging="2" w:hangingChars="1"/>
        <w:rPr>
          <w:rFonts w:eastAsia="仿宋" w:cs="Times New Roman"/>
          <w:szCs w:val="21"/>
        </w:rPr>
      </w:pPr>
      <w:r>
        <w:rPr>
          <w:rFonts w:hint="eastAsia" w:eastAsia="仿宋" w:cs="Times New Roman"/>
          <w:szCs w:val="21"/>
        </w:rPr>
        <w:t>货物到达买方或最终用户工厂后，即使在集装箱</w:t>
      </w:r>
      <w:r>
        <w:rPr>
          <w:rFonts w:eastAsia="仿宋" w:cs="Times New Roman"/>
          <w:szCs w:val="21"/>
        </w:rPr>
        <w:t>/</w:t>
      </w:r>
      <w:r>
        <w:rPr>
          <w:rFonts w:hint="eastAsia" w:eastAsia="仿宋" w:cs="Times New Roman"/>
          <w:szCs w:val="21"/>
        </w:rPr>
        <w:t>包装箱外观没有损坏的情况下，买方亦可根据本合同第1</w:t>
      </w:r>
      <w:r>
        <w:rPr>
          <w:rFonts w:eastAsia="仿宋" w:cs="Times New Roman"/>
          <w:szCs w:val="21"/>
        </w:rPr>
        <w:t>6</w:t>
      </w:r>
      <w:r>
        <w:rPr>
          <w:rFonts w:hint="eastAsia" w:eastAsia="仿宋" w:cs="Times New Roman"/>
          <w:szCs w:val="21"/>
        </w:rPr>
        <w:t>条就货物的任何损失发起索赔。</w:t>
      </w:r>
    </w:p>
    <w:p>
      <w:pPr>
        <w:spacing w:line="240" w:lineRule="auto"/>
        <w:ind w:left="426" w:hanging="426"/>
        <w:rPr>
          <w:rFonts w:eastAsia="仿宋" w:cs="Times New Roman"/>
          <w:szCs w:val="21"/>
          <w:lang w:eastAsia="zh-TW"/>
        </w:rPr>
      </w:pPr>
    </w:p>
    <w:p>
      <w:pPr>
        <w:spacing w:line="240" w:lineRule="auto"/>
        <w:ind w:left="360" w:hanging="360"/>
        <w:rPr>
          <w:rFonts w:eastAsia="仿宋" w:cs="Times New Roman"/>
          <w:b/>
          <w:szCs w:val="21"/>
        </w:rPr>
      </w:pPr>
    </w:p>
    <w:p>
      <w:pPr>
        <w:spacing w:line="240" w:lineRule="auto"/>
        <w:ind w:left="360" w:hanging="360"/>
        <w:rPr>
          <w:rFonts w:eastAsia="仿宋" w:cs="Times New Roman"/>
          <w:b/>
          <w:szCs w:val="21"/>
        </w:rPr>
      </w:pPr>
    </w:p>
    <w:p>
      <w:pPr>
        <w:spacing w:line="240" w:lineRule="auto"/>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pPr>
        <w:spacing w:line="240" w:lineRule="auto"/>
        <w:rPr>
          <w:rFonts w:eastAsia="仿宋" w:cs="Times New Roman"/>
          <w:szCs w:val="21"/>
        </w:rPr>
      </w:pPr>
    </w:p>
    <w:p>
      <w:pPr>
        <w:spacing w:line="240" w:lineRule="auto"/>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pPr>
        <w:spacing w:line="240" w:lineRule="auto"/>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pPr>
        <w:numPr>
          <w:ilvl w:val="0"/>
          <w:numId w:val="26"/>
        </w:numPr>
        <w:spacing w:line="240" w:lineRule="auto"/>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pPr>
        <w:spacing w:line="240" w:lineRule="auto"/>
        <w:ind w:left="851"/>
        <w:rPr>
          <w:rFonts w:eastAsia="仿宋" w:cs="Times New Roman"/>
          <w:szCs w:val="21"/>
        </w:rPr>
      </w:pPr>
      <w:r>
        <w:rPr>
          <w:rFonts w:eastAsia="仿宋" w:cs="Times New Roman"/>
          <w:szCs w:val="21"/>
        </w:rPr>
        <w:t>卖方应根据本合同第五条安排发货。</w:t>
      </w:r>
    </w:p>
    <w:p>
      <w:pPr>
        <w:numPr>
          <w:ilvl w:val="0"/>
          <w:numId w:val="26"/>
        </w:numPr>
        <w:spacing w:line="240" w:lineRule="auto"/>
        <w:rPr>
          <w:rFonts w:eastAsia="仿宋" w:cs="Times New Roman"/>
          <w:szCs w:val="21"/>
        </w:rPr>
      </w:pPr>
      <w:r>
        <w:rPr>
          <w:rFonts w:eastAsia="仿宋" w:cs="Times New Roman"/>
          <w:szCs w:val="21"/>
        </w:rPr>
        <w:t>partial shipment is not allowed;</w:t>
      </w:r>
    </w:p>
    <w:p>
      <w:pPr>
        <w:spacing w:line="240" w:lineRule="auto"/>
        <w:ind w:left="851"/>
        <w:rPr>
          <w:rFonts w:eastAsia="仿宋" w:cs="Times New Roman"/>
          <w:szCs w:val="21"/>
        </w:rPr>
      </w:pPr>
      <w:r>
        <w:rPr>
          <w:rFonts w:eastAsia="仿宋" w:cs="Times New Roman"/>
          <w:szCs w:val="21"/>
        </w:rPr>
        <w:t>不允许分批装运。</w:t>
      </w:r>
    </w:p>
    <w:p>
      <w:pPr>
        <w:numPr>
          <w:ilvl w:val="0"/>
          <w:numId w:val="26"/>
        </w:numPr>
        <w:spacing w:line="240" w:lineRule="auto"/>
        <w:rPr>
          <w:rFonts w:eastAsia="仿宋" w:cs="Times New Roman"/>
          <w:szCs w:val="21"/>
        </w:rPr>
      </w:pPr>
      <w:r>
        <w:rPr>
          <w:rFonts w:eastAsia="仿宋" w:cs="Times New Roman"/>
          <w:szCs w:val="21"/>
        </w:rPr>
        <w:t>transshipment of the Commodities is not allowed;</w:t>
      </w:r>
    </w:p>
    <w:p>
      <w:pPr>
        <w:spacing w:line="240" w:lineRule="auto"/>
        <w:ind w:left="851"/>
        <w:rPr>
          <w:rFonts w:eastAsia="仿宋" w:cs="Times New Roman"/>
          <w:szCs w:val="21"/>
        </w:rPr>
      </w:pPr>
      <w:r>
        <w:rPr>
          <w:rFonts w:eastAsia="仿宋" w:cs="Times New Roman"/>
          <w:szCs w:val="21"/>
        </w:rPr>
        <w:t>不允许转船运输。</w:t>
      </w:r>
    </w:p>
    <w:p>
      <w:pPr>
        <w:numPr>
          <w:ilvl w:val="0"/>
          <w:numId w:val="26"/>
        </w:numPr>
        <w:spacing w:line="240" w:lineRule="auto"/>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pPr>
        <w:spacing w:line="240" w:lineRule="auto"/>
        <w:ind w:left="720"/>
        <w:rPr>
          <w:rFonts w:eastAsia="仿宋" w:cs="Times New Roman"/>
          <w:szCs w:val="21"/>
        </w:rPr>
      </w:pPr>
      <w:r>
        <w:rPr>
          <w:rFonts w:eastAsia="仿宋" w:cs="Times New Roman"/>
          <w:szCs w:val="21"/>
        </w:rPr>
        <w:t>本合同项下的货物不得由悬挂买方不接受的国旗的船只运输</w:t>
      </w:r>
      <w:r>
        <w:rPr>
          <w:rFonts w:hint="eastAsia" w:eastAsia="仿宋" w:cs="Times New Roman"/>
          <w:szCs w:val="21"/>
        </w:rPr>
        <w:t>。</w:t>
      </w:r>
    </w:p>
    <w:p>
      <w:pPr>
        <w:numPr>
          <w:ilvl w:val="0"/>
          <w:numId w:val="26"/>
        </w:numPr>
        <w:spacing w:line="240" w:lineRule="auto"/>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pPr>
        <w:spacing w:line="240" w:lineRule="auto"/>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pPr>
        <w:spacing w:line="240" w:lineRule="auto"/>
        <w:ind w:left="360" w:hanging="360"/>
        <w:rPr>
          <w:rFonts w:eastAsia="仿宋" w:cs="Times New Roman"/>
          <w:szCs w:val="21"/>
        </w:rPr>
      </w:pPr>
    </w:p>
    <w:p>
      <w:pPr>
        <w:numPr>
          <w:ilvl w:val="1"/>
          <w:numId w:val="27"/>
        </w:numPr>
        <w:spacing w:line="240" w:lineRule="auto"/>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spacing w:line="240" w:lineRule="auto"/>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pPr>
        <w:spacing w:line="240" w:lineRule="auto"/>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pPr>
        <w:spacing w:line="240" w:lineRule="auto"/>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pPr>
        <w:spacing w:line="240" w:lineRule="auto"/>
        <w:ind w:left="210" w:leftChars="100" w:firstLine="210" w:firstLineChars="100"/>
        <w:rPr>
          <w:rFonts w:eastAsia="仿宋" w:cs="Times New Roman"/>
          <w:szCs w:val="21"/>
        </w:rPr>
      </w:pPr>
    </w:p>
    <w:p>
      <w:pPr>
        <w:spacing w:line="240" w:lineRule="auto"/>
        <w:ind w:left="360" w:hanging="360"/>
        <w:rPr>
          <w:rFonts w:eastAsia="仿宋" w:cs="Times New Roman"/>
          <w:b/>
          <w:szCs w:val="21"/>
        </w:rPr>
      </w:pPr>
    </w:p>
    <w:p>
      <w:pPr>
        <w:spacing w:line="240" w:lineRule="auto"/>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pPr>
        <w:spacing w:line="240" w:lineRule="auto"/>
        <w:ind w:left="426" w:hanging="426"/>
        <w:rPr>
          <w:rFonts w:eastAsia="仿宋" w:cs="Times New Roman"/>
          <w:b/>
          <w:szCs w:val="21"/>
          <w:lang w:eastAsia="zh-TW"/>
        </w:rPr>
      </w:pPr>
    </w:p>
    <w:p>
      <w:pPr>
        <w:spacing w:line="240" w:lineRule="auto"/>
        <w:ind w:left="479" w:leftChars="228"/>
        <w:rPr>
          <w:rFonts w:eastAsia="仿宋" w:cs="Times New Roman"/>
          <w:szCs w:val="21"/>
        </w:rPr>
      </w:pPr>
      <w:r>
        <w:rPr>
          <w:rFonts w:eastAsia="仿宋" w:cs="Times New Roman"/>
          <w:szCs w:val="21"/>
          <w:lang w:eastAsia="zh-TW"/>
        </w:rPr>
        <w:t>The total price of the Commodities under this Contract is</w:t>
      </w:r>
      <w:r>
        <w:rPr>
          <w:rFonts w:hint="eastAsia" w:eastAsia="仿宋" w:cs="Times New Roman"/>
          <w:szCs w:val="21"/>
        </w:rPr>
        <w:t>【】</w:t>
      </w:r>
    </w:p>
    <w:p>
      <w:pPr>
        <w:spacing w:line="240" w:lineRule="auto"/>
        <w:ind w:left="360" w:hanging="360"/>
        <w:rPr>
          <w:rFonts w:eastAsia="仿宋" w:cs="Times New Roman"/>
          <w:b/>
          <w:szCs w:val="21"/>
          <w:lang w:eastAsia="zh-TW"/>
        </w:rPr>
      </w:pPr>
    </w:p>
    <w:p>
      <w:pPr>
        <w:spacing w:line="240" w:lineRule="auto"/>
        <w:ind w:left="522" w:leftChars="222" w:hanging="56" w:hangingChars="27"/>
        <w:rPr>
          <w:rFonts w:eastAsia="仿宋" w:cs="Times New Roman"/>
          <w:szCs w:val="21"/>
        </w:rPr>
      </w:pPr>
      <w:r>
        <w:rPr>
          <w:rFonts w:eastAsia="仿宋" w:cs="Times New Roman"/>
          <w:szCs w:val="21"/>
        </w:rPr>
        <w:t>本合同项下的货物总价为</w:t>
      </w:r>
      <w:r>
        <w:rPr>
          <w:rFonts w:hint="eastAsia" w:eastAsia="仿宋" w:cs="Times New Roman"/>
          <w:szCs w:val="21"/>
        </w:rPr>
        <w:t>【】</w:t>
      </w:r>
      <w:r>
        <w:rPr>
          <w:rFonts w:eastAsia="仿宋" w:cs="Times New Roman"/>
          <w:szCs w:val="21"/>
        </w:rPr>
        <w:t>。</w:t>
      </w:r>
    </w:p>
    <w:p>
      <w:pPr>
        <w:spacing w:line="240" w:lineRule="auto"/>
        <w:ind w:left="415" w:leftChars="171" w:hanging="56" w:hangingChars="27"/>
        <w:rPr>
          <w:rFonts w:eastAsia="仿宋" w:cs="Times New Roman"/>
          <w:szCs w:val="21"/>
        </w:rPr>
      </w:pPr>
    </w:p>
    <w:p>
      <w:pPr>
        <w:spacing w:line="240" w:lineRule="auto"/>
        <w:ind w:left="426" w:hanging="426"/>
        <w:rPr>
          <w:rFonts w:eastAsia="仿宋" w:cs="Times New Roman"/>
          <w:szCs w:val="21"/>
        </w:rPr>
      </w:pPr>
    </w:p>
    <w:p>
      <w:pPr>
        <w:spacing w:line="240" w:lineRule="auto"/>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CIF/CIP</w:t>
      </w:r>
    </w:p>
    <w:p>
      <w:pPr>
        <w:spacing w:line="240" w:lineRule="auto"/>
        <w:rPr>
          <w:rFonts w:eastAsia="仿宋" w:cs="Times New Roman"/>
          <w:szCs w:val="21"/>
          <w:lang w:eastAsia="zh-TW"/>
        </w:rPr>
      </w:pPr>
    </w:p>
    <w:p>
      <w:pPr>
        <w:spacing w:line="240" w:lineRule="auto"/>
        <w:ind w:firstLine="420" w:firstLineChars="200"/>
        <w:rPr>
          <w:rFonts w:eastAsia="仿宋" w:cs="Times New Roman"/>
          <w:szCs w:val="21"/>
        </w:rPr>
      </w:pPr>
      <w:r>
        <w:rPr>
          <w:rFonts w:eastAsia="仿宋" w:cs="Times New Roman"/>
          <w:szCs w:val="21"/>
        </w:rPr>
        <w:t>Payment shall be made by the Buyer by installments as follows:</w:t>
      </w:r>
    </w:p>
    <w:p>
      <w:pPr>
        <w:spacing w:line="240" w:lineRule="auto"/>
        <w:ind w:left="447" w:leftChars="213"/>
        <w:rPr>
          <w:rFonts w:eastAsia="仿宋" w:cs="Times New Roman"/>
          <w:szCs w:val="21"/>
        </w:rPr>
      </w:pPr>
      <w:r>
        <w:rPr>
          <w:rFonts w:eastAsia="仿宋" w:cs="Times New Roman"/>
          <w:szCs w:val="21"/>
        </w:rPr>
        <w:t>买方应根据如下方式分期支付货款：</w:t>
      </w:r>
    </w:p>
    <w:p>
      <w:pPr>
        <w:spacing w:line="240" w:lineRule="auto"/>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pPr>
        <w:spacing w:line="240" w:lineRule="auto"/>
        <w:ind w:left="567" w:leftChars="270" w:firstLine="210" w:firstLineChars="100"/>
        <w:rPr>
          <w:rFonts w:eastAsia="仿宋" w:cs="Times New Roman"/>
          <w:szCs w:val="21"/>
        </w:rPr>
      </w:pPr>
      <w:r>
        <w:rPr>
          <w:rFonts w:eastAsia="仿宋" w:cs="Times New Roman"/>
          <w:szCs w:val="21"/>
        </w:rPr>
        <w:t>预付款10%</w:t>
      </w:r>
    </w:p>
    <w:p>
      <w:pPr>
        <w:numPr>
          <w:ilvl w:val="0"/>
          <w:numId w:val="28"/>
        </w:numPr>
        <w:spacing w:line="240" w:lineRule="auto"/>
        <w:rPr>
          <w:rFonts w:eastAsia="仿宋" w:cs="Times New Roman"/>
          <w:szCs w:val="21"/>
          <w:lang w:eastAsia="zh-TW"/>
        </w:rPr>
      </w:pPr>
      <w:bookmarkStart w:id="43" w:name="OLE_LINK21"/>
      <w:r>
        <w:rPr>
          <w:rFonts w:eastAsia="仿宋" w:cs="Times New Roman"/>
          <w:szCs w:val="21"/>
        </w:rPr>
        <w:t>Ten percent (10%) of the total Contract Value, i.e.</w:t>
      </w:r>
      <w:r>
        <w:rPr>
          <w:rFonts w:eastAsia="仿宋" w:cs="Times New Roman"/>
          <w:b/>
          <w:bCs/>
          <w:szCs w:val="21"/>
        </w:rPr>
        <w:t xml:space="preserve"> </w:t>
      </w:r>
      <w:r>
        <w:rPr>
          <w:rFonts w:hint="eastAsia" w:eastAsia="仿宋" w:cs="Times New Roman"/>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bookmarkEnd w:id="43"/>
      <w:r>
        <w:rPr>
          <w:rFonts w:eastAsia="仿宋" w:cs="Times New Roman"/>
          <w:szCs w:val="21"/>
          <w:lang w:eastAsia="zh-TW"/>
        </w:rPr>
        <w:t xml:space="preserve"> </w:t>
      </w:r>
    </w:p>
    <w:p>
      <w:pPr>
        <w:spacing w:line="240" w:lineRule="auto"/>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w:t>
      </w:r>
      <w:r>
        <w:rPr>
          <w:rFonts w:hint="eastAsia" w:eastAsia="仿宋" w:cs="Times New Roman"/>
          <w:szCs w:val="21"/>
        </w:rPr>
        <w:t>【】</w:t>
      </w:r>
      <w:r>
        <w:rPr>
          <w:rFonts w:eastAsia="仿宋" w:cs="Times New Roman"/>
          <w:szCs w:val="21"/>
        </w:rPr>
        <w:t>作为预付款支付给卖方。</w:t>
      </w:r>
    </w:p>
    <w:p>
      <w:pPr>
        <w:numPr>
          <w:ilvl w:val="0"/>
          <w:numId w:val="28"/>
        </w:numPr>
        <w:spacing w:line="240" w:lineRule="auto"/>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hint="eastAsia" w:eastAsia="仿宋" w:cs="Times New Roman"/>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pPr>
        <w:spacing w:line="240" w:lineRule="auto"/>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日，若交货延期，卖方应相应延长保函的有效期。</w:t>
      </w:r>
    </w:p>
    <w:p>
      <w:pPr>
        <w:spacing w:line="240" w:lineRule="auto"/>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pPr>
        <w:spacing w:line="240" w:lineRule="auto"/>
        <w:rPr>
          <w:rFonts w:eastAsia="仿宋" w:cs="Times New Roman"/>
          <w:szCs w:val="21"/>
        </w:rPr>
      </w:pPr>
      <w:r>
        <w:rPr>
          <w:rFonts w:eastAsia="仿宋" w:cs="Times New Roman"/>
          <w:szCs w:val="21"/>
          <w:lang w:eastAsia="zh-TW"/>
        </w:rPr>
        <w:tab/>
      </w:r>
      <w:r>
        <w:rPr>
          <w:rFonts w:eastAsia="仿宋" w:cs="Times New Roman"/>
          <w:szCs w:val="21"/>
        </w:rPr>
        <w:t xml:space="preserve">    90%货款</w:t>
      </w:r>
    </w:p>
    <w:p>
      <w:pPr>
        <w:spacing w:line="240" w:lineRule="auto"/>
        <w:rPr>
          <w:rFonts w:eastAsia="仿宋" w:cs="Times New Roman"/>
          <w:szCs w:val="21"/>
        </w:rPr>
      </w:pPr>
    </w:p>
    <w:p>
      <w:pPr>
        <w:spacing w:line="240" w:lineRule="auto"/>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xml:space="preserve">, for a sum of ninety percent (90%) of total Contract Value, i.e. </w:t>
      </w:r>
      <w:r>
        <w:rPr>
          <w:rFonts w:hint="eastAsia" w:eastAsia="仿宋" w:cs="Times New Roman"/>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pPr>
        <w:spacing w:line="240" w:lineRule="auto"/>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w:t>
      </w:r>
      <w:r>
        <w:rPr>
          <w:rFonts w:hint="eastAsia" w:eastAsia="仿宋" w:cs="Times New Roman"/>
          <w:szCs w:val="21"/>
        </w:rPr>
        <w:t>【】</w:t>
      </w:r>
      <w:r>
        <w:rPr>
          <w:rFonts w:eastAsia="仿宋" w:cs="Times New Roman"/>
          <w:szCs w:val="21"/>
        </w:rPr>
        <w:t>，信用证有效期为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pPr>
        <w:numPr>
          <w:ilvl w:val="0"/>
          <w:numId w:val="29"/>
        </w:numPr>
        <w:spacing w:line="240" w:lineRule="auto"/>
        <w:rPr>
          <w:rFonts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pPr>
        <w:spacing w:line="240" w:lineRule="auto"/>
        <w:ind w:firstLine="840" w:firstLineChars="400"/>
        <w:rPr>
          <w:rFonts w:eastAsia="仿宋" w:cs="Times New Roman"/>
          <w:szCs w:val="21"/>
        </w:rPr>
      </w:pPr>
      <w:r>
        <w:rPr>
          <w:rFonts w:eastAsia="仿宋" w:cs="Times New Roman"/>
          <w:szCs w:val="21"/>
        </w:rPr>
        <w:t>在</w:t>
      </w:r>
      <w:r>
        <w:rPr>
          <w:rFonts w:hint="eastAsia" w:eastAsia="仿宋" w:cs="Times New Roman"/>
          <w:szCs w:val="21"/>
        </w:rPr>
        <w:t>具备以下单据后，</w:t>
      </w:r>
      <w:r>
        <w:rPr>
          <w:rFonts w:eastAsia="仿宋" w:cs="Times New Roman"/>
          <w:szCs w:val="21"/>
        </w:rPr>
        <w:t>买方应将</w:t>
      </w:r>
      <w:r>
        <w:rPr>
          <w:rFonts w:hint="eastAsia" w:eastAsia="仿宋" w:cs="Times New Roman"/>
          <w:szCs w:val="21"/>
        </w:rPr>
        <w:t>交货</w:t>
      </w:r>
      <w:r>
        <w:rPr>
          <w:rFonts w:eastAsia="仿宋" w:cs="Times New Roman"/>
          <w:szCs w:val="21"/>
        </w:rPr>
        <w:t>金额的80%即</w:t>
      </w:r>
      <w:r>
        <w:rPr>
          <w:rFonts w:hint="eastAsia" w:eastAsia="仿宋" w:cs="Times New Roman"/>
          <w:szCs w:val="21"/>
        </w:rPr>
        <w:t>【】</w:t>
      </w:r>
      <w:r>
        <w:rPr>
          <w:rFonts w:eastAsia="仿宋" w:cs="Times New Roman"/>
          <w:szCs w:val="21"/>
        </w:rPr>
        <w:t>支付给卖方</w:t>
      </w:r>
      <w:r>
        <w:rPr>
          <w:rFonts w:hint="eastAsia" w:eastAsia="仿宋" w:cs="Times New Roman"/>
          <w:szCs w:val="21"/>
        </w:rPr>
        <w:t>：</w:t>
      </w:r>
    </w:p>
    <w:p>
      <w:pPr>
        <w:numPr>
          <w:ilvl w:val="0"/>
          <w:numId w:val="30"/>
        </w:numPr>
        <w:spacing w:line="240" w:lineRule="auto"/>
        <w:ind w:left="750" w:leftChars="357"/>
        <w:rPr>
          <w:rFonts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w:t>
      </w:r>
      <w:bookmarkStart w:id="44" w:name="OLE_LINK27"/>
      <w:r>
        <w:rPr>
          <w:rFonts w:eastAsia="仿宋" w:cs="Times New Roman"/>
          <w:szCs w:val="21"/>
        </w:rPr>
        <w:t>Seller and the End User</w:t>
      </w:r>
      <w:bookmarkEnd w:id="44"/>
      <w:r>
        <w:rPr>
          <w:rFonts w:eastAsia="仿宋" w:cs="Times New Roman"/>
          <w:szCs w:val="21"/>
        </w:rPr>
        <w:t xml:space="preserve"> in accordance with </w:t>
      </w:r>
      <w:r>
        <w:rPr>
          <w:rFonts w:hint="eastAsia" w:eastAsia="仿宋" w:cs="Times New Roman"/>
          <w:szCs w:val="21"/>
        </w:rPr>
        <w:t xml:space="preserve">this Contract and </w:t>
      </w:r>
      <w:r>
        <w:rPr>
          <w:rFonts w:eastAsia="仿宋" w:cs="Times New Roman"/>
          <w:szCs w:val="21"/>
        </w:rPr>
        <w:t>the Technical Agreement</w:t>
      </w:r>
      <w:r>
        <w:rPr>
          <w:rFonts w:hint="eastAsia" w:eastAsia="仿宋" w:cs="Times New Roman"/>
          <w:szCs w:val="21"/>
        </w:rPr>
        <w:t>;</w:t>
      </w:r>
    </w:p>
    <w:p>
      <w:pPr>
        <w:tabs>
          <w:tab w:val="left" w:pos="1134"/>
        </w:tabs>
        <w:spacing w:line="240" w:lineRule="auto"/>
        <w:ind w:left="945" w:leftChars="400" w:hanging="105" w:hangingChars="50"/>
        <w:rPr>
          <w:rFonts w:eastAsia="仿宋" w:cs="Times New Roman"/>
          <w:szCs w:val="21"/>
        </w:rPr>
      </w:pPr>
      <w:r>
        <w:rPr>
          <w:rFonts w:hint="eastAsia" w:eastAsia="仿宋" w:cs="Times New Roman"/>
          <w:szCs w:val="21"/>
        </w:rPr>
        <w:t>卖方和最终用户根据本合同及《技术协议》签署的预验收报告（“《预验收报告》”）；</w:t>
      </w:r>
    </w:p>
    <w:p>
      <w:pPr>
        <w:numPr>
          <w:ilvl w:val="0"/>
          <w:numId w:val="30"/>
        </w:numPr>
        <w:spacing w:line="240" w:lineRule="auto"/>
        <w:ind w:left="750" w:leftChars="357"/>
        <w:rPr>
          <w:rFonts w:eastAsia="仿宋" w:cs="Times New Roman"/>
          <w:szCs w:val="21"/>
        </w:rPr>
      </w:pPr>
      <w:r>
        <w:t>the Seller’s draft(s) drawn at sight on the L/C opening bank for 80% invoice value of this item</w:t>
      </w:r>
      <w:r>
        <w:rPr>
          <w:rFonts w:hint="eastAsia"/>
        </w:rPr>
        <w:t>；</w:t>
      </w:r>
      <w:r>
        <w:t xml:space="preserve"> </w:t>
      </w:r>
      <w:r>
        <w:br w:type="textWrapping"/>
      </w:r>
      <w:r>
        <w:rPr>
          <w:rFonts w:hint="eastAsia" w:eastAsia="仿宋" w:cs="Times New Roman"/>
          <w:szCs w:val="21"/>
        </w:rPr>
        <w:t xml:space="preserve">   卖</w:t>
      </w:r>
      <w:r>
        <w:rPr>
          <w:rFonts w:eastAsia="仿宋" w:cs="Times New Roman"/>
          <w:szCs w:val="21"/>
        </w:rPr>
        <w:t>方通过向开证行提交</w:t>
      </w:r>
      <w:r>
        <w:rPr>
          <w:rFonts w:hint="eastAsia" w:eastAsia="仿宋" w:cs="Times New Roman"/>
          <w:szCs w:val="21"/>
        </w:rPr>
        <w:t>交货</w:t>
      </w:r>
      <w:r>
        <w:rPr>
          <w:rFonts w:eastAsia="仿宋" w:cs="Times New Roman"/>
          <w:szCs w:val="21"/>
        </w:rPr>
        <w:t>金额80%的即期汇票</w:t>
      </w:r>
      <w:r>
        <w:rPr>
          <w:rFonts w:hint="eastAsia" w:eastAsia="仿宋" w:cs="Times New Roman"/>
          <w:szCs w:val="21"/>
        </w:rPr>
        <w:t>；</w:t>
      </w:r>
    </w:p>
    <w:p>
      <w:pPr>
        <w:numPr>
          <w:ilvl w:val="0"/>
          <w:numId w:val="30"/>
        </w:numPr>
        <w:spacing w:line="240" w:lineRule="auto"/>
        <w:ind w:left="750" w:leftChars="357"/>
        <w:rPr>
          <w:rFonts w:eastAsia="仿宋" w:cs="Times New Roman"/>
          <w:szCs w:val="21"/>
        </w:rPr>
      </w:pPr>
      <w:r>
        <w:rPr>
          <w:rFonts w:eastAsia="仿宋" w:cs="Times New Roman"/>
          <w:szCs w:val="21"/>
        </w:rPr>
        <w:t>the shipping documents specified in the Article 12</w:t>
      </w:r>
      <w:r>
        <w:rPr>
          <w:rFonts w:hint="eastAsia" w:eastAsia="仿宋" w:cs="Times New Roman"/>
          <w:szCs w:val="21"/>
        </w:rPr>
        <w:t xml:space="preserve"> </w:t>
      </w:r>
      <w:r>
        <w:rPr>
          <w:rFonts w:eastAsia="仿宋" w:cs="Times New Roman"/>
          <w:szCs w:val="21"/>
        </w:rPr>
        <w:t>below.</w:t>
      </w:r>
    </w:p>
    <w:p>
      <w:pPr>
        <w:tabs>
          <w:tab w:val="left" w:pos="1134"/>
        </w:tabs>
        <w:spacing w:line="240" w:lineRule="auto"/>
        <w:ind w:left="945" w:hanging="945" w:hangingChars="450"/>
        <w:rPr>
          <w:rFonts w:eastAsia="仿宋" w:cs="Times New Roman"/>
          <w:szCs w:val="21"/>
        </w:rPr>
      </w:pPr>
      <w:r>
        <w:rPr>
          <w:rFonts w:eastAsia="仿宋" w:cs="Times New Roman"/>
          <w:szCs w:val="21"/>
        </w:rPr>
        <w:t xml:space="preserve">         </w:t>
      </w:r>
      <w:r>
        <w:rPr>
          <w:rFonts w:hint="eastAsia" w:eastAsia="仿宋" w:cs="Times New Roman"/>
          <w:szCs w:val="21"/>
        </w:rPr>
        <w:t>本</w:t>
      </w:r>
      <w:r>
        <w:rPr>
          <w:rFonts w:eastAsia="仿宋" w:cs="Times New Roman"/>
          <w:szCs w:val="21"/>
        </w:rPr>
        <w:t>合同第十二条所指定的装船单据</w:t>
      </w:r>
      <w:r>
        <w:rPr>
          <w:rFonts w:hint="eastAsia" w:eastAsia="仿宋" w:cs="Times New Roman"/>
          <w:szCs w:val="21"/>
        </w:rPr>
        <w:t>。</w:t>
      </w:r>
    </w:p>
    <w:p>
      <w:pPr>
        <w:tabs>
          <w:tab w:val="left" w:pos="1134"/>
        </w:tabs>
        <w:spacing w:line="240" w:lineRule="auto"/>
        <w:rPr>
          <w:rFonts w:eastAsia="仿宋" w:cs="Times New Roman"/>
          <w:szCs w:val="21"/>
        </w:rPr>
      </w:pPr>
      <w:r>
        <w:rPr>
          <w:rFonts w:eastAsia="仿宋" w:cs="Times New Roman"/>
          <w:szCs w:val="21"/>
        </w:rPr>
        <w:t xml:space="preserve"> </w:t>
      </w:r>
    </w:p>
    <w:p>
      <w:pPr>
        <w:numPr>
          <w:ilvl w:val="0"/>
          <w:numId w:val="29"/>
        </w:numPr>
        <w:spacing w:line="240" w:lineRule="auto"/>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pPr>
        <w:spacing w:line="240" w:lineRule="auto"/>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pPr>
        <w:tabs>
          <w:tab w:val="left" w:pos="1134"/>
        </w:tabs>
        <w:spacing w:line="240" w:lineRule="auto"/>
        <w:ind w:left="945" w:leftChars="450"/>
        <w:rPr>
          <w:rFonts w:eastAsia="仿宋" w:cs="Times New Roman"/>
          <w:szCs w:val="21"/>
        </w:rPr>
      </w:pPr>
    </w:p>
    <w:p>
      <w:pPr>
        <w:tabs>
          <w:tab w:val="left" w:pos="1134"/>
        </w:tabs>
        <w:spacing w:line="240" w:lineRule="auto"/>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pPr>
        <w:tabs>
          <w:tab w:val="left" w:pos="1134"/>
        </w:tabs>
        <w:spacing w:line="240" w:lineRule="auto"/>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pPr>
        <w:tabs>
          <w:tab w:val="left" w:pos="1134"/>
        </w:tabs>
        <w:spacing w:line="240" w:lineRule="auto"/>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pPr>
        <w:tabs>
          <w:tab w:val="left" w:pos="1134"/>
        </w:tabs>
        <w:spacing w:line="240" w:lineRule="auto"/>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pPr>
        <w:tabs>
          <w:tab w:val="left" w:pos="1134"/>
        </w:tabs>
        <w:spacing w:line="240" w:lineRule="auto"/>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pPr>
        <w:tabs>
          <w:tab w:val="left" w:pos="1134"/>
        </w:tabs>
        <w:spacing w:line="240" w:lineRule="auto"/>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spacing w:line="240" w:lineRule="auto"/>
        <w:ind w:left="735" w:leftChars="350"/>
        <w:rPr>
          <w:rFonts w:eastAsia="仿宋" w:cs="Times New Roman"/>
          <w:szCs w:val="21"/>
        </w:rPr>
      </w:pPr>
    </w:p>
    <w:p>
      <w:pPr>
        <w:topLinePunct/>
        <w:spacing w:line="240" w:lineRule="auto"/>
        <w:ind w:left="838" w:leftChars="57" w:hanging="718" w:hangingChars="342"/>
        <w:rPr>
          <w:rFonts w:eastAsia="仿宋" w:cs="Times New Roman"/>
          <w:bCs/>
          <w:szCs w:val="21"/>
        </w:rPr>
      </w:pPr>
      <w:r>
        <w:rPr>
          <w:rFonts w:hint="eastAsia" w:eastAsia="仿宋" w:cs="Times New Roman"/>
          <w:szCs w:val="21"/>
        </w:rPr>
        <w:t xml:space="preserve">11.3   </w:t>
      </w:r>
      <w:bookmarkStart w:id="45" w:name="OLE_LINK28"/>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hint="eastAsia" w:eastAsia="仿宋" w:cs="Times New Roman"/>
          <w:bCs/>
          <w:szCs w:val="21"/>
        </w:rPr>
        <w:t>20</w:t>
      </w:r>
      <w:r>
        <w:rPr>
          <w:rFonts w:eastAsia="仿宋" w:cs="Times New Roman"/>
          <w:bCs/>
          <w:szCs w:val="21"/>
        </w:rPr>
        <w:t>% of the Contract Value, the Buyer shall have the right to rescind the Contract.</w:t>
      </w:r>
    </w:p>
    <w:p>
      <w:pPr>
        <w:kinsoku w:val="0"/>
        <w:topLinePunct/>
        <w:spacing w:line="240" w:lineRule="auto"/>
        <w:ind w:left="861" w:leftChars="410"/>
        <w:rPr>
          <w:rFonts w:eastAsia="仿宋" w:cs="Times New Roman"/>
          <w:szCs w:val="21"/>
        </w:rPr>
      </w:pPr>
      <w:r>
        <w:rPr>
          <w:rFonts w:eastAsia="仿宋" w:cs="Times New Roman"/>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bookmarkEnd w:id="45"/>
    </w:p>
    <w:p>
      <w:pPr>
        <w:adjustRightInd w:val="0"/>
        <w:snapToGrid w:val="0"/>
        <w:spacing w:line="240" w:lineRule="auto"/>
        <w:ind w:left="840" w:hanging="840" w:hangingChars="400"/>
        <w:rPr>
          <w:rFonts w:eastAsia="仿宋" w:cs="Times New Roman"/>
          <w:bCs/>
          <w:szCs w:val="21"/>
        </w:rPr>
      </w:pPr>
      <w:r>
        <w:rPr>
          <w:rFonts w:hint="eastAsia" w:eastAsia="仿宋" w:cs="Times New Roman"/>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pPr>
        <w:adjustRightInd w:val="0"/>
        <w:snapToGrid w:val="0"/>
        <w:spacing w:line="240" w:lineRule="auto"/>
        <w:ind w:left="840" w:leftChars="400"/>
        <w:rPr>
          <w:rFonts w:eastAsia="仿宋" w:cs="Times New Roman"/>
          <w:bCs/>
          <w:szCs w:val="21"/>
        </w:rPr>
      </w:pPr>
      <w:r>
        <w:rPr>
          <w:rFonts w:hint="eastAsia" w:eastAsia="仿宋" w:cs="Times New Roman"/>
          <w:bCs/>
          <w:szCs w:val="21"/>
        </w:rPr>
        <w:t>买方在付款行完成汇出手续后即达成按期付款条件，如因中转行或收款行等原因导致卖方延迟或者无法收到货款的，买方不支付延迟付款利息或者承担其他赔偿责任。</w:t>
      </w:r>
    </w:p>
    <w:p>
      <w:pPr>
        <w:adjustRightInd w:val="0"/>
        <w:snapToGrid w:val="0"/>
        <w:spacing w:line="240" w:lineRule="auto"/>
        <w:ind w:left="840" w:leftChars="400"/>
        <w:rPr>
          <w:rFonts w:eastAsia="仿宋" w:cs="Times New Roman"/>
          <w:bCs/>
          <w:szCs w:val="21"/>
        </w:rPr>
      </w:pPr>
    </w:p>
    <w:p>
      <w:pPr>
        <w:spacing w:line="240" w:lineRule="auto"/>
        <w:ind w:left="861" w:leftChars="410"/>
        <w:rPr>
          <w:rFonts w:eastAsia="仿宋" w:cs="Times New Roman"/>
          <w:szCs w:val="21"/>
        </w:rPr>
      </w:pPr>
    </w:p>
    <w:p>
      <w:pPr>
        <w:spacing w:line="240" w:lineRule="auto"/>
        <w:ind w:left="838" w:leftChars="57" w:hanging="718" w:hangingChars="342"/>
        <w:rPr>
          <w:rFonts w:eastAsia="仿宋" w:cs="Times New Roman"/>
          <w:szCs w:val="21"/>
        </w:rPr>
      </w:pPr>
      <w:r>
        <w:rPr>
          <w:rFonts w:eastAsia="仿宋" w:cs="Times New Roman"/>
          <w:bCs/>
          <w:szCs w:val="21"/>
          <w:lang w:eastAsia="zh-TW"/>
        </w:rPr>
        <w:t>11.</w:t>
      </w:r>
      <w:r>
        <w:rPr>
          <w:rFonts w:hint="eastAsia" w:eastAsia="仿宋" w:cs="Times New Roman"/>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adjustRightInd w:val="0"/>
        <w:snapToGrid w:val="0"/>
        <w:spacing w:line="240" w:lineRule="auto"/>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pPr>
        <w:adjustRightInd w:val="0"/>
        <w:snapToGrid w:val="0"/>
        <w:spacing w:line="240" w:lineRule="auto"/>
        <w:ind w:left="840" w:leftChars="100" w:hanging="630" w:hangingChars="300"/>
        <w:rPr>
          <w:rFonts w:eastAsia="仿宋" w:cs="Times New Roman"/>
          <w:bCs/>
          <w:szCs w:val="21"/>
        </w:rPr>
      </w:pPr>
      <w:r>
        <w:rPr>
          <w:rFonts w:eastAsia="仿宋" w:cs="Times New Roman"/>
          <w:bCs/>
          <w:szCs w:val="21"/>
        </w:rPr>
        <w:t>11.</w:t>
      </w:r>
      <w:r>
        <w:rPr>
          <w:rFonts w:hint="eastAsia" w:eastAsia="仿宋" w:cs="Times New Roman"/>
          <w:bCs/>
          <w:szCs w:val="21"/>
        </w:rPr>
        <w:t>6</w:t>
      </w:r>
      <w:r>
        <w:rPr>
          <w:rFonts w:eastAsia="仿宋" w:cs="Times New Roman"/>
          <w:bCs/>
          <w:szCs w:val="21"/>
        </w:rPr>
        <w:t xml:space="preserve">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adjustRightInd w:val="0"/>
        <w:snapToGrid w:val="0"/>
        <w:spacing w:line="240" w:lineRule="auto"/>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adjustRightInd w:val="0"/>
        <w:snapToGrid w:val="0"/>
        <w:spacing w:line="240" w:lineRule="auto"/>
        <w:ind w:left="840" w:leftChars="400"/>
        <w:rPr>
          <w:rFonts w:eastAsia="仿宋" w:cs="Times New Roman"/>
          <w:bCs/>
          <w:szCs w:val="21"/>
        </w:rPr>
      </w:pPr>
    </w:p>
    <w:p>
      <w:pPr>
        <w:spacing w:line="240" w:lineRule="auto"/>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FCA.FOB</w:t>
      </w:r>
    </w:p>
    <w:p>
      <w:pPr>
        <w:spacing w:line="240" w:lineRule="auto"/>
        <w:rPr>
          <w:rFonts w:eastAsia="仿宋" w:cs="Times New Roman"/>
          <w:szCs w:val="21"/>
          <w:lang w:eastAsia="zh-TW"/>
        </w:rPr>
      </w:pPr>
    </w:p>
    <w:p>
      <w:pPr>
        <w:spacing w:line="240" w:lineRule="auto"/>
        <w:ind w:firstLine="218" w:firstLineChars="104"/>
        <w:rPr>
          <w:rFonts w:eastAsia="仿宋" w:cs="Times New Roman"/>
          <w:szCs w:val="21"/>
        </w:rPr>
      </w:pPr>
      <w:r>
        <w:rPr>
          <w:rFonts w:eastAsia="仿宋" w:cs="Times New Roman"/>
          <w:szCs w:val="21"/>
        </w:rPr>
        <w:t>11.1 Payment shall be made by the Buyer as follows:</w:t>
      </w:r>
    </w:p>
    <w:p>
      <w:pPr>
        <w:spacing w:line="240" w:lineRule="auto"/>
        <w:ind w:left="447" w:leftChars="213"/>
        <w:rPr>
          <w:rFonts w:eastAsia="仿宋" w:cs="Times New Roman"/>
          <w:szCs w:val="21"/>
        </w:rPr>
      </w:pPr>
      <w:r>
        <w:rPr>
          <w:rFonts w:eastAsia="仿宋" w:cs="Times New Roman"/>
          <w:szCs w:val="21"/>
        </w:rPr>
        <w:t>买方应根据如下方式支付货款：</w:t>
      </w:r>
    </w:p>
    <w:p>
      <w:pPr>
        <w:spacing w:line="240" w:lineRule="auto"/>
        <w:ind w:left="447" w:leftChars="213"/>
        <w:rPr>
          <w:rFonts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pPr>
        <w:spacing w:line="240" w:lineRule="auto"/>
        <w:ind w:left="447" w:leftChars="213"/>
        <w:rPr>
          <w:rFonts w:eastAsia="仿宋" w:cs="Times New Roman"/>
          <w:szCs w:val="21"/>
        </w:rPr>
      </w:pPr>
      <w:r>
        <w:rPr>
          <w:rFonts w:eastAsia="仿宋" w:cs="Times New Roman"/>
          <w:szCs w:val="21"/>
        </w:rPr>
        <w:t>货物交付货运代理人24小时之内，卖方应通过传真或邮件发给买方12条提及的单据，同时把全套正本单据快递给买方。</w:t>
      </w:r>
    </w:p>
    <w:p>
      <w:pPr>
        <w:spacing w:line="240" w:lineRule="auto"/>
        <w:ind w:left="420" w:leftChars="200"/>
        <w:rPr>
          <w:rFonts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pPr>
        <w:numPr>
          <w:ilvl w:val="1"/>
          <w:numId w:val="0"/>
        </w:numPr>
        <w:tabs>
          <w:tab w:val="left" w:pos="567"/>
        </w:tabs>
        <w:ind w:left="447" w:leftChars="213"/>
        <w:rPr>
          <w:rFonts w:eastAsia="仿宋" w:cs="Times New Roman"/>
          <w:szCs w:val="21"/>
        </w:rPr>
      </w:pPr>
      <w:r>
        <w:rPr>
          <w:rFonts w:eastAsia="仿宋" w:cs="Times New Roman"/>
          <w:szCs w:val="21"/>
        </w:rPr>
        <w:t>买方收到全套正本单据（货物商业发票、提货单、质量证书、包装材料声明、产地证）后30天电汇货款。</w:t>
      </w:r>
    </w:p>
    <w:p>
      <w:pPr>
        <w:numPr>
          <w:ilvl w:val="1"/>
          <w:numId w:val="0"/>
        </w:numPr>
        <w:tabs>
          <w:tab w:val="left" w:pos="567"/>
        </w:tabs>
        <w:ind w:left="444" w:leftChars="104" w:hanging="226" w:hangingChars="108"/>
        <w:jc w:val="left"/>
        <w:rPr>
          <w:rFonts w:ascii="Arial" w:hAnsi="Arial" w:eastAsia="楷体_GB2312"/>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xml:space="preserve"> 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hint="eastAsia" w:eastAsia="仿宋" w:cs="Times New Roman"/>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pPr>
        <w:numPr>
          <w:ilvl w:val="1"/>
          <w:numId w:val="0"/>
        </w:numPr>
        <w:tabs>
          <w:tab w:val="left" w:pos="567"/>
        </w:tabs>
        <w:ind w:left="447" w:leftChars="213"/>
        <w:rPr>
          <w:rFonts w:ascii="Arial" w:hAnsi="Arial" w:eastAsia="楷体_GB2312"/>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的0.5%，不足一周按一周计算。如果罚金达到</w:t>
      </w:r>
      <w:r>
        <w:rPr>
          <w:rFonts w:hint="eastAsia" w:eastAsia="仿宋" w:cs="Times New Roman"/>
          <w:szCs w:val="21"/>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pPr>
        <w:numPr>
          <w:ilvl w:val="1"/>
          <w:numId w:val="0"/>
        </w:numPr>
        <w:tabs>
          <w:tab w:val="left" w:pos="567"/>
        </w:tabs>
        <w:ind w:left="444" w:leftChars="104" w:hanging="226" w:hangingChars="108"/>
        <w:rPr>
          <w:rFonts w:ascii="Arial" w:hAnsi="Arial" w:eastAsia="楷体_GB2312"/>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numPr>
          <w:ilvl w:val="1"/>
          <w:numId w:val="0"/>
        </w:numPr>
        <w:tabs>
          <w:tab w:val="left" w:pos="567"/>
        </w:tabs>
        <w:ind w:left="447" w:leftChars="213"/>
        <w:rPr>
          <w:rFonts w:ascii="Arial" w:hAnsi="Arial" w:eastAsia="楷体_GB2312"/>
          <w:szCs w:val="21"/>
        </w:rPr>
      </w:pPr>
      <w:r>
        <w:rPr>
          <w:rFonts w:eastAsia="仿宋" w:cs="Times New Roman"/>
          <w:szCs w:val="21"/>
        </w:rPr>
        <w:t>买方银行包括代理行的银行费用和佣金由买方支付。卖方银行及其代理行的费用和佣金由卖方支付。</w:t>
      </w:r>
    </w:p>
    <w:p>
      <w:pPr>
        <w:numPr>
          <w:ilvl w:val="1"/>
          <w:numId w:val="0"/>
        </w:numPr>
        <w:tabs>
          <w:tab w:val="left" w:pos="567"/>
        </w:tabs>
        <w:ind w:left="444" w:leftChars="104" w:hanging="226" w:hangingChars="108"/>
        <w:rPr>
          <w:rFonts w:ascii="Arial" w:hAnsi="Arial" w:eastAsia="仿宋"/>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r>
        <w:rPr>
          <w:rFonts w:hint="eastAsia" w:eastAsia="仿宋" w:cs="Times New Roman"/>
          <w:bCs/>
          <w:szCs w:val="21"/>
        </w:rPr>
        <w:t xml:space="preserve">                            </w:t>
      </w:r>
    </w:p>
    <w:p>
      <w:pPr>
        <w:numPr>
          <w:ilvl w:val="1"/>
          <w:numId w:val="0"/>
        </w:numPr>
        <w:tabs>
          <w:tab w:val="left" w:pos="567"/>
        </w:tabs>
        <w:ind w:left="447" w:leftChars="213"/>
        <w:rPr>
          <w:rFonts w:ascii="Arial" w:hAnsi="Arial" w:eastAsia="楷体_GB2312"/>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numPr>
          <w:ilvl w:val="1"/>
          <w:numId w:val="0"/>
        </w:numPr>
        <w:tabs>
          <w:tab w:val="left" w:pos="567"/>
        </w:tabs>
        <w:ind w:left="447" w:leftChars="213"/>
        <w:rPr>
          <w:rFonts w:ascii="Arial" w:hAnsi="Arial" w:eastAsia="楷体_GB2312"/>
          <w:szCs w:val="21"/>
        </w:rPr>
      </w:pPr>
    </w:p>
    <w:p>
      <w:pPr>
        <w:adjustRightInd w:val="0"/>
        <w:snapToGrid w:val="0"/>
        <w:spacing w:line="240" w:lineRule="auto"/>
        <w:rPr>
          <w:rFonts w:eastAsia="仿宋" w:cs="Times New Roman"/>
          <w:bCs/>
          <w:szCs w:val="21"/>
        </w:rPr>
      </w:pPr>
    </w:p>
    <w:p>
      <w:pPr>
        <w:spacing w:line="240" w:lineRule="auto"/>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pPr>
        <w:spacing w:line="240" w:lineRule="auto"/>
        <w:ind w:left="210" w:hanging="210" w:hangingChars="100"/>
        <w:rPr>
          <w:rFonts w:eastAsia="仿宋" w:cs="Times New Roman"/>
          <w:szCs w:val="21"/>
          <w:lang w:eastAsia="zh-TW"/>
        </w:rPr>
      </w:pPr>
    </w:p>
    <w:p>
      <w:pPr>
        <w:spacing w:line="240" w:lineRule="auto"/>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pPr>
        <w:spacing w:line="240" w:lineRule="auto"/>
        <w:ind w:left="210" w:hanging="210" w:hangingChars="100"/>
        <w:rPr>
          <w:rFonts w:eastAsia="仿宋" w:cs="Times New Roman"/>
          <w:szCs w:val="21"/>
          <w:lang w:eastAsia="zh-TW"/>
        </w:rPr>
      </w:pPr>
    </w:p>
    <w:p>
      <w:pPr>
        <w:numPr>
          <w:ilvl w:val="0"/>
          <w:numId w:val="31"/>
        </w:numPr>
        <w:tabs>
          <w:tab w:val="left" w:pos="993"/>
        </w:tabs>
        <w:spacing w:line="240" w:lineRule="auto"/>
        <w:rPr>
          <w:rFonts w:eastAsia="仿宋" w:cs="Times New Roman"/>
          <w:szCs w:val="21"/>
        </w:rPr>
      </w:pPr>
      <w:r>
        <w:rPr>
          <w:rFonts w:hint="eastAsia" w:eastAsia="仿宋" w:cs="Times New Roman"/>
          <w:b/>
          <w:bCs/>
          <w:i/>
          <w:iCs/>
          <w:szCs w:val="21"/>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pPr>
        <w:spacing w:line="240" w:lineRule="auto"/>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pPr>
        <w:tabs>
          <w:tab w:val="left" w:pos="933"/>
          <w:tab w:val="left" w:pos="993"/>
        </w:tabs>
        <w:ind w:left="1050" w:leftChars="500"/>
        <w:rPr>
          <w:rFonts w:eastAsia="仿宋" w:cs="Times New Roman"/>
          <w:szCs w:val="21"/>
        </w:rPr>
      </w:pPr>
      <w:r>
        <w:rPr>
          <w:rFonts w:hint="eastAsia" w:eastAsia="仿宋" w:cs="Times New Roman"/>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pPr>
        <w:spacing w:line="240" w:lineRule="auto"/>
        <w:rPr>
          <w:rFonts w:eastAsia="仿宋" w:cs="Times New Roman"/>
          <w:szCs w:val="21"/>
        </w:rPr>
      </w:pPr>
    </w:p>
    <w:p>
      <w:pPr>
        <w:numPr>
          <w:ilvl w:val="0"/>
          <w:numId w:val="31"/>
        </w:numPr>
        <w:tabs>
          <w:tab w:val="left" w:pos="993"/>
        </w:tabs>
        <w:spacing w:line="240" w:lineRule="auto"/>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pPr>
        <w:spacing w:line="240" w:lineRule="auto"/>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pPr>
        <w:numPr>
          <w:ilvl w:val="0"/>
          <w:numId w:val="31"/>
        </w:numPr>
        <w:tabs>
          <w:tab w:val="left" w:pos="993"/>
        </w:tabs>
        <w:spacing w:line="240" w:lineRule="auto"/>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pPr>
        <w:spacing w:line="240" w:lineRule="auto"/>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pPr>
        <w:numPr>
          <w:ilvl w:val="0"/>
          <w:numId w:val="31"/>
        </w:numPr>
        <w:tabs>
          <w:tab w:val="left" w:pos="993"/>
        </w:tabs>
        <w:spacing w:line="240" w:lineRule="auto"/>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pPr>
        <w:spacing w:line="240" w:lineRule="auto"/>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pPr>
        <w:tabs>
          <w:tab w:val="left" w:pos="709"/>
        </w:tabs>
        <w:snapToGrid w:val="0"/>
        <w:spacing w:line="240" w:lineRule="auto"/>
        <w:ind w:left="985" w:leftChars="469"/>
        <w:rPr>
          <w:rFonts w:eastAsia="仿宋" w:cs="Times New Roman"/>
          <w:szCs w:val="21"/>
        </w:rPr>
      </w:pPr>
      <w:r>
        <w:rPr>
          <w:rFonts w:eastAsia="楷体_GB2312" w:cs="Times New Roman"/>
          <w:szCs w:val="21"/>
        </w:rPr>
        <w:t>The Certificate of Quality shall include</w:t>
      </w:r>
      <w:r>
        <w:rPr>
          <w:rFonts w:hint="eastAsia" w:eastAsia="楷体_GB2312" w:cs="Times New Roman"/>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hint="eastAsia" w:eastAsia="楷体_GB2312" w:cs="Times New Roman"/>
          <w:szCs w:val="21"/>
        </w:rPr>
        <w:t xml:space="preserve"> </w:t>
      </w:r>
      <w:bookmarkStart w:id="46" w:name="OLE_LINK24"/>
      <w:bookmarkStart w:id="47" w:name="OLE_LINK22"/>
      <w:r>
        <w:rPr>
          <w:rFonts w:eastAsia="楷体_GB2312" w:cs="Times New Roman"/>
          <w:szCs w:val="21"/>
        </w:rPr>
        <w:t>hot rolled bars</w:t>
      </w:r>
      <w:bookmarkEnd w:id="46"/>
      <w:bookmarkEnd w:id="47"/>
      <w:r>
        <w:rPr>
          <w:rFonts w:eastAsia="楷体_GB2312" w:cs="Times New Roman"/>
          <w:szCs w:val="21"/>
        </w:rPr>
        <w:t>, etc.).</w:t>
      </w:r>
    </w:p>
    <w:p>
      <w:pPr>
        <w:spacing w:line="240" w:lineRule="auto"/>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pPr>
        <w:numPr>
          <w:ilvl w:val="0"/>
          <w:numId w:val="31"/>
        </w:numPr>
        <w:tabs>
          <w:tab w:val="left" w:pos="993"/>
        </w:tabs>
        <w:spacing w:line="240" w:lineRule="auto"/>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pPr>
        <w:tabs>
          <w:tab w:val="left" w:pos="993"/>
        </w:tabs>
        <w:spacing w:line="240" w:lineRule="auto"/>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pPr>
        <w:numPr>
          <w:ilvl w:val="0"/>
          <w:numId w:val="31"/>
        </w:numPr>
        <w:tabs>
          <w:tab w:val="left" w:pos="993"/>
        </w:tabs>
        <w:spacing w:line="240" w:lineRule="auto"/>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pPr>
        <w:tabs>
          <w:tab w:val="left" w:pos="993"/>
        </w:tabs>
        <w:spacing w:line="240" w:lineRule="auto"/>
        <w:ind w:left="933"/>
        <w:rPr>
          <w:rFonts w:eastAsia="仿宋" w:cs="Times New Roman"/>
          <w:szCs w:val="21"/>
        </w:rPr>
      </w:pPr>
      <w:r>
        <w:rPr>
          <w:rFonts w:eastAsia="仿宋" w:cs="Times New Roman"/>
          <w:szCs w:val="21"/>
        </w:rPr>
        <w:t>每批货物总值110%一切险的保单。</w:t>
      </w:r>
    </w:p>
    <w:p>
      <w:pPr>
        <w:numPr>
          <w:ilvl w:val="0"/>
          <w:numId w:val="31"/>
        </w:numPr>
        <w:tabs>
          <w:tab w:val="left" w:pos="993"/>
        </w:tabs>
        <w:spacing w:line="240" w:lineRule="auto"/>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pPr>
        <w:tabs>
          <w:tab w:val="left" w:pos="993"/>
        </w:tabs>
        <w:spacing w:line="240" w:lineRule="auto"/>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pPr>
        <w:numPr>
          <w:ilvl w:val="0"/>
          <w:numId w:val="31"/>
        </w:numPr>
        <w:tabs>
          <w:tab w:val="left" w:pos="993"/>
        </w:tabs>
        <w:spacing w:line="240" w:lineRule="auto"/>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pPr>
        <w:spacing w:line="240" w:lineRule="auto"/>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pPr>
        <w:numPr>
          <w:ilvl w:val="0"/>
          <w:numId w:val="31"/>
        </w:numPr>
        <w:tabs>
          <w:tab w:val="left" w:pos="993"/>
        </w:tabs>
        <w:spacing w:line="240" w:lineRule="auto"/>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pPr>
        <w:numPr>
          <w:ilvl w:val="0"/>
          <w:numId w:val="31"/>
        </w:numPr>
        <w:tabs>
          <w:tab w:val="left" w:pos="993"/>
        </w:tabs>
        <w:spacing w:line="240" w:lineRule="auto"/>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pPr>
        <w:spacing w:line="240" w:lineRule="auto"/>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pPr>
        <w:spacing w:line="240" w:lineRule="auto"/>
        <w:ind w:left="993"/>
        <w:rPr>
          <w:rFonts w:eastAsia="仿宋" w:cs="Times New Roman"/>
          <w:szCs w:val="21"/>
        </w:rPr>
      </w:pPr>
    </w:p>
    <w:p>
      <w:pPr>
        <w:spacing w:line="240" w:lineRule="auto"/>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pPr>
        <w:spacing w:line="240" w:lineRule="auto"/>
        <w:rPr>
          <w:rFonts w:eastAsia="仿宋" w:cs="Times New Roman"/>
          <w:szCs w:val="21"/>
          <w:lang w:eastAsia="zh-TW"/>
        </w:rPr>
      </w:pPr>
    </w:p>
    <w:p>
      <w:pPr>
        <w:numPr>
          <w:ilvl w:val="0"/>
          <w:numId w:val="32"/>
        </w:numPr>
        <w:spacing w:line="240" w:lineRule="auto"/>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pPr>
        <w:spacing w:line="240" w:lineRule="auto"/>
        <w:ind w:left="735" w:leftChars="350"/>
        <w:rPr>
          <w:rFonts w:eastAsia="仿宋" w:cs="Times New Roman"/>
          <w:szCs w:val="21"/>
        </w:rPr>
      </w:pPr>
      <w:r>
        <w:rPr>
          <w:rFonts w:eastAsia="仿宋" w:cs="Times New Roman"/>
          <w:szCs w:val="21"/>
        </w:rPr>
        <w:t>根据技术协议，卖方应准备并提供给最终用户技术文件。</w:t>
      </w:r>
    </w:p>
    <w:p>
      <w:pPr>
        <w:numPr>
          <w:ilvl w:val="0"/>
          <w:numId w:val="32"/>
        </w:numPr>
        <w:spacing w:line="240" w:lineRule="auto"/>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pPr>
        <w:spacing w:line="240" w:lineRule="auto"/>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pPr>
        <w:numPr>
          <w:ilvl w:val="0"/>
          <w:numId w:val="32"/>
        </w:numPr>
        <w:spacing w:line="240" w:lineRule="auto"/>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pPr>
        <w:spacing w:line="240" w:lineRule="auto"/>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pPr>
        <w:numPr>
          <w:ilvl w:val="0"/>
          <w:numId w:val="32"/>
        </w:numPr>
        <w:spacing w:line="240" w:lineRule="auto"/>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pPr>
        <w:spacing w:line="240" w:lineRule="auto"/>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pPr>
        <w:spacing w:line="240" w:lineRule="auto"/>
        <w:rPr>
          <w:rFonts w:eastAsia="仿宋" w:cs="Times New Roman"/>
          <w:b/>
          <w:szCs w:val="21"/>
        </w:rPr>
      </w:pPr>
    </w:p>
    <w:p>
      <w:pPr>
        <w:tabs>
          <w:tab w:val="left" w:pos="709"/>
        </w:tabs>
        <w:snapToGrid w:val="0"/>
        <w:spacing w:line="240" w:lineRule="auto"/>
        <w:rPr>
          <w:rFonts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w:t>
      </w:r>
      <w:r>
        <w:rPr>
          <w:rFonts w:eastAsia="仿宋" w:cs="Times New Roman"/>
          <w:b/>
          <w:i/>
          <w:iCs/>
          <w:sz w:val="24"/>
          <w:szCs w:val="24"/>
        </w:rPr>
        <w:t>（CIP.CIF适用）</w:t>
      </w:r>
    </w:p>
    <w:p>
      <w:pPr>
        <w:snapToGrid w:val="0"/>
        <w:spacing w:line="240" w:lineRule="auto"/>
        <w:rPr>
          <w:rFonts w:eastAsia="仿宋" w:cs="Times New Roman"/>
          <w:b/>
          <w:szCs w:val="21"/>
        </w:rPr>
      </w:pPr>
    </w:p>
    <w:p>
      <w:pPr>
        <w:snapToGrid w:val="0"/>
        <w:spacing w:line="240" w:lineRule="auto"/>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pPr>
        <w:snapToGrid w:val="0"/>
        <w:spacing w:line="240" w:lineRule="auto"/>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pPr>
        <w:snapToGrid w:val="0"/>
        <w:spacing w:line="240" w:lineRule="auto"/>
        <w:ind w:left="619" w:hanging="619" w:hangingChars="295"/>
        <w:rPr>
          <w:rFonts w:eastAsia="仿宋" w:cs="Times New Roman"/>
          <w:szCs w:val="21"/>
        </w:rPr>
      </w:pPr>
    </w:p>
    <w:p>
      <w:pPr>
        <w:snapToGrid w:val="0"/>
        <w:spacing w:line="240" w:lineRule="auto"/>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pPr>
        <w:spacing w:line="240" w:lineRule="auto"/>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pPr>
        <w:snapToGrid w:val="0"/>
        <w:spacing w:line="240" w:lineRule="auto"/>
        <w:rPr>
          <w:rFonts w:eastAsia="仿宋" w:cs="Times New Roman"/>
          <w:szCs w:val="21"/>
        </w:rPr>
      </w:pPr>
    </w:p>
    <w:p>
      <w:pPr>
        <w:snapToGrid w:val="0"/>
        <w:spacing w:line="240" w:lineRule="auto"/>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pPr>
        <w:snapToGrid w:val="0"/>
        <w:spacing w:line="240" w:lineRule="auto"/>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tabs>
          <w:tab w:val="left" w:pos="709"/>
        </w:tabs>
        <w:snapToGrid w:val="0"/>
        <w:spacing w:line="240" w:lineRule="auto"/>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pPr>
        <w:snapToGrid w:val="0"/>
        <w:spacing w:line="240" w:lineRule="auto"/>
        <w:rPr>
          <w:rFonts w:eastAsia="仿宋" w:cs="Times New Roman"/>
          <w:b/>
          <w:szCs w:val="21"/>
        </w:rPr>
      </w:pPr>
    </w:p>
    <w:p>
      <w:pPr>
        <w:snapToGrid w:val="0"/>
        <w:spacing w:line="240" w:lineRule="auto"/>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hint="eastAsia" w:eastAsia="仿宋" w:cs="Times New Roman"/>
          <w:szCs w:val="21"/>
        </w:rPr>
        <w:t xml:space="preserve">deduct the value </w:t>
      </w:r>
      <w:r>
        <w:rPr>
          <w:rFonts w:eastAsia="仿宋" w:cs="Times New Roman"/>
          <w:szCs w:val="21"/>
          <w:lang w:eastAsia="zh-TW"/>
        </w:rPr>
        <w:t>of such defective Commodities</w:t>
      </w:r>
      <w:r>
        <w:rPr>
          <w:rFonts w:hint="eastAsia" w:eastAsia="仿宋" w:cs="Times New Roman"/>
          <w:szCs w:val="21"/>
        </w:rPr>
        <w:t xml:space="preserve"> from</w:t>
      </w:r>
      <w:r>
        <w:rPr>
          <w:rFonts w:eastAsia="仿宋" w:cs="Times New Roman"/>
          <w:szCs w:val="21"/>
          <w:lang w:eastAsia="zh-TW"/>
        </w:rPr>
        <w:t xml:space="preserve"> the </w:t>
      </w:r>
      <w:r>
        <w:rPr>
          <w:rFonts w:hint="eastAsia" w:eastAsia="仿宋" w:cs="Times New Roman"/>
          <w:szCs w:val="21"/>
        </w:rPr>
        <w:t xml:space="preserve">payable </w:t>
      </w:r>
      <w:r>
        <w:rPr>
          <w:rFonts w:eastAsia="仿宋" w:cs="Times New Roman"/>
          <w:szCs w:val="21"/>
          <w:lang w:eastAsia="zh-TW"/>
        </w:rPr>
        <w:t>invoice value</w:t>
      </w:r>
      <w:r>
        <w:rPr>
          <w:rFonts w:eastAsia="仿宋" w:cs="Times New Roman"/>
          <w:szCs w:val="21"/>
        </w:rPr>
        <w:t xml:space="preserve">.      </w:t>
      </w:r>
    </w:p>
    <w:p>
      <w:pPr>
        <w:snapToGrid w:val="0"/>
        <w:spacing w:line="240" w:lineRule="auto"/>
        <w:ind w:left="607" w:leftChars="289" w:firstLine="10" w:firstLineChars="5"/>
        <w:rPr>
          <w:rFonts w:eastAsia="仿宋" w:cs="Times New Roman"/>
          <w:szCs w:val="21"/>
        </w:rPr>
      </w:pPr>
      <w:r>
        <w:rPr>
          <w:rFonts w:eastAsia="仿宋" w:cs="Times New Roman"/>
          <w:szCs w:val="21"/>
        </w:rPr>
        <w:t>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或在应付金额中扣减此类缺陷产品金额。</w:t>
      </w:r>
    </w:p>
    <w:p>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pPr>
        <w:snapToGrid w:val="0"/>
        <w:spacing w:line="240" w:lineRule="auto"/>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pPr>
        <w:snapToGrid w:val="0"/>
        <w:spacing w:line="240" w:lineRule="auto"/>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pPr>
        <w:spacing w:line="240" w:lineRule="auto"/>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pPr>
        <w:snapToGrid w:val="0"/>
        <w:spacing w:line="240" w:lineRule="auto"/>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pPr>
        <w:snapToGrid w:val="0"/>
        <w:spacing w:line="240" w:lineRule="auto"/>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pPr>
        <w:spacing w:line="240" w:lineRule="auto"/>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pPr>
        <w:snapToGrid w:val="0"/>
        <w:spacing w:line="240" w:lineRule="auto"/>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pPr>
        <w:snapToGrid w:val="0"/>
        <w:spacing w:line="240" w:lineRule="auto"/>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 </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pPr>
        <w:spacing w:line="240" w:lineRule="auto"/>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tabs>
          <w:tab w:val="left" w:pos="709"/>
        </w:tabs>
        <w:snapToGrid w:val="0"/>
        <w:spacing w:line="240" w:lineRule="auto"/>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pPr>
        <w:snapToGrid w:val="0"/>
        <w:spacing w:line="240" w:lineRule="auto"/>
        <w:rPr>
          <w:rFonts w:eastAsia="仿宋" w:cs="Times New Roman"/>
          <w:b/>
          <w:szCs w:val="21"/>
        </w:rPr>
      </w:pP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pPr>
        <w:pStyle w:val="20"/>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pPr>
        <w:spacing w:line="240" w:lineRule="auto"/>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48" w:name="OLE_LINK17"/>
      <w:r>
        <w:rPr>
          <w:rFonts w:eastAsia="仿宋" w:cs="Times New Roman"/>
          <w:szCs w:val="21"/>
        </w:rPr>
        <w:t>中国主管检验检疫部门</w:t>
      </w:r>
      <w:bookmarkEnd w:id="48"/>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pPr>
        <w:tabs>
          <w:tab w:val="left" w:pos="709"/>
        </w:tabs>
        <w:snapToGrid w:val="0"/>
        <w:spacing w:line="240" w:lineRule="auto"/>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pPr>
        <w:spacing w:line="240" w:lineRule="auto"/>
        <w:ind w:left="619" w:hanging="619" w:hangingChars="295"/>
        <w:rPr>
          <w:rFonts w:eastAsia="仿宋" w:cs="Times New Roman"/>
          <w:szCs w:val="21"/>
        </w:rPr>
      </w:pPr>
      <w:r>
        <w:rPr>
          <w:rFonts w:eastAsia="仿宋" w:cs="Times New Roman"/>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tabs>
          <w:tab w:val="left" w:pos="709"/>
        </w:tabs>
        <w:snapToGrid w:val="0"/>
        <w:spacing w:line="240" w:lineRule="auto"/>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pPr>
        <w:spacing w:line="240" w:lineRule="auto"/>
        <w:ind w:left="619" w:leftChars="295"/>
        <w:rPr>
          <w:rFonts w:eastAsia="仿宋" w:cs="Times New Roman"/>
          <w:szCs w:val="21"/>
        </w:rPr>
      </w:pPr>
      <w:r>
        <w:rPr>
          <w:rFonts w:eastAsia="仿宋" w:cs="Times New Roman"/>
          <w:i/>
          <w:iCs/>
          <w:szCs w:val="21"/>
          <w:lang w:val="de-DE"/>
        </w:rPr>
        <w:t>(零部件项目适用)</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tabs>
          <w:tab w:val="left" w:pos="709"/>
        </w:tabs>
        <w:snapToGrid w:val="0"/>
        <w:spacing w:line="240" w:lineRule="auto"/>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pPr>
        <w:tabs>
          <w:tab w:val="left" w:pos="709"/>
        </w:tabs>
        <w:snapToGrid w:val="0"/>
        <w:spacing w:line="240" w:lineRule="auto"/>
        <w:rPr>
          <w:rFonts w:eastAsia="仿宋" w:cs="Times New Roman"/>
          <w:szCs w:val="21"/>
          <w:lang w:val="de-DE"/>
        </w:rPr>
      </w:pPr>
    </w:p>
    <w:p>
      <w:pPr>
        <w:tabs>
          <w:tab w:val="left" w:pos="709"/>
        </w:tabs>
        <w:snapToGrid w:val="0"/>
        <w:spacing w:line="240" w:lineRule="auto"/>
        <w:rPr>
          <w:rFonts w:eastAsia="仿宋" w:cs="Times New Roman"/>
          <w:szCs w:val="21"/>
        </w:rPr>
      </w:pPr>
    </w:p>
    <w:p>
      <w:pPr>
        <w:tabs>
          <w:tab w:val="left" w:pos="709"/>
        </w:tabs>
        <w:snapToGrid w:val="0"/>
        <w:spacing w:line="240" w:lineRule="auto"/>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pPr>
        <w:snapToGrid w:val="0"/>
        <w:spacing w:line="240" w:lineRule="auto"/>
        <w:rPr>
          <w:rFonts w:eastAsia="仿宋" w:cs="Times New Roman"/>
          <w:szCs w:val="21"/>
        </w:rPr>
      </w:pPr>
    </w:p>
    <w:p>
      <w:pPr>
        <w:snapToGrid w:val="0"/>
        <w:spacing w:line="240" w:lineRule="auto"/>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pPr>
        <w:snapToGrid w:val="0"/>
        <w:spacing w:line="240" w:lineRule="auto"/>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snapToGrid w:val="0"/>
        <w:spacing w:line="240" w:lineRule="auto"/>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pPr>
        <w:snapToGrid w:val="0"/>
        <w:spacing w:line="240" w:lineRule="auto"/>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pPr>
        <w:snapToGrid w:val="0"/>
        <w:spacing w:line="240" w:lineRule="auto"/>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49" w:name="OLE_LINK23"/>
      <w:r>
        <w:rPr>
          <w:rFonts w:eastAsia="仿宋" w:cs="Times New Roman"/>
          <w:szCs w:val="21"/>
        </w:rPr>
        <w:t>Commodities</w:t>
      </w:r>
      <w:bookmarkEnd w:id="49"/>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w:t>
      </w:r>
      <w:bookmarkStart w:id="50" w:name="OLE_LINK19"/>
      <w:r>
        <w:rPr>
          <w:rFonts w:hint="eastAsia" w:eastAsia="仿宋" w:cs="Times New Roman"/>
          <w:szCs w:val="21"/>
        </w:rPr>
        <w:t>and/or the Enduser</w:t>
      </w:r>
      <w:bookmarkEnd w:id="50"/>
      <w:r>
        <w:rPr>
          <w:rFonts w:eastAsia="仿宋" w:cs="Times New Roman"/>
          <w:szCs w:val="21"/>
        </w:rPr>
        <w:t xml:space="preserve">. The Seller shall at the same time guarantee the quality of the replaced Commodities for a further corresponding period. </w:t>
      </w:r>
    </w:p>
    <w:p>
      <w:pPr>
        <w:snapToGrid w:val="0"/>
        <w:spacing w:line="240" w:lineRule="auto"/>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pPr>
        <w:spacing w:line="240" w:lineRule="auto"/>
        <w:ind w:left="619" w:hanging="619" w:hangingChars="295"/>
        <w:rPr>
          <w:rFonts w:eastAsia="仿宋" w:cs="Times New Roman"/>
          <w:szCs w:val="21"/>
        </w:rPr>
      </w:pPr>
      <w:r>
        <w:rPr>
          <w:rFonts w:eastAsia="仿宋" w:cs="Times New Roman"/>
          <w:szCs w:val="21"/>
          <w:lang w:val="de-DE"/>
        </w:rPr>
        <w:t>16.</w:t>
      </w:r>
      <w:r>
        <w:rPr>
          <w:rFonts w:hint="eastAsia" w:eastAsia="仿宋" w:cs="Times New Roman"/>
          <w:szCs w:val="21"/>
        </w:rPr>
        <w:t>2</w:t>
      </w:r>
      <w:r>
        <w:rPr>
          <w:rFonts w:eastAsia="仿宋" w:cs="Times New Roman"/>
          <w:szCs w:val="21"/>
          <w:lang w:val="de-DE"/>
        </w:rPr>
        <w:t xml:space="preserve">  </w:t>
      </w:r>
      <w:r>
        <w:rPr>
          <w:rFonts w:eastAsia="仿宋" w:cs="Times New Roman"/>
          <w:i/>
          <w:iCs/>
          <w:szCs w:val="21"/>
          <w:lang w:val="de-DE"/>
        </w:rPr>
        <w:t>(零部件项目适用)</w:t>
      </w:r>
      <w:r>
        <w:rPr>
          <w:rFonts w:eastAsia="仿宋" w:cs="Times New Roman"/>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spacing w:line="240" w:lineRule="auto"/>
        <w:ind w:left="619" w:leftChars="295"/>
        <w:rPr>
          <w:rFonts w:eastAsia="仿宋" w:cs="Times New Roman"/>
          <w:szCs w:val="21"/>
        </w:rPr>
      </w:pPr>
      <w:r>
        <w:rPr>
          <w:rFonts w:eastAsia="仿宋" w:cs="Times New Roman"/>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spacing w:line="240" w:lineRule="auto"/>
        <w:ind w:left="619" w:leftChars="295"/>
        <w:rPr>
          <w:rFonts w:eastAsia="仿宋" w:cs="Times New Roman"/>
          <w:szCs w:val="21"/>
        </w:rPr>
      </w:pPr>
      <w:r>
        <w:rPr>
          <w:rFonts w:eastAsia="仿宋" w:cs="Times New Roman"/>
          <w:szCs w:val="21"/>
        </w:rPr>
        <w:t>若货物被最终用户及/或买方视为缺陷产品，则最终用户或买方有权要求另外发货，而对于每个缺陷产品，卖方应向最终用户或买方额外提供5个合格产品。</w:t>
      </w:r>
    </w:p>
    <w:p>
      <w:pPr>
        <w:spacing w:line="240" w:lineRule="auto"/>
        <w:ind w:left="619" w:leftChars="295"/>
        <w:rPr>
          <w:rFonts w:eastAsia="仿宋" w:cs="Times New Roman"/>
          <w:szCs w:val="21"/>
        </w:rPr>
      </w:pPr>
      <w:r>
        <w:rPr>
          <w:rFonts w:eastAsia="仿宋" w:cs="Times New Roman"/>
          <w:szCs w:val="21"/>
        </w:rPr>
        <w:t>买方或最终用户有义务</w:t>
      </w:r>
      <w:r>
        <w:rPr>
          <w:rFonts w:hint="eastAsia" w:eastAsia="仿宋" w:cs="Times New Roman"/>
          <w:szCs w:val="21"/>
        </w:rPr>
        <w:t>在其处所</w:t>
      </w:r>
      <w:r>
        <w:rPr>
          <w:rFonts w:eastAsia="仿宋" w:cs="Times New Roman"/>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spacing w:line="240" w:lineRule="auto"/>
        <w:ind w:left="619" w:leftChars="295"/>
        <w:rPr>
          <w:rFonts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spacing w:line="240" w:lineRule="auto"/>
        <w:ind w:left="619" w:leftChars="295"/>
        <w:rPr>
          <w:rFonts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pPr>
        <w:snapToGrid w:val="0"/>
        <w:spacing w:line="240" w:lineRule="auto"/>
        <w:rPr>
          <w:rFonts w:eastAsia="仿宋" w:cs="Times New Roman"/>
          <w:szCs w:val="21"/>
          <w:lang w:val="de-DE"/>
        </w:rPr>
      </w:pPr>
    </w:p>
    <w:p>
      <w:pPr>
        <w:snapToGrid w:val="0"/>
        <w:spacing w:line="240" w:lineRule="auto"/>
        <w:ind w:left="630" w:hanging="630" w:hangingChars="300"/>
        <w:rPr>
          <w:rFonts w:eastAsia="仿宋" w:cs="Times New Roman"/>
          <w:szCs w:val="21"/>
        </w:rPr>
      </w:pPr>
      <w:r>
        <w:rPr>
          <w:rFonts w:eastAsia="仿宋" w:cs="Times New Roman"/>
          <w:szCs w:val="21"/>
        </w:rPr>
        <w:t>16.</w:t>
      </w:r>
      <w:r>
        <w:rPr>
          <w:rFonts w:hint="eastAsia" w:eastAsia="仿宋" w:cs="Times New Roman"/>
          <w:szCs w:val="21"/>
        </w:rPr>
        <w:t>3</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accounts payable .  </w:t>
      </w:r>
    </w:p>
    <w:p>
      <w:pPr>
        <w:snapToGrid w:val="0"/>
        <w:spacing w:line="240" w:lineRule="auto"/>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w:t>
      </w:r>
      <w:r>
        <w:rPr>
          <w:rFonts w:hint="eastAsia" w:eastAsia="仿宋" w:cs="Times New Roman"/>
          <w:szCs w:val="21"/>
        </w:rPr>
        <w:t>通过</w:t>
      </w:r>
      <w:r>
        <w:rPr>
          <w:rFonts w:eastAsia="仿宋" w:cs="Times New Roman"/>
          <w:szCs w:val="21"/>
        </w:rPr>
        <w:t>卖方开具的银行保函</w:t>
      </w:r>
      <w:r>
        <w:rPr>
          <w:rFonts w:hint="eastAsia" w:eastAsia="仿宋" w:cs="Times New Roman"/>
          <w:szCs w:val="21"/>
        </w:rPr>
        <w:t>索赔或应付货款中</w:t>
      </w:r>
      <w:r>
        <w:rPr>
          <w:rFonts w:eastAsia="仿宋" w:cs="Times New Roman"/>
          <w:szCs w:val="21"/>
        </w:rPr>
        <w:t>扣除索赔金额。</w:t>
      </w:r>
    </w:p>
    <w:p>
      <w:pPr>
        <w:snapToGrid w:val="0"/>
        <w:spacing w:line="240" w:lineRule="auto"/>
        <w:ind w:left="630" w:leftChars="300"/>
        <w:rPr>
          <w:rFonts w:eastAsia="仿宋" w:cs="Times New Roman"/>
          <w:szCs w:val="21"/>
        </w:rPr>
      </w:pPr>
    </w:p>
    <w:p>
      <w:pPr>
        <w:numPr>
          <w:ilvl w:val="0"/>
          <w:numId w:val="33"/>
        </w:numPr>
        <w:snapToGrid w:val="0"/>
        <w:spacing w:line="240" w:lineRule="auto"/>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pPr>
        <w:numPr>
          <w:ilvl w:val="255"/>
          <w:numId w:val="0"/>
        </w:numPr>
        <w:snapToGrid w:val="0"/>
        <w:spacing w:line="240" w:lineRule="auto"/>
        <w:rPr>
          <w:rFonts w:eastAsia="仿宋" w:cs="Times New Roman"/>
          <w:szCs w:val="21"/>
        </w:rPr>
      </w:pPr>
    </w:p>
    <w:p>
      <w:pPr>
        <w:snapToGrid w:val="0"/>
        <w:spacing w:line="240" w:lineRule="auto"/>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pPr>
        <w:snapToGrid w:val="0"/>
        <w:spacing w:line="240" w:lineRule="auto"/>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pPr>
        <w:numPr>
          <w:ilvl w:val="255"/>
          <w:numId w:val="0"/>
        </w:numPr>
        <w:snapToGrid w:val="0"/>
        <w:spacing w:line="240" w:lineRule="auto"/>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pPr>
        <w:snapToGrid w:val="0"/>
        <w:spacing w:line="240" w:lineRule="auto"/>
        <w:ind w:left="630" w:leftChars="300"/>
        <w:rPr>
          <w:rFonts w:eastAsia="仿宋" w:cs="Times New Roman"/>
          <w:szCs w:val="21"/>
        </w:rPr>
      </w:pPr>
    </w:p>
    <w:p>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Commodities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pPr>
        <w:snapToGrid w:val="0"/>
        <w:spacing w:line="240" w:lineRule="auto"/>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pPr>
        <w:snapToGrid w:val="0"/>
        <w:spacing w:line="240" w:lineRule="auto"/>
        <w:ind w:left="630" w:leftChars="300"/>
        <w:rPr>
          <w:rFonts w:eastAsia="仿宋" w:cs="Times New Roman"/>
          <w:szCs w:val="21"/>
        </w:rPr>
      </w:pPr>
    </w:p>
    <w:p>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pPr>
        <w:snapToGrid w:val="0"/>
        <w:spacing w:line="240" w:lineRule="auto"/>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snapToGrid w:val="0"/>
        <w:spacing w:line="240" w:lineRule="auto"/>
        <w:ind w:left="630" w:leftChars="300"/>
        <w:rPr>
          <w:rFonts w:eastAsia="仿宋" w:cs="Times New Roman"/>
          <w:szCs w:val="21"/>
        </w:rPr>
      </w:pPr>
    </w:p>
    <w:p>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pPr>
        <w:snapToGrid w:val="0"/>
        <w:spacing w:line="240" w:lineRule="auto"/>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tabs>
          <w:tab w:val="left" w:pos="615"/>
        </w:tabs>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pPr>
        <w:snapToGrid w:val="0"/>
        <w:spacing w:line="240" w:lineRule="auto"/>
        <w:rPr>
          <w:rFonts w:eastAsia="仿宋" w:cs="Times New Roman"/>
          <w:szCs w:val="21"/>
        </w:rPr>
      </w:pPr>
    </w:p>
    <w:p>
      <w:pPr>
        <w:spacing w:line="240" w:lineRule="auto"/>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pPr>
        <w:spacing w:line="240" w:lineRule="auto"/>
        <w:ind w:left="550" w:hanging="550" w:hangingChars="262"/>
        <w:rPr>
          <w:rFonts w:eastAsia="仿宋" w:cs="Times New Roman"/>
          <w:szCs w:val="21"/>
        </w:rPr>
      </w:pPr>
      <w:r>
        <w:rPr>
          <w:rFonts w:hint="eastAsia" w:eastAsia="仿宋" w:cs="Times New Roman"/>
          <w:szCs w:val="21"/>
        </w:rPr>
        <w:t xml:space="preserve"> </w:t>
      </w:r>
    </w:p>
    <w:p>
      <w:pPr>
        <w:spacing w:line="240" w:lineRule="auto"/>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pPr>
        <w:snapToGrid w:val="0"/>
        <w:spacing w:line="240" w:lineRule="auto"/>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pPr>
        <w:spacing w:line="240" w:lineRule="auto"/>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pPr>
        <w:spacing w:line="240" w:lineRule="auto"/>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pPr>
        <w:tabs>
          <w:tab w:val="left" w:pos="709"/>
        </w:tabs>
        <w:snapToGrid w:val="0"/>
        <w:spacing w:line="240" w:lineRule="auto"/>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pPr>
        <w:tabs>
          <w:tab w:val="left" w:pos="709"/>
        </w:tabs>
        <w:snapToGrid w:val="0"/>
        <w:spacing w:line="240" w:lineRule="auto"/>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pPr>
        <w:tabs>
          <w:tab w:val="left" w:pos="525"/>
        </w:tabs>
        <w:snapToGrid w:val="0"/>
        <w:spacing w:line="240" w:lineRule="auto"/>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pPr>
        <w:snapToGrid w:val="0"/>
        <w:spacing w:line="240" w:lineRule="auto"/>
        <w:rPr>
          <w:rFonts w:eastAsia="仿宋" w:cs="Times New Roman"/>
          <w:b/>
          <w:szCs w:val="21"/>
        </w:rPr>
      </w:pPr>
    </w:p>
    <w:p>
      <w:pPr>
        <w:snapToGrid w:val="0"/>
        <w:spacing w:line="240" w:lineRule="auto"/>
        <w:rPr>
          <w:rFonts w:eastAsia="仿宋" w:cs="Times New Roman"/>
          <w:b/>
          <w:szCs w:val="21"/>
        </w:rPr>
      </w:pPr>
    </w:p>
    <w:p>
      <w:pPr>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pPr>
        <w:snapToGrid w:val="0"/>
        <w:spacing w:line="240" w:lineRule="auto"/>
        <w:rPr>
          <w:rFonts w:eastAsia="仿宋" w:cs="Times New Roman"/>
          <w:szCs w:val="21"/>
        </w:rPr>
      </w:pPr>
    </w:p>
    <w:p>
      <w:pPr>
        <w:numPr>
          <w:ilvl w:val="255"/>
          <w:numId w:val="0"/>
        </w:numPr>
        <w:snapToGrid w:val="0"/>
        <w:spacing w:line="240" w:lineRule="auto"/>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pPr>
        <w:snapToGrid w:val="0"/>
        <w:spacing w:line="240" w:lineRule="auto"/>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pPr>
        <w:snapToGrid w:val="0"/>
        <w:spacing w:line="240" w:lineRule="auto"/>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pPr>
        <w:snapToGrid w:val="0"/>
        <w:spacing w:line="240" w:lineRule="auto"/>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pPr>
        <w:snapToGrid w:val="0"/>
        <w:spacing w:line="240" w:lineRule="auto"/>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pPr>
        <w:snapToGrid w:val="0"/>
        <w:spacing w:line="240" w:lineRule="auto"/>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pPr>
        <w:snapToGrid w:val="0"/>
        <w:spacing w:line="240" w:lineRule="auto"/>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pPr>
        <w:spacing w:line="240" w:lineRule="auto"/>
        <w:rPr>
          <w:rFonts w:eastAsia="仿宋" w:cs="Times New Roman"/>
          <w:szCs w:val="21"/>
        </w:rPr>
      </w:pPr>
      <w:r>
        <w:rPr>
          <w:rFonts w:eastAsia="仿宋" w:cs="Times New Roman"/>
          <w:szCs w:val="21"/>
        </w:rPr>
        <w:t xml:space="preserve">     仲裁期间，除正在进行的仲裁部分外，本合同其他部分仍继续执行。</w:t>
      </w:r>
    </w:p>
    <w:p>
      <w:pPr>
        <w:snapToGrid w:val="0"/>
        <w:spacing w:line="240" w:lineRule="auto"/>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pPr>
        <w:spacing w:line="240" w:lineRule="auto"/>
        <w:ind w:firstLine="525" w:firstLineChars="250"/>
        <w:rPr>
          <w:rFonts w:eastAsia="仿宋" w:cs="Times New Roman"/>
          <w:szCs w:val="21"/>
        </w:rPr>
      </w:pPr>
      <w:r>
        <w:rPr>
          <w:rFonts w:eastAsia="仿宋" w:cs="Times New Roman"/>
          <w:szCs w:val="21"/>
        </w:rPr>
        <w:t>仲裁费用除贸仲仲裁委员会另有决定外，由败诉一方承担。</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snapToGrid w:val="0"/>
        <w:spacing w:line="240" w:lineRule="auto"/>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pPr>
        <w:snapToGrid w:val="0"/>
        <w:spacing w:line="240" w:lineRule="auto"/>
        <w:rPr>
          <w:rFonts w:eastAsia="仿宋" w:cs="Times New Roman"/>
          <w:b/>
          <w:szCs w:val="21"/>
        </w:rPr>
      </w:pPr>
    </w:p>
    <w:p>
      <w:pPr>
        <w:snapToGrid w:val="0"/>
        <w:spacing w:line="240" w:lineRule="auto"/>
        <w:ind w:left="525" w:leftChars="250"/>
        <w:rPr>
          <w:rFonts w:eastAsia="仿宋" w:cs="Times New Roman"/>
          <w:szCs w:val="21"/>
        </w:rPr>
      </w:pPr>
      <w:r>
        <w:rPr>
          <w:rFonts w:eastAsia="仿宋" w:cs="Times New Roman"/>
          <w:szCs w:val="21"/>
        </w:rPr>
        <w:t>This Contract shall be governed by and interpreted in accordance with the laws of the PRC.</w:t>
      </w:r>
    </w:p>
    <w:p>
      <w:pPr>
        <w:spacing w:line="240" w:lineRule="auto"/>
        <w:ind w:firstLine="525" w:firstLineChars="250"/>
        <w:rPr>
          <w:rFonts w:eastAsia="仿宋" w:cs="Times New Roman"/>
          <w:szCs w:val="21"/>
        </w:rPr>
      </w:pPr>
      <w:r>
        <w:rPr>
          <w:rFonts w:eastAsia="仿宋" w:cs="Times New Roman"/>
          <w:szCs w:val="21"/>
        </w:rPr>
        <w:t>本合同适用中国法律管辖并按照中国法律进行解释。</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pPr>
        <w:spacing w:line="240" w:lineRule="auto"/>
        <w:rPr>
          <w:rFonts w:eastAsia="仿宋" w:cs="Times New Roman"/>
          <w:b/>
          <w:szCs w:val="21"/>
          <w:lang w:eastAsia="zh-TW"/>
        </w:rPr>
      </w:pPr>
      <w:r>
        <w:rPr>
          <w:rFonts w:eastAsia="仿宋" w:cs="Times New Roman"/>
          <w:b/>
          <w:sz w:val="24"/>
          <w:szCs w:val="24"/>
        </w:rPr>
        <w:t>合同的生效及其他</w:t>
      </w:r>
    </w:p>
    <w:p>
      <w:pPr>
        <w:snapToGrid w:val="0"/>
        <w:spacing w:line="240" w:lineRule="auto"/>
        <w:rPr>
          <w:rFonts w:eastAsia="仿宋" w:cs="Times New Roman"/>
          <w:b/>
          <w:szCs w:val="21"/>
        </w:rPr>
      </w:pPr>
    </w:p>
    <w:p>
      <w:pPr>
        <w:numPr>
          <w:ilvl w:val="255"/>
          <w:numId w:val="0"/>
        </w:numPr>
        <w:tabs>
          <w:tab w:val="left" w:pos="630"/>
        </w:tabs>
        <w:spacing w:line="240" w:lineRule="auto"/>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pPr>
        <w:spacing w:line="240" w:lineRule="auto"/>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pPr>
        <w:snapToGrid w:val="0"/>
        <w:spacing w:line="240" w:lineRule="auto"/>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pPr>
        <w:widowControl w:val="0"/>
        <w:spacing w:line="240" w:lineRule="auto"/>
        <w:ind w:left="630" w:hanging="630" w:hangingChars="300"/>
        <w:rPr>
          <w:rFonts w:eastAsia="仿宋" w:cs="Times New Roman"/>
          <w:szCs w:val="21"/>
        </w:rPr>
      </w:pPr>
      <w:r>
        <w:rPr>
          <w:rFonts w:eastAsia="仿宋" w:cs="Times New Roman"/>
          <w:szCs w:val="21"/>
        </w:rPr>
        <w:t>21.3  If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如果有买卖各方达成一致的质量保证协议，则它将作为本合同不可分割的一部分。</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hangingChars="300"/>
        <w:rPr>
          <w:rFonts w:eastAsia="仿宋" w:cs="Times New Roman"/>
          <w:szCs w:val="21"/>
        </w:rPr>
      </w:pPr>
      <w:r>
        <w:rPr>
          <w:rFonts w:eastAsia="仿宋" w:cs="Times New Roman"/>
          <w:szCs w:val="21"/>
        </w:rPr>
        <w:t xml:space="preserve">21.4 </w:t>
      </w:r>
      <w:r>
        <w:rPr>
          <w:rFonts w:hint="eastAsia" w:eastAsia="仿宋" w:cs="Times New Roman"/>
          <w:szCs w:val="21"/>
        </w:rPr>
        <w:t xml:space="preserve"> </w:t>
      </w:r>
      <w:r>
        <w:rPr>
          <w:rFonts w:eastAsia="仿宋" w:cs="Times New Roman"/>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当本合同的条款和各方签订的质量保证协议条款有冲突或矛盾时，优先适用质量保证协议。</w:t>
      </w:r>
    </w:p>
    <w:p>
      <w:pPr>
        <w:snapToGrid w:val="0"/>
        <w:spacing w:line="240" w:lineRule="auto"/>
        <w:ind w:left="598" w:leftChars="49" w:hanging="495" w:hangingChars="236"/>
        <w:rPr>
          <w:rFonts w:eastAsia="仿宋" w:cs="Times New Roman"/>
          <w:szCs w:val="21"/>
        </w:rPr>
      </w:pPr>
    </w:p>
    <w:p>
      <w:pPr>
        <w:pStyle w:val="129"/>
        <w:widowControl w:val="0"/>
        <w:numPr>
          <w:ilvl w:val="0"/>
          <w:numId w:val="34"/>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szCs w:val="21"/>
        </w:rPr>
      </w:pPr>
      <w:r>
        <w:rPr>
          <w:rFonts w:eastAsia="仿宋" w:cs="Times New Roman"/>
          <w:b/>
          <w:sz w:val="24"/>
          <w:szCs w:val="24"/>
        </w:rPr>
        <w:t>Maintenance of Confidentiality 保密</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22.1</w:t>
      </w:r>
      <w:r>
        <w:rPr>
          <w:rFonts w:eastAsia="楷体_GB2312" w:cs="Times New Roman"/>
          <w:szCs w:val="21"/>
        </w:rPr>
        <w:t xml:space="preserve"> Definition of Confidentiality.</w:t>
      </w:r>
      <w:r>
        <w:rPr>
          <w:rFonts w:eastAsia="楷体_GB2312" w:cs="Times New Roman"/>
          <w:szCs w:val="21"/>
        </w:rPr>
        <w:tab/>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22.2</w:t>
      </w:r>
      <w:r>
        <w:rPr>
          <w:rFonts w:eastAsia="楷体_GB2312" w:cs="Times New Roman"/>
          <w:szCs w:val="21"/>
        </w:rPr>
        <w:t>Nondisclosure and Nonuse Obligation.</w:t>
      </w:r>
      <w:r>
        <w:rPr>
          <w:rFonts w:eastAsia="楷体_GB2312" w:cs="Times New Roman"/>
          <w:szCs w:val="21"/>
        </w:rPr>
        <w:tab/>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22.3</w:t>
      </w:r>
      <w:r>
        <w:rPr>
          <w:rFonts w:eastAsia="楷体_GB2312" w:cs="Times New Roman"/>
          <w:szCs w:val="21"/>
        </w:rPr>
        <w:t>Survival.</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leftChars="200"/>
        <w:rPr>
          <w:rFonts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有效性。本条款适用于各方之间的所有联络。各方均理解他们本条款的义务在本协议终止后仍有效。</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szCs w:val="21"/>
        </w:rPr>
      </w:pPr>
    </w:p>
    <w:p>
      <w:pPr>
        <w:pStyle w:val="129"/>
        <w:widowControl w:val="0"/>
        <w:numPr>
          <w:ilvl w:val="0"/>
          <w:numId w:val="34"/>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bCs/>
          <w:szCs w:val="21"/>
        </w:rPr>
      </w:pPr>
      <w:r>
        <w:rPr>
          <w:rFonts w:eastAsia="仿宋" w:cs="Times New Roman"/>
          <w:b/>
          <w:i/>
          <w:iCs/>
          <w:sz w:val="24"/>
          <w:szCs w:val="24"/>
        </w:rPr>
        <w:t>（适用于曼机零部件）</w:t>
      </w:r>
      <w:r>
        <w:rPr>
          <w:rFonts w:eastAsia="仿宋" w:cs="Times New Roman"/>
          <w:b/>
          <w:sz w:val="24"/>
          <w:szCs w:val="24"/>
        </w:rPr>
        <w:t>Intellectual Property 知识产权:</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1" w:leftChars="210"/>
        <w:rPr>
          <w:rFonts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420" w:hangingChars="200"/>
        <w:rPr>
          <w:rFonts w:ascii="Arial" w:hAnsi="宋体" w:eastAsia="楷体_GB2312"/>
          <w:szCs w:val="21"/>
        </w:rPr>
      </w:pPr>
      <w:r>
        <w:rPr>
          <w:rFonts w:hint="eastAsia" w:ascii="Arial" w:hAnsi="Arial" w:eastAsia="楷体_GB2312"/>
          <w:szCs w:val="21"/>
        </w:rPr>
        <w:t xml:space="preserve">   </w:t>
      </w:r>
      <w:r>
        <w:rPr>
          <w:rFonts w:hint="eastAsia" w:ascii="仿宋" w:hAnsi="仿宋" w:eastAsia="仿宋" w:cs="仿宋"/>
          <w:szCs w:val="21"/>
        </w:rPr>
        <w:t xml:space="preserve"> MAN为货物知识产权的所有人。MAN已依法授权卖方为买方生产货物。 </w:t>
      </w:r>
    </w:p>
    <w:p>
      <w:pPr>
        <w:snapToGrid w:val="0"/>
        <w:spacing w:line="240" w:lineRule="auto"/>
        <w:ind w:left="360" w:hanging="360"/>
        <w:rPr>
          <w:rFonts w:eastAsia="仿宋" w:cs="Times New Roman"/>
          <w:szCs w:val="21"/>
        </w:rPr>
      </w:pPr>
    </w:p>
    <w:p>
      <w:pPr>
        <w:tabs>
          <w:tab w:val="left" w:pos="709"/>
        </w:tabs>
        <w:snapToGrid w:val="0"/>
        <w:spacing w:line="240" w:lineRule="auto"/>
        <w:ind w:hanging="142"/>
        <w:rPr>
          <w:rFonts w:eastAsia="仿宋" w:cs="Times New Roman"/>
          <w:szCs w:val="21"/>
        </w:rPr>
      </w:pPr>
    </w:p>
    <w:p>
      <w:pPr>
        <w:tabs>
          <w:tab w:val="left" w:pos="709"/>
        </w:tabs>
        <w:snapToGrid w:val="0"/>
        <w:spacing w:line="240" w:lineRule="auto"/>
        <w:ind w:hanging="142"/>
        <w:rPr>
          <w:rFonts w:eastAsia="仿宋" w:cs="Times New Roman"/>
          <w:szCs w:val="21"/>
        </w:rPr>
      </w:pPr>
    </w:p>
    <w:p>
      <w:pPr>
        <w:tabs>
          <w:tab w:val="left" w:pos="567"/>
        </w:tabs>
        <w:snapToGrid w:val="0"/>
        <w:spacing w:line="240" w:lineRule="auto"/>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pPr>
        <w:snapToGrid w:val="0"/>
        <w:spacing w:line="240" w:lineRule="auto"/>
        <w:rPr>
          <w:rFonts w:eastAsia="仿宋" w:cs="Times New Roman"/>
          <w:szCs w:val="21"/>
        </w:rPr>
      </w:pPr>
    </w:p>
    <w:p>
      <w:pPr>
        <w:snapToGrid w:val="0"/>
        <w:spacing w:line="240" w:lineRule="auto"/>
        <w:ind w:left="598" w:leftChars="285"/>
        <w:rPr>
          <w:rFonts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bookmarkStart w:id="51" w:name="OLE_LINK25"/>
      <w:r>
        <w:rPr>
          <w:rFonts w:eastAsia="仿宋" w:cs="Times New Roman"/>
          <w:b/>
          <w:szCs w:val="21"/>
        </w:rPr>
        <w:t xml:space="preserve"> </w:t>
      </w:r>
      <w:r>
        <w:rPr>
          <w:rFonts w:hint="eastAsia" w:eastAsia="仿宋" w:cs="Times New Roman"/>
          <w:szCs w:val="21"/>
        </w:rPr>
        <w:t xml:space="preserve">In the event that the Contract cannot be permormed any more due to the reasons of the the Parties, the Parties may enter into a Termination Agreement via friendly negotiation, which shall be regarded as termination of the Contract. </w:t>
      </w:r>
      <w:bookmarkEnd w:id="51"/>
    </w:p>
    <w:p>
      <w:pPr>
        <w:spacing w:line="240" w:lineRule="auto"/>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r>
        <w:rPr>
          <w:rFonts w:hint="eastAsia" w:eastAsia="仿宋" w:cs="Times New Roman"/>
          <w:szCs w:val="21"/>
        </w:rPr>
        <w:t>如由于各方原因，合同确认无法被继续履行，各方可通过友好协商，签署《终止协议》视同本合同的终止。</w:t>
      </w:r>
    </w:p>
    <w:p>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rPr>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pPr>
        <w:tabs>
          <w:tab w:val="left" w:pos="709"/>
        </w:tabs>
        <w:snapToGrid w:val="0"/>
        <w:spacing w:line="240" w:lineRule="auto"/>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rPr>
        <w:t xml:space="preserve">Time. </w:t>
      </w:r>
      <w:bookmarkStart w:id="52" w:name="OLE_LINK3"/>
      <w:bookmarkStart w:id="53" w:name="OLE_LINK4"/>
      <w:bookmarkStart w:id="54" w:name="OLE_LINK10"/>
      <w:r>
        <w:rPr>
          <w:rFonts w:eastAsia="仿宋" w:cs="Times New Roman"/>
          <w:szCs w:val="21"/>
        </w:rPr>
        <w:t>Time shall be of the essence of this Contract</w:t>
      </w:r>
      <w:bookmarkEnd w:id="52"/>
      <w:bookmarkEnd w:id="53"/>
      <w:r>
        <w:rPr>
          <w:rFonts w:eastAsia="仿宋" w:cs="Times New Roman"/>
          <w:szCs w:val="21"/>
        </w:rPr>
        <w:t>.</w:t>
      </w:r>
      <w:bookmarkEnd w:id="54"/>
    </w:p>
    <w:p>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rPr>
        <w:t xml:space="preserve">Originals.  This Contract shall be executed in six (6) original copies. </w:t>
      </w:r>
    </w:p>
    <w:p>
      <w:pPr>
        <w:tabs>
          <w:tab w:val="left" w:pos="709"/>
        </w:tabs>
        <w:snapToGrid w:val="0"/>
        <w:spacing w:line="240" w:lineRule="auto"/>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rPr>
        <w:t xml:space="preserve">Headings.  </w:t>
      </w:r>
      <w:bookmarkStart w:id="55" w:name="OLE_LINK6"/>
      <w:bookmarkStart w:id="56" w:name="OLE_LINK5"/>
      <w:r>
        <w:rPr>
          <w:rFonts w:eastAsia="仿宋" w:cs="Times New Roman"/>
          <w:szCs w:val="21"/>
        </w:rPr>
        <w:t>The headings in this Contract are for convenience only</w:t>
      </w:r>
      <w:bookmarkEnd w:id="55"/>
      <w:bookmarkEnd w:id="56"/>
      <w:r>
        <w:rPr>
          <w:rFonts w:eastAsia="仿宋" w:cs="Times New Roman"/>
          <w:szCs w:val="21"/>
        </w:rPr>
        <w:t>.</w:t>
      </w:r>
    </w:p>
    <w:p>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rPr>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rPr>
        <w:t>Language.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pPr>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rPr>
        <w:t>Modifications.  Any amendments, supplements and/or alterations to the terms and conditions of this Contract shall only be made in written form and signed by the authorized representatives of the Parties.</w:t>
      </w:r>
    </w:p>
    <w:p>
      <w:pPr>
        <w:snapToGrid w:val="0"/>
        <w:spacing w:line="240" w:lineRule="auto"/>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pPr>
        <w:snapToGrid w:val="0"/>
        <w:spacing w:line="240" w:lineRule="auto"/>
        <w:ind w:left="619" w:hanging="619" w:hangingChars="295"/>
        <w:rPr>
          <w:rFonts w:eastAsia="仿宋" w:cs="Times New Roman"/>
          <w:szCs w:val="21"/>
        </w:rPr>
      </w:pPr>
      <w:bookmarkStart w:id="57" w:name="OLE_LINK16"/>
      <w:bookmarkStart w:id="58"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rPr>
        <w:t xml:space="preserve">Notice. </w:t>
      </w:r>
      <w:bookmarkStart w:id="59"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59"/>
    </w:p>
    <w:p>
      <w:pPr>
        <w:snapToGrid w:val="0"/>
        <w:spacing w:line="240" w:lineRule="auto"/>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57"/>
    <w:bookmarkEnd w:id="58"/>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rPr>
        <w:t xml:space="preserve">No Assignment. </w:t>
      </w:r>
      <w:bookmarkStart w:id="60" w:name="OLE_LINK8"/>
      <w:bookmarkStart w:id="61" w:name="OLE_LINK9"/>
      <w:r>
        <w:rPr>
          <w:rFonts w:eastAsia="仿宋" w:cs="Times New Roman"/>
          <w:szCs w:val="21"/>
        </w:rPr>
        <w:t>No Party may assign or transfer any of its rights or obligations under this Contract to any third parties without obtaining the prior written consent of the other Party</w:t>
      </w:r>
      <w:bookmarkEnd w:id="60"/>
      <w:bookmarkEnd w:id="61"/>
      <w:r>
        <w:rPr>
          <w:rFonts w:eastAsia="仿宋" w:cs="Times New Roman"/>
          <w:szCs w:val="21"/>
        </w:rPr>
        <w:t>.</w:t>
      </w:r>
    </w:p>
    <w:p>
      <w:pPr>
        <w:snapToGrid w:val="0"/>
        <w:spacing w:line="240" w:lineRule="auto"/>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rPr>
        <w:t xml:space="preserve">Entire Agreement.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pPr>
        <w:spacing w:line="240" w:lineRule="auto"/>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spacing w:line="240" w:lineRule="auto"/>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pPr>
        <w:snapToGrid w:val="0"/>
        <w:spacing w:line="240" w:lineRule="auto"/>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62" w:name="OLE_LINK13"/>
      <w:bookmarkStart w:id="63" w:name="OLE_LINK14"/>
      <w:r>
        <w:rPr>
          <w:rFonts w:eastAsia="仿宋" w:cs="Times New Roman"/>
          <w:szCs w:val="21"/>
        </w:rPr>
        <w:t xml:space="preserve">Remedies and Waivers.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62"/>
      <w:bookmarkEnd w:id="63"/>
    </w:p>
    <w:p>
      <w:pPr>
        <w:spacing w:line="240" w:lineRule="auto"/>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pPr>
        <w:snapToGrid w:val="0"/>
        <w:spacing w:line="240" w:lineRule="auto"/>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64" w:name="OLE_LINK12"/>
      <w:bookmarkStart w:id="65" w:name="OLE_LINK11"/>
      <w:r>
        <w:rPr>
          <w:rFonts w:eastAsia="仿宋" w:cs="Times New Roman"/>
          <w:szCs w:val="21"/>
          <w:lang w:eastAsia="zh-TW"/>
        </w:rPr>
        <w:t>Non-exclusive Rights.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64"/>
      <w:bookmarkEnd w:id="65"/>
    </w:p>
    <w:p>
      <w:pPr>
        <w:spacing w:line="240" w:lineRule="auto"/>
        <w:ind w:left="630" w:leftChars="300"/>
        <w:rPr>
          <w:rFonts w:eastAsia="仿宋" w:cs="Times New Roman"/>
          <w:szCs w:val="21"/>
        </w:rPr>
      </w:pPr>
      <w:r>
        <w:rPr>
          <w:rFonts w:eastAsia="仿宋" w:cs="Times New Roman"/>
          <w:szCs w:val="21"/>
        </w:rPr>
        <w:t>非专属权:本合同规定的各项权利是累加的，并不排除相关地域法律规定的其它权利、权力或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pPr>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.14  Exclusion of CISG</w:t>
      </w:r>
    </w:p>
    <w:p>
      <w:pPr>
        <w:spacing w:line="240" w:lineRule="auto"/>
        <w:ind w:firstLine="525" w:firstLineChars="250"/>
        <w:rPr>
          <w:rFonts w:eastAsia="仿宋" w:cs="Times New Roman"/>
          <w:i/>
          <w:iCs/>
          <w:szCs w:val="21"/>
        </w:rPr>
      </w:pPr>
      <w:r>
        <w:rPr>
          <w:rFonts w:hint="eastAsia" w:eastAsia="仿宋" w:cs="Times New Roman"/>
          <w:szCs w:val="21"/>
        </w:rPr>
        <w:t>《联合国国际货物销售合同公约》的排除适用。</w:t>
      </w:r>
    </w:p>
    <w:p>
      <w:pPr>
        <w:spacing w:line="240" w:lineRule="auto"/>
        <w:rPr>
          <w:rFonts w:eastAsia="仿宋" w:cs="Times New Roman"/>
          <w:szCs w:val="21"/>
        </w:rPr>
      </w:pPr>
    </w:p>
    <w:p>
      <w:pPr>
        <w:spacing w:line="240" w:lineRule="auto"/>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pPr>
        <w:spacing w:line="240" w:lineRule="auto"/>
        <w:ind w:left="630" w:leftChars="300"/>
        <w:rPr>
          <w:rFonts w:eastAsia="仿宋" w:cs="Times New Roman"/>
          <w:szCs w:val="21"/>
        </w:rPr>
      </w:pPr>
      <w:r>
        <w:rPr>
          <w:rFonts w:hint="eastAsia" w:eastAsia="仿宋" w:cs="Times New Roman"/>
          <w:szCs w:val="21"/>
        </w:rPr>
        <w:t>《联合国国际货物销售合同公约》的条款不适用于本合同。</w:t>
      </w:r>
    </w:p>
    <w:p>
      <w:pPr>
        <w:spacing w:line="240" w:lineRule="auto"/>
        <w:ind w:left="630" w:leftChars="300"/>
        <w:rPr>
          <w:rFonts w:eastAsia="仿宋" w:cs="Times New Roman"/>
          <w:b/>
          <w:szCs w:val="21"/>
        </w:rPr>
      </w:pPr>
    </w:p>
    <w:p>
      <w:pPr>
        <w:spacing w:line="240" w:lineRule="auto"/>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pPr>
        <w:spacing w:line="240" w:lineRule="auto"/>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pPr>
        <w:spacing w:line="240" w:lineRule="auto"/>
        <w:ind w:left="630" w:leftChars="300"/>
        <w:rPr>
          <w:rFonts w:eastAsia="仿宋" w:cs="Times New Roman"/>
          <w:szCs w:val="21"/>
          <w:lang w:eastAsia="zh-TW"/>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r>
        <w:rPr>
          <w:rFonts w:eastAsia="仿宋" w:cs="Times New Roman"/>
          <w:szCs w:val="21"/>
          <w:lang w:eastAsia="zh-TW"/>
        </w:rPr>
        <w:br w:type="textWrapping"/>
      </w:r>
      <w:r>
        <w:rPr>
          <w:rFonts w:eastAsia="仿宋" w:cs="Times New Roman"/>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r>
        <w:rPr>
          <w:rFonts w:eastAsia="仿宋" w:cs="Times New Roman"/>
          <w:szCs w:val="21"/>
          <w:lang w:eastAsia="zh-TW"/>
        </w:rPr>
        <w:br w:type="textWrapping"/>
      </w:r>
      <w:r>
        <w:rPr>
          <w:rFonts w:eastAsia="仿宋" w:cs="Times New Roman"/>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pPr>
        <w:spacing w:line="240" w:lineRule="auto"/>
        <w:ind w:left="630" w:leftChars="300"/>
        <w:rPr>
          <w:rFonts w:hint="eastAsia" w:eastAsia="仿宋" w:cs="Times New Roman"/>
          <w:szCs w:val="21"/>
        </w:rPr>
      </w:pPr>
      <w:r>
        <w:rPr>
          <w:rFonts w:eastAsia="仿宋" w:cs="Times New Roman"/>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eastAsia="仿宋" w:cs="Times New Roman"/>
          <w:szCs w:val="21"/>
        </w:rPr>
        <w:br w:type="textWrapping"/>
      </w:r>
      <w:r>
        <w:rPr>
          <w:rFonts w:eastAsia="仿宋" w:cs="Times New Roman"/>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240" w:lineRule="auto"/>
        <w:rPr>
          <w:rFonts w:eastAsia="仿宋" w:cs="Times New Roman"/>
          <w:szCs w:val="21"/>
        </w:rPr>
      </w:pPr>
      <w:r>
        <w:rPr>
          <w:rFonts w:eastAsia="仿宋" w:cs="Times New Roman"/>
          <w:szCs w:val="21"/>
        </w:rPr>
        <w:t>The following page is for signature. （以下为签字页）</w:t>
      </w:r>
    </w:p>
    <w:p>
      <w:pPr>
        <w:spacing w:line="240" w:lineRule="auto"/>
        <w:rPr>
          <w:rFonts w:eastAsia="仿宋" w:cs="Times New Roman"/>
          <w:szCs w:val="21"/>
        </w:rPr>
      </w:pPr>
      <w:r>
        <w:rPr>
          <w:rFonts w:eastAsia="仿宋" w:cs="Times New Roman"/>
          <w:szCs w:val="21"/>
        </w:rPr>
        <w:t>This page is only for signature.</w:t>
      </w:r>
    </w:p>
    <w:p>
      <w:pPr>
        <w:spacing w:line="240" w:lineRule="auto"/>
        <w:rPr>
          <w:rFonts w:eastAsia="仿宋" w:cs="Times New Roman"/>
          <w:szCs w:val="21"/>
        </w:rPr>
      </w:pPr>
      <w:r>
        <w:rPr>
          <w:rFonts w:eastAsia="仿宋" w:cs="Times New Roman"/>
          <w:szCs w:val="21"/>
        </w:rPr>
        <w:t>本页为签字页。</w:t>
      </w:r>
    </w:p>
    <w:p>
      <w:pPr>
        <w:spacing w:line="240" w:lineRule="auto"/>
        <w:rPr>
          <w:rFonts w:eastAsia="仿宋" w:cs="Times New Roman"/>
          <w:szCs w:val="21"/>
        </w:rPr>
      </w:pPr>
    </w:p>
    <w:p>
      <w:pPr>
        <w:spacing w:line="240" w:lineRule="auto"/>
        <w:rPr>
          <w:rFonts w:eastAsia="仿宋" w:cs="Times New Roman"/>
          <w:b/>
          <w:szCs w:val="21"/>
        </w:rPr>
      </w:pPr>
      <w:r>
        <w:rPr>
          <w:rFonts w:eastAsia="仿宋" w:cs="Times New Roman"/>
          <w:b/>
          <w:szCs w:val="21"/>
        </w:rPr>
        <w:t>The Buyer买方</w:t>
      </w:r>
    </w:p>
    <w:p>
      <w:pPr>
        <w:spacing w:line="240" w:lineRule="auto"/>
        <w:rPr>
          <w:rFonts w:eastAsia="仿宋" w:cs="Times New Roman"/>
          <w:b/>
          <w:szCs w:val="21"/>
        </w:rPr>
      </w:pPr>
      <w:r>
        <w:rPr>
          <w:rFonts w:eastAsia="仿宋" w:cs="Times New Roman"/>
          <w:b/>
          <w:szCs w:val="21"/>
          <w:lang w:eastAsia="zh-TW"/>
        </w:rPr>
        <w:t>SIGNED BY</w:t>
      </w:r>
    </w:p>
    <w:p>
      <w:pPr>
        <w:spacing w:line="240" w:lineRule="auto"/>
        <w:rPr>
          <w:rFonts w:eastAsia="仿宋" w:cs="Times New Roman"/>
          <w:b/>
          <w:szCs w:val="21"/>
          <w:lang w:eastAsia="zh-TW"/>
        </w:rPr>
      </w:pPr>
    </w:p>
    <w:p>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spacing w:line="240" w:lineRule="auto"/>
        <w:rPr>
          <w:rFonts w:eastAsia="仿宋" w:cs="Times New Roman"/>
          <w:b/>
          <w:szCs w:val="21"/>
          <w:lang w:eastAsia="zh-TW"/>
        </w:rPr>
      </w:pPr>
    </w:p>
    <w:p>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rPr>
        <w:t>Signature date</w:t>
      </w:r>
    </w:p>
    <w:p>
      <w:pPr>
        <w:spacing w:line="240" w:lineRule="auto"/>
        <w:rPr>
          <w:rFonts w:eastAsia="仿宋" w:cs="Times New Roman"/>
          <w:b/>
          <w:szCs w:val="21"/>
        </w:rPr>
      </w:pPr>
      <w:r>
        <w:rPr>
          <w:rFonts w:eastAsia="仿宋" w:cs="Times New Roman"/>
          <w:b/>
          <w:szCs w:val="21"/>
        </w:rPr>
        <w:t>签字日期：</w:t>
      </w:r>
    </w:p>
    <w:p>
      <w:pPr>
        <w:spacing w:line="240" w:lineRule="auto"/>
        <w:rPr>
          <w:rFonts w:eastAsia="仿宋" w:cs="Times New Roman"/>
          <w:b/>
          <w:szCs w:val="21"/>
        </w:rPr>
      </w:pPr>
    </w:p>
    <w:p>
      <w:pPr>
        <w:spacing w:line="240" w:lineRule="auto"/>
        <w:rPr>
          <w:rFonts w:eastAsia="仿宋" w:cs="Times New Roman"/>
          <w:b/>
          <w:szCs w:val="21"/>
        </w:rPr>
      </w:pPr>
      <w:r>
        <w:rPr>
          <w:rFonts w:eastAsia="仿宋" w:cs="Times New Roman"/>
          <w:b/>
          <w:szCs w:val="21"/>
        </w:rPr>
        <w:t>The Seller卖方</w:t>
      </w:r>
    </w:p>
    <w:p>
      <w:pPr>
        <w:spacing w:line="240" w:lineRule="auto"/>
        <w:rPr>
          <w:rFonts w:eastAsia="仿宋" w:cs="Times New Roman"/>
          <w:b/>
          <w:szCs w:val="21"/>
        </w:rPr>
      </w:pPr>
      <w:r>
        <w:rPr>
          <w:rFonts w:eastAsia="仿宋" w:cs="Times New Roman"/>
          <w:b/>
          <w:szCs w:val="21"/>
          <w:lang w:eastAsia="zh-TW"/>
        </w:rPr>
        <w:t xml:space="preserve">SIGNED BY </w:t>
      </w:r>
    </w:p>
    <w:p>
      <w:pPr>
        <w:spacing w:line="240" w:lineRule="auto"/>
        <w:rPr>
          <w:rFonts w:eastAsia="仿宋" w:cs="Times New Roman"/>
          <w:b/>
          <w:szCs w:val="21"/>
          <w:lang w:eastAsia="zh-TW"/>
        </w:rPr>
      </w:pPr>
    </w:p>
    <w:p>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spacing w:line="240" w:lineRule="auto"/>
        <w:rPr>
          <w:rFonts w:eastAsia="仿宋" w:cs="Times New Roman"/>
          <w:b/>
          <w:szCs w:val="21"/>
        </w:rPr>
      </w:pPr>
    </w:p>
    <w:p>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rPr>
        <w:t>Signature date</w:t>
      </w:r>
    </w:p>
    <w:p>
      <w:pPr>
        <w:spacing w:line="240" w:lineRule="auto"/>
        <w:rPr>
          <w:rFonts w:eastAsia="仿宋" w:cs="Times New Roman"/>
          <w:b/>
          <w:szCs w:val="21"/>
        </w:rPr>
      </w:pPr>
      <w:r>
        <w:rPr>
          <w:rFonts w:eastAsia="仿宋" w:cs="Times New Roman"/>
          <w:b/>
          <w:szCs w:val="21"/>
        </w:rPr>
        <w:t>签字日期：</w:t>
      </w:r>
    </w:p>
    <w:p>
      <w:pPr>
        <w:spacing w:line="240" w:lineRule="auto"/>
        <w:rPr>
          <w:rFonts w:eastAsia="仿宋" w:cs="Times New Roman"/>
          <w:b/>
          <w:szCs w:val="21"/>
        </w:rPr>
      </w:pPr>
    </w:p>
    <w:p>
      <w:pPr>
        <w:spacing w:line="240" w:lineRule="auto"/>
        <w:rPr>
          <w:rFonts w:eastAsia="仿宋" w:cs="Times New Roman"/>
          <w:b/>
          <w:szCs w:val="21"/>
        </w:rPr>
      </w:pPr>
      <w:r>
        <w:rPr>
          <w:rFonts w:eastAsia="仿宋" w:cs="Times New Roman"/>
          <w:b/>
          <w:szCs w:val="21"/>
        </w:rPr>
        <w:t>The Enduser最终用户</w:t>
      </w:r>
    </w:p>
    <w:p>
      <w:pPr>
        <w:spacing w:line="240" w:lineRule="auto"/>
        <w:rPr>
          <w:rFonts w:eastAsia="仿宋" w:cs="Times New Roman"/>
          <w:b/>
          <w:szCs w:val="21"/>
        </w:rPr>
      </w:pPr>
      <w:r>
        <w:rPr>
          <w:rFonts w:eastAsia="仿宋" w:cs="Times New Roman"/>
          <w:b/>
          <w:szCs w:val="21"/>
          <w:lang w:eastAsia="zh-TW"/>
        </w:rPr>
        <w:t>SIGNED BY</w:t>
      </w:r>
    </w:p>
    <w:p>
      <w:pPr>
        <w:spacing w:line="240" w:lineRule="auto"/>
        <w:rPr>
          <w:rFonts w:eastAsia="仿宋" w:cs="Times New Roman"/>
          <w:b/>
          <w:szCs w:val="21"/>
          <w:lang w:eastAsia="zh-TW"/>
        </w:rPr>
      </w:pPr>
    </w:p>
    <w:p>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lang w:eastAsia="zh-TW"/>
        </w:rPr>
        <w:t>for and on behalf of</w:t>
      </w:r>
    </w:p>
    <w:p>
      <w:pPr>
        <w:spacing w:line="240" w:lineRule="auto"/>
        <w:rPr>
          <w:rFonts w:eastAsia="仿宋" w:cs="Times New Roman"/>
          <w:b/>
          <w:szCs w:val="21"/>
          <w:lang w:eastAsia="zh-TW"/>
        </w:rPr>
      </w:pPr>
    </w:p>
    <w:p>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rPr>
        <w:t>Signature date</w:t>
      </w:r>
    </w:p>
    <w:p>
      <w:pPr>
        <w:spacing w:before="118"/>
        <w:ind w:left="0" w:right="30" w:rightChars="0"/>
        <w:jc w:val="both"/>
        <w:outlineLvl w:val="9"/>
        <w:rPr>
          <w:rFonts w:eastAsia="仿宋" w:cs="Times New Roman"/>
          <w:b/>
          <w:szCs w:val="21"/>
        </w:rPr>
      </w:pPr>
      <w:r>
        <w:rPr>
          <w:rFonts w:eastAsia="仿宋" w:cs="Times New Roman"/>
          <w:b/>
          <w:szCs w:val="21"/>
        </w:rPr>
        <w:t>签字日期：</w:t>
      </w:r>
    </w:p>
    <w:p>
      <w:pPr>
        <w:rPr>
          <w:rFonts w:eastAsia="仿宋" w:cs="Times New Roman"/>
          <w:b/>
          <w:szCs w:val="21"/>
        </w:rPr>
      </w:pPr>
      <w:r>
        <w:rPr>
          <w:rFonts w:eastAsia="仿宋" w:cs="Times New Roman"/>
          <w:b/>
          <w:szCs w:val="21"/>
        </w:rPr>
        <w:br w:type="page"/>
      </w:r>
    </w:p>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spacing w:line="240" w:lineRule="auto"/>
        <w:rPr>
          <w:rFonts w:hint="eastAsia" w:eastAsia="仿宋" w:cs="Times New Roman"/>
          <w:b/>
          <w:szCs w:val="21"/>
        </w:rPr>
      </w:pPr>
    </w:p>
    <w:bookmarkEnd w:id="36"/>
    <w:p>
      <w:pPr>
        <w:keepNext w:val="0"/>
        <w:keepLines w:val="0"/>
        <w:jc w:val="left"/>
        <w:outlineLvl w:val="9"/>
        <w:rPr>
          <w:rFonts w:hint="eastAsia" w:ascii="Calibri" w:hAnsi="Calibri" w:eastAsia="宋体" w:cs="Times New Roman"/>
          <w:b/>
          <w:bCs/>
          <w:kern w:val="44"/>
          <w:sz w:val="36"/>
          <w:szCs w:val="44"/>
        </w:rPr>
      </w:pPr>
      <w:bookmarkStart w:id="66" w:name="_Toc29691"/>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6"/>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pPr>
        <w:keepNext/>
        <w:keepLines/>
        <w:outlineLvl w:val="9"/>
        <w:rPr>
          <w:rFonts w:ascii="Times New Roman" w:hAnsi="Times New Roman" w:eastAsia="宋体" w:cs="Times New Roman"/>
          <w:b/>
          <w:bCs/>
          <w:color w:val="000000"/>
          <w:sz w:val="36"/>
          <w:szCs w:val="36"/>
        </w:rPr>
      </w:pPr>
    </w:p>
    <w:p>
      <w:pPr>
        <w:keepNext/>
        <w:keepLines/>
        <w:outlineLvl w:val="9"/>
        <w:rPr>
          <w:rFonts w:ascii="Times New Roman" w:hAnsi="Times New Roman" w:eastAsia="宋体" w:cs="Times New Roman"/>
          <w:b/>
          <w:bCs/>
          <w:color w:val="000000"/>
          <w:sz w:val="36"/>
          <w:szCs w:val="36"/>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outlineLvl w:val="9"/>
        <w:rPr>
          <w:rFonts w:ascii="Times New Roman" w:hAnsi="Times New Roman"/>
          <w:color w:val="000000"/>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
      <w:pPr>
        <w:keepNext w:val="0"/>
        <w:keepLines w:val="0"/>
        <w:outlineLvl w:val="9"/>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7" w:name="_Toc212369550"/>
      <w:bookmarkStart w:id="68" w:name="_Toc353881012"/>
      <w:bookmarkStart w:id="69" w:name="_Toc639004"/>
      <w:bookmarkStart w:id="7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7"/>
      <w:bookmarkEnd w:id="68"/>
      <w:bookmarkEnd w:id="69"/>
      <w:bookmarkEnd w:id="7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减振器试验台设备采购项目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一</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减振器试验台设备采购项目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rPr>
        <w:t>CGZX2024070145</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6"/>
              <w:ind w:left="154" w:right="26"/>
              <w:jc w:val="center"/>
              <w:rPr>
                <w:color w:val="000000"/>
              </w:rPr>
            </w:pPr>
            <w:r>
              <w:rPr>
                <w:color w:val="000000"/>
              </w:rPr>
              <w:t xml:space="preserve">联系人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6"/>
              <w:ind w:left="154" w:right="26"/>
              <w:jc w:val="center"/>
              <w:rPr>
                <w:color w:val="000000"/>
              </w:rPr>
            </w:pPr>
            <w:r>
              <w:rPr>
                <w:color w:val="000000"/>
              </w:rPr>
              <w:t xml:space="preserve">联系人电话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pPr>
              <w:pStyle w:val="133"/>
              <w:spacing w:before="103"/>
              <w:ind w:right="26"/>
              <w:jc w:val="center"/>
              <w:rPr>
                <w:color w:val="000000"/>
              </w:rPr>
            </w:pPr>
            <w:r>
              <w:rPr>
                <w:color w:val="000000"/>
              </w:rPr>
              <w:t>企业资质</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减振器试验台设备采购项目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减振器试验台设备采购项目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序号</w:t>
            </w:r>
          </w:p>
        </w:tc>
        <w:tc>
          <w:tcPr>
            <w:tcW w:w="4101"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子系统关键组成部分</w:t>
            </w:r>
          </w:p>
        </w:tc>
        <w:tc>
          <w:tcPr>
            <w:tcW w:w="1188"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564"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672" w:type="dxa"/>
            <w:vAlign w:val="center"/>
          </w:tcPr>
          <w:p>
            <w:pPr>
              <w:keepNext w:val="0"/>
              <w:keepLines w:val="0"/>
              <w:pageBreakBefore w:val="0"/>
              <w:widowControl w:val="0"/>
              <w:kinsoku/>
              <w:wordWrap/>
              <w:overflowPunct/>
              <w:topLinePunct w:val="0"/>
              <w:autoSpaceDE/>
              <w:autoSpaceDN/>
              <w:bidi w:val="0"/>
              <w:spacing w:before="0" w:line="240" w:lineRule="auto"/>
              <w:ind w:left="0" w:right="0" w:firstLine="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769" w:type="dxa"/>
            <w:vAlign w:val="center"/>
          </w:tcPr>
          <w:p>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line="240" w:lineRule="auto"/>
              <w:jc w:val="center"/>
              <w:rPr>
                <w:rFonts w:hint="eastAsia" w:ascii="宋体" w:hAnsi="宋体" w:eastAsia="宋体" w:cs="宋体"/>
                <w:color w:val="000000"/>
                <w:kern w:val="0"/>
                <w:szCs w:val="21"/>
              </w:rPr>
            </w:pPr>
            <w:r>
              <w:rPr>
                <w:rFonts w:hint="eastAsia" w:ascii="宋体" w:hAnsi="宋体"/>
                <w:b/>
                <w:bCs/>
                <w:szCs w:val="21"/>
              </w:rPr>
              <w:t>1</w:t>
            </w:r>
          </w:p>
        </w:tc>
        <w:tc>
          <w:tcPr>
            <w:tcW w:w="4101" w:type="dxa"/>
            <w:vAlign w:val="center"/>
          </w:tcPr>
          <w:p>
            <w:pPr>
              <w:spacing w:line="240" w:lineRule="auto"/>
              <w:jc w:val="center"/>
              <w:rPr>
                <w:rFonts w:hint="default" w:eastAsia="宋体"/>
                <w:sz w:val="21"/>
                <w:szCs w:val="21"/>
                <w:lang w:val="en-US" w:eastAsia="zh-CN"/>
              </w:rPr>
            </w:pPr>
            <w:r>
              <w:rPr>
                <w:rFonts w:hint="eastAsia" w:ascii="宋体" w:hAnsi="宋体" w:eastAsia="宋体" w:cs="宋体"/>
                <w:b/>
                <w:bCs/>
                <w:sz w:val="21"/>
                <w:szCs w:val="21"/>
                <w:highlight w:val="none"/>
                <w:lang w:val="en-US" w:eastAsia="zh-CN"/>
              </w:rPr>
              <w:t>试验台主体部分</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sz w:val="21"/>
                <w:szCs w:val="21"/>
                <w:lang w:val="en-US" w:eastAsia="zh-CN"/>
              </w:rPr>
            </w:pPr>
          </w:p>
        </w:tc>
        <w:tc>
          <w:tcPr>
            <w:tcW w:w="564" w:type="dxa"/>
          </w:tcPr>
          <w:p>
            <w:pPr>
              <w:spacing w:line="420" w:lineRule="exact"/>
              <w:jc w:val="center"/>
              <w:rPr>
                <w:rFonts w:hint="default" w:eastAsia="宋体"/>
                <w:sz w:val="21"/>
                <w:szCs w:val="21"/>
                <w:lang w:val="en-US" w:eastAsia="zh-CN"/>
              </w:rPr>
            </w:pPr>
          </w:p>
        </w:tc>
        <w:tc>
          <w:tcPr>
            <w:tcW w:w="672" w:type="dxa"/>
          </w:tcPr>
          <w:p>
            <w:pPr>
              <w:spacing w:line="420" w:lineRule="exact"/>
              <w:jc w:val="center"/>
              <w:rPr>
                <w:rFonts w:hint="eastAsia" w:eastAsia="宋体"/>
                <w:sz w:val="21"/>
                <w:szCs w:val="21"/>
                <w:lang w:val="en-US" w:eastAsia="zh-CN"/>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减振器测试主机框架</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1.2</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作动器（含伺服阀）</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1.3</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主载荷传感器</w:t>
            </w:r>
            <w:r>
              <w:rPr>
                <w:rFonts w:hint="eastAsia" w:ascii="宋体" w:hAnsi="宋体" w:eastAsia="宋体" w:cs="宋体"/>
                <w:kern w:val="2"/>
                <w:sz w:val="21"/>
                <w:szCs w:val="21"/>
                <w:highlight w:val="none"/>
                <w:lang w:val="en-US" w:eastAsia="zh-CN" w:bidi="ar-SA"/>
              </w:rPr>
              <w:t>（50kN）</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个</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1.4</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摩擦力测试专用载荷传感器（5kN）</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个</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1.5</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作动器活塞杆防扭转装置</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1.6</w:t>
            </w:r>
          </w:p>
        </w:tc>
        <w:tc>
          <w:tcPr>
            <w:tcW w:w="4101" w:type="dxa"/>
            <w:vAlign w:val="center"/>
          </w:tcPr>
          <w:p>
            <w:pPr>
              <w:spacing w:line="360" w:lineRule="exact"/>
              <w:jc w:val="center"/>
              <w:rPr>
                <w:rFonts w:hint="default" w:ascii="等线" w:hAnsi="等线" w:eastAsia="等线" w:cs="宋体"/>
                <w:kern w:val="2"/>
                <w:sz w:val="21"/>
                <w:szCs w:val="22"/>
                <w:lang w:val="en-US" w:eastAsia="zh-CN" w:bidi="ar-SA"/>
              </w:rPr>
            </w:pPr>
            <w:r>
              <w:rPr>
                <w:rFonts w:hint="eastAsia" w:ascii="宋体" w:hAnsi="宋体" w:eastAsia="宋体" w:cs="宋体"/>
                <w:sz w:val="21"/>
                <w:szCs w:val="21"/>
                <w:lang w:val="en-US" w:eastAsia="zh-CN"/>
              </w:rPr>
              <w:t>侧向力加载系统</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1.7</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减振器测试系统隔振系统</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line="240" w:lineRule="auto"/>
              <w:jc w:val="center"/>
              <w:rPr>
                <w:rFonts w:hint="eastAsia" w:ascii="宋体" w:hAnsi="宋体"/>
                <w:b/>
                <w:bCs/>
                <w:szCs w:val="21"/>
                <w:lang w:val="en-US" w:eastAsia="zh-CN"/>
              </w:rPr>
            </w:pPr>
            <w:r>
              <w:rPr>
                <w:rFonts w:hint="eastAsia" w:ascii="宋体" w:hAnsi="宋体"/>
                <w:b/>
                <w:bCs/>
                <w:szCs w:val="21"/>
              </w:rPr>
              <w:t>2</w:t>
            </w:r>
          </w:p>
        </w:tc>
        <w:tc>
          <w:tcPr>
            <w:tcW w:w="4101" w:type="dxa"/>
            <w:vAlign w:val="center"/>
          </w:tcPr>
          <w:p>
            <w:pPr>
              <w:spacing w:line="240" w:lineRule="auto"/>
              <w:jc w:val="center"/>
              <w:rPr>
                <w:rFonts w:hint="eastAsia" w:ascii="宋体" w:hAnsi="宋体"/>
                <w:b/>
                <w:bCs/>
                <w:szCs w:val="21"/>
                <w:lang w:val="en-US" w:eastAsia="zh-CN"/>
              </w:rPr>
            </w:pPr>
            <w:r>
              <w:rPr>
                <w:rFonts w:hint="eastAsia" w:ascii="宋体" w:hAnsi="宋体" w:eastAsia="宋体" w:cs="宋体"/>
                <w:b/>
                <w:bCs/>
                <w:sz w:val="21"/>
                <w:szCs w:val="21"/>
                <w:highlight w:val="none"/>
                <w:lang w:val="en-US" w:eastAsia="zh-CN"/>
              </w:rPr>
              <w:t>环境控制机械部分</w:t>
            </w:r>
          </w:p>
        </w:tc>
        <w:tc>
          <w:tcPr>
            <w:tcW w:w="1188" w:type="dxa"/>
            <w:vAlign w:val="center"/>
          </w:tcPr>
          <w:p>
            <w:pPr>
              <w:spacing w:line="240" w:lineRule="auto"/>
              <w:jc w:val="center"/>
              <w:rPr>
                <w:rFonts w:hint="eastAsia" w:ascii="宋体" w:hAnsi="宋体"/>
                <w:b/>
                <w:bCs/>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line="240" w:lineRule="auto"/>
              <w:jc w:val="center"/>
              <w:rPr>
                <w:rFonts w:hint="eastAsia" w:ascii="宋体" w:hAnsi="宋体"/>
                <w:b/>
                <w:bCs/>
                <w:szCs w:val="21"/>
              </w:rPr>
            </w:pPr>
          </w:p>
        </w:tc>
        <w:tc>
          <w:tcPr>
            <w:tcW w:w="769" w:type="dxa"/>
            <w:vAlign w:val="center"/>
          </w:tcPr>
          <w:p>
            <w:pPr>
              <w:spacing w:line="240" w:lineRule="auto"/>
              <w:jc w:val="center"/>
              <w:rPr>
                <w:rFonts w:hint="eastAsia" w:ascii="宋体" w:hAnsi="宋体"/>
                <w:b/>
                <w:bCs/>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环境箱</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导轨</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组</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冷却系统</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Cs w:val="21"/>
              </w:rPr>
              <w:t>3</w:t>
            </w:r>
          </w:p>
        </w:tc>
        <w:tc>
          <w:tcPr>
            <w:tcW w:w="4101"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液压系统组件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before="100" w:beforeAutospacing="1" w:after="100" w:afterAutospacing="1" w:line="240" w:lineRule="auto"/>
              <w:jc w:val="center"/>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动力油源</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液压油（足量）</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分油器（高性能蓄能器）</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3.4</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软管</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Cs w:val="21"/>
              </w:rPr>
              <w:t>4</w:t>
            </w:r>
          </w:p>
        </w:tc>
        <w:tc>
          <w:tcPr>
            <w:tcW w:w="4101"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控制系统和电脑</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before="100" w:beforeAutospacing="1" w:after="100" w:afterAutospacing="1" w:line="240" w:lineRule="auto"/>
              <w:jc w:val="center"/>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4.1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控制器</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4.2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多用途测试软件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4.3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减振器专用测试软件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4.4</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4.5</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4.6</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远程操作手柄及支架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4.7</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线缆</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sz w:val="21"/>
                <w:szCs w:val="21"/>
                <w:highlight w:val="none"/>
                <w:lang w:val="en-US" w:eastAsia="zh-CN"/>
              </w:rPr>
              <w:t>套</w:t>
            </w: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bCs/>
                <w:sz w:val="21"/>
                <w:szCs w:val="21"/>
                <w:highlight w:val="none"/>
                <w:lang w:val="en-US" w:eastAsia="zh-CN"/>
              </w:rPr>
              <w:t>工装及其他配件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sz w:val="21"/>
                <w:szCs w:val="21"/>
                <w:highlight w:val="none"/>
                <w:lang w:val="en-US" w:eastAsia="zh-CN"/>
              </w:rPr>
            </w:pPr>
          </w:p>
        </w:tc>
        <w:tc>
          <w:tcPr>
            <w:tcW w:w="672" w:type="dxa"/>
            <w:vAlign w:val="center"/>
          </w:tcPr>
          <w:p>
            <w:pPr>
              <w:pStyle w:val="17"/>
              <w:jc w:val="center"/>
              <w:rPr>
                <w:rFonts w:hint="eastAsia"/>
                <w:lang w:val="en-US" w:eastAsia="zh-CN"/>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减振器专用夹持装置</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密封件备件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bl>
    <w:p>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spacing w:val="-6"/>
          <w:szCs w:val="21"/>
          <w:lang w:val="en-US" w:eastAsia="zh-CN"/>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自202</w:t>
      </w:r>
      <w:r>
        <w:rPr>
          <w:rFonts w:hint="eastAsia" w:ascii="Times New Roman" w:hAnsi="Times New Roman" w:eastAsia="宋体" w:cs="Times New Roman"/>
          <w:b/>
          <w:bCs/>
          <w:color w:val="000000"/>
          <w:sz w:val="24"/>
          <w:szCs w:val="24"/>
          <w:highlight w:val="yellow"/>
          <w:lang w:val="en-US" w:eastAsia="zh-CN"/>
        </w:rPr>
        <w:t>1</w:t>
      </w:r>
      <w:r>
        <w:rPr>
          <w:rFonts w:hint="eastAsia" w:ascii="Times New Roman" w:hAnsi="Times New Roman" w:eastAsia="宋体" w:cs="Times New Roman"/>
          <w:b/>
          <w:bCs/>
          <w:color w:val="000000"/>
          <w:sz w:val="24"/>
          <w:szCs w:val="24"/>
          <w:highlight w:val="yellow"/>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宋体"/>
          <w:b/>
          <w:bCs/>
          <w:sz w:val="24"/>
          <w:szCs w:val="24"/>
          <w:highlight w:val="none"/>
          <w:u w:val="single"/>
          <w:lang w:val="en-US" w:eastAsia="zh-CN"/>
        </w:rPr>
        <w:t>减振器试验台设备采购项目</w:t>
      </w:r>
      <w:r>
        <w:rPr>
          <w:rFonts w:ascii="宋体" w:hAnsi="宋体" w:eastAsia="宋体" w:cs="Times New Roman"/>
          <w:color w:val="000000"/>
          <w:sz w:val="24"/>
          <w:szCs w:val="24"/>
        </w:rPr>
        <w:t xml:space="preserve">  </w:t>
      </w:r>
    </w:p>
    <w:p>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cs="宋体"/>
          <w:b/>
          <w:bCs/>
          <w:sz w:val="24"/>
          <w:szCs w:val="24"/>
          <w:highlight w:val="none"/>
          <w:u w:val="single"/>
          <w:lang w:val="en-US" w:eastAsia="zh-CN"/>
        </w:rPr>
        <w:t>减振器试验台设备采购项目</w:t>
      </w:r>
      <w:r>
        <w:rPr>
          <w:rFonts w:hint="eastAsia" w:ascii="宋体" w:hAnsi="宋体" w:eastAsia="宋体" w:cs="Times New Roman"/>
          <w:color w:val="000000"/>
          <w:sz w:val="24"/>
          <w:szCs w:val="24"/>
          <w:lang w:val="en-US" w:eastAsia="zh-CN"/>
        </w:rPr>
        <w:t>设备</w:t>
      </w:r>
      <w:r>
        <w:rPr>
          <w:rFonts w:hint="eastAsia" w:ascii="宋体" w:hAnsi="宋体" w:eastAsia="宋体" w:cs="Times New Roman"/>
          <w:color w:val="000000"/>
          <w:sz w:val="24"/>
          <w:szCs w:val="24"/>
        </w:rPr>
        <w:t>业绩一览表</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20</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自202</w:t>
      </w:r>
      <w:r>
        <w:rPr>
          <w:rFonts w:hint="eastAsia" w:ascii="宋体" w:hAnsi="宋体" w:eastAsia="宋体" w:cs="宋体"/>
          <w:kern w:val="0"/>
          <w:sz w:val="24"/>
          <w:szCs w:val="20"/>
          <w:highlight w:val="yellow"/>
          <w:lang w:val="en-US" w:eastAsia="zh-CN"/>
        </w:rPr>
        <w:t>1</w:t>
      </w:r>
      <w:r>
        <w:rPr>
          <w:rFonts w:hint="eastAsia" w:ascii="宋体" w:hAnsi="宋体" w:eastAsia="宋体" w:cs="宋体"/>
          <w:kern w:val="0"/>
          <w:sz w:val="24"/>
          <w:szCs w:val="20"/>
          <w:highlight w:val="yellow"/>
        </w:rPr>
        <w:t>年1月1日至今</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宋体" w:eastAsia="宋体" w:cs="Times New Roman"/>
          <w:sz w:val="24"/>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宋体"/>
          <w:b/>
          <w:bCs/>
          <w:sz w:val="24"/>
          <w:szCs w:val="24"/>
          <w:highlight w:val="none"/>
          <w:u w:val="single"/>
          <w:lang w:val="en-US" w:eastAsia="zh-CN"/>
        </w:rPr>
        <w:t>减振器试验台设备采购项目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减振器试验台设备采购项目</w:t>
      </w:r>
      <w:r>
        <w:rPr>
          <w:rFonts w:ascii="宋体" w:hAnsi="宋体" w:eastAsia="宋体" w:cs="Times New Roman"/>
          <w:color w:val="000000"/>
          <w:sz w:val="24"/>
          <w:szCs w:val="24"/>
        </w:rPr>
        <w:t xml:space="preserve">                                                        </w:t>
      </w:r>
    </w:p>
    <w:tbl>
      <w:tblPr>
        <w:tblStyle w:val="37"/>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2204"/>
        <w:gridCol w:w="1844"/>
        <w:gridCol w:w="973"/>
        <w:gridCol w:w="1277"/>
        <w:gridCol w:w="119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lang w:val="en-US" w:eastAsia="zh-CN"/>
              </w:rPr>
              <w:t>减振器试验台设备采购项目</w:t>
            </w:r>
          </w:p>
        </w:tc>
        <w:tc>
          <w:tcPr>
            <w:tcW w:w="582" w:type="dxa"/>
            <w:vAlign w:val="center"/>
          </w:tcPr>
          <w:p>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538"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r>
              <w:rPr>
                <w:rFonts w:hint="eastAsia" w:ascii="宋体" w:hAnsi="宋体" w:eastAsia="宋体" w:cs="宋体"/>
                <w:b/>
                <w:bCs w:val="0"/>
                <w:u w:val="single"/>
                <w:lang w:val="en-US" w:eastAsia="zh-CN"/>
              </w:rPr>
              <w:t xml:space="preserve">      </w:t>
            </w:r>
          </w:p>
          <w:p>
            <w:pPr>
              <w:pStyle w:val="3"/>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lang w:val="en-US" w:eastAsia="zh-CN"/>
              </w:rPr>
              <w:t>汇率：</w:t>
            </w:r>
            <w:r>
              <w:rPr>
                <w:rFonts w:hint="eastAsia" w:ascii="宋体" w:hAnsi="宋体" w:eastAsia="宋体" w:cs="宋体"/>
                <w:b/>
                <w:bCs w:val="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折算人民币：</w:t>
            </w:r>
            <w:r>
              <w:rPr>
                <w:rFonts w:hint="eastAsia" w:ascii="宋体" w:hAnsi="宋体" w:eastAsia="宋体" w:cs="宋体"/>
                <w:b/>
                <w:bCs w:val="0"/>
                <w:u w:val="single"/>
                <w:lang w:val="en-US" w:eastAsia="zh-CN"/>
              </w:rPr>
              <w:t xml:space="preserve">     </w:t>
            </w:r>
          </w:p>
          <w:p>
            <w:pPr>
              <w:rPr>
                <w:rFonts w:hint="eastAsia" w:ascii="宋体" w:hAnsi="宋体" w:eastAsia="宋体" w:cs="宋体"/>
                <w:b/>
                <w:bCs w:val="0"/>
                <w:lang w:eastAsia="zh-CN"/>
              </w:rPr>
            </w:pPr>
          </w:p>
        </w:tc>
        <w:tc>
          <w:tcPr>
            <w:tcW w:w="1844" w:type="dxa"/>
            <w:vAlign w:val="center"/>
          </w:tcPr>
          <w:p>
            <w:pPr>
              <w:jc w:val="left"/>
              <w:rPr>
                <w:rFonts w:hint="default" w:ascii="宋体" w:hAnsi="宋体" w:eastAsia="宋体" w:cs="宋体"/>
                <w:b/>
                <w:bCs w:val="0"/>
                <w:szCs w:val="20"/>
                <w:lang w:val="en-US" w:eastAsia="zh-CN"/>
              </w:rPr>
            </w:pPr>
            <w:r>
              <w:rPr>
                <w:rFonts w:hint="eastAsia" w:ascii="宋体" w:hAnsi="宋体" w:eastAsia="宋体" w:cs="宋体"/>
                <w:b/>
                <w:bCs w:val="0"/>
                <w:szCs w:val="20"/>
              </w:rPr>
              <w:t>含税价格：</w:t>
            </w:r>
            <w:r>
              <w:rPr>
                <w:rFonts w:hint="eastAsia" w:ascii="宋体" w:hAnsi="宋体" w:eastAsia="宋体" w:cs="宋体"/>
                <w:b/>
                <w:bCs w:val="0"/>
                <w:szCs w:val="20"/>
                <w:u w:val="single"/>
                <w:lang w:val="en-US" w:eastAsia="zh-CN"/>
              </w:rPr>
              <w:t xml:space="preserve">   </w:t>
            </w:r>
          </w:p>
          <w:p>
            <w:pPr>
              <w:jc w:val="left"/>
              <w:rPr>
                <w:rFonts w:hint="default" w:ascii="宋体" w:hAnsi="宋体" w:eastAsia="宋体" w:cs="宋体"/>
                <w:b/>
                <w:bCs w:val="0"/>
                <w:lang w:val="en-US" w:eastAsia="zh-CN"/>
              </w:rPr>
            </w:pPr>
            <w:r>
              <w:rPr>
                <w:rFonts w:hint="eastAsia" w:ascii="宋体" w:hAnsi="宋体" w:eastAsia="宋体" w:cs="宋体"/>
                <w:b/>
                <w:bCs w:val="0"/>
                <w:szCs w:val="20"/>
              </w:rPr>
              <w:t>不含税价：</w:t>
            </w:r>
            <w:r>
              <w:rPr>
                <w:rFonts w:hint="eastAsia" w:ascii="宋体" w:hAnsi="宋体" w:eastAsia="宋体" w:cs="宋体"/>
                <w:b/>
                <w:bCs w:val="0"/>
                <w:szCs w:val="20"/>
                <w:u w:val="single"/>
                <w:lang w:val="en-US" w:eastAsia="zh-CN"/>
              </w:rPr>
              <w:t xml:space="preserve">   </w:t>
            </w:r>
          </w:p>
          <w:p>
            <w:pPr>
              <w:jc w:val="left"/>
              <w:rPr>
                <w:rFonts w:hint="default" w:ascii="宋体" w:hAnsi="宋体" w:eastAsia="宋体" w:cs="宋体"/>
                <w:b/>
                <w:bCs w:val="0"/>
                <w:szCs w:val="20"/>
                <w:lang w:val="en-US" w:eastAsia="zh-CN"/>
              </w:rPr>
            </w:pPr>
            <w:r>
              <w:rPr>
                <w:rFonts w:hint="eastAsia" w:ascii="宋体" w:hAnsi="宋体" w:eastAsia="宋体" w:cs="宋体"/>
                <w:b/>
                <w:bCs w:val="0"/>
                <w:szCs w:val="20"/>
              </w:rPr>
              <w:t>税率：</w:t>
            </w:r>
            <w:r>
              <w:rPr>
                <w:rFonts w:hint="eastAsia" w:ascii="宋体" w:hAnsi="宋体" w:eastAsia="宋体" w:cs="宋体"/>
                <w:b/>
                <w:bCs w:val="0"/>
                <w:szCs w:val="20"/>
                <w:u w:val="single"/>
                <w:lang w:val="en-US" w:eastAsia="zh-CN"/>
              </w:rPr>
              <w:t xml:space="preserve">    </w:t>
            </w:r>
          </w:p>
        </w:tc>
        <w:tc>
          <w:tcPr>
            <w:tcW w:w="973" w:type="dxa"/>
            <w:vAlign w:val="center"/>
          </w:tcPr>
          <w:p>
            <w:pPr>
              <w:jc w:val="center"/>
              <w:rPr>
                <w:rFonts w:ascii="Times New Roman" w:hAnsi="Times New Roman" w:eastAsia="宋体" w:cs="Times New Roman"/>
                <w:b/>
                <w:szCs w:val="20"/>
              </w:rPr>
            </w:pPr>
          </w:p>
        </w:tc>
        <w:tc>
          <w:tcPr>
            <w:tcW w:w="1277" w:type="dxa"/>
            <w:vAlign w:val="center"/>
          </w:tcPr>
          <w:p>
            <w:pPr>
              <w:jc w:val="center"/>
              <w:rPr>
                <w:rFonts w:ascii="Times New Roman" w:hAnsi="Times New Roman" w:eastAsia="宋体" w:cs="Times New Roman"/>
                <w:b/>
                <w:szCs w:val="20"/>
              </w:rPr>
            </w:pPr>
          </w:p>
        </w:tc>
        <w:tc>
          <w:tcPr>
            <w:tcW w:w="1194" w:type="dxa"/>
            <w:vAlign w:val="center"/>
          </w:tcPr>
          <w:p>
            <w:pPr>
              <w:jc w:val="center"/>
              <w:rPr>
                <w:rFonts w:ascii="Times New Roman" w:hAnsi="Times New Roman" w:eastAsia="宋体" w:cs="Times New Roman"/>
                <w:b/>
                <w:szCs w:val="20"/>
              </w:rPr>
            </w:pPr>
          </w:p>
        </w:tc>
        <w:tc>
          <w:tcPr>
            <w:tcW w:w="1146" w:type="dxa"/>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pPr>
        <w:pStyle w:val="17"/>
        <w:rPr>
          <w:rFonts w:hAnsi="宋体" w:eastAsia="宋体" w:cs="Times New Roman"/>
          <w:b/>
          <w:bCs/>
          <w:szCs w:val="21"/>
          <w:highlight w:val="yellow"/>
        </w:rPr>
      </w:pPr>
      <w:r>
        <w:rPr>
          <w:rFonts w:hint="eastAsia" w:hAnsi="宋体" w:eastAsia="宋体" w:cs="Times New Roman"/>
          <w:b/>
          <w:bCs/>
          <w:szCs w:val="21"/>
          <w:highlight w:val="yellow"/>
          <w:lang w:val="en-US" w:eastAsia="zh-CN"/>
        </w:rPr>
        <w:t>5.</w:t>
      </w:r>
      <w:r>
        <w:rPr>
          <w:rFonts w:hint="eastAsia" w:hAnsi="宋体" w:eastAsia="宋体" w:cs="Times New Roman"/>
          <w:b/>
          <w:bCs/>
          <w:szCs w:val="21"/>
          <w:highlight w:val="yellow"/>
        </w:rPr>
        <w:t>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7</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19</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lang w:val="en-US" w:eastAsia="zh-CN"/>
        </w:rPr>
        <w:t>外币金额*汇率，CIF价格，未税</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rPr>
        <w:t>，并注明实际支付币种及金额。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7"/>
        <w:sectPr>
          <w:pgSz w:w="16838" w:h="11906" w:orient="landscape"/>
          <w:pgMar w:top="1418" w:right="1588" w:bottom="1418" w:left="1134" w:header="851" w:footer="992" w:gutter="0"/>
          <w:cols w:space="720" w:num="1"/>
          <w:titlePg/>
          <w:docGrid w:type="lines" w:linePitch="312" w:charSpace="0"/>
        </w:sectPr>
      </w:pPr>
    </w:p>
    <w:p>
      <w:pPr>
        <w:rPr>
          <w:rFonts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pPr>
        <w:pStyle w:val="5"/>
        <w:spacing w:before="140" w:after="140" w:line="240" w:lineRule="auto"/>
        <w:jc w:val="left"/>
        <w:outlineLvl w:val="3"/>
      </w:pPr>
      <w:r>
        <w:rPr>
          <w:rFonts w:ascii="宋体" w:hAnsi="宋体" w:cs="宋体"/>
          <w:spacing w:val="-9"/>
          <w:sz w:val="24"/>
          <w:szCs w:val="24"/>
          <w14:textOutline w14:w="4356" w14:cap="flat" w14:cmpd="sng">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solidFill>
              <w14:srgbClr w14:val="000000"/>
            </w14:solidFill>
            <w14:prstDash w14:val="solid"/>
            <w14:miter w14:val="0"/>
          </w14:textOutline>
        </w:rPr>
        <w:t>9</w:t>
      </w:r>
      <w:r>
        <w:rPr>
          <w:rFonts w:ascii="宋体" w:hAnsi="宋体" w:cs="宋体"/>
          <w:spacing w:val="-7"/>
          <w:sz w:val="24"/>
          <w:szCs w:val="24"/>
          <w14:textOutline w14:w="4356" w14:cap="flat" w14:cmpd="sng">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solidFill>
              <w14:srgbClr w14:val="000000"/>
            </w14:solidFill>
            <w14:prstDash w14:val="solid"/>
            <w14:miter w14:val="0"/>
          </w14:textOutline>
        </w:rPr>
        <w:t>一</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5196"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7"/>
        <w:gridCol w:w="2074"/>
        <w:gridCol w:w="2313"/>
        <w:gridCol w:w="973"/>
        <w:gridCol w:w="998"/>
        <w:gridCol w:w="1285"/>
        <w:gridCol w:w="1623"/>
        <w:gridCol w:w="2035"/>
        <w:gridCol w:w="1455"/>
        <w:gridCol w:w="1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77" w:type="dxa"/>
            <w:vAlign w:val="center"/>
          </w:tcPr>
          <w:p>
            <w:pPr>
              <w:spacing w:before="97" w:line="186"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074" w:type="dxa"/>
            <w:vAlign w:val="center"/>
          </w:tcPr>
          <w:p>
            <w:pPr>
              <w:spacing w:before="98" w:line="185"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313" w:type="dxa"/>
            <w:vAlign w:val="center"/>
          </w:tcPr>
          <w:p>
            <w:pPr>
              <w:spacing w:before="99" w:line="183"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973"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998" w:type="dxa"/>
            <w:vAlign w:val="center"/>
          </w:tcPr>
          <w:p>
            <w:pPr>
              <w:spacing w:before="100" w:line="182" w:lineRule="auto"/>
              <w:jc w:val="center"/>
              <w:rPr>
                <w:rFonts w:hint="eastAsia"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285"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623"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7</w:t>
            </w:r>
          </w:p>
        </w:tc>
        <w:tc>
          <w:tcPr>
            <w:tcW w:w="2034" w:type="dxa"/>
            <w:tcBorders>
              <w:right w:val="single" w:color="000000" w:sz="4" w:space="0"/>
            </w:tcBorders>
            <w:vAlign w:val="center"/>
          </w:tcPr>
          <w:p>
            <w:pPr>
              <w:spacing w:before="100" w:line="182"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8</w:t>
            </w:r>
          </w:p>
        </w:tc>
        <w:tc>
          <w:tcPr>
            <w:tcW w:w="1454" w:type="dxa"/>
            <w:tcBorders>
              <w:left w:val="single" w:color="000000" w:sz="4" w:space="0"/>
            </w:tcBorders>
            <w:vAlign w:val="center"/>
          </w:tcPr>
          <w:p>
            <w:pPr>
              <w:spacing w:before="99" w:line="183"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9</w:t>
            </w:r>
          </w:p>
        </w:tc>
        <w:tc>
          <w:tcPr>
            <w:tcW w:w="1200" w:type="dxa"/>
            <w:tcBorders>
              <w:left w:val="single" w:color="000000" w:sz="4" w:space="0"/>
            </w:tcBorders>
            <w:vAlign w:val="center"/>
          </w:tcPr>
          <w:p>
            <w:pPr>
              <w:spacing w:before="99" w:line="183" w:lineRule="auto"/>
              <w:jc w:val="center"/>
              <w:rPr>
                <w:rFonts w:hint="default" w:ascii="宋体" w:hAnsi="宋体" w:eastAsia="宋体" w:cs="宋体"/>
                <w:b/>
                <w:bCs/>
                <w:szCs w:val="21"/>
                <w:lang w:val="en-US"/>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77" w:type="dxa"/>
            <w:vAlign w:val="center"/>
          </w:tcPr>
          <w:p>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074" w:type="dxa"/>
            <w:vAlign w:val="center"/>
          </w:tcPr>
          <w:p>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2313" w:type="dxa"/>
            <w:vAlign w:val="center"/>
          </w:tcPr>
          <w:p>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973" w:type="dxa"/>
            <w:vAlign w:val="center"/>
          </w:tcPr>
          <w:p>
            <w:pPr>
              <w:spacing w:line="221" w:lineRule="auto"/>
              <w:jc w:val="center"/>
              <w:rPr>
                <w:rFonts w:ascii="宋体" w:hAnsi="宋体" w:eastAsia="宋体" w:cs="宋体"/>
                <w:b/>
                <w:bCs/>
                <w:szCs w:val="21"/>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单位</w:t>
            </w:r>
          </w:p>
        </w:tc>
        <w:tc>
          <w:tcPr>
            <w:tcW w:w="998" w:type="dxa"/>
            <w:vAlign w:val="center"/>
          </w:tcPr>
          <w:p>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285" w:type="dxa"/>
            <w:vAlign w:val="center"/>
          </w:tcPr>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1623" w:type="dxa"/>
            <w:vAlign w:val="center"/>
          </w:tcPr>
          <w:p>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单价（不含税）</w:t>
            </w:r>
          </w:p>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034" w:type="dxa"/>
            <w:tcBorders>
              <w:right w:val="single" w:color="000000" w:sz="4" w:space="0"/>
            </w:tcBorders>
            <w:vAlign w:val="center"/>
          </w:tcPr>
          <w:p>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5</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7</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454" w:type="dxa"/>
            <w:tcBorders>
              <w:left w:val="single" w:color="000000" w:sz="4" w:space="0"/>
            </w:tcBorders>
            <w:vAlign w:val="center"/>
          </w:tcPr>
          <w:p>
            <w:pPr>
              <w:spacing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highlight w:val="yellow"/>
                <w:lang w:val="en-US" w:eastAsia="zh-CN"/>
                <w14:textOutline w14:w="3834" w14:cap="flat" w14:cmpd="sng">
                  <w14:solidFill>
                    <w14:srgbClr w14:val="000000"/>
                  </w14:solidFill>
                  <w14:prstDash w14:val="solid"/>
                  <w14:miter w14:val="0"/>
                </w14:textOutline>
              </w:rPr>
              <w:t>币种</w:t>
            </w:r>
          </w:p>
        </w:tc>
        <w:tc>
          <w:tcPr>
            <w:tcW w:w="1200" w:type="dxa"/>
            <w:tcBorders>
              <w:left w:val="single" w:color="000000" w:sz="4" w:space="0"/>
            </w:tcBorders>
            <w:vAlign w:val="center"/>
          </w:tcPr>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b/>
                <w:bCs/>
                <w:szCs w:val="21"/>
              </w:rPr>
              <w:t>1</w:t>
            </w:r>
          </w:p>
        </w:tc>
        <w:tc>
          <w:tcPr>
            <w:tcW w:w="2074" w:type="dxa"/>
            <w:vAlign w:val="center"/>
          </w:tcPr>
          <w:p>
            <w:pPr>
              <w:spacing w:line="240" w:lineRule="auto"/>
              <w:jc w:val="center"/>
              <w:rPr>
                <w:rFonts w:hint="default" w:ascii="等线" w:hAnsi="等线" w:eastAsia="宋体" w:cs="宋体"/>
                <w:kern w:val="2"/>
                <w:sz w:val="21"/>
                <w:szCs w:val="21"/>
                <w:lang w:val="en-US" w:eastAsia="zh-CN" w:bidi="ar-SA"/>
              </w:rPr>
            </w:pPr>
            <w:r>
              <w:rPr>
                <w:rFonts w:hint="eastAsia" w:ascii="宋体" w:hAnsi="宋体" w:eastAsia="宋体" w:cs="宋体"/>
                <w:b/>
                <w:bCs/>
                <w:sz w:val="21"/>
                <w:szCs w:val="21"/>
                <w:highlight w:val="none"/>
                <w:lang w:val="en-US" w:eastAsia="zh-CN"/>
              </w:rPr>
              <w:t>试验台主体部分</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等线" w:hAnsi="等线" w:eastAsia="宋体" w:cs="宋体"/>
                <w:kern w:val="2"/>
                <w:sz w:val="21"/>
                <w:szCs w:val="21"/>
                <w:lang w:val="en-US" w:eastAsia="zh-CN" w:bidi="ar-SA"/>
              </w:rPr>
            </w:pPr>
          </w:p>
        </w:tc>
        <w:tc>
          <w:tcPr>
            <w:tcW w:w="973" w:type="dxa"/>
            <w:vAlign w:val="top"/>
          </w:tcPr>
          <w:p>
            <w:pPr>
              <w:spacing w:line="420" w:lineRule="exact"/>
              <w:jc w:val="center"/>
              <w:rPr>
                <w:rFonts w:hint="default" w:ascii="等线" w:hAnsi="等线" w:eastAsia="宋体" w:cs="宋体"/>
                <w:kern w:val="2"/>
                <w:sz w:val="21"/>
                <w:szCs w:val="21"/>
                <w:lang w:val="en-US" w:eastAsia="zh-CN" w:bidi="ar-SA"/>
              </w:rPr>
            </w:pPr>
          </w:p>
        </w:tc>
        <w:tc>
          <w:tcPr>
            <w:tcW w:w="998" w:type="dxa"/>
            <w:vAlign w:val="top"/>
          </w:tcPr>
          <w:p>
            <w:pPr>
              <w:spacing w:line="420" w:lineRule="exact"/>
              <w:jc w:val="center"/>
              <w:rPr>
                <w:rFonts w:hint="eastAsia" w:ascii="等线" w:hAnsi="等线" w:eastAsia="宋体" w:cs="宋体"/>
                <w:kern w:val="2"/>
                <w:sz w:val="21"/>
                <w:szCs w:val="21"/>
                <w:lang w:val="en-US" w:eastAsia="zh-CN" w:bidi="ar-SA"/>
              </w:rPr>
            </w:pPr>
          </w:p>
        </w:tc>
        <w:tc>
          <w:tcPr>
            <w:tcW w:w="1285" w:type="dxa"/>
            <w:vAlign w:val="center"/>
          </w:tcPr>
          <w:p>
            <w:pPr>
              <w:jc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减振器测试主机框架</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1.2</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作动器（含伺服阀）</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1.3</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主载荷传感器</w:t>
            </w:r>
            <w:r>
              <w:rPr>
                <w:rFonts w:hint="eastAsia" w:ascii="宋体" w:hAnsi="宋体" w:eastAsia="宋体" w:cs="宋体"/>
                <w:kern w:val="2"/>
                <w:sz w:val="21"/>
                <w:szCs w:val="21"/>
                <w:highlight w:val="none"/>
                <w:lang w:val="en-US" w:eastAsia="zh-CN" w:bidi="ar-SA"/>
              </w:rPr>
              <w:t>（50kN）</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个</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1.4</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摩擦力测试专用载荷传感器（5kN）</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个</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1.5</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作动器活塞杆防扭转装置</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2074" w:type="dxa"/>
            <w:vAlign w:val="center"/>
          </w:tcPr>
          <w:p>
            <w:pPr>
              <w:spacing w:line="360" w:lineRule="exact"/>
              <w:jc w:val="center"/>
              <w:rPr>
                <w:rFonts w:hint="eastAsia" w:ascii="等线" w:hAnsi="等线" w:eastAsia="等线" w:cs="宋体"/>
                <w:kern w:val="2"/>
                <w:sz w:val="21"/>
                <w:szCs w:val="22"/>
                <w:lang w:val="en-US" w:eastAsia="zh-CN" w:bidi="ar-SA"/>
              </w:rPr>
            </w:pPr>
            <w:r>
              <w:rPr>
                <w:rFonts w:hint="eastAsia" w:ascii="宋体" w:hAnsi="宋体" w:eastAsia="宋体" w:cs="宋体"/>
                <w:sz w:val="21"/>
                <w:szCs w:val="21"/>
                <w:lang w:val="en-US" w:eastAsia="zh-CN"/>
              </w:rPr>
              <w:t>侧向力加载系统</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1.7</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减振器测试系统隔振系统</w:t>
            </w: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line="240" w:lineRule="auto"/>
              <w:jc w:val="center"/>
              <w:rPr>
                <w:rFonts w:hint="eastAsia" w:ascii="宋体" w:hAnsi="宋体" w:eastAsia="等线" w:cs="宋体"/>
                <w:b/>
                <w:bCs/>
                <w:kern w:val="2"/>
                <w:sz w:val="21"/>
                <w:szCs w:val="21"/>
                <w:lang w:val="en-US" w:eastAsia="zh-CN" w:bidi="ar-SA"/>
              </w:rPr>
            </w:pPr>
            <w:r>
              <w:rPr>
                <w:rFonts w:hint="eastAsia" w:ascii="宋体" w:hAnsi="宋体"/>
                <w:b/>
                <w:bCs/>
                <w:szCs w:val="21"/>
              </w:rPr>
              <w:t>2</w:t>
            </w:r>
          </w:p>
        </w:tc>
        <w:tc>
          <w:tcPr>
            <w:tcW w:w="2074" w:type="dxa"/>
            <w:vAlign w:val="center"/>
          </w:tcPr>
          <w:p>
            <w:pPr>
              <w:spacing w:line="240" w:lineRule="auto"/>
              <w:jc w:val="center"/>
              <w:rPr>
                <w:rFonts w:hint="eastAsia" w:ascii="宋体" w:hAnsi="宋体" w:eastAsia="等线" w:cs="宋体"/>
                <w:b/>
                <w:bCs/>
                <w:kern w:val="2"/>
                <w:sz w:val="21"/>
                <w:szCs w:val="21"/>
                <w:lang w:val="en-US" w:eastAsia="zh-CN" w:bidi="ar-SA"/>
              </w:rPr>
            </w:pPr>
            <w:r>
              <w:rPr>
                <w:rFonts w:hint="eastAsia" w:ascii="宋体" w:hAnsi="宋体" w:eastAsia="宋体" w:cs="宋体"/>
                <w:b/>
                <w:bCs/>
                <w:sz w:val="21"/>
                <w:szCs w:val="21"/>
                <w:highlight w:val="none"/>
                <w:lang w:val="en-US" w:eastAsia="zh-CN"/>
              </w:rPr>
              <w:t>环境控制机械部分</w:t>
            </w:r>
          </w:p>
        </w:tc>
        <w:tc>
          <w:tcPr>
            <w:tcW w:w="2313" w:type="dxa"/>
            <w:vAlign w:val="center"/>
          </w:tcPr>
          <w:p>
            <w:pPr>
              <w:spacing w:line="240" w:lineRule="auto"/>
              <w:jc w:val="center"/>
              <w:rPr>
                <w:rFonts w:hint="eastAsia" w:ascii="宋体" w:hAnsi="宋体" w:eastAsia="等线" w:cs="宋体"/>
                <w:b/>
                <w:bCs/>
                <w:kern w:val="2"/>
                <w:sz w:val="21"/>
                <w:szCs w:val="21"/>
                <w:lang w:val="en-US" w:eastAsia="zh-CN" w:bidi="ar-SA"/>
              </w:rPr>
            </w:pPr>
          </w:p>
        </w:tc>
        <w:tc>
          <w:tcPr>
            <w:tcW w:w="973"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240" w:lineRule="auto"/>
              <w:jc w:val="center"/>
              <w:rPr>
                <w:rFonts w:hint="eastAsia" w:ascii="宋体" w:hAnsi="宋体" w:eastAsia="等线" w:cs="宋体"/>
                <w:b/>
                <w:bCs/>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环境箱</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台</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导轨</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组</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冷却系统</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rPr>
              <w:t>3</w:t>
            </w:r>
          </w:p>
        </w:tc>
        <w:tc>
          <w:tcPr>
            <w:tcW w:w="2074"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液压系统组件</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动力油源</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液压油（足量）</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分油器（高性能蓄能器）</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3.4</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软管</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sz w:val="21"/>
                <w:szCs w:val="21"/>
                <w:highlight w:val="none"/>
                <w:lang w:val="en-US" w:eastAsia="zh-CN"/>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rPr>
              <w:t>4</w:t>
            </w:r>
          </w:p>
        </w:tc>
        <w:tc>
          <w:tcPr>
            <w:tcW w:w="2074"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控制系统和电脑</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4.1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控制器</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4.2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多用途测试软件</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4.3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减振器专用测试软件</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4.4</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998"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4.5</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998"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4.6</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远程操作手柄及支架</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4.7</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kern w:val="2"/>
                <w:sz w:val="21"/>
                <w:szCs w:val="21"/>
                <w:highlight w:val="none"/>
                <w:lang w:val="en-US" w:eastAsia="zh-CN" w:bidi="ar-SA"/>
              </w:rPr>
              <w:t>线缆</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sz w:val="21"/>
                <w:szCs w:val="21"/>
                <w:highlight w:val="none"/>
                <w:lang w:val="en-US" w:eastAsia="zh-CN"/>
              </w:rPr>
              <w:t>套</w:t>
            </w: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bCs/>
                <w:sz w:val="21"/>
                <w:szCs w:val="21"/>
                <w:highlight w:val="none"/>
                <w:lang w:val="en-US" w:eastAsia="zh-CN"/>
              </w:rPr>
              <w:t>工装及其他配件</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pStyle w:val="17"/>
              <w:jc w:val="center"/>
              <w:rPr>
                <w:rFonts w:hint="eastAsia" w:ascii="宋体" w:hAnsi="Courier New" w:eastAsia="等线" w:cs="宋体"/>
                <w:kern w:val="2"/>
                <w:sz w:val="21"/>
                <w:szCs w:val="22"/>
                <w:lang w:val="en-US" w:eastAsia="zh-CN" w:bidi="ar-SA"/>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减振器专用夹持装置</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密封件备件</w:t>
            </w: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vAlign w:val="center"/>
          </w:tcPr>
          <w:p>
            <w:pPr>
              <w:jc w:val="center"/>
              <w:rPr>
                <w:rFonts w:hint="eastAsia" w:ascii="Arial" w:eastAsia="等线"/>
                <w:b/>
                <w:bCs/>
                <w:szCs w:val="21"/>
                <w:lang w:val="en-US" w:eastAsia="zh-CN"/>
              </w:rPr>
            </w:pPr>
            <w:r>
              <w:rPr>
                <w:rFonts w:hint="eastAsia" w:ascii="Arial"/>
                <w:b/>
                <w:bCs/>
                <w:szCs w:val="21"/>
                <w:lang w:val="en-US" w:eastAsia="zh-CN"/>
              </w:rPr>
              <w:t>合计</w:t>
            </w:r>
          </w:p>
        </w:tc>
        <w:tc>
          <w:tcPr>
            <w:tcW w:w="4688" w:type="dxa"/>
            <w:gridSpan w:val="3"/>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w:t>
            </w:r>
            <w:r>
              <w:rPr>
                <w:rFonts w:hint="eastAsia" w:ascii="宋体" w:hAnsi="宋体" w:eastAsia="宋体" w:cs="宋体"/>
                <w:b/>
                <w:bCs/>
                <w:szCs w:val="21"/>
                <w:highlight w:val="none"/>
                <w:u w:val="none"/>
                <w:lang w:val="en-US" w:eastAsia="zh-CN"/>
              </w:rPr>
              <w:t>年7月19日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Arial"/>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vAlign w:val="center"/>
          </w:tcPr>
          <w:p>
            <w:pPr>
              <w:jc w:val="center"/>
              <w:rPr>
                <w:rFonts w:hint="eastAsia" w:ascii="Arial" w:eastAsia="等线"/>
                <w:b/>
                <w:bCs/>
                <w:szCs w:val="21"/>
                <w:lang w:val="en-US" w:eastAsia="zh-CN"/>
              </w:rPr>
            </w:pPr>
            <w:r>
              <w:rPr>
                <w:rFonts w:hint="eastAsia" w:ascii="Arial"/>
                <w:b/>
                <w:bCs/>
                <w:szCs w:val="21"/>
                <w:lang w:val="en-US" w:eastAsia="zh-CN"/>
              </w:rPr>
              <w:t>合计</w:t>
            </w:r>
          </w:p>
        </w:tc>
        <w:tc>
          <w:tcPr>
            <w:tcW w:w="4688" w:type="dxa"/>
            <w:gridSpan w:val="3"/>
            <w:vAlign w:val="center"/>
          </w:tcPr>
          <w:p>
            <w:pPr>
              <w:jc w:val="left"/>
              <w:rPr>
                <w:rFonts w:ascii="Arial" w:hAnsi="等线" w:eastAsia="等线" w:cs="宋体"/>
                <w:kern w:val="2"/>
                <w:sz w:val="21"/>
                <w:szCs w:val="21"/>
                <w:lang w:val="en-US" w:eastAsia="zh-CN" w:bidi="ar-SA"/>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hint="eastAsia" w:ascii="宋体" w:hAnsi="宋体" w:eastAsia="宋体" w:cs="宋体"/>
                <w:b/>
                <w:bCs/>
                <w:szCs w:val="21"/>
                <w:u w:val="single"/>
                <w:lang w:val="en-US" w:eastAsia="zh-CN"/>
              </w:rPr>
              <w:t xml:space="preserve">     </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outlineLvl w:val="9"/>
      </w:pPr>
    </w:p>
    <w:p>
      <w:pPr>
        <w:spacing w:before="40" w:line="186" w:lineRule="auto"/>
        <w:rPr>
          <w:rFonts w:ascii="宋体" w:hAnsi="宋体" w:eastAsia="宋体" w:cs="宋体"/>
          <w:spacing w:val="-2"/>
          <w:sz w:val="24"/>
          <w:szCs w:val="24"/>
        </w:rPr>
        <w:sectPr>
          <w:footerReference r:id="rId28"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spacing w:before="40" w:line="186" w:lineRule="auto"/>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vAlign w:val="center"/>
          </w:tcPr>
          <w:p>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760" w:type="dxa"/>
            <w:gridSpan w:val="2"/>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发标日（2024年</w:t>
            </w:r>
            <w:r>
              <w:rPr>
                <w:rFonts w:hint="eastAsia" w:ascii="宋体" w:hAnsi="宋体" w:eastAsia="宋体" w:cs="宋体"/>
                <w:b/>
                <w:bCs/>
                <w:szCs w:val="21"/>
                <w:highlight w:val="none"/>
                <w:u w:val="none"/>
                <w:lang w:val="en-US" w:eastAsia="zh-CN"/>
              </w:rPr>
              <w:t>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b/>
                <w:bCs/>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cols w:space="720" w:num="1"/>
        </w:sectPr>
      </w:pPr>
    </w:p>
    <w:p>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highlight w:val="none"/>
                <w:lang w:val="en-US" w:eastAsia="zh-CN" w:bidi="ar-SA"/>
              </w:rPr>
              <w:t>安装调试服务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液压管路安装调试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1.2</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设备主体安装调试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1.3</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水电气安装调试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1.4</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其它辅助设施安装、调试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2</w:t>
            </w:r>
          </w:p>
        </w:tc>
        <w:tc>
          <w:tcPr>
            <w:tcW w:w="3995" w:type="dxa"/>
            <w:vAlign w:val="center"/>
          </w:tcPr>
          <w:p>
            <w:pPr>
              <w:spacing w:before="100" w:beforeAutospacing="1" w:after="100" w:afterAutospacing="1" w:line="240" w:lineRule="auto"/>
              <w:jc w:val="center"/>
              <w:rPr>
                <w:rFonts w:ascii="宋体" w:hAnsi="宋体" w:eastAsia="宋体" w:cs="宋体"/>
                <w:color w:val="FF0000"/>
                <w:szCs w:val="21"/>
              </w:rPr>
            </w:pPr>
            <w:r>
              <w:rPr>
                <w:rFonts w:hint="eastAsia" w:ascii="宋体" w:hAnsi="宋体" w:eastAsia="宋体" w:cs="宋体"/>
                <w:b/>
                <w:bCs/>
                <w:sz w:val="21"/>
                <w:szCs w:val="21"/>
                <w:highlight w:val="none"/>
                <w:lang w:val="en-US" w:eastAsia="zh-CN"/>
              </w:rPr>
              <w:t>校准服务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出厂校准</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现场校准</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3</w:t>
            </w:r>
          </w:p>
        </w:tc>
        <w:tc>
          <w:tcPr>
            <w:tcW w:w="3995"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设计服务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房间布局、地基、设备和试验方案设计等</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4</w:t>
            </w:r>
          </w:p>
        </w:tc>
        <w:tc>
          <w:tcPr>
            <w:tcW w:w="3995"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培训服务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软硬件培训</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9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技术材料</w:t>
            </w:r>
          </w:p>
        </w:tc>
        <w:tc>
          <w:tcPr>
            <w:tcW w:w="1241" w:type="dxa"/>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份</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图纸、说明书等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783"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3995" w:type="dxa"/>
            <w:vAlign w:val="center"/>
          </w:tcPr>
          <w:p>
            <w:pPr>
              <w:widowControl/>
              <w:jc w:val="center"/>
              <w:rPr>
                <w:rFonts w:hint="default" w:ascii="宋体" w:hAnsi="宋体" w:eastAsia="宋体" w:cs="宋体"/>
                <w:color w:val="000000"/>
                <w:kern w:val="0"/>
                <w:szCs w:val="21"/>
                <w:lang w:val="en-US" w:eastAsia="zh-CN"/>
              </w:rPr>
            </w:pPr>
            <w:r>
              <w:rPr>
                <w:rFonts w:hint="eastAsia" w:ascii="宋体" w:hAnsi="宋体" w:eastAsia="宋体" w:cs="宋体"/>
                <w:b/>
                <w:bCs/>
                <w:color w:val="000000"/>
                <w:kern w:val="0"/>
                <w:szCs w:val="21"/>
                <w:lang w:val="en-US" w:eastAsia="zh-CN"/>
              </w:rPr>
              <w:t>验收</w:t>
            </w:r>
          </w:p>
        </w:tc>
        <w:tc>
          <w:tcPr>
            <w:tcW w:w="1241" w:type="dxa"/>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含预验收、终验收，设备主体原产地验收，招标方人员差旅、食宿自付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pPr>
              <w:spacing w:before="306" w:line="182" w:lineRule="auto"/>
              <w:ind w:left="432"/>
              <w:rPr>
                <w:rFonts w:ascii="宋体" w:hAnsi="宋体" w:eastAsia="宋体" w:cs="宋体"/>
                <w:szCs w:val="21"/>
              </w:rPr>
            </w:pPr>
          </w:p>
        </w:tc>
        <w:tc>
          <w:tcPr>
            <w:tcW w:w="3995"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.......以上不足之处请往下添加序号自行补充</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vAlign w:val="center"/>
          </w:tcPr>
          <w:p>
            <w:pPr>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lang w:val="en-US" w:eastAsia="zh-CN"/>
              </w:rPr>
              <w:t>小计</w:t>
            </w:r>
          </w:p>
        </w:tc>
        <w:tc>
          <w:tcPr>
            <w:tcW w:w="6367" w:type="dxa"/>
            <w:gridSpan w:val="2"/>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w:t>
            </w:r>
            <w:r>
              <w:rPr>
                <w:rFonts w:hint="eastAsia" w:ascii="宋体" w:hAnsi="宋体" w:eastAsia="宋体" w:cs="宋体"/>
                <w:b/>
                <w:bCs/>
                <w:szCs w:val="21"/>
                <w:highlight w:val="none"/>
                <w:u w:val="none"/>
                <w:lang w:val="en-US" w:eastAsia="zh-CN"/>
              </w:rPr>
              <w:t>年7月19日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14:textOutline w14:w="5791" w14:cap="flat" w14:cmpd="sng">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8"/>
              <w:spacing w:before="60" w:after="60"/>
              <w:jc w:val="center"/>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center"/>
          </w:tcPr>
          <w:p>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133" w:type="dxa"/>
            <w:gridSpan w:val="3"/>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发标日（2024年</w:t>
            </w:r>
            <w:r>
              <w:rPr>
                <w:rFonts w:hint="eastAsia" w:ascii="宋体" w:hAnsi="宋体" w:eastAsia="宋体" w:cs="宋体"/>
                <w:b/>
                <w:bCs/>
                <w:szCs w:val="21"/>
                <w:highlight w:val="none"/>
                <w:u w:val="none"/>
                <w:lang w:val="en-US" w:eastAsia="zh-CN"/>
              </w:rPr>
              <w:t>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bookmarkStart w:id="71" w:name="_GoBack"/>
      <w:bookmarkEnd w:id="71"/>
    </w:p>
    <w:p>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hint="eastAsia" w:ascii="Arial"/>
                <w:lang w:val="en-US" w:eastAsia="zh-CN"/>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小计</w:t>
            </w:r>
          </w:p>
        </w:tc>
        <w:tc>
          <w:tcPr>
            <w:tcW w:w="6482" w:type="dxa"/>
            <w:gridSpan w:val="2"/>
          </w:tcPr>
          <w:p>
            <w:pPr>
              <w:jc w:val="left"/>
              <w:rPr>
                <w:rFonts w:hint="eastAsia" w:ascii="宋体" w:hAnsi="宋体" w:eastAsia="宋体" w:cs="宋体"/>
                <w:b/>
                <w:bCs/>
                <w:spacing w:val="-3"/>
                <w:szCs w:val="21"/>
                <w:lang w:eastAsia="zh-CN"/>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小</w:t>
            </w:r>
            <w:r>
              <w:rPr>
                <w:rFonts w:ascii="宋体" w:hAnsi="宋体" w:eastAsia="宋体" w:cs="宋体"/>
                <w:spacing w:val="-1"/>
                <w:szCs w:val="21"/>
                <w14:textOutline w14:w="3834" w14:cap="flat" w14:cmpd="sng">
                  <w14:solidFill>
                    <w14:srgbClr w14:val="000000"/>
                  </w14:solidFill>
                  <w14:prstDash w14:val="solid"/>
                  <w14:miter w14:val="0"/>
                </w14:textOutline>
              </w:rPr>
              <w:t>计</w:t>
            </w:r>
            <w:r>
              <w:rPr>
                <w:rFonts w:hint="eastAsia" w:ascii="宋体" w:hAnsi="宋体" w:eastAsia="宋体" w:cs="宋体"/>
                <w:b/>
                <w:bCs/>
                <w:spacing w:val="-3"/>
                <w:szCs w:val="21"/>
              </w:rPr>
              <w:t>（</w:t>
            </w:r>
            <w:r>
              <w:rPr>
                <w:rFonts w:hint="eastAsia" w:ascii="宋体" w:hAnsi="宋体" w:eastAsia="宋体" w:cs="宋体"/>
                <w:b/>
                <w:bCs/>
                <w:color w:val="FF0000"/>
                <w:spacing w:val="-3"/>
                <w:szCs w:val="21"/>
              </w:rPr>
              <w:t>不含税</w:t>
            </w:r>
            <w:r>
              <w:rPr>
                <w:rFonts w:hint="eastAsia" w:ascii="宋体" w:hAnsi="宋体" w:eastAsia="宋体" w:cs="宋体"/>
                <w:b/>
                <w:bCs/>
                <w:spacing w:val="-3"/>
                <w:szCs w:val="21"/>
              </w:rPr>
              <w:t>）</w:t>
            </w:r>
            <w:r>
              <w:rPr>
                <w:rFonts w:hint="eastAsia" w:ascii="宋体" w:hAnsi="宋体" w:eastAsia="宋体" w:cs="宋体"/>
                <w:b/>
                <w:bCs/>
                <w:spacing w:val="-3"/>
                <w:szCs w:val="21"/>
                <w:lang w:eastAsia="zh-CN"/>
              </w:rPr>
              <w:t>：</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jc w:val="left"/>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总价合计(列入投标货物数量及价目表 )</w:t>
            </w:r>
          </w:p>
        </w:tc>
        <w:tc>
          <w:tcPr>
            <w:tcW w:w="6482" w:type="dxa"/>
            <w:gridSpan w:val="2"/>
          </w:tcPr>
          <w:p>
            <w:pPr>
              <w:spacing w:before="266" w:line="221" w:lineRule="auto"/>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w:t>
            </w:r>
            <w:r>
              <w:rPr>
                <w:rFonts w:hint="eastAsia" w:ascii="宋体" w:hAnsi="宋体" w:eastAsia="宋体" w:cs="宋体"/>
                <w:b/>
                <w:bCs/>
                <w:color w:val="FF0000"/>
                <w:szCs w:val="21"/>
              </w:rPr>
              <w:t>含税</w:t>
            </w:r>
            <w:r>
              <w:rPr>
                <w:rFonts w:hint="eastAsia" w:ascii="宋体" w:hAnsi="宋体" w:eastAsia="宋体" w:cs="宋体"/>
                <w:b/>
                <w:bCs/>
                <w:szCs w:val="21"/>
              </w:rPr>
              <w:t>）</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2"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减振器试验台设备采购项目</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减振器试验台设备采购项目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减振器试验台设备采购项目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cs="Times New Roman"/>
                <w:b/>
                <w:sz w:val="30"/>
                <w:szCs w:val="30"/>
                <w:u w:val="single"/>
                <w:lang w:val="en-US" w:eastAsia="zh-CN"/>
              </w:rPr>
              <w:t>1</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减振器试验台设备采购项目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等线" w:hAnsi="等线" w:cs="等线"/>
          <w:sz w:val="20"/>
          <w:szCs w:val="20"/>
        </w:rPr>
      </w:pPr>
    </w:p>
    <w:p>
      <w:pPr>
        <w:jc w:val="right"/>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r>
        <w:rPr>
          <w:rFonts w:ascii="等线" w:hAnsi="等线" w:cs="等线"/>
          <w:sz w:val="20"/>
          <w:szCs w:val="20"/>
        </w:rPr>
        <w:br w:type="page"/>
      </w:r>
    </w:p>
    <w:p>
      <w:pPr>
        <w:pStyle w:val="3"/>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pStyle w:val="3"/>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评审</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2</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核心产品</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对核心产品</w:t>
            </w:r>
            <w:r>
              <w:rPr>
                <w:rFonts w:hint="eastAsia" w:ascii="宋体" w:hAnsi="宋体" w:eastAsia="宋体" w:cs="宋体"/>
                <w:bCs/>
                <w:sz w:val="18"/>
                <w:szCs w:val="18"/>
                <w:highlight w:val="none"/>
              </w:rPr>
              <w:t>（</w:t>
            </w:r>
            <w:r>
              <w:rPr>
                <w:rFonts w:hint="eastAsia" w:ascii="宋体" w:hAnsi="宋体" w:eastAsia="宋体" w:cs="宋体"/>
                <w:bCs/>
                <w:sz w:val="18"/>
                <w:szCs w:val="18"/>
                <w:highlight w:val="none"/>
                <w:lang w:val="en-US" w:eastAsia="zh-CN"/>
              </w:rPr>
              <w:t>作动器性能</w:t>
            </w:r>
            <w:r>
              <w:rPr>
                <w:rFonts w:hint="eastAsia" w:ascii="宋体" w:hAnsi="宋体" w:eastAsia="宋体" w:cs="宋体"/>
                <w:bCs/>
                <w:sz w:val="18"/>
                <w:szCs w:val="18"/>
                <w:highlight w:val="none"/>
              </w:rPr>
              <w:t>）</w:t>
            </w:r>
            <w:r>
              <w:rPr>
                <w:rFonts w:hint="eastAsia" w:ascii="宋体" w:hAnsi="宋体" w:eastAsia="宋体" w:cs="宋体"/>
                <w:bCs/>
                <w:sz w:val="18"/>
                <w:szCs w:val="18"/>
              </w:rPr>
              <w:t>在项目中所起的作用和描述。</w:t>
            </w:r>
          </w:p>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lang w:val="en-US" w:eastAsia="zh-CN"/>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eastAsia="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eastAsia="宋体" w:cs="宋体"/>
                <w:bCs/>
                <w:sz w:val="18"/>
                <w:szCs w:val="18"/>
                <w:lang w:val="en-US" w:eastAsia="zh-CN"/>
              </w:rPr>
              <w:t>8</w:t>
            </w:r>
            <w:r>
              <w:rPr>
                <w:rFonts w:hint="eastAsia" w:ascii="宋体" w:hAnsi="宋体" w:eastAsia="宋体" w:cs="宋体"/>
                <w:bCs/>
                <w:sz w:val="18"/>
                <w:szCs w:val="18"/>
              </w:rPr>
              <w:t>分，一般得</w:t>
            </w:r>
            <w:r>
              <w:rPr>
                <w:rFonts w:hint="eastAsia" w:ascii="宋体" w:hAnsi="宋体" w:eastAsia="宋体" w:cs="宋体"/>
                <w:bCs/>
                <w:sz w:val="18"/>
                <w:szCs w:val="18"/>
                <w:lang w:val="en-US" w:eastAsia="zh-CN"/>
              </w:rPr>
              <w:t>6</w:t>
            </w:r>
            <w:r>
              <w:rPr>
                <w:rFonts w:hint="eastAsia" w:ascii="宋体" w:hAnsi="宋体" w:eastAsia="宋体" w:cs="宋体"/>
                <w:bCs/>
                <w:sz w:val="18"/>
                <w:szCs w:val="18"/>
              </w:rPr>
              <w:t>分</w:t>
            </w:r>
            <w:r>
              <w:rPr>
                <w:rFonts w:hint="eastAsia" w:ascii="宋体" w:hAnsi="宋体" w:eastAsia="宋体" w:cs="宋体"/>
                <w:bCs/>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3</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关键部件技术支持资料</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4</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5</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12</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技术培训方案</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7</w:t>
            </w:r>
          </w:p>
        </w:tc>
        <w:tc>
          <w:tcPr>
            <w:tcW w:w="631"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1"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lang w:eastAsia="zh-CN"/>
              </w:rPr>
              <w:t>投标方</w:t>
            </w:r>
            <w:r>
              <w:rPr>
                <w:rFonts w:hint="eastAsia" w:ascii="宋体" w:hAnsi="宋体" w:eastAsia="宋体" w:cs="宋体"/>
                <w:bCs/>
                <w:sz w:val="18"/>
                <w:szCs w:val="18"/>
              </w:rPr>
              <w:t>在中国有常驻的专业技术力量的维保机构并具有实施本项目维保的专业技术人员。</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8</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9"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0"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1"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2" cstate="print"/>
                    <a:srcRect/>
                    <a:stretch>
                      <a:fillRect/>
                    </a:stretch>
                  </pic:blipFill>
                  <pic:spPr>
                    <a:xfrm>
                      <a:off x="0" y="0"/>
                      <a:ext cx="5760085" cy="2853055"/>
                    </a:xfrm>
                    <a:prstGeom prst="rect">
                      <a:avLst/>
                    </a:prstGeom>
                  </pic:spPr>
                </pic:pic>
              </a:graphicData>
            </a:graphic>
          </wp:inline>
        </w:drawing>
      </w:r>
    </w:p>
    <w:p>
      <w:pPr>
        <w:numPr>
          <w:ilvl w:val="0"/>
          <w:numId w:val="3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pStyle w:val="17"/>
        <w:numPr>
          <w:ilvl w:val="0"/>
          <w:numId w:val="0"/>
        </w:numPr>
      </w:pPr>
    </w:p>
    <w:p>
      <w:pPr>
        <w:rPr>
          <w:rFonts w:ascii="宋体" w:hAnsi="宋体" w:eastAsia="宋体" w:cs="宋体"/>
          <w:color w:val="000000"/>
        </w:rPr>
      </w:pP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3" cstate="print"/>
                    <a:srcRect/>
                    <a:stretch>
                      <a:fillRect/>
                    </a:stretch>
                  </pic:blipFill>
                  <pic:spPr>
                    <a:xfrm>
                      <a:off x="0" y="0"/>
                      <a:ext cx="5760085" cy="2809875"/>
                    </a:xfrm>
                    <a:prstGeom prst="rect">
                      <a:avLst/>
                    </a:prstGeom>
                  </pic:spPr>
                </pic:pic>
              </a:graphicData>
            </a:graphic>
          </wp:inline>
        </w:drawing>
      </w:r>
    </w:p>
    <w:p>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4" cstate="print"/>
                    <a:srcRect/>
                    <a:stretch>
                      <a:fillRect/>
                    </a:stretch>
                  </pic:blipFill>
                  <pic:spPr>
                    <a:xfrm>
                      <a:off x="0" y="0"/>
                      <a:ext cx="5760085" cy="2820035"/>
                    </a:xfrm>
                    <a:prstGeom prst="rect">
                      <a:avLst/>
                    </a:prstGeom>
                  </pic:spPr>
                </pic:pic>
              </a:graphicData>
            </a:graphic>
          </wp:inline>
        </w:drawing>
      </w:r>
    </w:p>
    <w:p>
      <w:pPr>
        <w:pStyle w:val="17"/>
      </w:pPr>
    </w:p>
    <w:p>
      <w:pPr>
        <w:pStyle w:val="17"/>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5"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6"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7"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8"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9"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0" cstate="print"/>
                    <a:srcRect/>
                    <a:stretch>
                      <a:fillRect/>
                    </a:stretch>
                  </pic:blipFill>
                  <pic:spPr>
                    <a:xfrm>
                      <a:off x="0" y="0"/>
                      <a:ext cx="5760085" cy="1956435"/>
                    </a:xfrm>
                    <a:prstGeom prst="rect">
                      <a:avLst/>
                    </a:prstGeom>
                  </pic:spPr>
                </pic:pic>
              </a:graphicData>
            </a:graphic>
          </wp:inline>
        </w:drawing>
      </w:r>
    </w:p>
    <w:p>
      <w:pPr>
        <w:pStyle w:val="17"/>
        <w:rPr>
          <w:rFonts w:hAnsi="宋体" w:eastAsia="宋体" w:cs="Times New Roman"/>
          <w:b/>
          <w:color w:val="000000"/>
          <w:sz w:val="24"/>
          <w:szCs w:val="24"/>
        </w:rPr>
      </w:pPr>
    </w:p>
    <w:p>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宋体"/>
    <w:panose1 w:val="020B0304020002020204"/>
    <w:charset w:val="DE"/>
    <w:family w:val="swiss"/>
    <w:pitch w:val="default"/>
    <w:sig w:usb0="00000000" w:usb1="00000000" w:usb2="00000000" w:usb3="00000000" w:csb0="0001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PMingLiU">
    <w:altName w:val="Microsoft JhengHei UI"/>
    <w:panose1 w:val="02010601000001010101"/>
    <w:charset w:val="88"/>
    <w:family w:val="auto"/>
    <w:pitch w:val="default"/>
    <w:sig w:usb0="00000000" w:usb1="00000000" w:usb2="00000010" w:usb3="00000000" w:csb0="0010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mc7Oc8kBAACS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r>
      <w:rPr>
        <w:sz w:val="18"/>
      </w:rPr>
      <w:pict>
        <v:shape id="PowerPlusWaterMarkObject5930435" o:spid="_x0000_s4153" o:spt="136" type="#_x0000_t136" style="position:absolute;left:0pt;margin-left:472.35pt;margin-top:400.0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5911178" o:spid="_x0000_s4154" o:spt="136" type="#_x0000_t136" style="position:absolute;left:0pt;margin-left:359.95pt;margin-top:512.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5780777" o:spid="_x0000_s4155" o:spt="136" type="#_x0000_t136" style="position:absolute;left:0pt;margin-left:247.5pt;margin-top:624.9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5335243" o:spid="_x0000_s4156" o:spt="136" type="#_x0000_t136" style="position:absolute;left:0pt;margin-left:135.05pt;margin-top:737.3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5014823" o:spid="_x0000_s4157" o:spt="136" type="#_x0000_t136" style="position:absolute;left:0pt;margin-left:472.35pt;margin-top:40.7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4178105" o:spid="_x0000_s4158" o:spt="136" type="#_x0000_t136" style="position:absolute;left:0pt;margin-left:359.95pt;margin-top:153.1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3731473" o:spid="_x0000_s4159" o:spt="136" type="#_x0000_t136" style="position:absolute;left:0pt;margin-left:247.5pt;margin-top:265.6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2965345" o:spid="_x0000_s4160" o:spt="136" type="#_x0000_t136" style="position:absolute;left:0pt;margin-left:135.05pt;margin-top:378.0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2086700" o:spid="_x0000_s4161" o:spt="136" type="#_x0000_t136" style="position:absolute;left:0pt;margin-left:22.65pt;margin-top:490.4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1762340" o:spid="_x0000_s4162" o:spt="136" type="#_x0000_t136" style="position:absolute;left:0pt;margin-left:-89.8pt;margin-top:602.9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1225379" o:spid="_x0000_s4163" o:spt="136" type="#_x0000_t136" style="position:absolute;left:0pt;margin-left:247.5pt;margin-top:-93.75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952371" o:spid="_x0000_s4164" o:spt="136" type="#_x0000_t136" style="position:absolute;left:0pt;margin-left:135.05pt;margin-top:18.7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364503" o:spid="_x0000_s4165" o:spt="136" type="#_x0000_t136" style="position:absolute;left:0pt;margin-left:22.65pt;margin-top:131.1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r>
      <w:rPr>
        <w:sz w:val="18"/>
      </w:rPr>
      <w:pict>
        <v:shape id="PowerPlusWaterMarkObject161180" o:spid="_x0000_s4166" o:spt="136" type="#_x0000_t136" style="position:absolute;left:0pt;margin-left:-89.8pt;margin-top:243.5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孔明伟0695472024-07-13"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r>
      <w:rPr>
        <w:sz w:val="18"/>
      </w:rPr>
      <w:pict>
        <v:shape id="4151" o:spid="_x0000_s4139" o:spt="136" type="#_x0000_t136" style="position:absolute;left:0pt;margin-left:472.35pt;margin-top:37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2" o:spid="_x0000_s4140" o:spt="136" type="#_x0000_t136" style="position:absolute;left:0pt;margin-left:359.95pt;margin-top:488.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3" o:spid="_x0000_s4141" o:spt="136" type="#_x0000_t136" style="position:absolute;left:0pt;margin-left:247.5pt;margin-top:600.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4" o:spid="_x0000_s4142" o:spt="136" type="#_x0000_t136" style="position:absolute;left:0pt;margin-left:135.05pt;margin-top:713.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5" o:spid="_x0000_s4143" o:spt="136" type="#_x0000_t136" style="position:absolute;left:0pt;margin-left:472.35pt;margin-top:16.7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6" o:spid="_x0000_s4144" o:spt="136" type="#_x0000_t136" style="position:absolute;left:0pt;margin-left:359.95pt;margin-top:129.1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7" o:spid="_x0000_s4145" o:spt="136" type="#_x0000_t136" style="position:absolute;left:0pt;margin-left:247.5pt;margin-top:241.5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8" o:spid="_x0000_s4146" o:spt="136" type="#_x0000_t136" style="position:absolute;left:0pt;margin-left:135.05pt;margin-top:35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9" o:spid="_x0000_s4147" o:spt="136" type="#_x0000_t136" style="position:absolute;left:0pt;margin-left:22.65pt;margin-top:466.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0" o:spid="_x0000_s4148" o:spt="136" type="#_x0000_t136" style="position:absolute;left:0pt;margin-left:-89.8pt;margin-top:578.8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1" o:spid="_x0000_s4149"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2" o:spid="_x0000_s4150" o:spt="136" type="#_x0000_t136" style="position:absolute;left:0pt;margin-left:135.05pt;margin-top:-5.3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3" o:spid="_x0000_s4151" o:spt="136" type="#_x0000_t136" style="position:absolute;left:0pt;margin-left:22.65pt;margin-top:107.0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4" o:spid="_x0000_s4152" o:spt="136" type="#_x0000_t136" style="position:absolute;left:0pt;margin-left:-89.8pt;margin-top:219.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E625FE"/>
    <w:multiLevelType w:val="singleLevel"/>
    <w:tmpl w:val="ABE625FE"/>
    <w:lvl w:ilvl="0" w:tentative="0">
      <w:start w:val="1"/>
      <w:numFmt w:val="decimal"/>
      <w:lvlText w:val="%1."/>
      <w:lvlJc w:val="left"/>
      <w:pPr>
        <w:tabs>
          <w:tab w:val="left" w:pos="312"/>
        </w:tabs>
      </w:pPr>
      <w:rPr>
        <w:rFonts w:hint="default"/>
      </w:rPr>
    </w:lvl>
  </w:abstractNum>
  <w:abstractNum w:abstractNumId="1">
    <w:nsid w:val="D90437D2"/>
    <w:multiLevelType w:val="singleLevel"/>
    <w:tmpl w:val="D90437D2"/>
    <w:lvl w:ilvl="0" w:tentative="0">
      <w:start w:val="1"/>
      <w:numFmt w:val="decimal"/>
      <w:lvlText w:val="%1."/>
      <w:lvlJc w:val="left"/>
      <w:pPr>
        <w:tabs>
          <w:tab w:val="left" w:pos="312"/>
        </w:tabs>
      </w:pPr>
      <w:rPr>
        <w:rFonts w:hint="default"/>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F2428B7F"/>
    <w:multiLevelType w:val="singleLevel"/>
    <w:tmpl w:val="F2428B7F"/>
    <w:lvl w:ilvl="0" w:tentative="0">
      <w:start w:val="1"/>
      <w:numFmt w:val="decimal"/>
      <w:lvlText w:val="%1."/>
      <w:lvlJc w:val="left"/>
      <w:pPr>
        <w:tabs>
          <w:tab w:val="left" w:pos="312"/>
        </w:tabs>
      </w:pPr>
      <w:rPr>
        <w:rFonts w:hint="default"/>
      </w:rPr>
    </w:lvl>
  </w:abstractNum>
  <w:abstractNum w:abstractNumId="4">
    <w:nsid w:val="F5E49B3B"/>
    <w:multiLevelType w:val="singleLevel"/>
    <w:tmpl w:val="F5E49B3B"/>
    <w:lvl w:ilvl="0" w:tentative="0">
      <w:start w:val="1"/>
      <w:numFmt w:val="decimal"/>
      <w:lvlText w:val="%1."/>
      <w:lvlJc w:val="left"/>
      <w:pPr>
        <w:tabs>
          <w:tab w:val="left" w:pos="312"/>
        </w:tabs>
      </w:pPr>
      <w:rPr>
        <w:rFonts w:hint="default"/>
      </w:rPr>
    </w:lvl>
  </w:abstractNum>
  <w:abstractNum w:abstractNumId="5">
    <w:nsid w:val="F79D9AFB"/>
    <w:multiLevelType w:val="singleLevel"/>
    <w:tmpl w:val="F79D9AFB"/>
    <w:lvl w:ilvl="0" w:tentative="0">
      <w:start w:val="1"/>
      <w:numFmt w:val="decimal"/>
      <w:lvlText w:val="%1."/>
      <w:lvlJc w:val="left"/>
      <w:pPr>
        <w:tabs>
          <w:tab w:val="left" w:pos="312"/>
        </w:tabs>
      </w:pPr>
    </w:lvl>
  </w:abstractNum>
  <w:abstractNum w:abstractNumId="6">
    <w:nsid w:val="FE68AB81"/>
    <w:multiLevelType w:val="singleLevel"/>
    <w:tmpl w:val="FE68AB81"/>
    <w:lvl w:ilvl="0" w:tentative="0">
      <w:start w:val="1"/>
      <w:numFmt w:val="decimal"/>
      <w:lvlText w:val="%1."/>
      <w:lvlJc w:val="left"/>
      <w:pPr>
        <w:tabs>
          <w:tab w:val="left" w:pos="312"/>
        </w:tabs>
      </w:pPr>
      <w:rPr>
        <w:rFonts w:hint="default"/>
      </w:rPr>
    </w:lvl>
  </w:abstractNum>
  <w:abstractNum w:abstractNumId="7">
    <w:nsid w:val="00000001"/>
    <w:multiLevelType w:val="singleLevel"/>
    <w:tmpl w:val="00000001"/>
    <w:lvl w:ilvl="0" w:tentative="0">
      <w:start w:val="2"/>
      <w:numFmt w:val="chineseCounting"/>
      <w:suff w:val="nothing"/>
      <w:lvlText w:val="%1、"/>
      <w:lvlJc w:val="left"/>
      <w:rPr>
        <w:rFonts w:hint="eastAsia"/>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10">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11">
    <w:nsid w:val="0000000B"/>
    <w:multiLevelType w:val="singleLevel"/>
    <w:tmpl w:val="0000000B"/>
    <w:lvl w:ilvl="0" w:tentative="0">
      <w:start w:val="1"/>
      <w:numFmt w:val="bullet"/>
      <w:lvlText w:val=""/>
      <w:lvlJc w:val="left"/>
      <w:pPr>
        <w:ind w:left="420" w:hanging="420"/>
      </w:pPr>
      <w:rPr>
        <w:rFonts w:hint="default" w:ascii="Wingdings" w:hAnsi="Wingdings"/>
      </w:rPr>
    </w:lvl>
  </w:abstractNum>
  <w:abstractNum w:abstractNumId="12">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3">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14">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16">
    <w:nsid w:val="00000017"/>
    <w:multiLevelType w:val="singleLevel"/>
    <w:tmpl w:val="00000017"/>
    <w:lvl w:ilvl="0" w:tentative="0">
      <w:start w:val="1"/>
      <w:numFmt w:val="chineseCounting"/>
      <w:suff w:val="space"/>
      <w:lvlText w:val="第%1部分"/>
      <w:lvlJc w:val="left"/>
      <w:rPr>
        <w:rFonts w:hint="eastAsia"/>
      </w:rPr>
    </w:lvl>
  </w:abstractNum>
  <w:abstractNum w:abstractNumId="17">
    <w:nsid w:val="008AF1A3"/>
    <w:multiLevelType w:val="singleLevel"/>
    <w:tmpl w:val="008AF1A3"/>
    <w:lvl w:ilvl="0" w:tentative="0">
      <w:start w:val="1"/>
      <w:numFmt w:val="decimal"/>
      <w:lvlText w:val="%1."/>
      <w:lvlJc w:val="left"/>
      <w:pPr>
        <w:tabs>
          <w:tab w:val="left" w:pos="312"/>
        </w:tabs>
      </w:pPr>
      <w:rPr>
        <w:rFonts w:hint="default"/>
      </w:rPr>
    </w:lvl>
  </w:abstractNum>
  <w:abstractNum w:abstractNumId="18">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20">
    <w:nsid w:val="15EE7DF4"/>
    <w:multiLevelType w:val="multilevel"/>
    <w:tmpl w:val="15EE7DF4"/>
    <w:lvl w:ilvl="0" w:tentative="0">
      <w:start w:val="1"/>
      <w:numFmt w:val="bullet"/>
      <w:lvlText w:val=""/>
      <w:lvlJc w:val="left"/>
      <w:pPr>
        <w:ind w:left="441" w:hanging="420"/>
      </w:pPr>
      <w:rPr>
        <w:rFonts w:hint="default" w:ascii="Wingdings" w:hAnsi="Wingdings"/>
        <w:sz w:val="15"/>
      </w:rPr>
    </w:lvl>
    <w:lvl w:ilvl="1" w:tentative="0">
      <w:start w:val="1"/>
      <w:numFmt w:val="bullet"/>
      <w:lvlText w:val=""/>
      <w:lvlJc w:val="left"/>
      <w:pPr>
        <w:ind w:left="861" w:hanging="420"/>
      </w:pPr>
      <w:rPr>
        <w:rFonts w:hint="default" w:ascii="Wingdings" w:hAnsi="Wingdings"/>
      </w:rPr>
    </w:lvl>
    <w:lvl w:ilvl="2" w:tentative="0">
      <w:start w:val="1"/>
      <w:numFmt w:val="bullet"/>
      <w:lvlText w:val=""/>
      <w:lvlJc w:val="left"/>
      <w:pPr>
        <w:ind w:left="1281" w:hanging="420"/>
      </w:pPr>
      <w:rPr>
        <w:rFonts w:hint="default" w:ascii="Wingdings" w:hAnsi="Wingdings"/>
      </w:rPr>
    </w:lvl>
    <w:lvl w:ilvl="3" w:tentative="0">
      <w:start w:val="1"/>
      <w:numFmt w:val="bullet"/>
      <w:lvlText w:val=""/>
      <w:lvlJc w:val="left"/>
      <w:pPr>
        <w:ind w:left="1701" w:hanging="420"/>
      </w:pPr>
      <w:rPr>
        <w:rFonts w:hint="default" w:ascii="Wingdings" w:hAnsi="Wingdings"/>
      </w:rPr>
    </w:lvl>
    <w:lvl w:ilvl="4" w:tentative="0">
      <w:start w:val="1"/>
      <w:numFmt w:val="bullet"/>
      <w:lvlText w:val=""/>
      <w:lvlJc w:val="left"/>
      <w:pPr>
        <w:ind w:left="2121" w:hanging="420"/>
      </w:pPr>
      <w:rPr>
        <w:rFonts w:hint="default" w:ascii="Wingdings" w:hAnsi="Wingdings"/>
      </w:rPr>
    </w:lvl>
    <w:lvl w:ilvl="5" w:tentative="0">
      <w:start w:val="1"/>
      <w:numFmt w:val="bullet"/>
      <w:lvlText w:val=""/>
      <w:lvlJc w:val="left"/>
      <w:pPr>
        <w:ind w:left="2541" w:hanging="420"/>
      </w:pPr>
      <w:rPr>
        <w:rFonts w:hint="default" w:ascii="Wingdings" w:hAnsi="Wingdings"/>
      </w:rPr>
    </w:lvl>
    <w:lvl w:ilvl="6" w:tentative="0">
      <w:start w:val="1"/>
      <w:numFmt w:val="bullet"/>
      <w:lvlText w:val=""/>
      <w:lvlJc w:val="left"/>
      <w:pPr>
        <w:ind w:left="2961" w:hanging="420"/>
      </w:pPr>
      <w:rPr>
        <w:rFonts w:hint="default" w:ascii="Wingdings" w:hAnsi="Wingdings"/>
      </w:rPr>
    </w:lvl>
    <w:lvl w:ilvl="7" w:tentative="0">
      <w:start w:val="1"/>
      <w:numFmt w:val="bullet"/>
      <w:lvlText w:val=""/>
      <w:lvlJc w:val="left"/>
      <w:pPr>
        <w:ind w:left="3381" w:hanging="420"/>
      </w:pPr>
      <w:rPr>
        <w:rFonts w:hint="default" w:ascii="Wingdings" w:hAnsi="Wingdings"/>
      </w:rPr>
    </w:lvl>
    <w:lvl w:ilvl="8" w:tentative="0">
      <w:start w:val="1"/>
      <w:numFmt w:val="bullet"/>
      <w:lvlText w:val=""/>
      <w:lvlJc w:val="left"/>
      <w:pPr>
        <w:ind w:left="3801" w:hanging="420"/>
      </w:pPr>
      <w:rPr>
        <w:rFonts w:hint="default" w:ascii="Wingdings" w:hAnsi="Wingdings"/>
      </w:rPr>
    </w:lvl>
  </w:abstractNum>
  <w:abstractNum w:abstractNumId="21">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22">
    <w:nsid w:val="21E75524"/>
    <w:multiLevelType w:val="multilevel"/>
    <w:tmpl w:val="21E75524"/>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23">
    <w:nsid w:val="2270E9F1"/>
    <w:multiLevelType w:val="singleLevel"/>
    <w:tmpl w:val="2270E9F1"/>
    <w:lvl w:ilvl="0" w:tentative="0">
      <w:start w:val="1"/>
      <w:numFmt w:val="decimal"/>
      <w:lvlText w:val="%1."/>
      <w:lvlJc w:val="left"/>
      <w:pPr>
        <w:tabs>
          <w:tab w:val="left" w:pos="312"/>
        </w:tabs>
      </w:pPr>
    </w:lvl>
  </w:abstractNum>
  <w:abstractNum w:abstractNumId="24">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1021FFC"/>
    <w:multiLevelType w:val="singleLevel"/>
    <w:tmpl w:val="41021FFC"/>
    <w:lvl w:ilvl="0" w:tentative="0">
      <w:start w:val="1"/>
      <w:numFmt w:val="decimal"/>
      <w:lvlText w:val="%1."/>
      <w:lvlJc w:val="left"/>
      <w:pPr>
        <w:tabs>
          <w:tab w:val="left" w:pos="312"/>
        </w:tabs>
      </w:pPr>
    </w:lvl>
  </w:abstractNum>
  <w:abstractNum w:abstractNumId="26">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7">
    <w:nsid w:val="4EF9949A"/>
    <w:multiLevelType w:val="singleLevel"/>
    <w:tmpl w:val="4EF9949A"/>
    <w:lvl w:ilvl="0" w:tentative="0">
      <w:start w:val="1"/>
      <w:numFmt w:val="upperRoman"/>
      <w:suff w:val="space"/>
      <w:lvlText w:val="(%1)"/>
      <w:lvlJc w:val="left"/>
    </w:lvl>
  </w:abstractNum>
  <w:abstractNum w:abstractNumId="28">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5E8E26B4"/>
    <w:multiLevelType w:val="multilevel"/>
    <w:tmpl w:val="5E8E26B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7427C67C"/>
    <w:multiLevelType w:val="singleLevel"/>
    <w:tmpl w:val="7427C67C"/>
    <w:lvl w:ilvl="0" w:tentative="0">
      <w:start w:val="1"/>
      <w:numFmt w:val="decimal"/>
      <w:lvlText w:val="%1."/>
      <w:lvlJc w:val="left"/>
      <w:pPr>
        <w:tabs>
          <w:tab w:val="left" w:pos="312"/>
        </w:tabs>
      </w:pPr>
    </w:lvl>
  </w:abstractNum>
  <w:abstractNum w:abstractNumId="32">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79CB41C9"/>
    <w:multiLevelType w:val="multilevel"/>
    <w:tmpl w:val="79CB41C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4">
    <w:nsid w:val="7D765C0C"/>
    <w:multiLevelType w:val="multilevel"/>
    <w:tmpl w:val="7D765C0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16"/>
  </w:num>
  <w:num w:numId="3">
    <w:abstractNumId w:val="7"/>
  </w:num>
  <w:num w:numId="4">
    <w:abstractNumId w:val="12"/>
  </w:num>
  <w:num w:numId="5">
    <w:abstractNumId w:val="10"/>
  </w:num>
  <w:num w:numId="6">
    <w:abstractNumId w:val="15"/>
  </w:num>
  <w:num w:numId="7">
    <w:abstractNumId w:val="9"/>
  </w:num>
  <w:num w:numId="8">
    <w:abstractNumId w:val="13"/>
  </w:num>
  <w:num w:numId="9">
    <w:abstractNumId w:val="11"/>
  </w:num>
  <w:num w:numId="10">
    <w:abstractNumId w:val="23"/>
  </w:num>
  <w:num w:numId="11">
    <w:abstractNumId w:val="3"/>
  </w:num>
  <w:num w:numId="12">
    <w:abstractNumId w:val="17"/>
  </w:num>
  <w:num w:numId="13">
    <w:abstractNumId w:val="0"/>
  </w:num>
  <w:num w:numId="14">
    <w:abstractNumId w:val="6"/>
  </w:num>
  <w:num w:numId="15">
    <w:abstractNumId w:val="33"/>
  </w:num>
  <w:num w:numId="16">
    <w:abstractNumId w:val="22"/>
  </w:num>
  <w:num w:numId="17">
    <w:abstractNumId w:val="34"/>
  </w:num>
  <w:num w:numId="18">
    <w:abstractNumId w:val="1"/>
  </w:num>
  <w:num w:numId="19">
    <w:abstractNumId w:val="4"/>
  </w:num>
  <w:num w:numId="20">
    <w:abstractNumId w:val="5"/>
  </w:num>
  <w:num w:numId="21">
    <w:abstractNumId w:val="20"/>
  </w:num>
  <w:num w:numId="22">
    <w:abstractNumId w:val="25"/>
  </w:num>
  <w:num w:numId="23">
    <w:abstractNumId w:val="29"/>
  </w:num>
  <w:num w:numId="24">
    <w:abstractNumId w:val="31"/>
  </w:num>
  <w:num w:numId="25">
    <w:abstractNumId w:val="21"/>
  </w:num>
  <w:num w:numId="26">
    <w:abstractNumId w:val="32"/>
  </w:num>
  <w:num w:numId="27">
    <w:abstractNumId w:val="19"/>
  </w:num>
  <w:num w:numId="28">
    <w:abstractNumId w:val="28"/>
  </w:num>
  <w:num w:numId="29">
    <w:abstractNumId w:val="18"/>
  </w:num>
  <w:num w:numId="30">
    <w:abstractNumId w:val="27"/>
  </w:num>
  <w:num w:numId="31">
    <w:abstractNumId w:val="30"/>
  </w:num>
  <w:num w:numId="32">
    <w:abstractNumId w:val="26"/>
  </w:num>
  <w:num w:numId="33">
    <w:abstractNumId w:val="2"/>
  </w:num>
  <w:num w:numId="34">
    <w:abstractNumId w:val="24"/>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B493459"/>
    <w:rsid w:val="127325FF"/>
    <w:rsid w:val="2A943338"/>
    <w:rsid w:val="35E77844"/>
    <w:rsid w:val="3BB2242D"/>
    <w:rsid w:val="4ECF532A"/>
    <w:rsid w:val="558310F7"/>
    <w:rsid w:val="59811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qFormat/>
    <w:uiPriority w:val="1"/>
  </w:style>
  <w:style w:type="table" w:default="1" w:styleId="37">
    <w:name w:val="Normal Table"/>
    <w:autoRedefine/>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sz w:val="20"/>
      <w:szCs w:val="20"/>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qFormat/>
    <w:uiPriority w:val="0"/>
    <w:pPr>
      <w:ind w:left="2520" w:hanging="280"/>
    </w:pPr>
    <w:rPr>
      <w:rFonts w:eastAsia="仿宋"/>
      <w:sz w:val="28"/>
    </w:rPr>
  </w:style>
  <w:style w:type="paragraph" w:styleId="30">
    <w:name w:val="toc 2"/>
    <w:basedOn w:val="1"/>
    <w:next w:val="1"/>
    <w:autoRedefine/>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uiPriority w:val="99"/>
  </w:style>
  <w:style w:type="character" w:customStyle="1" w:styleId="53">
    <w:name w:val="批注主题 字符"/>
    <w:link w:val="35"/>
    <w:autoRedefine/>
    <w:qFormat/>
    <w:uiPriority w:val="0"/>
    <w:rPr>
      <w:b/>
    </w:rPr>
  </w:style>
  <w:style w:type="character" w:customStyle="1" w:styleId="54">
    <w:name w:val="正文文本缩进 3 字符"/>
    <w:link w:val="28"/>
    <w:autoRedefine/>
    <w:qFormat/>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uiPriority w:val="99"/>
    <w:rPr>
      <w:sz w:val="18"/>
    </w:rPr>
  </w:style>
  <w:style w:type="character" w:customStyle="1" w:styleId="61">
    <w:name w:val="BODY TEXT Char"/>
    <w:link w:val="62"/>
    <w:autoRedefine/>
    <w:qFormat/>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uiPriority w:val="0"/>
  </w:style>
  <w:style w:type="character" w:customStyle="1" w:styleId="64">
    <w:name w:val="标题 字符"/>
    <w:link w:val="34"/>
    <w:autoRedefine/>
    <w:qFormat/>
    <w:uiPriority w:val="0"/>
    <w:rPr>
      <w:rFonts w:ascii="Arial" w:hAnsi="Arial"/>
      <w:b/>
      <w:sz w:val="32"/>
    </w:rPr>
  </w:style>
  <w:style w:type="character" w:customStyle="1" w:styleId="65">
    <w:name w:val="日期 字符"/>
    <w:link w:val="19"/>
    <w:autoRedefine/>
    <w:qFormat/>
    <w:uiPriority w:val="99"/>
    <w:rPr>
      <w:sz w:val="24"/>
    </w:rPr>
  </w:style>
  <w:style w:type="character" w:customStyle="1" w:styleId="66">
    <w:name w:val="ATXT_Bullets Zchn"/>
    <w:link w:val="67"/>
    <w:autoRedefine/>
    <w:qFormat/>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uiPriority w:val="0"/>
    <w:rPr>
      <w:rFonts w:ascii="宋体" w:hAnsi="Courier New"/>
    </w:rPr>
  </w:style>
  <w:style w:type="character" w:customStyle="1" w:styleId="75">
    <w:name w:val="页脚 字符"/>
    <w:link w:val="22"/>
    <w:autoRedefine/>
    <w:qFormat/>
    <w:uiPriority w:val="99"/>
    <w:rPr>
      <w:sz w:val="18"/>
    </w:rPr>
  </w:style>
  <w:style w:type="character" w:customStyle="1" w:styleId="76">
    <w:name w:val="Default Char"/>
    <w:link w:val="77"/>
    <w:autoRedefine/>
    <w:qFormat/>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autoRedefine/>
    <w:qFormat/>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qFormat/>
    <w:uiPriority w:val="99"/>
    <w:rPr>
      <w:rFonts w:ascii="Microsoft YaHei UI" w:eastAsia="Microsoft YaHei UI"/>
      <w:sz w:val="18"/>
      <w:szCs w:val="18"/>
    </w:rPr>
  </w:style>
  <w:style w:type="character" w:customStyle="1" w:styleId="83">
    <w:name w:val="文档结构图 字符11"/>
    <w:basedOn w:val="40"/>
    <w:autoRedefine/>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ascii="等线" w:hAnsi="Courier New" w:cs="Courier New"/>
    </w:rPr>
  </w:style>
  <w:style w:type="character" w:customStyle="1" w:styleId="86">
    <w:name w:val="纯文本 字符11"/>
    <w:basedOn w:val="40"/>
    <w:autoRedefine/>
    <w:qFormat/>
    <w:uiPriority w:val="0"/>
    <w:rPr>
      <w:rFonts w:ascii="等线" w:hAnsi="Courier New" w:eastAsia="等线" w:cs="Courier New"/>
      <w:kern w:val="2"/>
      <w:sz w:val="21"/>
    </w:rPr>
  </w:style>
  <w:style w:type="character" w:customStyle="1" w:styleId="87">
    <w:name w:val="页眉 字符1"/>
    <w:basedOn w:val="40"/>
    <w:autoRedefine/>
    <w:qFormat/>
    <w:uiPriority w:val="99"/>
    <w:rPr>
      <w:sz w:val="18"/>
      <w:szCs w:val="18"/>
    </w:rPr>
  </w:style>
  <w:style w:type="character" w:customStyle="1" w:styleId="88">
    <w:name w:val="页眉 字符11"/>
    <w:basedOn w:val="40"/>
    <w:autoRedefine/>
    <w:qFormat/>
    <w:uiPriority w:val="99"/>
    <w:rPr>
      <w:rFonts w:cs="Times New Roman"/>
      <w:kern w:val="2"/>
      <w:sz w:val="18"/>
      <w:szCs w:val="18"/>
    </w:rPr>
  </w:style>
  <w:style w:type="character" w:customStyle="1" w:styleId="89">
    <w:name w:val="批注框文本 字符1"/>
    <w:basedOn w:val="40"/>
    <w:autoRedefine/>
    <w:qFormat/>
    <w:uiPriority w:val="99"/>
    <w:rPr>
      <w:sz w:val="18"/>
      <w:szCs w:val="18"/>
    </w:rPr>
  </w:style>
  <w:style w:type="character" w:customStyle="1" w:styleId="90">
    <w:name w:val="批注框文本 字符11"/>
    <w:basedOn w:val="40"/>
    <w:autoRedefine/>
    <w:qFormat/>
    <w:uiPriority w:val="99"/>
    <w:rPr>
      <w:rFonts w:cs="Times New Roman"/>
      <w:kern w:val="2"/>
      <w:sz w:val="18"/>
      <w:szCs w:val="18"/>
    </w:rPr>
  </w:style>
  <w:style w:type="character" w:customStyle="1" w:styleId="91">
    <w:name w:val="日期 字符1"/>
    <w:basedOn w:val="40"/>
    <w:autoRedefine/>
    <w:qFormat/>
    <w:uiPriority w:val="99"/>
  </w:style>
  <w:style w:type="character" w:customStyle="1" w:styleId="92">
    <w:name w:val="日期 字符11"/>
    <w:basedOn w:val="40"/>
    <w:autoRedefine/>
    <w:qFormat/>
    <w:uiPriority w:val="99"/>
    <w:rPr>
      <w:rFonts w:cs="Times New Roman"/>
      <w:kern w:val="2"/>
      <w:sz w:val="21"/>
    </w:rPr>
  </w:style>
  <w:style w:type="character" w:customStyle="1" w:styleId="93">
    <w:name w:val="页脚 字符1"/>
    <w:basedOn w:val="40"/>
    <w:autoRedefine/>
    <w:qFormat/>
    <w:uiPriority w:val="99"/>
    <w:rPr>
      <w:sz w:val="18"/>
      <w:szCs w:val="18"/>
    </w:rPr>
  </w:style>
  <w:style w:type="character" w:customStyle="1" w:styleId="94">
    <w:name w:val="页脚 字符11"/>
    <w:basedOn w:val="40"/>
    <w:autoRedefine/>
    <w:qFormat/>
    <w:uiPriority w:val="99"/>
    <w:rPr>
      <w:rFonts w:cs="Times New Roman"/>
      <w:kern w:val="2"/>
      <w:sz w:val="18"/>
      <w:szCs w:val="18"/>
    </w:rPr>
  </w:style>
  <w:style w:type="character" w:customStyle="1" w:styleId="95">
    <w:name w:val="正文文本缩进 2 字符1"/>
    <w:basedOn w:val="40"/>
    <w:autoRedefine/>
    <w:qFormat/>
    <w:uiPriority w:val="99"/>
  </w:style>
  <w:style w:type="character" w:customStyle="1" w:styleId="96">
    <w:name w:val="正文文本缩进 2 字符11"/>
    <w:basedOn w:val="40"/>
    <w:autoRedefine/>
    <w:qFormat/>
    <w:uiPriority w:val="99"/>
    <w:rPr>
      <w:rFonts w:cs="Times New Roman"/>
      <w:kern w:val="2"/>
      <w:sz w:val="21"/>
    </w:rPr>
  </w:style>
  <w:style w:type="character" w:customStyle="1" w:styleId="97">
    <w:name w:val="正文文本缩进 3 字符1"/>
    <w:basedOn w:val="40"/>
    <w:autoRedefine/>
    <w:qFormat/>
    <w:uiPriority w:val="99"/>
    <w:rPr>
      <w:sz w:val="16"/>
      <w:szCs w:val="16"/>
    </w:rPr>
  </w:style>
  <w:style w:type="character" w:customStyle="1" w:styleId="98">
    <w:name w:val="正文文本缩进 3 字符11"/>
    <w:basedOn w:val="40"/>
    <w:autoRedefine/>
    <w:qFormat/>
    <w:uiPriority w:val="99"/>
    <w:rPr>
      <w:rFonts w:cs="Times New Roman"/>
      <w:kern w:val="2"/>
      <w:sz w:val="16"/>
      <w:szCs w:val="16"/>
    </w:rPr>
  </w:style>
  <w:style w:type="character" w:customStyle="1" w:styleId="99">
    <w:name w:val="批注主题 字符1"/>
    <w:basedOn w:val="79"/>
    <w:autoRedefine/>
    <w:qFormat/>
    <w:uiPriority w:val="99"/>
    <w:rPr>
      <w:b/>
      <w:bCs/>
    </w:rPr>
  </w:style>
  <w:style w:type="character" w:customStyle="1" w:styleId="100">
    <w:name w:val="批注主题 字符11"/>
    <w:basedOn w:val="80"/>
    <w:autoRedefine/>
    <w:qFormat/>
    <w:uiPriority w:val="99"/>
    <w:rPr>
      <w:rFonts w:cs="Times New Roman"/>
      <w:b/>
      <w:bCs/>
      <w:kern w:val="2"/>
      <w:sz w:val="21"/>
    </w:rPr>
  </w:style>
  <w:style w:type="character" w:customStyle="1" w:styleId="101">
    <w:name w:val="标题 字符1"/>
    <w:basedOn w:val="40"/>
    <w:autoRedefine/>
    <w:qFormat/>
    <w:uiPriority w:val="10"/>
    <w:rPr>
      <w:rFonts w:ascii="等线 Light" w:hAnsi="等线 Light" w:eastAsia="等线 Light" w:cs="宋体"/>
      <w:b/>
      <w:bCs/>
      <w:sz w:val="32"/>
      <w:szCs w:val="32"/>
    </w:rPr>
  </w:style>
  <w:style w:type="character" w:customStyle="1" w:styleId="102">
    <w:name w:val="标题 字符11"/>
    <w:basedOn w:val="40"/>
    <w:autoRedefine/>
    <w:qFormat/>
    <w:uiPriority w:val="10"/>
    <w:rPr>
      <w:rFonts w:ascii="等线 Light" w:hAnsi="等线 Light" w:eastAsia="等线 Light" w:cs="Times New Roman"/>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uiPriority w:val="0"/>
    <w:rPr>
      <w:rFonts w:ascii="宋体" w:hAnsi="宋体" w:eastAsia="黑体" w:cs="Times New Roman"/>
      <w:bCs/>
      <w:sz w:val="28"/>
      <w:szCs w:val="30"/>
    </w:rPr>
  </w:style>
  <w:style w:type="character" w:customStyle="1" w:styleId="120">
    <w:name w:val="标书表格 字符"/>
    <w:link w:val="118"/>
    <w:autoRedefine/>
    <w:qFormat/>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uiPriority w:val="0"/>
    <w:rPr>
      <w:b/>
      <w:color w:val="000000"/>
      <w:sz w:val="24"/>
    </w:rPr>
  </w:style>
  <w:style w:type="paragraph" w:customStyle="1" w:styleId="124">
    <w:name w:val="标三级标题"/>
    <w:basedOn w:val="121"/>
    <w:link w:val="123"/>
    <w:autoRedefine/>
    <w:qFormat/>
    <w:uiPriority w:val="0"/>
    <w:rPr>
      <w:rFonts w:ascii="等线" w:hAnsi="等线" w:eastAsia="等线" w:cs="宋体"/>
      <w:bCs w:val="0"/>
      <w:szCs w:val="22"/>
    </w:rPr>
  </w:style>
  <w:style w:type="character" w:customStyle="1" w:styleId="125">
    <w:name w:val="标正文 字符"/>
    <w:link w:val="126"/>
    <w:autoRedefine/>
    <w:qFormat/>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hAnsi="等线" w:eastAsia="宋体"/>
      <w:szCs w:val="22"/>
    </w:rPr>
  </w:style>
  <w:style w:type="paragraph" w:customStyle="1" w:styleId="127">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qFormat/>
    <w:uiPriority w:val="99"/>
    <w:rPr>
      <w:rFonts w:ascii="等线" w:hAnsi="等线" w:eastAsia="等线" w:cs="宋体"/>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ascii="等线" w:hAnsi="等线" w:eastAsia="黑体" w:cs="宋体"/>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_4596799c-76d9-419d-95a5-44a15370b7a4"/>
    <w:autoRedefine/>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2"/>
    <w:next w:val="1"/>
    <w:autoRedefine/>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72">
    <w:name w:val="标题 3 字符2"/>
    <w:autoRedefine/>
    <w:qFormat/>
    <w:uiPriority w:val="0"/>
    <w:rPr>
      <w:b/>
      <w:kern w:val="2"/>
      <w:sz w:val="24"/>
    </w:rPr>
  </w:style>
  <w:style w:type="table" w:customStyle="1" w:styleId="173">
    <w:name w:val="Rohde &amp; Schwarz - Standard Table"/>
    <w:basedOn w:val="37"/>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autoRedefine/>
    <w:qFormat/>
    <w:uiPriority w:val="0"/>
    <w:rPr>
      <w:rFonts w:hint="eastAsia" w:ascii="宋体" w:hAnsi="宋体" w:eastAsia="宋体"/>
      <w:color w:val="000000"/>
      <w:sz w:val="24"/>
      <w:szCs w:val="24"/>
    </w:rPr>
  </w:style>
  <w:style w:type="paragraph" w:styleId="175">
    <w:name w:val="No Spacing"/>
    <w:autoRedefine/>
    <w:qFormat/>
    <w:uiPriority w:val="1"/>
    <w:rPr>
      <w:rFonts w:ascii="等线" w:hAnsi="等线" w:eastAsia="等线" w:cs="Times New Roman"/>
      <w:sz w:val="21"/>
      <w:szCs w:val="21"/>
      <w:lang w:val="en-US" w:eastAsia="zh-CN" w:bidi="ar-SA"/>
    </w:rPr>
  </w:style>
  <w:style w:type="character" w:customStyle="1" w:styleId="176">
    <w:name w:val="Classification"/>
    <w:autoRedefine/>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header" Target="header7.xml"/><Relationship Id="rId34" Type="http://schemas.openxmlformats.org/officeDocument/2006/relationships/header" Target="header6.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115</Pages>
  <Words>73022</Words>
  <Characters>107039</Characters>
  <Paragraphs>7238</Paragraphs>
  <TotalTime>6</TotalTime>
  <ScaleCrop>false</ScaleCrop>
  <LinksUpToDate>false</LinksUpToDate>
  <CharactersWithSpaces>120224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孔明伟</cp:lastModifiedBy>
  <cp:lastPrinted>2023-04-10T06:57:00Z</cp:lastPrinted>
  <dcterms:modified xsi:type="dcterms:W3CDTF">2024-07-18T06:49:58Z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832da0512c8f4264b0d6f3555f5c4557_23</vt:lpwstr>
  </property>
</Properties>
</file>