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6A2800">
      <w:pPr>
        <w:pStyle w:val="3"/>
        <w:widowControl/>
        <w:jc w:val="center"/>
        <w:rPr>
          <w:rFonts w:hint="eastAsia" w:cs="宋体"/>
          <w:i w:val="0"/>
          <w:iCs/>
          <w:sz w:val="32"/>
          <w:szCs w:val="32"/>
          <w:highlight w:val="none"/>
          <w:lang w:val="en-US" w:eastAsia="zh-CN"/>
        </w:rPr>
      </w:pPr>
      <w:bookmarkStart w:id="0" w:name="_Toc12866"/>
      <w:r>
        <w:rPr>
          <w:rFonts w:hint="eastAsia" w:cs="宋体"/>
          <w:i w:val="0"/>
          <w:iCs/>
          <w:sz w:val="32"/>
          <w:szCs w:val="32"/>
          <w:highlight w:val="none"/>
          <w:lang w:val="en-US" w:eastAsia="zh-CN"/>
        </w:rPr>
        <w:t>中国重汽采购管理人员赋能培训项目</w:t>
      </w:r>
    </w:p>
    <w:p w14:paraId="30B9B168">
      <w:pPr>
        <w:pStyle w:val="3"/>
        <w:widowControl/>
        <w:jc w:val="center"/>
        <w:rPr>
          <w:i w:val="0"/>
          <w:iCs/>
          <w:sz w:val="32"/>
          <w:szCs w:val="32"/>
          <w:highlight w:val="none"/>
          <w:lang w:val="en-US"/>
        </w:rPr>
      </w:pPr>
      <w:r>
        <w:rPr>
          <w:rFonts w:hint="eastAsia" w:cs="宋体"/>
          <w:i w:val="0"/>
          <w:iCs/>
          <w:sz w:val="32"/>
          <w:szCs w:val="32"/>
          <w:highlight w:val="none"/>
          <w:lang w:val="en-US" w:eastAsia="zh-CN"/>
        </w:rPr>
        <w:t>招标公告</w:t>
      </w:r>
      <w:bookmarkEnd w:id="0"/>
    </w:p>
    <w:p w14:paraId="2538CB01">
      <w:pPr>
        <w:pStyle w:val="3"/>
        <w:widowControl/>
        <w:jc w:val="center"/>
        <w:rPr>
          <w:rFonts w:hint="eastAsia" w:ascii="Cambria" w:hAnsi="Cambria" w:eastAsia="宋体" w:cs="宋体"/>
          <w:b/>
          <w:bCs/>
          <w:i w:val="0"/>
          <w:iCs/>
          <w:sz w:val="22"/>
          <w:szCs w:val="22"/>
          <w:highlight w:val="none"/>
          <w:lang w:eastAsia="zh-CN"/>
        </w:rPr>
      </w:pPr>
      <w:bookmarkStart w:id="1" w:name="_Toc27465"/>
      <w:r>
        <w:rPr>
          <w:rFonts w:hint="eastAsia" w:ascii="Cambria" w:hAnsi="Cambria" w:eastAsia="宋体" w:cs="宋体"/>
          <w:b/>
          <w:bCs/>
          <w:i w:val="0"/>
          <w:iCs/>
          <w:sz w:val="22"/>
          <w:szCs w:val="22"/>
          <w:highlight w:val="none"/>
          <w:lang w:eastAsia="zh-CN"/>
        </w:rPr>
        <w:t>招标编号：</w:t>
      </w:r>
      <w:r>
        <w:rPr>
          <w:rFonts w:hint="eastAsia" w:eastAsia="宋体" w:cs="宋体"/>
          <w:b/>
          <w:bCs/>
          <w:i w:val="0"/>
          <w:iCs/>
          <w:sz w:val="22"/>
          <w:szCs w:val="22"/>
          <w:highlight w:val="none"/>
          <w:lang w:eastAsia="zh-CN"/>
        </w:rPr>
        <w:t>（</w:t>
      </w:r>
      <w:r>
        <w:rPr>
          <w:rFonts w:hint="eastAsia" w:ascii="Cambria" w:hAnsi="Cambria" w:eastAsia="宋体" w:cs="宋体"/>
          <w:b/>
          <w:bCs/>
          <w:i w:val="0"/>
          <w:iCs/>
          <w:sz w:val="22"/>
          <w:szCs w:val="22"/>
          <w:highlight w:val="none"/>
          <w:lang w:eastAsia="zh-CN"/>
        </w:rPr>
        <w:t>ZBGL2026100225</w:t>
      </w:r>
      <w:r>
        <w:rPr>
          <w:rFonts w:hint="eastAsia" w:eastAsia="宋体" w:cs="宋体"/>
          <w:b/>
          <w:bCs/>
          <w:i w:val="0"/>
          <w:iCs/>
          <w:sz w:val="22"/>
          <w:szCs w:val="22"/>
          <w:highlight w:val="none"/>
          <w:lang w:eastAsia="zh-CN"/>
        </w:rPr>
        <w:t>）</w:t>
      </w:r>
      <w:bookmarkEnd w:id="1"/>
    </w:p>
    <w:p w14:paraId="24774EDC">
      <w:pP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highlight w:val="none"/>
        </w:rPr>
      </w:pPr>
    </w:p>
    <w:p w14:paraId="38C4E671">
      <w:pP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highlight w:val="none"/>
        </w:rPr>
      </w:pPr>
    </w:p>
    <w:tbl>
      <w:tblPr>
        <w:tblStyle w:val="8"/>
        <w:tblW w:w="9287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99"/>
        <w:gridCol w:w="2444"/>
        <w:gridCol w:w="2200"/>
        <w:gridCol w:w="2444"/>
      </w:tblGrid>
      <w:tr w14:paraId="7CDB0DA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199" w:type="dxa"/>
            <w:shd w:val="clear" w:color="auto" w:fill="DEDEDE"/>
            <w:vAlign w:val="center"/>
          </w:tcPr>
          <w:p w14:paraId="52EADA8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rPr>
                <w:rFonts w:ascii="微软雅黑" w:hAnsi="微软雅黑" w:eastAsia="微软雅黑" w:cs="微软雅黑"/>
                <w:color w:val="333333"/>
                <w:sz w:val="24"/>
                <w:szCs w:val="2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有效起始日期 </w:t>
            </w:r>
          </w:p>
        </w:tc>
        <w:tc>
          <w:tcPr>
            <w:tcW w:w="244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4BA8EA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left"/>
              <w:rPr>
                <w:rFonts w:hint="default" w:ascii="微软雅黑" w:hAnsi="微软雅黑" w:eastAsia="微软雅黑" w:cs="微软雅黑"/>
                <w:color w:val="333333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highlight w:val="none"/>
                <w:lang w:val="en-US" w:eastAsia="zh-CN" w:bidi="ar"/>
              </w:rPr>
              <w:t>2026-10-30</w:t>
            </w:r>
          </w:p>
        </w:tc>
        <w:tc>
          <w:tcPr>
            <w:tcW w:w="2200" w:type="dxa"/>
            <w:shd w:val="clear" w:color="auto" w:fill="DEDEDE"/>
            <w:vAlign w:val="center"/>
          </w:tcPr>
          <w:p w14:paraId="79C8B3E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24"/>
                <w:szCs w:val="2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有效截止日期 </w:t>
            </w:r>
          </w:p>
        </w:tc>
        <w:tc>
          <w:tcPr>
            <w:tcW w:w="244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B5E758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left"/>
              <w:rPr>
                <w:rFonts w:hint="default" w:ascii="微软雅黑" w:hAnsi="微软雅黑" w:eastAsia="微软雅黑" w:cs="微软雅黑"/>
                <w:color w:val="333333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highlight w:val="none"/>
                <w:lang w:val="en-US" w:eastAsia="zh-CN" w:bidi="ar"/>
              </w:rPr>
              <w:t>2026-11-4</w:t>
            </w:r>
          </w:p>
        </w:tc>
      </w:tr>
    </w:tbl>
    <w:p w14:paraId="40D0D37B">
      <w:pP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highlight w:val="none"/>
        </w:rPr>
      </w:pPr>
    </w:p>
    <w:p w14:paraId="3B47EF56">
      <w:pP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highlight w:val="none"/>
        </w:rPr>
        <w:t xml:space="preserve">一、项目概况  </w:t>
      </w:r>
    </w:p>
    <w:p w14:paraId="6112518F">
      <w:pP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  <w:t xml:space="preserve">    </w:t>
      </w: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  <w:lang w:val="en-US" w:eastAsia="zh-CN"/>
        </w:rPr>
        <w:t>为提升采购管理岗位职责和业务能力，帮助轮岗人员实现角色快速转换。集团组织开展中国重汽采购管理人员赋能培训。本次培训面向前期核定的轮岗采购业务骨干，拟于2026年11月12日开展，培训地点为重汽科技园区；线上线下共计160人集中参训。</w:t>
      </w:r>
    </w:p>
    <w:p w14:paraId="7A1685D8">
      <w:pP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highlight w:val="none"/>
        </w:rPr>
        <w:t xml:space="preserve">二、项目基本情况  </w:t>
      </w:r>
    </w:p>
    <w:p w14:paraId="16BBBA9E">
      <w:p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  <w:t>1.项目名称：中国重汽</w:t>
      </w: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  <w:lang w:val="en-US" w:eastAsia="zh-CN"/>
        </w:rPr>
        <w:t>采购管理人员赋能</w:t>
      </w: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  <w:t>培训项目</w:t>
      </w:r>
    </w:p>
    <w:p w14:paraId="3B4F423A">
      <w:pPr>
        <w:rPr>
          <w:rFonts w:hint="default" w:asciiTheme="majorEastAsia" w:hAnsiTheme="majorEastAsia" w:eastAsiaTheme="majorEastAsia" w:cstheme="majorEastAsia"/>
          <w:sz w:val="24"/>
          <w:szCs w:val="24"/>
          <w:highlight w:val="non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  <w:t xml:space="preserve">    2.项目类别：非固定资产服务</w:t>
      </w:r>
    </w:p>
    <w:p w14:paraId="56C59FDB">
      <w:pP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  <w:t xml:space="preserve">    3.采购方式：公开招标（不分包）</w:t>
      </w:r>
    </w:p>
    <w:p w14:paraId="3BC11B35">
      <w:pPr>
        <w:rPr>
          <w:rFonts w:hint="default" w:asciiTheme="majorEastAsia" w:hAnsiTheme="majorEastAsia" w:eastAsiaTheme="majorEastAsia" w:cstheme="majorEastAsia"/>
          <w:sz w:val="24"/>
          <w:szCs w:val="24"/>
          <w:highlight w:val="non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  <w:t xml:space="preserve">    4.采购内容：中国重汽</w:t>
      </w: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  <w:lang w:val="en-US" w:eastAsia="zh-CN"/>
        </w:rPr>
        <w:t>采购管理人员赋能</w:t>
      </w: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  <w:t>培训，共</w:t>
      </w: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  <w:lang w:val="en-US" w:eastAsia="zh-CN"/>
        </w:rPr>
        <w:t>9</w:t>
      </w: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  <w:t>门课程</w:t>
      </w: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  <w:lang w:val="en-US" w:eastAsia="zh-CN"/>
        </w:rPr>
        <w:t>32</w:t>
      </w: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  <w:t>课时</w:t>
      </w: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  <w:lang w:eastAsia="zh-CN"/>
        </w:rPr>
        <w:t>，</w:t>
      </w: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  <w:lang w:val="en-US" w:eastAsia="zh-CN"/>
        </w:rPr>
        <w:t>包括：通用赋能课5门（供应链基础认知、商务核心技能、合规与安全、AI赋能素养、质量专业能力），采购管理必修课3门（供应商管理、采购策略、合同管理），采购执行必修课1门（业务能力提升-产品需求管理，计划管理，库存管理等）。</w:t>
      </w: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  <w:t>投标限价人民币</w:t>
      </w: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  <w:lang w:val="en-US" w:eastAsia="zh-CN"/>
        </w:rPr>
        <w:t>10</w:t>
      </w: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  <w:t>万元（含税）。</w:t>
      </w:r>
    </w:p>
    <w:p w14:paraId="0F94CFE6">
      <w:pP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highlight w:val="none"/>
        </w:rPr>
        <w:t xml:space="preserve">三、供应商资格条件  </w:t>
      </w:r>
    </w:p>
    <w:p w14:paraId="5E463397">
      <w:pP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  <w:t xml:space="preserve">  </w:t>
      </w: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  <w:t>所有拟投标人需满足以下条件：</w:t>
      </w:r>
    </w:p>
    <w:p w14:paraId="4D1D06F0">
      <w:p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  <w:t>（1）投标人是企业法人的，必须是在中华人民共和国境内注册的独立法人机构，具有独立承担民事责任能力，原则上投标人注册资金不得低于项目标的额或不低于500万元；公司成立三年以上（以营业执照成立日期到开标当日满三年为准）；且经营范围满足招标人需求；并在人员、设备、资金等方面具有承担本项目的能力；投标人是事业单位和社会团体及其分支机构，且经营范围满足招标方需求并在人员、设备、资金等方面具有承担本项目的能力的，可不受注册资金和成立时间限制；</w:t>
      </w:r>
    </w:p>
    <w:p w14:paraId="2119B76A">
      <w:p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  <w:t>（2）投标人应遵守《中华人民共和国招投标法》及有关的法律和法规。具备独立法人资格，具有独立承担民事责任能力、良好的财务状况并具有一定的垫资能力，能切实履行合同。</w:t>
      </w:r>
    </w:p>
    <w:p w14:paraId="5C3FAE00">
      <w:p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  <w:t>（3）投标人在国家企业信用信息公示系统中有不良记录、近三年的公司财务报表异常、存在与本项目有关的违法及严重违规或被列入招标人“黑名单”的，招标人有权取消其投标资格。</w:t>
      </w:r>
    </w:p>
    <w:p w14:paraId="32C0896C">
      <w:p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  <w:t>（4）投标人应有相关或类似培训项目策划执行实施经验，具有良好的风险应对能力，能够认可招标人的工作指令，包括节假日能正常开展工作等要求，并在开标时携带以往项目策划执行资料、企业资信材料、财务报表及完税证明等备查；</w:t>
      </w:r>
    </w:p>
    <w:p w14:paraId="09DAC013">
      <w:p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  <w:t>（5）资格审查方式：采用资格预审，合格制。项目发标后，拟投标人须先应标，招标工作组通过重汽e采通对应标人进行资质审核，审核通过后方可投标。</w:t>
      </w:r>
    </w:p>
    <w:p w14:paraId="3661D780">
      <w:pPr>
        <w:ind w:firstLine="480" w:firstLineChars="200"/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  <w:lang w:eastAsia="zh-CN"/>
        </w:rPr>
        <w:t>（</w:t>
      </w: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  <w:lang w:val="en-US" w:eastAsia="zh-CN"/>
        </w:rPr>
        <w:t>6</w:t>
      </w: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  <w:lang w:eastAsia="zh-CN"/>
        </w:rPr>
        <w:t>）</w:t>
      </w: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  <w:t>投标人对课程材料拥有合法的知识产权或具有合法的来源，有关知识产权中不存在任何侵犯第三方的权益。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highlight w:val="none"/>
        </w:rPr>
        <w:t xml:space="preserve">  </w:t>
      </w:r>
    </w:p>
    <w:p w14:paraId="227B8D47">
      <w:pPr>
        <w:ind w:firstLine="480" w:firstLineChars="200"/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  <w:lang w:eastAsia="zh-CN"/>
        </w:rPr>
        <w:t>（7）投标方的直接或间接股东、法定代表人、董事、监事、高管非重汽员工及其亲属。</w:t>
      </w:r>
    </w:p>
    <w:p w14:paraId="463C8DEE">
      <w:pP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highlight w:val="none"/>
        </w:rPr>
        <w:t xml:space="preserve"> 四、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highlight w:val="none"/>
          <w:lang w:val="en-US" w:eastAsia="zh-CN"/>
        </w:rPr>
        <w:t>招标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highlight w:val="none"/>
        </w:rPr>
        <w:t>文件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highlight w:val="none"/>
          <w:lang w:val="en-US" w:eastAsia="zh-CN"/>
        </w:rPr>
        <w:t>获取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highlight w:val="none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  <w:t xml:space="preserve"> </w:t>
      </w:r>
    </w:p>
    <w:p w14:paraId="01A8CB3D">
      <w:pP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  <w:t xml:space="preserve"> 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highlight w:val="none"/>
        </w:rPr>
        <w:t xml:space="preserve"> 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</w:rPr>
        <w:t xml:space="preserve">  1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  <w:lang w:val="en-US" w:eastAsia="zh-CN"/>
        </w:rPr>
        <w:t>.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</w:rPr>
        <w:t xml:space="preserve">招标文件获取方式：重汽e采通平台 </w:t>
      </w:r>
    </w:p>
    <w:p w14:paraId="3710A1FE">
      <w:pPr>
        <w:ind w:firstLine="480" w:firstLineChars="200"/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</w:rPr>
        <w:t>2.招标文件获取截止时间：2026年1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  <w:lang w:val="en-US" w:eastAsia="zh-CN"/>
        </w:rPr>
        <w:t>1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</w:rPr>
        <w:t>月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  <w:lang w:val="en-US" w:eastAsia="zh-CN"/>
        </w:rPr>
        <w:t>4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</w:rPr>
        <w:t>日</w:t>
      </w:r>
    </w:p>
    <w:p w14:paraId="5F3381B0">
      <w:pP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</w:rPr>
        <w:t xml:space="preserve">    3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  <w:lang w:val="en-US" w:eastAsia="zh-CN"/>
        </w:rPr>
        <w:t>.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</w:rPr>
        <w:t xml:space="preserve">招标文件获取地点：中国重汽e采通-招标中心-非生产类招投标-供应商投标 </w:t>
      </w:r>
    </w:p>
    <w:p w14:paraId="7A00C32E">
      <w:pPr>
        <w:jc w:val="left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highlight w:val="none"/>
        </w:rPr>
        <w:t xml:space="preserve"> 五、响应文件提交 </w:t>
      </w:r>
    </w:p>
    <w:p w14:paraId="16774820">
      <w:pP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</w:rPr>
        <w:t>1.递交方式：线上（重汽e采通平台）</w:t>
      </w:r>
    </w:p>
    <w:p w14:paraId="1BF7EE7E">
      <w:pP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</w:rPr>
        <w:t>2.递交截止时间：2026年1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  <w:lang w:val="en-US" w:eastAsia="zh-CN"/>
        </w:rPr>
        <w:t>1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</w:rPr>
        <w:t>月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  <w:lang w:val="en-US" w:eastAsia="zh-CN"/>
        </w:rPr>
        <w:t>9</w:t>
      </w:r>
      <w:bookmarkStart w:id="2" w:name="_GoBack"/>
      <w:bookmarkEnd w:id="2"/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</w:rPr>
        <w:t>日</w:t>
      </w:r>
    </w:p>
    <w:p w14:paraId="1D0C1D32">
      <w:pP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</w:rPr>
        <w:t>3.递交地点：重汽e采通平台（招标中心-非生产类招投标-供应商投标）</w:t>
      </w:r>
    </w:p>
    <w:p w14:paraId="77F2C3AC">
      <w:pP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highlight w:val="none"/>
        </w:rPr>
        <w:t xml:space="preserve"> 六、开标时间和地点 </w:t>
      </w:r>
    </w:p>
    <w:p w14:paraId="42BE8D26">
      <w:pP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</w:rPr>
        <w:t>1.开标时间：2026年1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  <w:lang w:val="en-US" w:eastAsia="zh-CN"/>
        </w:rPr>
        <w:t>1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</w:rPr>
        <w:t>月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  <w:lang w:val="en-US" w:eastAsia="zh-CN"/>
        </w:rPr>
        <w:t>9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</w:rPr>
        <w:t>日</w:t>
      </w:r>
    </w:p>
    <w:p w14:paraId="59D58E47">
      <w:pP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</w:rPr>
        <w:t>2.开标地点：线上开标（重汽e采通平台）</w:t>
      </w:r>
    </w:p>
    <w:p w14:paraId="4739891D">
      <w:pP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  <w:t xml:space="preserve"> 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highlight w:val="none"/>
        </w:rPr>
        <w:t xml:space="preserve">七、发布公告的媒介 </w:t>
      </w:r>
    </w:p>
    <w:p w14:paraId="263E755C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  <w:t xml:space="preserve">中国重汽集团官网（ww.cnhtc.com.cn） </w:t>
      </w:r>
    </w:p>
    <w:p w14:paraId="16AB97AF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  <w:t>重汽e采通平台</w:t>
      </w: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  <w:lang w:eastAsia="zh-CN"/>
        </w:rPr>
        <w:t>（https://ecaitong.sinotruk.com:8012/#/login）</w:t>
      </w:r>
    </w:p>
    <w:p w14:paraId="737E60EC">
      <w:pPr>
        <w:ind w:firstLine="480"/>
        <w:rPr>
          <w:rFonts w:hint="default" w:asciiTheme="majorEastAsia" w:hAnsiTheme="majorEastAsia" w:eastAsiaTheme="majorEastAsia" w:cstheme="majorEastAsia"/>
          <w:sz w:val="24"/>
          <w:szCs w:val="24"/>
          <w:highlight w:val="non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  <w:lang w:val="en-US" w:eastAsia="zh-CN"/>
        </w:rPr>
        <w:t>山东省</w:t>
      </w: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  <w:t xml:space="preserve">阳光采购服务平台（www.ygcgfw.com） </w:t>
      </w:r>
    </w:p>
    <w:p w14:paraId="353AB269">
      <w:pP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highlight w:val="none"/>
        </w:rPr>
        <w:t xml:space="preserve"> 八、联系方式 </w:t>
      </w:r>
    </w:p>
    <w:p w14:paraId="30D1D38F">
      <w:pP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highlight w:val="none"/>
        </w:rPr>
        <w:t xml:space="preserve">   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</w:rPr>
        <w:t xml:space="preserve"> 1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  <w:lang w:val="en-US" w:eastAsia="zh-CN"/>
        </w:rPr>
        <w:t>.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</w:rPr>
        <w:t xml:space="preserve">采购人信息： </w:t>
      </w:r>
    </w:p>
    <w:p w14:paraId="13AB6E4A">
      <w:pP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  <w:t xml:space="preserve">    名称：中国重汽集团济南动力有限公司 </w:t>
      </w:r>
    </w:p>
    <w:p w14:paraId="099187FF">
      <w:pPr>
        <w:ind w:firstLine="480"/>
        <w:rPr>
          <w:rFonts w:hint="default" w:asciiTheme="majorEastAsia" w:hAnsiTheme="majorEastAsia" w:eastAsiaTheme="majorEastAsia" w:cstheme="majorEastAsia"/>
          <w:sz w:val="24"/>
          <w:szCs w:val="24"/>
          <w:highlight w:val="non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  <w:t>联系人及电话：赵蒙 15253183290；</w:t>
      </w: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  <w:lang w:val="en-US" w:eastAsia="zh-CN"/>
        </w:rPr>
        <w:t>孙宗正</w:t>
      </w: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  <w:lang w:val="en-US" w:eastAsia="zh-CN"/>
        </w:rPr>
        <w:t>18764495578</w:t>
      </w:r>
    </w:p>
    <w:p w14:paraId="6986140B">
      <w:pP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highlight w:val="none"/>
        </w:rPr>
        <w:t xml:space="preserve">九、其他说明  </w:t>
      </w:r>
    </w:p>
    <w:p w14:paraId="7F352A2E">
      <w:pP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  <w:t xml:space="preserve">    1</w:t>
      </w: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  <w:lang w:val="en-US" w:eastAsia="zh-CN"/>
        </w:rPr>
        <w:t>.</w:t>
      </w: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  <w:t>供应商需在重汽e采通平台进行注册，注册后搜索该项目并进行报名。</w:t>
      </w:r>
    </w:p>
    <w:p w14:paraId="6CFC776E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</w:pPr>
    </w:p>
    <w:p w14:paraId="3BB268CE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</w:pPr>
    </w:p>
    <w:p w14:paraId="233C8080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</w:pPr>
    </w:p>
    <w:p w14:paraId="1431A22C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</w:pPr>
    </w:p>
    <w:p w14:paraId="167DB504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</w:pPr>
    </w:p>
    <w:p w14:paraId="369D886B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</w:pPr>
    </w:p>
    <w:p w14:paraId="70239CEE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</w:pPr>
    </w:p>
    <w:p w14:paraId="4AB6CD88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</w:pPr>
    </w:p>
    <w:p w14:paraId="139FF02C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</w:pPr>
    </w:p>
    <w:p w14:paraId="065230DF">
      <w:pPr>
        <w:pStyle w:val="2"/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</w:pPr>
    </w:p>
    <w:p w14:paraId="54FAE67E">
      <w:pPr>
        <w:pStyle w:val="2"/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</w:pPr>
    </w:p>
    <w:p w14:paraId="5FE52AE4">
      <w:pPr>
        <w:pStyle w:val="2"/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</w:pPr>
    </w:p>
    <w:p w14:paraId="686E2AD7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</w:pPr>
    </w:p>
    <w:p w14:paraId="47075AFB">
      <w:pPr>
        <w:rPr>
          <w:rFonts w:hint="eastAsia" w:hAnsi="宋体" w:eastAsia="宋体" w:cs="宋体"/>
          <w:b/>
          <w:bCs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hAnsi="宋体" w:eastAsia="宋体" w:cs="宋体"/>
          <w:b/>
          <w:bCs/>
          <w:color w:val="000000"/>
          <w:sz w:val="24"/>
          <w:szCs w:val="24"/>
          <w:highlight w:val="none"/>
          <w:lang w:val="en-US" w:eastAsia="zh-CN"/>
        </w:rPr>
        <w:br w:type="page"/>
      </w:r>
    </w:p>
    <w:p w14:paraId="0DEC3FBD">
      <w:pPr>
        <w:pStyle w:val="2"/>
        <w:outlineLvl w:val="2"/>
        <w:rPr>
          <w:rFonts w:hint="eastAsia" w:hAnsi="宋体" w:eastAsia="宋体" w:cs="宋体"/>
          <w:b/>
          <w:bCs/>
          <w:color w:val="000000"/>
          <w:sz w:val="24"/>
          <w:szCs w:val="24"/>
          <w:highlight w:val="none"/>
        </w:rPr>
      </w:pPr>
      <w:r>
        <w:rPr>
          <w:rFonts w:hint="eastAsia" w:hAnsi="宋体" w:eastAsia="宋体" w:cs="宋体"/>
          <w:b/>
          <w:bCs/>
          <w:color w:val="000000"/>
          <w:sz w:val="24"/>
          <w:szCs w:val="24"/>
          <w:highlight w:val="none"/>
          <w:lang w:val="en-US" w:eastAsia="zh-CN"/>
        </w:rPr>
        <w:t>附件1：</w:t>
      </w:r>
      <w:r>
        <w:rPr>
          <w:rFonts w:hint="eastAsia" w:hAnsi="宋体" w:eastAsia="宋体" w:cs="宋体"/>
          <w:b/>
          <w:bCs/>
          <w:color w:val="000000"/>
          <w:sz w:val="24"/>
          <w:szCs w:val="24"/>
          <w:highlight w:val="none"/>
        </w:rPr>
        <w:t>SRM非生产供应商注册操作手册</w:t>
      </w:r>
    </w:p>
    <w:p w14:paraId="3B55DB0D">
      <w:pPr>
        <w:pStyle w:val="2"/>
        <w:rPr>
          <w:rFonts w:eastAsia="宋体"/>
          <w:highlight w:val="none"/>
        </w:rPr>
      </w:pPr>
    </w:p>
    <w:p w14:paraId="67C14DB3">
      <w:pPr>
        <w:adjustRightInd w:val="0"/>
        <w:snapToGrid w:val="0"/>
        <w:spacing w:line="360" w:lineRule="auto"/>
        <w:jc w:val="left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ascii="宋体" w:hAnsi="宋体" w:eastAsia="宋体" w:cs="宋体"/>
          <w:sz w:val="24"/>
          <w:szCs w:val="24"/>
          <w:highlight w:val="none"/>
        </w:rPr>
        <w:t>浏览器中输入地址;</w:t>
      </w:r>
    </w:p>
    <w:p w14:paraId="7DCEACE8">
      <w:pPr>
        <w:adjustRightInd w:val="0"/>
        <w:snapToGrid w:val="0"/>
        <w:spacing w:line="360" w:lineRule="auto"/>
        <w:jc w:val="left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highlight w:val="none"/>
        </w:rPr>
        <w:fldChar w:fldCharType="begin"/>
      </w:r>
      <w:r>
        <w:rPr>
          <w:highlight w:val="none"/>
        </w:rPr>
        <w:instrText xml:space="preserve"> HYPERLINK "http://ecaitong.sinotruk.com:8012/" \l "/login" \t "dlt" </w:instrText>
      </w:r>
      <w:r>
        <w:rPr>
          <w:highlight w:val="none"/>
        </w:rPr>
        <w:fldChar w:fldCharType="separate"/>
      </w:r>
      <w:r>
        <w:rPr>
          <w:rFonts w:ascii="宋体" w:hAnsi="宋体" w:eastAsia="宋体" w:cs="宋体"/>
          <w:sz w:val="24"/>
          <w:szCs w:val="24"/>
          <w:highlight w:val="none"/>
        </w:rPr>
        <w:t>http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s</w:t>
      </w:r>
      <w:r>
        <w:rPr>
          <w:rFonts w:ascii="宋体" w:hAnsi="宋体" w:eastAsia="宋体" w:cs="宋体"/>
          <w:sz w:val="24"/>
          <w:szCs w:val="24"/>
          <w:highlight w:val="none"/>
        </w:rPr>
        <w:t>://ecaitong.sinotruk.com:8012/#/login</w:t>
      </w:r>
      <w:r>
        <w:rPr>
          <w:rFonts w:ascii="宋体" w:hAnsi="宋体" w:eastAsia="宋体" w:cs="宋体"/>
          <w:sz w:val="24"/>
          <w:szCs w:val="24"/>
          <w:highlight w:val="none"/>
        </w:rPr>
        <w:fldChar w:fldCharType="end"/>
      </w:r>
    </w:p>
    <w:p w14:paraId="7CCC3B29">
      <w:pPr>
        <w:adjustRightInd w:val="0"/>
        <w:snapToGrid w:val="0"/>
        <w:spacing w:line="360" w:lineRule="auto"/>
        <w:jc w:val="left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ascii="宋体" w:hAnsi="宋体" w:eastAsia="宋体" w:cs="宋体"/>
          <w:sz w:val="24"/>
          <w:szCs w:val="24"/>
          <w:highlight w:val="none"/>
        </w:rPr>
        <w:t>1.点击立即注册</w:t>
      </w:r>
    </w:p>
    <w:p w14:paraId="42068FE7">
      <w:pPr>
        <w:snapToGrid w:val="0"/>
        <w:spacing w:line="312" w:lineRule="auto"/>
        <w:rPr>
          <w:rFonts w:hint="eastAsia"/>
          <w:highlight w:val="none"/>
        </w:rPr>
      </w:pPr>
      <w:r>
        <w:rPr>
          <w:highlight w:val="none"/>
        </w:rPr>
        <w:drawing>
          <wp:inline distT="0" distB="0" distL="0" distR="0">
            <wp:extent cx="5760085" cy="2933065"/>
            <wp:effectExtent l="0" t="0" r="12065" b="635"/>
            <wp:docPr id="19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" descr="descrip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933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B5C13">
      <w:pPr>
        <w:spacing w:line="360" w:lineRule="auto"/>
        <w:rPr>
          <w:rFonts w:hint="eastAsia" w:ascii="宋体" w:hAnsi="宋体" w:eastAsia="宋体" w:cs="宋体"/>
          <w:sz w:val="24"/>
          <w:szCs w:val="28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8"/>
          <w:highlight w:val="none"/>
        </w:rPr>
        <w:t>2.</w:t>
      </w:r>
      <w:r>
        <w:rPr>
          <w:rFonts w:ascii="宋体" w:hAnsi="宋体" w:eastAsia="宋体" w:cs="宋体"/>
          <w:color w:val="000000"/>
          <w:sz w:val="24"/>
          <w:szCs w:val="28"/>
          <w:highlight w:val="none"/>
        </w:rPr>
        <w:t>填写手机号码（没有注册过的）</w:t>
      </w:r>
    </w:p>
    <w:p w14:paraId="6497FF7F">
      <w:pPr>
        <w:snapToGrid w:val="0"/>
        <w:spacing w:line="312" w:lineRule="auto"/>
        <w:rPr>
          <w:rFonts w:hint="eastAsia"/>
          <w:highlight w:val="none"/>
        </w:rPr>
      </w:pPr>
      <w:r>
        <w:rPr>
          <w:highlight w:val="none"/>
        </w:rPr>
        <w:drawing>
          <wp:inline distT="0" distB="0" distL="0" distR="0">
            <wp:extent cx="5760085" cy="2766695"/>
            <wp:effectExtent l="0" t="0" r="12065" b="14605"/>
            <wp:docPr id="2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" descr="descrip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766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186A0">
      <w:pPr>
        <w:spacing w:line="360" w:lineRule="auto"/>
        <w:rPr>
          <w:rFonts w:hint="eastAsia" w:ascii="宋体" w:hAnsi="宋体" w:eastAsia="宋体" w:cs="宋体"/>
          <w:sz w:val="24"/>
          <w:szCs w:val="28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8"/>
          <w:highlight w:val="none"/>
        </w:rPr>
        <w:t>3.</w:t>
      </w:r>
      <w:r>
        <w:rPr>
          <w:rFonts w:ascii="宋体" w:hAnsi="宋体" w:eastAsia="宋体" w:cs="宋体"/>
          <w:color w:val="000000"/>
          <w:sz w:val="24"/>
          <w:szCs w:val="28"/>
          <w:highlight w:val="none"/>
        </w:rPr>
        <w:t>注册成功登录这个手机号码的账号进入系统，点击供应商注册</w:t>
      </w:r>
    </w:p>
    <w:p w14:paraId="250679A6">
      <w:pPr>
        <w:snapToGrid w:val="0"/>
        <w:spacing w:line="312" w:lineRule="auto"/>
        <w:rPr>
          <w:rFonts w:hint="eastAsia"/>
          <w:highlight w:val="none"/>
        </w:rPr>
      </w:pPr>
      <w:r>
        <w:rPr>
          <w:highlight w:val="none"/>
        </w:rPr>
        <w:drawing>
          <wp:inline distT="0" distB="0" distL="0" distR="0">
            <wp:extent cx="5760085" cy="2869565"/>
            <wp:effectExtent l="0" t="0" r="12065" b="6985"/>
            <wp:docPr id="6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" descr="descript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870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5A0C3">
      <w:pPr>
        <w:spacing w:line="360" w:lineRule="auto"/>
        <w:rPr>
          <w:rFonts w:hint="eastAsia" w:ascii="宋体" w:hAnsi="宋体" w:eastAsia="宋体" w:cs="宋体"/>
          <w:sz w:val="24"/>
          <w:szCs w:val="28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8"/>
          <w:highlight w:val="none"/>
        </w:rPr>
        <w:t>4.</w:t>
      </w:r>
      <w:r>
        <w:rPr>
          <w:rFonts w:ascii="宋体" w:hAnsi="宋体" w:eastAsia="宋体" w:cs="宋体"/>
          <w:color w:val="000000"/>
          <w:sz w:val="24"/>
          <w:szCs w:val="28"/>
          <w:highlight w:val="none"/>
        </w:rPr>
        <w:t>点击新增</w:t>
      </w:r>
    </w:p>
    <w:p w14:paraId="2FA508F2">
      <w:pPr>
        <w:snapToGrid w:val="0"/>
        <w:spacing w:line="312" w:lineRule="auto"/>
        <w:rPr>
          <w:rFonts w:hint="eastAsia"/>
          <w:highlight w:val="none"/>
        </w:rPr>
      </w:pPr>
      <w:r>
        <w:rPr>
          <w:highlight w:val="none"/>
        </w:rPr>
        <w:drawing>
          <wp:inline distT="0" distB="0" distL="0" distR="0">
            <wp:extent cx="5760085" cy="2853055"/>
            <wp:effectExtent l="0" t="0" r="12065" b="4445"/>
            <wp:docPr id="7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" descr="descript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85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4F6EA">
      <w:pPr>
        <w:spacing w:line="360" w:lineRule="auto"/>
        <w:rPr>
          <w:rFonts w:hint="eastAsia" w:ascii="宋体" w:hAnsi="宋体" w:eastAsia="宋体" w:cs="宋体"/>
          <w:sz w:val="24"/>
          <w:szCs w:val="28"/>
          <w:highlight w:val="none"/>
        </w:rPr>
      </w:pPr>
      <w:r>
        <w:rPr>
          <w:rFonts w:hint="eastAsia" w:ascii="宋体" w:hAnsi="宋体" w:eastAsia="宋体" w:cs="宋体"/>
          <w:sz w:val="24"/>
          <w:szCs w:val="28"/>
          <w:highlight w:val="none"/>
        </w:rPr>
        <w:t>5</w:t>
      </w:r>
      <w:r>
        <w:rPr>
          <w:rFonts w:hint="eastAsia" w:ascii="宋体" w:hAnsi="宋体" w:eastAsia="宋体" w:cs="宋体"/>
          <w:color w:val="000000"/>
          <w:sz w:val="24"/>
          <w:szCs w:val="28"/>
          <w:highlight w:val="none"/>
        </w:rPr>
        <w:t>.</w:t>
      </w:r>
      <w:r>
        <w:rPr>
          <w:rFonts w:ascii="宋体" w:hAnsi="宋体" w:eastAsia="宋体" w:cs="宋体"/>
          <w:color w:val="000000"/>
          <w:sz w:val="24"/>
          <w:szCs w:val="28"/>
          <w:highlight w:val="none"/>
        </w:rPr>
        <w:t>按要求填写所有信息，注意非生产类要填写合作单位，最后提交审批</w:t>
      </w:r>
    </w:p>
    <w:p w14:paraId="7B916863">
      <w:pPr>
        <w:pStyle w:val="2"/>
        <w:rPr>
          <w:highlight w:val="none"/>
        </w:rPr>
      </w:pPr>
    </w:p>
    <w:p w14:paraId="145EA810">
      <w:pPr>
        <w:rPr>
          <w:rFonts w:hint="eastAsia"/>
          <w:highlight w:val="none"/>
        </w:rPr>
      </w:pPr>
      <w:r>
        <w:rPr>
          <w:highlight w:val="none"/>
        </w:rPr>
        <w:drawing>
          <wp:inline distT="0" distB="0" distL="0" distR="0">
            <wp:extent cx="5760085" cy="2809875"/>
            <wp:effectExtent l="0" t="0" r="12065" b="9525"/>
            <wp:docPr id="12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" descr="descript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810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62184D">
      <w:pPr>
        <w:pStyle w:val="2"/>
        <w:rPr>
          <w:highlight w:val="none"/>
        </w:rPr>
      </w:pPr>
      <w:r>
        <w:rPr>
          <w:highlight w:val="none"/>
        </w:rPr>
        <w:drawing>
          <wp:inline distT="0" distB="0" distL="0" distR="0">
            <wp:extent cx="5760085" cy="2820035"/>
            <wp:effectExtent l="0" t="0" r="12065" b="18415"/>
            <wp:docPr id="24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" descr="descript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820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4AF512">
      <w:pPr>
        <w:pStyle w:val="2"/>
        <w:rPr>
          <w:highlight w:val="none"/>
        </w:rPr>
      </w:pPr>
    </w:p>
    <w:p w14:paraId="2AA8AF19">
      <w:pPr>
        <w:rPr>
          <w:rFonts w:hint="eastAsia" w:ascii="宋体" w:hAnsi="宋体" w:eastAsia="宋体" w:cs="宋体"/>
          <w:b/>
          <w:bCs/>
          <w:color w:val="000000"/>
          <w:sz w:val="24"/>
          <w:szCs w:val="28"/>
          <w:highlight w:val="none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8"/>
          <w:highlight w:val="none"/>
        </w:rPr>
        <w:t>注：</w:t>
      </w:r>
    </w:p>
    <w:p w14:paraId="245219B7">
      <w:pPr>
        <w:rPr>
          <w:rFonts w:hint="eastAsia" w:ascii="宋体" w:hAnsi="宋体" w:eastAsia="宋体" w:cs="宋体"/>
          <w:b/>
          <w:bCs/>
          <w:color w:val="000000"/>
          <w:sz w:val="24"/>
          <w:szCs w:val="28"/>
          <w:highlight w:val="none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8"/>
          <w:highlight w:val="none"/>
        </w:rPr>
        <w:t>1.“项目名称”和“采购形式编号”见投标须知前附表1.1；</w:t>
      </w:r>
    </w:p>
    <w:p w14:paraId="7CB14DD4">
      <w:pPr>
        <w:pStyle w:val="2"/>
        <w:rPr>
          <w:highlight w:val="none"/>
        </w:rPr>
      </w:pPr>
      <w:r>
        <w:rPr>
          <w:rFonts w:hint="eastAsia" w:hAnsi="宋体" w:eastAsia="宋体" w:cs="宋体"/>
          <w:b/>
          <w:bCs/>
          <w:color w:val="000000"/>
          <w:sz w:val="24"/>
          <w:szCs w:val="28"/>
          <w:highlight w:val="none"/>
        </w:rPr>
        <w:t>2.配套能力“供货类别”填“直管单位非生产招标 / 服务 / 培训教学”。</w:t>
      </w:r>
    </w:p>
    <w:p w14:paraId="3903C1BE">
      <w:pPr>
        <w:pStyle w:val="2"/>
        <w:rPr>
          <w:highlight w:val="none"/>
        </w:rPr>
        <w:sectPr>
          <w:pgSz w:w="11906" w:h="16838"/>
          <w:pgMar w:top="1588" w:right="1418" w:bottom="1134" w:left="1418" w:header="851" w:footer="992" w:gutter="0"/>
          <w:cols w:space="720" w:num="1"/>
          <w:titlePg/>
          <w:docGrid w:type="lines" w:linePitch="312" w:charSpace="0"/>
        </w:sectPr>
      </w:pPr>
    </w:p>
    <w:p w14:paraId="602C5616">
      <w:pPr>
        <w:pStyle w:val="2"/>
        <w:outlineLvl w:val="2"/>
        <w:rPr>
          <w:rFonts w:hint="eastAsia" w:hAnsi="宋体" w:eastAsia="宋体" w:cs="Times New Roman"/>
          <w:b/>
          <w:color w:val="000000"/>
          <w:sz w:val="24"/>
          <w:szCs w:val="24"/>
          <w:highlight w:val="none"/>
        </w:rPr>
      </w:pPr>
      <w:r>
        <w:rPr>
          <w:rFonts w:hint="eastAsia" w:hAnsi="宋体" w:eastAsia="宋体" w:cs="宋体"/>
          <w:b/>
          <w:bCs/>
          <w:color w:val="000000"/>
          <w:sz w:val="24"/>
          <w:szCs w:val="24"/>
          <w:highlight w:val="none"/>
        </w:rPr>
        <w:t>附件</w:t>
      </w:r>
      <w:r>
        <w:rPr>
          <w:rFonts w:hint="eastAsia" w:hAnsi="宋体" w:eastAsia="宋体" w:cs="宋体"/>
          <w:b/>
          <w:bCs/>
          <w:color w:val="000000"/>
          <w:sz w:val="24"/>
          <w:szCs w:val="24"/>
          <w:highlight w:val="none"/>
          <w:lang w:val="en-US" w:eastAsia="zh-CN"/>
        </w:rPr>
        <w:t>7</w:t>
      </w:r>
      <w:r>
        <w:rPr>
          <w:rFonts w:hint="eastAsia" w:hAnsi="宋体" w:eastAsia="宋体" w:cs="宋体"/>
          <w:b/>
          <w:bCs/>
          <w:color w:val="000000"/>
          <w:sz w:val="24"/>
          <w:szCs w:val="24"/>
          <w:highlight w:val="none"/>
        </w:rPr>
        <w:t xml:space="preserve"> </w:t>
      </w:r>
      <w:r>
        <w:rPr>
          <w:rFonts w:hint="eastAsia" w:hAnsi="宋体" w:eastAsia="宋体" w:cs="Times New Roman"/>
          <w:b/>
          <w:color w:val="000000"/>
          <w:sz w:val="24"/>
          <w:szCs w:val="24"/>
          <w:highlight w:val="none"/>
        </w:rPr>
        <w:t>SRM系统供应商用户手册</w:t>
      </w:r>
    </w:p>
    <w:p w14:paraId="1FEF6F73">
      <w:pPr>
        <w:spacing w:line="360" w:lineRule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系统网址：</w:t>
      </w:r>
      <w:r>
        <w:rPr>
          <w:highlight w:val="none"/>
        </w:rPr>
        <w:fldChar w:fldCharType="begin"/>
      </w:r>
      <w:r>
        <w:rPr>
          <w:highlight w:val="none"/>
        </w:rPr>
        <w:instrText xml:space="preserve"> HYPERLINK "http://ecaitong.sinotruk.com:8012/" \t "dlt" </w:instrText>
      </w:r>
      <w:r>
        <w:rPr>
          <w:highlight w:val="none"/>
        </w:rPr>
        <w:fldChar w:fldCharType="separate"/>
      </w:r>
      <w:r>
        <w:rPr>
          <w:rStyle w:val="16"/>
          <w:rFonts w:hint="eastAsia" w:ascii="宋体" w:hAnsi="宋体" w:eastAsia="宋体" w:cs="宋体"/>
          <w:sz w:val="24"/>
          <w:szCs w:val="24"/>
          <w:highlight w:val="none"/>
        </w:rPr>
        <w:t>https://ecaitong.sinotruk.com:8012/</w:t>
      </w:r>
      <w:r>
        <w:rPr>
          <w:rStyle w:val="16"/>
          <w:rFonts w:hint="eastAsia" w:ascii="宋体" w:hAnsi="宋体" w:eastAsia="宋体" w:cs="宋体"/>
          <w:sz w:val="24"/>
          <w:szCs w:val="24"/>
          <w:highlight w:val="none"/>
        </w:rPr>
        <w:fldChar w:fldCharType="end"/>
      </w:r>
    </w:p>
    <w:p w14:paraId="3F934001">
      <w:pPr>
        <w:spacing w:line="360" w:lineRule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用 户 名：gys+供应商代码（</w:t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</w:rPr>
        <w:t>注意：注册完毕后，用户名不要用手机号登录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）</w:t>
      </w:r>
    </w:p>
    <w:p w14:paraId="0F0B4D2B">
      <w:pPr>
        <w:spacing w:line="360" w:lineRule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初始密码：scm@2022</w:t>
      </w:r>
    </w:p>
    <w:p w14:paraId="3F9C2630">
      <w:pPr>
        <w:spacing w:line="360" w:lineRule="auto"/>
        <w:rPr>
          <w:rFonts w:hint="eastAsia" w:ascii="宋体" w:hAnsi="宋体" w:eastAsia="宋体" w:cs="宋体"/>
          <w:b/>
          <w:bCs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highlight w:val="none"/>
        </w:rPr>
        <w:t>1.供应商应标</w:t>
      </w:r>
    </w:p>
    <w:p w14:paraId="6471E8C9">
      <w:pPr>
        <w:spacing w:line="360" w:lineRule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ascii="宋体" w:hAnsi="宋体" w:eastAsia="宋体" w:cs="宋体"/>
          <w:color w:val="000000"/>
          <w:sz w:val="24"/>
          <w:szCs w:val="24"/>
          <w:highlight w:val="none"/>
        </w:rPr>
        <w:t>路径：招投标中心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-</w:t>
      </w:r>
      <w:r>
        <w:rPr>
          <w:rFonts w:ascii="宋体" w:hAnsi="宋体" w:eastAsia="宋体" w:cs="宋体"/>
          <w:color w:val="000000"/>
          <w:sz w:val="24"/>
          <w:szCs w:val="24"/>
          <w:highlight w:val="none"/>
        </w:rPr>
        <w:t>非生产类招投标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-</w:t>
      </w:r>
      <w:r>
        <w:rPr>
          <w:rFonts w:ascii="宋体" w:hAnsi="宋体" w:eastAsia="宋体" w:cs="宋体"/>
          <w:color w:val="000000"/>
          <w:sz w:val="24"/>
          <w:szCs w:val="24"/>
          <w:highlight w:val="none"/>
        </w:rPr>
        <w:t>供应商应标</w:t>
      </w:r>
    </w:p>
    <w:p w14:paraId="00FC4FB3">
      <w:pPr>
        <w:spacing w:line="360" w:lineRule="auto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ascii="宋体" w:hAnsi="宋体" w:eastAsia="宋体" w:cs="宋体"/>
          <w:color w:val="000000"/>
          <w:sz w:val="24"/>
          <w:szCs w:val="24"/>
          <w:highlight w:val="none"/>
        </w:rPr>
        <w:t>点击应标，上传文件之后点击提交。</w:t>
      </w:r>
    </w:p>
    <w:p w14:paraId="6A8A2FFC">
      <w:pPr>
        <w:rPr>
          <w:rFonts w:hint="eastAsia"/>
          <w:highlight w:val="none"/>
        </w:rPr>
      </w:pPr>
      <w:r>
        <w:rPr>
          <w:highlight w:val="none"/>
        </w:rPr>
        <w:drawing>
          <wp:inline distT="0" distB="0" distL="0" distR="0">
            <wp:extent cx="5760085" cy="2269490"/>
            <wp:effectExtent l="0" t="0" r="12065" b="16510"/>
            <wp:docPr id="25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" descr="descript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269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FCBF6">
      <w:pPr>
        <w:rPr>
          <w:rFonts w:hint="eastAsia"/>
          <w:highlight w:val="none"/>
        </w:rPr>
      </w:pPr>
    </w:p>
    <w:p w14:paraId="40207382">
      <w:pPr>
        <w:spacing w:line="360" w:lineRule="auto"/>
        <w:rPr>
          <w:rFonts w:hint="eastAsia" w:ascii="宋体" w:hAnsi="宋体" w:eastAsia="宋体" w:cs="宋体"/>
          <w:b/>
          <w:bCs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highlight w:val="none"/>
        </w:rPr>
        <w:t>2.供应商投标</w:t>
      </w:r>
    </w:p>
    <w:p w14:paraId="37FC2595">
      <w:pPr>
        <w:spacing w:line="360" w:lineRule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ascii="宋体" w:hAnsi="宋体" w:eastAsia="宋体" w:cs="宋体"/>
          <w:color w:val="000000"/>
          <w:sz w:val="24"/>
          <w:szCs w:val="24"/>
          <w:highlight w:val="none"/>
        </w:rPr>
        <w:t>路径：招投标中心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-</w:t>
      </w:r>
      <w:r>
        <w:rPr>
          <w:rFonts w:ascii="宋体" w:hAnsi="宋体" w:eastAsia="宋体" w:cs="宋体"/>
          <w:color w:val="000000"/>
          <w:sz w:val="24"/>
          <w:szCs w:val="24"/>
          <w:highlight w:val="none"/>
        </w:rPr>
        <w:t>非生产类招投标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-</w:t>
      </w:r>
      <w:r>
        <w:rPr>
          <w:rFonts w:ascii="宋体" w:hAnsi="宋体" w:eastAsia="宋体" w:cs="宋体"/>
          <w:color w:val="000000"/>
          <w:sz w:val="24"/>
          <w:szCs w:val="24"/>
          <w:highlight w:val="none"/>
        </w:rPr>
        <w:t>供应商投标</w:t>
      </w:r>
    </w:p>
    <w:p w14:paraId="5F3A996C">
      <w:pPr>
        <w:rPr>
          <w:rFonts w:hint="eastAsia" w:ascii="宋体" w:hAnsi="宋体" w:eastAsia="宋体" w:cs="宋体"/>
          <w:color w:val="000000"/>
          <w:highlight w:val="none"/>
        </w:rPr>
      </w:pPr>
      <w:r>
        <w:rPr>
          <w:rFonts w:ascii="宋体" w:hAnsi="宋体" w:eastAsia="宋体" w:cs="宋体"/>
          <w:color w:val="000000"/>
          <w:highlight w:val="none"/>
        </w:rPr>
        <w:drawing>
          <wp:inline distT="0" distB="0" distL="0" distR="0">
            <wp:extent cx="5760085" cy="2125345"/>
            <wp:effectExtent l="0" t="0" r="12065" b="8255"/>
            <wp:docPr id="26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" descr="descript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125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CAB55">
      <w:pPr>
        <w:spacing w:line="360" w:lineRule="auto"/>
        <w:rPr>
          <w:rFonts w:hint="eastAsia" w:ascii="宋体" w:hAnsi="宋体" w:eastAsia="宋体" w:cs="宋体"/>
          <w:color w:val="000000"/>
          <w:sz w:val="24"/>
          <w:szCs w:val="28"/>
          <w:highlight w:val="none"/>
        </w:rPr>
      </w:pPr>
      <w:r>
        <w:rPr>
          <w:rFonts w:ascii="宋体" w:hAnsi="宋体" w:eastAsia="宋体" w:cs="宋体"/>
          <w:color w:val="000000"/>
          <w:sz w:val="24"/>
          <w:szCs w:val="28"/>
          <w:highlight w:val="none"/>
        </w:rPr>
        <w:t>点击投标按钮，进入详情页，输入投标报价并上传相应的附件。</w:t>
      </w:r>
    </w:p>
    <w:p w14:paraId="74E5D9AE">
      <w:pPr>
        <w:pStyle w:val="2"/>
        <w:rPr>
          <w:highlight w:val="none"/>
        </w:rPr>
      </w:pPr>
      <w:r>
        <w:rPr>
          <w:rFonts w:hint="eastAsia" w:hAnsi="宋体" w:eastAsia="宋体" w:cs="宋体"/>
          <w:color w:val="000000"/>
          <w:sz w:val="24"/>
          <w:szCs w:val="28"/>
          <w:highlight w:val="none"/>
        </w:rPr>
        <w:t>注意：系统内的投标报价单位为“万元”，如开标现场发现填错报价，即直接淘汰。</w:t>
      </w:r>
    </w:p>
    <w:p w14:paraId="30DCE771">
      <w:pPr>
        <w:pStyle w:val="4"/>
        <w:ind w:left="425" w:hanging="425"/>
        <w:rPr>
          <w:rFonts w:eastAsia="Arial" w:cs="Arial"/>
          <w:color w:val="000000"/>
          <w:highlight w:val="none"/>
        </w:rPr>
      </w:pPr>
      <w:r>
        <w:rPr>
          <w:rFonts w:eastAsia="Arial" w:cs="Arial"/>
          <w:color w:val="000000"/>
          <w:highlight w:val="none"/>
        </w:rPr>
        <w:drawing>
          <wp:inline distT="0" distB="0" distL="0" distR="0">
            <wp:extent cx="5490210" cy="2668905"/>
            <wp:effectExtent l="0" t="0" r="15240" b="17145"/>
            <wp:docPr id="27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" descr="descript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2669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79E03">
      <w:pPr>
        <w:spacing w:line="360" w:lineRule="auto"/>
        <w:rPr>
          <w:rFonts w:hint="eastAsia" w:ascii="宋体" w:hAnsi="宋体" w:eastAsia="宋体" w:cs="宋体"/>
          <w:b/>
          <w:bCs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highlight w:val="none"/>
        </w:rPr>
        <w:t>3.供应商技术标澄清函</w:t>
      </w:r>
    </w:p>
    <w:p w14:paraId="2A65A944">
      <w:pPr>
        <w:spacing w:line="360" w:lineRule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ascii="宋体" w:hAnsi="宋体" w:eastAsia="宋体" w:cs="宋体"/>
          <w:color w:val="000000"/>
          <w:sz w:val="24"/>
          <w:szCs w:val="24"/>
          <w:highlight w:val="none"/>
        </w:rPr>
        <w:t>路径：招投标中心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-</w:t>
      </w:r>
      <w:r>
        <w:rPr>
          <w:rFonts w:ascii="宋体" w:hAnsi="宋体" w:eastAsia="宋体" w:cs="宋体"/>
          <w:color w:val="000000"/>
          <w:sz w:val="24"/>
          <w:szCs w:val="24"/>
          <w:highlight w:val="none"/>
        </w:rPr>
        <w:t>非生产类招投标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-</w:t>
      </w:r>
      <w:r>
        <w:rPr>
          <w:rFonts w:ascii="宋体" w:hAnsi="宋体" w:eastAsia="宋体" w:cs="宋体"/>
          <w:color w:val="000000"/>
          <w:sz w:val="24"/>
          <w:szCs w:val="24"/>
          <w:highlight w:val="none"/>
        </w:rPr>
        <w:t>供应商技术标澄清函</w:t>
      </w:r>
    </w:p>
    <w:p w14:paraId="191B56D2">
      <w:pPr>
        <w:spacing w:line="360" w:lineRule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ascii="宋体" w:hAnsi="宋体" w:eastAsia="宋体" w:cs="宋体"/>
          <w:color w:val="000000"/>
          <w:sz w:val="24"/>
          <w:szCs w:val="24"/>
          <w:highlight w:val="none"/>
        </w:rPr>
        <w:t>点击编辑按钮进入系统，上传技术标澄清函。</w:t>
      </w:r>
    </w:p>
    <w:p w14:paraId="48DE63D8">
      <w:pPr>
        <w:spacing w:line="360" w:lineRule="auto"/>
        <w:rPr>
          <w:rFonts w:ascii="Arial" w:hAnsi="Arial" w:eastAsia="Arial" w:cs="Arial"/>
          <w:color w:val="000000"/>
          <w:sz w:val="28"/>
          <w:highlight w:val="none"/>
        </w:rPr>
      </w:pPr>
      <w:r>
        <w:rPr>
          <w:rFonts w:ascii="宋体" w:hAnsi="宋体" w:eastAsia="宋体" w:cs="宋体"/>
          <w:color w:val="000000"/>
          <w:sz w:val="24"/>
          <w:szCs w:val="24"/>
          <w:highlight w:val="none"/>
        </w:rPr>
        <w:t>开标之后所有投标的供应商都可编辑提交，技术标入围之后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 xml:space="preserve"> </w:t>
      </w:r>
      <w:r>
        <w:rPr>
          <w:rFonts w:ascii="宋体" w:hAnsi="宋体" w:eastAsia="宋体" w:cs="宋体"/>
          <w:color w:val="000000"/>
          <w:sz w:val="24"/>
          <w:szCs w:val="24"/>
          <w:highlight w:val="none"/>
        </w:rPr>
        <w:t>都不可编辑</w:t>
      </w:r>
      <w:r>
        <w:rPr>
          <w:rFonts w:ascii="Arial" w:hAnsi="Arial" w:eastAsia="Arial" w:cs="Arial"/>
          <w:color w:val="000000"/>
          <w:sz w:val="28"/>
          <w:highlight w:val="none"/>
        </w:rPr>
        <w:drawing>
          <wp:inline distT="0" distB="0" distL="0" distR="0">
            <wp:extent cx="5490210" cy="1992630"/>
            <wp:effectExtent l="0" t="0" r="15240" b="7620"/>
            <wp:docPr id="28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" descr="descript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1992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94018">
      <w:pPr>
        <w:spacing w:line="360" w:lineRule="auto"/>
        <w:rPr>
          <w:rFonts w:hint="eastAsia" w:ascii="宋体" w:hAnsi="宋体" w:eastAsia="宋体" w:cs="宋体"/>
          <w:b/>
          <w:bCs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highlight w:val="none"/>
        </w:rPr>
        <w:t>4.供应商报价</w:t>
      </w:r>
    </w:p>
    <w:p w14:paraId="760C9E66">
      <w:pPr>
        <w:spacing w:line="360" w:lineRule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ascii="宋体" w:hAnsi="宋体" w:eastAsia="宋体" w:cs="宋体"/>
          <w:color w:val="000000"/>
          <w:sz w:val="24"/>
          <w:szCs w:val="24"/>
          <w:highlight w:val="none"/>
        </w:rPr>
        <w:t>路径：招投标中心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-</w:t>
      </w:r>
      <w:r>
        <w:rPr>
          <w:rFonts w:ascii="宋体" w:hAnsi="宋体" w:eastAsia="宋体" w:cs="宋体"/>
          <w:color w:val="000000"/>
          <w:sz w:val="24"/>
          <w:szCs w:val="24"/>
          <w:highlight w:val="none"/>
        </w:rPr>
        <w:t>非生产类招投标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-</w:t>
      </w:r>
      <w:r>
        <w:rPr>
          <w:rFonts w:ascii="宋体" w:hAnsi="宋体" w:eastAsia="宋体" w:cs="宋体"/>
          <w:color w:val="000000"/>
          <w:sz w:val="24"/>
          <w:szCs w:val="24"/>
          <w:highlight w:val="none"/>
        </w:rPr>
        <w:t>供应商报价</w:t>
      </w:r>
    </w:p>
    <w:p w14:paraId="5D25AC69">
      <w:pPr>
        <w:spacing w:line="360" w:lineRule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ascii="宋体" w:hAnsi="宋体" w:eastAsia="宋体" w:cs="宋体"/>
          <w:color w:val="000000"/>
          <w:sz w:val="24"/>
          <w:szCs w:val="24"/>
          <w:highlight w:val="none"/>
        </w:rPr>
        <w:t>点击报价按钮进入报价详情界面，请在此轮报价起止时间内报价，否则无法报价。</w:t>
      </w:r>
    </w:p>
    <w:p w14:paraId="09540DA4">
      <w:pPr>
        <w:spacing w:line="360" w:lineRule="auto"/>
        <w:rPr>
          <w:rFonts w:hint="eastAsia" w:ascii="宋体" w:hAnsi="宋体" w:eastAsia="宋体" w:cs="宋体"/>
          <w:b/>
          <w:bCs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highlight w:val="none"/>
        </w:rPr>
        <w:t>5.供应商澄清报价</w:t>
      </w:r>
    </w:p>
    <w:p w14:paraId="789C09B7">
      <w:pPr>
        <w:spacing w:line="360" w:lineRule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ascii="宋体" w:hAnsi="宋体" w:eastAsia="宋体" w:cs="宋体"/>
          <w:color w:val="000000"/>
          <w:sz w:val="24"/>
          <w:szCs w:val="24"/>
          <w:highlight w:val="none"/>
        </w:rPr>
        <w:t>路径：招投标中心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-</w:t>
      </w:r>
      <w:r>
        <w:rPr>
          <w:rFonts w:ascii="宋体" w:hAnsi="宋体" w:eastAsia="宋体" w:cs="宋体"/>
          <w:color w:val="000000"/>
          <w:sz w:val="24"/>
          <w:szCs w:val="24"/>
          <w:highlight w:val="none"/>
        </w:rPr>
        <w:t>非生产类招投标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-</w:t>
      </w:r>
      <w:r>
        <w:rPr>
          <w:rFonts w:ascii="宋体" w:hAnsi="宋体" w:eastAsia="宋体" w:cs="宋体"/>
          <w:color w:val="000000"/>
          <w:sz w:val="24"/>
          <w:szCs w:val="24"/>
          <w:highlight w:val="none"/>
        </w:rPr>
        <w:t>供应商澄清报价</w:t>
      </w:r>
    </w:p>
    <w:p w14:paraId="152DBA14">
      <w:pPr>
        <w:spacing w:line="360" w:lineRule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ascii="宋体" w:hAnsi="宋体" w:eastAsia="宋体" w:cs="宋体"/>
          <w:color w:val="000000"/>
          <w:sz w:val="24"/>
          <w:szCs w:val="24"/>
          <w:highlight w:val="none"/>
        </w:rPr>
        <w:t>招标发起人接收建议价的同时会给供应商发送澄清报价，供应商在此界面进行澄清报价，点击编辑按钮进入澄清报价详细界面，输入价格并上传澄清函，之后点击提交。</w:t>
      </w:r>
    </w:p>
    <w:p w14:paraId="164849D7">
      <w:pPr>
        <w:pStyle w:val="4"/>
        <w:ind w:left="425" w:hanging="425"/>
        <w:rPr>
          <w:rFonts w:eastAsia="Arial" w:cs="Arial"/>
          <w:color w:val="000000"/>
          <w:highlight w:val="none"/>
        </w:rPr>
      </w:pPr>
      <w:r>
        <w:rPr>
          <w:rFonts w:eastAsia="Arial" w:cs="Arial"/>
          <w:color w:val="000000"/>
          <w:highlight w:val="none"/>
        </w:rPr>
        <w:drawing>
          <wp:inline distT="0" distB="0" distL="0" distR="0">
            <wp:extent cx="5490210" cy="2544445"/>
            <wp:effectExtent l="0" t="0" r="15240" b="8255"/>
            <wp:docPr id="29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" descr="descript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2544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4575E6">
      <w:pPr>
        <w:spacing w:line="360" w:lineRule="auto"/>
        <w:rPr>
          <w:rFonts w:hint="eastAsia" w:ascii="宋体" w:hAnsi="宋体" w:eastAsia="宋体" w:cs="宋体"/>
          <w:b/>
          <w:bCs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highlight w:val="none"/>
        </w:rPr>
        <w:t>6.供应商查看中标通知</w:t>
      </w:r>
    </w:p>
    <w:p w14:paraId="79C8EC9E">
      <w:pPr>
        <w:spacing w:line="360" w:lineRule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ascii="宋体" w:hAnsi="宋体" w:eastAsia="宋体" w:cs="宋体"/>
          <w:color w:val="000000"/>
          <w:sz w:val="24"/>
          <w:szCs w:val="24"/>
          <w:highlight w:val="none"/>
        </w:rPr>
        <w:t>路径：招投标中心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-</w:t>
      </w:r>
      <w:r>
        <w:rPr>
          <w:rFonts w:ascii="宋体" w:hAnsi="宋体" w:eastAsia="宋体" w:cs="宋体"/>
          <w:color w:val="000000"/>
          <w:sz w:val="24"/>
          <w:szCs w:val="24"/>
          <w:highlight w:val="none"/>
        </w:rPr>
        <w:t>非生产类招投标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-</w:t>
      </w:r>
      <w:r>
        <w:rPr>
          <w:rFonts w:ascii="宋体" w:hAnsi="宋体" w:eastAsia="宋体" w:cs="宋体"/>
          <w:color w:val="000000"/>
          <w:sz w:val="24"/>
          <w:szCs w:val="24"/>
          <w:highlight w:val="none"/>
        </w:rPr>
        <w:t>中标项目</w:t>
      </w:r>
    </w:p>
    <w:p w14:paraId="2C2A512D">
      <w:pPr>
        <w:spacing w:line="360" w:lineRule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ascii="宋体" w:hAnsi="宋体" w:eastAsia="宋体" w:cs="宋体"/>
          <w:color w:val="000000"/>
          <w:sz w:val="24"/>
          <w:szCs w:val="24"/>
          <w:highlight w:val="none"/>
        </w:rPr>
        <w:t>点击查看进入查看中标项目详情</w:t>
      </w:r>
    </w:p>
    <w:p w14:paraId="6E78F4DA">
      <w:pPr>
        <w:rPr>
          <w:rFonts w:hint="eastAsia"/>
          <w:highlight w:val="none"/>
        </w:rPr>
      </w:pPr>
      <w:r>
        <w:rPr>
          <w:highlight w:val="none"/>
        </w:rPr>
        <w:drawing>
          <wp:inline distT="0" distB="0" distL="0" distR="0">
            <wp:extent cx="5760085" cy="1956435"/>
            <wp:effectExtent l="0" t="0" r="12065" b="5715"/>
            <wp:docPr id="30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" descr="descript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195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6304E">
      <w:pPr>
        <w:pStyle w:val="2"/>
        <w:rPr>
          <w:rFonts w:hint="eastAsia" w:hAnsi="宋体" w:eastAsia="宋体" w:cs="Times New Roman"/>
          <w:b/>
          <w:color w:val="000000"/>
          <w:sz w:val="24"/>
          <w:szCs w:val="24"/>
          <w:highlight w:val="none"/>
        </w:rPr>
      </w:pPr>
    </w:p>
    <w:p w14:paraId="15DACC85">
      <w:pPr>
        <w:pStyle w:val="2"/>
        <w:rPr>
          <w:rFonts w:hint="eastAsia" w:hAnsi="宋体" w:eastAsia="宋体" w:cs="Times New Roman"/>
          <w:b/>
          <w:color w:val="000000"/>
          <w:sz w:val="24"/>
          <w:szCs w:val="24"/>
          <w:highlight w:val="none"/>
        </w:rPr>
      </w:pPr>
    </w:p>
    <w:p w14:paraId="33F89EEB">
      <w:pPr>
        <w:pStyle w:val="2"/>
        <w:rPr>
          <w:rFonts w:hint="eastAsia" w:hAnsi="宋体" w:eastAsia="宋体" w:cs="Times New Roman"/>
          <w:b/>
          <w:color w:val="000000"/>
          <w:sz w:val="24"/>
          <w:szCs w:val="24"/>
          <w:highlight w:val="none"/>
        </w:rPr>
      </w:pPr>
    </w:p>
    <w:p w14:paraId="2E2A1019">
      <w:pPr>
        <w:jc w:val="both"/>
        <w:rPr>
          <w:highlight w:val="none"/>
        </w:rPr>
      </w:pPr>
    </w:p>
    <w:p w14:paraId="1857F2F0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  <w:t xml:space="preserve"> </w:t>
      </w:r>
    </w:p>
    <w:p w14:paraId="5B5F13DD">
      <w:pP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4056C"/>
    <w:rsid w:val="0CD4415F"/>
    <w:rsid w:val="0D910DAE"/>
    <w:rsid w:val="0FCD44D3"/>
    <w:rsid w:val="109C4CD3"/>
    <w:rsid w:val="139B344B"/>
    <w:rsid w:val="166C0A67"/>
    <w:rsid w:val="16802955"/>
    <w:rsid w:val="16BB153F"/>
    <w:rsid w:val="184664D5"/>
    <w:rsid w:val="1D4E371D"/>
    <w:rsid w:val="1DF56E2E"/>
    <w:rsid w:val="1E8078F1"/>
    <w:rsid w:val="20D25E64"/>
    <w:rsid w:val="23417673"/>
    <w:rsid w:val="234208F1"/>
    <w:rsid w:val="2435301D"/>
    <w:rsid w:val="26056AD6"/>
    <w:rsid w:val="267E3F07"/>
    <w:rsid w:val="27FF2A1C"/>
    <w:rsid w:val="2C4F483D"/>
    <w:rsid w:val="2C8441A5"/>
    <w:rsid w:val="2F5037B7"/>
    <w:rsid w:val="37607AB4"/>
    <w:rsid w:val="3BBF18D7"/>
    <w:rsid w:val="3EFD0A9B"/>
    <w:rsid w:val="40A04B46"/>
    <w:rsid w:val="423F4EBB"/>
    <w:rsid w:val="44907102"/>
    <w:rsid w:val="45A72A8C"/>
    <w:rsid w:val="45FE4234"/>
    <w:rsid w:val="47FE17F4"/>
    <w:rsid w:val="48EF075C"/>
    <w:rsid w:val="49383112"/>
    <w:rsid w:val="4C1B4BAD"/>
    <w:rsid w:val="51AE26BC"/>
    <w:rsid w:val="52302759"/>
    <w:rsid w:val="539D2646"/>
    <w:rsid w:val="56EB73E7"/>
    <w:rsid w:val="57B36157"/>
    <w:rsid w:val="62175534"/>
    <w:rsid w:val="65070525"/>
    <w:rsid w:val="69BB0BAD"/>
    <w:rsid w:val="6BBC7E94"/>
    <w:rsid w:val="6DCE6CB3"/>
    <w:rsid w:val="70D73EA9"/>
    <w:rsid w:val="721203DE"/>
    <w:rsid w:val="729B0C63"/>
    <w:rsid w:val="72B45FE6"/>
    <w:rsid w:val="77454481"/>
    <w:rsid w:val="7DA44D30"/>
    <w:rsid w:val="7E394D59"/>
    <w:rsid w:val="7F3C5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/>
      <w:szCs w:val="20"/>
    </w:r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FollowedHyperlink"/>
    <w:basedOn w:val="9"/>
    <w:qFormat/>
    <w:uiPriority w:val="0"/>
    <w:rPr>
      <w:color w:val="800080"/>
      <w:u w:val="none"/>
    </w:rPr>
  </w:style>
  <w:style w:type="character" w:styleId="12">
    <w:name w:val="HTML Definition"/>
    <w:basedOn w:val="9"/>
    <w:qFormat/>
    <w:uiPriority w:val="0"/>
  </w:style>
  <w:style w:type="character" w:styleId="13">
    <w:name w:val="HTML Typewriter"/>
    <w:basedOn w:val="9"/>
    <w:qFormat/>
    <w:uiPriority w:val="0"/>
    <w:rPr>
      <w:rFonts w:hint="default" w:ascii="monospace" w:hAnsi="monospace" w:eastAsia="monospace" w:cs="monospace"/>
      <w:sz w:val="20"/>
    </w:rPr>
  </w:style>
  <w:style w:type="character" w:styleId="14">
    <w:name w:val="HTML Acronym"/>
    <w:basedOn w:val="9"/>
    <w:qFormat/>
    <w:uiPriority w:val="0"/>
  </w:style>
  <w:style w:type="character" w:styleId="15">
    <w:name w:val="HTML Variable"/>
    <w:basedOn w:val="9"/>
    <w:qFormat/>
    <w:uiPriority w:val="0"/>
  </w:style>
  <w:style w:type="character" w:styleId="16">
    <w:name w:val="Hyperlink"/>
    <w:basedOn w:val="9"/>
    <w:qFormat/>
    <w:uiPriority w:val="0"/>
    <w:rPr>
      <w:color w:val="0000FF"/>
      <w:u w:val="none"/>
    </w:rPr>
  </w:style>
  <w:style w:type="character" w:styleId="17">
    <w:name w:val="HTML Code"/>
    <w:basedOn w:val="9"/>
    <w:qFormat/>
    <w:uiPriority w:val="0"/>
    <w:rPr>
      <w:rFonts w:hint="default" w:ascii="monospace" w:hAnsi="monospace" w:eastAsia="monospace" w:cs="monospace"/>
      <w:sz w:val="20"/>
    </w:rPr>
  </w:style>
  <w:style w:type="character" w:styleId="18">
    <w:name w:val="HTML Cite"/>
    <w:basedOn w:val="9"/>
    <w:qFormat/>
    <w:uiPriority w:val="0"/>
  </w:style>
  <w:style w:type="character" w:styleId="19">
    <w:name w:val="HTML Keyboard"/>
    <w:basedOn w:val="9"/>
    <w:qFormat/>
    <w:uiPriority w:val="0"/>
    <w:rPr>
      <w:rFonts w:ascii="monospace" w:hAnsi="monospace" w:eastAsia="monospace" w:cs="monospace"/>
      <w:sz w:val="20"/>
    </w:rPr>
  </w:style>
  <w:style w:type="character" w:styleId="20">
    <w:name w:val="HTML Sample"/>
    <w:basedOn w:val="9"/>
    <w:qFormat/>
    <w:uiPriority w:val="0"/>
    <w:rPr>
      <w:rFonts w:hint="default" w:ascii="monospace" w:hAnsi="monospace" w:eastAsia="monospace" w:cs="monospac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1350</Words>
  <Characters>1506</Characters>
  <Lines>0</Lines>
  <Paragraphs>0</Paragraphs>
  <TotalTime>9</TotalTime>
  <ScaleCrop>false</ScaleCrop>
  <LinksUpToDate>false</LinksUpToDate>
  <CharactersWithSpaces>1577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2025-12-25T08:41:00Z</dcterms:created>
  <dc:creator>Administrator</dc:creator>
  <cp:lastModifiedBy>lulala</cp:lastModifiedBy>
  <cp:lastPrinted>2026-03-27T08:14:00Z</cp:lastPrinted>
  <dcterms:modified xsi:type="dcterms:W3CDTF">2026-10-30T01:11:18Z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KSOTemplateDocerSaveRecord">
    <vt:lpwstr>eyJoZGlkIjoiZDBiMWFiZGZhOTA3OTgwODAxOTc1MzNiZDE3ZjY2NTYiLCJ1c2VySWQiOiI0MTE1MTQyNTMifQ==</vt:lpwstr>
  </property>
  <property fmtid="{D5CDD505-2E9C-101B-9397-08002B2CF9AE}" pid="4" name="ICV">
    <vt:lpwstr>5315011FD5954B1D940646F3FBC4EE8D_13</vt:lpwstr>
  </property>
</Properties>
</file>