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9D738">
      <w:pPr>
        <w:jc w:val="center"/>
        <w:rPr>
          <w:rFonts w:ascii="方正小标宋简体" w:hAnsi="宋体" w:eastAsia="方正小标宋简体"/>
          <w:b/>
          <w:bCs/>
          <w:sz w:val="52"/>
          <w:szCs w:val="52"/>
          <w:highlight w:val="none"/>
        </w:rPr>
      </w:pPr>
    </w:p>
    <w:p w14:paraId="294C5961">
      <w:pPr>
        <w:jc w:val="center"/>
        <w:rPr>
          <w:rFonts w:hint="default" w:ascii="方正小标宋简体" w:hAnsi="宋体" w:eastAsia="方正小标宋简体"/>
          <w:b/>
          <w:bCs/>
          <w:sz w:val="56"/>
          <w:szCs w:val="56"/>
          <w:highlight w:val="none"/>
          <w:lang w:val="en-US" w:eastAsia="zh-CN"/>
        </w:rPr>
      </w:pPr>
      <w:r>
        <w:rPr>
          <w:rFonts w:hint="eastAsia" w:ascii="方正小标宋简体" w:hAnsi="宋体" w:eastAsia="方正小标宋简体"/>
          <w:b/>
          <w:bCs/>
          <w:sz w:val="52"/>
          <w:szCs w:val="52"/>
          <w:highlight w:val="none"/>
          <w:lang w:val="en-US" w:eastAsia="zh-CN"/>
        </w:rPr>
        <w:t>中国重汽采购管理人员赋能</w:t>
      </w:r>
      <w:r>
        <w:rPr>
          <w:rFonts w:hint="eastAsia" w:ascii="方正小标宋简体" w:hAnsi="宋体" w:eastAsia="方正小标宋简体"/>
          <w:b/>
          <w:bCs/>
          <w:sz w:val="52"/>
          <w:szCs w:val="52"/>
          <w:highlight w:val="none"/>
          <w:lang w:val="en-US" w:eastAsia="zh-CN"/>
        </w:rPr>
        <w:br w:type="textWrapping"/>
      </w:r>
      <w:r>
        <w:rPr>
          <w:rFonts w:hint="eastAsia" w:ascii="方正小标宋简体" w:hAnsi="宋体" w:eastAsia="方正小标宋简体"/>
          <w:b/>
          <w:bCs/>
          <w:sz w:val="52"/>
          <w:szCs w:val="52"/>
          <w:highlight w:val="none"/>
          <w:lang w:val="en-US" w:eastAsia="zh-CN"/>
        </w:rPr>
        <w:t>培训项目</w:t>
      </w:r>
    </w:p>
    <w:p w14:paraId="524EB42C">
      <w:pPr>
        <w:tabs>
          <w:tab w:val="center" w:pos="4535"/>
          <w:tab w:val="right" w:pos="9190"/>
        </w:tabs>
        <w:jc w:val="left"/>
        <w:rPr>
          <w:sz w:val="28"/>
          <w:szCs w:val="28"/>
          <w:highlight w:val="none"/>
        </w:rPr>
      </w:pPr>
      <w:r>
        <w:rPr>
          <w:rFonts w:hint="eastAsia"/>
          <w:sz w:val="28"/>
          <w:szCs w:val="28"/>
          <w:highlight w:val="none"/>
          <w:lang w:eastAsia="zh-CN"/>
        </w:rPr>
        <w:tab/>
      </w:r>
      <w:r>
        <w:rPr>
          <w:rFonts w:hint="eastAsia"/>
          <w:sz w:val="28"/>
          <w:szCs w:val="28"/>
          <w:highlight w:val="none"/>
          <w:lang w:eastAsia="zh-CN"/>
        </w:rPr>
        <w:tab/>
      </w:r>
      <w:r>
        <w:rPr>
          <w:rFonts w:hint="eastAsia"/>
          <w:sz w:val="28"/>
          <w:szCs w:val="28"/>
          <w:highlight w:val="none"/>
        </w:rPr>
        <w:t>附：技术协议书</w:t>
      </w:r>
    </w:p>
    <w:p w14:paraId="5EDF8D17">
      <w:pPr>
        <w:rPr>
          <w:sz w:val="28"/>
          <w:szCs w:val="28"/>
          <w:highlight w:val="none"/>
        </w:rPr>
      </w:pPr>
    </w:p>
    <w:p w14:paraId="2B983A2F">
      <w:pPr>
        <w:rPr>
          <w:highlight w:val="none"/>
        </w:rPr>
      </w:pPr>
    </w:p>
    <w:p w14:paraId="711F3731">
      <w:pPr>
        <w:jc w:val="center"/>
        <w:rPr>
          <w:rFonts w:ascii="黑体" w:hAnsi="宋体" w:eastAsia="黑体"/>
          <w:sz w:val="84"/>
          <w:szCs w:val="84"/>
          <w:highlight w:val="none"/>
        </w:rPr>
      </w:pPr>
      <w:r>
        <w:rPr>
          <w:rFonts w:hint="eastAsia" w:ascii="黑体" w:hAnsi="宋体" w:eastAsia="黑体"/>
          <w:sz w:val="84"/>
          <w:szCs w:val="84"/>
          <w:highlight w:val="none"/>
        </w:rPr>
        <w:t>招</w:t>
      </w:r>
    </w:p>
    <w:p w14:paraId="6FC8E07C">
      <w:pPr>
        <w:jc w:val="center"/>
        <w:rPr>
          <w:rFonts w:ascii="黑体" w:hAnsi="宋体" w:eastAsia="黑体"/>
          <w:sz w:val="84"/>
          <w:szCs w:val="84"/>
          <w:highlight w:val="none"/>
        </w:rPr>
      </w:pPr>
      <w:r>
        <w:rPr>
          <w:rFonts w:hint="eastAsia" w:ascii="黑体" w:hAnsi="宋体" w:eastAsia="黑体"/>
          <w:sz w:val="84"/>
          <w:szCs w:val="84"/>
          <w:highlight w:val="none"/>
        </w:rPr>
        <w:t>标</w:t>
      </w:r>
    </w:p>
    <w:p w14:paraId="79F51D16">
      <w:pPr>
        <w:jc w:val="center"/>
        <w:rPr>
          <w:rFonts w:ascii="黑体" w:hAnsi="宋体" w:eastAsia="黑体"/>
          <w:sz w:val="84"/>
          <w:szCs w:val="84"/>
          <w:highlight w:val="none"/>
        </w:rPr>
      </w:pPr>
      <w:r>
        <w:rPr>
          <w:rFonts w:hint="eastAsia" w:ascii="黑体" w:hAnsi="宋体" w:eastAsia="黑体"/>
          <w:sz w:val="84"/>
          <w:szCs w:val="84"/>
          <w:highlight w:val="none"/>
        </w:rPr>
        <w:t>文</w:t>
      </w:r>
    </w:p>
    <w:p w14:paraId="0991DC89">
      <w:pPr>
        <w:jc w:val="center"/>
        <w:rPr>
          <w:rFonts w:ascii="黑体" w:hAnsi="黑体" w:eastAsia="黑体"/>
          <w:sz w:val="96"/>
          <w:highlight w:val="none"/>
        </w:rPr>
      </w:pPr>
      <w:r>
        <w:rPr>
          <w:rFonts w:hint="eastAsia" w:ascii="黑体" w:hAnsi="宋体" w:eastAsia="黑体"/>
          <w:sz w:val="84"/>
          <w:szCs w:val="84"/>
          <w:highlight w:val="none"/>
        </w:rPr>
        <w:t>件</w:t>
      </w:r>
    </w:p>
    <w:p w14:paraId="629F359A">
      <w:pPr>
        <w:jc w:val="center"/>
        <w:rPr>
          <w:rFonts w:ascii="黑体" w:hAnsi="黑体" w:eastAsia="黑体"/>
          <w:b/>
          <w:sz w:val="96"/>
          <w:highlight w:val="none"/>
        </w:rPr>
      </w:pPr>
    </w:p>
    <w:p w14:paraId="1774B0A9">
      <w:pPr>
        <w:pStyle w:val="13"/>
        <w:rPr>
          <w:rFonts w:ascii="黑体" w:hAnsi="黑体" w:eastAsia="黑体"/>
          <w:b/>
          <w:sz w:val="32"/>
          <w:szCs w:val="32"/>
          <w:highlight w:val="none"/>
        </w:rPr>
      </w:pPr>
      <w:r>
        <w:rPr>
          <w:rFonts w:ascii="黑体" w:hAnsi="黑体" w:eastAsia="黑体"/>
          <w:b/>
          <w:sz w:val="32"/>
          <w:szCs w:val="32"/>
          <w:highlight w:val="none"/>
        </w:rPr>
        <w:br w:type="textWrapping"/>
      </w:r>
    </w:p>
    <w:p w14:paraId="40B1FCEC">
      <w:pPr>
        <w:rPr>
          <w:rFonts w:ascii="黑体" w:hAnsi="黑体" w:eastAsia="黑体"/>
          <w:b/>
          <w:sz w:val="32"/>
          <w:szCs w:val="32"/>
          <w:highlight w:val="none"/>
        </w:rPr>
      </w:pPr>
    </w:p>
    <w:p w14:paraId="0D994378">
      <w:pPr>
        <w:jc w:val="center"/>
        <w:rPr>
          <w:rFonts w:ascii="宋体" w:hAnsi="宋体"/>
          <w:sz w:val="28"/>
          <w:szCs w:val="28"/>
          <w:highlight w:val="none"/>
        </w:rPr>
      </w:pPr>
      <w:r>
        <w:rPr>
          <w:rFonts w:hint="eastAsia" w:ascii="宋体" w:hAnsi="宋体"/>
          <w:sz w:val="28"/>
          <w:szCs w:val="28"/>
          <w:highlight w:val="none"/>
        </w:rPr>
        <w:t>招标人：中国重汽集团济南动力有限公司</w:t>
      </w:r>
    </w:p>
    <w:p w14:paraId="6FF896D4">
      <w:pPr>
        <w:jc w:val="center"/>
        <w:rPr>
          <w:rFonts w:ascii="宋体" w:hAnsi="宋体"/>
          <w:sz w:val="28"/>
          <w:szCs w:val="28"/>
          <w:highlight w:val="none"/>
        </w:rPr>
      </w:pPr>
      <w:r>
        <w:rPr>
          <w:rFonts w:hint="eastAsia" w:ascii="宋体" w:hAnsi="宋体"/>
          <w:sz w:val="28"/>
          <w:szCs w:val="28"/>
          <w:highlight w:val="none"/>
        </w:rPr>
        <w:t>2026年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1E503267">
      <w:pPr>
        <w:rPr>
          <w:highlight w:val="none"/>
        </w:rPr>
      </w:pPr>
    </w:p>
    <w:p w14:paraId="6337C510">
      <w:pPr>
        <w:jc w:val="center"/>
        <w:rPr>
          <w:rFonts w:ascii="宋体" w:hAnsi="宋体"/>
          <w:highlight w:val="none"/>
        </w:rPr>
      </w:pPr>
    </w:p>
    <w:p w14:paraId="3137095A">
      <w:pPr>
        <w:spacing w:line="500" w:lineRule="exact"/>
        <w:jc w:val="center"/>
        <w:rPr>
          <w:rFonts w:ascii="宋体" w:hAnsi="宋体" w:cs="宋体"/>
          <w:b/>
          <w:bCs/>
          <w:sz w:val="44"/>
          <w:szCs w:val="44"/>
          <w:highlight w:val="none"/>
        </w:rPr>
        <w:sectPr>
          <w:footerReference r:id="rId4" w:type="first"/>
          <w:headerReference r:id="rId3" w:type="default"/>
          <w:pgSz w:w="11906" w:h="16838"/>
          <w:pgMar w:top="1588" w:right="1418" w:bottom="1134" w:left="1418" w:header="851" w:footer="992" w:gutter="0"/>
          <w:pgNumType w:fmt="decimal"/>
          <w:cols w:space="720" w:num="1"/>
          <w:titlePg/>
          <w:docGrid w:type="lines" w:linePitch="312" w:charSpace="0"/>
        </w:sectPr>
      </w:pPr>
    </w:p>
    <w:p w14:paraId="04D4BF0F">
      <w:pPr>
        <w:pStyle w:val="13"/>
        <w:rPr>
          <w:highlight w:val="none"/>
        </w:rPr>
      </w:pPr>
    </w:p>
    <w:p w14:paraId="69C6B062">
      <w:pPr>
        <w:spacing w:line="500" w:lineRule="exact"/>
        <w:jc w:val="center"/>
        <w:rPr>
          <w:rFonts w:ascii="宋体" w:hAnsi="宋体" w:cs="宋体"/>
          <w:b/>
          <w:bCs/>
          <w:sz w:val="44"/>
          <w:szCs w:val="44"/>
          <w:highlight w:val="none"/>
        </w:rPr>
      </w:pPr>
      <w:r>
        <w:rPr>
          <w:rFonts w:hint="eastAsia" w:ascii="宋体" w:hAnsi="宋体" w:cs="宋体"/>
          <w:b/>
          <w:bCs/>
          <w:sz w:val="44"/>
          <w:szCs w:val="44"/>
          <w:highlight w:val="none"/>
        </w:rPr>
        <w:t>目录</w:t>
      </w:r>
    </w:p>
    <w:p w14:paraId="4331CA4D">
      <w:pPr>
        <w:pStyle w:val="13"/>
        <w:spacing w:line="500" w:lineRule="exact"/>
        <w:rPr>
          <w:rFonts w:ascii="宋体" w:hAnsi="宋体" w:cs="宋体"/>
          <w:b/>
          <w:bCs/>
          <w:sz w:val="30"/>
          <w:szCs w:val="30"/>
          <w:highlight w:val="none"/>
        </w:rPr>
      </w:pPr>
    </w:p>
    <w:p w14:paraId="54C81130">
      <w:pPr>
        <w:pStyle w:val="13"/>
        <w:spacing w:line="500" w:lineRule="exact"/>
        <w:rPr>
          <w:rFonts w:ascii="宋体" w:hAnsi="宋体" w:cs="宋体"/>
          <w:b/>
          <w:bCs/>
          <w:sz w:val="30"/>
          <w:szCs w:val="30"/>
          <w:highlight w:val="none"/>
        </w:rPr>
      </w:pPr>
    </w:p>
    <w:p w14:paraId="41F8D3B3">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"_Toc14413" </w:instrText>
      </w:r>
      <w:r>
        <w:rPr>
          <w:highlight w:val="none"/>
        </w:rPr>
        <w:fldChar w:fldCharType="separate"/>
      </w:r>
      <w:r>
        <w:rPr>
          <w:rFonts w:hint="eastAsia" w:ascii="仿宋_GB2312" w:hAnsi="仿宋_GB2312" w:eastAsia="仿宋_GB2312" w:cs="仿宋_GB2312"/>
          <w:bCs/>
          <w:sz w:val="30"/>
          <w:szCs w:val="30"/>
          <w:highlight w:val="none"/>
        </w:rPr>
        <w:t>一、投标人须知</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2</w:t>
      </w:r>
      <w:r>
        <w:rPr>
          <w:rFonts w:hint="eastAsia" w:ascii="仿宋_GB2312" w:hAnsi="仿宋_GB2312" w:eastAsia="仿宋_GB2312" w:cs="仿宋_GB2312"/>
          <w:bCs/>
          <w:sz w:val="30"/>
          <w:szCs w:val="30"/>
          <w:highlight w:val="none"/>
        </w:rPr>
        <w:fldChar w:fldCharType="end"/>
      </w:r>
    </w:p>
    <w:p w14:paraId="78534972">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"_Toc26596" </w:instrText>
      </w:r>
      <w:r>
        <w:rPr>
          <w:highlight w:val="none"/>
        </w:rPr>
        <w:fldChar w:fldCharType="separate"/>
      </w:r>
      <w:r>
        <w:rPr>
          <w:rFonts w:hint="eastAsia" w:ascii="仿宋_GB2312" w:hAnsi="仿宋_GB2312" w:eastAsia="仿宋_GB2312" w:cs="仿宋_GB2312"/>
          <w:bCs/>
          <w:sz w:val="30"/>
          <w:szCs w:val="30"/>
          <w:highlight w:val="none"/>
        </w:rPr>
        <w:t>二、投标人资格条件及要求</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2</w:t>
      </w:r>
      <w:r>
        <w:rPr>
          <w:rFonts w:hint="eastAsia" w:ascii="仿宋_GB2312" w:hAnsi="仿宋_GB2312" w:eastAsia="仿宋_GB2312" w:cs="仿宋_GB2312"/>
          <w:bCs/>
          <w:sz w:val="30"/>
          <w:szCs w:val="30"/>
          <w:highlight w:val="none"/>
        </w:rPr>
        <w:fldChar w:fldCharType="end"/>
      </w:r>
    </w:p>
    <w:p w14:paraId="288C67E6">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"_Toc25722" </w:instrText>
      </w:r>
      <w:r>
        <w:rPr>
          <w:highlight w:val="none"/>
        </w:rPr>
        <w:fldChar w:fldCharType="separate"/>
      </w:r>
      <w:r>
        <w:rPr>
          <w:rFonts w:hint="eastAsia" w:ascii="仿宋_GB2312" w:hAnsi="仿宋_GB2312" w:eastAsia="仿宋_GB2312" w:cs="仿宋_GB2312"/>
          <w:bCs/>
          <w:sz w:val="30"/>
          <w:szCs w:val="30"/>
          <w:highlight w:val="none"/>
        </w:rPr>
        <w:t>三、投标说明</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4</w:t>
      </w:r>
      <w:r>
        <w:rPr>
          <w:rFonts w:hint="eastAsia" w:ascii="仿宋_GB2312" w:hAnsi="仿宋_GB2312" w:eastAsia="仿宋_GB2312" w:cs="仿宋_GB2312"/>
          <w:bCs/>
          <w:sz w:val="30"/>
          <w:szCs w:val="30"/>
          <w:highlight w:val="none"/>
        </w:rPr>
        <w:fldChar w:fldCharType="end"/>
      </w:r>
    </w:p>
    <w:p w14:paraId="30E8A6CF">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"_Toc30928" </w:instrText>
      </w:r>
      <w:r>
        <w:rPr>
          <w:highlight w:val="none"/>
        </w:rPr>
        <w:fldChar w:fldCharType="separate"/>
      </w:r>
      <w:r>
        <w:rPr>
          <w:rFonts w:hint="eastAsia" w:ascii="仿宋_GB2312" w:hAnsi="仿宋_GB2312" w:eastAsia="仿宋_GB2312" w:cs="仿宋_GB2312"/>
          <w:bCs/>
          <w:sz w:val="30"/>
          <w:szCs w:val="30"/>
          <w:highlight w:val="none"/>
        </w:rPr>
        <w:t>四、投标文件</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9</w:t>
      </w:r>
      <w:r>
        <w:rPr>
          <w:rFonts w:hint="eastAsia" w:ascii="仿宋_GB2312" w:hAnsi="仿宋_GB2312" w:eastAsia="仿宋_GB2312" w:cs="仿宋_GB2312"/>
          <w:bCs/>
          <w:sz w:val="30"/>
          <w:szCs w:val="30"/>
          <w:highlight w:val="none"/>
        </w:rPr>
        <w:fldChar w:fldCharType="end"/>
      </w:r>
    </w:p>
    <w:p w14:paraId="7FBC2E72">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"_Toc22774" </w:instrText>
      </w:r>
      <w:r>
        <w:rPr>
          <w:highlight w:val="none"/>
        </w:rPr>
        <w:fldChar w:fldCharType="separate"/>
      </w:r>
      <w:r>
        <w:rPr>
          <w:rFonts w:hint="eastAsia" w:ascii="仿宋_GB2312" w:hAnsi="仿宋_GB2312" w:eastAsia="仿宋_GB2312" w:cs="仿宋_GB2312"/>
          <w:bCs/>
          <w:sz w:val="30"/>
          <w:szCs w:val="30"/>
          <w:highlight w:val="none"/>
        </w:rPr>
        <w:t>五、合同签订</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1</w:t>
      </w:r>
    </w:p>
    <w:p w14:paraId="24F3B778">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"_Toc28350" </w:instrText>
      </w:r>
      <w:r>
        <w:rPr>
          <w:highlight w:val="none"/>
        </w:rPr>
        <w:fldChar w:fldCharType="separate"/>
      </w:r>
      <w:r>
        <w:rPr>
          <w:rFonts w:hint="eastAsia" w:ascii="仿宋_GB2312" w:hAnsi="仿宋_GB2312" w:eastAsia="仿宋_GB2312" w:cs="仿宋_GB2312"/>
          <w:bCs/>
          <w:sz w:val="30"/>
          <w:szCs w:val="30"/>
          <w:highlight w:val="none"/>
        </w:rPr>
        <w:t>六、废标及终止招标</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 w:eastAsia="仿宋_GB2312" w:cs="Times New Roman"/>
          <w:bCs w:val="0"/>
          <w:kern w:val="2"/>
          <w:sz w:val="30"/>
          <w:szCs w:val="30"/>
          <w:highlight w:val="none"/>
          <w:lang w:val="en-US" w:eastAsia="zh-CN"/>
        </w:rPr>
        <w:t>2</w:t>
      </w:r>
    </w:p>
    <w:p w14:paraId="0CA9F8FB">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"_Toc8621" </w:instrText>
      </w:r>
      <w:r>
        <w:rPr>
          <w:highlight w:val="none"/>
        </w:rPr>
        <w:fldChar w:fldCharType="separate"/>
      </w:r>
      <w:r>
        <w:rPr>
          <w:rFonts w:hint="eastAsia" w:ascii="仿宋_GB2312" w:hAnsi="仿宋_GB2312" w:eastAsia="仿宋_GB2312" w:cs="仿宋_GB2312"/>
          <w:bCs/>
          <w:sz w:val="30"/>
          <w:szCs w:val="30"/>
          <w:highlight w:val="none"/>
        </w:rPr>
        <w:t>七、中标人瑕疵滞后发现的处理原则</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69FDE4F3">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"_Toc10048" </w:instrText>
      </w:r>
      <w:r>
        <w:rPr>
          <w:highlight w:val="none"/>
        </w:rPr>
        <w:fldChar w:fldCharType="separate"/>
      </w:r>
      <w:r>
        <w:rPr>
          <w:rFonts w:hint="eastAsia" w:ascii="仿宋_GB2312" w:hAnsi="仿宋_GB2312" w:eastAsia="仿宋_GB2312" w:cs="仿宋_GB2312"/>
          <w:bCs/>
          <w:sz w:val="30"/>
          <w:szCs w:val="30"/>
          <w:highlight w:val="none"/>
        </w:rPr>
        <w:t>八、投标文件格式</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44F5503F">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"_Toc2515" </w:instrText>
      </w:r>
      <w:r>
        <w:rPr>
          <w:highlight w:val="none"/>
        </w:rPr>
        <w:fldChar w:fldCharType="separate"/>
      </w:r>
      <w:r>
        <w:rPr>
          <w:rFonts w:hint="eastAsia" w:ascii="仿宋_GB2312" w:hAnsi="仿宋_GB2312" w:eastAsia="仿宋_GB2312" w:cs="仿宋_GB2312"/>
          <w:bCs/>
          <w:sz w:val="30"/>
          <w:szCs w:val="30"/>
          <w:highlight w:val="none"/>
        </w:rPr>
        <w:t>九、技术协议书</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312B7D13">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"_Toc23780" </w:instrText>
      </w:r>
      <w:r>
        <w:rPr>
          <w:highlight w:val="none"/>
        </w:rPr>
        <w:fldChar w:fldCharType="separate"/>
      </w:r>
      <w:r>
        <w:rPr>
          <w:rFonts w:hint="eastAsia" w:ascii="仿宋_GB2312" w:hAnsi="仿宋_GB2312" w:eastAsia="仿宋_GB2312" w:cs="仿宋_GB2312"/>
          <w:bCs/>
          <w:sz w:val="30"/>
          <w:szCs w:val="30"/>
          <w:highlight w:val="none"/>
        </w:rPr>
        <w:t>十、解释权</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43D6245D">
      <w:pPr>
        <w:pStyle w:val="42"/>
        <w:tabs>
          <w:tab w:val="right" w:leader="dot" w:pos="9070"/>
        </w:tabs>
        <w:spacing w:line="500" w:lineRule="exact"/>
        <w:rPr>
          <w:rFonts w:hint="default" w:ascii="仿宋_GB2312" w:hAnsi="仿宋_GB2312" w:eastAsia="仿宋_GB2312" w:cs="仿宋_GB2312"/>
          <w:bCs/>
          <w:sz w:val="30"/>
          <w:szCs w:val="30"/>
          <w:highlight w:val="none"/>
          <w:lang w:val="en-US" w:eastAsia="zh-CN"/>
        </w:rPr>
      </w:pPr>
      <w:r>
        <w:rPr>
          <w:rFonts w:hint="eastAsia" w:ascii="仿宋_GB2312" w:hAnsi="仿宋_GB2312" w:eastAsia="仿宋_GB2312" w:cs="仿宋_GB2312"/>
          <w:bCs/>
          <w:sz w:val="30"/>
          <w:szCs w:val="30"/>
          <w:highlight w:val="none"/>
        </w:rPr>
        <w:t>附件：</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14</w:t>
      </w:r>
    </w:p>
    <w:p w14:paraId="73C3C842">
      <w:pPr>
        <w:spacing w:line="500" w:lineRule="exact"/>
        <w:ind w:firstLine="602" w:firstLineChars="200"/>
        <w:jc w:val="left"/>
        <w:rPr>
          <w:rFonts w:ascii="黑体" w:hAnsi="黑体" w:eastAsia="黑体" w:cs="黑体"/>
          <w:b/>
          <w:bCs/>
          <w:sz w:val="30"/>
          <w:szCs w:val="30"/>
          <w:highlight w:val="none"/>
        </w:rPr>
      </w:pPr>
    </w:p>
    <w:p w14:paraId="645E6B2D">
      <w:pPr>
        <w:spacing w:line="500" w:lineRule="exact"/>
        <w:ind w:firstLine="602" w:firstLineChars="200"/>
        <w:jc w:val="left"/>
        <w:rPr>
          <w:rFonts w:ascii="黑体" w:hAnsi="黑体" w:eastAsia="黑体" w:cs="黑体"/>
          <w:b/>
          <w:bCs/>
          <w:sz w:val="30"/>
          <w:szCs w:val="30"/>
          <w:highlight w:val="none"/>
        </w:rPr>
      </w:pPr>
    </w:p>
    <w:p w14:paraId="7A7B0854">
      <w:pPr>
        <w:pStyle w:val="42"/>
        <w:tabs>
          <w:tab w:val="right" w:leader="dot" w:pos="9070"/>
        </w:tabs>
        <w:spacing w:line="500" w:lineRule="exact"/>
        <w:rPr>
          <w:rFonts w:ascii="宋体" w:hAnsi="宋体" w:eastAsia="宋体" w:cs="Times New Roman"/>
          <w:kern w:val="2"/>
          <w:sz w:val="21"/>
          <w:highlight w:val="none"/>
          <w:lang w:val="en-US" w:eastAsia="zh-CN" w:bidi="ar-SA"/>
        </w:rPr>
      </w:pPr>
    </w:p>
    <w:p w14:paraId="75C893F5">
      <w:pPr>
        <w:pStyle w:val="42"/>
        <w:tabs>
          <w:tab w:val="right" w:leader="dot" w:pos="9070"/>
        </w:tabs>
        <w:spacing w:line="500" w:lineRule="exact"/>
        <w:rPr>
          <w:rFonts w:ascii="黑体" w:hAnsi="黑体" w:eastAsia="黑体" w:cs="黑体"/>
          <w:bCs/>
          <w:szCs w:val="30"/>
          <w:highlight w:val="none"/>
          <w:lang w:val="en-US" w:eastAsia="zh-CN" w:bidi="ar-SA"/>
        </w:rPr>
      </w:pPr>
    </w:p>
    <w:p w14:paraId="496E61E7">
      <w:pPr>
        <w:pStyle w:val="42"/>
        <w:tabs>
          <w:tab w:val="right" w:leader="dot" w:pos="9070"/>
        </w:tabs>
        <w:spacing w:line="500" w:lineRule="exact"/>
        <w:rPr>
          <w:rFonts w:ascii="黑体" w:hAnsi="黑体" w:eastAsia="黑体" w:cs="黑体"/>
          <w:b/>
          <w:bCs/>
          <w:sz w:val="30"/>
          <w:szCs w:val="30"/>
          <w:highlight w:val="none"/>
        </w:rPr>
      </w:pPr>
    </w:p>
    <w:p w14:paraId="74F0ECB0">
      <w:pPr>
        <w:pStyle w:val="42"/>
        <w:tabs>
          <w:tab w:val="right" w:leader="dot" w:pos="9070"/>
        </w:tabs>
        <w:spacing w:line="500" w:lineRule="exact"/>
        <w:rPr>
          <w:rFonts w:ascii="黑体" w:hAnsi="黑体" w:eastAsia="黑体" w:cs="黑体"/>
          <w:b/>
          <w:bCs/>
          <w:sz w:val="30"/>
          <w:szCs w:val="30"/>
          <w:highlight w:val="none"/>
        </w:rPr>
      </w:pPr>
    </w:p>
    <w:p w14:paraId="78C7F320">
      <w:pPr>
        <w:pStyle w:val="42"/>
        <w:tabs>
          <w:tab w:val="right" w:leader="dot" w:pos="9070"/>
        </w:tabs>
        <w:spacing w:line="500" w:lineRule="exact"/>
        <w:rPr>
          <w:rFonts w:ascii="黑体" w:hAnsi="黑体" w:eastAsia="黑体" w:cs="黑体"/>
          <w:b/>
          <w:bCs/>
          <w:sz w:val="30"/>
          <w:szCs w:val="30"/>
          <w:highlight w:val="none"/>
        </w:rPr>
      </w:pPr>
    </w:p>
    <w:p w14:paraId="763903D5">
      <w:pPr>
        <w:pStyle w:val="42"/>
        <w:tabs>
          <w:tab w:val="right" w:leader="dot" w:pos="9070"/>
        </w:tabs>
        <w:spacing w:line="500" w:lineRule="exact"/>
        <w:rPr>
          <w:rFonts w:ascii="黑体" w:hAnsi="黑体" w:eastAsia="黑体" w:cs="黑体"/>
          <w:b/>
          <w:bCs/>
          <w:sz w:val="30"/>
          <w:szCs w:val="30"/>
          <w:highlight w:val="none"/>
        </w:rPr>
      </w:pPr>
    </w:p>
    <w:p w14:paraId="6BB4F76A">
      <w:pPr>
        <w:pStyle w:val="42"/>
        <w:tabs>
          <w:tab w:val="right" w:leader="dot" w:pos="9070"/>
        </w:tabs>
        <w:spacing w:line="500" w:lineRule="exact"/>
        <w:rPr>
          <w:rFonts w:ascii="黑体" w:hAnsi="黑体" w:eastAsia="黑体" w:cs="黑体"/>
          <w:b/>
          <w:bCs/>
          <w:sz w:val="30"/>
          <w:szCs w:val="30"/>
          <w:highlight w:val="none"/>
        </w:rPr>
      </w:pPr>
    </w:p>
    <w:p w14:paraId="2285C460">
      <w:pPr>
        <w:pStyle w:val="42"/>
        <w:tabs>
          <w:tab w:val="right" w:leader="dot" w:pos="9070"/>
        </w:tabs>
        <w:spacing w:line="500" w:lineRule="exact"/>
        <w:rPr>
          <w:rFonts w:ascii="黑体" w:hAnsi="黑体" w:eastAsia="黑体" w:cs="黑体"/>
          <w:b/>
          <w:bCs/>
          <w:sz w:val="30"/>
          <w:szCs w:val="30"/>
          <w:highlight w:val="none"/>
        </w:rPr>
      </w:pPr>
    </w:p>
    <w:p w14:paraId="058F7699">
      <w:pPr>
        <w:pStyle w:val="42"/>
        <w:tabs>
          <w:tab w:val="right" w:leader="dot" w:pos="9070"/>
        </w:tabs>
        <w:spacing w:line="500" w:lineRule="exact"/>
        <w:rPr>
          <w:rFonts w:ascii="黑体" w:hAnsi="黑体" w:eastAsia="黑体" w:cs="黑体"/>
          <w:b/>
          <w:bCs/>
          <w:sz w:val="30"/>
          <w:szCs w:val="30"/>
          <w:highlight w:val="none"/>
        </w:rPr>
      </w:pPr>
    </w:p>
    <w:p w14:paraId="7FC75285">
      <w:pPr>
        <w:spacing w:line="500" w:lineRule="exact"/>
        <w:jc w:val="left"/>
        <w:rPr>
          <w:rFonts w:ascii="黑体" w:hAnsi="黑体" w:eastAsia="黑体" w:cs="黑体"/>
          <w:b/>
          <w:bCs/>
          <w:sz w:val="30"/>
          <w:szCs w:val="30"/>
          <w:highlight w:val="none"/>
        </w:rPr>
      </w:pPr>
    </w:p>
    <w:p w14:paraId="0CB0944F">
      <w:pPr>
        <w:spacing w:line="500" w:lineRule="exact"/>
        <w:jc w:val="left"/>
        <w:rPr>
          <w:rFonts w:ascii="黑体" w:hAnsi="黑体" w:eastAsia="黑体" w:cs="黑体"/>
          <w:b/>
          <w:bCs/>
          <w:sz w:val="30"/>
          <w:szCs w:val="30"/>
          <w:highlight w:val="none"/>
        </w:rPr>
      </w:pPr>
    </w:p>
    <w:p w14:paraId="12CF9340">
      <w:pPr>
        <w:spacing w:line="500" w:lineRule="exact"/>
        <w:ind w:firstLine="602" w:firstLineChars="200"/>
        <w:jc w:val="left"/>
        <w:outlineLvl w:val="0"/>
        <w:rPr>
          <w:rFonts w:ascii="黑体" w:hAnsi="黑体" w:eastAsia="黑体" w:cs="黑体"/>
          <w:b/>
          <w:bCs/>
          <w:sz w:val="30"/>
          <w:szCs w:val="30"/>
          <w:highlight w:val="none"/>
        </w:rPr>
      </w:pPr>
      <w:bookmarkStart w:id="0" w:name="_Toc14413"/>
      <w:bookmarkStart w:id="1" w:name="_Toc25197"/>
      <w:r>
        <w:rPr>
          <w:rFonts w:hint="eastAsia" w:ascii="黑体" w:hAnsi="黑体" w:eastAsia="黑体" w:cs="黑体"/>
          <w:b/>
          <w:bCs/>
          <w:sz w:val="30"/>
          <w:szCs w:val="30"/>
          <w:highlight w:val="none"/>
        </w:rPr>
        <w:t>一、投标人须知</w:t>
      </w:r>
      <w:bookmarkEnd w:id="0"/>
      <w:bookmarkEnd w:id="1"/>
    </w:p>
    <w:p w14:paraId="3201351E">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1.招标人：中国重汽集团济南动力有限公司</w:t>
      </w:r>
    </w:p>
    <w:p w14:paraId="01CFA152">
      <w:pPr>
        <w:spacing w:line="500" w:lineRule="exact"/>
        <w:ind w:firstLine="600" w:firstLineChars="200"/>
        <w:jc w:val="both"/>
        <w:rPr>
          <w:rFonts w:hint="default" w:ascii="仿宋_GB2312" w:hAnsi="仿宋" w:eastAsia="仿宋_GB2312"/>
          <w:sz w:val="30"/>
          <w:szCs w:val="30"/>
          <w:highlight w:val="none"/>
          <w:lang w:val="en-US"/>
        </w:rPr>
      </w:pPr>
      <w:r>
        <w:rPr>
          <w:rFonts w:hint="eastAsia" w:ascii="仿宋_GB2312" w:hAnsi="仿宋" w:eastAsia="仿宋_GB2312"/>
          <w:sz w:val="30"/>
          <w:szCs w:val="30"/>
          <w:highlight w:val="none"/>
        </w:rPr>
        <w:t>2.项目名称：中国重汽</w:t>
      </w:r>
      <w:r>
        <w:rPr>
          <w:rFonts w:hint="eastAsia" w:ascii="仿宋_GB2312" w:hAnsi="仿宋" w:eastAsia="仿宋_GB2312"/>
          <w:sz w:val="30"/>
          <w:szCs w:val="30"/>
          <w:highlight w:val="none"/>
          <w:lang w:val="en-US" w:eastAsia="zh-CN"/>
        </w:rPr>
        <w:t>采购管理人员赋能</w:t>
      </w:r>
      <w:r>
        <w:rPr>
          <w:rFonts w:hint="eastAsia" w:ascii="仿宋_GB2312" w:hAnsi="仿宋" w:eastAsia="仿宋_GB2312"/>
          <w:sz w:val="30"/>
          <w:szCs w:val="30"/>
          <w:highlight w:val="none"/>
        </w:rPr>
        <w:t>培训项目</w:t>
      </w:r>
    </w:p>
    <w:p w14:paraId="54E50D6C">
      <w:pPr>
        <w:spacing w:line="500" w:lineRule="exact"/>
        <w:ind w:firstLine="600" w:firstLineChars="200"/>
        <w:jc w:val="both"/>
        <w:rPr>
          <w:rFonts w:hint="eastAsia" w:ascii="仿宋_GB2312" w:hAnsi="仿宋" w:eastAsia="仿宋_GB2312"/>
          <w:sz w:val="30"/>
          <w:szCs w:val="30"/>
          <w:highlight w:val="none"/>
          <w:lang w:val="en-US" w:eastAsia="zh-CN"/>
        </w:rPr>
      </w:pPr>
      <w:r>
        <w:rPr>
          <w:rFonts w:hint="eastAsia" w:ascii="仿宋_GB2312" w:hAnsi="仿宋" w:eastAsia="仿宋_GB2312"/>
          <w:sz w:val="30"/>
          <w:szCs w:val="30"/>
          <w:highlight w:val="none"/>
          <w:lang w:val="en-US" w:eastAsia="zh-CN"/>
        </w:rPr>
        <w:t>3.招标内容：本项目共1期4天，招标内容如下：</w:t>
      </w:r>
    </w:p>
    <w:p w14:paraId="41035B60">
      <w:pPr>
        <w:spacing w:line="500" w:lineRule="exact"/>
        <w:ind w:firstLine="600" w:firstLineChars="200"/>
        <w:jc w:val="both"/>
        <w:rPr>
          <w:rFonts w:hint="eastAsia" w:ascii="仿宋_GB2312" w:hAnsi="仿宋" w:eastAsia="仿宋_GB2312"/>
          <w:sz w:val="30"/>
          <w:szCs w:val="30"/>
          <w:highlight w:val="none"/>
          <w:lang w:val="en-US" w:eastAsia="zh-CN"/>
        </w:rPr>
      </w:pPr>
      <w:r>
        <w:rPr>
          <w:rFonts w:hint="eastAsia" w:ascii="仿宋_GB2312" w:hAnsi="仿宋" w:eastAsia="仿宋_GB2312"/>
          <w:sz w:val="30"/>
          <w:szCs w:val="30"/>
          <w:highlight w:val="none"/>
          <w:lang w:val="en-US" w:eastAsia="zh-CN"/>
        </w:rPr>
        <w:t>供应链基础认知、商务核心技能、合规与廉洁、AI赋能素养、质量专业能力、供应商管理、采购策略、合同管理、产品需求管理、计划管理，库存管理等。</w:t>
      </w:r>
    </w:p>
    <w:p w14:paraId="750E8D12">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4</w:t>
      </w:r>
      <w:r>
        <w:rPr>
          <w:rFonts w:hint="eastAsia" w:ascii="仿宋_GB2312" w:hAnsi="仿宋" w:eastAsia="仿宋_GB2312"/>
          <w:sz w:val="30"/>
          <w:szCs w:val="30"/>
          <w:highlight w:val="none"/>
        </w:rPr>
        <w:t>.项目周期</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lang w:val="en-US" w:eastAsia="zh-CN"/>
        </w:rPr>
        <w:t>考虑招标人工作实际，计划</w:t>
      </w:r>
      <w:r>
        <w:rPr>
          <w:rFonts w:hint="eastAsia" w:ascii="仿宋_GB2312" w:hAnsi="仿宋" w:eastAsia="仿宋_GB2312"/>
          <w:sz w:val="30"/>
          <w:szCs w:val="30"/>
          <w:highlight w:val="none"/>
          <w:lang w:eastAsia="zh-CN"/>
        </w:rPr>
        <w:t>于1</w:t>
      </w:r>
      <w:r>
        <w:rPr>
          <w:rFonts w:hint="eastAsia" w:ascii="仿宋_GB2312" w:hAnsi="仿宋" w:eastAsia="仿宋_GB2312"/>
          <w:sz w:val="30"/>
          <w:szCs w:val="30"/>
          <w:highlight w:val="none"/>
          <w:lang w:val="en-US" w:eastAsia="zh-CN"/>
        </w:rPr>
        <w:t>1</w:t>
      </w:r>
      <w:r>
        <w:rPr>
          <w:rFonts w:hint="eastAsia" w:ascii="仿宋_GB2312" w:hAnsi="仿宋" w:eastAsia="仿宋_GB2312"/>
          <w:sz w:val="30"/>
          <w:szCs w:val="30"/>
          <w:highlight w:val="none"/>
          <w:lang w:eastAsia="zh-CN"/>
        </w:rPr>
        <w:t>月</w:t>
      </w:r>
      <w:r>
        <w:rPr>
          <w:rFonts w:hint="eastAsia" w:ascii="仿宋_GB2312" w:hAnsi="仿宋" w:eastAsia="仿宋_GB2312"/>
          <w:sz w:val="30"/>
          <w:szCs w:val="30"/>
          <w:highlight w:val="none"/>
          <w:lang w:val="en-US" w:eastAsia="zh-CN"/>
        </w:rPr>
        <w:t>12</w:t>
      </w:r>
      <w:r>
        <w:rPr>
          <w:rFonts w:hint="eastAsia" w:ascii="仿宋_GB2312" w:hAnsi="仿宋" w:eastAsia="仿宋_GB2312"/>
          <w:sz w:val="30"/>
          <w:szCs w:val="30"/>
          <w:highlight w:val="none"/>
          <w:lang w:eastAsia="zh-CN"/>
        </w:rPr>
        <w:t>日</w:t>
      </w:r>
      <w:r>
        <w:rPr>
          <w:rFonts w:hint="eastAsia" w:ascii="仿宋_GB2312" w:hAnsi="仿宋" w:eastAsia="仿宋_GB2312"/>
          <w:sz w:val="30"/>
          <w:szCs w:val="30"/>
          <w:highlight w:val="none"/>
          <w:lang w:val="en-US" w:eastAsia="zh-CN"/>
        </w:rPr>
        <w:t>开班</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lang w:val="en-US" w:eastAsia="zh-CN"/>
        </w:rPr>
        <w:t>时间如有变化，</w:t>
      </w:r>
      <w:r>
        <w:rPr>
          <w:rFonts w:hint="eastAsia" w:ascii="仿宋_GB2312" w:hAnsi="仿宋" w:eastAsia="仿宋_GB2312"/>
          <w:sz w:val="30"/>
          <w:szCs w:val="30"/>
          <w:highlight w:val="none"/>
        </w:rPr>
        <w:t>以</w:t>
      </w:r>
      <w:r>
        <w:rPr>
          <w:rFonts w:hint="eastAsia" w:ascii="仿宋_GB2312" w:hAnsi="仿宋" w:eastAsia="仿宋_GB2312"/>
          <w:sz w:val="30"/>
          <w:szCs w:val="30"/>
          <w:highlight w:val="none"/>
          <w:lang w:val="en-US" w:eastAsia="zh-CN"/>
        </w:rPr>
        <w:t>甲方通知</w:t>
      </w:r>
      <w:r>
        <w:rPr>
          <w:rFonts w:hint="eastAsia" w:ascii="仿宋_GB2312" w:hAnsi="仿宋" w:eastAsia="仿宋_GB2312"/>
          <w:sz w:val="30"/>
          <w:szCs w:val="30"/>
          <w:highlight w:val="none"/>
        </w:rPr>
        <w:t>为准。</w:t>
      </w:r>
    </w:p>
    <w:p w14:paraId="75B68F2C">
      <w:pPr>
        <w:pStyle w:val="10"/>
        <w:spacing w:line="500" w:lineRule="exact"/>
        <w:ind w:firstLine="600" w:firstLineChars="200"/>
        <w:jc w:val="both"/>
        <w:rPr>
          <w:rFonts w:ascii="仿宋_GB2312" w:hAnsi="仿宋" w:eastAsia="仿宋_GB2312" w:cs="Times New Roman"/>
          <w:sz w:val="30"/>
          <w:szCs w:val="30"/>
          <w:highlight w:val="none"/>
        </w:rPr>
      </w:pPr>
      <w:r>
        <w:rPr>
          <w:rFonts w:hint="eastAsia" w:ascii="仿宋_GB2312" w:hAnsi="仿宋" w:eastAsia="仿宋_GB2312"/>
          <w:sz w:val="30"/>
          <w:szCs w:val="30"/>
          <w:highlight w:val="none"/>
          <w:lang w:val="en-US" w:eastAsia="zh-CN"/>
        </w:rPr>
        <w:t>5.报价方式：电子报价，报价需在重汽e采通完成。</w:t>
      </w:r>
    </w:p>
    <w:p w14:paraId="6AD4FBD6">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.方案递交</w:t>
      </w:r>
      <w:r>
        <w:rPr>
          <w:rFonts w:hint="eastAsia" w:ascii="仿宋_GB2312" w:hAnsi="仿宋" w:eastAsia="仿宋_GB2312"/>
          <w:color w:val="000000"/>
          <w:sz w:val="30"/>
          <w:szCs w:val="30"/>
          <w:highlight w:val="none"/>
        </w:rPr>
        <w:t>：</w:t>
      </w:r>
      <w:r>
        <w:rPr>
          <w:rFonts w:hint="eastAsia" w:ascii="仿宋_GB2312" w:hAnsi="仿宋" w:eastAsia="仿宋_GB2312"/>
          <w:color w:val="000000"/>
          <w:sz w:val="30"/>
          <w:szCs w:val="30"/>
          <w:highlight w:val="none"/>
          <w:lang w:val="en-US" w:eastAsia="zh-CN"/>
        </w:rPr>
        <w:t>线上</w:t>
      </w:r>
      <w:r>
        <w:rPr>
          <w:rFonts w:hint="eastAsia" w:ascii="仿宋_GB2312" w:hAnsi="仿宋" w:eastAsia="仿宋_GB2312"/>
          <w:color w:val="000000"/>
          <w:sz w:val="30"/>
          <w:szCs w:val="30"/>
          <w:highlight w:val="none"/>
        </w:rPr>
        <w:t>提交方案</w:t>
      </w:r>
      <w:r>
        <w:rPr>
          <w:rFonts w:hint="eastAsia" w:ascii="仿宋_GB2312" w:hAnsi="仿宋" w:eastAsia="仿宋_GB2312"/>
          <w:sz w:val="30"/>
          <w:szCs w:val="30"/>
          <w:highlight w:val="none"/>
        </w:rPr>
        <w:t>。</w:t>
      </w:r>
    </w:p>
    <w:p w14:paraId="64826DE4">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.招标形式：公开招标。</w:t>
      </w:r>
    </w:p>
    <w:p w14:paraId="39A348A6">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8</w:t>
      </w:r>
      <w:r>
        <w:rPr>
          <w:rFonts w:hint="eastAsia" w:ascii="仿宋_GB2312" w:hAnsi="仿宋" w:eastAsia="仿宋_GB2312"/>
          <w:sz w:val="30"/>
          <w:szCs w:val="30"/>
          <w:highlight w:val="none"/>
        </w:rPr>
        <w:t>.开标：</w:t>
      </w:r>
    </w:p>
    <w:p w14:paraId="5663DD11">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时间：2026年1</w:t>
      </w:r>
      <w:r>
        <w:rPr>
          <w:rFonts w:hint="eastAsia" w:ascii="仿宋_GB2312" w:hAnsi="仿宋" w:eastAsia="仿宋_GB2312"/>
          <w:sz w:val="30"/>
          <w:szCs w:val="30"/>
          <w:highlight w:val="none"/>
          <w:lang w:val="en-US" w:eastAsia="zh-CN"/>
        </w:rPr>
        <w:t>1</w:t>
      </w:r>
      <w:r>
        <w:rPr>
          <w:rFonts w:hint="eastAsia" w:ascii="仿宋_GB2312" w:hAnsi="仿宋" w:eastAsia="仿宋_GB2312"/>
          <w:sz w:val="30"/>
          <w:szCs w:val="30"/>
          <w:highlight w:val="none"/>
        </w:rPr>
        <w:t>月</w:t>
      </w:r>
      <w:r>
        <w:rPr>
          <w:rFonts w:hint="eastAsia" w:ascii="仿宋_GB2312" w:hAnsi="仿宋" w:eastAsia="仿宋_GB2312"/>
          <w:sz w:val="30"/>
          <w:szCs w:val="30"/>
          <w:highlight w:val="none"/>
          <w:lang w:val="en-US" w:eastAsia="zh-CN"/>
        </w:rPr>
        <w:t>9</w:t>
      </w:r>
      <w:r>
        <w:rPr>
          <w:rFonts w:hint="eastAsia" w:ascii="仿宋_GB2312" w:hAnsi="仿宋" w:eastAsia="仿宋_GB2312"/>
          <w:sz w:val="30"/>
          <w:szCs w:val="30"/>
          <w:highlight w:val="none"/>
        </w:rPr>
        <w:t>日。</w:t>
      </w:r>
    </w:p>
    <w:p w14:paraId="17690130">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地点：</w:t>
      </w:r>
      <w:r>
        <w:rPr>
          <w:rFonts w:hint="eastAsia" w:ascii="仿宋_GB2312" w:hAnsi="仿宋" w:eastAsia="仿宋_GB2312"/>
          <w:sz w:val="30"/>
          <w:szCs w:val="30"/>
          <w:highlight w:val="none"/>
          <w:lang w:val="en-US" w:eastAsia="zh-CN"/>
        </w:rPr>
        <w:t>线上开标</w:t>
      </w:r>
      <w:r>
        <w:rPr>
          <w:rFonts w:hint="eastAsia" w:ascii="仿宋_GB2312" w:hAnsi="仿宋" w:eastAsia="仿宋_GB2312"/>
          <w:sz w:val="30"/>
          <w:szCs w:val="30"/>
          <w:highlight w:val="none"/>
        </w:rPr>
        <w:t>。</w:t>
      </w:r>
    </w:p>
    <w:p w14:paraId="0CC466BC">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9</w:t>
      </w:r>
      <w:r>
        <w:rPr>
          <w:rFonts w:hint="eastAsia" w:ascii="仿宋_GB2312" w:hAnsi="仿宋" w:eastAsia="仿宋_GB2312"/>
          <w:sz w:val="30"/>
          <w:szCs w:val="30"/>
          <w:highlight w:val="none"/>
        </w:rPr>
        <w:t>.联系人：</w:t>
      </w:r>
    </w:p>
    <w:p w14:paraId="33DEBB14">
      <w:pPr>
        <w:pageBreakBefore w:val="0"/>
        <w:kinsoku/>
        <w:wordWrap/>
        <w:overflowPunct/>
        <w:topLinePunct w:val="0"/>
        <w:bidi w:val="0"/>
        <w:spacing w:line="520"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 w:eastAsia="仿宋_GB2312"/>
          <w:sz w:val="30"/>
          <w:szCs w:val="30"/>
          <w:highlight w:val="none"/>
          <w:lang w:val="en-US" w:eastAsia="zh-CN"/>
        </w:rPr>
        <w:t>赵  蒙</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lang w:val="en-US" w:eastAsia="zh-CN"/>
        </w:rPr>
        <w:t>15253183290</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邮箱</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highlight w:val="none"/>
          <w:u w:val="none"/>
        </w:rPr>
        <w:t>zhaomeng@sinotruk.com</w:t>
      </w:r>
    </w:p>
    <w:p w14:paraId="32959FDA">
      <w:pPr>
        <w:keepNext w:val="0"/>
        <w:keepLines w:val="0"/>
        <w:pageBreakBefore w:val="0"/>
        <w:kinsoku/>
        <w:wordWrap/>
        <w:overflowPunct/>
        <w:topLinePunct w:val="0"/>
        <w:autoSpaceDE/>
        <w:autoSpaceDN/>
        <w:bidi w:val="0"/>
        <w:adjustRightInd/>
        <w:snapToGrid/>
        <w:spacing w:line="520" w:lineRule="exact"/>
        <w:ind w:firstLine="600" w:firstLineChars="200"/>
        <w:jc w:val="left"/>
        <w:textAlignment w:val="auto"/>
        <w:rPr>
          <w:rFonts w:hint="eastAsia" w:ascii="仿宋_GB2312" w:hAnsi="仿宋" w:eastAsia="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孙宗正，18764495578，邮箱：</w:t>
      </w:r>
      <w:r>
        <w:rPr>
          <w:rFonts w:hint="eastAsia" w:ascii="仿宋_GB2312" w:hAnsi="仿宋_GB2312" w:eastAsia="仿宋_GB2312" w:cs="仿宋_GB2312"/>
          <w:color w:val="auto"/>
          <w:sz w:val="30"/>
          <w:szCs w:val="30"/>
          <w:highlight w:val="none"/>
          <w:u w:val="none"/>
          <w:lang w:val="en-US" w:eastAsia="zh-CN"/>
        </w:rPr>
        <w:t>sunzongzheng</w:t>
      </w:r>
      <w:r>
        <w:rPr>
          <w:rFonts w:hint="eastAsia" w:ascii="仿宋_GB2312" w:hAnsi="仿宋_GB2312" w:eastAsia="仿宋_GB2312" w:cs="仿宋_GB2312"/>
          <w:color w:val="auto"/>
          <w:sz w:val="30"/>
          <w:szCs w:val="30"/>
          <w:highlight w:val="none"/>
          <w:u w:val="none"/>
        </w:rPr>
        <w:t>@sinotruk.com</w:t>
      </w:r>
    </w:p>
    <w:p w14:paraId="15DF14BE">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10</w:t>
      </w:r>
      <w:r>
        <w:rPr>
          <w:rFonts w:hint="eastAsia" w:ascii="仿宋_GB2312" w:hAnsi="仿宋" w:eastAsia="仿宋_GB2312"/>
          <w:sz w:val="30"/>
          <w:szCs w:val="30"/>
          <w:highlight w:val="none"/>
        </w:rPr>
        <w:t>.答疑方式：线上答疑。</w:t>
      </w:r>
    </w:p>
    <w:p w14:paraId="203C4071">
      <w:pPr>
        <w:spacing w:line="500" w:lineRule="exact"/>
        <w:ind w:firstLine="602" w:firstLineChars="200"/>
        <w:jc w:val="left"/>
        <w:outlineLvl w:val="0"/>
        <w:rPr>
          <w:rFonts w:ascii="黑体" w:hAnsi="黑体" w:eastAsia="黑体" w:cs="黑体"/>
          <w:b/>
          <w:bCs/>
          <w:sz w:val="30"/>
          <w:szCs w:val="30"/>
          <w:highlight w:val="none"/>
        </w:rPr>
      </w:pPr>
      <w:bookmarkStart w:id="2" w:name="_Toc26596"/>
      <w:bookmarkStart w:id="3" w:name="_Toc5871"/>
      <w:r>
        <w:rPr>
          <w:rFonts w:hint="eastAsia" w:ascii="黑体" w:hAnsi="黑体" w:eastAsia="黑体" w:cs="黑体"/>
          <w:b/>
          <w:bCs/>
          <w:sz w:val="30"/>
          <w:szCs w:val="30"/>
          <w:highlight w:val="none"/>
        </w:rPr>
        <w:t>二、投标人资格条件及要求</w:t>
      </w:r>
      <w:bookmarkEnd w:id="2"/>
      <w:bookmarkEnd w:id="3"/>
    </w:p>
    <w:p w14:paraId="5997C4F5">
      <w:pPr>
        <w:pStyle w:val="10"/>
        <w:spacing w:line="500" w:lineRule="exact"/>
        <w:ind w:firstLine="600" w:firstLineChars="200"/>
        <w:rPr>
          <w:rFonts w:hint="eastAsia"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1.所有拟投标人需满足以下条件：</w:t>
      </w:r>
    </w:p>
    <w:p w14:paraId="080A703A">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（1）投标人是企业法人的，必须是在中华人民共和国境内注册的独立法人机构，具有独立承担民事责任能力，</w:t>
      </w:r>
      <w:r>
        <w:rPr>
          <w:rFonts w:hint="eastAsia" w:ascii="黑体" w:hAnsi="黑体" w:eastAsia="黑体" w:cs="黑体"/>
          <w:b/>
          <w:bCs/>
          <w:sz w:val="30"/>
          <w:szCs w:val="30"/>
          <w:highlight w:val="none"/>
        </w:rPr>
        <w:t>原则上投标人注册资金不得低于项目标的额或不低于</w:t>
      </w:r>
      <w:r>
        <w:rPr>
          <w:rFonts w:hint="eastAsia" w:ascii="黑体" w:hAnsi="黑体" w:eastAsia="黑体" w:cs="黑体"/>
          <w:b/>
          <w:bCs/>
          <w:sz w:val="30"/>
          <w:szCs w:val="30"/>
          <w:highlight w:val="none"/>
          <w:lang w:val="en-US" w:eastAsia="zh-CN"/>
        </w:rPr>
        <w:t>5</w:t>
      </w:r>
      <w:r>
        <w:rPr>
          <w:rFonts w:hint="eastAsia" w:ascii="黑体" w:hAnsi="黑体" w:eastAsia="黑体" w:cs="黑体"/>
          <w:b/>
          <w:bCs/>
          <w:sz w:val="30"/>
          <w:szCs w:val="30"/>
          <w:highlight w:val="none"/>
        </w:rPr>
        <w:t>00万元；公司成立三年以上（以营业执照成立日期到开标当日满三年为准）</w:t>
      </w:r>
      <w:r>
        <w:rPr>
          <w:rFonts w:hint="eastAsia" w:ascii="仿宋_GB2312" w:hAnsi="仿宋" w:eastAsia="仿宋_GB2312" w:cs="Times New Roman"/>
          <w:sz w:val="30"/>
          <w:szCs w:val="30"/>
          <w:highlight w:val="none"/>
        </w:rPr>
        <w:t>；且经营范围满足招标人需求；并在人员、设备、资金等方面具有承担本项目的能力；投标人是事业单位和社会团体及其分支机构，且经营范围满足招标方需求并在人员、设备、资金等方面具有承担本项目的能力的，可不受注册资金和成立时间限制；</w:t>
      </w:r>
    </w:p>
    <w:p w14:paraId="12A4AAC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（2）投标人应遵守《中华人民共和国招投标法》及有关的法律和法规。具备独立法人资格，具有独立承担民事责任能力、良好的财务状况并具有一定的垫资能力，能切实履行合同。</w:t>
      </w:r>
    </w:p>
    <w:p w14:paraId="684F2CDF">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（3）投标人在国家企业信用信息公示系统中有不良记录、近三年的公司财务报表异常、存在与本项目有关的违法及严重违规或被列入招标人“黑名单”的，招标人有权取消其投标资格。</w:t>
      </w:r>
    </w:p>
    <w:p w14:paraId="1525B2A4">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（4）投标人应有相关或类似培训项目策划执行实施经验，具有良好的风险应对能力，能够认可招标人的工作指令，包括节假日能正常开展工作等要求，并在</w:t>
      </w:r>
      <w:r>
        <w:rPr>
          <w:rFonts w:hint="eastAsia" w:ascii="仿宋_GB2312" w:hAnsi="仿宋" w:eastAsia="仿宋_GB2312" w:cs="Times New Roman"/>
          <w:sz w:val="30"/>
          <w:szCs w:val="30"/>
          <w:highlight w:val="none"/>
          <w:lang w:val="en-US" w:eastAsia="zh-CN"/>
        </w:rPr>
        <w:t>投标前上传</w:t>
      </w:r>
      <w:r>
        <w:rPr>
          <w:rFonts w:hint="eastAsia" w:ascii="仿宋_GB2312" w:hAnsi="仿宋" w:eastAsia="仿宋_GB2312" w:cs="Times New Roman"/>
          <w:sz w:val="30"/>
          <w:szCs w:val="30"/>
          <w:highlight w:val="none"/>
        </w:rPr>
        <w:t>以往项目策划执行资料、企业资信材料、财务报表及完税证明等备查；</w:t>
      </w:r>
    </w:p>
    <w:p w14:paraId="7F53FCBD">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（5）资格审查方式：</w:t>
      </w:r>
      <w:r>
        <w:rPr>
          <w:rFonts w:hint="eastAsia" w:ascii="仿宋_GB2312" w:hAnsi="仿宋" w:eastAsia="仿宋_GB2312" w:cs="Times New Roman"/>
          <w:sz w:val="30"/>
          <w:szCs w:val="30"/>
          <w:highlight w:val="none"/>
          <w:lang w:val="en-US" w:eastAsia="zh-CN"/>
        </w:rPr>
        <w:t>采用</w:t>
      </w:r>
      <w:r>
        <w:rPr>
          <w:rFonts w:hint="eastAsia" w:ascii="仿宋_GB2312" w:hAnsi="仿宋" w:eastAsia="仿宋_GB2312" w:cs="Times New Roman"/>
          <w:sz w:val="30"/>
          <w:szCs w:val="30"/>
          <w:highlight w:val="none"/>
        </w:rPr>
        <w:t>资格</w:t>
      </w:r>
      <w:r>
        <w:rPr>
          <w:rFonts w:hint="eastAsia" w:ascii="仿宋_GB2312" w:hAnsi="仿宋" w:eastAsia="仿宋_GB2312" w:cs="Times New Roman"/>
          <w:sz w:val="30"/>
          <w:szCs w:val="30"/>
          <w:highlight w:val="none"/>
          <w:lang w:val="en-US" w:eastAsia="zh-CN"/>
        </w:rPr>
        <w:t>预</w:t>
      </w:r>
      <w:r>
        <w:rPr>
          <w:rFonts w:hint="eastAsia" w:ascii="仿宋_GB2312" w:hAnsi="仿宋" w:eastAsia="仿宋_GB2312" w:cs="Times New Roman"/>
          <w:sz w:val="30"/>
          <w:szCs w:val="30"/>
          <w:highlight w:val="none"/>
        </w:rPr>
        <w:t>审</w:t>
      </w:r>
      <w:r>
        <w:rPr>
          <w:rFonts w:hint="eastAsia" w:ascii="仿宋_GB2312" w:hAnsi="仿宋" w:eastAsia="仿宋_GB2312" w:cs="Times New Roman"/>
          <w:sz w:val="30"/>
          <w:szCs w:val="30"/>
          <w:highlight w:val="none"/>
          <w:lang w:eastAsia="zh-CN"/>
        </w:rPr>
        <w:t>，</w:t>
      </w:r>
      <w:r>
        <w:rPr>
          <w:rFonts w:hint="eastAsia" w:ascii="仿宋_GB2312" w:hAnsi="仿宋" w:eastAsia="仿宋_GB2312" w:cs="Times New Roman"/>
          <w:sz w:val="30"/>
          <w:szCs w:val="30"/>
          <w:highlight w:val="none"/>
        </w:rPr>
        <w:t>合格制</w:t>
      </w:r>
      <w:r>
        <w:rPr>
          <w:rFonts w:hint="eastAsia" w:ascii="仿宋_GB2312" w:hAnsi="仿宋" w:eastAsia="仿宋_GB2312" w:cs="Times New Roman"/>
          <w:sz w:val="30"/>
          <w:szCs w:val="30"/>
          <w:highlight w:val="none"/>
          <w:lang w:eastAsia="zh-CN"/>
        </w:rPr>
        <w:t>。</w:t>
      </w:r>
      <w:r>
        <w:rPr>
          <w:rFonts w:hint="eastAsia" w:ascii="仿宋_GB2312" w:hAnsi="仿宋" w:eastAsia="仿宋_GB2312" w:cs="Times New Roman"/>
          <w:sz w:val="30"/>
          <w:szCs w:val="30"/>
          <w:highlight w:val="none"/>
          <w:lang w:val="en-US" w:eastAsia="zh-CN"/>
        </w:rPr>
        <w:t>项目发标后，拟投标人须先应标，招标工作组通过重汽e采通对应标人进行资质审核，审核通过后方可投标</w:t>
      </w:r>
      <w:r>
        <w:rPr>
          <w:rFonts w:hint="eastAsia" w:ascii="仿宋_GB2312" w:hAnsi="仿宋" w:eastAsia="仿宋_GB2312" w:cs="Times New Roman"/>
          <w:sz w:val="30"/>
          <w:szCs w:val="30"/>
          <w:highlight w:val="none"/>
        </w:rPr>
        <w:t>。</w:t>
      </w:r>
    </w:p>
    <w:p w14:paraId="3E2C893B">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投标人须知：应明确要求投标人提供</w:t>
      </w:r>
    </w:p>
    <w:p w14:paraId="36B4725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①经会计师事务所审计且出具无保留意见的近三年的财务审计报告，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42FCA0EF">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②企业最近半年完税证明、信用证明材料（中国人民银行信用代码证+征信报告）； </w:t>
      </w:r>
    </w:p>
    <w:p w14:paraId="640E302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③年度纳税信用评价信息（可从电子税务局查询截图，需加盖公章）； </w:t>
      </w:r>
    </w:p>
    <w:p w14:paraId="5EB07F7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④企业对外担保说明（写明贵单位对外有无对外担保和质押业务，需加盖公章）。</w:t>
      </w:r>
    </w:p>
    <w:p w14:paraId="477C41A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2.投标人对课程材料拥有合法的知识产权或具有合法的来源，有关知识产权中不存在任何侵犯第三方的权益。</w:t>
      </w:r>
    </w:p>
    <w:p w14:paraId="0C0E0EA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3.投标方的直接或间接股东、法定代表人、董事、监事、高管非重汽员工及其亲属。 </w:t>
      </w:r>
    </w:p>
    <w:p w14:paraId="0D2614DB">
      <w:pPr>
        <w:spacing w:line="500" w:lineRule="exact"/>
        <w:ind w:firstLine="602" w:firstLineChars="200"/>
        <w:jc w:val="left"/>
        <w:outlineLvl w:val="0"/>
        <w:rPr>
          <w:rFonts w:ascii="黑体" w:hAnsi="黑体" w:eastAsia="黑体" w:cs="黑体"/>
          <w:b/>
          <w:bCs/>
          <w:sz w:val="30"/>
          <w:szCs w:val="30"/>
          <w:highlight w:val="none"/>
        </w:rPr>
      </w:pPr>
      <w:bookmarkStart w:id="4" w:name="_Toc25722"/>
      <w:bookmarkStart w:id="5" w:name="_Toc13801"/>
      <w:r>
        <w:rPr>
          <w:rFonts w:hint="eastAsia" w:ascii="黑体" w:hAnsi="黑体" w:eastAsia="黑体" w:cs="黑体"/>
          <w:b/>
          <w:bCs/>
          <w:sz w:val="30"/>
          <w:szCs w:val="30"/>
          <w:highlight w:val="none"/>
        </w:rPr>
        <w:t>三、投标说明</w:t>
      </w:r>
      <w:bookmarkEnd w:id="4"/>
      <w:bookmarkEnd w:id="5"/>
    </w:p>
    <w:p w14:paraId="72AF01E9">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1.招标文件获取</w:t>
      </w:r>
    </w:p>
    <w:p w14:paraId="5FA50563">
      <w:pPr>
        <w:pageBreakBefore w:val="0"/>
        <w:kinsoku/>
        <w:wordWrap/>
        <w:overflowPunct/>
        <w:topLinePunct w:val="0"/>
        <w:bidi w:val="0"/>
        <w:spacing w:line="520" w:lineRule="exact"/>
        <w:ind w:firstLine="600" w:firstLineChars="200"/>
        <w:jc w:val="distribute"/>
        <w:textAlignment w:val="auto"/>
        <w:rPr>
          <w:rFonts w:hint="eastAsia" w:ascii="仿宋_GB2312" w:hAnsi="黑体" w:eastAsia="仿宋_GB2312"/>
          <w:sz w:val="30"/>
          <w:szCs w:val="30"/>
          <w:highlight w:val="none"/>
        </w:rPr>
      </w:pPr>
      <w:r>
        <w:rPr>
          <w:rFonts w:hint="eastAsia" w:ascii="仿宋_GB2312" w:hAnsi="黑体" w:eastAsia="仿宋_GB2312"/>
          <w:sz w:val="30"/>
          <w:szCs w:val="30"/>
          <w:highlight w:val="none"/>
        </w:rPr>
        <w:t>招标人将本项目招标文件公布至重汽e采通平台</w:t>
      </w:r>
      <w:r>
        <w:rPr>
          <w:rFonts w:hint="eastAsia" w:ascii="仿宋_GB2312" w:hAnsi="黑体" w:eastAsia="仿宋_GB2312"/>
          <w:sz w:val="30"/>
          <w:szCs w:val="30"/>
          <w:highlight w:val="none"/>
          <w:lang w:val="en-US" w:eastAsia="zh-CN"/>
        </w:rPr>
        <w:t>和山东省阳光采购服务平台</w:t>
      </w:r>
      <w:r>
        <w:rPr>
          <w:rFonts w:hint="eastAsia" w:ascii="仿宋_GB2312" w:hAnsi="黑体" w:eastAsia="仿宋_GB2312"/>
          <w:sz w:val="30"/>
          <w:szCs w:val="30"/>
          <w:highlight w:val="none"/>
        </w:rPr>
        <w:t>，地址如下：</w:t>
      </w:r>
      <w:r>
        <w:rPr>
          <w:rFonts w:hint="eastAsia" w:ascii="仿宋_GB2312" w:hAnsi="黑体" w:eastAsia="仿宋_GB2312"/>
          <w:color w:val="auto"/>
          <w:sz w:val="30"/>
          <w:szCs w:val="30"/>
          <w:highlight w:val="none"/>
          <w:u w:val="none"/>
        </w:rPr>
        <w:t>https://ecaitong.</w:t>
      </w:r>
      <w:r>
        <w:rPr>
          <w:rFonts w:hint="eastAsia" w:ascii="仿宋_GB2312" w:hAnsi="黑体" w:eastAsia="仿宋_GB2312"/>
          <w:sz w:val="30"/>
          <w:szCs w:val="30"/>
          <w:highlight w:val="none"/>
        </w:rPr>
        <w:t>sinotruk.com:8012/#/</w:t>
      </w:r>
    </w:p>
    <w:p w14:paraId="6FBD272B">
      <w:pPr>
        <w:pageBreakBefore w:val="0"/>
        <w:kinsoku/>
        <w:wordWrap/>
        <w:overflowPunct/>
        <w:topLinePunct w:val="0"/>
        <w:bidi w:val="0"/>
        <w:spacing w:line="520" w:lineRule="exact"/>
        <w:jc w:val="left"/>
        <w:textAlignment w:val="auto"/>
        <w:rPr>
          <w:rFonts w:ascii="仿宋_GB2312" w:hAnsi="仿宋" w:eastAsia="仿宋_GB2312"/>
          <w:sz w:val="30"/>
          <w:szCs w:val="30"/>
          <w:highlight w:val="none"/>
        </w:rPr>
      </w:pPr>
      <w:r>
        <w:rPr>
          <w:rFonts w:hint="eastAsia" w:ascii="仿宋_GB2312" w:hAnsi="黑体" w:eastAsia="仿宋_GB2312"/>
          <w:sz w:val="30"/>
          <w:szCs w:val="30"/>
          <w:highlight w:val="none"/>
        </w:rPr>
        <w:t>login</w:t>
      </w:r>
      <w:r>
        <w:rPr>
          <w:rFonts w:hint="eastAsia" w:ascii="仿宋_GB2312" w:hAnsi="仿宋" w:eastAsia="仿宋_GB2312"/>
          <w:sz w:val="30"/>
          <w:szCs w:val="30"/>
          <w:highlight w:val="none"/>
        </w:rPr>
        <w:t>。投标人需注册后获取招标文件。具体操作详看</w:t>
      </w:r>
      <w:r>
        <w:rPr>
          <w:rFonts w:hint="eastAsia" w:ascii="仿宋_GB2312" w:hAnsi="仿宋" w:eastAsia="仿宋_GB2312"/>
          <w:sz w:val="30"/>
          <w:szCs w:val="30"/>
          <w:highlight w:val="none"/>
          <w:lang w:val="en-US" w:eastAsia="zh-CN"/>
        </w:rPr>
        <w:t>招标文件末尾后</w:t>
      </w:r>
      <w:r>
        <w:rPr>
          <w:rFonts w:hint="eastAsia" w:ascii="仿宋_GB2312" w:hAnsi="仿宋" w:eastAsia="仿宋_GB2312"/>
          <w:sz w:val="30"/>
          <w:szCs w:val="30"/>
          <w:highlight w:val="none"/>
        </w:rPr>
        <w:t>附件。</w:t>
      </w:r>
    </w:p>
    <w:p w14:paraId="67107E3A">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2.报名方式</w:t>
      </w:r>
    </w:p>
    <w:p w14:paraId="10469987">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投标人根据招标人</w:t>
      </w:r>
      <w:r>
        <w:rPr>
          <w:rFonts w:hint="eastAsia" w:ascii="仿宋_GB2312" w:hAnsi="黑体" w:eastAsia="仿宋_GB2312"/>
          <w:sz w:val="30"/>
          <w:szCs w:val="30"/>
          <w:highlight w:val="none"/>
          <w:lang w:val="en-US" w:eastAsia="zh-CN"/>
        </w:rPr>
        <w:t>在中国重汽官网和山东省阳光采购服务平台</w:t>
      </w:r>
      <w:r>
        <w:rPr>
          <w:rFonts w:hint="eastAsia" w:ascii="仿宋_GB2312" w:hAnsi="仿宋" w:eastAsia="仿宋_GB2312" w:cs="Times New Roman"/>
          <w:sz w:val="30"/>
          <w:szCs w:val="30"/>
          <w:highlight w:val="none"/>
        </w:rPr>
        <w:t>上发布的招标信息，在“中国重汽e采通”平台报名。按照中国重汽e采通“SRM非生产供应商注册手册”进行注册，注册时请填写：项目名称和项目编号，供货类别选择“非生产招标/服务/培训教学”。其他的据实填写。</w:t>
      </w:r>
    </w:p>
    <w:p w14:paraId="56AA5C6F">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注册完成后登录“e采通平台”进入“供应商应标”，选择对应的项目，点击“应标”后按照投标文件组成资格证明文件要求准备资料并上传，资质审查通过即为报名成功；公示期间请尽快应标。</w:t>
      </w:r>
    </w:p>
    <w:p w14:paraId="6B31F87F">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（1）发标时间：2026年</w:t>
      </w:r>
      <w:r>
        <w:rPr>
          <w:rFonts w:hint="eastAsia" w:ascii="仿宋_GB2312" w:hAnsi="仿宋" w:eastAsia="仿宋_GB2312" w:cs="Times New Roman"/>
          <w:color w:val="000000"/>
          <w:sz w:val="30"/>
          <w:szCs w:val="30"/>
          <w:highlight w:val="none"/>
          <w:lang w:val="en-US" w:eastAsia="zh-CN"/>
        </w:rPr>
        <w:t>10</w:t>
      </w:r>
      <w:r>
        <w:rPr>
          <w:rFonts w:hint="eastAsia" w:ascii="仿宋_GB2312" w:hAnsi="仿宋" w:eastAsia="仿宋_GB2312" w:cs="Times New Roman"/>
          <w:color w:val="000000"/>
          <w:sz w:val="30"/>
          <w:szCs w:val="30"/>
          <w:highlight w:val="none"/>
        </w:rPr>
        <w:t>月</w:t>
      </w:r>
      <w:r>
        <w:rPr>
          <w:rFonts w:hint="eastAsia" w:ascii="仿宋_GB2312" w:hAnsi="仿宋" w:eastAsia="仿宋_GB2312" w:cs="Times New Roman"/>
          <w:color w:val="000000"/>
          <w:sz w:val="30"/>
          <w:szCs w:val="30"/>
          <w:highlight w:val="none"/>
          <w:lang w:val="en-US" w:eastAsia="zh-CN"/>
        </w:rPr>
        <w:t>30</w:t>
      </w:r>
      <w:r>
        <w:rPr>
          <w:rFonts w:hint="eastAsia" w:ascii="仿宋_GB2312" w:hAnsi="仿宋" w:eastAsia="仿宋_GB2312" w:cs="Times New Roman"/>
          <w:color w:val="000000"/>
          <w:sz w:val="30"/>
          <w:szCs w:val="30"/>
          <w:highlight w:val="none"/>
        </w:rPr>
        <w:t>日；</w:t>
      </w:r>
    </w:p>
    <w:p w14:paraId="70C5C249">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（2）应标截止时间：2026年</w:t>
      </w:r>
      <w:r>
        <w:rPr>
          <w:rFonts w:hint="eastAsia" w:ascii="仿宋_GB2312" w:hAnsi="仿宋" w:eastAsia="仿宋_GB2312" w:cs="Times New Roman"/>
          <w:color w:val="000000"/>
          <w:sz w:val="30"/>
          <w:szCs w:val="30"/>
          <w:highlight w:val="none"/>
          <w:lang w:val="en-US" w:eastAsia="zh-CN"/>
        </w:rPr>
        <w:t>11</w:t>
      </w:r>
      <w:r>
        <w:rPr>
          <w:rFonts w:hint="eastAsia" w:ascii="仿宋_GB2312" w:hAnsi="仿宋" w:eastAsia="仿宋_GB2312" w:cs="Times New Roman"/>
          <w:color w:val="000000"/>
          <w:sz w:val="30"/>
          <w:szCs w:val="30"/>
          <w:highlight w:val="none"/>
        </w:rPr>
        <w:t>月</w:t>
      </w:r>
      <w:r>
        <w:rPr>
          <w:rFonts w:hint="eastAsia" w:ascii="仿宋_GB2312" w:hAnsi="仿宋" w:eastAsia="仿宋_GB2312" w:cs="Times New Roman"/>
          <w:color w:val="000000"/>
          <w:sz w:val="30"/>
          <w:szCs w:val="30"/>
          <w:highlight w:val="none"/>
          <w:lang w:val="en-US" w:eastAsia="zh-CN"/>
        </w:rPr>
        <w:t>4</w:t>
      </w:r>
      <w:r>
        <w:rPr>
          <w:rFonts w:hint="eastAsia" w:ascii="仿宋_GB2312" w:hAnsi="仿宋" w:eastAsia="仿宋_GB2312" w:cs="Times New Roman"/>
          <w:color w:val="000000"/>
          <w:sz w:val="30"/>
          <w:szCs w:val="30"/>
          <w:highlight w:val="none"/>
        </w:rPr>
        <w:t>日；</w:t>
      </w:r>
    </w:p>
    <w:p w14:paraId="54A8A5F6">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（3）答疑时间：如果投标人对招标文件商务部分、技术部分有疑问，请各投标人在答疑环节提出。提交疑问时间：2026年1</w:t>
      </w:r>
      <w:r>
        <w:rPr>
          <w:rFonts w:hint="eastAsia" w:ascii="仿宋_GB2312" w:hAnsi="仿宋" w:eastAsia="仿宋_GB2312" w:cs="Times New Roman"/>
          <w:color w:val="000000"/>
          <w:sz w:val="30"/>
          <w:szCs w:val="30"/>
          <w:highlight w:val="none"/>
          <w:lang w:val="en-US" w:eastAsia="zh-CN"/>
        </w:rPr>
        <w:t>1</w:t>
      </w:r>
      <w:r>
        <w:rPr>
          <w:rFonts w:hint="eastAsia" w:ascii="仿宋_GB2312" w:hAnsi="仿宋" w:eastAsia="仿宋_GB2312" w:cs="Times New Roman"/>
          <w:color w:val="000000"/>
          <w:sz w:val="30"/>
          <w:szCs w:val="30"/>
          <w:highlight w:val="none"/>
        </w:rPr>
        <w:t>月</w:t>
      </w:r>
      <w:r>
        <w:rPr>
          <w:rFonts w:hint="eastAsia" w:ascii="仿宋_GB2312" w:hAnsi="仿宋" w:eastAsia="仿宋_GB2312" w:cs="Times New Roman"/>
          <w:color w:val="000000"/>
          <w:sz w:val="30"/>
          <w:szCs w:val="30"/>
          <w:highlight w:val="none"/>
          <w:lang w:val="en-US" w:eastAsia="zh-CN"/>
        </w:rPr>
        <w:t>4</w:t>
      </w:r>
      <w:r>
        <w:rPr>
          <w:rFonts w:hint="eastAsia" w:ascii="仿宋_GB2312" w:hAnsi="仿宋" w:eastAsia="仿宋_GB2312" w:cs="Times New Roman"/>
          <w:color w:val="000000"/>
          <w:sz w:val="30"/>
          <w:szCs w:val="30"/>
          <w:highlight w:val="none"/>
        </w:rPr>
        <w:t>日1</w:t>
      </w:r>
      <w:r>
        <w:rPr>
          <w:rFonts w:hint="eastAsia" w:ascii="仿宋_GB2312" w:hAnsi="仿宋" w:eastAsia="仿宋_GB2312" w:cs="Times New Roman"/>
          <w:color w:val="000000"/>
          <w:sz w:val="30"/>
          <w:szCs w:val="30"/>
          <w:highlight w:val="none"/>
          <w:lang w:val="en-US" w:eastAsia="zh-CN"/>
        </w:rPr>
        <w:t>3</w:t>
      </w:r>
      <w:r>
        <w:rPr>
          <w:rFonts w:hint="eastAsia" w:ascii="仿宋_GB2312" w:hAnsi="仿宋" w:eastAsia="仿宋_GB2312" w:cs="Times New Roman"/>
          <w:color w:val="000000"/>
          <w:sz w:val="30"/>
          <w:szCs w:val="30"/>
          <w:highlight w:val="none"/>
        </w:rPr>
        <w:t>:</w:t>
      </w:r>
      <w:r>
        <w:rPr>
          <w:rFonts w:hint="eastAsia" w:ascii="仿宋_GB2312" w:hAnsi="仿宋" w:eastAsia="仿宋_GB2312" w:cs="Times New Roman"/>
          <w:color w:val="000000"/>
          <w:sz w:val="30"/>
          <w:szCs w:val="30"/>
          <w:highlight w:val="none"/>
          <w:lang w:val="en-US" w:eastAsia="zh-CN"/>
        </w:rPr>
        <w:t>3</w:t>
      </w:r>
      <w:bookmarkStart w:id="39" w:name="_GoBack"/>
      <w:bookmarkEnd w:id="39"/>
      <w:r>
        <w:rPr>
          <w:rFonts w:hint="eastAsia" w:ascii="仿宋_GB2312" w:hAnsi="仿宋" w:eastAsia="仿宋_GB2312" w:cs="Times New Roman"/>
          <w:color w:val="000000"/>
          <w:sz w:val="30"/>
          <w:szCs w:val="30"/>
          <w:highlight w:val="none"/>
        </w:rPr>
        <w:t>0前；提交疑问方式：将答疑问题以word文件格式发送。</w:t>
      </w:r>
    </w:p>
    <w:p w14:paraId="13525A79">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3.投标保证金</w:t>
      </w:r>
    </w:p>
    <w:p w14:paraId="733B001D">
      <w:pPr>
        <w:pStyle w:val="41"/>
        <w:spacing w:line="500" w:lineRule="exact"/>
        <w:ind w:firstLine="600"/>
        <w:rPr>
          <w:rFonts w:hint="eastAsia" w:ascii="仿宋_GB2312" w:hAnsi="仿宋" w:eastAsia="仿宋_GB2312" w:cs="Times New Roman"/>
          <w:b w:val="0"/>
          <w:bCs w:val="0"/>
          <w:sz w:val="30"/>
          <w:szCs w:val="30"/>
          <w:highlight w:val="none"/>
          <w:lang w:val="en-US" w:eastAsia="zh-CN"/>
        </w:rPr>
      </w:pPr>
      <w:r>
        <w:rPr>
          <w:rFonts w:hint="eastAsia" w:ascii="仿宋_GB2312" w:hAnsi="仿宋" w:eastAsia="仿宋_GB2312" w:cs="Times New Roman"/>
          <w:sz w:val="30"/>
          <w:szCs w:val="30"/>
          <w:highlight w:val="none"/>
        </w:rPr>
        <w:t>投标人须向招标人缴纳投标保证金</w:t>
      </w:r>
      <w:r>
        <w:rPr>
          <w:rFonts w:hint="eastAsia" w:ascii="仿宋_GB2312" w:hAnsi="仿宋" w:eastAsia="仿宋_GB2312" w:cs="Times New Roman"/>
          <w:b w:val="0"/>
          <w:bCs w:val="0"/>
          <w:sz w:val="30"/>
          <w:szCs w:val="30"/>
          <w:highlight w:val="none"/>
        </w:rPr>
        <w:t>5000元</w:t>
      </w:r>
      <w:r>
        <w:rPr>
          <w:rFonts w:hint="eastAsia" w:ascii="仿宋_GB2312" w:hAnsi="仿宋" w:eastAsia="仿宋_GB2312" w:cs="Times New Roman"/>
          <w:b w:val="0"/>
          <w:bCs w:val="0"/>
          <w:sz w:val="30"/>
          <w:szCs w:val="30"/>
          <w:highlight w:val="none"/>
          <w:lang w:eastAsia="zh-CN"/>
        </w:rPr>
        <w:t>。</w:t>
      </w:r>
    </w:p>
    <w:p w14:paraId="666D1097">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本次招标收取的投标保证金公对公（基本账户）以现汇形式进行交款，不允许以个人名义交款，汇款时必须注明“中国重汽</w:t>
      </w:r>
      <w:r>
        <w:rPr>
          <w:rFonts w:hint="eastAsia" w:ascii="仿宋_GB2312" w:hAnsi="仿宋" w:eastAsia="仿宋_GB2312" w:cs="Times New Roman"/>
          <w:sz w:val="30"/>
          <w:szCs w:val="30"/>
          <w:highlight w:val="none"/>
          <w:lang w:val="en-US" w:eastAsia="zh-CN"/>
        </w:rPr>
        <w:t>采购管理人员赋能培训</w:t>
      </w:r>
      <w:r>
        <w:rPr>
          <w:rFonts w:hint="eastAsia" w:ascii="仿宋_GB2312" w:hAnsi="仿宋" w:eastAsia="仿宋_GB2312" w:cs="Times New Roman"/>
          <w:sz w:val="30"/>
          <w:szCs w:val="30"/>
          <w:highlight w:val="none"/>
        </w:rPr>
        <w:t>项目投标保证金”，收款开户行及账户见下：</w:t>
      </w:r>
    </w:p>
    <w:p w14:paraId="79751534">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名称：中国重汽集团济南动力有限公司</w:t>
      </w:r>
    </w:p>
    <w:p w14:paraId="72FF1A99">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地址：山东省济南市高新区华奥路777号</w:t>
      </w:r>
    </w:p>
    <w:p w14:paraId="4E09675C">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电话：58062126</w:t>
      </w:r>
    </w:p>
    <w:p w14:paraId="771B5E38">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账号：37001616508050150300</w:t>
      </w:r>
    </w:p>
    <w:p w14:paraId="10CC8442">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开户行行号：105451000362</w:t>
      </w:r>
    </w:p>
    <w:p w14:paraId="5234BBEB">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财务电话：0531-58062181</w:t>
      </w:r>
    </w:p>
    <w:p w14:paraId="07386EBB">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开户行：中国建设银行济南市天桥区支行</w:t>
      </w:r>
    </w:p>
    <w:p w14:paraId="6F25FE64">
      <w:pPr>
        <w:pStyle w:val="41"/>
        <w:spacing w:line="500" w:lineRule="exact"/>
        <w:ind w:firstLine="600"/>
        <w:rPr>
          <w:rFonts w:hint="default" w:ascii="仿宋_GB2312" w:hAnsi="仿宋" w:eastAsia="仿宋_GB2312" w:cs="Times New Roman"/>
          <w:sz w:val="30"/>
          <w:szCs w:val="30"/>
          <w:highlight w:val="none"/>
          <w:lang w:val="en-US" w:eastAsia="zh-CN"/>
        </w:rPr>
      </w:pPr>
      <w:r>
        <w:rPr>
          <w:rFonts w:hint="eastAsia" w:ascii="仿宋_GB2312" w:hAnsi="仿宋" w:eastAsia="仿宋_GB2312" w:cs="Times New Roman"/>
          <w:sz w:val="30"/>
          <w:szCs w:val="30"/>
          <w:highlight w:val="none"/>
        </w:rPr>
        <w:t>投标人需将付款证明发送至邮箱。开标时，投标人须向招标人提供付款证明。中标单位的投标保证金在合同签订后的下一月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返还到交纳账户；未中标单位的投标保证金在中标结果公布后的下一月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返还到交纳账户；开标被判定为否决单位的，其投标保证金在开标之后的下一月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w:t>
      </w:r>
      <w:r>
        <w:rPr>
          <w:rFonts w:hint="eastAsia" w:ascii="仿宋_GB2312" w:hAnsi="仿宋" w:eastAsia="仿宋_GB2312" w:cs="Times New Roman"/>
          <w:sz w:val="30"/>
          <w:szCs w:val="30"/>
          <w:highlight w:val="none"/>
          <w:lang w:val="en-US" w:eastAsia="zh-CN"/>
        </w:rPr>
        <w:t>保证金均为无息返还。</w:t>
      </w:r>
    </w:p>
    <w:p w14:paraId="39DD61E8">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发生以下情况时，招标人有权没收投标保证金：</w:t>
      </w:r>
    </w:p>
    <w:p w14:paraId="3C306360">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a）截至开标前3天，投标人无正当理由、未以书面形式向招标人递交说明而在投标截止日不来投标的；</w:t>
      </w:r>
    </w:p>
    <w:p w14:paraId="14BC30CD">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b）投标人递送投标文件后，无正当理由放弃投标的；</w:t>
      </w:r>
    </w:p>
    <w:p w14:paraId="3C253F8C">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c）自中标通知书发出之日起30日内，中标人无正当理由不与招标人签订合同的；</w:t>
      </w:r>
    </w:p>
    <w:p w14:paraId="40F52E56">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d）投标人在投标过程中被查实有串标、围标、陪标等违法违纪行为的；</w:t>
      </w:r>
    </w:p>
    <w:p w14:paraId="4DFD3334">
      <w:pPr>
        <w:pStyle w:val="41"/>
        <w:spacing w:line="500" w:lineRule="exact"/>
        <w:ind w:firstLine="600"/>
        <w:rPr>
          <w:rFonts w:hint="eastAsia" w:ascii="仿宋_GB2312" w:hAnsi="仿宋" w:eastAsia="仿宋_GB2312" w:cs="Times New Roman"/>
          <w:sz w:val="30"/>
          <w:szCs w:val="30"/>
          <w:highlight w:val="none"/>
          <w:lang w:eastAsia="zh-CN"/>
        </w:rPr>
      </w:pPr>
      <w:r>
        <w:rPr>
          <w:rFonts w:hint="eastAsia" w:ascii="仿宋_GB2312" w:hAnsi="仿宋" w:eastAsia="仿宋_GB2312" w:cs="Times New Roman"/>
          <w:sz w:val="30"/>
          <w:szCs w:val="30"/>
          <w:highlight w:val="none"/>
        </w:rPr>
        <w:t>e）投标人有违约违规行为或被投诉、举报的，在调查处理期间，保证金暂不退还，待调查处理结束后按有关规定处理</w:t>
      </w:r>
      <w:r>
        <w:rPr>
          <w:rFonts w:hint="eastAsia" w:ascii="仿宋_GB2312" w:hAnsi="仿宋" w:eastAsia="仿宋_GB2312" w:cs="Times New Roman"/>
          <w:sz w:val="30"/>
          <w:szCs w:val="30"/>
          <w:highlight w:val="none"/>
          <w:lang w:eastAsia="zh-CN"/>
        </w:rPr>
        <w:t>；</w:t>
      </w:r>
    </w:p>
    <w:p w14:paraId="74C3AEA9">
      <w:pPr>
        <w:pStyle w:val="41"/>
        <w:spacing w:line="500" w:lineRule="exact"/>
        <w:ind w:firstLine="600"/>
        <w:rPr>
          <w:rFonts w:hint="eastAsia" w:ascii="仿宋_GB2312" w:hAnsi="仿宋" w:eastAsia="仿宋_GB2312" w:cs="Times New Roman"/>
          <w:b w:val="0"/>
          <w:bCs w:val="0"/>
          <w:color w:val="000000"/>
          <w:sz w:val="30"/>
          <w:szCs w:val="30"/>
          <w:highlight w:val="none"/>
        </w:rPr>
      </w:pPr>
      <w:r>
        <w:rPr>
          <w:rFonts w:hint="eastAsia" w:ascii="仿宋_GB2312" w:hAnsi="仿宋" w:eastAsia="仿宋_GB2312" w:cs="Times New Roman"/>
          <w:sz w:val="30"/>
          <w:szCs w:val="30"/>
          <w:highlight w:val="none"/>
          <w:lang w:val="en-US" w:eastAsia="zh-CN"/>
        </w:rPr>
        <w:t>f)</w:t>
      </w:r>
      <w:r>
        <w:rPr>
          <w:rFonts w:hint="eastAsia" w:ascii="仿宋_GB2312" w:hAnsi="仿宋" w:eastAsia="仿宋_GB2312" w:cs="Times New Roman"/>
          <w:b w:val="0"/>
          <w:bCs w:val="0"/>
          <w:color w:val="000000"/>
          <w:sz w:val="30"/>
          <w:szCs w:val="30"/>
          <w:highlight w:val="none"/>
        </w:rPr>
        <w:t>供应商在提交响应文件截止时间后撤回响应文件的；</w:t>
      </w:r>
    </w:p>
    <w:p w14:paraId="6FC436EC">
      <w:pPr>
        <w:pStyle w:val="41"/>
        <w:spacing w:line="500" w:lineRule="exact"/>
        <w:ind w:firstLine="600"/>
        <w:rPr>
          <w:rFonts w:hint="eastAsia" w:ascii="仿宋_GB2312" w:hAnsi="仿宋" w:eastAsia="仿宋_GB2312" w:cs="Times New Roman"/>
          <w:sz w:val="30"/>
          <w:szCs w:val="30"/>
          <w:highlight w:val="none"/>
          <w:lang w:val="en-US" w:eastAsia="zh-CN"/>
        </w:rPr>
      </w:pPr>
      <w:r>
        <w:rPr>
          <w:rFonts w:hint="eastAsia" w:ascii="仿宋_GB2312" w:hAnsi="仿宋" w:eastAsia="仿宋_GB2312" w:cs="Times New Roman"/>
          <w:b w:val="0"/>
          <w:bCs w:val="0"/>
          <w:color w:val="000000"/>
          <w:sz w:val="30"/>
          <w:szCs w:val="30"/>
          <w:highlight w:val="none"/>
          <w:lang w:val="en-US" w:eastAsia="zh-CN"/>
        </w:rPr>
        <w:t>g）</w:t>
      </w:r>
      <w:r>
        <w:rPr>
          <w:rFonts w:hint="eastAsia" w:ascii="仿宋_GB2312" w:hAnsi="仿宋" w:eastAsia="仿宋_GB2312" w:cs="Times New Roman"/>
          <w:b w:val="0"/>
          <w:bCs w:val="0"/>
          <w:color w:val="000000"/>
          <w:sz w:val="30"/>
          <w:szCs w:val="30"/>
          <w:highlight w:val="none"/>
        </w:rPr>
        <w:t>供应商在响应文件中提供虚假材料的</w:t>
      </w:r>
      <w:r>
        <w:rPr>
          <w:rFonts w:hint="eastAsia" w:ascii="仿宋_GB2312" w:hAnsi="仿宋" w:eastAsia="仿宋_GB2312" w:cs="Times New Roman"/>
          <w:b w:val="0"/>
          <w:bCs w:val="0"/>
          <w:color w:val="000000"/>
          <w:sz w:val="30"/>
          <w:szCs w:val="30"/>
          <w:highlight w:val="none"/>
          <w:lang w:eastAsia="zh-CN"/>
        </w:rPr>
        <w:t>。</w:t>
      </w:r>
    </w:p>
    <w:p w14:paraId="0B7AB26D">
      <w:pPr>
        <w:spacing w:line="500" w:lineRule="exact"/>
        <w:ind w:firstLine="602" w:firstLineChars="200"/>
        <w:jc w:val="left"/>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rPr>
        <w:t>4.投标报价</w:t>
      </w:r>
    </w:p>
    <w:p w14:paraId="5201021D">
      <w:pPr>
        <w:pStyle w:val="10"/>
        <w:spacing w:line="500" w:lineRule="exact"/>
        <w:ind w:firstLine="600" w:firstLineChars="200"/>
        <w:rPr>
          <w:rFonts w:hint="eastAsia"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4.1投标人</w:t>
      </w:r>
    </w:p>
    <w:p w14:paraId="1F91B7EC">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须在投标截止日期前将电子标书上传到重汽e采通平台。若逾期未完成重汽e采通上传标书，投标无效。</w:t>
      </w:r>
    </w:p>
    <w:p w14:paraId="34CBD319">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4.2投标报价应包括培训课程开发及师资、培训物料</w:t>
      </w:r>
      <w:r>
        <w:rPr>
          <w:rFonts w:hint="eastAsia" w:ascii="仿宋_GB2312" w:hAnsi="仿宋" w:eastAsia="仿宋_GB2312" w:cs="Times New Roman"/>
          <w:color w:val="000000"/>
          <w:sz w:val="30"/>
          <w:szCs w:val="30"/>
          <w:highlight w:val="none"/>
          <w:lang w:eastAsia="zh-CN"/>
        </w:rPr>
        <w:t>、讲师交通费及食宿费用</w:t>
      </w:r>
      <w:r>
        <w:rPr>
          <w:rFonts w:hint="eastAsia" w:ascii="仿宋_GB2312" w:hAnsi="仿宋" w:eastAsia="仿宋_GB2312" w:cs="Times New Roman"/>
          <w:color w:val="000000"/>
          <w:sz w:val="30"/>
          <w:szCs w:val="30"/>
          <w:highlight w:val="none"/>
        </w:rPr>
        <w:t>等全部费用，除此之外，采购方无需支付任何费用。</w:t>
      </w:r>
    </w:p>
    <w:p w14:paraId="0763874B">
      <w:pPr>
        <w:pStyle w:val="10"/>
        <w:spacing w:line="500" w:lineRule="exact"/>
        <w:ind w:firstLine="600" w:firstLineChars="200"/>
        <w:rPr>
          <w:rFonts w:hint="eastAsia"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4.3报价货币单位为元（人民币），报价时须注明不含税价、税率以及价税合计等信息。</w:t>
      </w:r>
    </w:p>
    <w:p w14:paraId="3F4DA410">
      <w:pPr>
        <w:pStyle w:val="10"/>
        <w:spacing w:line="500" w:lineRule="exact"/>
        <w:ind w:firstLine="600" w:firstLineChars="200"/>
        <w:rPr>
          <w:rFonts w:hint="eastAsia" w:ascii="仿宋_GB2312" w:hAnsi="仿宋" w:eastAsia="仿宋_GB2312" w:cs="Times New Roman"/>
          <w:color w:val="000000"/>
          <w:sz w:val="30"/>
          <w:szCs w:val="30"/>
          <w:highlight w:val="none"/>
          <w:lang w:val="en-US" w:eastAsia="zh-CN"/>
        </w:rPr>
      </w:pPr>
      <w:r>
        <w:rPr>
          <w:rFonts w:hint="eastAsia" w:ascii="仿宋_GB2312" w:hAnsi="仿宋" w:eastAsia="仿宋_GB2312" w:cs="Times New Roman"/>
          <w:color w:val="000000"/>
          <w:sz w:val="30"/>
          <w:szCs w:val="30"/>
          <w:highlight w:val="none"/>
          <w:lang w:val="en-US" w:eastAsia="zh-CN"/>
        </w:rPr>
        <w:t>4.4投标限价：</w:t>
      </w:r>
    </w:p>
    <w:p w14:paraId="4805108D">
      <w:pPr>
        <w:pStyle w:val="10"/>
        <w:spacing w:line="500" w:lineRule="exact"/>
        <w:ind w:firstLine="602" w:firstLineChars="200"/>
        <w:rPr>
          <w:rFonts w:hint="eastAsia" w:ascii="黑体" w:hAnsi="黑体" w:eastAsia="黑体" w:cs="黑体"/>
          <w:b/>
          <w:bCs/>
          <w:kern w:val="2"/>
          <w:sz w:val="30"/>
          <w:szCs w:val="30"/>
          <w:highlight w:val="none"/>
          <w:lang w:val="en-US" w:eastAsia="zh-CN" w:bidi="ar-SA"/>
        </w:rPr>
      </w:pPr>
      <w:r>
        <w:rPr>
          <w:rFonts w:hint="eastAsia" w:ascii="黑体" w:hAnsi="黑体" w:eastAsia="黑体" w:cs="黑体"/>
          <w:b/>
          <w:bCs/>
          <w:kern w:val="2"/>
          <w:sz w:val="30"/>
          <w:szCs w:val="30"/>
          <w:highlight w:val="none"/>
          <w:lang w:val="en-US" w:eastAsia="zh-CN" w:bidi="ar-SA"/>
        </w:rPr>
        <w:t>本项目投标限价：人民币10万元（含税）。</w:t>
      </w:r>
    </w:p>
    <w:p w14:paraId="52F7451D">
      <w:pPr>
        <w:spacing w:line="500" w:lineRule="exact"/>
        <w:ind w:firstLine="602" w:firstLineChars="200"/>
        <w:jc w:val="left"/>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rPr>
        <w:t>5.评标过程</w:t>
      </w:r>
    </w:p>
    <w:p w14:paraId="3E22DF09">
      <w:pPr>
        <w:spacing w:line="500" w:lineRule="exact"/>
        <w:ind w:firstLine="600" w:firstLineChars="200"/>
        <w:rPr>
          <w:rFonts w:ascii="黑体" w:hAnsi="黑体" w:eastAsia="黑体" w:cs="黑体"/>
          <w:b/>
          <w:bCs/>
          <w:sz w:val="30"/>
          <w:szCs w:val="30"/>
          <w:highlight w:val="none"/>
        </w:rPr>
      </w:pPr>
      <w:r>
        <w:rPr>
          <w:rFonts w:hint="eastAsia" w:ascii="仿宋_GB2312" w:hAnsi="仿宋" w:eastAsia="仿宋_GB2312"/>
          <w:sz w:val="30"/>
          <w:szCs w:val="30"/>
          <w:highlight w:val="none"/>
        </w:rPr>
        <w:t>为保证项目顺利实施，由招标人组织、按国家法律法规及公司相关规章制度要求，设立评标工作小组，投标人在讲标时，须由拟担任招标项目的项目经理及项目组成员讲标，其中：讲标</w:t>
      </w:r>
      <w:r>
        <w:rPr>
          <w:rFonts w:hint="eastAsia" w:ascii="仿宋_GB2312" w:hAnsi="仿宋" w:eastAsia="仿宋_GB2312"/>
          <w:sz w:val="30"/>
          <w:szCs w:val="30"/>
          <w:highlight w:val="none"/>
          <w:lang w:val="en-US" w:eastAsia="zh-CN"/>
        </w:rPr>
        <w:t>10</w:t>
      </w:r>
      <w:r>
        <w:rPr>
          <w:rFonts w:hint="eastAsia" w:ascii="仿宋_GB2312" w:hAnsi="仿宋" w:eastAsia="仿宋_GB2312"/>
          <w:sz w:val="30"/>
          <w:szCs w:val="30"/>
          <w:highlight w:val="none"/>
        </w:rPr>
        <w:t>分钟，现场答疑时间</w:t>
      </w:r>
      <w:r>
        <w:rPr>
          <w:rFonts w:hint="eastAsia" w:ascii="仿宋_GB2312" w:hAnsi="仿宋" w:eastAsia="仿宋_GB2312"/>
          <w:sz w:val="30"/>
          <w:szCs w:val="30"/>
          <w:highlight w:val="none"/>
          <w:lang w:val="en-US" w:eastAsia="zh-CN"/>
        </w:rPr>
        <w:t>15</w:t>
      </w:r>
      <w:r>
        <w:rPr>
          <w:rFonts w:hint="eastAsia" w:ascii="仿宋_GB2312" w:hAnsi="仿宋" w:eastAsia="仿宋_GB2312"/>
          <w:sz w:val="30"/>
          <w:szCs w:val="30"/>
          <w:highlight w:val="none"/>
        </w:rPr>
        <w:t>分钟。</w:t>
      </w:r>
    </w:p>
    <w:p w14:paraId="32909FFD">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5.1通过应标资格审查，报名成功的单位进入投标环节，按照“SRM系统供应商用户手册”，在重汽e采通平台投递电子标书（包含资质标、技术标、商务标），没有通过应标资质审查的单位不能进入投标环节；</w:t>
      </w:r>
    </w:p>
    <w:p w14:paraId="284C9C4B">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5.2资质标评审：招标人通过重汽e采通平台对投标人的《资质标》进行审核，审核通过的单位，进入技术标评审；</w:t>
      </w:r>
    </w:p>
    <w:p w14:paraId="6F337E63">
      <w:pPr>
        <w:spacing w:line="500" w:lineRule="exact"/>
        <w:ind w:firstLine="600" w:firstLineChars="200"/>
        <w:rPr>
          <w:rFonts w:hint="eastAsia" w:ascii="黑体" w:hAnsi="黑体" w:eastAsia="黑体" w:cs="黑体"/>
          <w:b/>
          <w:bCs/>
          <w:sz w:val="30"/>
          <w:szCs w:val="30"/>
          <w:highlight w:val="none"/>
        </w:rPr>
      </w:pPr>
      <w:r>
        <w:rPr>
          <w:rFonts w:hint="eastAsia" w:ascii="仿宋_GB2312" w:hAnsi="仿宋" w:eastAsia="仿宋_GB2312"/>
          <w:sz w:val="30"/>
          <w:szCs w:val="30"/>
          <w:highlight w:val="none"/>
        </w:rPr>
        <w:t>5.3技术标评审：技术标评标专家组，通过重汽e采通，对各投标人的《技术标》进行综合评审；评审期间产生的技术澄清均由投标人在重汽e采通平台内完成提交；</w:t>
      </w:r>
      <w:r>
        <w:rPr>
          <w:rFonts w:hint="eastAsia" w:ascii="黑体" w:hAnsi="黑体" w:eastAsia="黑体" w:cs="黑体"/>
          <w:b/>
          <w:bCs/>
          <w:sz w:val="30"/>
          <w:szCs w:val="30"/>
          <w:highlight w:val="none"/>
        </w:rPr>
        <w:t>本次招标采用</w:t>
      </w:r>
      <w:r>
        <w:rPr>
          <w:rFonts w:hint="eastAsia" w:ascii="黑体" w:hAnsi="黑体" w:eastAsia="黑体" w:cs="黑体"/>
          <w:b/>
          <w:bCs/>
          <w:sz w:val="30"/>
          <w:szCs w:val="30"/>
          <w:highlight w:val="none"/>
          <w:lang w:val="en-US" w:eastAsia="zh-CN"/>
        </w:rPr>
        <w:t>技术标和</w:t>
      </w:r>
      <w:r>
        <w:rPr>
          <w:rFonts w:hint="eastAsia" w:ascii="黑体" w:hAnsi="黑体" w:eastAsia="黑体" w:cs="黑体"/>
          <w:b/>
          <w:bCs/>
          <w:sz w:val="30"/>
          <w:szCs w:val="30"/>
          <w:highlight w:val="none"/>
        </w:rPr>
        <w:t>商务标</w:t>
      </w:r>
      <w:r>
        <w:rPr>
          <w:rFonts w:hint="eastAsia" w:ascii="黑体" w:hAnsi="黑体" w:eastAsia="黑体" w:cs="黑体"/>
          <w:b/>
          <w:bCs/>
          <w:sz w:val="30"/>
          <w:szCs w:val="30"/>
          <w:highlight w:val="none"/>
          <w:lang w:val="en-US" w:eastAsia="zh-CN"/>
        </w:rPr>
        <w:t>分级</w:t>
      </w:r>
      <w:r>
        <w:rPr>
          <w:rFonts w:hint="eastAsia" w:ascii="黑体" w:hAnsi="黑体" w:eastAsia="黑体" w:cs="黑体"/>
          <w:b/>
          <w:bCs/>
          <w:sz w:val="30"/>
          <w:szCs w:val="30"/>
          <w:highlight w:val="none"/>
        </w:rPr>
        <w:t>开标的模式，技术标评分低于</w:t>
      </w:r>
      <w:r>
        <w:rPr>
          <w:rFonts w:hint="eastAsia" w:ascii="黑体" w:hAnsi="黑体" w:eastAsia="黑体" w:cs="黑体"/>
          <w:b/>
          <w:bCs/>
          <w:sz w:val="30"/>
          <w:szCs w:val="30"/>
          <w:highlight w:val="none"/>
          <w:lang w:eastAsia="zh-CN"/>
        </w:rPr>
        <w:t>7</w:t>
      </w:r>
      <w:r>
        <w:rPr>
          <w:rFonts w:hint="eastAsia" w:ascii="黑体" w:hAnsi="黑体" w:eastAsia="黑体" w:cs="黑体"/>
          <w:b/>
          <w:bCs/>
          <w:sz w:val="30"/>
          <w:szCs w:val="30"/>
          <w:highlight w:val="none"/>
        </w:rPr>
        <w:t>0分予以淘汰；</w:t>
      </w:r>
    </w:p>
    <w:p w14:paraId="43840880">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5.4商务标评审：公开唱标→商务条款相应确认→价格澄清→商务标评审，采用多轮商务谈判。评审期间产生的商务价格澄清均由投标人在重汽e采通平台内限时完成提交；</w:t>
      </w:r>
    </w:p>
    <w:p w14:paraId="1175F4EE">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注意：投标人</w:t>
      </w:r>
      <w:r>
        <w:rPr>
          <w:rFonts w:hint="eastAsia" w:ascii="仿宋_GB2312" w:hAnsi="仿宋" w:eastAsia="仿宋_GB2312"/>
          <w:sz w:val="30"/>
          <w:szCs w:val="30"/>
          <w:highlight w:val="none"/>
          <w:lang w:val="en-US" w:eastAsia="zh-CN"/>
        </w:rPr>
        <w:t>均需</w:t>
      </w:r>
      <w:r>
        <w:rPr>
          <w:rFonts w:hint="eastAsia" w:ascii="仿宋_GB2312" w:hAnsi="仿宋" w:eastAsia="仿宋_GB2312"/>
          <w:sz w:val="30"/>
          <w:szCs w:val="30"/>
          <w:highlight w:val="none"/>
        </w:rPr>
        <w:t>在重汽e采通平台自主进行投标和提交澄清函；投标和提交澄清函均有时间限制，超时未提交的按无效处理。</w:t>
      </w:r>
    </w:p>
    <w:p w14:paraId="2C58F3E1">
      <w:pPr>
        <w:pageBreakBefore w:val="0"/>
        <w:kinsoku/>
        <w:wordWrap/>
        <w:overflowPunct/>
        <w:topLinePunct w:val="0"/>
        <w:bidi w:val="0"/>
        <w:spacing w:line="520" w:lineRule="exact"/>
        <w:ind w:firstLine="600" w:firstLineChars="200"/>
        <w:textAlignment w:val="auto"/>
        <w:rPr>
          <w:rFonts w:ascii="仿宋_GB2312" w:hAnsi="仿宋" w:eastAsia="仿宋_GB2312"/>
          <w:sz w:val="30"/>
          <w:szCs w:val="30"/>
          <w:highlight w:val="none"/>
        </w:rPr>
      </w:pPr>
      <w:r>
        <w:rPr>
          <w:rFonts w:hint="eastAsia" w:ascii="仿宋_GB2312" w:hAnsi="仿宋" w:eastAsia="仿宋_GB2312"/>
          <w:sz w:val="30"/>
          <w:szCs w:val="30"/>
          <w:highlight w:val="none"/>
        </w:rPr>
        <w:t>5.5中标人确定：</w:t>
      </w:r>
      <w:r>
        <w:rPr>
          <w:rFonts w:hint="eastAsia" w:ascii="黑体" w:hAnsi="黑体" w:eastAsia="黑体" w:cs="黑体"/>
          <w:b/>
          <w:bCs/>
          <w:sz w:val="30"/>
          <w:szCs w:val="30"/>
          <w:highlight w:val="none"/>
        </w:rPr>
        <w:t>技术标入围后，综合考虑技术标得分、商务标得分，加权最终得分推荐</w:t>
      </w:r>
      <w:r>
        <w:rPr>
          <w:rFonts w:hint="eastAsia" w:ascii="黑体" w:hAnsi="黑体" w:eastAsia="黑体" w:cs="黑体"/>
          <w:b/>
          <w:bCs/>
          <w:sz w:val="30"/>
          <w:szCs w:val="30"/>
          <w:highlight w:val="none"/>
          <w:lang w:val="en-US" w:eastAsia="zh-CN"/>
        </w:rPr>
        <w:t>中标候选人</w:t>
      </w:r>
      <w:r>
        <w:rPr>
          <w:rFonts w:hint="eastAsia" w:ascii="黑体" w:hAnsi="黑体" w:eastAsia="黑体" w:cs="黑体"/>
          <w:b/>
          <w:bCs/>
          <w:sz w:val="30"/>
          <w:szCs w:val="30"/>
          <w:highlight w:val="none"/>
        </w:rPr>
        <w:t>（最终得分=技术标得分*</w:t>
      </w:r>
      <w:r>
        <w:rPr>
          <w:rFonts w:hint="eastAsia" w:ascii="黑体" w:hAnsi="黑体" w:eastAsia="黑体" w:cs="黑体"/>
          <w:b/>
          <w:bCs/>
          <w:sz w:val="30"/>
          <w:szCs w:val="30"/>
          <w:highlight w:val="none"/>
          <w:lang w:val="en-US" w:eastAsia="zh-CN"/>
        </w:rPr>
        <w:t>40</w:t>
      </w:r>
      <w:r>
        <w:rPr>
          <w:rFonts w:hint="eastAsia" w:ascii="黑体" w:hAnsi="黑体" w:eastAsia="黑体" w:cs="黑体"/>
          <w:b/>
          <w:bCs/>
          <w:sz w:val="30"/>
          <w:szCs w:val="30"/>
          <w:highlight w:val="none"/>
        </w:rPr>
        <w:t>%+商务标得分*</w:t>
      </w:r>
      <w:r>
        <w:rPr>
          <w:rFonts w:hint="eastAsia" w:ascii="黑体" w:hAnsi="黑体" w:eastAsia="黑体" w:cs="黑体"/>
          <w:b/>
          <w:bCs/>
          <w:sz w:val="30"/>
          <w:szCs w:val="30"/>
          <w:highlight w:val="none"/>
          <w:lang w:val="en-US" w:eastAsia="zh-CN"/>
        </w:rPr>
        <w:t>60</w:t>
      </w:r>
      <w:r>
        <w:rPr>
          <w:rFonts w:hint="eastAsia" w:ascii="黑体" w:hAnsi="黑体" w:eastAsia="黑体" w:cs="黑体"/>
          <w:b/>
          <w:bCs/>
          <w:sz w:val="30"/>
          <w:szCs w:val="30"/>
          <w:highlight w:val="none"/>
        </w:rPr>
        <w:t>%，保留两位小数）。</w:t>
      </w:r>
      <w:r>
        <w:rPr>
          <w:rFonts w:hint="eastAsia" w:ascii="仿宋_GB2312" w:hAnsi="仿宋" w:eastAsia="仿宋_GB2312"/>
          <w:sz w:val="30"/>
          <w:szCs w:val="30"/>
          <w:highlight w:val="none"/>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03E48602">
      <w:pPr>
        <w:keepNext w:val="0"/>
        <w:keepLines w:val="0"/>
        <w:pageBreakBefore w:val="0"/>
        <w:widowControl w:val="0"/>
        <w:kinsoku/>
        <w:wordWrap/>
        <w:overflowPunct/>
        <w:topLinePunct w:val="0"/>
        <w:bidi w:val="0"/>
        <w:snapToGrid/>
        <w:spacing w:line="520" w:lineRule="exact"/>
        <w:ind w:firstLine="602" w:firstLineChars="200"/>
        <w:jc w:val="left"/>
        <w:textAlignment w:val="auto"/>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lang w:val="en-US" w:eastAsia="zh-CN"/>
        </w:rPr>
        <w:t>6</w:t>
      </w:r>
      <w:r>
        <w:rPr>
          <w:rFonts w:hint="eastAsia" w:ascii="楷体_GB2312" w:hAnsi="楷体_GB2312" w:eastAsia="楷体_GB2312" w:cs="楷体_GB2312"/>
          <w:b/>
          <w:bCs/>
          <w:sz w:val="30"/>
          <w:szCs w:val="30"/>
          <w:highlight w:val="none"/>
        </w:rPr>
        <w:t>.付款条件及付款方式</w:t>
      </w:r>
    </w:p>
    <w:p w14:paraId="2F3080ED">
      <w:pPr>
        <w:autoSpaceDE w:val="0"/>
        <w:autoSpaceDN w:val="0"/>
        <w:adjustRightInd w:val="0"/>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.1付款条件：签署合同后，经甲方对</w:t>
      </w:r>
      <w:r>
        <w:rPr>
          <w:rFonts w:hint="eastAsia" w:ascii="仿宋_GB2312" w:hAnsi="仿宋" w:eastAsia="仿宋_GB2312"/>
          <w:sz w:val="30"/>
          <w:szCs w:val="30"/>
          <w:highlight w:val="none"/>
          <w:lang w:val="en-US" w:eastAsia="zh-CN"/>
        </w:rPr>
        <w:t>项目</w:t>
      </w:r>
      <w:r>
        <w:rPr>
          <w:rFonts w:hint="eastAsia" w:ascii="仿宋_GB2312" w:hAnsi="仿宋" w:eastAsia="仿宋_GB2312"/>
          <w:sz w:val="30"/>
          <w:szCs w:val="30"/>
          <w:highlight w:val="none"/>
        </w:rPr>
        <w:t>完成情况进行确认后</w:t>
      </w:r>
      <w:r>
        <w:rPr>
          <w:rFonts w:hint="eastAsia" w:ascii="仿宋_GB2312" w:hAnsi="仿宋" w:eastAsia="仿宋_GB2312"/>
          <w:sz w:val="30"/>
          <w:szCs w:val="30"/>
          <w:highlight w:val="none"/>
          <w:lang w:val="en-US" w:eastAsia="zh-CN"/>
        </w:rPr>
        <w:t>进行</w:t>
      </w:r>
      <w:r>
        <w:rPr>
          <w:rFonts w:hint="eastAsia" w:ascii="仿宋_GB2312" w:hAnsi="仿宋" w:eastAsia="仿宋_GB2312"/>
          <w:sz w:val="30"/>
          <w:szCs w:val="30"/>
          <w:highlight w:val="none"/>
        </w:rPr>
        <w:t>结算。</w:t>
      </w:r>
    </w:p>
    <w:p w14:paraId="11E8D128">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黑体" w:hAnsi="黑体" w:eastAsia="黑体" w:cs="黑体"/>
          <w:b/>
          <w:bCs/>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.2付款方式：</w:t>
      </w:r>
      <w:r>
        <w:rPr>
          <w:rFonts w:hint="eastAsia" w:ascii="黑体" w:hAnsi="黑体" w:eastAsia="黑体" w:cs="黑体"/>
          <w:b/>
          <w:bCs/>
          <w:sz w:val="30"/>
          <w:szCs w:val="30"/>
          <w:highlight w:val="none"/>
        </w:rPr>
        <w:t>半年期商业汇票（银行承兑汇票或商业承兑汇票）。</w:t>
      </w:r>
    </w:p>
    <w:p w14:paraId="7BCF0296">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仿宋_GB2312" w:hAnsi="仿宋" w:eastAsia="仿宋_GB2312" w:cs="Times New Roman"/>
          <w:b w:val="0"/>
          <w:bCs w:val="0"/>
          <w:sz w:val="30"/>
          <w:szCs w:val="30"/>
          <w:highlight w:val="none"/>
        </w:rPr>
      </w:pPr>
      <w:r>
        <w:rPr>
          <w:rFonts w:hint="eastAsia" w:ascii="仿宋_GB2312" w:hAnsi="仿宋" w:eastAsia="仿宋_GB2312"/>
          <w:sz w:val="30"/>
          <w:szCs w:val="30"/>
          <w:highlight w:val="none"/>
        </w:rPr>
        <w:t>乙方按照合同约定提供培训服务，每期培训结束后按评价结果结算</w:t>
      </w:r>
      <w:r>
        <w:rPr>
          <w:rFonts w:hint="eastAsia" w:ascii="仿宋_GB2312" w:hAnsi="仿宋" w:eastAsia="仿宋_GB2312"/>
          <w:sz w:val="30"/>
          <w:szCs w:val="30"/>
          <w:highlight w:val="none"/>
          <w:lang w:val="en-US" w:eastAsia="zh-CN"/>
        </w:rPr>
        <w:t>，甲方</w:t>
      </w:r>
      <w:r>
        <w:rPr>
          <w:rFonts w:hint="eastAsia" w:ascii="仿宋_GB2312" w:hAnsi="仿宋" w:eastAsia="仿宋_GB2312"/>
          <w:sz w:val="30"/>
          <w:szCs w:val="30"/>
          <w:highlight w:val="none"/>
        </w:rPr>
        <w:t>根据乙方服务质量、评价结果进行</w:t>
      </w:r>
      <w:r>
        <w:rPr>
          <w:rFonts w:hint="eastAsia" w:ascii="仿宋_GB2312" w:hAnsi="仿宋" w:eastAsia="仿宋_GB2312"/>
          <w:sz w:val="30"/>
          <w:szCs w:val="30"/>
          <w:highlight w:val="none"/>
          <w:lang w:val="en-US" w:eastAsia="zh-CN"/>
        </w:rPr>
        <w:t>费用</w:t>
      </w:r>
      <w:r>
        <w:rPr>
          <w:rFonts w:hint="eastAsia" w:ascii="仿宋_GB2312" w:hAnsi="仿宋" w:eastAsia="仿宋_GB2312"/>
          <w:sz w:val="30"/>
          <w:szCs w:val="30"/>
          <w:highlight w:val="none"/>
        </w:rPr>
        <w:t>结算</w:t>
      </w:r>
      <w:r>
        <w:rPr>
          <w:rFonts w:hint="eastAsia" w:ascii="仿宋_GB2312" w:hAnsi="仿宋" w:eastAsia="仿宋_GB2312"/>
          <w:sz w:val="30"/>
          <w:szCs w:val="30"/>
          <w:highlight w:val="none"/>
          <w:lang w:eastAsia="zh-CN"/>
        </w:rPr>
        <w:t>。</w:t>
      </w:r>
      <w:r>
        <w:rPr>
          <w:rFonts w:hint="eastAsia" w:ascii="仿宋_GB2312" w:hAnsi="仿宋" w:eastAsia="仿宋_GB2312" w:cs="Times New Roman"/>
          <w:b w:val="0"/>
          <w:bCs w:val="0"/>
          <w:sz w:val="30"/>
          <w:szCs w:val="30"/>
          <w:highlight w:val="none"/>
        </w:rPr>
        <w:t>培训过程中，对乙方的培训效果进行现场评价，评价采取计分法，满分为100分</w:t>
      </w:r>
      <w:r>
        <w:rPr>
          <w:rFonts w:hint="eastAsia" w:ascii="仿宋_GB2312" w:hAnsi="仿宋" w:eastAsia="仿宋_GB2312" w:cs="Times New Roman"/>
          <w:b w:val="0"/>
          <w:bCs w:val="0"/>
          <w:sz w:val="30"/>
          <w:szCs w:val="30"/>
          <w:highlight w:val="none"/>
          <w:lang w:eastAsia="zh-CN"/>
        </w:rPr>
        <w:t>，</w:t>
      </w:r>
      <w:r>
        <w:rPr>
          <w:rFonts w:hint="eastAsia" w:ascii="仿宋_GB2312" w:hAnsi="仿宋" w:eastAsia="仿宋_GB2312" w:cs="Times New Roman"/>
          <w:b w:val="0"/>
          <w:bCs w:val="0"/>
          <w:sz w:val="30"/>
          <w:szCs w:val="30"/>
          <w:highlight w:val="none"/>
        </w:rPr>
        <w:t>得分</w:t>
      </w:r>
      <w:r>
        <w:rPr>
          <w:rFonts w:hint="eastAsia" w:ascii="仿宋_GB2312" w:hAnsi="仿宋" w:eastAsia="仿宋_GB2312" w:cs="Times New Roman"/>
          <w:b w:val="0"/>
          <w:bCs w:val="0"/>
          <w:sz w:val="30"/>
          <w:szCs w:val="30"/>
          <w:highlight w:val="none"/>
          <w:lang w:val="en-US" w:eastAsia="zh-CN"/>
        </w:rPr>
        <w:t>≥</w:t>
      </w:r>
      <w:r>
        <w:rPr>
          <w:rFonts w:hint="eastAsia" w:ascii="仿宋_GB2312" w:hAnsi="仿宋" w:eastAsia="仿宋_GB2312" w:cs="Times New Roman"/>
          <w:b w:val="0"/>
          <w:bCs w:val="0"/>
          <w:sz w:val="30"/>
          <w:szCs w:val="30"/>
          <w:highlight w:val="none"/>
        </w:rPr>
        <w:t>85分的，按合同履行金额100%支付；80≤总得分&lt;85分，按合同履行金额80%支付；总得分&lt;80分，按合同履行金额60%支付，并取消其继续合作资格，视情况列入重汽供应商黑名单。</w:t>
      </w:r>
      <w:r>
        <w:rPr>
          <w:rFonts w:hint="eastAsia" w:ascii="仿宋_GB2312" w:hAnsi="仿宋" w:eastAsia="仿宋_GB2312"/>
          <w:sz w:val="30"/>
          <w:szCs w:val="30"/>
          <w:highlight w:val="none"/>
        </w:rPr>
        <w:t>乙方按合同约定金额的</w:t>
      </w:r>
      <w:r>
        <w:rPr>
          <w:rFonts w:hint="eastAsia" w:ascii="仿宋_GB2312" w:hAnsi="仿宋" w:eastAsia="仿宋_GB2312"/>
          <w:sz w:val="30"/>
          <w:szCs w:val="30"/>
          <w:highlight w:val="none"/>
          <w:lang w:val="en-US" w:eastAsia="zh-CN"/>
        </w:rPr>
        <w:t>对应比例</w:t>
      </w:r>
      <w:r>
        <w:rPr>
          <w:rFonts w:hint="eastAsia" w:ascii="仿宋_GB2312" w:hAnsi="仿宋" w:eastAsia="仿宋_GB2312"/>
          <w:sz w:val="30"/>
          <w:szCs w:val="30"/>
          <w:highlight w:val="none"/>
        </w:rPr>
        <w:t>开具符合法律规定的增值税专用发票</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甲方收到发票后30个工作日内支付发票载明的采购费用。</w:t>
      </w:r>
    </w:p>
    <w:p w14:paraId="70686F3A">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仿宋_GB2312" w:hAnsi="仿宋" w:eastAsia="仿宋_GB2312" w:cs="Times New Roman"/>
          <w:b w:val="0"/>
          <w:bCs w:val="0"/>
          <w:sz w:val="30"/>
          <w:szCs w:val="30"/>
          <w:highlight w:val="none"/>
          <w:lang w:eastAsia="zh-CN"/>
        </w:rPr>
      </w:pPr>
      <w:r>
        <w:rPr>
          <w:rFonts w:hint="eastAsia" w:ascii="仿宋_GB2312" w:hAnsi="Calibri" w:eastAsia="仿宋_GB2312" w:cs="Times New Roman"/>
          <w:sz w:val="30"/>
          <w:szCs w:val="30"/>
          <w:highlight w:val="none"/>
        </w:rPr>
        <w:t>因发票违规给付款方造成的增值税、所得税等损失，由开票方承担相关责任，包括但不限于税款、滞纳金、罚款及其它相关损失</w:t>
      </w:r>
      <w:r>
        <w:rPr>
          <w:rFonts w:hint="eastAsia" w:ascii="仿宋_GB2312" w:hAnsi="Calibri" w:eastAsia="仿宋_GB2312" w:cs="Times New Roman"/>
          <w:sz w:val="30"/>
          <w:szCs w:val="30"/>
          <w:highlight w:val="none"/>
          <w:lang w:eastAsia="zh-CN"/>
        </w:rPr>
        <w:t>。</w:t>
      </w:r>
    </w:p>
    <w:p w14:paraId="627893D2">
      <w:pPr>
        <w:keepNext w:val="0"/>
        <w:keepLines w:val="0"/>
        <w:pageBreakBefore w:val="0"/>
        <w:widowControl w:val="0"/>
        <w:kinsoku/>
        <w:wordWrap/>
        <w:overflowPunct/>
        <w:topLinePunct w:val="0"/>
        <w:bidi w:val="0"/>
        <w:snapToGrid/>
        <w:spacing w:line="520" w:lineRule="exact"/>
        <w:ind w:firstLine="602" w:firstLineChars="200"/>
        <w:jc w:val="left"/>
        <w:textAlignment w:val="auto"/>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lang w:val="en-US" w:eastAsia="zh-CN"/>
        </w:rPr>
        <w:t>7</w:t>
      </w:r>
      <w:r>
        <w:rPr>
          <w:rFonts w:hint="eastAsia" w:ascii="楷体_GB2312" w:hAnsi="楷体_GB2312" w:eastAsia="楷体_GB2312" w:cs="楷体_GB2312"/>
          <w:b/>
          <w:bCs/>
          <w:sz w:val="30"/>
          <w:szCs w:val="30"/>
          <w:highlight w:val="none"/>
        </w:rPr>
        <w:t>.评标原则和评分标准</w:t>
      </w:r>
    </w:p>
    <w:p w14:paraId="3B6DB530">
      <w:pPr>
        <w:keepNext w:val="0"/>
        <w:keepLines w:val="0"/>
        <w:pageBreakBefore w:val="0"/>
        <w:widowControl w:val="0"/>
        <w:kinsoku/>
        <w:wordWrap/>
        <w:overflowPunct/>
        <w:topLinePunct w:val="0"/>
        <w:bidi w:val="0"/>
        <w:snapToGrid/>
        <w:spacing w:line="520" w:lineRule="exact"/>
        <w:ind w:firstLine="600" w:firstLineChars="200"/>
        <w:jc w:val="left"/>
        <w:textAlignment w:val="auto"/>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1评标工作由招标人为该项目依法组织的、由3人及以上单数成员组成的评标工作小组负责。由评标工作小组按照国家招投标有关规定，本着公平、公正、公开、有序的原则，在最大限度地满足招标文件实质性要求的前提下，按照招标文件中规定的各项因素进行评审。</w:t>
      </w:r>
    </w:p>
    <w:p w14:paraId="08E716EC">
      <w:pPr>
        <w:keepNext w:val="0"/>
        <w:keepLines w:val="0"/>
        <w:pageBreakBefore w:val="0"/>
        <w:widowControl w:val="0"/>
        <w:numPr>
          <w:ilvl w:val="0"/>
          <w:numId w:val="2"/>
        </w:numPr>
        <w:kinsoku/>
        <w:wordWrap/>
        <w:overflowPunct/>
        <w:topLinePunct w:val="0"/>
        <w:bidi w:val="0"/>
        <w:snapToGrid/>
        <w:spacing w:line="520" w:lineRule="exact"/>
        <w:ind w:firstLine="600" w:firstLineChars="200"/>
        <w:jc w:val="left"/>
        <w:textAlignment w:val="auto"/>
        <w:outlineLvl w:val="2"/>
        <w:rPr>
          <w:rFonts w:hint="eastAsia" w:ascii="仿宋_GB2312" w:hAnsi="仿宋" w:eastAsia="仿宋_GB2312"/>
          <w:sz w:val="30"/>
          <w:szCs w:val="30"/>
          <w:highlight w:val="none"/>
        </w:rPr>
      </w:pPr>
      <w:r>
        <w:rPr>
          <w:rFonts w:hint="eastAsia" w:ascii="仿宋_GB2312" w:hAnsi="仿宋" w:eastAsia="仿宋_GB2312"/>
          <w:sz w:val="30"/>
          <w:szCs w:val="30"/>
          <w:highlight w:val="none"/>
        </w:rPr>
        <w:t>技术标评分标准如下：</w:t>
      </w:r>
    </w:p>
    <w:p w14:paraId="002B8590">
      <w:pPr>
        <w:pStyle w:val="13"/>
        <w:widowControl w:val="0"/>
        <w:numPr>
          <w:ilvl w:val="0"/>
          <w:numId w:val="0"/>
        </w:numPr>
        <w:snapToGrid w:val="0"/>
        <w:spacing w:line="300" w:lineRule="exact"/>
        <w:jc w:val="left"/>
        <w:rPr>
          <w:highlight w:val="none"/>
        </w:rPr>
      </w:pPr>
    </w:p>
    <w:tbl>
      <w:tblPr>
        <w:tblStyle w:val="2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04"/>
        <w:gridCol w:w="6048"/>
        <w:gridCol w:w="989"/>
        <w:gridCol w:w="544"/>
      </w:tblGrid>
      <w:tr w14:paraId="381D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34" w:type="dxa"/>
            <w:vAlign w:val="center"/>
          </w:tcPr>
          <w:p w14:paraId="0070642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项目</w:t>
            </w:r>
          </w:p>
        </w:tc>
        <w:tc>
          <w:tcPr>
            <w:tcW w:w="1104" w:type="dxa"/>
            <w:shd w:val="clear" w:color="auto" w:fill="auto"/>
            <w:vAlign w:val="center"/>
          </w:tcPr>
          <w:p w14:paraId="5B09D3D5">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细则</w:t>
            </w:r>
          </w:p>
        </w:tc>
        <w:tc>
          <w:tcPr>
            <w:tcW w:w="7037" w:type="dxa"/>
            <w:gridSpan w:val="2"/>
            <w:shd w:val="clear" w:color="auto" w:fill="auto"/>
            <w:vAlign w:val="center"/>
          </w:tcPr>
          <w:p w14:paraId="33B8A0F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技术标评分标准</w:t>
            </w:r>
          </w:p>
        </w:tc>
        <w:tc>
          <w:tcPr>
            <w:tcW w:w="544" w:type="dxa"/>
            <w:shd w:val="clear" w:color="auto" w:fill="auto"/>
            <w:vAlign w:val="center"/>
          </w:tcPr>
          <w:p w14:paraId="202657D6">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得分</w:t>
            </w:r>
          </w:p>
        </w:tc>
      </w:tr>
      <w:tr w14:paraId="1231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1134" w:type="dxa"/>
            <w:vMerge w:val="restart"/>
            <w:vAlign w:val="center"/>
          </w:tcPr>
          <w:p w14:paraId="0E439F30">
            <w:pPr>
              <w:widowControl/>
              <w:spacing w:line="30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技术标</w:t>
            </w:r>
          </w:p>
          <w:p w14:paraId="3010E50B">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highlight w:val="none"/>
              </w:rPr>
              <w:t>（100分）</w:t>
            </w:r>
          </w:p>
        </w:tc>
        <w:tc>
          <w:tcPr>
            <w:tcW w:w="1104" w:type="dxa"/>
            <w:shd w:val="clear" w:color="auto" w:fill="auto"/>
            <w:vAlign w:val="center"/>
          </w:tcPr>
          <w:p w14:paraId="69A29B9E">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投标方</w:t>
            </w:r>
          </w:p>
          <w:p w14:paraId="229840F9">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业绩</w:t>
            </w:r>
          </w:p>
          <w:p w14:paraId="63C488B2">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（20 分）</w:t>
            </w:r>
          </w:p>
        </w:tc>
        <w:tc>
          <w:tcPr>
            <w:tcW w:w="6048" w:type="dxa"/>
            <w:shd w:val="clear" w:color="auto" w:fill="auto"/>
            <w:vAlign w:val="center"/>
          </w:tcPr>
          <w:p w14:paraId="6F13C8F3">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1.合作单位、整车及相关行业案例（同行业加分）及业务拓展情况。合作一家得3分，最高15分。</w:t>
            </w:r>
          </w:p>
          <w:p w14:paraId="3E9F83A0">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2.取得的相关荣誉、信用等级和认证证书得5分，缺少的视情况得1-3分。</w:t>
            </w:r>
          </w:p>
        </w:tc>
        <w:tc>
          <w:tcPr>
            <w:tcW w:w="989" w:type="dxa"/>
            <w:vMerge w:val="restart"/>
            <w:shd w:val="clear" w:color="auto" w:fill="auto"/>
            <w:vAlign w:val="center"/>
          </w:tcPr>
          <w:p w14:paraId="1BC1B4FB">
            <w:pPr>
              <w:widowControl/>
              <w:spacing w:line="300" w:lineRule="exact"/>
              <w:jc w:val="both"/>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现场讲标。围绕投标方业绩、培训方案、服务承诺、投标方资质等方面阐述项目保障、计划、技术服务等。</w:t>
            </w:r>
          </w:p>
        </w:tc>
        <w:tc>
          <w:tcPr>
            <w:tcW w:w="544" w:type="dxa"/>
            <w:shd w:val="clear" w:color="auto" w:fill="auto"/>
            <w:vAlign w:val="center"/>
          </w:tcPr>
          <w:p w14:paraId="2D11B44D">
            <w:pPr>
              <w:widowControl/>
              <w:spacing w:line="300" w:lineRule="exact"/>
              <w:jc w:val="left"/>
              <w:rPr>
                <w:rFonts w:hint="eastAsia" w:ascii="仿宋_GB2312" w:hAnsi="仿宋_GB2312" w:eastAsia="仿宋_GB2312" w:cs="仿宋_GB2312"/>
                <w:szCs w:val="21"/>
                <w:highlight w:val="none"/>
              </w:rPr>
            </w:pPr>
          </w:p>
        </w:tc>
      </w:tr>
      <w:tr w14:paraId="692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1" w:hRule="atLeast"/>
          <w:jc w:val="center"/>
        </w:trPr>
        <w:tc>
          <w:tcPr>
            <w:tcW w:w="1134" w:type="dxa"/>
            <w:vMerge w:val="continue"/>
          </w:tcPr>
          <w:p w14:paraId="31858783">
            <w:pPr>
              <w:widowControl/>
              <w:spacing w:line="300" w:lineRule="exact"/>
              <w:jc w:val="center"/>
              <w:rPr>
                <w:rFonts w:hint="eastAsia" w:ascii="仿宋_GB2312" w:hAnsi="仿宋_GB2312" w:eastAsia="仿宋_GB2312" w:cs="仿宋_GB2312"/>
                <w:szCs w:val="21"/>
                <w:highlight w:val="none"/>
              </w:rPr>
            </w:pPr>
          </w:p>
        </w:tc>
        <w:tc>
          <w:tcPr>
            <w:tcW w:w="1104" w:type="dxa"/>
            <w:shd w:val="clear" w:color="auto" w:fill="auto"/>
            <w:vAlign w:val="center"/>
          </w:tcPr>
          <w:p w14:paraId="6808F324">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培训方案</w:t>
            </w:r>
          </w:p>
          <w:p w14:paraId="712D268E">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w:t>
            </w:r>
            <w:r>
              <w:rPr>
                <w:rFonts w:hint="eastAsia" w:ascii="仿宋_GB2312" w:hAnsi="仿宋_GB2312" w:eastAsia="仿宋_GB2312" w:cs="仿宋_GB2312"/>
                <w:szCs w:val="21"/>
                <w:highlight w:val="none"/>
                <w:lang w:val="en-US" w:eastAsia="zh-CN"/>
              </w:rPr>
              <w:t>8</w:t>
            </w:r>
            <w:r>
              <w:rPr>
                <w:rFonts w:hint="eastAsia" w:ascii="仿宋_GB2312" w:hAnsi="仿宋_GB2312" w:eastAsia="仿宋_GB2312" w:cs="仿宋_GB2312"/>
                <w:szCs w:val="21"/>
                <w:highlight w:val="none"/>
              </w:rPr>
              <w:t>0 分）</w:t>
            </w:r>
          </w:p>
        </w:tc>
        <w:tc>
          <w:tcPr>
            <w:tcW w:w="6048" w:type="dxa"/>
            <w:shd w:val="clear" w:color="auto" w:fill="auto"/>
            <w:vAlign w:val="center"/>
          </w:tcPr>
          <w:p w14:paraId="4C304E01">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1.</w:t>
            </w:r>
            <w:r>
              <w:rPr>
                <w:rFonts w:hint="eastAsia" w:ascii="仿宋_GB2312" w:hAnsi="仿宋_GB2312" w:eastAsia="仿宋_GB2312" w:cs="仿宋_GB2312"/>
                <w:szCs w:val="21"/>
                <w:highlight w:val="none"/>
              </w:rPr>
              <w:t>团队管理：管理架构清晰、专有讲师团队在20人以上得</w:t>
            </w:r>
            <w:r>
              <w:rPr>
                <w:rFonts w:hint="eastAsia" w:ascii="仿宋_GB2312" w:hAnsi="仿宋_GB2312" w:eastAsia="仿宋_GB2312" w:cs="仿宋_GB2312"/>
                <w:szCs w:val="21"/>
                <w:highlight w:val="none"/>
                <w:lang w:val="en-US" w:eastAsia="zh-CN"/>
              </w:rPr>
              <w:t>10</w:t>
            </w:r>
            <w:r>
              <w:rPr>
                <w:rFonts w:hint="eastAsia" w:ascii="仿宋_GB2312" w:hAnsi="仿宋_GB2312" w:eastAsia="仿宋_GB2312" w:cs="仿宋_GB2312"/>
                <w:szCs w:val="21"/>
                <w:highlight w:val="none"/>
              </w:rPr>
              <w:t>分，不足视情况得1-</w:t>
            </w:r>
            <w:r>
              <w:rPr>
                <w:rFonts w:hint="eastAsia" w:ascii="仿宋_GB2312" w:hAnsi="仿宋_GB2312" w:eastAsia="仿宋_GB2312" w:cs="仿宋_GB2312"/>
                <w:szCs w:val="21"/>
                <w:highlight w:val="none"/>
                <w:lang w:val="en-US" w:eastAsia="zh-CN"/>
              </w:rPr>
              <w:t>8</w:t>
            </w:r>
            <w:r>
              <w:rPr>
                <w:rFonts w:hint="eastAsia" w:ascii="仿宋_GB2312" w:hAnsi="仿宋_GB2312" w:eastAsia="仿宋_GB2312" w:cs="仿宋_GB2312"/>
                <w:szCs w:val="21"/>
                <w:highlight w:val="none"/>
              </w:rPr>
              <w:t>分。</w:t>
            </w:r>
          </w:p>
          <w:p w14:paraId="0E531D67">
            <w:pPr>
              <w:widowControl/>
              <w:spacing w:line="300" w:lineRule="exact"/>
              <w:jc w:val="left"/>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2.讲师资质：</w:t>
            </w:r>
            <w:r>
              <w:rPr>
                <w:rFonts w:hint="eastAsia" w:ascii="仿宋_GB2312" w:hAnsi="仿宋_GB2312" w:eastAsia="仿宋_GB2312" w:cs="仿宋_GB2312"/>
                <w:szCs w:val="21"/>
                <w:highlight w:val="none"/>
              </w:rPr>
              <w:t>讲师具备相关领域的专业资质和经验</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rPr>
              <w:t>丰富的实践经验和行业案例</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lang w:val="en-US" w:eastAsia="zh-CN"/>
              </w:rPr>
              <w:t>视情况得1-20分。</w:t>
            </w:r>
          </w:p>
          <w:p w14:paraId="26AFC2EC">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3</w:t>
            </w:r>
            <w:r>
              <w:rPr>
                <w:rFonts w:hint="eastAsia" w:ascii="仿宋_GB2312" w:hAnsi="仿宋_GB2312" w:eastAsia="仿宋_GB2312" w:cs="仿宋_GB2312"/>
                <w:szCs w:val="21"/>
                <w:highlight w:val="none"/>
              </w:rPr>
              <w:t>.培训内容：培训内容贴合度、课程内容丰富度、课程设计</w:t>
            </w:r>
            <w:r>
              <w:rPr>
                <w:rFonts w:hint="eastAsia" w:ascii="仿宋_GB2312" w:hAnsi="仿宋_GB2312" w:eastAsia="仿宋_GB2312" w:cs="仿宋_GB2312"/>
                <w:szCs w:val="21"/>
                <w:highlight w:val="none"/>
                <w:lang w:val="en-US" w:eastAsia="zh-CN"/>
              </w:rPr>
              <w:t>实用性</w:t>
            </w:r>
            <w:r>
              <w:rPr>
                <w:rFonts w:hint="eastAsia" w:ascii="仿宋_GB2312" w:hAnsi="仿宋_GB2312" w:eastAsia="仿宋_GB2312" w:cs="仿宋_GB2312"/>
                <w:szCs w:val="21"/>
                <w:highlight w:val="none"/>
              </w:rPr>
              <w:t>，完全符合得</w:t>
            </w:r>
            <w:r>
              <w:rPr>
                <w:rFonts w:hint="eastAsia" w:ascii="仿宋_GB2312" w:hAnsi="仿宋_GB2312" w:eastAsia="仿宋_GB2312" w:cs="仿宋_GB2312"/>
                <w:szCs w:val="21"/>
                <w:highlight w:val="none"/>
                <w:lang w:val="en-US" w:eastAsia="zh-CN"/>
              </w:rPr>
              <w:t>3</w:t>
            </w:r>
            <w:r>
              <w:rPr>
                <w:rFonts w:hint="eastAsia" w:ascii="仿宋_GB2312" w:hAnsi="仿宋_GB2312" w:eastAsia="仿宋_GB2312" w:cs="仿宋_GB2312"/>
                <w:szCs w:val="21"/>
                <w:highlight w:val="none"/>
              </w:rPr>
              <w:t>0分，符合得</w:t>
            </w:r>
            <w:r>
              <w:rPr>
                <w:rFonts w:hint="eastAsia" w:ascii="仿宋_GB2312" w:hAnsi="仿宋_GB2312" w:eastAsia="仿宋_GB2312" w:cs="仿宋_GB2312"/>
                <w:szCs w:val="21"/>
                <w:highlight w:val="none"/>
                <w:lang w:val="en-US" w:eastAsia="zh-CN"/>
              </w:rPr>
              <w:t>20</w:t>
            </w:r>
            <w:r>
              <w:rPr>
                <w:rFonts w:hint="eastAsia" w:ascii="仿宋_GB2312" w:hAnsi="仿宋_GB2312" w:eastAsia="仿宋_GB2312" w:cs="仿宋_GB2312"/>
                <w:szCs w:val="21"/>
                <w:highlight w:val="none"/>
              </w:rPr>
              <w:t>分，基本符合得</w:t>
            </w:r>
            <w:r>
              <w:rPr>
                <w:rFonts w:hint="eastAsia" w:ascii="仿宋_GB2312" w:hAnsi="仿宋_GB2312" w:eastAsia="仿宋_GB2312" w:cs="仿宋_GB2312"/>
                <w:szCs w:val="21"/>
                <w:highlight w:val="none"/>
                <w:lang w:val="en-US" w:eastAsia="zh-CN"/>
              </w:rPr>
              <w:t>15</w:t>
            </w:r>
            <w:r>
              <w:rPr>
                <w:rFonts w:hint="eastAsia" w:ascii="仿宋_GB2312" w:hAnsi="仿宋_GB2312" w:eastAsia="仿宋_GB2312" w:cs="仿宋_GB2312"/>
                <w:szCs w:val="21"/>
                <w:highlight w:val="none"/>
              </w:rPr>
              <w:t>分，不符合得5分。</w:t>
            </w:r>
          </w:p>
          <w:p w14:paraId="67281494">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4</w:t>
            </w:r>
            <w:r>
              <w:rPr>
                <w:rFonts w:hint="eastAsia" w:ascii="仿宋_GB2312" w:hAnsi="仿宋_GB2312" w:eastAsia="仿宋_GB2312" w:cs="仿宋_GB2312"/>
                <w:szCs w:val="21"/>
                <w:highlight w:val="none"/>
              </w:rPr>
              <w:t>.培训运营：项目运营方案可行、科学，具有课堂氛围营造措施、可提高员工培训满意度，完全符合得20分，符合得15分，基本符合得10分，不符合得5分。</w:t>
            </w:r>
          </w:p>
        </w:tc>
        <w:tc>
          <w:tcPr>
            <w:tcW w:w="989" w:type="dxa"/>
            <w:vMerge w:val="continue"/>
            <w:shd w:val="clear" w:color="auto" w:fill="auto"/>
            <w:vAlign w:val="center"/>
          </w:tcPr>
          <w:p w14:paraId="1A1E45D5">
            <w:pPr>
              <w:widowControl/>
              <w:spacing w:line="300" w:lineRule="exact"/>
              <w:jc w:val="left"/>
              <w:rPr>
                <w:rFonts w:hint="eastAsia" w:ascii="仿宋_GB2312" w:hAnsi="仿宋_GB2312" w:eastAsia="仿宋_GB2312" w:cs="仿宋_GB2312"/>
                <w:szCs w:val="21"/>
                <w:highlight w:val="none"/>
              </w:rPr>
            </w:pPr>
          </w:p>
        </w:tc>
        <w:tc>
          <w:tcPr>
            <w:tcW w:w="544" w:type="dxa"/>
            <w:shd w:val="clear" w:color="auto" w:fill="auto"/>
            <w:vAlign w:val="center"/>
          </w:tcPr>
          <w:p w14:paraId="24F63806">
            <w:pPr>
              <w:widowControl/>
              <w:spacing w:line="300" w:lineRule="exact"/>
              <w:jc w:val="left"/>
              <w:rPr>
                <w:rFonts w:hint="eastAsia" w:ascii="仿宋_GB2312" w:hAnsi="仿宋_GB2312" w:eastAsia="仿宋_GB2312" w:cs="仿宋_GB2312"/>
                <w:szCs w:val="21"/>
                <w:highlight w:val="none"/>
              </w:rPr>
            </w:pPr>
          </w:p>
        </w:tc>
      </w:tr>
    </w:tbl>
    <w:p w14:paraId="4FBB3432">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注1：投标人得分取所有评委对该投标人计分之和的算术平均值。</w:t>
      </w:r>
    </w:p>
    <w:p w14:paraId="6049803E">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注2：最终得分小数点后保留2位有效数字。</w:t>
      </w:r>
    </w:p>
    <w:p w14:paraId="7B0D2803">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注3：对于未能提供承诺书证明材料的，一票否决。</w:t>
      </w:r>
    </w:p>
    <w:p w14:paraId="427789FA">
      <w:pPr>
        <w:pStyle w:val="10"/>
        <w:spacing w:line="500" w:lineRule="exact"/>
        <w:ind w:firstLine="600" w:firstLineChars="200"/>
        <w:outlineLvl w:val="2"/>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（2）商务标评分标准</w:t>
      </w:r>
    </w:p>
    <w:tbl>
      <w:tblPr>
        <w:tblStyle w:val="20"/>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104"/>
        <w:gridCol w:w="6815"/>
        <w:gridCol w:w="695"/>
      </w:tblGrid>
      <w:tr w14:paraId="1620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085" w:type="dxa"/>
            <w:vAlign w:val="center"/>
          </w:tcPr>
          <w:p w14:paraId="2D38619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项目</w:t>
            </w:r>
          </w:p>
        </w:tc>
        <w:tc>
          <w:tcPr>
            <w:tcW w:w="1104" w:type="dxa"/>
            <w:shd w:val="clear" w:color="auto" w:fill="auto"/>
            <w:vAlign w:val="center"/>
          </w:tcPr>
          <w:p w14:paraId="2D4285A4">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细则</w:t>
            </w:r>
          </w:p>
        </w:tc>
        <w:tc>
          <w:tcPr>
            <w:tcW w:w="6815" w:type="dxa"/>
            <w:shd w:val="clear" w:color="auto" w:fill="auto"/>
            <w:vAlign w:val="center"/>
          </w:tcPr>
          <w:p w14:paraId="37A3008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商务标评分标准</w:t>
            </w:r>
          </w:p>
        </w:tc>
        <w:tc>
          <w:tcPr>
            <w:tcW w:w="695" w:type="dxa"/>
            <w:shd w:val="clear" w:color="auto" w:fill="auto"/>
            <w:vAlign w:val="center"/>
          </w:tcPr>
          <w:p w14:paraId="7E1D6870">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得分</w:t>
            </w:r>
          </w:p>
        </w:tc>
      </w:tr>
      <w:tr w14:paraId="47B2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1085" w:type="dxa"/>
            <w:vAlign w:val="center"/>
          </w:tcPr>
          <w:p w14:paraId="5EF50F00">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商务标</w:t>
            </w:r>
          </w:p>
          <w:p w14:paraId="52679951">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（100分）</w:t>
            </w:r>
          </w:p>
        </w:tc>
        <w:tc>
          <w:tcPr>
            <w:tcW w:w="1104" w:type="dxa"/>
            <w:shd w:val="clear" w:color="auto" w:fill="auto"/>
            <w:vAlign w:val="center"/>
          </w:tcPr>
          <w:p w14:paraId="413E1A42">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商务标</w:t>
            </w:r>
          </w:p>
          <w:p w14:paraId="74E1BF87">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报价</w:t>
            </w:r>
          </w:p>
        </w:tc>
        <w:tc>
          <w:tcPr>
            <w:tcW w:w="6815" w:type="dxa"/>
            <w:shd w:val="clear" w:color="auto" w:fill="auto"/>
            <w:vAlign w:val="center"/>
          </w:tcPr>
          <w:p w14:paraId="614A65F6">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 xml:space="preserve">各报价采用低价优先法计算，各方案以满足招标文件要求且报价最低的投标报价为评标基准价，其价格分为满分100分，其他供应商的价格分按照下列公式计算：投标报价得分=（评标基准价/投标报价）×100分。 </w:t>
            </w:r>
          </w:p>
        </w:tc>
        <w:tc>
          <w:tcPr>
            <w:tcW w:w="695" w:type="dxa"/>
            <w:shd w:val="clear" w:color="auto" w:fill="auto"/>
            <w:vAlign w:val="center"/>
          </w:tcPr>
          <w:p w14:paraId="35581E98">
            <w:pPr>
              <w:widowControl/>
              <w:spacing w:line="300" w:lineRule="exact"/>
              <w:jc w:val="left"/>
              <w:rPr>
                <w:rFonts w:hint="eastAsia" w:ascii="仿宋_GB2312" w:hAnsi="仿宋_GB2312" w:eastAsia="仿宋_GB2312" w:cs="仿宋_GB2312"/>
                <w:szCs w:val="21"/>
                <w:highlight w:val="none"/>
              </w:rPr>
            </w:pPr>
          </w:p>
        </w:tc>
      </w:tr>
    </w:tbl>
    <w:p w14:paraId="1014C045">
      <w:pPr>
        <w:pStyle w:val="13"/>
        <w:rPr>
          <w:highlight w:val="none"/>
        </w:rPr>
      </w:pPr>
    </w:p>
    <w:p w14:paraId="4DB27520">
      <w:pPr>
        <w:spacing w:line="500" w:lineRule="exact"/>
        <w:ind w:firstLine="600" w:firstLineChars="200"/>
        <w:rPr>
          <w:rFonts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.2对于未能提供承诺书证明材料的，一票否决。</w:t>
      </w:r>
      <w:r>
        <w:rPr>
          <w:rFonts w:hint="eastAsia" w:ascii="仿宋_GB2312" w:hAnsi="仿宋" w:eastAsia="仿宋_GB2312"/>
          <w:color w:val="000000" w:themeColor="text1"/>
          <w:sz w:val="30"/>
          <w:szCs w:val="30"/>
          <w:highlight w:val="none"/>
          <w14:textFill>
            <w14:solidFill>
              <w14:schemeClr w14:val="tx1"/>
            </w14:solidFill>
          </w14:textFill>
        </w:rPr>
        <w:t>投标文件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5DC72D28">
      <w:pPr>
        <w:spacing w:line="500" w:lineRule="exact"/>
        <w:ind w:firstLine="602" w:firstLineChars="200"/>
        <w:jc w:val="left"/>
        <w:outlineLvl w:val="0"/>
        <w:rPr>
          <w:rFonts w:ascii="黑体" w:hAnsi="黑体" w:eastAsia="黑体" w:cs="黑体"/>
          <w:b/>
          <w:bCs/>
          <w:sz w:val="30"/>
          <w:szCs w:val="30"/>
          <w:highlight w:val="none"/>
        </w:rPr>
      </w:pPr>
      <w:bookmarkStart w:id="6" w:name="_Toc30928"/>
      <w:bookmarkStart w:id="7" w:name="_Toc29804"/>
      <w:r>
        <w:rPr>
          <w:rFonts w:hint="eastAsia" w:ascii="黑体" w:hAnsi="黑体" w:eastAsia="黑体" w:cs="黑体"/>
          <w:b/>
          <w:bCs/>
          <w:sz w:val="30"/>
          <w:szCs w:val="30"/>
          <w:highlight w:val="none"/>
        </w:rPr>
        <w:t>四、投标文件</w:t>
      </w:r>
      <w:bookmarkEnd w:id="6"/>
      <w:bookmarkEnd w:id="7"/>
    </w:p>
    <w:p w14:paraId="6A9ECDE1">
      <w:pPr>
        <w:spacing w:line="500" w:lineRule="exact"/>
        <w:ind w:firstLine="600" w:firstLineChars="200"/>
        <w:jc w:val="left"/>
        <w:outlineLvl w:val="1"/>
        <w:rPr>
          <w:rFonts w:ascii="仿宋_GB2312" w:hAnsi="仿宋" w:eastAsia="仿宋_GB2312"/>
          <w:sz w:val="30"/>
          <w:szCs w:val="30"/>
          <w:highlight w:val="none"/>
        </w:rPr>
      </w:pPr>
      <w:r>
        <w:rPr>
          <w:rFonts w:hint="eastAsia" w:ascii="仿宋_GB2312" w:hAnsi="仿宋" w:eastAsia="仿宋_GB2312"/>
          <w:sz w:val="30"/>
          <w:szCs w:val="30"/>
          <w:highlight w:val="none"/>
        </w:rPr>
        <w:t>1.投标文件组成</w:t>
      </w:r>
    </w:p>
    <w:p w14:paraId="06001AA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投标人的投标文件由资格证明文件、投标文件技术部分、投标文件商务部分共三部分构成。</w:t>
      </w:r>
    </w:p>
    <w:p w14:paraId="635C0AF1">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注1：招标文件给定格式的按给定的格式填写，未给定格式的，由投标人自行编制，但需包含以下内容。</w:t>
      </w:r>
    </w:p>
    <w:p w14:paraId="67CB1B8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注2：以下需（可）提供的招标文件均需加盖公章。</w:t>
      </w:r>
    </w:p>
    <w:p w14:paraId="3174CF1F">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注3：为提高评标效率，请投标人按照所列的资料清单内容及顺序编制投标文件，如投标人未按照以下内容及顺序编制投标文件，可能会影响得分，请各投标单位务必注意。</w:t>
      </w:r>
    </w:p>
    <w:p w14:paraId="501250DA">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1.1资格证明文件包括：</w:t>
      </w:r>
    </w:p>
    <w:p w14:paraId="15216BAE">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（1）营业执照等相关经营资质复印件；</w:t>
      </w:r>
    </w:p>
    <w:p w14:paraId="0A1A700C">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（2）法定代表人或授权代理人身份证复印件和法定代表人授权委托书；</w:t>
      </w:r>
    </w:p>
    <w:p w14:paraId="27F2A9EA">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（3）投标人基本情况表；</w:t>
      </w:r>
    </w:p>
    <w:p w14:paraId="7A102466">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（4）服务承诺函；</w:t>
      </w:r>
    </w:p>
    <w:p w14:paraId="60C59277">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5）投标人信誉良好，无招标违法违规、谎报年度报告信息、提供虚假资质资料等行为或其他与本投标项目有关的行政处罚的证明材料；（“国家企业信用信息公示系统”、“中国执行信息公开网”、“信用中国”、“天眼查”、“判决文书网”等信息平台信用中国截图</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至少一项）；</w:t>
      </w:r>
    </w:p>
    <w:p w14:paraId="13943AEB">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（6）投标人的直接或间接股东、法定代表人、董事、监事、高管非重汽员工及亲属的证明；</w:t>
      </w:r>
    </w:p>
    <w:p w14:paraId="3FF6306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（7）企业最近半年完税证明、信用证明材料（中国人民银行信用代码证+征信报告）；</w:t>
      </w:r>
    </w:p>
    <w:p w14:paraId="275F5109">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 xml:space="preserve">（8）年度纳税信用评价信息（可从电子税务局查询截图，需加盖公章）； </w:t>
      </w:r>
    </w:p>
    <w:p w14:paraId="71749BE4">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（9）企业对外担保说明（写明贵单位对外有无对外担保和质押业务，需加盖公章）;</w:t>
      </w:r>
    </w:p>
    <w:p w14:paraId="6E11093A">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（10</w:t>
      </w:r>
      <w:r>
        <w:rPr>
          <w:rFonts w:ascii="仿宋_GB2312" w:hAnsi="仿宋" w:eastAsia="仿宋_GB2312"/>
          <w:sz w:val="30"/>
          <w:szCs w:val="30"/>
          <w:highlight w:val="none"/>
        </w:rPr>
        <w:t>）</w:t>
      </w:r>
      <w:r>
        <w:rPr>
          <w:rFonts w:hint="eastAsia" w:ascii="仿宋_GB2312" w:hAnsi="仿宋" w:eastAsia="仿宋_GB2312"/>
          <w:sz w:val="30"/>
          <w:szCs w:val="30"/>
          <w:highlight w:val="none"/>
        </w:rPr>
        <w:t>经会计师事务所审计且出具无保留意见的</w:t>
      </w:r>
      <w:r>
        <w:rPr>
          <w:rFonts w:hint="eastAsia" w:ascii="黑体" w:hAnsi="黑体" w:eastAsia="黑体" w:cs="黑体"/>
          <w:b/>
          <w:bCs/>
          <w:sz w:val="30"/>
          <w:szCs w:val="30"/>
          <w:highlight w:val="none"/>
        </w:rPr>
        <w:t>近三年的财务审计报告，并加盖公章</w:t>
      </w:r>
      <w:r>
        <w:rPr>
          <w:rFonts w:hint="eastAsia" w:ascii="仿宋_GB2312" w:hAnsi="仿宋" w:eastAsia="仿宋_GB2312"/>
          <w:sz w:val="30"/>
          <w:szCs w:val="30"/>
          <w:highlight w:val="none"/>
        </w:rPr>
        <w:t>，包括但不限于报告页、经审计的资产负债表、利润表、现金流量表及报表附注;</w:t>
      </w:r>
    </w:p>
    <w:p w14:paraId="6C1C019E">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如投标人公司没有经审计的财务报告，</w:t>
      </w:r>
      <w:r>
        <w:rPr>
          <w:rFonts w:hint="eastAsia" w:ascii="黑体" w:hAnsi="黑体" w:eastAsia="黑体" w:cs="黑体"/>
          <w:b/>
          <w:bCs/>
          <w:sz w:val="30"/>
          <w:szCs w:val="30"/>
          <w:highlight w:val="none"/>
        </w:rPr>
        <w:t>可提供加盖公章的近三年财务报表</w:t>
      </w:r>
      <w:r>
        <w:rPr>
          <w:rFonts w:hint="eastAsia" w:ascii="仿宋_GB2312" w:hAnsi="仿宋" w:eastAsia="仿宋_GB2312"/>
          <w:sz w:val="30"/>
          <w:szCs w:val="30"/>
          <w:highlight w:val="none"/>
        </w:rPr>
        <w:t>，包括但不限于资产负债表、利润表、现金流量表。应提供中文版本的审计报告或财务报表；</w:t>
      </w:r>
    </w:p>
    <w:p w14:paraId="5D43DCA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（11）投标人认为对其投标有利的其他资料；</w:t>
      </w:r>
    </w:p>
    <w:p w14:paraId="0117EB24">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（12）法律法规对合格投标人的其他要求、规定。</w:t>
      </w:r>
    </w:p>
    <w:p w14:paraId="078DC8AD">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1.2技术部分文件包括：</w:t>
      </w:r>
    </w:p>
    <w:p w14:paraId="5D29A329">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（1）培训项目实施方案；（需承诺项目需求人员到位时间）</w:t>
      </w:r>
    </w:p>
    <w:p w14:paraId="1143C0A6">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（2）相关培训项目案例；</w:t>
      </w:r>
    </w:p>
    <w:p w14:paraId="2D450C1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（3）投标人认为对其投标有利的其他资料。</w:t>
      </w:r>
    </w:p>
    <w:p w14:paraId="1BADEFD3">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1.3商务部分文件包括：</w:t>
      </w:r>
    </w:p>
    <w:p w14:paraId="63133CE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（1）投标函；</w:t>
      </w:r>
    </w:p>
    <w:p w14:paraId="6D307B5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（2）投标报价明细表；</w:t>
      </w:r>
    </w:p>
    <w:p w14:paraId="51EE55CB">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（3）经营业绩一览表；</w:t>
      </w:r>
    </w:p>
    <w:p w14:paraId="1D6DA9D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（4）对本项目招标文件及“合同条款”的认同说明。</w:t>
      </w:r>
    </w:p>
    <w:p w14:paraId="062C203C">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2.投标文件的装订</w:t>
      </w:r>
    </w:p>
    <w:p w14:paraId="3E69F66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投标人必须将投标文件按照投标文件组成的顺序装订</w:t>
      </w:r>
      <w:r>
        <w:rPr>
          <w:rFonts w:hint="eastAsia" w:ascii="仿宋_GB2312" w:hAnsi="仿宋_GB2312" w:eastAsia="仿宋_GB2312" w:cs="仿宋_GB2312"/>
          <w:sz w:val="30"/>
          <w:szCs w:val="30"/>
          <w:highlight w:val="none"/>
          <w:lang w:val="en-US" w:eastAsia="zh-CN"/>
        </w:rPr>
        <w:t>成</w:t>
      </w:r>
      <w:r>
        <w:rPr>
          <w:rFonts w:hint="eastAsia" w:ascii="仿宋_GB2312" w:hAnsi="仿宋_GB2312" w:eastAsia="仿宋_GB2312" w:cs="仿宋_GB2312"/>
          <w:sz w:val="30"/>
          <w:szCs w:val="30"/>
          <w:highlight w:val="none"/>
        </w:rPr>
        <w:t>册，</w:t>
      </w:r>
      <w:r>
        <w:rPr>
          <w:rFonts w:hint="eastAsia" w:ascii="仿宋_GB2312" w:hAnsi="仿宋_GB2312" w:eastAsia="仿宋_GB2312" w:cs="仿宋_GB2312"/>
          <w:sz w:val="30"/>
          <w:szCs w:val="30"/>
          <w:highlight w:val="none"/>
          <w:lang w:val="en-US" w:eastAsia="zh-CN"/>
        </w:rPr>
        <w:t>技术标和商务标文件分开封装，</w:t>
      </w:r>
      <w:r>
        <w:rPr>
          <w:rFonts w:hint="eastAsia" w:ascii="仿宋_GB2312" w:hAnsi="仿宋_GB2312" w:eastAsia="仿宋_GB2312" w:cs="仿宋_GB2312"/>
          <w:sz w:val="30"/>
          <w:szCs w:val="30"/>
          <w:highlight w:val="none"/>
        </w:rPr>
        <w:t>提供扫描或电子版上传e采通系统。</w:t>
      </w:r>
    </w:p>
    <w:p w14:paraId="07E7ADA7">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3.报价注意事项</w:t>
      </w:r>
    </w:p>
    <w:p w14:paraId="249882A4">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3.1投标人要按投标规格名称、投标报价明细表（统一格式）的内容填写报价及其他事项，并由法人代表或授权代表签署。</w:t>
      </w:r>
    </w:p>
    <w:p w14:paraId="457CDB9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3.2大写金额和小写金额不一致时，以大写金额为准。</w:t>
      </w:r>
    </w:p>
    <w:p w14:paraId="7A7A67E5">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4.投标文件签署</w:t>
      </w:r>
    </w:p>
    <w:p w14:paraId="75D0277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4.1投标文件应加盖投标人单位公章（不得使用其他形式如带有“专用章”等字样的印章）并经法定代表人或其委托代理人签字。</w:t>
      </w:r>
    </w:p>
    <w:p w14:paraId="07C13F1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4.2本招标文件提供的投标文件式样中，标注有盖公章、签字之处，应有投标人的盖章、委托代理人的签字或法定代表人的签字。由委托代理人签字的投标资格证明文件中须附授权委托书。</w:t>
      </w:r>
    </w:p>
    <w:p w14:paraId="68F584C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4.3签字须使用黑色或蓝色不可褪色签字笔。</w:t>
      </w:r>
    </w:p>
    <w:p w14:paraId="484E865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注：投标人代表必须按招标文件的规定签署投标文件，否则，其投标文件按无效投标处理。</w:t>
      </w:r>
    </w:p>
    <w:p w14:paraId="5685DD02">
      <w:pPr>
        <w:spacing w:line="500" w:lineRule="exact"/>
        <w:ind w:firstLine="602" w:firstLineChars="200"/>
        <w:jc w:val="left"/>
        <w:outlineLvl w:val="0"/>
        <w:rPr>
          <w:rFonts w:ascii="黑体" w:hAnsi="黑体" w:eastAsia="黑体" w:cs="黑体"/>
          <w:b/>
          <w:bCs/>
          <w:sz w:val="30"/>
          <w:szCs w:val="30"/>
          <w:highlight w:val="none"/>
        </w:rPr>
      </w:pPr>
      <w:bookmarkStart w:id="8" w:name="_Toc13247"/>
      <w:bookmarkStart w:id="9" w:name="_Toc22774"/>
      <w:r>
        <w:rPr>
          <w:rFonts w:hint="eastAsia" w:ascii="黑体" w:hAnsi="黑体" w:eastAsia="黑体" w:cs="黑体"/>
          <w:b/>
          <w:bCs/>
          <w:sz w:val="30"/>
          <w:szCs w:val="30"/>
          <w:highlight w:val="none"/>
        </w:rPr>
        <w:t>五、合同签订</w:t>
      </w:r>
      <w:bookmarkEnd w:id="8"/>
      <w:bookmarkEnd w:id="9"/>
    </w:p>
    <w:p w14:paraId="64D01F9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1.招标人根据评标工作小组的评标结果确定中标人，并书面通知中标人。</w:t>
      </w:r>
    </w:p>
    <w:p w14:paraId="2E73D02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2.中标结果将在重汽e采通平台公布。</w:t>
      </w:r>
    </w:p>
    <w:p w14:paraId="1A733161">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中标人收到中标结果后，应及时与招标人联系，在规定的时间内完成合同签订，如果中标人接到《中标通知书》后，无不正当理由拒签合同、在签订合同时向招标人提出无理附加条件的，取消该投标人的中标资格，该投标人2年内不得参与招标人关于该类服务和培训的招投标项目。</w:t>
      </w:r>
    </w:p>
    <w:p w14:paraId="2F8D207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4.中标人应当按照合同约定的履约责任，在保证质量的前提下完成中标项目，不得将中标项目转包或分包给他人，否则视为违约，招标人有权解除合同。</w:t>
      </w:r>
    </w:p>
    <w:p w14:paraId="1D57BBC1">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5.中标人由于履行义务的能力或信用有严重缺陷，招标人有权解除合同</w:t>
      </w:r>
      <w:r>
        <w:rPr>
          <w:rFonts w:hint="eastAsia" w:ascii="仿宋_GB2312" w:hAnsi="仿宋_GB2312" w:eastAsia="仿宋_GB2312" w:cs="仿宋_GB2312"/>
          <w:sz w:val="30"/>
          <w:szCs w:val="30"/>
          <w:highlight w:val="none"/>
          <w:lang w:val="en-US" w:eastAsia="zh-CN"/>
        </w:rPr>
        <w:t>及</w:t>
      </w:r>
      <w:r>
        <w:rPr>
          <w:rFonts w:hint="eastAsia" w:ascii="仿宋_GB2312" w:hAnsi="仿宋_GB2312" w:eastAsia="仿宋_GB2312" w:cs="仿宋_GB2312"/>
          <w:sz w:val="30"/>
          <w:szCs w:val="30"/>
          <w:highlight w:val="none"/>
        </w:rPr>
        <w:t>取消其中标资格，招标人将从中标候选单位中依序重新确定中标人，或重新组织招标。</w:t>
      </w:r>
    </w:p>
    <w:p w14:paraId="75B2FE82">
      <w:pPr>
        <w:spacing w:line="500" w:lineRule="exact"/>
        <w:ind w:firstLine="600" w:firstLineChars="2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rPr>
        <w:t>6.双方的权利义务以最终签署的合同为准</w:t>
      </w:r>
      <w:r>
        <w:rPr>
          <w:rFonts w:hint="eastAsia" w:ascii="仿宋_GB2312" w:hAnsi="仿宋_GB2312" w:eastAsia="仿宋_GB2312" w:cs="仿宋_GB2312"/>
          <w:sz w:val="30"/>
          <w:szCs w:val="30"/>
          <w:highlight w:val="none"/>
          <w:lang w:eastAsia="zh-CN"/>
        </w:rPr>
        <w:t>。</w:t>
      </w:r>
    </w:p>
    <w:p w14:paraId="199677CE">
      <w:pPr>
        <w:pStyle w:val="10"/>
        <w:spacing w:line="500" w:lineRule="exact"/>
        <w:ind w:firstLine="602" w:firstLineChars="200"/>
        <w:outlineLvl w:val="0"/>
        <w:rPr>
          <w:rFonts w:ascii="黑体" w:hAnsi="黑体" w:eastAsia="黑体" w:cs="黑体"/>
          <w:b/>
          <w:bCs/>
          <w:sz w:val="30"/>
          <w:szCs w:val="30"/>
          <w:highlight w:val="none"/>
        </w:rPr>
      </w:pPr>
      <w:bookmarkStart w:id="10" w:name="_Toc28350"/>
      <w:bookmarkStart w:id="11" w:name="_Toc23973"/>
      <w:r>
        <w:rPr>
          <w:rFonts w:hint="eastAsia" w:ascii="黑体" w:hAnsi="黑体" w:eastAsia="黑体" w:cs="黑体"/>
          <w:b/>
          <w:bCs/>
          <w:sz w:val="30"/>
          <w:szCs w:val="30"/>
          <w:highlight w:val="none"/>
        </w:rPr>
        <w:t>六、废标及终止招标</w:t>
      </w:r>
      <w:bookmarkEnd w:id="10"/>
      <w:bookmarkEnd w:id="11"/>
    </w:p>
    <w:p w14:paraId="5E7E1A7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1.投标人有下列情形之一的，将被视为废标，招标人将按照有关法律法规行使权</w:t>
      </w:r>
      <w:r>
        <w:rPr>
          <w:rFonts w:hint="eastAsia" w:ascii="仿宋_GB2312" w:hAnsi="仿宋_GB2312" w:eastAsia="仿宋_GB2312" w:cs="仿宋_GB2312"/>
          <w:sz w:val="30"/>
          <w:szCs w:val="30"/>
          <w:highlight w:val="none"/>
          <w:lang w:val="en-US" w:eastAsia="zh-CN"/>
        </w:rPr>
        <w:t>利</w:t>
      </w:r>
      <w:r>
        <w:rPr>
          <w:rFonts w:hint="eastAsia" w:ascii="仿宋_GB2312" w:hAnsi="仿宋_GB2312" w:eastAsia="仿宋_GB2312" w:cs="仿宋_GB2312"/>
          <w:sz w:val="30"/>
          <w:szCs w:val="30"/>
          <w:highlight w:val="none"/>
        </w:rPr>
        <w:t>。投标人给招标人造成损失的，招标人有索赔的权力，投标人应给予赔偿。</w:t>
      </w:r>
    </w:p>
    <w:p w14:paraId="39C298BF">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（1）投标人提供的有关资格、资质证明文件不全、不真实</w:t>
      </w:r>
      <w:r>
        <w:rPr>
          <w:rFonts w:hint="eastAsia" w:ascii="仿宋_GB2312" w:hAnsi="仿宋_GB2312" w:eastAsia="仿宋_GB2312" w:cs="仿宋_GB2312"/>
          <w:color w:val="auto"/>
          <w:sz w:val="30"/>
          <w:szCs w:val="30"/>
          <w:highlight w:val="none"/>
        </w:rPr>
        <w:t>或提供虚假投标材料</w:t>
      </w:r>
      <w:r>
        <w:rPr>
          <w:rFonts w:hint="eastAsia" w:ascii="仿宋_GB2312" w:hAnsi="仿宋_GB2312" w:eastAsia="仿宋_GB2312" w:cs="仿宋_GB2312"/>
          <w:sz w:val="30"/>
          <w:szCs w:val="30"/>
          <w:highlight w:val="none"/>
        </w:rPr>
        <w:t>；</w:t>
      </w:r>
    </w:p>
    <w:p w14:paraId="62F71D8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（2）投标人在报价有效期内撤回投标；</w:t>
      </w:r>
    </w:p>
    <w:p w14:paraId="5879510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（3）在评标过程中，投标人有企图影响评标结果公正性的任何项目；</w:t>
      </w:r>
    </w:p>
    <w:p w14:paraId="48DACF0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（4）投标人以任何形式诋毁</w:t>
      </w:r>
      <w:r>
        <w:rPr>
          <w:rFonts w:hint="eastAsia" w:ascii="仿宋_GB2312" w:hAnsi="仿宋_GB2312" w:eastAsia="仿宋_GB2312" w:cs="仿宋_GB2312"/>
          <w:sz w:val="30"/>
          <w:szCs w:val="30"/>
          <w:highlight w:val="none"/>
          <w:lang w:val="en-US" w:eastAsia="zh-CN"/>
        </w:rPr>
        <w:t>其</w:t>
      </w:r>
      <w:r>
        <w:rPr>
          <w:rFonts w:hint="eastAsia" w:ascii="仿宋_GB2312" w:hAnsi="仿宋_GB2312" w:eastAsia="仿宋_GB2312" w:cs="仿宋_GB2312"/>
          <w:sz w:val="30"/>
          <w:szCs w:val="30"/>
          <w:highlight w:val="none"/>
        </w:rPr>
        <w:t>他</w:t>
      </w:r>
      <w:r>
        <w:rPr>
          <w:rFonts w:hint="eastAsia" w:ascii="仿宋_GB2312" w:hAnsi="仿宋_GB2312" w:eastAsia="仿宋_GB2312" w:cs="仿宋_GB2312"/>
          <w:sz w:val="30"/>
          <w:szCs w:val="30"/>
          <w:highlight w:val="none"/>
          <w:lang w:val="en-US" w:eastAsia="zh-CN"/>
        </w:rPr>
        <w:t>投标</w:t>
      </w:r>
      <w:r>
        <w:rPr>
          <w:rFonts w:hint="eastAsia" w:ascii="仿宋_GB2312" w:hAnsi="仿宋_GB2312" w:eastAsia="仿宋_GB2312" w:cs="仿宋_GB2312"/>
          <w:sz w:val="30"/>
          <w:szCs w:val="30"/>
          <w:highlight w:val="none"/>
        </w:rPr>
        <w:t>人；</w:t>
      </w:r>
    </w:p>
    <w:p w14:paraId="717DFD8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（5）以他人名义投标或以任何方式骗取中标；</w:t>
      </w:r>
    </w:p>
    <w:p w14:paraId="475E673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（6）投标人对招标文件做出实质性变更</w:t>
      </w:r>
      <w:bookmarkStart w:id="12" w:name="_Hlk105656847"/>
      <w:r>
        <w:rPr>
          <w:rFonts w:hint="eastAsia" w:ascii="仿宋_GB2312" w:hAnsi="仿宋_GB2312" w:eastAsia="仿宋_GB2312" w:cs="仿宋_GB2312"/>
          <w:sz w:val="30"/>
          <w:szCs w:val="30"/>
          <w:highlight w:val="none"/>
        </w:rPr>
        <w:t>；</w:t>
      </w:r>
      <w:bookmarkEnd w:id="12"/>
    </w:p>
    <w:p w14:paraId="57AF43E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（7）投标人被举报、检举，并经招标方查实无误的；</w:t>
      </w:r>
    </w:p>
    <w:p w14:paraId="055F4700">
      <w:pPr>
        <w:spacing w:line="500" w:lineRule="exact"/>
        <w:ind w:firstLine="600" w:firstLineChars="20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（8）投标单位负责人为同一人或存在管理关系的</w:t>
      </w:r>
      <w:r>
        <w:rPr>
          <w:rFonts w:hint="eastAsia" w:ascii="仿宋_GB2312" w:hAnsi="仿宋_GB2312" w:eastAsia="仿宋_GB2312" w:cs="仿宋_GB2312"/>
          <w:sz w:val="30"/>
          <w:szCs w:val="30"/>
          <w:highlight w:val="none"/>
          <w:lang w:eastAsia="zh-CN"/>
        </w:rPr>
        <w:t>；</w:t>
      </w:r>
    </w:p>
    <w:p w14:paraId="140F283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（9）</w:t>
      </w:r>
      <w:r>
        <w:rPr>
          <w:rFonts w:hint="eastAsia" w:ascii="仿宋_GB2312" w:hAnsi="仿宋_GB2312" w:eastAsia="仿宋_GB2312" w:cs="仿宋_GB2312"/>
          <w:color w:val="auto"/>
          <w:sz w:val="30"/>
          <w:szCs w:val="30"/>
          <w:highlight w:val="none"/>
        </w:rPr>
        <w:t>投标人串通投标；</w:t>
      </w:r>
    </w:p>
    <w:p w14:paraId="7644FDF0">
      <w:pPr>
        <w:spacing w:line="500" w:lineRule="exact"/>
        <w:ind w:left="0" w:right="0" w:firstLine="600" w:firstLineChars="200"/>
        <w:jc w:val="left"/>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highlight w:val="none"/>
        </w:rPr>
        <w:t>未按要求填报商务报价资料，对招标开展造成较大影响；</w:t>
      </w:r>
    </w:p>
    <w:p w14:paraId="01D5B0CE">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11</w:t>
      </w:r>
      <w:r>
        <w:rPr>
          <w:rFonts w:hint="eastAsia" w:ascii="仿宋_GB2312" w:hAnsi="仿宋_GB2312" w:eastAsia="仿宋_GB2312" w:cs="仿宋_GB2312"/>
          <w:sz w:val="30"/>
          <w:szCs w:val="30"/>
          <w:highlight w:val="none"/>
        </w:rPr>
        <w:t>）未按照招标人规定的时间内在中国重汽e采通完成投标的</w:t>
      </w:r>
      <w:r>
        <w:rPr>
          <w:rFonts w:hint="eastAsia" w:ascii="仿宋_GB2312" w:hAnsi="仿宋_GB2312" w:eastAsia="仿宋_GB2312" w:cs="仿宋_GB2312"/>
          <w:sz w:val="30"/>
          <w:szCs w:val="30"/>
          <w:highlight w:val="none"/>
          <w:lang w:eastAsia="zh-CN"/>
        </w:rPr>
        <w:t>；</w:t>
      </w:r>
    </w:p>
    <w:p w14:paraId="08464D9E">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12</w:t>
      </w:r>
      <w:r>
        <w:rPr>
          <w:rFonts w:hint="eastAsia" w:ascii="仿宋_GB2312" w:hAnsi="仿宋_GB2312" w:eastAsia="仿宋_GB2312" w:cs="仿宋_GB2312"/>
          <w:sz w:val="30"/>
          <w:szCs w:val="30"/>
          <w:highlight w:val="none"/>
        </w:rPr>
        <w:t>）法律、法规规定的其他情况。</w:t>
      </w:r>
    </w:p>
    <w:p w14:paraId="10C8DAA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2.出现下列情形，招标人有权否决投标人的投标，并终止招标。</w:t>
      </w:r>
    </w:p>
    <w:p w14:paraId="430A623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（1）出现影响评审公正性的违法、违规行为；</w:t>
      </w:r>
    </w:p>
    <w:p w14:paraId="02669D0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（2）因重大变故，本项目取消；</w:t>
      </w:r>
    </w:p>
    <w:p w14:paraId="780BF98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（3）符合投标条件的投标方或者对招标文件做实质响应的投标方不足3家的；</w:t>
      </w:r>
    </w:p>
    <w:p w14:paraId="1AEDCDAD">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（4）不同投标人的投标文件异常一致或者投标报价呈规律性差异的；</w:t>
      </w:r>
    </w:p>
    <w:p w14:paraId="4F218B7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（5）投标人报价均超过投标限价的；</w:t>
      </w:r>
    </w:p>
    <w:p w14:paraId="31713CE4">
      <w:pPr>
        <w:spacing w:line="500" w:lineRule="exact"/>
        <w:ind w:firstLine="600" w:firstLineChars="200"/>
        <w:jc w:val="left"/>
        <w:rPr>
          <w:rFonts w:hint="eastAsia" w:ascii="仿宋_GB2312" w:hAnsi="仿宋_GB2312" w:eastAsia="仿宋_GB2312" w:cs="仿宋_GB2312"/>
          <w:sz w:val="30"/>
          <w:szCs w:val="30"/>
          <w:highlight w:val="none"/>
        </w:rPr>
      </w:pPr>
      <w:bookmarkStart w:id="13" w:name="_Toc8621"/>
      <w:bookmarkStart w:id="14" w:name="_Toc24329"/>
      <w:r>
        <w:rPr>
          <w:rFonts w:hint="eastAsia" w:ascii="仿宋_GB2312" w:hAnsi="仿宋_GB2312" w:eastAsia="仿宋_GB2312" w:cs="仿宋_GB2312"/>
          <w:sz w:val="30"/>
          <w:szCs w:val="30"/>
          <w:highlight w:val="none"/>
        </w:rPr>
        <w:t>（6）评标委员会经评审，认为所有投标都不符合招标文件要求的；</w:t>
      </w:r>
    </w:p>
    <w:p w14:paraId="474C45CF">
      <w:pPr>
        <w:pStyle w:val="10"/>
        <w:spacing w:line="500" w:lineRule="exact"/>
        <w:ind w:firstLine="600" w:firstLineChars="200"/>
        <w:outlineLvl w:val="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7</w:t>
      </w:r>
      <w:r>
        <w:rPr>
          <w:rFonts w:hint="eastAsia" w:ascii="仿宋_GB2312" w:hAnsi="仿宋_GB2312" w:eastAsia="仿宋_GB2312" w:cs="仿宋_GB2312"/>
          <w:sz w:val="30"/>
          <w:szCs w:val="30"/>
          <w:highlight w:val="none"/>
        </w:rPr>
        <w:t>）招标人认为其他应终止招标的情形。</w:t>
      </w:r>
    </w:p>
    <w:p w14:paraId="048E5974">
      <w:pPr>
        <w:pStyle w:val="10"/>
        <w:spacing w:line="500" w:lineRule="exact"/>
        <w:ind w:firstLine="602" w:firstLineChars="200"/>
        <w:outlineLvl w:val="0"/>
        <w:rPr>
          <w:rFonts w:ascii="黑体" w:hAnsi="黑体" w:eastAsia="黑体" w:cs="黑体"/>
          <w:b/>
          <w:bCs/>
          <w:sz w:val="30"/>
          <w:szCs w:val="30"/>
          <w:highlight w:val="none"/>
        </w:rPr>
      </w:pPr>
      <w:r>
        <w:rPr>
          <w:rFonts w:hint="eastAsia" w:ascii="黑体" w:hAnsi="黑体" w:eastAsia="黑体" w:cs="黑体"/>
          <w:b/>
          <w:bCs/>
          <w:sz w:val="30"/>
          <w:szCs w:val="30"/>
          <w:highlight w:val="none"/>
        </w:rPr>
        <w:t>七、中标人瑕疵滞后发现的处理原则</w:t>
      </w:r>
      <w:bookmarkEnd w:id="13"/>
      <w:bookmarkEnd w:id="14"/>
    </w:p>
    <w:p w14:paraId="186939FF">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417EE6E">
      <w:pPr>
        <w:pStyle w:val="10"/>
        <w:spacing w:line="500" w:lineRule="exact"/>
        <w:ind w:firstLine="602" w:firstLineChars="200"/>
        <w:outlineLvl w:val="0"/>
        <w:rPr>
          <w:rFonts w:ascii="黑体" w:hAnsi="黑体" w:eastAsia="黑体" w:cs="黑体"/>
          <w:b/>
          <w:bCs/>
          <w:sz w:val="30"/>
          <w:szCs w:val="30"/>
          <w:highlight w:val="none"/>
        </w:rPr>
      </w:pPr>
      <w:bookmarkStart w:id="15" w:name="_Toc10048"/>
      <w:bookmarkStart w:id="16" w:name="_Toc31113"/>
      <w:r>
        <w:rPr>
          <w:rFonts w:hint="eastAsia" w:ascii="黑体" w:hAnsi="黑体" w:eastAsia="黑体" w:cs="黑体"/>
          <w:b/>
          <w:bCs/>
          <w:sz w:val="30"/>
          <w:szCs w:val="30"/>
          <w:highlight w:val="none"/>
        </w:rPr>
        <w:t>八、投标文件格式</w:t>
      </w:r>
      <w:bookmarkEnd w:id="15"/>
      <w:bookmarkEnd w:id="16"/>
    </w:p>
    <w:p w14:paraId="7A75CC3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详见附件。</w:t>
      </w:r>
    </w:p>
    <w:p w14:paraId="4F466A99">
      <w:pPr>
        <w:pStyle w:val="10"/>
        <w:spacing w:line="500" w:lineRule="exact"/>
        <w:ind w:firstLine="602" w:firstLineChars="200"/>
        <w:outlineLvl w:val="0"/>
        <w:rPr>
          <w:rFonts w:ascii="黑体" w:hAnsi="黑体" w:eastAsia="黑体" w:cs="黑体"/>
          <w:b/>
          <w:bCs/>
          <w:sz w:val="30"/>
          <w:szCs w:val="30"/>
          <w:highlight w:val="none"/>
        </w:rPr>
      </w:pPr>
      <w:bookmarkStart w:id="17" w:name="_Toc14896"/>
      <w:bookmarkStart w:id="18" w:name="_Toc2515"/>
      <w:r>
        <w:rPr>
          <w:rFonts w:hint="eastAsia" w:ascii="黑体" w:hAnsi="黑体" w:eastAsia="黑体" w:cs="黑体"/>
          <w:b/>
          <w:bCs/>
          <w:sz w:val="30"/>
          <w:szCs w:val="30"/>
          <w:highlight w:val="none"/>
        </w:rPr>
        <w:t>九、技术协议书</w:t>
      </w:r>
      <w:bookmarkEnd w:id="17"/>
      <w:bookmarkEnd w:id="18"/>
    </w:p>
    <w:p w14:paraId="400AEEE0">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附后，以最后签订版本为准。</w:t>
      </w:r>
    </w:p>
    <w:p w14:paraId="3FC766D0">
      <w:pPr>
        <w:pStyle w:val="10"/>
        <w:spacing w:line="500" w:lineRule="exact"/>
        <w:ind w:firstLine="602" w:firstLineChars="200"/>
        <w:outlineLvl w:val="0"/>
        <w:rPr>
          <w:rFonts w:hint="eastAsia" w:ascii="黑体" w:hAnsi="黑体" w:eastAsia="黑体" w:cs="黑体"/>
          <w:b/>
          <w:bCs/>
          <w:sz w:val="30"/>
          <w:szCs w:val="30"/>
          <w:highlight w:val="none"/>
          <w:lang w:val="en-US" w:eastAsia="zh-CN"/>
        </w:rPr>
      </w:pPr>
      <w:bookmarkStart w:id="19" w:name="_Toc23780"/>
      <w:bookmarkStart w:id="20" w:name="_Toc17203"/>
      <w:r>
        <w:rPr>
          <w:rFonts w:hint="eastAsia" w:ascii="黑体" w:hAnsi="黑体" w:eastAsia="黑体" w:cs="黑体"/>
          <w:b/>
          <w:bCs/>
          <w:sz w:val="30"/>
          <w:szCs w:val="30"/>
          <w:highlight w:val="none"/>
        </w:rPr>
        <w:t>十、</w:t>
      </w:r>
      <w:r>
        <w:rPr>
          <w:rFonts w:hint="eastAsia" w:ascii="黑体" w:hAnsi="黑体" w:eastAsia="黑体" w:cs="黑体"/>
          <w:b/>
          <w:bCs/>
          <w:sz w:val="30"/>
          <w:szCs w:val="30"/>
          <w:highlight w:val="none"/>
          <w:lang w:val="en-US" w:eastAsia="zh-CN"/>
        </w:rPr>
        <w:t>解释权</w:t>
      </w:r>
    </w:p>
    <w:p w14:paraId="6DC9F63A">
      <w:pPr>
        <w:pStyle w:val="10"/>
        <w:spacing w:line="500" w:lineRule="exact"/>
        <w:ind w:firstLine="600" w:firstLineChars="200"/>
        <w:outlineLvl w:val="0"/>
        <w:rPr>
          <w:rFonts w:ascii="黑体" w:hAnsi="黑体" w:eastAsia="黑体" w:cs="黑体"/>
          <w:b/>
          <w:bCs/>
          <w:sz w:val="30"/>
          <w:szCs w:val="30"/>
          <w:highlight w:val="none"/>
        </w:rPr>
      </w:pPr>
      <w:r>
        <w:rPr>
          <w:rFonts w:hint="eastAsia" w:ascii="仿宋_GB2312" w:hAnsi="仿宋" w:eastAsia="仿宋_GB2312" w:cs="Times New Roman"/>
          <w:kern w:val="2"/>
          <w:sz w:val="30"/>
          <w:szCs w:val="30"/>
          <w:highlight w:val="none"/>
          <w:lang w:val="en-US" w:eastAsia="zh-CN" w:bidi="ar-SA"/>
        </w:rPr>
        <w:t>本次招标最终解释权归中国重汽集团济南动力有限公司。</w:t>
      </w:r>
      <w:bookmarkEnd w:id="19"/>
      <w:bookmarkEnd w:id="20"/>
    </w:p>
    <w:p w14:paraId="5C659340">
      <w:pPr>
        <w:pStyle w:val="13"/>
        <w:spacing w:line="500" w:lineRule="exact"/>
        <w:rPr>
          <w:sz w:val="30"/>
          <w:szCs w:val="30"/>
          <w:highlight w:val="none"/>
        </w:rPr>
      </w:pPr>
    </w:p>
    <w:p w14:paraId="303FBF0E">
      <w:pPr>
        <w:pStyle w:val="13"/>
        <w:spacing w:line="500" w:lineRule="exact"/>
        <w:rPr>
          <w:sz w:val="30"/>
          <w:szCs w:val="30"/>
          <w:highlight w:val="none"/>
        </w:rPr>
      </w:pPr>
    </w:p>
    <w:p w14:paraId="5CB5BEE6">
      <w:pPr>
        <w:pStyle w:val="13"/>
        <w:spacing w:line="500" w:lineRule="exact"/>
        <w:rPr>
          <w:sz w:val="30"/>
          <w:szCs w:val="30"/>
          <w:highlight w:val="none"/>
        </w:rPr>
      </w:pPr>
    </w:p>
    <w:p w14:paraId="4C1A40A2">
      <w:pPr>
        <w:spacing w:line="500" w:lineRule="exact"/>
        <w:ind w:firstLine="600" w:firstLineChars="200"/>
        <w:jc w:val="right"/>
        <w:rPr>
          <w:rFonts w:ascii="仿宋_GB2312" w:hAnsi="仿宋" w:eastAsia="仿宋_GB2312"/>
          <w:sz w:val="30"/>
          <w:szCs w:val="30"/>
          <w:highlight w:val="none"/>
        </w:rPr>
      </w:pPr>
      <w:r>
        <w:rPr>
          <w:rFonts w:hint="eastAsia" w:ascii="仿宋_GB2312" w:hAnsi="仿宋" w:eastAsia="仿宋_GB2312"/>
          <w:sz w:val="30"/>
          <w:szCs w:val="30"/>
          <w:highlight w:val="none"/>
        </w:rPr>
        <w:t>中国重汽集团济南动力有限公司</w:t>
      </w:r>
    </w:p>
    <w:p w14:paraId="2393ADB1">
      <w:pPr>
        <w:wordWrap w:val="0"/>
        <w:spacing w:line="500" w:lineRule="exact"/>
        <w:ind w:firstLine="600" w:firstLineChars="200"/>
        <w:jc w:val="right"/>
        <w:rPr>
          <w:rFonts w:hint="default" w:ascii="仿宋_GB2312" w:hAnsi="Calibri" w:eastAsia="仿宋_GB2312"/>
          <w:sz w:val="30"/>
          <w:szCs w:val="30"/>
          <w:highlight w:val="none"/>
          <w:lang w:val="en-US" w:eastAsia="zh-CN"/>
        </w:rPr>
      </w:pPr>
      <w:r>
        <w:rPr>
          <w:rFonts w:hint="eastAsia" w:ascii="仿宋_GB2312" w:hAnsi="仿宋" w:eastAsia="仿宋_GB2312"/>
          <w:sz w:val="30"/>
          <w:szCs w:val="30"/>
          <w:highlight w:val="none"/>
        </w:rPr>
        <w:t>2026年</w:t>
      </w:r>
      <w:r>
        <w:rPr>
          <w:rFonts w:hint="eastAsia" w:ascii="仿宋_GB2312" w:hAnsi="仿宋" w:eastAsia="仿宋_GB2312"/>
          <w:sz w:val="30"/>
          <w:szCs w:val="30"/>
          <w:highlight w:val="none"/>
          <w:lang w:val="en-US" w:eastAsia="zh-CN"/>
        </w:rPr>
        <w:t>10</w:t>
      </w:r>
      <w:r>
        <w:rPr>
          <w:rFonts w:hint="eastAsia" w:ascii="仿宋_GB2312" w:hAnsi="仿宋" w:eastAsia="仿宋_GB2312"/>
          <w:sz w:val="30"/>
          <w:szCs w:val="30"/>
          <w:highlight w:val="none"/>
        </w:rPr>
        <w:t>月</w:t>
      </w:r>
      <w:r>
        <w:rPr>
          <w:rFonts w:hint="eastAsia" w:ascii="仿宋_GB2312" w:hAnsi="仿宋" w:eastAsia="仿宋_GB2312"/>
          <w:sz w:val="30"/>
          <w:szCs w:val="30"/>
          <w:highlight w:val="none"/>
          <w:lang w:val="en-US" w:eastAsia="zh-CN"/>
        </w:rPr>
        <w:t xml:space="preserve">       </w:t>
      </w:r>
    </w:p>
    <w:p w14:paraId="6F99CFAC">
      <w:pPr>
        <w:rPr>
          <w:rFonts w:ascii="宋体" w:hAnsi="宋体" w:cs="宋体"/>
          <w:sz w:val="24"/>
          <w:szCs w:val="24"/>
          <w:highlight w:val="none"/>
        </w:rPr>
      </w:pPr>
      <w:bookmarkStart w:id="21" w:name="_Toc13641"/>
      <w:r>
        <w:rPr>
          <w:rFonts w:hint="eastAsia" w:ascii="宋体" w:hAnsi="宋体" w:cs="宋体"/>
          <w:sz w:val="24"/>
          <w:szCs w:val="24"/>
          <w:highlight w:val="none"/>
        </w:rPr>
        <w:br w:type="page"/>
      </w:r>
    </w:p>
    <w:p w14:paraId="4868C998">
      <w:pPr>
        <w:rPr>
          <w:rFonts w:ascii="宋体" w:hAnsi="宋体" w:cs="宋体"/>
          <w:sz w:val="24"/>
          <w:szCs w:val="24"/>
          <w:highlight w:val="none"/>
        </w:rPr>
      </w:pPr>
      <w:r>
        <w:rPr>
          <w:rFonts w:hint="eastAsia" w:ascii="宋体" w:hAnsi="宋体" w:cs="宋体"/>
          <w:sz w:val="24"/>
          <w:szCs w:val="24"/>
          <w:highlight w:val="none"/>
        </w:rPr>
        <w:t>附件1：</w:t>
      </w:r>
      <w:bookmarkEnd w:id="21"/>
    </w:p>
    <w:p w14:paraId="0FA2612E">
      <w:pPr>
        <w:pStyle w:val="7"/>
        <w:spacing w:line="460" w:lineRule="exact"/>
        <w:jc w:val="center"/>
        <w:rPr>
          <w:rFonts w:ascii="宋体" w:hAnsi="宋体" w:eastAsia="宋体"/>
          <w:b/>
          <w:bCs/>
          <w:sz w:val="36"/>
          <w:szCs w:val="36"/>
          <w:highlight w:val="none"/>
        </w:rPr>
      </w:pPr>
      <w:r>
        <w:rPr>
          <w:rFonts w:hint="eastAsia" w:ascii="宋体" w:hAnsi="宋体" w:eastAsia="宋体" w:cs="宋体"/>
          <w:b/>
          <w:bCs/>
          <w:sz w:val="36"/>
          <w:szCs w:val="36"/>
          <w:highlight w:val="none"/>
        </w:rPr>
        <w:t>法定代表人授权委托书</w:t>
      </w:r>
    </w:p>
    <w:p w14:paraId="1D4A2C9B">
      <w:pPr>
        <w:pStyle w:val="7"/>
        <w:spacing w:line="460" w:lineRule="exact"/>
        <w:jc w:val="center"/>
        <w:rPr>
          <w:rFonts w:ascii="宋体" w:hAnsi="宋体" w:eastAsia="宋体"/>
          <w:b/>
          <w:bCs/>
          <w:szCs w:val="32"/>
          <w:highlight w:val="none"/>
        </w:rPr>
      </w:pPr>
    </w:p>
    <w:p w14:paraId="4029DCEC">
      <w:pPr>
        <w:pStyle w:val="7"/>
        <w:spacing w:line="560" w:lineRule="exact"/>
        <w:rPr>
          <w:rFonts w:ascii="宋体" w:hAnsi="宋体" w:eastAsia="宋体"/>
          <w:sz w:val="24"/>
          <w:szCs w:val="24"/>
          <w:highlight w:val="none"/>
          <w:u w:val="single"/>
        </w:rPr>
      </w:pPr>
      <w:r>
        <w:rPr>
          <w:rFonts w:hint="eastAsia" w:ascii="宋体" w:hAnsi="宋体" w:eastAsia="宋体" w:cs="宋体"/>
          <w:sz w:val="24"/>
          <w:szCs w:val="24"/>
          <w:highlight w:val="none"/>
          <w:u w:val="single"/>
        </w:rPr>
        <w:t xml:space="preserve">  中国重汽集团济南动力有限公司 ：</w:t>
      </w:r>
    </w:p>
    <w:p w14:paraId="11A53350">
      <w:pPr>
        <w:pStyle w:val="7"/>
        <w:spacing w:line="560" w:lineRule="exact"/>
        <w:ind w:firstLine="480"/>
        <w:rPr>
          <w:rFonts w:ascii="宋体" w:hAnsi="宋体" w:eastAsia="宋体"/>
          <w:sz w:val="24"/>
          <w:szCs w:val="24"/>
          <w:highlight w:val="none"/>
        </w:rPr>
      </w:pP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（投标人名称）法定代表人</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授权我公司</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（职务或职称）</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（姓名）为我单位本次投标授权代理人，全权处理此次招标项目（项目编号：</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）投标活动的一切事宜。</w:t>
      </w:r>
    </w:p>
    <w:p w14:paraId="4A81A2C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委托期限：</w:t>
      </w:r>
      <w:r>
        <w:rPr>
          <w:rFonts w:hint="eastAsia" w:ascii="宋体" w:hAnsi="宋体"/>
          <w:sz w:val="24"/>
          <w:highlight w:val="none"/>
          <w:u w:val="single"/>
        </w:rPr>
        <w:t xml:space="preserve">                       </w:t>
      </w:r>
      <w:r>
        <w:rPr>
          <w:rFonts w:hint="eastAsia" w:ascii="宋体" w:hAnsi="宋体"/>
          <w:sz w:val="24"/>
          <w:highlight w:val="none"/>
        </w:rPr>
        <w:t xml:space="preserve">    </w:t>
      </w:r>
    </w:p>
    <w:p w14:paraId="09C1B6B9">
      <w:pPr>
        <w:adjustRightInd w:val="0"/>
        <w:snapToGrid w:val="0"/>
        <w:spacing w:before="93" w:beforeLines="30" w:line="312" w:lineRule="auto"/>
        <w:ind w:firstLine="480" w:firstLineChars="200"/>
        <w:rPr>
          <w:rFonts w:ascii="宋体" w:hAnsi="宋体"/>
          <w:sz w:val="24"/>
          <w:highlight w:val="none"/>
        </w:rPr>
      </w:pPr>
      <w:r>
        <w:rPr>
          <w:rFonts w:hint="eastAsia" w:ascii="宋体" w:hAnsi="宋体"/>
          <w:sz w:val="24"/>
          <w:highlight w:val="none"/>
        </w:rPr>
        <w:t>全权代表无转委权。特此委托。</w:t>
      </w:r>
      <w:r>
        <w:rPr>
          <w:rFonts w:hint="eastAsia" w:ascii="宋体" w:hAnsi="宋体"/>
          <w:highlight w:val="none"/>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603346BC">
                            <w:pPr>
                              <w:jc w:val="center"/>
                            </w:pPr>
                          </w:p>
                          <w:p w14:paraId="1EA0D21D">
                            <w:pPr>
                              <w:jc w:val="center"/>
                            </w:pPr>
                          </w:p>
                          <w:p w14:paraId="44D36275">
                            <w:pPr>
                              <w:jc w:val="center"/>
                            </w:pPr>
                          </w:p>
                          <w:p w14:paraId="6C60D16B">
                            <w:pPr>
                              <w:jc w:val="center"/>
                            </w:pPr>
                            <w:r>
                              <w:rPr>
                                <w:rFonts w:hint="eastAsia"/>
                              </w:rPr>
                              <w:t>法定代表人身份证复印件（正面）</w:t>
                            </w:r>
                          </w:p>
                          <w:p w14:paraId="2D9550C2">
                            <w:pPr>
                              <w:jc w:val="center"/>
                            </w:pPr>
                          </w:p>
                          <w:p w14:paraId="5E737F5F">
                            <w:pPr>
                              <w:jc w:val="cente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6VH8tgAAAAJAQAADwAAAAAAAAABACAAAAAiAAAAZHJzL2Rvd25y&#10;ZXYueG1sUEsBAhQAFAAAAAgAh07iQAPUsD83AgAAewQAAA4AAAAAAAAAAQAgAAAAJwEAAGRycy9l&#10;Mm9Eb2MueG1sUEsFBgAAAAAGAAYAWQEAANAFAAAAAA==&#10;">
                <v:fill on="t" focussize="0,0"/>
                <v:stroke color="#000000" miterlimit="8" joinstyle="miter"/>
                <v:imagedata o:title=""/>
                <o:lock v:ext="edit" aspectratio="f"/>
                <v:textbox>
                  <w:txbxContent>
                    <w:p w14:paraId="603346BC">
                      <w:pPr>
                        <w:jc w:val="center"/>
                      </w:pPr>
                    </w:p>
                    <w:p w14:paraId="1EA0D21D">
                      <w:pPr>
                        <w:jc w:val="center"/>
                      </w:pPr>
                    </w:p>
                    <w:p w14:paraId="44D36275">
                      <w:pPr>
                        <w:jc w:val="center"/>
                      </w:pPr>
                    </w:p>
                    <w:p w14:paraId="6C60D16B">
                      <w:pPr>
                        <w:jc w:val="center"/>
                      </w:pPr>
                      <w:r>
                        <w:rPr>
                          <w:rFonts w:hint="eastAsia"/>
                        </w:rPr>
                        <w:t>法定代表人身份证复印件（正面）</w:t>
                      </w:r>
                    </w:p>
                    <w:p w14:paraId="2D9550C2">
                      <w:pPr>
                        <w:jc w:val="center"/>
                      </w:pPr>
                    </w:p>
                    <w:p w14:paraId="5E737F5F">
                      <w:pPr>
                        <w:jc w:val="center"/>
                      </w:pPr>
                    </w:p>
                  </w:txbxContent>
                </v:textbox>
              </v:rect>
            </w:pict>
          </mc:Fallback>
        </mc:AlternateContent>
      </w:r>
      <w:r>
        <w:rPr>
          <w:rFonts w:hint="eastAsia" w:ascii="宋体" w:hAnsi="宋体"/>
          <w:highlight w:val="none"/>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2927C19F">
                            <w:pPr>
                              <w:jc w:val="center"/>
                            </w:pPr>
                            <w:r>
                              <w:rPr>
                                <w:rFonts w:hint="eastAsia"/>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qP4KwtgAAAAKAQAADwAAAAAAAAABACAAAAAiAAAAZHJzL2Rvd25y&#10;ZXYueG1sUEsBAhQAFAAAAAgAh07iQKCcKZw3AgAAewQAAA4AAAAAAAAAAQAgAAAAJwEAAGRycy9l&#10;Mm9Eb2MueG1sUEsFBgAAAAAGAAYAWQEAANAFAAAAAA==&#10;">
                <v:fill on="t" focussize="0,0"/>
                <v:stroke color="#000000" miterlimit="8" joinstyle="miter"/>
                <v:imagedata o:title=""/>
                <o:lock v:ext="edit" aspectratio="f"/>
                <v:textbox>
                  <w:txbxContent>
                    <w:p w14:paraId="2927C19F">
                      <w:pPr>
                        <w:jc w:val="center"/>
                      </w:pPr>
                      <w:r>
                        <w:rPr>
                          <w:rFonts w:hint="eastAsia"/>
                        </w:rPr>
                        <w:t>授权代理人身份证复印件（正面）</w:t>
                      </w:r>
                    </w:p>
                  </w:txbxContent>
                </v:textbox>
              </v:rect>
            </w:pict>
          </mc:Fallback>
        </mc:AlternateContent>
      </w:r>
      <w:r>
        <w:rPr>
          <w:rFonts w:hint="eastAsia" w:ascii="宋体" w:hAnsi="宋体"/>
          <w:highlight w:val="none"/>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8255" b="508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3C4FDE31">
                            <w:pPr>
                              <w:jc w:val="center"/>
                            </w:pPr>
                          </w:p>
                          <w:p w14:paraId="6E346174">
                            <w:pPr>
                              <w:jc w:val="center"/>
                            </w:pPr>
                          </w:p>
                          <w:p w14:paraId="242A6CC8">
                            <w:pPr>
                              <w:jc w:val="center"/>
                            </w:pPr>
                          </w:p>
                          <w:p w14:paraId="78714C69">
                            <w:pPr>
                              <w:jc w:val="center"/>
                            </w:pPr>
                            <w:r>
                              <w:rPr>
                                <w:rFonts w:hint="eastAsia"/>
                              </w:rPr>
                              <w:t>法定代表人身份证复印件（反面）</w:t>
                            </w:r>
                          </w:p>
                          <w:p w14:paraId="6869324F">
                            <w:pPr>
                              <w:jc w:val="cente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AryhzXOAIAAHsEAAAOAAAAAAAAAAEAIAAAACcBAABkcnMv&#10;ZTJvRG9jLnhtbFBLBQYAAAAABgAGAFkBAADRBQAAAAA=&#10;">
                <v:fill on="t" focussize="0,0"/>
                <v:stroke color="#000000" miterlimit="8" joinstyle="miter"/>
                <v:imagedata o:title=""/>
                <o:lock v:ext="edit" aspectratio="f"/>
                <v:textbox>
                  <w:txbxContent>
                    <w:p w14:paraId="3C4FDE31">
                      <w:pPr>
                        <w:jc w:val="center"/>
                      </w:pPr>
                    </w:p>
                    <w:p w14:paraId="6E346174">
                      <w:pPr>
                        <w:jc w:val="center"/>
                      </w:pPr>
                    </w:p>
                    <w:p w14:paraId="242A6CC8">
                      <w:pPr>
                        <w:jc w:val="center"/>
                      </w:pPr>
                    </w:p>
                    <w:p w14:paraId="78714C69">
                      <w:pPr>
                        <w:jc w:val="center"/>
                      </w:pPr>
                      <w:r>
                        <w:rPr>
                          <w:rFonts w:hint="eastAsia"/>
                        </w:rPr>
                        <w:t>法定代表人身份证复印件（反面）</w:t>
                      </w:r>
                    </w:p>
                    <w:p w14:paraId="6869324F">
                      <w:pPr>
                        <w:jc w:val="center"/>
                      </w:pPr>
                    </w:p>
                  </w:txbxContent>
                </v:textbox>
              </v:rect>
            </w:pict>
          </mc:Fallback>
        </mc:AlternateContent>
      </w:r>
      <w:r>
        <w:rPr>
          <w:rFonts w:hint="eastAsia" w:ascii="宋体" w:hAnsi="宋体"/>
          <w:highlight w:val="none"/>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8255" b="508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06310711">
                            <w:pPr>
                              <w:jc w:val="center"/>
                            </w:pPr>
                            <w:r>
                              <w:rPr>
                                <w:rFonts w:hint="eastAsia"/>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ctpajaAAAACwEAAA8AAAAAAAAAAQAgAAAAIgAAAGRycy9kb3du&#10;cmV2LnhtbFBLAQIUABQAAAAIAIdO4kC8VCSbNgIAAHsEAAAOAAAAAAAAAAEAIAAAACkBAABkcnMv&#10;ZTJvRG9jLnhtbFBLBQYAAAAABgAGAFkBAADRBQAAAAA=&#10;">
                <v:fill on="t" focussize="0,0"/>
                <v:stroke color="#000000" miterlimit="8" joinstyle="miter"/>
                <v:imagedata o:title=""/>
                <o:lock v:ext="edit" aspectratio="f"/>
                <v:textbox>
                  <w:txbxContent>
                    <w:p w14:paraId="06310711">
                      <w:pPr>
                        <w:jc w:val="center"/>
                      </w:pPr>
                      <w:r>
                        <w:rPr>
                          <w:rFonts w:hint="eastAsia"/>
                        </w:rPr>
                        <w:t>授权代理人身份证复印件（反面）</w:t>
                      </w:r>
                    </w:p>
                  </w:txbxContent>
                </v:textbox>
              </v:rect>
            </w:pict>
          </mc:Fallback>
        </mc:AlternateContent>
      </w:r>
    </w:p>
    <w:p w14:paraId="09302EC9">
      <w:pPr>
        <w:spacing w:line="480" w:lineRule="exact"/>
        <w:ind w:firstLine="480" w:firstLineChars="200"/>
        <w:rPr>
          <w:rFonts w:ascii="宋体" w:hAnsi="宋体"/>
          <w:sz w:val="24"/>
          <w:highlight w:val="none"/>
        </w:rPr>
      </w:pPr>
    </w:p>
    <w:p w14:paraId="1EA5ACB6">
      <w:pPr>
        <w:spacing w:line="480" w:lineRule="exact"/>
        <w:ind w:firstLine="480" w:firstLineChars="200"/>
        <w:rPr>
          <w:rFonts w:ascii="宋体" w:hAnsi="宋体"/>
          <w:sz w:val="24"/>
          <w:highlight w:val="none"/>
        </w:rPr>
      </w:pPr>
    </w:p>
    <w:p w14:paraId="199AD8FF">
      <w:pPr>
        <w:spacing w:line="480" w:lineRule="exact"/>
        <w:ind w:firstLine="480" w:firstLineChars="200"/>
        <w:rPr>
          <w:rFonts w:ascii="宋体" w:hAnsi="宋体"/>
          <w:sz w:val="24"/>
          <w:highlight w:val="none"/>
        </w:rPr>
      </w:pPr>
    </w:p>
    <w:p w14:paraId="104556B2">
      <w:pPr>
        <w:spacing w:line="480" w:lineRule="exact"/>
        <w:ind w:firstLine="480" w:firstLineChars="200"/>
        <w:rPr>
          <w:rFonts w:ascii="宋体" w:hAnsi="宋体"/>
          <w:sz w:val="24"/>
          <w:highlight w:val="none"/>
        </w:rPr>
      </w:pPr>
    </w:p>
    <w:p w14:paraId="26036A77">
      <w:pPr>
        <w:spacing w:line="480" w:lineRule="exact"/>
        <w:ind w:firstLine="480" w:firstLineChars="200"/>
        <w:rPr>
          <w:rFonts w:ascii="宋体" w:hAnsi="宋体"/>
          <w:sz w:val="24"/>
          <w:highlight w:val="none"/>
        </w:rPr>
      </w:pPr>
    </w:p>
    <w:p w14:paraId="5DC8974C">
      <w:pPr>
        <w:spacing w:line="480" w:lineRule="exact"/>
        <w:ind w:firstLine="480" w:firstLineChars="200"/>
        <w:rPr>
          <w:rFonts w:ascii="宋体" w:hAnsi="宋体"/>
          <w:sz w:val="24"/>
          <w:highlight w:val="none"/>
        </w:rPr>
      </w:pPr>
    </w:p>
    <w:p w14:paraId="213BD27F">
      <w:pPr>
        <w:spacing w:line="480" w:lineRule="exact"/>
        <w:ind w:firstLine="480" w:firstLineChars="200"/>
        <w:rPr>
          <w:rFonts w:ascii="宋体" w:hAnsi="宋体"/>
          <w:sz w:val="24"/>
          <w:highlight w:val="none"/>
        </w:rPr>
      </w:pPr>
    </w:p>
    <w:p w14:paraId="67EC6D6B">
      <w:pPr>
        <w:spacing w:line="480" w:lineRule="exact"/>
        <w:ind w:firstLine="480" w:firstLineChars="200"/>
        <w:rPr>
          <w:rFonts w:ascii="宋体" w:hAnsi="宋体"/>
          <w:sz w:val="24"/>
          <w:highlight w:val="none"/>
        </w:rPr>
      </w:pPr>
    </w:p>
    <w:p w14:paraId="48152F70">
      <w:pPr>
        <w:spacing w:line="480" w:lineRule="exact"/>
        <w:ind w:firstLine="480" w:firstLineChars="200"/>
        <w:rPr>
          <w:rFonts w:ascii="宋体" w:hAnsi="宋体"/>
          <w:sz w:val="24"/>
          <w:highlight w:val="none"/>
        </w:rPr>
      </w:pPr>
    </w:p>
    <w:p w14:paraId="24F9AC05">
      <w:pPr>
        <w:spacing w:line="480" w:lineRule="exact"/>
        <w:rPr>
          <w:rFonts w:ascii="宋体" w:hAnsi="宋体"/>
          <w:sz w:val="24"/>
          <w:highlight w:val="none"/>
        </w:rPr>
      </w:pPr>
    </w:p>
    <w:p w14:paraId="328BF81A">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单位名称（公章）：</w:t>
      </w:r>
      <w:r>
        <w:rPr>
          <w:rFonts w:ascii="宋体" w:hAnsi="宋体" w:eastAsia="宋体" w:cs="宋体"/>
          <w:sz w:val="24"/>
          <w:szCs w:val="24"/>
          <w:highlight w:val="none"/>
          <w:u w:val="single"/>
        </w:rPr>
        <w:t xml:space="preserve">                 </w:t>
      </w:r>
    </w:p>
    <w:p w14:paraId="1FB358D9">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法定代表人签字：</w:t>
      </w:r>
      <w:r>
        <w:rPr>
          <w:rFonts w:ascii="宋体" w:hAnsi="宋体" w:eastAsia="宋体" w:cs="宋体"/>
          <w:sz w:val="24"/>
          <w:szCs w:val="24"/>
          <w:highlight w:val="none"/>
          <w:u w:val="single"/>
        </w:rPr>
        <w:t xml:space="preserve">                  </w:t>
      </w:r>
    </w:p>
    <w:p w14:paraId="689C5FB9">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授权代理人签字：</w:t>
      </w:r>
      <w:r>
        <w:rPr>
          <w:rFonts w:ascii="宋体" w:hAnsi="宋体" w:eastAsia="宋体" w:cs="宋体"/>
          <w:sz w:val="24"/>
          <w:szCs w:val="24"/>
          <w:highlight w:val="none"/>
          <w:u w:val="single"/>
        </w:rPr>
        <w:t xml:space="preserve">                  </w:t>
      </w:r>
    </w:p>
    <w:p w14:paraId="0C21EEBB">
      <w:pPr>
        <w:pStyle w:val="7"/>
        <w:spacing w:line="560" w:lineRule="exact"/>
        <w:ind w:left="5880" w:right="283" w:rightChars="135" w:firstLine="420"/>
        <w:jc w:val="right"/>
        <w:rPr>
          <w:rFonts w:ascii="宋体" w:hAnsi="宋体" w:eastAsia="宋体"/>
          <w:sz w:val="24"/>
          <w:highlight w:val="none"/>
        </w:rPr>
      </w:pPr>
      <w:r>
        <w:rPr>
          <w:rFonts w:ascii="宋体" w:hAnsi="宋体" w:eastAsia="宋体"/>
          <w:sz w:val="24"/>
          <w:highlight w:val="none"/>
        </w:rPr>
        <w:t xml:space="preserve">    </w:t>
      </w:r>
      <w:r>
        <w:rPr>
          <w:rFonts w:hint="eastAsia" w:ascii="宋体" w:hAnsi="宋体" w:eastAsia="宋体"/>
          <w:sz w:val="24"/>
          <w:highlight w:val="none"/>
        </w:rPr>
        <w:t>年</w:t>
      </w:r>
      <w:r>
        <w:rPr>
          <w:rFonts w:ascii="宋体" w:hAnsi="宋体" w:eastAsia="宋体"/>
          <w:sz w:val="24"/>
          <w:highlight w:val="none"/>
        </w:rPr>
        <w:t xml:space="preserve">  </w:t>
      </w:r>
      <w:r>
        <w:rPr>
          <w:rFonts w:hint="eastAsia" w:ascii="宋体" w:hAnsi="宋体" w:eastAsia="宋体"/>
          <w:sz w:val="24"/>
          <w:highlight w:val="none"/>
        </w:rPr>
        <w:t>月</w:t>
      </w:r>
      <w:r>
        <w:rPr>
          <w:rFonts w:ascii="宋体" w:hAnsi="宋体" w:eastAsia="宋体"/>
          <w:sz w:val="24"/>
          <w:highlight w:val="none"/>
        </w:rPr>
        <w:t xml:space="preserve">  </w:t>
      </w:r>
      <w:r>
        <w:rPr>
          <w:rFonts w:hint="eastAsia" w:ascii="宋体" w:hAnsi="宋体" w:eastAsia="宋体"/>
          <w:sz w:val="24"/>
          <w:highlight w:val="none"/>
        </w:rPr>
        <w:t>日</w:t>
      </w:r>
    </w:p>
    <w:p w14:paraId="5E5EBD8D">
      <w:pPr>
        <w:spacing w:after="156" w:afterLines="50"/>
        <w:jc w:val="left"/>
        <w:rPr>
          <w:rFonts w:ascii="仿宋_GB2312" w:hAnsi="Calibri" w:eastAsia="仿宋_GB2312"/>
          <w:sz w:val="32"/>
          <w:szCs w:val="32"/>
          <w:highlight w:val="none"/>
        </w:rPr>
      </w:pPr>
      <w:bookmarkStart w:id="22" w:name="_Toc16307"/>
    </w:p>
    <w:p w14:paraId="5C5C315D">
      <w:pPr>
        <w:spacing w:after="156" w:afterLines="50"/>
        <w:jc w:val="left"/>
        <w:rPr>
          <w:rFonts w:ascii="仿宋_GB2312" w:hAnsi="Calibri" w:eastAsia="仿宋_GB2312"/>
          <w:sz w:val="32"/>
          <w:szCs w:val="32"/>
          <w:highlight w:val="none"/>
        </w:rPr>
      </w:pPr>
    </w:p>
    <w:p w14:paraId="338BCC7B">
      <w:pPr>
        <w:pStyle w:val="13"/>
        <w:rPr>
          <w:highlight w:val="none"/>
        </w:rPr>
      </w:pPr>
    </w:p>
    <w:p w14:paraId="39D63223">
      <w:pPr>
        <w:rPr>
          <w:rFonts w:ascii="宋体" w:hAnsi="宋体" w:cs="宋体"/>
          <w:sz w:val="24"/>
          <w:szCs w:val="24"/>
          <w:highlight w:val="none"/>
        </w:rPr>
      </w:pPr>
      <w:bookmarkStart w:id="23" w:name="_Toc12670"/>
    </w:p>
    <w:p w14:paraId="067B1222">
      <w:pPr>
        <w:rPr>
          <w:rFonts w:ascii="宋体" w:hAnsi="宋体" w:cs="宋体"/>
          <w:sz w:val="24"/>
          <w:szCs w:val="24"/>
          <w:highlight w:val="none"/>
        </w:rPr>
      </w:pPr>
    </w:p>
    <w:p w14:paraId="276D9072">
      <w:pPr>
        <w:rPr>
          <w:rFonts w:ascii="宋体" w:hAnsi="宋体" w:cs="宋体"/>
          <w:sz w:val="24"/>
          <w:szCs w:val="24"/>
          <w:highlight w:val="none"/>
        </w:rPr>
      </w:pPr>
      <w:r>
        <w:rPr>
          <w:rFonts w:hint="eastAsia" w:ascii="宋体" w:hAnsi="宋体" w:cs="宋体"/>
          <w:sz w:val="24"/>
          <w:szCs w:val="24"/>
          <w:highlight w:val="none"/>
        </w:rPr>
        <w:t>附件2</w:t>
      </w:r>
      <w:bookmarkEnd w:id="22"/>
      <w:bookmarkEnd w:id="23"/>
    </w:p>
    <w:p w14:paraId="57FF171B">
      <w:pPr>
        <w:pStyle w:val="7"/>
        <w:spacing w:line="560" w:lineRule="exact"/>
        <w:ind w:right="283" w:rightChars="135"/>
        <w:jc w:val="center"/>
        <w:rPr>
          <w:rFonts w:ascii="宋体" w:hAnsi="宋体" w:eastAsia="宋体" w:cs="宋体"/>
          <w:sz w:val="36"/>
          <w:szCs w:val="36"/>
          <w:highlight w:val="none"/>
        </w:rPr>
      </w:pPr>
      <w:r>
        <w:rPr>
          <w:rFonts w:hint="eastAsia" w:ascii="宋体" w:hAnsi="宋体" w:eastAsia="宋体" w:cs="宋体"/>
          <w:b/>
          <w:bCs/>
          <w:sz w:val="36"/>
          <w:szCs w:val="36"/>
          <w:highlight w:val="none"/>
        </w:rPr>
        <w:t>投标人基本情况表</w:t>
      </w:r>
    </w:p>
    <w:tbl>
      <w:tblPr>
        <w:tblStyle w:val="20"/>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2C2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052B0B4">
            <w:pPr>
              <w:spacing w:line="276" w:lineRule="auto"/>
              <w:jc w:val="center"/>
              <w:rPr>
                <w:rFonts w:ascii="宋体" w:hAnsi="宋体" w:cs="Calibri"/>
                <w:sz w:val="24"/>
                <w:highlight w:val="none"/>
              </w:rPr>
            </w:pPr>
            <w:r>
              <w:rPr>
                <w:rFonts w:ascii="宋体" w:hAnsi="宋体" w:cs="Calibri"/>
                <w:sz w:val="24"/>
                <w:highlight w:val="none"/>
              </w:rPr>
              <w:t>投标人名称</w:t>
            </w:r>
          </w:p>
        </w:tc>
        <w:tc>
          <w:tcPr>
            <w:tcW w:w="6849" w:type="dxa"/>
            <w:gridSpan w:val="5"/>
            <w:vAlign w:val="center"/>
          </w:tcPr>
          <w:p w14:paraId="6A937C61">
            <w:pPr>
              <w:spacing w:line="276" w:lineRule="auto"/>
              <w:jc w:val="center"/>
              <w:rPr>
                <w:rFonts w:ascii="宋体" w:hAnsi="宋体" w:cs="Calibri"/>
                <w:sz w:val="24"/>
                <w:highlight w:val="none"/>
              </w:rPr>
            </w:pPr>
          </w:p>
        </w:tc>
      </w:tr>
      <w:tr w14:paraId="585A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8131164">
            <w:pPr>
              <w:spacing w:line="276" w:lineRule="auto"/>
              <w:jc w:val="center"/>
              <w:rPr>
                <w:rFonts w:ascii="宋体" w:hAnsi="宋体" w:cs="Calibri"/>
                <w:sz w:val="24"/>
                <w:highlight w:val="none"/>
              </w:rPr>
            </w:pPr>
            <w:r>
              <w:rPr>
                <w:rFonts w:ascii="宋体" w:hAnsi="宋体" w:cs="Calibri"/>
                <w:sz w:val="24"/>
                <w:highlight w:val="none"/>
              </w:rPr>
              <w:t>注册地址</w:t>
            </w:r>
          </w:p>
        </w:tc>
        <w:tc>
          <w:tcPr>
            <w:tcW w:w="3166" w:type="dxa"/>
            <w:gridSpan w:val="3"/>
            <w:vAlign w:val="center"/>
          </w:tcPr>
          <w:p w14:paraId="4A8521E5">
            <w:pPr>
              <w:spacing w:line="276" w:lineRule="auto"/>
              <w:jc w:val="center"/>
              <w:rPr>
                <w:rFonts w:ascii="宋体" w:hAnsi="宋体" w:cs="Calibri"/>
                <w:sz w:val="24"/>
                <w:highlight w:val="none"/>
              </w:rPr>
            </w:pPr>
          </w:p>
        </w:tc>
        <w:tc>
          <w:tcPr>
            <w:tcW w:w="1652" w:type="dxa"/>
            <w:vAlign w:val="center"/>
          </w:tcPr>
          <w:p w14:paraId="747D015D">
            <w:pPr>
              <w:spacing w:line="276" w:lineRule="auto"/>
              <w:jc w:val="center"/>
              <w:rPr>
                <w:rFonts w:ascii="宋体" w:hAnsi="宋体" w:cs="Calibri"/>
                <w:sz w:val="24"/>
                <w:highlight w:val="none"/>
              </w:rPr>
            </w:pPr>
            <w:r>
              <w:rPr>
                <w:rFonts w:ascii="宋体" w:hAnsi="宋体" w:cs="Calibri"/>
                <w:sz w:val="24"/>
                <w:highlight w:val="none"/>
              </w:rPr>
              <w:t>邮政编码</w:t>
            </w:r>
          </w:p>
        </w:tc>
        <w:tc>
          <w:tcPr>
            <w:tcW w:w="2031" w:type="dxa"/>
            <w:vAlign w:val="center"/>
          </w:tcPr>
          <w:p w14:paraId="1CFFCD96">
            <w:pPr>
              <w:spacing w:line="276" w:lineRule="auto"/>
              <w:jc w:val="center"/>
              <w:rPr>
                <w:rFonts w:ascii="宋体" w:hAnsi="宋体" w:cs="Calibri"/>
                <w:sz w:val="24"/>
                <w:highlight w:val="none"/>
              </w:rPr>
            </w:pPr>
          </w:p>
        </w:tc>
      </w:tr>
      <w:tr w14:paraId="09E7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6E45BC5A">
            <w:pPr>
              <w:spacing w:line="276" w:lineRule="auto"/>
              <w:jc w:val="center"/>
              <w:rPr>
                <w:rFonts w:ascii="宋体" w:hAnsi="宋体" w:cs="Calibri"/>
                <w:sz w:val="24"/>
                <w:highlight w:val="none"/>
              </w:rPr>
            </w:pPr>
            <w:r>
              <w:rPr>
                <w:rFonts w:ascii="宋体" w:hAnsi="宋体" w:cs="Calibri"/>
                <w:sz w:val="24"/>
                <w:highlight w:val="none"/>
              </w:rPr>
              <w:t>联系方式</w:t>
            </w:r>
          </w:p>
        </w:tc>
        <w:tc>
          <w:tcPr>
            <w:tcW w:w="1101" w:type="dxa"/>
            <w:vAlign w:val="center"/>
          </w:tcPr>
          <w:p w14:paraId="691786A6">
            <w:pPr>
              <w:spacing w:line="276" w:lineRule="auto"/>
              <w:jc w:val="center"/>
              <w:rPr>
                <w:rFonts w:ascii="宋体" w:hAnsi="宋体" w:cs="Calibri"/>
                <w:sz w:val="24"/>
                <w:highlight w:val="none"/>
              </w:rPr>
            </w:pPr>
            <w:r>
              <w:rPr>
                <w:rFonts w:ascii="宋体" w:hAnsi="宋体" w:cs="Calibri"/>
                <w:sz w:val="24"/>
                <w:highlight w:val="none"/>
              </w:rPr>
              <w:t>联系人</w:t>
            </w:r>
          </w:p>
        </w:tc>
        <w:tc>
          <w:tcPr>
            <w:tcW w:w="2065" w:type="dxa"/>
            <w:gridSpan w:val="2"/>
            <w:vAlign w:val="center"/>
          </w:tcPr>
          <w:p w14:paraId="72483FDB">
            <w:pPr>
              <w:spacing w:line="276" w:lineRule="auto"/>
              <w:jc w:val="center"/>
              <w:rPr>
                <w:rFonts w:ascii="宋体" w:hAnsi="宋体" w:cs="Calibri"/>
                <w:sz w:val="24"/>
                <w:highlight w:val="none"/>
              </w:rPr>
            </w:pPr>
          </w:p>
        </w:tc>
        <w:tc>
          <w:tcPr>
            <w:tcW w:w="1652" w:type="dxa"/>
            <w:vAlign w:val="center"/>
          </w:tcPr>
          <w:p w14:paraId="1F4B91DC">
            <w:pPr>
              <w:spacing w:line="276" w:lineRule="auto"/>
              <w:jc w:val="center"/>
              <w:rPr>
                <w:rFonts w:ascii="宋体" w:hAnsi="宋体" w:cs="Calibri"/>
                <w:sz w:val="24"/>
                <w:highlight w:val="none"/>
              </w:rPr>
            </w:pPr>
            <w:r>
              <w:rPr>
                <w:rFonts w:ascii="宋体" w:hAnsi="宋体" w:cs="Calibri"/>
                <w:sz w:val="24"/>
                <w:highlight w:val="none"/>
              </w:rPr>
              <w:t>电话</w:t>
            </w:r>
          </w:p>
        </w:tc>
        <w:tc>
          <w:tcPr>
            <w:tcW w:w="2031" w:type="dxa"/>
            <w:vAlign w:val="center"/>
          </w:tcPr>
          <w:p w14:paraId="4E94A182">
            <w:pPr>
              <w:spacing w:line="276" w:lineRule="auto"/>
              <w:jc w:val="center"/>
              <w:rPr>
                <w:rFonts w:ascii="宋体" w:hAnsi="宋体" w:cs="Calibri"/>
                <w:sz w:val="24"/>
                <w:highlight w:val="none"/>
              </w:rPr>
            </w:pPr>
          </w:p>
        </w:tc>
      </w:tr>
      <w:tr w14:paraId="7912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6E33A65B">
            <w:pPr>
              <w:spacing w:line="276" w:lineRule="auto"/>
              <w:jc w:val="center"/>
              <w:rPr>
                <w:rFonts w:ascii="宋体" w:hAnsi="宋体" w:cs="Calibri"/>
                <w:sz w:val="24"/>
                <w:highlight w:val="none"/>
              </w:rPr>
            </w:pPr>
          </w:p>
        </w:tc>
        <w:tc>
          <w:tcPr>
            <w:tcW w:w="1101" w:type="dxa"/>
            <w:vAlign w:val="center"/>
          </w:tcPr>
          <w:p w14:paraId="67243668">
            <w:pPr>
              <w:spacing w:line="276" w:lineRule="auto"/>
              <w:jc w:val="center"/>
              <w:rPr>
                <w:rFonts w:ascii="宋体" w:hAnsi="宋体" w:cs="Calibri"/>
                <w:sz w:val="24"/>
                <w:highlight w:val="none"/>
              </w:rPr>
            </w:pPr>
            <w:r>
              <w:rPr>
                <w:rFonts w:ascii="宋体" w:hAnsi="宋体" w:cs="Calibri"/>
                <w:sz w:val="24"/>
                <w:highlight w:val="none"/>
              </w:rPr>
              <w:t>传真</w:t>
            </w:r>
          </w:p>
        </w:tc>
        <w:tc>
          <w:tcPr>
            <w:tcW w:w="2065" w:type="dxa"/>
            <w:gridSpan w:val="2"/>
            <w:vAlign w:val="center"/>
          </w:tcPr>
          <w:p w14:paraId="79F728A0">
            <w:pPr>
              <w:spacing w:line="276" w:lineRule="auto"/>
              <w:jc w:val="center"/>
              <w:rPr>
                <w:rFonts w:ascii="宋体" w:hAnsi="宋体" w:cs="Calibri"/>
                <w:sz w:val="24"/>
                <w:highlight w:val="none"/>
              </w:rPr>
            </w:pPr>
          </w:p>
        </w:tc>
        <w:tc>
          <w:tcPr>
            <w:tcW w:w="1652" w:type="dxa"/>
            <w:vAlign w:val="center"/>
          </w:tcPr>
          <w:p w14:paraId="7FC34B57">
            <w:pPr>
              <w:spacing w:line="276" w:lineRule="auto"/>
              <w:jc w:val="center"/>
              <w:rPr>
                <w:rFonts w:ascii="宋体" w:hAnsi="宋体" w:cs="Calibri"/>
                <w:sz w:val="24"/>
                <w:highlight w:val="none"/>
              </w:rPr>
            </w:pPr>
            <w:r>
              <w:rPr>
                <w:rFonts w:ascii="宋体" w:hAnsi="宋体" w:cs="Calibri"/>
                <w:sz w:val="24"/>
                <w:highlight w:val="none"/>
              </w:rPr>
              <w:t>网址</w:t>
            </w:r>
          </w:p>
        </w:tc>
        <w:tc>
          <w:tcPr>
            <w:tcW w:w="2031" w:type="dxa"/>
            <w:vAlign w:val="center"/>
          </w:tcPr>
          <w:p w14:paraId="4CB94090">
            <w:pPr>
              <w:spacing w:line="276" w:lineRule="auto"/>
              <w:jc w:val="center"/>
              <w:rPr>
                <w:rFonts w:ascii="宋体" w:hAnsi="宋体" w:cs="Calibri"/>
                <w:sz w:val="24"/>
                <w:highlight w:val="none"/>
              </w:rPr>
            </w:pPr>
          </w:p>
        </w:tc>
      </w:tr>
      <w:tr w14:paraId="2B19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F40D5DF">
            <w:pPr>
              <w:spacing w:line="276" w:lineRule="auto"/>
              <w:jc w:val="center"/>
              <w:rPr>
                <w:rFonts w:ascii="宋体" w:hAnsi="宋体" w:cs="Calibri"/>
                <w:sz w:val="24"/>
                <w:highlight w:val="none"/>
              </w:rPr>
            </w:pPr>
            <w:r>
              <w:rPr>
                <w:rFonts w:ascii="宋体" w:hAnsi="宋体" w:cs="Calibri"/>
                <w:sz w:val="24"/>
                <w:highlight w:val="none"/>
              </w:rPr>
              <w:t>法定代表人</w:t>
            </w:r>
          </w:p>
        </w:tc>
        <w:tc>
          <w:tcPr>
            <w:tcW w:w="1101" w:type="dxa"/>
            <w:vAlign w:val="center"/>
          </w:tcPr>
          <w:p w14:paraId="02288B29">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43D8971C">
            <w:pPr>
              <w:spacing w:line="276" w:lineRule="auto"/>
              <w:jc w:val="center"/>
              <w:rPr>
                <w:rFonts w:ascii="宋体" w:hAnsi="宋体" w:cs="Calibri"/>
                <w:sz w:val="24"/>
                <w:highlight w:val="none"/>
              </w:rPr>
            </w:pPr>
          </w:p>
        </w:tc>
        <w:tc>
          <w:tcPr>
            <w:tcW w:w="1652" w:type="dxa"/>
            <w:vAlign w:val="center"/>
          </w:tcPr>
          <w:p w14:paraId="5EDAA8C8">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667626D6">
            <w:pPr>
              <w:spacing w:line="276" w:lineRule="auto"/>
              <w:jc w:val="center"/>
              <w:rPr>
                <w:rFonts w:ascii="宋体" w:hAnsi="宋体" w:cs="Calibri"/>
                <w:sz w:val="24"/>
                <w:highlight w:val="none"/>
              </w:rPr>
            </w:pPr>
          </w:p>
        </w:tc>
      </w:tr>
      <w:tr w14:paraId="2361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08A17E2">
            <w:pPr>
              <w:spacing w:line="276" w:lineRule="auto"/>
              <w:jc w:val="center"/>
              <w:rPr>
                <w:rFonts w:ascii="宋体" w:hAnsi="宋体" w:cs="Calibri"/>
                <w:sz w:val="24"/>
                <w:highlight w:val="none"/>
              </w:rPr>
            </w:pPr>
            <w:r>
              <w:rPr>
                <w:rFonts w:ascii="宋体" w:hAnsi="宋体" w:cs="Calibri"/>
                <w:sz w:val="24"/>
                <w:highlight w:val="none"/>
              </w:rPr>
              <w:t>负责人</w:t>
            </w:r>
          </w:p>
        </w:tc>
        <w:tc>
          <w:tcPr>
            <w:tcW w:w="1101" w:type="dxa"/>
            <w:vAlign w:val="center"/>
          </w:tcPr>
          <w:p w14:paraId="5B49542C">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52BD3D24">
            <w:pPr>
              <w:spacing w:line="276" w:lineRule="auto"/>
              <w:jc w:val="center"/>
              <w:rPr>
                <w:rFonts w:ascii="宋体" w:hAnsi="宋体" w:cs="Calibri"/>
                <w:sz w:val="24"/>
                <w:highlight w:val="none"/>
              </w:rPr>
            </w:pPr>
          </w:p>
        </w:tc>
        <w:tc>
          <w:tcPr>
            <w:tcW w:w="1652" w:type="dxa"/>
            <w:vAlign w:val="center"/>
          </w:tcPr>
          <w:p w14:paraId="2C1277C9">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3A7B9933">
            <w:pPr>
              <w:spacing w:line="276" w:lineRule="auto"/>
              <w:jc w:val="center"/>
              <w:rPr>
                <w:rFonts w:ascii="宋体" w:hAnsi="宋体" w:cs="Calibri"/>
                <w:sz w:val="24"/>
                <w:highlight w:val="none"/>
              </w:rPr>
            </w:pPr>
          </w:p>
        </w:tc>
      </w:tr>
      <w:tr w14:paraId="3EC0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95D51D8">
            <w:pPr>
              <w:spacing w:line="276" w:lineRule="auto"/>
              <w:jc w:val="center"/>
              <w:rPr>
                <w:rFonts w:ascii="宋体" w:hAnsi="宋体" w:cs="Calibri"/>
                <w:sz w:val="24"/>
                <w:highlight w:val="none"/>
              </w:rPr>
            </w:pPr>
            <w:r>
              <w:rPr>
                <w:rFonts w:ascii="宋体" w:hAnsi="宋体" w:cs="Calibri"/>
                <w:sz w:val="24"/>
                <w:highlight w:val="none"/>
              </w:rPr>
              <w:t>成立时间</w:t>
            </w:r>
          </w:p>
        </w:tc>
        <w:tc>
          <w:tcPr>
            <w:tcW w:w="2064" w:type="dxa"/>
            <w:gridSpan w:val="2"/>
            <w:vAlign w:val="center"/>
          </w:tcPr>
          <w:p w14:paraId="149C5965">
            <w:pPr>
              <w:spacing w:line="276" w:lineRule="auto"/>
              <w:jc w:val="center"/>
              <w:rPr>
                <w:rFonts w:ascii="宋体" w:hAnsi="宋体" w:cs="Calibri"/>
                <w:sz w:val="24"/>
                <w:highlight w:val="none"/>
              </w:rPr>
            </w:pPr>
          </w:p>
        </w:tc>
        <w:tc>
          <w:tcPr>
            <w:tcW w:w="1102" w:type="dxa"/>
            <w:vMerge w:val="restart"/>
            <w:vAlign w:val="center"/>
          </w:tcPr>
          <w:p w14:paraId="6872CC1C">
            <w:pPr>
              <w:spacing w:line="276" w:lineRule="auto"/>
              <w:jc w:val="center"/>
              <w:rPr>
                <w:rFonts w:ascii="宋体" w:hAnsi="宋体" w:cs="Calibri"/>
                <w:sz w:val="24"/>
                <w:highlight w:val="none"/>
              </w:rPr>
            </w:pPr>
          </w:p>
          <w:p w14:paraId="41AB2646">
            <w:pPr>
              <w:spacing w:line="276" w:lineRule="auto"/>
              <w:jc w:val="center"/>
              <w:rPr>
                <w:rFonts w:ascii="宋体" w:hAnsi="宋体" w:cs="Calibri"/>
                <w:sz w:val="24"/>
                <w:highlight w:val="none"/>
              </w:rPr>
            </w:pPr>
          </w:p>
          <w:p w14:paraId="7F6E4E1E">
            <w:pPr>
              <w:spacing w:line="276" w:lineRule="auto"/>
              <w:jc w:val="center"/>
              <w:rPr>
                <w:rFonts w:ascii="宋体" w:hAnsi="宋体" w:cs="Calibri"/>
                <w:sz w:val="24"/>
                <w:highlight w:val="none"/>
              </w:rPr>
            </w:pPr>
          </w:p>
          <w:p w14:paraId="5AC09004">
            <w:pPr>
              <w:spacing w:line="276" w:lineRule="auto"/>
              <w:jc w:val="center"/>
              <w:rPr>
                <w:rFonts w:ascii="宋体" w:hAnsi="宋体" w:cs="Calibri"/>
                <w:sz w:val="24"/>
                <w:highlight w:val="none"/>
              </w:rPr>
            </w:pPr>
            <w:r>
              <w:rPr>
                <w:rFonts w:ascii="宋体" w:hAnsi="宋体" w:cs="Calibri"/>
                <w:sz w:val="24"/>
                <w:highlight w:val="none"/>
              </w:rPr>
              <w:t>其中</w:t>
            </w:r>
          </w:p>
        </w:tc>
        <w:tc>
          <w:tcPr>
            <w:tcW w:w="3683" w:type="dxa"/>
            <w:gridSpan w:val="2"/>
            <w:vAlign w:val="center"/>
          </w:tcPr>
          <w:p w14:paraId="7A5F9A70">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现在岗</w:t>
            </w:r>
            <w:r>
              <w:rPr>
                <w:rFonts w:ascii="宋体" w:hAnsi="宋体" w:cs="Calibri"/>
                <w:sz w:val="24"/>
                <w:highlight w:val="none"/>
              </w:rPr>
              <w:t>员工总人数</w:t>
            </w:r>
          </w:p>
        </w:tc>
      </w:tr>
      <w:tr w14:paraId="64CD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EEC2DAA">
            <w:pPr>
              <w:spacing w:line="276" w:lineRule="auto"/>
              <w:jc w:val="center"/>
              <w:rPr>
                <w:rFonts w:ascii="宋体" w:hAnsi="宋体" w:cs="Calibri"/>
                <w:sz w:val="24"/>
                <w:highlight w:val="none"/>
              </w:rPr>
            </w:pPr>
            <w:r>
              <w:rPr>
                <w:rFonts w:ascii="宋体" w:hAnsi="宋体" w:cs="Calibri"/>
                <w:sz w:val="24"/>
                <w:highlight w:val="none"/>
              </w:rPr>
              <w:t>企业资质等级</w:t>
            </w:r>
          </w:p>
        </w:tc>
        <w:tc>
          <w:tcPr>
            <w:tcW w:w="2064" w:type="dxa"/>
            <w:gridSpan w:val="2"/>
            <w:vAlign w:val="center"/>
          </w:tcPr>
          <w:p w14:paraId="7A20D64D">
            <w:pPr>
              <w:spacing w:line="276" w:lineRule="auto"/>
              <w:jc w:val="center"/>
              <w:rPr>
                <w:rFonts w:ascii="宋体" w:hAnsi="宋体" w:cs="Calibri"/>
                <w:sz w:val="24"/>
                <w:highlight w:val="none"/>
              </w:rPr>
            </w:pPr>
          </w:p>
        </w:tc>
        <w:tc>
          <w:tcPr>
            <w:tcW w:w="1102" w:type="dxa"/>
            <w:vMerge w:val="continue"/>
            <w:vAlign w:val="center"/>
          </w:tcPr>
          <w:p w14:paraId="5B2A9B2F">
            <w:pPr>
              <w:spacing w:line="276" w:lineRule="auto"/>
              <w:jc w:val="center"/>
              <w:rPr>
                <w:rFonts w:ascii="宋体" w:hAnsi="宋体" w:cs="Calibri"/>
                <w:sz w:val="24"/>
                <w:highlight w:val="none"/>
              </w:rPr>
            </w:pPr>
          </w:p>
        </w:tc>
        <w:tc>
          <w:tcPr>
            <w:tcW w:w="1652" w:type="dxa"/>
            <w:vMerge w:val="restart"/>
            <w:vAlign w:val="center"/>
          </w:tcPr>
          <w:p w14:paraId="44B53578">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自有讲师</w:t>
            </w:r>
          </w:p>
        </w:tc>
        <w:tc>
          <w:tcPr>
            <w:tcW w:w="2031" w:type="dxa"/>
            <w:vMerge w:val="restart"/>
            <w:vAlign w:val="center"/>
          </w:tcPr>
          <w:p w14:paraId="3EFAA3E9">
            <w:pPr>
              <w:tabs>
                <w:tab w:val="left" w:pos="690"/>
              </w:tabs>
              <w:spacing w:line="276" w:lineRule="auto"/>
              <w:jc w:val="center"/>
              <w:rPr>
                <w:rFonts w:ascii="宋体" w:hAnsi="宋体" w:cs="Calibri"/>
                <w:sz w:val="24"/>
                <w:highlight w:val="none"/>
              </w:rPr>
            </w:pPr>
          </w:p>
        </w:tc>
      </w:tr>
      <w:tr w14:paraId="7C53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27A5C21">
            <w:pPr>
              <w:spacing w:line="276" w:lineRule="auto"/>
              <w:jc w:val="center"/>
              <w:rPr>
                <w:rFonts w:ascii="宋体" w:hAnsi="宋体" w:cs="Calibri"/>
                <w:sz w:val="24"/>
                <w:highlight w:val="none"/>
              </w:rPr>
            </w:pPr>
            <w:r>
              <w:rPr>
                <w:rFonts w:ascii="宋体" w:hAnsi="宋体" w:cs="Calibri"/>
                <w:sz w:val="24"/>
                <w:highlight w:val="none"/>
              </w:rPr>
              <w:t>营业执照号</w:t>
            </w:r>
          </w:p>
        </w:tc>
        <w:tc>
          <w:tcPr>
            <w:tcW w:w="2064" w:type="dxa"/>
            <w:gridSpan w:val="2"/>
            <w:vAlign w:val="center"/>
          </w:tcPr>
          <w:p w14:paraId="1E6A6B7F">
            <w:pPr>
              <w:spacing w:line="276" w:lineRule="auto"/>
              <w:jc w:val="center"/>
              <w:rPr>
                <w:rFonts w:ascii="宋体" w:hAnsi="宋体" w:cs="Calibri"/>
                <w:sz w:val="24"/>
                <w:highlight w:val="none"/>
              </w:rPr>
            </w:pPr>
          </w:p>
        </w:tc>
        <w:tc>
          <w:tcPr>
            <w:tcW w:w="1102" w:type="dxa"/>
            <w:vMerge w:val="continue"/>
            <w:vAlign w:val="center"/>
          </w:tcPr>
          <w:p w14:paraId="49782A75">
            <w:pPr>
              <w:spacing w:line="276" w:lineRule="auto"/>
              <w:jc w:val="center"/>
              <w:rPr>
                <w:rFonts w:ascii="宋体" w:hAnsi="宋体" w:cs="Calibri"/>
                <w:sz w:val="24"/>
                <w:highlight w:val="none"/>
              </w:rPr>
            </w:pPr>
          </w:p>
        </w:tc>
        <w:tc>
          <w:tcPr>
            <w:tcW w:w="1652" w:type="dxa"/>
            <w:vMerge w:val="continue"/>
            <w:vAlign w:val="center"/>
          </w:tcPr>
          <w:p w14:paraId="0E14CC59">
            <w:pPr>
              <w:tabs>
                <w:tab w:val="left" w:pos="690"/>
              </w:tabs>
              <w:spacing w:line="276" w:lineRule="auto"/>
              <w:jc w:val="center"/>
              <w:rPr>
                <w:rFonts w:ascii="宋体" w:hAnsi="宋体" w:cs="Calibri"/>
                <w:sz w:val="24"/>
                <w:highlight w:val="none"/>
              </w:rPr>
            </w:pPr>
          </w:p>
        </w:tc>
        <w:tc>
          <w:tcPr>
            <w:tcW w:w="2031" w:type="dxa"/>
            <w:vMerge w:val="continue"/>
            <w:vAlign w:val="center"/>
          </w:tcPr>
          <w:p w14:paraId="09FA1321">
            <w:pPr>
              <w:tabs>
                <w:tab w:val="left" w:pos="690"/>
              </w:tabs>
              <w:spacing w:line="276" w:lineRule="auto"/>
              <w:jc w:val="center"/>
              <w:rPr>
                <w:rFonts w:ascii="宋体" w:hAnsi="宋体" w:cs="Calibri"/>
                <w:sz w:val="24"/>
                <w:highlight w:val="none"/>
              </w:rPr>
            </w:pPr>
          </w:p>
        </w:tc>
      </w:tr>
      <w:tr w14:paraId="4389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48684F2">
            <w:pPr>
              <w:spacing w:line="276" w:lineRule="auto"/>
              <w:jc w:val="center"/>
              <w:rPr>
                <w:rFonts w:ascii="宋体" w:hAnsi="宋体" w:cs="Calibri"/>
                <w:sz w:val="24"/>
                <w:highlight w:val="none"/>
              </w:rPr>
            </w:pPr>
            <w:r>
              <w:rPr>
                <w:rFonts w:ascii="宋体" w:hAnsi="宋体" w:cs="Calibri"/>
                <w:sz w:val="24"/>
                <w:highlight w:val="none"/>
              </w:rPr>
              <w:t>注册资金</w:t>
            </w:r>
          </w:p>
        </w:tc>
        <w:tc>
          <w:tcPr>
            <w:tcW w:w="2064" w:type="dxa"/>
            <w:gridSpan w:val="2"/>
            <w:vAlign w:val="center"/>
          </w:tcPr>
          <w:p w14:paraId="58986176">
            <w:pPr>
              <w:spacing w:line="276" w:lineRule="auto"/>
              <w:jc w:val="center"/>
              <w:rPr>
                <w:rFonts w:ascii="宋体" w:hAnsi="宋体" w:cs="Calibri"/>
                <w:sz w:val="24"/>
                <w:highlight w:val="none"/>
              </w:rPr>
            </w:pPr>
          </w:p>
        </w:tc>
        <w:tc>
          <w:tcPr>
            <w:tcW w:w="1102" w:type="dxa"/>
            <w:vMerge w:val="continue"/>
            <w:vAlign w:val="center"/>
          </w:tcPr>
          <w:p w14:paraId="4B4694D5">
            <w:pPr>
              <w:spacing w:line="276" w:lineRule="auto"/>
              <w:jc w:val="center"/>
              <w:rPr>
                <w:rFonts w:ascii="宋体" w:hAnsi="宋体" w:cs="Calibri"/>
                <w:sz w:val="24"/>
                <w:highlight w:val="none"/>
              </w:rPr>
            </w:pPr>
          </w:p>
        </w:tc>
        <w:tc>
          <w:tcPr>
            <w:tcW w:w="1652" w:type="dxa"/>
            <w:vMerge w:val="restart"/>
            <w:vAlign w:val="center"/>
          </w:tcPr>
          <w:p w14:paraId="021389BF">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兼职教师</w:t>
            </w:r>
          </w:p>
        </w:tc>
        <w:tc>
          <w:tcPr>
            <w:tcW w:w="2031" w:type="dxa"/>
            <w:vMerge w:val="restart"/>
            <w:vAlign w:val="center"/>
          </w:tcPr>
          <w:p w14:paraId="41005BCE">
            <w:pPr>
              <w:tabs>
                <w:tab w:val="left" w:pos="690"/>
              </w:tabs>
              <w:spacing w:line="276" w:lineRule="auto"/>
              <w:jc w:val="center"/>
              <w:rPr>
                <w:rFonts w:ascii="宋体" w:hAnsi="宋体" w:cs="Calibri"/>
                <w:sz w:val="24"/>
                <w:highlight w:val="none"/>
              </w:rPr>
            </w:pPr>
          </w:p>
        </w:tc>
      </w:tr>
      <w:tr w14:paraId="51B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421A9A5">
            <w:pPr>
              <w:spacing w:line="276" w:lineRule="auto"/>
              <w:jc w:val="center"/>
              <w:rPr>
                <w:rFonts w:ascii="宋体" w:hAnsi="宋体" w:cs="Calibri"/>
                <w:sz w:val="24"/>
                <w:highlight w:val="none"/>
              </w:rPr>
            </w:pPr>
            <w:r>
              <w:rPr>
                <w:rFonts w:ascii="宋体" w:hAnsi="宋体" w:cs="Calibri"/>
                <w:sz w:val="24"/>
                <w:highlight w:val="none"/>
              </w:rPr>
              <w:t>开户银行</w:t>
            </w:r>
          </w:p>
        </w:tc>
        <w:tc>
          <w:tcPr>
            <w:tcW w:w="2064" w:type="dxa"/>
            <w:gridSpan w:val="2"/>
            <w:vAlign w:val="center"/>
          </w:tcPr>
          <w:p w14:paraId="2A6B2F2B">
            <w:pPr>
              <w:spacing w:line="276" w:lineRule="auto"/>
              <w:jc w:val="center"/>
              <w:rPr>
                <w:rFonts w:ascii="宋体" w:hAnsi="宋体" w:cs="Calibri"/>
                <w:sz w:val="24"/>
                <w:highlight w:val="none"/>
              </w:rPr>
            </w:pPr>
          </w:p>
        </w:tc>
        <w:tc>
          <w:tcPr>
            <w:tcW w:w="1102" w:type="dxa"/>
            <w:vMerge w:val="continue"/>
            <w:vAlign w:val="center"/>
          </w:tcPr>
          <w:p w14:paraId="6475CC4E">
            <w:pPr>
              <w:spacing w:line="276" w:lineRule="auto"/>
              <w:jc w:val="center"/>
              <w:rPr>
                <w:rFonts w:ascii="宋体" w:hAnsi="宋体" w:cs="Calibri"/>
                <w:sz w:val="24"/>
                <w:highlight w:val="none"/>
              </w:rPr>
            </w:pPr>
          </w:p>
        </w:tc>
        <w:tc>
          <w:tcPr>
            <w:tcW w:w="1652" w:type="dxa"/>
            <w:vMerge w:val="continue"/>
            <w:vAlign w:val="center"/>
          </w:tcPr>
          <w:p w14:paraId="3C6E152D">
            <w:pPr>
              <w:tabs>
                <w:tab w:val="left" w:pos="690"/>
              </w:tabs>
              <w:spacing w:line="276" w:lineRule="auto"/>
              <w:jc w:val="center"/>
              <w:rPr>
                <w:rFonts w:ascii="宋体" w:hAnsi="宋体" w:cs="Calibri"/>
                <w:sz w:val="24"/>
                <w:highlight w:val="none"/>
              </w:rPr>
            </w:pPr>
          </w:p>
        </w:tc>
        <w:tc>
          <w:tcPr>
            <w:tcW w:w="2031" w:type="dxa"/>
            <w:vMerge w:val="continue"/>
            <w:vAlign w:val="center"/>
          </w:tcPr>
          <w:p w14:paraId="01781D34">
            <w:pPr>
              <w:tabs>
                <w:tab w:val="left" w:pos="690"/>
              </w:tabs>
              <w:spacing w:line="276" w:lineRule="auto"/>
              <w:jc w:val="center"/>
              <w:rPr>
                <w:rFonts w:ascii="宋体" w:hAnsi="宋体" w:cs="Calibri"/>
                <w:sz w:val="24"/>
                <w:highlight w:val="none"/>
              </w:rPr>
            </w:pPr>
          </w:p>
        </w:tc>
      </w:tr>
      <w:tr w14:paraId="666B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027C25EE">
            <w:pPr>
              <w:spacing w:line="276" w:lineRule="auto"/>
              <w:jc w:val="center"/>
              <w:rPr>
                <w:rFonts w:ascii="宋体" w:hAnsi="宋体" w:cs="Calibri"/>
                <w:sz w:val="24"/>
                <w:highlight w:val="none"/>
              </w:rPr>
            </w:pPr>
            <w:r>
              <w:rPr>
                <w:rFonts w:ascii="宋体" w:hAnsi="宋体" w:cs="Calibri"/>
                <w:sz w:val="24"/>
                <w:highlight w:val="none"/>
              </w:rPr>
              <w:t>银行账号</w:t>
            </w:r>
          </w:p>
        </w:tc>
        <w:tc>
          <w:tcPr>
            <w:tcW w:w="2064" w:type="dxa"/>
            <w:gridSpan w:val="2"/>
            <w:vAlign w:val="center"/>
          </w:tcPr>
          <w:p w14:paraId="57AA8625">
            <w:pPr>
              <w:spacing w:line="276" w:lineRule="auto"/>
              <w:jc w:val="center"/>
              <w:rPr>
                <w:rFonts w:ascii="宋体" w:hAnsi="宋体" w:cs="Calibri"/>
                <w:sz w:val="24"/>
                <w:highlight w:val="none"/>
              </w:rPr>
            </w:pPr>
          </w:p>
        </w:tc>
        <w:tc>
          <w:tcPr>
            <w:tcW w:w="1102" w:type="dxa"/>
            <w:vMerge w:val="continue"/>
            <w:vAlign w:val="center"/>
          </w:tcPr>
          <w:p w14:paraId="631C1862">
            <w:pPr>
              <w:spacing w:line="276" w:lineRule="auto"/>
              <w:jc w:val="center"/>
              <w:rPr>
                <w:rFonts w:ascii="宋体" w:hAnsi="宋体" w:cs="Calibri"/>
                <w:sz w:val="24"/>
                <w:highlight w:val="none"/>
              </w:rPr>
            </w:pPr>
          </w:p>
        </w:tc>
        <w:tc>
          <w:tcPr>
            <w:tcW w:w="1652" w:type="dxa"/>
            <w:vMerge w:val="continue"/>
            <w:vAlign w:val="center"/>
          </w:tcPr>
          <w:p w14:paraId="4D9F8074">
            <w:pPr>
              <w:tabs>
                <w:tab w:val="left" w:pos="690"/>
              </w:tabs>
              <w:spacing w:line="276" w:lineRule="auto"/>
              <w:jc w:val="center"/>
              <w:rPr>
                <w:rFonts w:ascii="宋体" w:hAnsi="宋体" w:cs="Calibri"/>
                <w:sz w:val="24"/>
                <w:highlight w:val="none"/>
              </w:rPr>
            </w:pPr>
          </w:p>
        </w:tc>
        <w:tc>
          <w:tcPr>
            <w:tcW w:w="2031" w:type="dxa"/>
            <w:vMerge w:val="continue"/>
            <w:vAlign w:val="center"/>
          </w:tcPr>
          <w:p w14:paraId="5F678EF9">
            <w:pPr>
              <w:tabs>
                <w:tab w:val="left" w:pos="690"/>
              </w:tabs>
              <w:spacing w:line="276" w:lineRule="auto"/>
              <w:jc w:val="center"/>
              <w:rPr>
                <w:rFonts w:ascii="宋体" w:hAnsi="宋体" w:cs="Calibri"/>
                <w:sz w:val="24"/>
                <w:highlight w:val="none"/>
              </w:rPr>
            </w:pPr>
          </w:p>
        </w:tc>
      </w:tr>
      <w:tr w14:paraId="5A11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trPr>
        <w:tc>
          <w:tcPr>
            <w:tcW w:w="9019" w:type="dxa"/>
            <w:gridSpan w:val="6"/>
            <w:vAlign w:val="center"/>
          </w:tcPr>
          <w:p w14:paraId="2447DEF7">
            <w:pPr>
              <w:tabs>
                <w:tab w:val="left" w:pos="690"/>
              </w:tabs>
              <w:spacing w:line="276" w:lineRule="auto"/>
              <w:jc w:val="left"/>
              <w:rPr>
                <w:sz w:val="24"/>
                <w:szCs w:val="22"/>
                <w:highlight w:val="none"/>
              </w:rPr>
            </w:pPr>
            <w:r>
              <w:rPr>
                <w:sz w:val="24"/>
                <w:szCs w:val="22"/>
                <w:highlight w:val="none"/>
              </w:rPr>
              <w:t>经营范围</w:t>
            </w:r>
            <w:r>
              <w:rPr>
                <w:rFonts w:hint="eastAsia"/>
                <w:sz w:val="24"/>
                <w:szCs w:val="22"/>
                <w:highlight w:val="none"/>
              </w:rPr>
              <w:t>：</w:t>
            </w:r>
          </w:p>
          <w:p w14:paraId="1206C20D">
            <w:pPr>
              <w:pStyle w:val="2"/>
              <w:rPr>
                <w:highlight w:val="none"/>
              </w:rPr>
            </w:pPr>
          </w:p>
          <w:p w14:paraId="03F6F2F9">
            <w:pPr>
              <w:rPr>
                <w:highlight w:val="none"/>
              </w:rPr>
            </w:pPr>
          </w:p>
          <w:p w14:paraId="40507765">
            <w:pPr>
              <w:pStyle w:val="2"/>
              <w:rPr>
                <w:highlight w:val="none"/>
              </w:rPr>
            </w:pPr>
          </w:p>
        </w:tc>
      </w:tr>
    </w:tbl>
    <w:p w14:paraId="627F1A0C">
      <w:pPr>
        <w:pStyle w:val="7"/>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投标人：（盖章）</w:t>
      </w:r>
    </w:p>
    <w:p w14:paraId="3CB6900D">
      <w:pPr>
        <w:spacing w:line="660" w:lineRule="exact"/>
        <w:rPr>
          <w:rFonts w:ascii="宋体" w:hAnsi="宋体" w:cs="宋体"/>
          <w:sz w:val="24"/>
          <w:szCs w:val="24"/>
          <w:highlight w:val="none"/>
        </w:rPr>
      </w:pPr>
      <w:r>
        <w:rPr>
          <w:rFonts w:hint="eastAsia" w:ascii="宋体" w:hAnsi="宋体" w:cs="宋体"/>
          <w:sz w:val="24"/>
          <w:szCs w:val="24"/>
          <w:highlight w:val="none"/>
        </w:rPr>
        <w:t>法定代表人（委托代理人）：（签字）</w:t>
      </w:r>
    </w:p>
    <w:p w14:paraId="3558D571">
      <w:pPr>
        <w:pStyle w:val="7"/>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日期：    年    月   日</w:t>
      </w:r>
    </w:p>
    <w:p w14:paraId="341E9D2A">
      <w:pPr>
        <w:rPr>
          <w:rFonts w:ascii="宋体" w:hAnsi="宋体" w:cs="宋体"/>
          <w:sz w:val="24"/>
          <w:szCs w:val="24"/>
          <w:highlight w:val="none"/>
        </w:rPr>
      </w:pPr>
    </w:p>
    <w:p w14:paraId="291B5DEF">
      <w:pPr>
        <w:pStyle w:val="13"/>
        <w:rPr>
          <w:rFonts w:ascii="宋体" w:hAnsi="宋体" w:cs="宋体"/>
          <w:sz w:val="24"/>
          <w:szCs w:val="24"/>
          <w:highlight w:val="none"/>
        </w:rPr>
      </w:pPr>
    </w:p>
    <w:p w14:paraId="50B782F3">
      <w:pPr>
        <w:pStyle w:val="13"/>
        <w:rPr>
          <w:rFonts w:ascii="宋体" w:hAnsi="宋体" w:cs="宋体"/>
          <w:sz w:val="24"/>
          <w:szCs w:val="24"/>
          <w:highlight w:val="none"/>
        </w:rPr>
        <w:sectPr>
          <w:footerReference r:id="rId6" w:type="first"/>
          <w:footerReference r:id="rId5" w:type="default"/>
          <w:pgSz w:w="11906" w:h="16838"/>
          <w:pgMar w:top="1588" w:right="1418" w:bottom="1134" w:left="1418" w:header="851" w:footer="992" w:gutter="0"/>
          <w:pgNumType w:fmt="decimal" w:start="1"/>
          <w:cols w:space="720" w:num="1"/>
          <w:titlePg/>
          <w:docGrid w:type="lines" w:linePitch="312" w:charSpace="0"/>
        </w:sectPr>
      </w:pPr>
    </w:p>
    <w:p w14:paraId="648C3E0E">
      <w:pPr>
        <w:rPr>
          <w:rFonts w:ascii="宋体" w:hAnsi="宋体" w:cs="宋体"/>
          <w:sz w:val="24"/>
          <w:szCs w:val="24"/>
          <w:highlight w:val="none"/>
        </w:rPr>
      </w:pPr>
      <w:bookmarkStart w:id="24" w:name="_Toc32286"/>
      <w:r>
        <w:rPr>
          <w:rFonts w:hint="eastAsia" w:ascii="宋体" w:hAnsi="宋体" w:cs="宋体"/>
          <w:sz w:val="24"/>
          <w:szCs w:val="24"/>
          <w:highlight w:val="none"/>
        </w:rPr>
        <w:t>附件3</w:t>
      </w:r>
      <w:bookmarkEnd w:id="24"/>
    </w:p>
    <w:p w14:paraId="654FEEC9">
      <w:pPr>
        <w:rPr>
          <w:rFonts w:eastAsia="黑体"/>
          <w:b/>
          <w:bCs/>
          <w:sz w:val="28"/>
          <w:highlight w:val="none"/>
        </w:rPr>
      </w:pPr>
      <w:r>
        <w:rPr>
          <w:rFonts w:hint="eastAsia" w:eastAsia="黑体"/>
          <w:b/>
          <w:bCs/>
          <w:sz w:val="28"/>
          <w:highlight w:val="none"/>
        </w:rPr>
        <w:t>《开标一览表》单独</w:t>
      </w:r>
      <w:r>
        <w:rPr>
          <w:rFonts w:hint="eastAsia" w:eastAsia="黑体"/>
          <w:b/>
          <w:bCs/>
          <w:sz w:val="28"/>
          <w:highlight w:val="none"/>
          <w:lang w:val="en-US" w:eastAsia="zh-CN"/>
        </w:rPr>
        <w:t>准备</w:t>
      </w:r>
      <w:r>
        <w:rPr>
          <w:rFonts w:hint="eastAsia" w:eastAsia="黑体"/>
          <w:b/>
          <w:bCs/>
          <w:sz w:val="28"/>
          <w:highlight w:val="none"/>
        </w:rPr>
        <w:t>，以备唱标使用</w:t>
      </w:r>
    </w:p>
    <w:p w14:paraId="0CD97C10">
      <w:pPr>
        <w:jc w:val="center"/>
        <w:rPr>
          <w:rFonts w:ascii="黑体" w:eastAsia="黑体"/>
          <w:sz w:val="30"/>
          <w:highlight w:val="none"/>
        </w:rPr>
      </w:pPr>
      <w:r>
        <w:rPr>
          <w:rFonts w:hint="eastAsia" w:ascii="黑体" w:eastAsia="黑体"/>
          <w:sz w:val="30"/>
          <w:highlight w:val="none"/>
        </w:rPr>
        <w:t>开标一览表</w:t>
      </w:r>
    </w:p>
    <w:tbl>
      <w:tblPr>
        <w:tblStyle w:val="20"/>
        <w:tblpPr w:leftFromText="180" w:rightFromText="180" w:vertAnchor="text" w:horzAnchor="page" w:tblpX="1439" w:tblpY="99"/>
        <w:tblOverlap w:val="never"/>
        <w:tblW w:w="138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3365"/>
        <w:gridCol w:w="2009"/>
        <w:gridCol w:w="2251"/>
        <w:gridCol w:w="1677"/>
        <w:gridCol w:w="17"/>
        <w:gridCol w:w="2187"/>
        <w:gridCol w:w="1191"/>
      </w:tblGrid>
      <w:tr w14:paraId="7339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011D09F3">
            <w:pPr>
              <w:jc w:val="center"/>
              <w:rPr>
                <w:rFonts w:ascii="宋体" w:hAnsi="宋体"/>
                <w:sz w:val="24"/>
                <w:highlight w:val="none"/>
              </w:rPr>
            </w:pPr>
            <w:r>
              <w:rPr>
                <w:rFonts w:hint="eastAsia" w:ascii="黑体" w:hAnsi="黑体" w:eastAsia="黑体" w:cs="宋体"/>
                <w:color w:val="000000"/>
                <w:kern w:val="0"/>
                <w:sz w:val="24"/>
                <w:highlight w:val="none"/>
              </w:rPr>
              <w:t>序号</w:t>
            </w:r>
          </w:p>
        </w:tc>
        <w:tc>
          <w:tcPr>
            <w:tcW w:w="3365" w:type="dxa"/>
            <w:vAlign w:val="center"/>
          </w:tcPr>
          <w:p w14:paraId="1613A0E1">
            <w:pPr>
              <w:jc w:val="center"/>
              <w:rPr>
                <w:rFonts w:hint="default" w:ascii="黑体" w:hAnsi="黑体" w:eastAsia="黑体" w:cs="宋体"/>
                <w:color w:val="000000"/>
                <w:kern w:val="0"/>
                <w:sz w:val="24"/>
                <w:highlight w:val="none"/>
                <w:lang w:val="en-US" w:eastAsia="zh-CN"/>
              </w:rPr>
            </w:pPr>
            <w:r>
              <w:rPr>
                <w:rFonts w:hint="eastAsia" w:ascii="黑体" w:hAnsi="黑体" w:eastAsia="黑体" w:cs="宋体"/>
                <w:color w:val="000000"/>
                <w:kern w:val="0"/>
                <w:sz w:val="24"/>
                <w:highlight w:val="none"/>
                <w:lang w:val="en-US" w:eastAsia="zh-CN"/>
              </w:rPr>
              <w:t>物资/服务/...名称</w:t>
            </w:r>
          </w:p>
        </w:tc>
        <w:tc>
          <w:tcPr>
            <w:tcW w:w="2009" w:type="dxa"/>
            <w:vAlign w:val="center"/>
          </w:tcPr>
          <w:p w14:paraId="11A7015F">
            <w:pPr>
              <w:jc w:val="center"/>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未税</w:t>
            </w:r>
            <w:r>
              <w:rPr>
                <w:rFonts w:hint="eastAsia" w:ascii="黑体" w:hAnsi="黑体" w:eastAsia="黑体" w:cs="黑体"/>
                <w:sz w:val="24"/>
                <w:szCs w:val="24"/>
                <w:highlight w:val="none"/>
              </w:rPr>
              <w:t>单价</w:t>
            </w:r>
            <w:r>
              <w:rPr>
                <w:rFonts w:hint="eastAsia" w:ascii="黑体" w:hAnsi="黑体" w:eastAsia="黑体" w:cs="黑体"/>
                <w:sz w:val="24"/>
                <w:szCs w:val="24"/>
                <w:highlight w:val="none"/>
                <w:lang w:eastAsia="zh-CN"/>
              </w:rPr>
              <w:t>（</w:t>
            </w:r>
            <w:r>
              <w:rPr>
                <w:rFonts w:hint="eastAsia" w:ascii="黑体" w:hAnsi="黑体" w:eastAsia="黑体" w:cs="黑体"/>
                <w:sz w:val="24"/>
                <w:szCs w:val="24"/>
                <w:highlight w:val="none"/>
                <w:lang w:val="en-US" w:eastAsia="zh-CN"/>
              </w:rPr>
              <w:t>元</w:t>
            </w:r>
            <w:r>
              <w:rPr>
                <w:rFonts w:hint="eastAsia" w:ascii="黑体" w:hAnsi="黑体" w:eastAsia="黑体" w:cs="黑体"/>
                <w:sz w:val="24"/>
                <w:szCs w:val="24"/>
                <w:highlight w:val="none"/>
                <w:lang w:eastAsia="zh-CN"/>
              </w:rPr>
              <w:t>）</w:t>
            </w:r>
          </w:p>
        </w:tc>
        <w:tc>
          <w:tcPr>
            <w:tcW w:w="2251" w:type="dxa"/>
            <w:vAlign w:val="center"/>
          </w:tcPr>
          <w:p w14:paraId="53CE2427">
            <w:pPr>
              <w:jc w:val="center"/>
              <w:rPr>
                <w:rFonts w:hint="eastAsia" w:ascii="黑体" w:hAnsi="黑体" w:eastAsia="黑体" w:cs="黑体"/>
                <w:kern w:val="2"/>
                <w:sz w:val="24"/>
                <w:szCs w:val="24"/>
                <w:highlight w:val="none"/>
                <w:lang w:val="en-US" w:eastAsia="zh-CN"/>
              </w:rPr>
            </w:pPr>
            <w:r>
              <w:rPr>
                <w:rFonts w:hint="eastAsia" w:ascii="黑体" w:hAnsi="黑体" w:eastAsia="黑体" w:cs="黑体"/>
                <w:kern w:val="2"/>
                <w:sz w:val="24"/>
                <w:szCs w:val="24"/>
                <w:highlight w:val="none"/>
                <w:lang w:val="en-US" w:eastAsia="zh-CN"/>
              </w:rPr>
              <w:t>计量单位</w:t>
            </w:r>
          </w:p>
        </w:tc>
        <w:tc>
          <w:tcPr>
            <w:tcW w:w="1677" w:type="dxa"/>
            <w:vAlign w:val="center"/>
          </w:tcPr>
          <w:p w14:paraId="03586446">
            <w:pPr>
              <w:jc w:val="center"/>
              <w:rPr>
                <w:rFonts w:hint="eastAsia" w:ascii="Times New Roman" w:hAnsi="Times New Roman" w:eastAsia="黑体" w:cs="Times New Roman"/>
                <w:color w:val="000000"/>
                <w:kern w:val="2"/>
                <w:sz w:val="21"/>
                <w:highlight w:val="none"/>
              </w:rPr>
            </w:pPr>
            <w:r>
              <w:rPr>
                <w:rFonts w:hint="default" w:ascii="黑体" w:hAnsi="黑体" w:eastAsia="黑体" w:cs="黑体"/>
                <w:color w:val="000000"/>
                <w:kern w:val="2"/>
                <w:sz w:val="24"/>
                <w:szCs w:val="24"/>
                <w:highlight w:val="none"/>
              </w:rPr>
              <w:t>数量</w:t>
            </w:r>
          </w:p>
        </w:tc>
        <w:tc>
          <w:tcPr>
            <w:tcW w:w="2204" w:type="dxa"/>
            <w:gridSpan w:val="2"/>
            <w:vAlign w:val="center"/>
          </w:tcPr>
          <w:p w14:paraId="7378F7E3">
            <w:pPr>
              <w:jc w:val="center"/>
              <w:rPr>
                <w:rFonts w:hint="eastAsia" w:ascii="黑体" w:hAnsi="黑体" w:eastAsia="黑体" w:cs="黑体"/>
                <w:sz w:val="24"/>
                <w:szCs w:val="24"/>
                <w:highlight w:val="none"/>
              </w:rPr>
            </w:pPr>
            <w:r>
              <w:rPr>
                <w:rFonts w:hint="eastAsia" w:ascii="黑体" w:hAnsi="黑体" w:eastAsia="黑体" w:cs="黑体"/>
                <w:sz w:val="24"/>
                <w:szCs w:val="24"/>
                <w:highlight w:val="none"/>
                <w:lang w:val="en-US" w:eastAsia="zh-CN"/>
              </w:rPr>
              <w:t>未税</w:t>
            </w:r>
            <w:r>
              <w:rPr>
                <w:rFonts w:hint="eastAsia" w:ascii="黑体" w:hAnsi="黑体" w:eastAsia="黑体" w:cs="黑体"/>
                <w:sz w:val="24"/>
                <w:szCs w:val="24"/>
                <w:highlight w:val="none"/>
              </w:rPr>
              <w:t>总价</w:t>
            </w:r>
            <w:r>
              <w:rPr>
                <w:rFonts w:hint="eastAsia" w:ascii="黑体" w:hAnsi="黑体" w:eastAsia="黑体" w:cs="黑体"/>
                <w:sz w:val="24"/>
                <w:szCs w:val="24"/>
                <w:highlight w:val="none"/>
                <w:lang w:eastAsia="zh-CN"/>
              </w:rPr>
              <w:t>（</w:t>
            </w:r>
            <w:r>
              <w:rPr>
                <w:rFonts w:hint="eastAsia" w:ascii="黑体" w:hAnsi="黑体" w:eastAsia="黑体" w:cs="黑体"/>
                <w:sz w:val="24"/>
                <w:szCs w:val="24"/>
                <w:highlight w:val="none"/>
                <w:lang w:val="en-US" w:eastAsia="zh-CN"/>
              </w:rPr>
              <w:t>元</w:t>
            </w:r>
            <w:r>
              <w:rPr>
                <w:rFonts w:hint="eastAsia" w:ascii="黑体" w:hAnsi="黑体" w:eastAsia="黑体" w:cs="黑体"/>
                <w:sz w:val="24"/>
                <w:szCs w:val="24"/>
                <w:highlight w:val="none"/>
                <w:lang w:eastAsia="zh-CN"/>
              </w:rPr>
              <w:t>）</w:t>
            </w:r>
          </w:p>
        </w:tc>
        <w:tc>
          <w:tcPr>
            <w:tcW w:w="1191" w:type="dxa"/>
            <w:vAlign w:val="center"/>
          </w:tcPr>
          <w:p w14:paraId="40612EC6">
            <w:pPr>
              <w:jc w:val="center"/>
              <w:rPr>
                <w:rFonts w:ascii="黑体" w:hAnsi="黑体" w:eastAsia="黑体" w:cs="宋体"/>
                <w:color w:val="000000"/>
                <w:kern w:val="0"/>
                <w:sz w:val="24"/>
                <w:highlight w:val="none"/>
              </w:rPr>
            </w:pPr>
            <w:r>
              <w:rPr>
                <w:rFonts w:hint="eastAsia" w:ascii="黑体" w:hAnsi="黑体" w:eastAsia="黑体" w:cs="宋体"/>
                <w:color w:val="000000"/>
                <w:kern w:val="0"/>
                <w:sz w:val="24"/>
                <w:highlight w:val="none"/>
                <w:lang w:val="en-US" w:eastAsia="zh-CN"/>
              </w:rPr>
              <w:t>备注</w:t>
            </w:r>
          </w:p>
        </w:tc>
      </w:tr>
      <w:tr w14:paraId="4FD4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1A47B67E">
            <w:pPr>
              <w:jc w:val="center"/>
              <w:rPr>
                <w:rFonts w:hint="eastAsia" w:ascii="宋体" w:hAnsi="宋体" w:eastAsia="宋体" w:cs="Times New Roman"/>
                <w:color w:val="FF0000"/>
                <w:kern w:val="2"/>
                <w:sz w:val="24"/>
                <w:highlight w:val="none"/>
                <w:lang w:val="en-US" w:eastAsia="zh-CN"/>
              </w:rPr>
            </w:pPr>
            <w:r>
              <w:rPr>
                <w:rFonts w:hint="eastAsia" w:ascii="宋体" w:hAnsi="宋体" w:eastAsia="宋体" w:cs="Times New Roman"/>
                <w:color w:val="FF0000"/>
                <w:kern w:val="2"/>
                <w:sz w:val="24"/>
                <w:highlight w:val="none"/>
                <w:lang w:val="en-US" w:eastAsia="zh-CN"/>
              </w:rPr>
              <w:t>填写</w:t>
            </w:r>
          </w:p>
          <w:p w14:paraId="5A511EE1">
            <w:pPr>
              <w:jc w:val="center"/>
              <w:rPr>
                <w:rFonts w:hint="default" w:ascii="宋体" w:hAnsi="宋体" w:eastAsia="宋体" w:cs="Times New Roman"/>
                <w:color w:val="FF0000"/>
                <w:kern w:val="2"/>
                <w:sz w:val="24"/>
                <w:highlight w:val="none"/>
                <w:lang w:val="en-US" w:eastAsia="zh-CN"/>
              </w:rPr>
            </w:pPr>
            <w:r>
              <w:rPr>
                <w:rFonts w:hint="eastAsia" w:ascii="宋体" w:hAnsi="宋体" w:eastAsia="宋体" w:cs="Times New Roman"/>
                <w:color w:val="FF0000"/>
                <w:kern w:val="2"/>
                <w:sz w:val="24"/>
                <w:highlight w:val="none"/>
                <w:lang w:val="en-US" w:eastAsia="zh-CN"/>
              </w:rPr>
              <w:t>示例</w:t>
            </w:r>
          </w:p>
        </w:tc>
        <w:tc>
          <w:tcPr>
            <w:tcW w:w="3365" w:type="dxa"/>
            <w:vAlign w:val="center"/>
          </w:tcPr>
          <w:p w14:paraId="0E7F2A17">
            <w:pPr>
              <w:jc w:val="center"/>
              <w:rPr>
                <w:rFonts w:hint="eastAsia" w:ascii="宋体" w:hAnsi="宋体" w:eastAsia="宋体"/>
                <w:color w:val="FF0000"/>
                <w:sz w:val="24"/>
                <w:highlight w:val="none"/>
                <w:lang w:val="en-US" w:eastAsia="zh-CN"/>
              </w:rPr>
            </w:pPr>
            <w:r>
              <w:rPr>
                <w:rFonts w:hint="eastAsia" w:ascii="宋体" w:hAnsi="宋体"/>
                <w:color w:val="FF0000"/>
                <w:sz w:val="24"/>
                <w:highlight w:val="none"/>
                <w:lang w:val="en-US" w:eastAsia="zh-CN"/>
              </w:rPr>
              <w:t>XXX课程</w:t>
            </w:r>
          </w:p>
        </w:tc>
        <w:tc>
          <w:tcPr>
            <w:tcW w:w="2009" w:type="dxa"/>
            <w:vAlign w:val="center"/>
          </w:tcPr>
          <w:p w14:paraId="106375E9">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w:t>
            </w:r>
          </w:p>
        </w:tc>
        <w:tc>
          <w:tcPr>
            <w:tcW w:w="2251" w:type="dxa"/>
            <w:vAlign w:val="center"/>
          </w:tcPr>
          <w:p w14:paraId="2FF0DCBA">
            <w:pPr>
              <w:jc w:val="center"/>
              <w:rPr>
                <w:rFonts w:hint="default" w:ascii="宋体" w:hAnsi="宋体"/>
                <w:color w:val="FF0000"/>
                <w:sz w:val="24"/>
                <w:highlight w:val="none"/>
                <w:lang w:val="en-US" w:eastAsia="zh-CN"/>
              </w:rPr>
            </w:pPr>
            <w:r>
              <w:rPr>
                <w:rFonts w:hint="eastAsia" w:ascii="宋体" w:hAnsi="宋体"/>
                <w:color w:val="FF0000"/>
                <w:sz w:val="24"/>
                <w:highlight w:val="none"/>
                <w:lang w:val="en-US" w:eastAsia="zh-CN"/>
              </w:rPr>
              <w:t>元/课时</w:t>
            </w:r>
          </w:p>
        </w:tc>
        <w:tc>
          <w:tcPr>
            <w:tcW w:w="1677" w:type="dxa"/>
            <w:vAlign w:val="center"/>
          </w:tcPr>
          <w:p w14:paraId="5E898DD6">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w:t>
            </w:r>
          </w:p>
        </w:tc>
        <w:tc>
          <w:tcPr>
            <w:tcW w:w="2204" w:type="dxa"/>
            <w:gridSpan w:val="2"/>
            <w:vAlign w:val="center"/>
          </w:tcPr>
          <w:p w14:paraId="25E936A7">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XXXXX元</w:t>
            </w:r>
          </w:p>
        </w:tc>
        <w:tc>
          <w:tcPr>
            <w:tcW w:w="1191" w:type="dxa"/>
            <w:vAlign w:val="center"/>
          </w:tcPr>
          <w:p w14:paraId="2290354D">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税率6%</w:t>
            </w:r>
          </w:p>
        </w:tc>
      </w:tr>
      <w:tr w14:paraId="2CEB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608CED20">
            <w:pPr>
              <w:jc w:val="center"/>
              <w:rPr>
                <w:rFonts w:ascii="黑体" w:hAnsi="黑体" w:eastAsia="黑体" w:cs="宋体"/>
                <w:color w:val="000000"/>
                <w:kern w:val="0"/>
                <w:sz w:val="24"/>
                <w:highlight w:val="none"/>
              </w:rPr>
            </w:pPr>
          </w:p>
        </w:tc>
        <w:tc>
          <w:tcPr>
            <w:tcW w:w="3365" w:type="dxa"/>
            <w:vAlign w:val="center"/>
          </w:tcPr>
          <w:p w14:paraId="60E3888E">
            <w:pPr>
              <w:rPr>
                <w:rFonts w:ascii="宋体" w:hAnsi="宋体"/>
                <w:sz w:val="24"/>
                <w:highlight w:val="none"/>
              </w:rPr>
            </w:pPr>
          </w:p>
        </w:tc>
        <w:tc>
          <w:tcPr>
            <w:tcW w:w="2009" w:type="dxa"/>
            <w:vAlign w:val="center"/>
          </w:tcPr>
          <w:p w14:paraId="0B36D064">
            <w:pPr>
              <w:rPr>
                <w:rFonts w:ascii="宋体" w:hAnsi="宋体"/>
                <w:sz w:val="24"/>
                <w:highlight w:val="none"/>
              </w:rPr>
            </w:pPr>
          </w:p>
        </w:tc>
        <w:tc>
          <w:tcPr>
            <w:tcW w:w="2251" w:type="dxa"/>
            <w:vAlign w:val="center"/>
          </w:tcPr>
          <w:p w14:paraId="1DBF349D">
            <w:pPr>
              <w:rPr>
                <w:rFonts w:ascii="宋体" w:hAnsi="宋体"/>
                <w:sz w:val="24"/>
                <w:highlight w:val="none"/>
              </w:rPr>
            </w:pPr>
          </w:p>
        </w:tc>
        <w:tc>
          <w:tcPr>
            <w:tcW w:w="1677" w:type="dxa"/>
            <w:vAlign w:val="center"/>
          </w:tcPr>
          <w:p w14:paraId="4CFE1546">
            <w:pPr>
              <w:rPr>
                <w:rFonts w:ascii="宋体" w:hAnsi="宋体"/>
                <w:sz w:val="24"/>
                <w:highlight w:val="none"/>
              </w:rPr>
            </w:pPr>
          </w:p>
        </w:tc>
        <w:tc>
          <w:tcPr>
            <w:tcW w:w="2204" w:type="dxa"/>
            <w:gridSpan w:val="2"/>
            <w:vAlign w:val="center"/>
          </w:tcPr>
          <w:p w14:paraId="4490CE76">
            <w:pPr>
              <w:rPr>
                <w:rFonts w:ascii="宋体" w:hAnsi="宋体"/>
                <w:sz w:val="24"/>
                <w:highlight w:val="none"/>
              </w:rPr>
            </w:pPr>
          </w:p>
        </w:tc>
        <w:tc>
          <w:tcPr>
            <w:tcW w:w="1191" w:type="dxa"/>
            <w:vAlign w:val="center"/>
          </w:tcPr>
          <w:p w14:paraId="748A4E37">
            <w:pPr>
              <w:rPr>
                <w:rFonts w:ascii="宋体" w:hAnsi="宋体"/>
                <w:sz w:val="24"/>
                <w:highlight w:val="none"/>
              </w:rPr>
            </w:pPr>
          </w:p>
        </w:tc>
      </w:tr>
      <w:tr w14:paraId="752E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34DEE990">
            <w:pPr>
              <w:rPr>
                <w:rFonts w:ascii="宋体" w:hAnsi="宋体"/>
                <w:sz w:val="24"/>
                <w:highlight w:val="none"/>
              </w:rPr>
            </w:pPr>
          </w:p>
        </w:tc>
        <w:tc>
          <w:tcPr>
            <w:tcW w:w="3365" w:type="dxa"/>
            <w:vAlign w:val="center"/>
          </w:tcPr>
          <w:p w14:paraId="4D3499B1">
            <w:pPr>
              <w:rPr>
                <w:rFonts w:ascii="宋体" w:hAnsi="宋体"/>
                <w:sz w:val="24"/>
                <w:highlight w:val="none"/>
              </w:rPr>
            </w:pPr>
          </w:p>
        </w:tc>
        <w:tc>
          <w:tcPr>
            <w:tcW w:w="2009" w:type="dxa"/>
            <w:vAlign w:val="center"/>
          </w:tcPr>
          <w:p w14:paraId="3915E95F">
            <w:pPr>
              <w:rPr>
                <w:rFonts w:ascii="宋体" w:hAnsi="宋体"/>
                <w:sz w:val="24"/>
                <w:highlight w:val="none"/>
              </w:rPr>
            </w:pPr>
          </w:p>
        </w:tc>
        <w:tc>
          <w:tcPr>
            <w:tcW w:w="2251" w:type="dxa"/>
            <w:vAlign w:val="center"/>
          </w:tcPr>
          <w:p w14:paraId="48B9ACB8">
            <w:pPr>
              <w:rPr>
                <w:rFonts w:ascii="宋体" w:hAnsi="宋体"/>
                <w:sz w:val="24"/>
                <w:highlight w:val="none"/>
              </w:rPr>
            </w:pPr>
          </w:p>
        </w:tc>
        <w:tc>
          <w:tcPr>
            <w:tcW w:w="1677" w:type="dxa"/>
            <w:vAlign w:val="center"/>
          </w:tcPr>
          <w:p w14:paraId="0727F258">
            <w:pPr>
              <w:rPr>
                <w:rFonts w:ascii="宋体" w:hAnsi="宋体"/>
                <w:sz w:val="24"/>
                <w:highlight w:val="none"/>
              </w:rPr>
            </w:pPr>
          </w:p>
        </w:tc>
        <w:tc>
          <w:tcPr>
            <w:tcW w:w="2204" w:type="dxa"/>
            <w:gridSpan w:val="2"/>
            <w:vAlign w:val="center"/>
          </w:tcPr>
          <w:p w14:paraId="0FEDFA6E">
            <w:pPr>
              <w:rPr>
                <w:rFonts w:ascii="宋体" w:hAnsi="宋体"/>
                <w:sz w:val="24"/>
                <w:highlight w:val="none"/>
              </w:rPr>
            </w:pPr>
          </w:p>
        </w:tc>
        <w:tc>
          <w:tcPr>
            <w:tcW w:w="1191" w:type="dxa"/>
            <w:vAlign w:val="center"/>
          </w:tcPr>
          <w:p w14:paraId="757651B2">
            <w:pPr>
              <w:rPr>
                <w:rFonts w:ascii="宋体" w:hAnsi="宋体"/>
                <w:sz w:val="24"/>
                <w:highlight w:val="none"/>
              </w:rPr>
            </w:pPr>
          </w:p>
        </w:tc>
      </w:tr>
      <w:tr w14:paraId="4DFC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bottom w:val="single" w:color="auto" w:sz="4" w:space="0"/>
            </w:tcBorders>
            <w:vAlign w:val="center"/>
          </w:tcPr>
          <w:p w14:paraId="1AF9CEEF">
            <w:pPr>
              <w:rPr>
                <w:rFonts w:ascii="宋体" w:hAnsi="宋体"/>
                <w:sz w:val="24"/>
                <w:highlight w:val="none"/>
              </w:rPr>
            </w:pPr>
          </w:p>
        </w:tc>
        <w:tc>
          <w:tcPr>
            <w:tcW w:w="3365" w:type="dxa"/>
            <w:tcBorders>
              <w:bottom w:val="single" w:color="auto" w:sz="4" w:space="0"/>
            </w:tcBorders>
            <w:vAlign w:val="center"/>
          </w:tcPr>
          <w:p w14:paraId="5A9492EC">
            <w:pPr>
              <w:rPr>
                <w:rFonts w:ascii="宋体" w:hAnsi="宋体"/>
                <w:sz w:val="24"/>
                <w:highlight w:val="none"/>
              </w:rPr>
            </w:pPr>
          </w:p>
        </w:tc>
        <w:tc>
          <w:tcPr>
            <w:tcW w:w="2009" w:type="dxa"/>
            <w:tcBorders>
              <w:bottom w:val="single" w:color="auto" w:sz="4" w:space="0"/>
            </w:tcBorders>
            <w:vAlign w:val="center"/>
          </w:tcPr>
          <w:p w14:paraId="1ABDF3DA">
            <w:pPr>
              <w:rPr>
                <w:rFonts w:ascii="宋体" w:hAnsi="宋体"/>
                <w:sz w:val="24"/>
                <w:highlight w:val="none"/>
              </w:rPr>
            </w:pPr>
          </w:p>
        </w:tc>
        <w:tc>
          <w:tcPr>
            <w:tcW w:w="2251" w:type="dxa"/>
            <w:tcBorders>
              <w:bottom w:val="single" w:color="auto" w:sz="4" w:space="0"/>
            </w:tcBorders>
            <w:vAlign w:val="center"/>
          </w:tcPr>
          <w:p w14:paraId="0E7CCD55">
            <w:pPr>
              <w:rPr>
                <w:rFonts w:ascii="宋体" w:hAnsi="宋体"/>
                <w:sz w:val="24"/>
                <w:highlight w:val="none"/>
              </w:rPr>
            </w:pPr>
          </w:p>
        </w:tc>
        <w:tc>
          <w:tcPr>
            <w:tcW w:w="1677" w:type="dxa"/>
            <w:tcBorders>
              <w:bottom w:val="single" w:color="auto" w:sz="4" w:space="0"/>
            </w:tcBorders>
            <w:vAlign w:val="center"/>
          </w:tcPr>
          <w:p w14:paraId="1C7699C9">
            <w:pPr>
              <w:rPr>
                <w:rFonts w:ascii="宋体" w:hAnsi="宋体"/>
                <w:sz w:val="24"/>
                <w:highlight w:val="none"/>
              </w:rPr>
            </w:pPr>
          </w:p>
        </w:tc>
        <w:tc>
          <w:tcPr>
            <w:tcW w:w="2204" w:type="dxa"/>
            <w:gridSpan w:val="2"/>
            <w:tcBorders>
              <w:bottom w:val="single" w:color="auto" w:sz="4" w:space="0"/>
            </w:tcBorders>
            <w:vAlign w:val="center"/>
          </w:tcPr>
          <w:p w14:paraId="58AAFB30">
            <w:pPr>
              <w:rPr>
                <w:rFonts w:ascii="宋体" w:hAnsi="宋体"/>
                <w:sz w:val="24"/>
                <w:highlight w:val="none"/>
              </w:rPr>
            </w:pPr>
          </w:p>
        </w:tc>
        <w:tc>
          <w:tcPr>
            <w:tcW w:w="1191" w:type="dxa"/>
            <w:tcBorders>
              <w:bottom w:val="single" w:color="auto" w:sz="4" w:space="0"/>
            </w:tcBorders>
            <w:vAlign w:val="center"/>
          </w:tcPr>
          <w:p w14:paraId="4DFDCDB5">
            <w:pPr>
              <w:rPr>
                <w:rFonts w:ascii="宋体" w:hAnsi="宋体"/>
                <w:sz w:val="24"/>
                <w:highlight w:val="none"/>
              </w:rPr>
            </w:pPr>
          </w:p>
        </w:tc>
      </w:tr>
      <w:tr w14:paraId="6CB0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top w:val="single" w:color="auto" w:sz="4" w:space="0"/>
              <w:left w:val="single" w:color="auto" w:sz="4" w:space="0"/>
              <w:bottom w:val="single" w:color="auto" w:sz="4" w:space="0"/>
              <w:right w:val="single" w:color="auto" w:sz="4" w:space="0"/>
            </w:tcBorders>
            <w:vAlign w:val="center"/>
          </w:tcPr>
          <w:p w14:paraId="221ADA12">
            <w:pPr>
              <w:rPr>
                <w:rFonts w:ascii="宋体" w:hAnsi="宋体"/>
                <w:sz w:val="24"/>
                <w:highlight w:val="none"/>
              </w:rPr>
            </w:pPr>
          </w:p>
        </w:tc>
        <w:tc>
          <w:tcPr>
            <w:tcW w:w="3365" w:type="dxa"/>
            <w:tcBorders>
              <w:top w:val="single" w:color="auto" w:sz="4" w:space="0"/>
              <w:left w:val="single" w:color="auto" w:sz="4" w:space="0"/>
              <w:bottom w:val="single" w:color="auto" w:sz="4" w:space="0"/>
              <w:right w:val="single" w:color="auto" w:sz="4" w:space="0"/>
            </w:tcBorders>
            <w:vAlign w:val="center"/>
          </w:tcPr>
          <w:p w14:paraId="3159B3B0">
            <w:pPr>
              <w:rPr>
                <w:rFonts w:ascii="宋体" w:hAnsi="宋体"/>
                <w:sz w:val="24"/>
                <w:highlight w:val="none"/>
              </w:rPr>
            </w:pPr>
          </w:p>
        </w:tc>
        <w:tc>
          <w:tcPr>
            <w:tcW w:w="2009" w:type="dxa"/>
            <w:tcBorders>
              <w:top w:val="single" w:color="auto" w:sz="4" w:space="0"/>
              <w:left w:val="single" w:color="auto" w:sz="4" w:space="0"/>
              <w:bottom w:val="single" w:color="auto" w:sz="4" w:space="0"/>
              <w:right w:val="single" w:color="auto" w:sz="4" w:space="0"/>
            </w:tcBorders>
            <w:vAlign w:val="center"/>
          </w:tcPr>
          <w:p w14:paraId="61DAD2F0">
            <w:pPr>
              <w:rPr>
                <w:rFonts w:ascii="宋体" w:hAnsi="宋体"/>
                <w:sz w:val="24"/>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044E5260">
            <w:pPr>
              <w:rPr>
                <w:rFonts w:ascii="宋体" w:hAnsi="宋体"/>
                <w:sz w:val="24"/>
                <w:highlight w:val="none"/>
              </w:rPr>
            </w:pPr>
          </w:p>
        </w:tc>
        <w:tc>
          <w:tcPr>
            <w:tcW w:w="1677" w:type="dxa"/>
            <w:tcBorders>
              <w:top w:val="single" w:color="auto" w:sz="4" w:space="0"/>
              <w:left w:val="single" w:color="auto" w:sz="4" w:space="0"/>
              <w:bottom w:val="single" w:color="auto" w:sz="4" w:space="0"/>
              <w:right w:val="single" w:color="auto" w:sz="4" w:space="0"/>
            </w:tcBorders>
            <w:vAlign w:val="center"/>
          </w:tcPr>
          <w:p w14:paraId="2B1ECA28">
            <w:pPr>
              <w:rPr>
                <w:rFonts w:ascii="宋体" w:hAnsi="宋体"/>
                <w:sz w:val="24"/>
                <w:highlight w:val="none"/>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4771ACBA">
            <w:pPr>
              <w:rPr>
                <w:rFonts w:ascii="宋体" w:hAnsi="宋体"/>
                <w:sz w:val="24"/>
                <w:highlight w:val="none"/>
              </w:rPr>
            </w:pPr>
          </w:p>
        </w:tc>
        <w:tc>
          <w:tcPr>
            <w:tcW w:w="1191" w:type="dxa"/>
            <w:tcBorders>
              <w:top w:val="single" w:color="auto" w:sz="4" w:space="0"/>
              <w:left w:val="single" w:color="auto" w:sz="4" w:space="0"/>
              <w:bottom w:val="single" w:color="auto" w:sz="4" w:space="0"/>
              <w:right w:val="single" w:color="auto" w:sz="4" w:space="0"/>
            </w:tcBorders>
            <w:vAlign w:val="center"/>
          </w:tcPr>
          <w:p w14:paraId="48EE66EF">
            <w:pPr>
              <w:rPr>
                <w:rFonts w:ascii="宋体" w:hAnsi="宋体"/>
                <w:sz w:val="24"/>
                <w:highlight w:val="none"/>
              </w:rPr>
            </w:pPr>
          </w:p>
        </w:tc>
      </w:tr>
      <w:tr w14:paraId="73F5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top w:val="single" w:color="auto" w:sz="4" w:space="0"/>
              <w:left w:val="single" w:color="auto" w:sz="4" w:space="0"/>
              <w:bottom w:val="single" w:color="auto" w:sz="4" w:space="0"/>
              <w:right w:val="single" w:color="auto" w:sz="4" w:space="0"/>
            </w:tcBorders>
            <w:vAlign w:val="center"/>
          </w:tcPr>
          <w:p w14:paraId="21598208">
            <w:pPr>
              <w:rPr>
                <w:rFonts w:ascii="宋体" w:hAnsi="宋体"/>
                <w:sz w:val="24"/>
                <w:highlight w:val="none"/>
              </w:rPr>
            </w:pPr>
          </w:p>
        </w:tc>
        <w:tc>
          <w:tcPr>
            <w:tcW w:w="3365" w:type="dxa"/>
            <w:tcBorders>
              <w:top w:val="single" w:color="auto" w:sz="4" w:space="0"/>
              <w:left w:val="single" w:color="auto" w:sz="4" w:space="0"/>
              <w:bottom w:val="single" w:color="auto" w:sz="4" w:space="0"/>
              <w:right w:val="single" w:color="auto" w:sz="4" w:space="0"/>
            </w:tcBorders>
            <w:vAlign w:val="center"/>
          </w:tcPr>
          <w:p w14:paraId="3A8F65BF">
            <w:pPr>
              <w:rPr>
                <w:rFonts w:ascii="宋体" w:hAnsi="宋体"/>
                <w:sz w:val="24"/>
                <w:highlight w:val="none"/>
              </w:rPr>
            </w:pPr>
          </w:p>
        </w:tc>
        <w:tc>
          <w:tcPr>
            <w:tcW w:w="2009" w:type="dxa"/>
            <w:tcBorders>
              <w:top w:val="single" w:color="auto" w:sz="4" w:space="0"/>
              <w:left w:val="single" w:color="auto" w:sz="4" w:space="0"/>
              <w:bottom w:val="single" w:color="auto" w:sz="4" w:space="0"/>
              <w:right w:val="single" w:color="auto" w:sz="4" w:space="0"/>
            </w:tcBorders>
            <w:vAlign w:val="center"/>
          </w:tcPr>
          <w:p w14:paraId="301CDDF5">
            <w:pPr>
              <w:rPr>
                <w:rFonts w:ascii="宋体" w:hAnsi="宋体"/>
                <w:sz w:val="24"/>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78078134">
            <w:pPr>
              <w:rPr>
                <w:rFonts w:ascii="宋体" w:hAnsi="宋体"/>
                <w:sz w:val="24"/>
                <w:highlight w:val="none"/>
              </w:rPr>
            </w:pPr>
          </w:p>
        </w:tc>
        <w:tc>
          <w:tcPr>
            <w:tcW w:w="1677" w:type="dxa"/>
            <w:tcBorders>
              <w:top w:val="single" w:color="auto" w:sz="4" w:space="0"/>
              <w:left w:val="single" w:color="auto" w:sz="4" w:space="0"/>
              <w:bottom w:val="single" w:color="auto" w:sz="4" w:space="0"/>
              <w:right w:val="single" w:color="auto" w:sz="4" w:space="0"/>
            </w:tcBorders>
            <w:vAlign w:val="center"/>
          </w:tcPr>
          <w:p w14:paraId="58A23857">
            <w:pPr>
              <w:rPr>
                <w:rFonts w:ascii="宋体" w:hAnsi="宋体"/>
                <w:sz w:val="24"/>
                <w:highlight w:val="none"/>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21F6762C">
            <w:pPr>
              <w:rPr>
                <w:rFonts w:ascii="宋体" w:hAnsi="宋体"/>
                <w:sz w:val="24"/>
                <w:highlight w:val="none"/>
              </w:rPr>
            </w:pPr>
          </w:p>
        </w:tc>
        <w:tc>
          <w:tcPr>
            <w:tcW w:w="1191" w:type="dxa"/>
            <w:tcBorders>
              <w:top w:val="single" w:color="auto" w:sz="4" w:space="0"/>
              <w:left w:val="single" w:color="auto" w:sz="4" w:space="0"/>
              <w:bottom w:val="single" w:color="auto" w:sz="4" w:space="0"/>
              <w:right w:val="single" w:color="auto" w:sz="4" w:space="0"/>
            </w:tcBorders>
            <w:vAlign w:val="center"/>
          </w:tcPr>
          <w:p w14:paraId="128CCBEF">
            <w:pPr>
              <w:rPr>
                <w:rFonts w:ascii="宋体" w:hAnsi="宋体"/>
                <w:sz w:val="24"/>
                <w:highlight w:val="none"/>
              </w:rPr>
            </w:pPr>
          </w:p>
        </w:tc>
      </w:tr>
      <w:tr w14:paraId="7F5D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449" w:type="dxa"/>
            <w:gridSpan w:val="6"/>
            <w:tcBorders>
              <w:top w:val="single" w:color="auto" w:sz="4" w:space="0"/>
              <w:left w:val="single" w:color="auto" w:sz="4" w:space="0"/>
              <w:bottom w:val="single" w:color="auto" w:sz="4" w:space="0"/>
              <w:right w:val="single" w:color="auto" w:sz="4" w:space="0"/>
            </w:tcBorders>
            <w:vAlign w:val="center"/>
          </w:tcPr>
          <w:p w14:paraId="210E8128">
            <w:pPr>
              <w:jc w:val="center"/>
              <w:rPr>
                <w:rFonts w:ascii="宋体" w:hAnsi="宋体"/>
                <w:sz w:val="24"/>
                <w:highlight w:val="none"/>
              </w:rPr>
            </w:pPr>
            <w:r>
              <w:rPr>
                <w:rFonts w:hint="eastAsia" w:ascii="宋体" w:hAnsi="宋体"/>
                <w:sz w:val="24"/>
                <w:highlight w:val="none"/>
              </w:rPr>
              <w:t>总报价（不含税）</w:t>
            </w:r>
          </w:p>
        </w:tc>
        <w:tc>
          <w:tcPr>
            <w:tcW w:w="3378" w:type="dxa"/>
            <w:gridSpan w:val="2"/>
            <w:tcBorders>
              <w:top w:val="single" w:color="auto" w:sz="4" w:space="0"/>
              <w:left w:val="single" w:color="auto" w:sz="4" w:space="0"/>
              <w:bottom w:val="single" w:color="auto" w:sz="4" w:space="0"/>
              <w:right w:val="single" w:color="auto" w:sz="4" w:space="0"/>
            </w:tcBorders>
            <w:vAlign w:val="center"/>
          </w:tcPr>
          <w:p w14:paraId="4CB8109C">
            <w:pPr>
              <w:jc w:val="center"/>
              <w:rPr>
                <w:rFonts w:ascii="宋体" w:hAnsi="宋体"/>
                <w:sz w:val="24"/>
                <w:highlight w:val="none"/>
              </w:rPr>
            </w:pPr>
          </w:p>
        </w:tc>
      </w:tr>
    </w:tbl>
    <w:p w14:paraId="79261B51">
      <w:pPr>
        <w:rPr>
          <w:rFonts w:ascii="宋体" w:hAnsi="宋体"/>
          <w:b/>
          <w:sz w:val="24"/>
          <w:highlight w:val="none"/>
        </w:rPr>
      </w:pPr>
    </w:p>
    <w:p w14:paraId="11C8D43E">
      <w:pPr>
        <w:rPr>
          <w:rFonts w:ascii="宋体" w:hAnsi="宋体"/>
          <w:sz w:val="24"/>
          <w:highlight w:val="none"/>
        </w:rPr>
      </w:pP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 xml:space="preserve">投标人名称：                </w:t>
      </w:r>
      <w:r>
        <w:rPr>
          <w:rFonts w:hint="eastAsia" w:ascii="宋体" w:hAnsi="宋体"/>
          <w:sz w:val="24"/>
          <w:highlight w:val="none"/>
          <w:lang w:val="en-US" w:eastAsia="zh-CN"/>
        </w:rPr>
        <w:t xml:space="preserve">        </w:t>
      </w:r>
      <w:r>
        <w:rPr>
          <w:rFonts w:hint="eastAsia" w:ascii="宋体" w:hAnsi="宋体"/>
          <w:sz w:val="24"/>
          <w:highlight w:val="none"/>
        </w:rPr>
        <w:t xml:space="preserve">   授权代表签字：           </w:t>
      </w:r>
      <w:r>
        <w:rPr>
          <w:rFonts w:hint="eastAsia" w:ascii="宋体" w:hAnsi="宋体"/>
          <w:sz w:val="24"/>
          <w:highlight w:val="none"/>
          <w:lang w:val="en-US" w:eastAsia="zh-CN"/>
        </w:rPr>
        <w:t xml:space="preserve">                  </w:t>
      </w:r>
      <w:r>
        <w:rPr>
          <w:rFonts w:hint="eastAsia" w:ascii="宋体" w:hAnsi="宋体"/>
          <w:sz w:val="24"/>
          <w:highlight w:val="none"/>
        </w:rPr>
        <w:t xml:space="preserve"> 日期：</w:t>
      </w:r>
    </w:p>
    <w:p w14:paraId="344C09A2">
      <w:pPr>
        <w:rPr>
          <w:rFonts w:ascii="宋体" w:hAnsi="宋体"/>
          <w:sz w:val="24"/>
          <w:highlight w:val="none"/>
        </w:rPr>
      </w:pPr>
    </w:p>
    <w:p w14:paraId="142689F6">
      <w:pPr>
        <w:rPr>
          <w:rFonts w:ascii="宋体" w:hAnsi="宋体"/>
          <w:sz w:val="24"/>
          <w:highlight w:val="none"/>
        </w:rPr>
      </w:pPr>
      <w:r>
        <w:rPr>
          <w:rFonts w:hint="eastAsia" w:ascii="宋体" w:hAnsi="宋体"/>
          <w:sz w:val="24"/>
          <w:highlight w:val="none"/>
        </w:rPr>
        <w:t>注： 1</w:t>
      </w:r>
      <w:r>
        <w:rPr>
          <w:rFonts w:ascii="宋体" w:hAnsi="宋体"/>
          <w:sz w:val="24"/>
          <w:highlight w:val="none"/>
        </w:rPr>
        <w:t>.</w:t>
      </w:r>
      <w:r>
        <w:rPr>
          <w:rFonts w:hint="eastAsia" w:ascii="宋体" w:hAnsi="宋体"/>
          <w:sz w:val="24"/>
          <w:highlight w:val="none"/>
        </w:rPr>
        <w:t>请按照《技术协议书》中技术参数内容填写报价，可增项、不可缺项。</w:t>
      </w:r>
    </w:p>
    <w:p w14:paraId="43F5CA2A">
      <w:pPr>
        <w:ind w:firstLine="600" w:firstLineChars="250"/>
        <w:rPr>
          <w:rFonts w:ascii="宋体" w:hAnsi="宋体"/>
          <w:sz w:val="24"/>
          <w:highlight w:val="none"/>
        </w:rPr>
      </w:pPr>
      <w:r>
        <w:rPr>
          <w:rFonts w:hint="eastAsia" w:ascii="宋体" w:hAnsi="宋体"/>
          <w:sz w:val="24"/>
          <w:highlight w:val="none"/>
        </w:rPr>
        <w:t>2.投标总价为各投标物品的</w:t>
      </w:r>
      <w:r>
        <w:rPr>
          <w:rFonts w:hint="eastAsia" w:ascii="宋体" w:hAnsi="宋体"/>
          <w:b/>
          <w:bCs/>
          <w:sz w:val="24"/>
          <w:highlight w:val="none"/>
        </w:rPr>
        <w:t>合计单项价</w:t>
      </w:r>
      <w:r>
        <w:rPr>
          <w:rFonts w:hint="eastAsia" w:ascii="宋体" w:hAnsi="宋体"/>
          <w:sz w:val="24"/>
          <w:highlight w:val="none"/>
        </w:rPr>
        <w:t>之和。</w:t>
      </w:r>
    </w:p>
    <w:p w14:paraId="3EA29709">
      <w:pPr>
        <w:ind w:left="0" w:leftChars="0" w:firstLine="600" w:firstLineChars="0"/>
        <w:rPr>
          <w:highlight w:val="none"/>
        </w:rPr>
      </w:pPr>
      <w:r>
        <w:rPr>
          <w:rFonts w:hint="eastAsia" w:ascii="宋体" w:hAnsi="宋体"/>
          <w:sz w:val="24"/>
          <w:highlight w:val="none"/>
        </w:rPr>
        <w:t>3.本表用于开标宣读用，请单独封存。</w:t>
      </w:r>
    </w:p>
    <w:p w14:paraId="3DAD2356">
      <w:pPr>
        <w:rPr>
          <w:rFonts w:hint="eastAsia" w:ascii="宋体" w:hAnsi="宋体"/>
          <w:sz w:val="24"/>
          <w:highlight w:val="none"/>
        </w:rPr>
        <w:sectPr>
          <w:pgSz w:w="16838" w:h="11906" w:orient="landscape"/>
          <w:pgMar w:top="1417" w:right="1587" w:bottom="1417" w:left="1134" w:header="851" w:footer="992" w:gutter="0"/>
          <w:pgNumType w:fmt="decimal"/>
          <w:cols w:space="0" w:num="1"/>
          <w:titlePg/>
          <w:rtlGutter w:val="0"/>
          <w:docGrid w:type="lines" w:linePitch="312" w:charSpace="0"/>
        </w:sectPr>
      </w:pPr>
      <w:bookmarkStart w:id="25" w:name="_Toc8241"/>
    </w:p>
    <w:p w14:paraId="593A8188">
      <w:pPr>
        <w:rPr>
          <w:rFonts w:ascii="宋体" w:hAnsi="宋体"/>
          <w:sz w:val="24"/>
          <w:highlight w:val="none"/>
        </w:rPr>
      </w:pPr>
      <w:r>
        <w:rPr>
          <w:rFonts w:hint="eastAsia" w:ascii="宋体" w:hAnsi="宋体"/>
          <w:sz w:val="24"/>
          <w:highlight w:val="none"/>
        </w:rPr>
        <w:t>附件4</w:t>
      </w:r>
      <w:bookmarkEnd w:id="25"/>
    </w:p>
    <w:p w14:paraId="27E09944">
      <w:pPr>
        <w:jc w:val="center"/>
        <w:rPr>
          <w:rFonts w:eastAsia="黑体"/>
          <w:b/>
          <w:bCs/>
          <w:sz w:val="28"/>
          <w:highlight w:val="none"/>
        </w:rPr>
      </w:pPr>
      <w:r>
        <w:rPr>
          <w:rFonts w:hint="eastAsia" w:eastAsia="黑体"/>
          <w:b/>
          <w:bCs/>
          <w:sz w:val="28"/>
          <w:highlight w:val="none"/>
        </w:rPr>
        <w:t>偏离表</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2891"/>
        <w:gridCol w:w="1110"/>
        <w:gridCol w:w="2613"/>
      </w:tblGrid>
      <w:tr w14:paraId="1A34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F71A8BB">
            <w:pPr>
              <w:jc w:val="center"/>
              <w:rPr>
                <w:rFonts w:ascii="宋体" w:hAnsi="宋体"/>
                <w:sz w:val="24"/>
                <w:highlight w:val="none"/>
              </w:rPr>
            </w:pPr>
            <w:r>
              <w:rPr>
                <w:rFonts w:hint="eastAsia" w:ascii="宋体" w:hAnsi="宋体"/>
                <w:sz w:val="24"/>
                <w:highlight w:val="none"/>
              </w:rPr>
              <w:t>序号</w:t>
            </w:r>
          </w:p>
        </w:tc>
        <w:tc>
          <w:tcPr>
            <w:tcW w:w="3971" w:type="dxa"/>
            <w:gridSpan w:val="2"/>
            <w:vAlign w:val="center"/>
          </w:tcPr>
          <w:p w14:paraId="5DF19F92">
            <w:pPr>
              <w:jc w:val="center"/>
              <w:rPr>
                <w:rFonts w:ascii="宋体" w:hAnsi="宋体"/>
                <w:sz w:val="24"/>
                <w:highlight w:val="none"/>
              </w:rPr>
            </w:pPr>
            <w:r>
              <w:rPr>
                <w:rFonts w:hint="eastAsia" w:ascii="宋体" w:hAnsi="宋体"/>
                <w:sz w:val="24"/>
                <w:highlight w:val="none"/>
              </w:rPr>
              <w:t>招标文件条款</w:t>
            </w:r>
          </w:p>
        </w:tc>
        <w:tc>
          <w:tcPr>
            <w:tcW w:w="3723" w:type="dxa"/>
            <w:gridSpan w:val="2"/>
            <w:vAlign w:val="center"/>
          </w:tcPr>
          <w:p w14:paraId="636ADDE1">
            <w:pPr>
              <w:jc w:val="center"/>
              <w:rPr>
                <w:rFonts w:ascii="宋体" w:hAnsi="宋体"/>
                <w:sz w:val="24"/>
                <w:highlight w:val="none"/>
              </w:rPr>
            </w:pPr>
            <w:r>
              <w:rPr>
                <w:rFonts w:hint="eastAsia" w:ascii="宋体" w:hAnsi="宋体"/>
                <w:sz w:val="24"/>
                <w:highlight w:val="none"/>
              </w:rPr>
              <w:t>投标书条款</w:t>
            </w:r>
          </w:p>
        </w:tc>
      </w:tr>
      <w:tr w14:paraId="61BA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2FBDCF35">
            <w:pPr>
              <w:rPr>
                <w:rFonts w:ascii="宋体" w:hAnsi="宋体"/>
                <w:sz w:val="24"/>
                <w:highlight w:val="none"/>
              </w:rPr>
            </w:pPr>
          </w:p>
        </w:tc>
        <w:tc>
          <w:tcPr>
            <w:tcW w:w="1080" w:type="dxa"/>
            <w:vAlign w:val="center"/>
          </w:tcPr>
          <w:p w14:paraId="574EBAC7">
            <w:pPr>
              <w:jc w:val="center"/>
              <w:rPr>
                <w:rFonts w:ascii="宋体" w:hAnsi="宋体"/>
                <w:sz w:val="24"/>
                <w:highlight w:val="none"/>
              </w:rPr>
            </w:pPr>
          </w:p>
        </w:tc>
        <w:tc>
          <w:tcPr>
            <w:tcW w:w="2891" w:type="dxa"/>
            <w:vAlign w:val="center"/>
          </w:tcPr>
          <w:p w14:paraId="26174E24">
            <w:pPr>
              <w:jc w:val="center"/>
              <w:rPr>
                <w:rFonts w:ascii="宋体" w:hAnsi="宋体"/>
                <w:sz w:val="24"/>
                <w:highlight w:val="none"/>
              </w:rPr>
            </w:pPr>
            <w:r>
              <w:rPr>
                <w:rFonts w:hint="eastAsia" w:ascii="宋体" w:hAnsi="宋体"/>
                <w:sz w:val="24"/>
                <w:highlight w:val="none"/>
              </w:rPr>
              <w:t>偏离</w:t>
            </w:r>
          </w:p>
        </w:tc>
        <w:tc>
          <w:tcPr>
            <w:tcW w:w="1110" w:type="dxa"/>
            <w:vAlign w:val="center"/>
          </w:tcPr>
          <w:p w14:paraId="2448E360">
            <w:pPr>
              <w:jc w:val="center"/>
              <w:rPr>
                <w:rFonts w:ascii="宋体" w:hAnsi="宋体"/>
                <w:sz w:val="24"/>
                <w:highlight w:val="none"/>
              </w:rPr>
            </w:pPr>
          </w:p>
        </w:tc>
        <w:tc>
          <w:tcPr>
            <w:tcW w:w="2613" w:type="dxa"/>
            <w:vAlign w:val="center"/>
          </w:tcPr>
          <w:p w14:paraId="1A68F40E">
            <w:pPr>
              <w:jc w:val="center"/>
              <w:rPr>
                <w:rFonts w:ascii="宋体" w:hAnsi="宋体"/>
                <w:sz w:val="24"/>
                <w:highlight w:val="none"/>
              </w:rPr>
            </w:pPr>
            <w:r>
              <w:rPr>
                <w:rFonts w:hint="eastAsia" w:ascii="宋体" w:hAnsi="宋体"/>
                <w:sz w:val="24"/>
                <w:highlight w:val="none"/>
              </w:rPr>
              <w:t>偏离</w:t>
            </w:r>
          </w:p>
        </w:tc>
      </w:tr>
      <w:tr w14:paraId="2414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18E499A">
            <w:pPr>
              <w:jc w:val="center"/>
              <w:rPr>
                <w:rFonts w:ascii="宋体" w:hAnsi="宋体"/>
                <w:sz w:val="24"/>
                <w:highlight w:val="none"/>
              </w:rPr>
            </w:pPr>
            <w:r>
              <w:rPr>
                <w:rFonts w:hint="eastAsia" w:ascii="宋体" w:hAnsi="宋体"/>
                <w:sz w:val="24"/>
                <w:highlight w:val="none"/>
              </w:rPr>
              <w:t>1</w:t>
            </w:r>
          </w:p>
        </w:tc>
        <w:tc>
          <w:tcPr>
            <w:tcW w:w="1080" w:type="dxa"/>
            <w:vAlign w:val="center"/>
          </w:tcPr>
          <w:p w14:paraId="765A56A3">
            <w:pPr>
              <w:rPr>
                <w:rFonts w:ascii="宋体" w:hAnsi="宋体"/>
                <w:sz w:val="24"/>
                <w:highlight w:val="none"/>
              </w:rPr>
            </w:pPr>
          </w:p>
        </w:tc>
        <w:tc>
          <w:tcPr>
            <w:tcW w:w="2891" w:type="dxa"/>
            <w:vAlign w:val="center"/>
          </w:tcPr>
          <w:p w14:paraId="3A5C0EF1">
            <w:pPr>
              <w:rPr>
                <w:rFonts w:ascii="宋体" w:hAnsi="宋体"/>
                <w:sz w:val="24"/>
                <w:highlight w:val="none"/>
              </w:rPr>
            </w:pPr>
          </w:p>
        </w:tc>
        <w:tc>
          <w:tcPr>
            <w:tcW w:w="1110" w:type="dxa"/>
            <w:vAlign w:val="center"/>
          </w:tcPr>
          <w:p w14:paraId="044FE07E">
            <w:pPr>
              <w:rPr>
                <w:rFonts w:ascii="宋体" w:hAnsi="宋体"/>
                <w:sz w:val="24"/>
                <w:highlight w:val="none"/>
              </w:rPr>
            </w:pPr>
          </w:p>
        </w:tc>
        <w:tc>
          <w:tcPr>
            <w:tcW w:w="2613" w:type="dxa"/>
            <w:vAlign w:val="center"/>
          </w:tcPr>
          <w:p w14:paraId="10A0B62E">
            <w:pPr>
              <w:rPr>
                <w:rFonts w:ascii="宋体" w:hAnsi="宋体"/>
                <w:sz w:val="24"/>
                <w:highlight w:val="none"/>
              </w:rPr>
            </w:pPr>
          </w:p>
        </w:tc>
      </w:tr>
      <w:tr w14:paraId="020F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8E33500">
            <w:pPr>
              <w:jc w:val="center"/>
              <w:rPr>
                <w:rFonts w:ascii="宋体" w:hAnsi="宋体"/>
                <w:sz w:val="24"/>
                <w:highlight w:val="none"/>
              </w:rPr>
            </w:pPr>
            <w:r>
              <w:rPr>
                <w:rFonts w:hint="eastAsia" w:ascii="宋体" w:hAnsi="宋体"/>
                <w:sz w:val="24"/>
                <w:highlight w:val="none"/>
              </w:rPr>
              <w:t>2</w:t>
            </w:r>
          </w:p>
        </w:tc>
        <w:tc>
          <w:tcPr>
            <w:tcW w:w="1080" w:type="dxa"/>
            <w:vAlign w:val="center"/>
          </w:tcPr>
          <w:p w14:paraId="1FFD7DD2">
            <w:pPr>
              <w:rPr>
                <w:rFonts w:ascii="宋体" w:hAnsi="宋体"/>
                <w:sz w:val="24"/>
                <w:highlight w:val="none"/>
              </w:rPr>
            </w:pPr>
          </w:p>
        </w:tc>
        <w:tc>
          <w:tcPr>
            <w:tcW w:w="2891" w:type="dxa"/>
            <w:vAlign w:val="center"/>
          </w:tcPr>
          <w:p w14:paraId="55912A28">
            <w:pPr>
              <w:rPr>
                <w:rFonts w:ascii="宋体" w:hAnsi="宋体"/>
                <w:sz w:val="24"/>
                <w:highlight w:val="none"/>
              </w:rPr>
            </w:pPr>
          </w:p>
        </w:tc>
        <w:tc>
          <w:tcPr>
            <w:tcW w:w="1110" w:type="dxa"/>
            <w:vAlign w:val="center"/>
          </w:tcPr>
          <w:p w14:paraId="6C52A79B">
            <w:pPr>
              <w:rPr>
                <w:rFonts w:ascii="宋体" w:hAnsi="宋体"/>
                <w:sz w:val="24"/>
                <w:highlight w:val="none"/>
              </w:rPr>
            </w:pPr>
          </w:p>
        </w:tc>
        <w:tc>
          <w:tcPr>
            <w:tcW w:w="2613" w:type="dxa"/>
            <w:vAlign w:val="center"/>
          </w:tcPr>
          <w:p w14:paraId="11F3D085">
            <w:pPr>
              <w:rPr>
                <w:rFonts w:ascii="宋体" w:hAnsi="宋体"/>
                <w:sz w:val="24"/>
                <w:highlight w:val="none"/>
              </w:rPr>
            </w:pPr>
          </w:p>
        </w:tc>
      </w:tr>
      <w:tr w14:paraId="01D5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85C47B">
            <w:pPr>
              <w:jc w:val="center"/>
              <w:rPr>
                <w:rFonts w:ascii="宋体" w:hAnsi="宋体"/>
                <w:sz w:val="24"/>
                <w:highlight w:val="none"/>
              </w:rPr>
            </w:pPr>
            <w:r>
              <w:rPr>
                <w:rFonts w:hint="eastAsia" w:ascii="宋体" w:hAnsi="宋体"/>
                <w:sz w:val="24"/>
                <w:highlight w:val="none"/>
              </w:rPr>
              <w:t>3</w:t>
            </w:r>
          </w:p>
        </w:tc>
        <w:tc>
          <w:tcPr>
            <w:tcW w:w="1080" w:type="dxa"/>
            <w:vAlign w:val="center"/>
          </w:tcPr>
          <w:p w14:paraId="4ABBE012">
            <w:pPr>
              <w:rPr>
                <w:rFonts w:ascii="宋体" w:hAnsi="宋体"/>
                <w:sz w:val="24"/>
                <w:highlight w:val="none"/>
              </w:rPr>
            </w:pPr>
          </w:p>
        </w:tc>
        <w:tc>
          <w:tcPr>
            <w:tcW w:w="2891" w:type="dxa"/>
            <w:vAlign w:val="center"/>
          </w:tcPr>
          <w:p w14:paraId="49571D62">
            <w:pPr>
              <w:rPr>
                <w:rFonts w:ascii="宋体" w:hAnsi="宋体"/>
                <w:sz w:val="24"/>
                <w:highlight w:val="none"/>
              </w:rPr>
            </w:pPr>
          </w:p>
        </w:tc>
        <w:tc>
          <w:tcPr>
            <w:tcW w:w="1110" w:type="dxa"/>
            <w:vAlign w:val="center"/>
          </w:tcPr>
          <w:p w14:paraId="024CDDC9">
            <w:pPr>
              <w:rPr>
                <w:rFonts w:ascii="宋体" w:hAnsi="宋体"/>
                <w:sz w:val="24"/>
                <w:highlight w:val="none"/>
              </w:rPr>
            </w:pPr>
          </w:p>
        </w:tc>
        <w:tc>
          <w:tcPr>
            <w:tcW w:w="2613" w:type="dxa"/>
            <w:vAlign w:val="center"/>
          </w:tcPr>
          <w:p w14:paraId="5F588865">
            <w:pPr>
              <w:rPr>
                <w:rFonts w:ascii="宋体" w:hAnsi="宋体"/>
                <w:sz w:val="24"/>
                <w:highlight w:val="none"/>
              </w:rPr>
            </w:pPr>
          </w:p>
        </w:tc>
      </w:tr>
      <w:tr w14:paraId="6597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85F8A3D">
            <w:pPr>
              <w:jc w:val="center"/>
              <w:rPr>
                <w:rFonts w:ascii="宋体" w:hAnsi="宋体"/>
                <w:sz w:val="24"/>
                <w:highlight w:val="none"/>
              </w:rPr>
            </w:pPr>
            <w:r>
              <w:rPr>
                <w:rFonts w:hint="eastAsia" w:ascii="宋体" w:hAnsi="宋体"/>
                <w:sz w:val="24"/>
                <w:highlight w:val="none"/>
              </w:rPr>
              <w:t>4</w:t>
            </w:r>
          </w:p>
        </w:tc>
        <w:tc>
          <w:tcPr>
            <w:tcW w:w="1080" w:type="dxa"/>
            <w:vAlign w:val="center"/>
          </w:tcPr>
          <w:p w14:paraId="6BD23408">
            <w:pPr>
              <w:rPr>
                <w:rFonts w:ascii="宋体" w:hAnsi="宋体"/>
                <w:sz w:val="24"/>
                <w:highlight w:val="none"/>
              </w:rPr>
            </w:pPr>
          </w:p>
        </w:tc>
        <w:tc>
          <w:tcPr>
            <w:tcW w:w="2891" w:type="dxa"/>
            <w:vAlign w:val="center"/>
          </w:tcPr>
          <w:p w14:paraId="4346A6B3">
            <w:pPr>
              <w:rPr>
                <w:rFonts w:ascii="宋体" w:hAnsi="宋体"/>
                <w:sz w:val="24"/>
                <w:highlight w:val="none"/>
              </w:rPr>
            </w:pPr>
          </w:p>
        </w:tc>
        <w:tc>
          <w:tcPr>
            <w:tcW w:w="1110" w:type="dxa"/>
            <w:vAlign w:val="center"/>
          </w:tcPr>
          <w:p w14:paraId="0389C89E">
            <w:pPr>
              <w:rPr>
                <w:rFonts w:ascii="宋体" w:hAnsi="宋体"/>
                <w:sz w:val="24"/>
                <w:highlight w:val="none"/>
              </w:rPr>
            </w:pPr>
          </w:p>
        </w:tc>
        <w:tc>
          <w:tcPr>
            <w:tcW w:w="2613" w:type="dxa"/>
            <w:vAlign w:val="center"/>
          </w:tcPr>
          <w:p w14:paraId="31D1AEE9">
            <w:pPr>
              <w:rPr>
                <w:rFonts w:ascii="宋体" w:hAnsi="宋体"/>
                <w:sz w:val="24"/>
                <w:highlight w:val="none"/>
              </w:rPr>
            </w:pPr>
          </w:p>
        </w:tc>
      </w:tr>
      <w:tr w14:paraId="143D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F2BCC33">
            <w:pPr>
              <w:jc w:val="center"/>
              <w:rPr>
                <w:rFonts w:ascii="宋体" w:hAnsi="宋体"/>
                <w:sz w:val="24"/>
                <w:highlight w:val="none"/>
              </w:rPr>
            </w:pPr>
            <w:r>
              <w:rPr>
                <w:rFonts w:hint="eastAsia" w:ascii="宋体" w:hAnsi="宋体"/>
                <w:sz w:val="24"/>
                <w:highlight w:val="none"/>
              </w:rPr>
              <w:t>5</w:t>
            </w:r>
          </w:p>
        </w:tc>
        <w:tc>
          <w:tcPr>
            <w:tcW w:w="1080" w:type="dxa"/>
            <w:vAlign w:val="center"/>
          </w:tcPr>
          <w:p w14:paraId="5DDF603B">
            <w:pPr>
              <w:rPr>
                <w:rFonts w:ascii="宋体" w:hAnsi="宋体"/>
                <w:sz w:val="24"/>
                <w:highlight w:val="none"/>
              </w:rPr>
            </w:pPr>
          </w:p>
        </w:tc>
        <w:tc>
          <w:tcPr>
            <w:tcW w:w="2891" w:type="dxa"/>
            <w:vAlign w:val="center"/>
          </w:tcPr>
          <w:p w14:paraId="7966D2E3">
            <w:pPr>
              <w:rPr>
                <w:rFonts w:ascii="宋体" w:hAnsi="宋体"/>
                <w:sz w:val="24"/>
                <w:highlight w:val="none"/>
              </w:rPr>
            </w:pPr>
          </w:p>
        </w:tc>
        <w:tc>
          <w:tcPr>
            <w:tcW w:w="1110" w:type="dxa"/>
            <w:vAlign w:val="center"/>
          </w:tcPr>
          <w:p w14:paraId="559CAC17">
            <w:pPr>
              <w:rPr>
                <w:rFonts w:ascii="宋体" w:hAnsi="宋体"/>
                <w:sz w:val="24"/>
                <w:highlight w:val="none"/>
              </w:rPr>
            </w:pPr>
          </w:p>
        </w:tc>
        <w:tc>
          <w:tcPr>
            <w:tcW w:w="2613" w:type="dxa"/>
            <w:vAlign w:val="center"/>
          </w:tcPr>
          <w:p w14:paraId="35CCB268">
            <w:pPr>
              <w:rPr>
                <w:rFonts w:ascii="宋体" w:hAnsi="宋体"/>
                <w:sz w:val="24"/>
                <w:highlight w:val="none"/>
              </w:rPr>
            </w:pPr>
          </w:p>
        </w:tc>
      </w:tr>
      <w:tr w14:paraId="714B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02B8A51">
            <w:pPr>
              <w:jc w:val="center"/>
              <w:rPr>
                <w:rFonts w:ascii="宋体" w:hAnsi="宋体"/>
                <w:sz w:val="24"/>
                <w:highlight w:val="none"/>
              </w:rPr>
            </w:pPr>
            <w:r>
              <w:rPr>
                <w:rFonts w:hint="eastAsia" w:ascii="宋体" w:hAnsi="宋体"/>
                <w:sz w:val="24"/>
                <w:highlight w:val="none"/>
              </w:rPr>
              <w:t>6</w:t>
            </w:r>
          </w:p>
        </w:tc>
        <w:tc>
          <w:tcPr>
            <w:tcW w:w="1080" w:type="dxa"/>
            <w:vAlign w:val="center"/>
          </w:tcPr>
          <w:p w14:paraId="20319991">
            <w:pPr>
              <w:rPr>
                <w:rFonts w:ascii="宋体" w:hAnsi="宋体"/>
                <w:sz w:val="24"/>
                <w:highlight w:val="none"/>
              </w:rPr>
            </w:pPr>
          </w:p>
        </w:tc>
        <w:tc>
          <w:tcPr>
            <w:tcW w:w="2891" w:type="dxa"/>
            <w:vAlign w:val="center"/>
          </w:tcPr>
          <w:p w14:paraId="21878D3C">
            <w:pPr>
              <w:rPr>
                <w:rFonts w:ascii="宋体" w:hAnsi="宋体"/>
                <w:sz w:val="24"/>
                <w:highlight w:val="none"/>
              </w:rPr>
            </w:pPr>
          </w:p>
        </w:tc>
        <w:tc>
          <w:tcPr>
            <w:tcW w:w="1110" w:type="dxa"/>
            <w:vAlign w:val="center"/>
          </w:tcPr>
          <w:p w14:paraId="3BF79FE2">
            <w:pPr>
              <w:rPr>
                <w:rFonts w:ascii="宋体" w:hAnsi="宋体"/>
                <w:sz w:val="24"/>
                <w:highlight w:val="none"/>
              </w:rPr>
            </w:pPr>
          </w:p>
        </w:tc>
        <w:tc>
          <w:tcPr>
            <w:tcW w:w="2613" w:type="dxa"/>
            <w:vAlign w:val="center"/>
          </w:tcPr>
          <w:p w14:paraId="4BA89883">
            <w:pPr>
              <w:rPr>
                <w:rFonts w:ascii="宋体" w:hAnsi="宋体"/>
                <w:sz w:val="24"/>
                <w:highlight w:val="none"/>
              </w:rPr>
            </w:pPr>
          </w:p>
        </w:tc>
      </w:tr>
      <w:tr w14:paraId="498F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B8DDFF1">
            <w:pPr>
              <w:jc w:val="center"/>
              <w:rPr>
                <w:rFonts w:ascii="宋体" w:hAnsi="宋体"/>
                <w:sz w:val="24"/>
                <w:highlight w:val="none"/>
              </w:rPr>
            </w:pPr>
            <w:r>
              <w:rPr>
                <w:rFonts w:hint="eastAsia" w:ascii="宋体" w:hAnsi="宋体"/>
                <w:sz w:val="24"/>
                <w:highlight w:val="none"/>
              </w:rPr>
              <w:t>7</w:t>
            </w:r>
          </w:p>
        </w:tc>
        <w:tc>
          <w:tcPr>
            <w:tcW w:w="1080" w:type="dxa"/>
            <w:vAlign w:val="center"/>
          </w:tcPr>
          <w:p w14:paraId="7D58E6A9">
            <w:pPr>
              <w:rPr>
                <w:rFonts w:ascii="宋体" w:hAnsi="宋体"/>
                <w:sz w:val="24"/>
                <w:highlight w:val="none"/>
              </w:rPr>
            </w:pPr>
          </w:p>
        </w:tc>
        <w:tc>
          <w:tcPr>
            <w:tcW w:w="2891" w:type="dxa"/>
            <w:vAlign w:val="center"/>
          </w:tcPr>
          <w:p w14:paraId="6D474018">
            <w:pPr>
              <w:rPr>
                <w:rFonts w:ascii="宋体" w:hAnsi="宋体"/>
                <w:sz w:val="24"/>
                <w:highlight w:val="none"/>
              </w:rPr>
            </w:pPr>
          </w:p>
        </w:tc>
        <w:tc>
          <w:tcPr>
            <w:tcW w:w="1110" w:type="dxa"/>
            <w:vAlign w:val="center"/>
          </w:tcPr>
          <w:p w14:paraId="0270C771">
            <w:pPr>
              <w:rPr>
                <w:rFonts w:ascii="宋体" w:hAnsi="宋体"/>
                <w:sz w:val="24"/>
                <w:highlight w:val="none"/>
              </w:rPr>
            </w:pPr>
          </w:p>
        </w:tc>
        <w:tc>
          <w:tcPr>
            <w:tcW w:w="2613" w:type="dxa"/>
            <w:vAlign w:val="center"/>
          </w:tcPr>
          <w:p w14:paraId="4AB63407">
            <w:pPr>
              <w:rPr>
                <w:rFonts w:ascii="宋体" w:hAnsi="宋体"/>
                <w:sz w:val="24"/>
                <w:highlight w:val="none"/>
              </w:rPr>
            </w:pPr>
          </w:p>
        </w:tc>
      </w:tr>
      <w:tr w14:paraId="35D9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99ED844">
            <w:pPr>
              <w:jc w:val="center"/>
              <w:rPr>
                <w:rFonts w:ascii="宋体" w:hAnsi="宋体"/>
                <w:sz w:val="24"/>
                <w:highlight w:val="none"/>
              </w:rPr>
            </w:pPr>
            <w:r>
              <w:rPr>
                <w:rFonts w:hint="eastAsia" w:ascii="宋体" w:hAnsi="宋体"/>
                <w:sz w:val="24"/>
                <w:highlight w:val="none"/>
              </w:rPr>
              <w:t>8</w:t>
            </w:r>
          </w:p>
        </w:tc>
        <w:tc>
          <w:tcPr>
            <w:tcW w:w="1080" w:type="dxa"/>
            <w:vAlign w:val="center"/>
          </w:tcPr>
          <w:p w14:paraId="66D12B42">
            <w:pPr>
              <w:rPr>
                <w:rFonts w:ascii="宋体" w:hAnsi="宋体"/>
                <w:sz w:val="24"/>
                <w:highlight w:val="none"/>
              </w:rPr>
            </w:pPr>
          </w:p>
        </w:tc>
        <w:tc>
          <w:tcPr>
            <w:tcW w:w="2891" w:type="dxa"/>
            <w:vAlign w:val="center"/>
          </w:tcPr>
          <w:p w14:paraId="7A6E6669">
            <w:pPr>
              <w:rPr>
                <w:rFonts w:ascii="宋体" w:hAnsi="宋体"/>
                <w:sz w:val="24"/>
                <w:highlight w:val="none"/>
              </w:rPr>
            </w:pPr>
          </w:p>
        </w:tc>
        <w:tc>
          <w:tcPr>
            <w:tcW w:w="1110" w:type="dxa"/>
            <w:vAlign w:val="center"/>
          </w:tcPr>
          <w:p w14:paraId="3CA0326A">
            <w:pPr>
              <w:rPr>
                <w:rFonts w:ascii="宋体" w:hAnsi="宋体"/>
                <w:sz w:val="24"/>
                <w:highlight w:val="none"/>
              </w:rPr>
            </w:pPr>
          </w:p>
        </w:tc>
        <w:tc>
          <w:tcPr>
            <w:tcW w:w="2613" w:type="dxa"/>
            <w:vAlign w:val="center"/>
          </w:tcPr>
          <w:p w14:paraId="494109CE">
            <w:pPr>
              <w:rPr>
                <w:rFonts w:ascii="宋体" w:hAnsi="宋体"/>
                <w:sz w:val="24"/>
                <w:highlight w:val="none"/>
              </w:rPr>
            </w:pPr>
          </w:p>
        </w:tc>
      </w:tr>
      <w:tr w14:paraId="6D20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AFE04A0">
            <w:pPr>
              <w:jc w:val="center"/>
              <w:rPr>
                <w:rFonts w:ascii="宋体" w:hAnsi="宋体"/>
                <w:sz w:val="24"/>
                <w:highlight w:val="none"/>
              </w:rPr>
            </w:pPr>
            <w:r>
              <w:rPr>
                <w:rFonts w:hint="eastAsia" w:ascii="宋体" w:hAnsi="宋体"/>
                <w:sz w:val="24"/>
                <w:highlight w:val="none"/>
              </w:rPr>
              <w:t>9</w:t>
            </w:r>
          </w:p>
        </w:tc>
        <w:tc>
          <w:tcPr>
            <w:tcW w:w="1080" w:type="dxa"/>
            <w:vAlign w:val="center"/>
          </w:tcPr>
          <w:p w14:paraId="3652587D">
            <w:pPr>
              <w:rPr>
                <w:rFonts w:ascii="宋体" w:hAnsi="宋体"/>
                <w:sz w:val="24"/>
                <w:highlight w:val="none"/>
              </w:rPr>
            </w:pPr>
          </w:p>
        </w:tc>
        <w:tc>
          <w:tcPr>
            <w:tcW w:w="2891" w:type="dxa"/>
            <w:vAlign w:val="center"/>
          </w:tcPr>
          <w:p w14:paraId="14B4C80D">
            <w:pPr>
              <w:rPr>
                <w:rFonts w:ascii="宋体" w:hAnsi="宋体"/>
                <w:sz w:val="24"/>
                <w:highlight w:val="none"/>
              </w:rPr>
            </w:pPr>
          </w:p>
        </w:tc>
        <w:tc>
          <w:tcPr>
            <w:tcW w:w="1110" w:type="dxa"/>
            <w:vAlign w:val="center"/>
          </w:tcPr>
          <w:p w14:paraId="3DED6863">
            <w:pPr>
              <w:rPr>
                <w:rFonts w:ascii="宋体" w:hAnsi="宋体"/>
                <w:sz w:val="24"/>
                <w:highlight w:val="none"/>
              </w:rPr>
            </w:pPr>
          </w:p>
        </w:tc>
        <w:tc>
          <w:tcPr>
            <w:tcW w:w="2613" w:type="dxa"/>
            <w:vAlign w:val="center"/>
          </w:tcPr>
          <w:p w14:paraId="34434810">
            <w:pPr>
              <w:rPr>
                <w:rFonts w:ascii="宋体" w:hAnsi="宋体"/>
                <w:sz w:val="24"/>
                <w:highlight w:val="none"/>
              </w:rPr>
            </w:pPr>
          </w:p>
        </w:tc>
      </w:tr>
      <w:tr w14:paraId="5CB5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B979F02">
            <w:pPr>
              <w:jc w:val="center"/>
              <w:rPr>
                <w:rFonts w:ascii="宋体" w:hAnsi="宋体"/>
                <w:sz w:val="24"/>
                <w:highlight w:val="none"/>
              </w:rPr>
            </w:pPr>
            <w:r>
              <w:rPr>
                <w:rFonts w:hint="eastAsia" w:ascii="宋体" w:hAnsi="宋体"/>
                <w:sz w:val="24"/>
                <w:highlight w:val="none"/>
              </w:rPr>
              <w:t>10</w:t>
            </w:r>
          </w:p>
        </w:tc>
        <w:tc>
          <w:tcPr>
            <w:tcW w:w="1080" w:type="dxa"/>
            <w:vAlign w:val="center"/>
          </w:tcPr>
          <w:p w14:paraId="75F00E76">
            <w:pPr>
              <w:rPr>
                <w:rFonts w:ascii="宋体" w:hAnsi="宋体"/>
                <w:sz w:val="24"/>
                <w:highlight w:val="none"/>
              </w:rPr>
            </w:pPr>
          </w:p>
        </w:tc>
        <w:tc>
          <w:tcPr>
            <w:tcW w:w="2891" w:type="dxa"/>
            <w:vAlign w:val="center"/>
          </w:tcPr>
          <w:p w14:paraId="4C915FF0">
            <w:pPr>
              <w:rPr>
                <w:rFonts w:ascii="宋体" w:hAnsi="宋体"/>
                <w:sz w:val="24"/>
                <w:highlight w:val="none"/>
              </w:rPr>
            </w:pPr>
          </w:p>
        </w:tc>
        <w:tc>
          <w:tcPr>
            <w:tcW w:w="1110" w:type="dxa"/>
            <w:vAlign w:val="center"/>
          </w:tcPr>
          <w:p w14:paraId="68A4E377">
            <w:pPr>
              <w:rPr>
                <w:rFonts w:ascii="宋体" w:hAnsi="宋体"/>
                <w:sz w:val="24"/>
                <w:highlight w:val="none"/>
              </w:rPr>
            </w:pPr>
          </w:p>
        </w:tc>
        <w:tc>
          <w:tcPr>
            <w:tcW w:w="2613" w:type="dxa"/>
            <w:vAlign w:val="center"/>
          </w:tcPr>
          <w:p w14:paraId="22EFB546">
            <w:pPr>
              <w:rPr>
                <w:rFonts w:ascii="宋体" w:hAnsi="宋体"/>
                <w:sz w:val="24"/>
                <w:highlight w:val="none"/>
              </w:rPr>
            </w:pPr>
          </w:p>
        </w:tc>
      </w:tr>
      <w:tr w14:paraId="60B3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63A1FCB">
            <w:pPr>
              <w:jc w:val="center"/>
              <w:rPr>
                <w:rFonts w:ascii="宋体" w:hAnsi="宋体"/>
                <w:sz w:val="24"/>
                <w:highlight w:val="none"/>
              </w:rPr>
            </w:pPr>
            <w:r>
              <w:rPr>
                <w:rFonts w:hint="eastAsia" w:ascii="宋体" w:hAnsi="宋体"/>
                <w:sz w:val="24"/>
                <w:highlight w:val="none"/>
              </w:rPr>
              <w:t>11</w:t>
            </w:r>
          </w:p>
        </w:tc>
        <w:tc>
          <w:tcPr>
            <w:tcW w:w="1080" w:type="dxa"/>
            <w:vAlign w:val="center"/>
          </w:tcPr>
          <w:p w14:paraId="6126FE5C">
            <w:pPr>
              <w:rPr>
                <w:rFonts w:ascii="宋体" w:hAnsi="宋体"/>
                <w:sz w:val="24"/>
                <w:highlight w:val="none"/>
              </w:rPr>
            </w:pPr>
          </w:p>
        </w:tc>
        <w:tc>
          <w:tcPr>
            <w:tcW w:w="2891" w:type="dxa"/>
            <w:vAlign w:val="center"/>
          </w:tcPr>
          <w:p w14:paraId="2E990C9B">
            <w:pPr>
              <w:rPr>
                <w:rFonts w:ascii="宋体" w:hAnsi="宋体"/>
                <w:sz w:val="24"/>
                <w:highlight w:val="none"/>
              </w:rPr>
            </w:pPr>
          </w:p>
        </w:tc>
        <w:tc>
          <w:tcPr>
            <w:tcW w:w="1110" w:type="dxa"/>
            <w:vAlign w:val="center"/>
          </w:tcPr>
          <w:p w14:paraId="3C312395">
            <w:pPr>
              <w:rPr>
                <w:rFonts w:ascii="宋体" w:hAnsi="宋体"/>
                <w:sz w:val="24"/>
                <w:highlight w:val="none"/>
              </w:rPr>
            </w:pPr>
          </w:p>
        </w:tc>
        <w:tc>
          <w:tcPr>
            <w:tcW w:w="2613" w:type="dxa"/>
            <w:vAlign w:val="center"/>
          </w:tcPr>
          <w:p w14:paraId="406B2990">
            <w:pPr>
              <w:rPr>
                <w:rFonts w:ascii="宋体" w:hAnsi="宋体"/>
                <w:sz w:val="24"/>
                <w:highlight w:val="none"/>
              </w:rPr>
            </w:pPr>
          </w:p>
        </w:tc>
      </w:tr>
      <w:tr w14:paraId="253D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26BFD7">
            <w:pPr>
              <w:jc w:val="center"/>
              <w:rPr>
                <w:rFonts w:ascii="宋体" w:hAnsi="宋体"/>
                <w:sz w:val="24"/>
                <w:highlight w:val="none"/>
              </w:rPr>
            </w:pPr>
            <w:r>
              <w:rPr>
                <w:rFonts w:hint="eastAsia" w:ascii="宋体" w:hAnsi="宋体"/>
                <w:sz w:val="24"/>
                <w:highlight w:val="none"/>
              </w:rPr>
              <w:t>12</w:t>
            </w:r>
          </w:p>
        </w:tc>
        <w:tc>
          <w:tcPr>
            <w:tcW w:w="1080" w:type="dxa"/>
            <w:vAlign w:val="center"/>
          </w:tcPr>
          <w:p w14:paraId="574E6528">
            <w:pPr>
              <w:rPr>
                <w:rFonts w:ascii="宋体" w:hAnsi="宋体"/>
                <w:sz w:val="24"/>
                <w:highlight w:val="none"/>
              </w:rPr>
            </w:pPr>
          </w:p>
        </w:tc>
        <w:tc>
          <w:tcPr>
            <w:tcW w:w="2891" w:type="dxa"/>
            <w:vAlign w:val="center"/>
          </w:tcPr>
          <w:p w14:paraId="7910C10F">
            <w:pPr>
              <w:rPr>
                <w:rFonts w:ascii="宋体" w:hAnsi="宋体"/>
                <w:sz w:val="24"/>
                <w:highlight w:val="none"/>
              </w:rPr>
            </w:pPr>
          </w:p>
        </w:tc>
        <w:tc>
          <w:tcPr>
            <w:tcW w:w="1110" w:type="dxa"/>
            <w:vAlign w:val="center"/>
          </w:tcPr>
          <w:p w14:paraId="1273E799">
            <w:pPr>
              <w:rPr>
                <w:rFonts w:ascii="宋体" w:hAnsi="宋体"/>
                <w:sz w:val="24"/>
                <w:highlight w:val="none"/>
              </w:rPr>
            </w:pPr>
          </w:p>
        </w:tc>
        <w:tc>
          <w:tcPr>
            <w:tcW w:w="2613" w:type="dxa"/>
            <w:vAlign w:val="center"/>
          </w:tcPr>
          <w:p w14:paraId="033C031F">
            <w:pPr>
              <w:rPr>
                <w:rFonts w:ascii="宋体" w:hAnsi="宋体"/>
                <w:sz w:val="24"/>
                <w:highlight w:val="none"/>
              </w:rPr>
            </w:pPr>
          </w:p>
        </w:tc>
      </w:tr>
      <w:tr w14:paraId="412F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4B62B6D">
            <w:pPr>
              <w:jc w:val="center"/>
              <w:rPr>
                <w:rFonts w:ascii="宋体" w:hAnsi="宋体"/>
                <w:sz w:val="24"/>
                <w:highlight w:val="none"/>
              </w:rPr>
            </w:pPr>
            <w:r>
              <w:rPr>
                <w:rFonts w:hint="eastAsia" w:ascii="宋体" w:hAnsi="宋体"/>
                <w:sz w:val="24"/>
                <w:highlight w:val="none"/>
              </w:rPr>
              <w:t>13</w:t>
            </w:r>
          </w:p>
        </w:tc>
        <w:tc>
          <w:tcPr>
            <w:tcW w:w="1080" w:type="dxa"/>
            <w:vAlign w:val="center"/>
          </w:tcPr>
          <w:p w14:paraId="5352E570">
            <w:pPr>
              <w:rPr>
                <w:rFonts w:ascii="宋体" w:hAnsi="宋体"/>
                <w:sz w:val="24"/>
                <w:highlight w:val="none"/>
              </w:rPr>
            </w:pPr>
          </w:p>
        </w:tc>
        <w:tc>
          <w:tcPr>
            <w:tcW w:w="2891" w:type="dxa"/>
            <w:vAlign w:val="center"/>
          </w:tcPr>
          <w:p w14:paraId="30C16D56">
            <w:pPr>
              <w:rPr>
                <w:rFonts w:ascii="宋体" w:hAnsi="宋体"/>
                <w:sz w:val="24"/>
                <w:highlight w:val="none"/>
              </w:rPr>
            </w:pPr>
          </w:p>
        </w:tc>
        <w:tc>
          <w:tcPr>
            <w:tcW w:w="1110" w:type="dxa"/>
            <w:vAlign w:val="center"/>
          </w:tcPr>
          <w:p w14:paraId="1470FBFE">
            <w:pPr>
              <w:rPr>
                <w:rFonts w:ascii="宋体" w:hAnsi="宋体"/>
                <w:sz w:val="24"/>
                <w:highlight w:val="none"/>
              </w:rPr>
            </w:pPr>
          </w:p>
        </w:tc>
        <w:tc>
          <w:tcPr>
            <w:tcW w:w="2613" w:type="dxa"/>
            <w:vAlign w:val="center"/>
          </w:tcPr>
          <w:p w14:paraId="5140F900">
            <w:pPr>
              <w:rPr>
                <w:rFonts w:ascii="宋体" w:hAnsi="宋体"/>
                <w:sz w:val="24"/>
                <w:highlight w:val="none"/>
              </w:rPr>
            </w:pPr>
          </w:p>
        </w:tc>
      </w:tr>
    </w:tbl>
    <w:p w14:paraId="7C1F55AC">
      <w:pPr>
        <w:rPr>
          <w:rFonts w:ascii="宋体" w:hAnsi="宋体"/>
          <w:sz w:val="24"/>
          <w:highlight w:val="none"/>
        </w:rPr>
      </w:pPr>
      <w:r>
        <w:rPr>
          <w:rFonts w:hint="eastAsia" w:ascii="宋体" w:hAnsi="宋体"/>
          <w:b/>
          <w:sz w:val="24"/>
          <w:highlight w:val="none"/>
        </w:rPr>
        <w:t>注：</w:t>
      </w:r>
      <w:r>
        <w:rPr>
          <w:rFonts w:hint="eastAsia" w:ascii="宋体" w:hAnsi="宋体"/>
          <w:sz w:val="24"/>
          <w:highlight w:val="none"/>
        </w:rPr>
        <w:t>即使投标人进行了描述，也要提报该表，</w:t>
      </w:r>
      <w:r>
        <w:rPr>
          <w:rFonts w:hint="eastAsia" w:ascii="宋体" w:hAnsi="宋体"/>
          <w:b/>
          <w:sz w:val="24"/>
          <w:highlight w:val="none"/>
        </w:rPr>
        <w:t>无该表则被视为“无偏离”。</w:t>
      </w:r>
      <w:r>
        <w:rPr>
          <w:rFonts w:hint="eastAsia" w:ascii="宋体" w:hAnsi="宋体"/>
          <w:sz w:val="24"/>
          <w:highlight w:val="none"/>
        </w:rPr>
        <w:t>如无偏离注明“无”字。</w:t>
      </w:r>
    </w:p>
    <w:p w14:paraId="319C5E77">
      <w:pPr>
        <w:pStyle w:val="10"/>
        <w:spacing w:line="360" w:lineRule="auto"/>
        <w:rPr>
          <w:rFonts w:hAnsi="宋体"/>
          <w:b/>
          <w:bCs/>
          <w:sz w:val="28"/>
          <w:szCs w:val="28"/>
          <w:highlight w:val="none"/>
        </w:rPr>
      </w:pPr>
    </w:p>
    <w:p w14:paraId="514AA21A">
      <w:pPr>
        <w:rPr>
          <w:highlight w:val="none"/>
        </w:rPr>
      </w:pP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投标人名称：                   授权代表签字：            日期：</w:t>
      </w:r>
    </w:p>
    <w:p w14:paraId="7F250FD6">
      <w:pPr>
        <w:rPr>
          <w:rFonts w:eastAsia="黑体"/>
          <w:b/>
          <w:bCs/>
          <w:sz w:val="28"/>
          <w:highlight w:val="none"/>
        </w:rPr>
      </w:pPr>
    </w:p>
    <w:p w14:paraId="56E24FD9">
      <w:pPr>
        <w:rPr>
          <w:highlight w:val="none"/>
        </w:rPr>
      </w:pPr>
      <w:bookmarkStart w:id="26" w:name="_Toc32530"/>
    </w:p>
    <w:p w14:paraId="50CC30FC">
      <w:pPr>
        <w:pStyle w:val="13"/>
        <w:rPr>
          <w:highlight w:val="none"/>
        </w:rPr>
      </w:pPr>
    </w:p>
    <w:p w14:paraId="14D943E4">
      <w:pPr>
        <w:rPr>
          <w:rFonts w:ascii="宋体" w:hAnsi="宋体"/>
          <w:sz w:val="24"/>
          <w:highlight w:val="none"/>
        </w:rPr>
      </w:pPr>
      <w:r>
        <w:rPr>
          <w:rFonts w:hint="eastAsia" w:ascii="宋体" w:hAnsi="宋体"/>
          <w:sz w:val="24"/>
          <w:highlight w:val="none"/>
        </w:rPr>
        <w:t>附件5</w:t>
      </w:r>
      <w:bookmarkEnd w:id="26"/>
    </w:p>
    <w:p w14:paraId="6F4BF8D6">
      <w:pPr>
        <w:jc w:val="center"/>
        <w:rPr>
          <w:rFonts w:eastAsia="黑体"/>
          <w:b/>
          <w:bCs/>
          <w:sz w:val="28"/>
          <w:highlight w:val="none"/>
        </w:rPr>
      </w:pPr>
      <w:r>
        <w:rPr>
          <w:rFonts w:hint="eastAsia" w:eastAsia="黑体"/>
          <w:b/>
          <w:bCs/>
          <w:sz w:val="28"/>
          <w:highlight w:val="none"/>
        </w:rPr>
        <w:t>封面格式（参考）</w:t>
      </w:r>
    </w:p>
    <w:p w14:paraId="3AE49389">
      <w:pPr>
        <w:jc w:val="center"/>
        <w:rPr>
          <w:rFonts w:eastAsia="黑体"/>
          <w:b/>
          <w:bCs/>
          <w:sz w:val="28"/>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1452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01315537">
            <w:pPr>
              <w:pStyle w:val="8"/>
              <w:ind w:firstLine="470"/>
              <w:jc w:val="left"/>
              <w:rPr>
                <w:rFonts w:ascii="宋体" w:hAnsi="宋体"/>
                <w:sz w:val="24"/>
                <w:szCs w:val="24"/>
                <w:highlight w:val="none"/>
              </w:rPr>
            </w:pPr>
          </w:p>
          <w:p w14:paraId="4D304787">
            <w:pPr>
              <w:pStyle w:val="8"/>
              <w:ind w:left="0" w:leftChars="0"/>
              <w:jc w:val="left"/>
              <w:rPr>
                <w:rFonts w:ascii="宋体" w:hAnsi="宋体"/>
                <w:b/>
                <w:bCs/>
                <w:sz w:val="30"/>
                <w:szCs w:val="30"/>
                <w:highlight w:val="none"/>
              </w:rPr>
            </w:pPr>
            <w:r>
              <w:rPr>
                <w:rFonts w:hint="eastAsia" w:ascii="宋体" w:hAnsi="宋体" w:cs="宋体"/>
                <w:b/>
                <w:bCs/>
                <w:sz w:val="30"/>
                <w:szCs w:val="30"/>
                <w:highlight w:val="none"/>
              </w:rPr>
              <w:t>投标文件</w:t>
            </w:r>
          </w:p>
          <w:p w14:paraId="0E0F6BEC">
            <w:pPr>
              <w:pStyle w:val="8"/>
              <w:ind w:left="0" w:leftChars="0"/>
              <w:jc w:val="left"/>
              <w:rPr>
                <w:rFonts w:ascii="宋体" w:hAnsi="宋体"/>
                <w:sz w:val="30"/>
                <w:szCs w:val="30"/>
                <w:highlight w:val="none"/>
              </w:rPr>
            </w:pPr>
            <w:r>
              <w:rPr>
                <w:rFonts w:hint="eastAsia" w:ascii="宋体" w:hAnsi="宋体" w:cs="宋体"/>
                <w:b/>
                <w:bCs/>
                <w:sz w:val="30"/>
                <w:szCs w:val="30"/>
                <w:highlight w:val="none"/>
              </w:rPr>
              <w:t>（正本）</w:t>
            </w:r>
          </w:p>
          <w:p w14:paraId="5D977346">
            <w:pPr>
              <w:pStyle w:val="8"/>
              <w:ind w:firstLine="353"/>
              <w:jc w:val="left"/>
              <w:rPr>
                <w:rFonts w:ascii="宋体" w:hAnsi="宋体"/>
                <w:sz w:val="18"/>
                <w:szCs w:val="18"/>
                <w:highlight w:val="none"/>
              </w:rPr>
            </w:pPr>
          </w:p>
          <w:p w14:paraId="6F5BC3B4">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项目名称：</w:t>
            </w:r>
          </w:p>
          <w:p w14:paraId="44BE0FF9">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投标人名称（公章）：</w:t>
            </w:r>
          </w:p>
          <w:p w14:paraId="5EB4727B">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地址：</w:t>
            </w:r>
          </w:p>
          <w:p w14:paraId="7012A2E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电话：</w:t>
            </w:r>
          </w:p>
          <w:p w14:paraId="05251851">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传真：</w:t>
            </w:r>
          </w:p>
          <w:p w14:paraId="560CAAD0">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邮编：</w:t>
            </w:r>
            <w:r>
              <w:rPr>
                <w:rFonts w:ascii="宋体" w:hAnsi="宋体" w:cs="宋体"/>
                <w:sz w:val="32"/>
                <w:szCs w:val="32"/>
                <w:highlight w:val="none"/>
              </w:rPr>
              <w:t xml:space="preserve"> </w:t>
            </w:r>
          </w:p>
        </w:tc>
        <w:tc>
          <w:tcPr>
            <w:tcW w:w="4775" w:type="dxa"/>
          </w:tcPr>
          <w:p w14:paraId="2B9809CF">
            <w:pPr>
              <w:pStyle w:val="8"/>
              <w:ind w:firstLine="470"/>
              <w:jc w:val="left"/>
              <w:rPr>
                <w:rFonts w:ascii="宋体" w:hAnsi="宋体"/>
                <w:sz w:val="24"/>
                <w:szCs w:val="24"/>
                <w:highlight w:val="none"/>
              </w:rPr>
            </w:pPr>
          </w:p>
          <w:p w14:paraId="3D193724">
            <w:pPr>
              <w:pStyle w:val="8"/>
              <w:ind w:left="0" w:leftChars="0"/>
              <w:jc w:val="left"/>
              <w:rPr>
                <w:rFonts w:ascii="宋体" w:hAnsi="宋体"/>
                <w:b/>
                <w:bCs/>
                <w:sz w:val="30"/>
                <w:szCs w:val="30"/>
                <w:highlight w:val="none"/>
              </w:rPr>
            </w:pPr>
            <w:r>
              <w:rPr>
                <w:rFonts w:hint="eastAsia" w:ascii="宋体" w:hAnsi="宋体" w:cs="宋体"/>
                <w:b/>
                <w:bCs/>
                <w:sz w:val="30"/>
                <w:szCs w:val="30"/>
                <w:highlight w:val="none"/>
              </w:rPr>
              <w:t>投标文件</w:t>
            </w:r>
          </w:p>
          <w:p w14:paraId="5397A871">
            <w:pPr>
              <w:pStyle w:val="8"/>
              <w:ind w:left="0" w:leftChars="0"/>
              <w:jc w:val="left"/>
              <w:rPr>
                <w:rFonts w:ascii="宋体" w:hAnsi="宋体"/>
                <w:sz w:val="30"/>
                <w:szCs w:val="30"/>
                <w:highlight w:val="none"/>
              </w:rPr>
            </w:pPr>
            <w:r>
              <w:rPr>
                <w:rFonts w:hint="eastAsia" w:ascii="宋体" w:hAnsi="宋体" w:cs="宋体"/>
                <w:b/>
                <w:bCs/>
                <w:sz w:val="30"/>
                <w:szCs w:val="30"/>
                <w:highlight w:val="none"/>
              </w:rPr>
              <w:t>（副本）</w:t>
            </w:r>
          </w:p>
          <w:p w14:paraId="783491F6">
            <w:pPr>
              <w:pStyle w:val="8"/>
              <w:ind w:firstLine="353"/>
              <w:jc w:val="left"/>
              <w:rPr>
                <w:rFonts w:ascii="宋体" w:hAnsi="宋体"/>
                <w:sz w:val="18"/>
                <w:szCs w:val="18"/>
                <w:highlight w:val="none"/>
              </w:rPr>
            </w:pPr>
          </w:p>
          <w:p w14:paraId="7691F48F">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项目名称：</w:t>
            </w:r>
          </w:p>
          <w:p w14:paraId="2D0F7292">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投标人名称（公章）：</w:t>
            </w:r>
          </w:p>
          <w:p w14:paraId="1BDF13E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地址：</w:t>
            </w:r>
          </w:p>
          <w:p w14:paraId="26563B84">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电话：</w:t>
            </w:r>
          </w:p>
          <w:p w14:paraId="4A4C967C">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传真：</w:t>
            </w:r>
          </w:p>
          <w:p w14:paraId="63CFF8B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邮编：</w:t>
            </w:r>
            <w:r>
              <w:rPr>
                <w:rFonts w:ascii="宋体" w:hAnsi="宋体" w:cs="宋体"/>
                <w:sz w:val="32"/>
                <w:szCs w:val="32"/>
                <w:highlight w:val="none"/>
              </w:rPr>
              <w:t xml:space="preserve"> </w:t>
            </w:r>
          </w:p>
        </w:tc>
      </w:tr>
    </w:tbl>
    <w:p w14:paraId="7FB55B79">
      <w:pPr>
        <w:pStyle w:val="8"/>
        <w:ind w:left="0" w:leftChars="0"/>
        <w:outlineLvl w:val="9"/>
        <w:rPr>
          <w:rFonts w:ascii="宋体" w:hAnsi="宋体"/>
          <w:b/>
          <w:bCs/>
          <w:sz w:val="32"/>
          <w:szCs w:val="32"/>
          <w:highlight w:val="none"/>
        </w:rPr>
      </w:pPr>
      <w:bookmarkStart w:id="27" w:name="_Toc15445"/>
      <w:bookmarkStart w:id="28" w:name="_Toc5365"/>
      <w:r>
        <w:rPr>
          <w:rFonts w:hint="eastAsia" w:ascii="宋体" w:hAnsi="宋体" w:cs="宋体"/>
          <w:b/>
          <w:bCs/>
          <w:sz w:val="32"/>
          <w:szCs w:val="32"/>
          <w:highlight w:val="none"/>
        </w:rPr>
        <w:t>封口格式：</w:t>
      </w:r>
      <w:bookmarkEnd w:id="27"/>
      <w:bookmarkEnd w:id="28"/>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3D25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61560DB3">
            <w:pPr>
              <w:pStyle w:val="8"/>
              <w:ind w:left="0" w:leftChars="0"/>
              <w:rPr>
                <w:rFonts w:ascii="宋体" w:hAnsi="宋体"/>
                <w:sz w:val="24"/>
                <w:szCs w:val="24"/>
                <w:highlight w:val="none"/>
              </w:rPr>
            </w:pPr>
            <w:r>
              <w:rPr>
                <w:rFonts w:hint="eastAsia" w:ascii="宋体" w:hAnsi="宋体" w:cs="宋体"/>
                <w:sz w:val="24"/>
                <w:szCs w:val="24"/>
                <w:highlight w:val="none"/>
              </w:rPr>
              <w:t>……………………于</w:t>
            </w:r>
            <w:r>
              <w:rPr>
                <w:rFonts w:hint="eastAsia" w:ascii="宋体" w:hAnsi="宋体" w:cs="宋体"/>
                <w:sz w:val="24"/>
                <w:szCs w:val="24"/>
                <w:highlight w:val="none"/>
                <w:u w:val="single"/>
              </w:rPr>
              <w:t xml:space="preserve">     </w:t>
            </w:r>
            <w:r>
              <w:rPr>
                <w:rFonts w:ascii="宋体" w:hAnsi="宋体" w:cs="宋体"/>
                <w:sz w:val="24"/>
                <w:szCs w:val="24"/>
                <w:highlight w:val="none"/>
              </w:rPr>
              <w:t>年</w:t>
            </w:r>
            <w:r>
              <w:rPr>
                <w:rFonts w:ascii="宋体" w:hAnsi="宋体" w:cs="宋体"/>
                <w:sz w:val="24"/>
                <w:szCs w:val="24"/>
                <w:highlight w:val="none"/>
                <w:u w:val="single"/>
              </w:rPr>
              <w:t xml:space="preserve">  </w:t>
            </w:r>
            <w:r>
              <w:rPr>
                <w:rFonts w:hint="eastAsia" w:ascii="宋体" w:hAnsi="宋体" w:cs="宋体"/>
                <w:sz w:val="24"/>
                <w:szCs w:val="24"/>
                <w:highlight w:val="none"/>
              </w:rPr>
              <w:t>月</w:t>
            </w:r>
            <w:r>
              <w:rPr>
                <w:rFonts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时之前不准启封（公章）…………………</w:t>
            </w:r>
          </w:p>
        </w:tc>
      </w:tr>
    </w:tbl>
    <w:p w14:paraId="4D3D631B">
      <w:pPr>
        <w:tabs>
          <w:tab w:val="left" w:pos="1620"/>
        </w:tabs>
        <w:spacing w:line="400" w:lineRule="exact"/>
        <w:rPr>
          <w:rFonts w:ascii="黑体" w:hAnsi="Courier New" w:eastAsia="黑体"/>
          <w:b/>
          <w:bCs/>
          <w:sz w:val="36"/>
          <w:szCs w:val="36"/>
          <w:highlight w:val="none"/>
        </w:rPr>
      </w:pPr>
    </w:p>
    <w:p w14:paraId="3EF0C58A">
      <w:pPr>
        <w:rPr>
          <w:highlight w:val="none"/>
        </w:rPr>
      </w:pPr>
    </w:p>
    <w:p w14:paraId="144274C2">
      <w:pPr>
        <w:rPr>
          <w:rFonts w:eastAsia="黑体"/>
          <w:b/>
          <w:bCs/>
          <w:sz w:val="28"/>
          <w:highlight w:val="none"/>
        </w:rPr>
      </w:pPr>
    </w:p>
    <w:p w14:paraId="72EC242F">
      <w:pPr>
        <w:rPr>
          <w:rFonts w:eastAsia="黑体"/>
          <w:b/>
          <w:bCs/>
          <w:sz w:val="28"/>
          <w:highlight w:val="none"/>
        </w:rPr>
      </w:pPr>
    </w:p>
    <w:p w14:paraId="68EE23C7">
      <w:pPr>
        <w:rPr>
          <w:rFonts w:eastAsia="黑体"/>
          <w:b/>
          <w:bCs/>
          <w:sz w:val="28"/>
          <w:highlight w:val="none"/>
        </w:rPr>
      </w:pPr>
    </w:p>
    <w:p w14:paraId="4079D660">
      <w:pPr>
        <w:pStyle w:val="10"/>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ascii="Times New Roman" w:hAnsi="Times New Roman" w:eastAsia="黑体" w:cs="Times New Roman"/>
          <w:b/>
          <w:bCs/>
          <w:sz w:val="28"/>
          <w:szCs w:val="20"/>
          <w:highlight w:val="none"/>
        </w:rPr>
      </w:pPr>
    </w:p>
    <w:p w14:paraId="47CE6A82">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28"/>
          <w:szCs w:val="20"/>
          <w:highlight w:val="none"/>
        </w:rPr>
      </w:pPr>
    </w:p>
    <w:p w14:paraId="24B66D57">
      <w:pPr>
        <w:rPr>
          <w:rFonts w:ascii="Times New Roman" w:hAnsi="Times New Roman" w:eastAsia="黑体" w:cs="Times New Roman"/>
          <w:b/>
          <w:bCs/>
          <w:sz w:val="36"/>
          <w:highlight w:val="none"/>
        </w:rPr>
      </w:pPr>
      <w:r>
        <w:rPr>
          <w:rFonts w:ascii="Times New Roman" w:hAnsi="Times New Roman" w:eastAsia="黑体" w:cs="Times New Roman"/>
          <w:b/>
          <w:bCs/>
          <w:sz w:val="36"/>
          <w:highlight w:val="none"/>
        </w:rPr>
        <w:br w:type="page"/>
      </w:r>
    </w:p>
    <w:p w14:paraId="1CED6424">
      <w:pPr>
        <w:rPr>
          <w:rFonts w:hint="eastAsia" w:ascii="宋体" w:hAnsi="宋体"/>
          <w:sz w:val="24"/>
          <w:highlight w:val="none"/>
        </w:rPr>
      </w:pPr>
      <w:r>
        <w:rPr>
          <w:rFonts w:hint="eastAsia" w:ascii="宋体" w:hAnsi="宋体"/>
          <w:sz w:val="24"/>
          <w:highlight w:val="none"/>
          <w:lang w:val="en-US" w:eastAsia="zh-CN"/>
        </w:rPr>
        <w:t>附件6 投标函</w:t>
      </w:r>
    </w:p>
    <w:p w14:paraId="70B23D17">
      <w:pPr>
        <w:jc w:val="center"/>
        <w:rPr>
          <w:rFonts w:hint="eastAsia" w:eastAsia="黑体"/>
          <w:b/>
          <w:bCs/>
          <w:sz w:val="28"/>
          <w:highlight w:val="none"/>
          <w:lang w:val="en-US" w:eastAsia="zh-CN"/>
        </w:rPr>
      </w:pPr>
      <w:r>
        <w:rPr>
          <w:rFonts w:hint="eastAsia" w:eastAsia="黑体"/>
          <w:b/>
          <w:bCs/>
          <w:sz w:val="28"/>
          <w:highlight w:val="none"/>
          <w:lang w:val="en-US" w:eastAsia="zh-CN"/>
        </w:rPr>
        <w:t>投标函</w:t>
      </w:r>
    </w:p>
    <w:p w14:paraId="544ED55F">
      <w:pPr>
        <w:jc w:val="center"/>
        <w:rPr>
          <w:rFonts w:hint="eastAsia" w:eastAsia="黑体"/>
          <w:b/>
          <w:bCs/>
          <w:sz w:val="28"/>
          <w:highlight w:val="none"/>
          <w:lang w:val="en-US" w:eastAsia="zh-CN"/>
        </w:rPr>
      </w:pPr>
    </w:p>
    <w:p w14:paraId="52C2A7CE">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致：中国重汽集团济南动力有限公司：</w:t>
      </w:r>
    </w:p>
    <w:p w14:paraId="469E37A5">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根据贵方XXX项目名称招标公告， 投标公司， 法人代表人为 ，正式授权 提交纸质投标文件：资质证明文件、商务文件和技术文件正本一份；电子版投标文件一份：资质证明文件、商务文件和技术文件。</w:t>
      </w:r>
    </w:p>
    <w:p w14:paraId="5778048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据此函，签字代表宣布同意如下：</w:t>
      </w:r>
    </w:p>
    <w:p w14:paraId="54DB27BD">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1.投标人已详细审查全部“招标文件”，包括修改文件（如有的话）以及全部参考资料和有关附件，已经了解我方对于招标文件、采购过程、采购结果有依法进行询问、质疑、投诉的权利及相关渠道和要求。</w:t>
      </w:r>
    </w:p>
    <w:p w14:paraId="3C03F32F">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2.投标人在投标之前已经与贵方进行了充分的沟通，完全理解并接受招标文件的各项规定和要求，对招标文件的合理性、合法性不再有异议。</w:t>
      </w:r>
    </w:p>
    <w:p w14:paraId="174248BC">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3.本投标有效期自开标日起90个日历日。</w:t>
      </w:r>
    </w:p>
    <w:p w14:paraId="544C10C6">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4.如中标，本投标文件至本项目合同履行完毕止均保持有效，本投标人将按“招标文件”及政府采购法律、法规的规定履行合同责任和义务。</w:t>
      </w:r>
    </w:p>
    <w:p w14:paraId="1AA61BC1">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5.投标人同意按照贵方要求提供与投标有关的一切数据或资料。</w:t>
      </w:r>
    </w:p>
    <w:p w14:paraId="53C64973">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6.与本投标有关的一切正式往来信函请寄：</w:t>
      </w:r>
    </w:p>
    <w:p w14:paraId="6F3761F0">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地址： </w:t>
      </w:r>
    </w:p>
    <w:p w14:paraId="7CD59F0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邮编： </w:t>
      </w:r>
    </w:p>
    <w:p w14:paraId="7B5F12A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电话： </w:t>
      </w:r>
      <w:r>
        <w:rPr>
          <w:rFonts w:hint="eastAsia" w:ascii="宋体" w:hAnsi="宋体" w:cs="宋体"/>
          <w:kern w:val="2"/>
          <w:sz w:val="24"/>
          <w:szCs w:val="24"/>
          <w:highlight w:val="none"/>
          <w:lang w:val="en-US" w:eastAsia="zh-CN" w:bidi="ar-SA"/>
        </w:rPr>
        <w:t xml:space="preserve">                                   </w:t>
      </w:r>
      <w:r>
        <w:rPr>
          <w:rFonts w:hint="eastAsia" w:ascii="宋体" w:hAnsi="宋体" w:eastAsia="宋体" w:cs="宋体"/>
          <w:kern w:val="2"/>
          <w:sz w:val="24"/>
          <w:szCs w:val="24"/>
          <w:highlight w:val="none"/>
          <w:lang w:val="en-US" w:eastAsia="zh-CN" w:bidi="ar-SA"/>
        </w:rPr>
        <w:t xml:space="preserve">传真： </w:t>
      </w:r>
    </w:p>
    <w:p w14:paraId="017214A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投标人代表姓名： </w:t>
      </w:r>
      <w:r>
        <w:rPr>
          <w:rFonts w:hint="eastAsia" w:ascii="宋体" w:hAnsi="宋体" w:cs="宋体"/>
          <w:kern w:val="2"/>
          <w:sz w:val="24"/>
          <w:szCs w:val="24"/>
          <w:highlight w:val="none"/>
          <w:lang w:val="en-US" w:eastAsia="zh-CN" w:bidi="ar-SA"/>
        </w:rPr>
        <w:t xml:space="preserve">                         </w:t>
      </w:r>
      <w:r>
        <w:rPr>
          <w:rFonts w:hint="eastAsia" w:ascii="宋体" w:hAnsi="宋体" w:eastAsia="宋体" w:cs="宋体"/>
          <w:kern w:val="2"/>
          <w:sz w:val="24"/>
          <w:szCs w:val="24"/>
          <w:highlight w:val="none"/>
          <w:lang w:val="en-US" w:eastAsia="zh-CN" w:bidi="ar-SA"/>
        </w:rPr>
        <w:t xml:space="preserve">职务： </w:t>
      </w:r>
    </w:p>
    <w:p w14:paraId="2CA16CC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开户银行： </w:t>
      </w:r>
    </w:p>
    <w:p w14:paraId="4353A4D2">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银行帐号： </w:t>
      </w:r>
    </w:p>
    <w:p w14:paraId="7416A2D0">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投标人名称（盖章）: </w:t>
      </w:r>
    </w:p>
    <w:p w14:paraId="427BF432">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授权代表签字：</w:t>
      </w:r>
    </w:p>
    <w:p w14:paraId="6A1E28EA">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6960" w:firstLineChars="29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138E2402">
      <w:pP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br w:type="page"/>
      </w:r>
    </w:p>
    <w:p w14:paraId="1FFCE22B">
      <w:pPr>
        <w:rPr>
          <w:rFonts w:hint="eastAsia" w:ascii="宋体" w:hAnsi="宋体"/>
          <w:sz w:val="24"/>
          <w:highlight w:val="none"/>
          <w:lang w:val="en-US" w:eastAsia="zh-CN"/>
        </w:rPr>
      </w:pPr>
      <w:r>
        <w:rPr>
          <w:rFonts w:hint="eastAsia" w:ascii="宋体" w:hAnsi="宋体"/>
          <w:sz w:val="24"/>
          <w:highlight w:val="none"/>
          <w:lang w:val="en-US" w:eastAsia="zh-CN"/>
        </w:rPr>
        <w:t>附件7 服务承诺函</w:t>
      </w:r>
    </w:p>
    <w:p w14:paraId="1D368FCD">
      <w:pPr>
        <w:keepNext w:val="0"/>
        <w:keepLines w:val="0"/>
        <w:widowControl/>
        <w:suppressLineNumbers w:val="0"/>
        <w:jc w:val="left"/>
        <w:rPr>
          <w:rFonts w:hint="eastAsia" w:ascii="宋体" w:hAnsi="宋体" w:eastAsia="宋体" w:cs="宋体"/>
          <w:kern w:val="2"/>
          <w:sz w:val="24"/>
          <w:szCs w:val="24"/>
          <w:highlight w:val="none"/>
          <w:lang w:val="en-US" w:eastAsia="zh-CN" w:bidi="ar-SA"/>
        </w:rPr>
      </w:pPr>
    </w:p>
    <w:p w14:paraId="5D6DE9A9">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7CF058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项目名称：XXX项目名称</w:t>
      </w:r>
    </w:p>
    <w:p w14:paraId="35CBEEA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中国重汽集团济南动力有限公司：</w:t>
      </w:r>
    </w:p>
    <w:p w14:paraId="3EF02042">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我代表（投标人名称）对中标合同产品的服务作如下承诺：</w:t>
      </w:r>
    </w:p>
    <w:p w14:paraId="37B9F22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00CE801A">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4BC05B13">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2C756E1A">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5DB4986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13C6AD5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68FC26A6">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E83FF1E">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14478959">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0F93E711">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35A411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7053687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2226A7B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6D442124">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投标人：（盖章）</w:t>
      </w:r>
    </w:p>
    <w:p w14:paraId="7E5CE5B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法定代表人（委托代理人）：（签字）</w:t>
      </w:r>
    </w:p>
    <w:p w14:paraId="16EF855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 期： 年 月 日</w:t>
      </w:r>
    </w:p>
    <w:p w14:paraId="40CAFB32">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36"/>
          <w:highlight w:val="none"/>
        </w:rPr>
      </w:pPr>
    </w:p>
    <w:p w14:paraId="01AF1D25">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 xml:space="preserve"> </w:t>
      </w:r>
    </w:p>
    <w:p w14:paraId="18EA9B75">
      <w:pPr>
        <w:rPr>
          <w:rFonts w:eastAsia="黑体"/>
          <w:b/>
          <w:bCs/>
          <w:sz w:val="36"/>
          <w:szCs w:val="22"/>
          <w:highlight w:val="none"/>
        </w:rPr>
      </w:pPr>
      <w:r>
        <w:rPr>
          <w:rFonts w:hint="eastAsia" w:eastAsia="黑体"/>
          <w:b/>
          <w:bCs/>
          <w:sz w:val="36"/>
          <w:szCs w:val="22"/>
          <w:highlight w:val="none"/>
        </w:rPr>
        <w:br w:type="page"/>
      </w:r>
    </w:p>
    <w:p w14:paraId="44952A1A">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1"/>
        <w:rPr>
          <w:rFonts w:hAnsi="宋体"/>
          <w:b/>
          <w:bCs/>
          <w:sz w:val="36"/>
          <w:szCs w:val="36"/>
          <w:highlight w:val="none"/>
        </w:rPr>
      </w:pPr>
      <w:r>
        <w:rPr>
          <w:rFonts w:hint="eastAsia" w:ascii="Times New Roman" w:hAnsi="Times New Roman" w:eastAsia="黑体" w:cs="Times New Roman"/>
          <w:b/>
          <w:bCs/>
          <w:sz w:val="32"/>
          <w:szCs w:val="21"/>
          <w:highlight w:val="none"/>
        </w:rPr>
        <w:t>技术协议书</w:t>
      </w:r>
    </w:p>
    <w:p w14:paraId="5AEF23F8">
      <w:pPr>
        <w:pStyle w:val="10"/>
        <w:keepNext w:val="0"/>
        <w:keepLines w:val="0"/>
        <w:pageBreakBefore w:val="0"/>
        <w:widowControl w:val="0"/>
        <w:kinsoku/>
        <w:wordWrap/>
        <w:overflowPunct/>
        <w:topLinePunct w:val="0"/>
        <w:autoSpaceDE/>
        <w:autoSpaceDN/>
        <w:bidi w:val="0"/>
        <w:adjustRightInd/>
        <w:snapToGrid/>
        <w:spacing w:line="500" w:lineRule="exact"/>
        <w:ind w:left="1031" w:leftChars="200" w:hanging="611" w:hangingChars="290"/>
        <w:textAlignment w:val="auto"/>
        <w:outlineLvl w:val="1"/>
        <w:rPr>
          <w:rFonts w:ascii="黑体" w:hAnsi="黑体" w:eastAsia="黑体"/>
          <w:highlight w:val="none"/>
        </w:rPr>
      </w:pPr>
      <w:r>
        <w:rPr>
          <w:rFonts w:hint="eastAsia" w:ascii="黑体" w:hAnsi="黑体" w:eastAsia="黑体"/>
          <w:b/>
          <w:bCs/>
          <w:highlight w:val="none"/>
        </w:rPr>
        <w:t>一、项目名称</w:t>
      </w:r>
    </w:p>
    <w:p w14:paraId="5843CAD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highlight w:val="none"/>
        </w:rPr>
      </w:pPr>
      <w:r>
        <w:rPr>
          <w:rFonts w:hint="eastAsia" w:ascii="宋体" w:hAnsi="Courier New"/>
          <w:highlight w:val="none"/>
          <w:lang w:eastAsia="zh-CN"/>
        </w:rPr>
        <w:t>中国重汽</w:t>
      </w:r>
      <w:r>
        <w:rPr>
          <w:rFonts w:hint="eastAsia" w:ascii="宋体" w:hAnsi="Courier New"/>
          <w:highlight w:val="none"/>
          <w:lang w:val="en-US" w:eastAsia="zh-CN"/>
        </w:rPr>
        <w:t>采购管理人员赋能培训</w:t>
      </w:r>
      <w:r>
        <w:rPr>
          <w:rFonts w:hint="eastAsia" w:ascii="宋体" w:hAnsi="Courier New"/>
          <w:highlight w:val="none"/>
          <w:lang w:eastAsia="zh-CN"/>
        </w:rPr>
        <w:t>项目。</w:t>
      </w:r>
    </w:p>
    <w:p w14:paraId="51E9BD89">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1"/>
        <w:rPr>
          <w:rFonts w:ascii="黑体" w:hAnsi="黑体" w:eastAsia="黑体"/>
          <w:b/>
          <w:bCs/>
          <w:highlight w:val="none"/>
        </w:rPr>
      </w:pPr>
      <w:r>
        <w:rPr>
          <w:rFonts w:hint="eastAsia" w:ascii="黑体" w:hAnsi="黑体" w:eastAsia="黑体" w:cstheme="minorBidi"/>
          <w:b/>
          <w:bCs/>
          <w:szCs w:val="22"/>
          <w:highlight w:val="none"/>
        </w:rPr>
        <w:t>二、标的组成及分类</w:t>
      </w:r>
    </w:p>
    <w:p w14:paraId="101E0DFB">
      <w:pPr>
        <w:pStyle w:val="10"/>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highlight w:val="none"/>
          <w:lang w:val="en-US" w:eastAsia="zh-CN"/>
        </w:rPr>
      </w:pPr>
      <w:r>
        <w:rPr>
          <w:rFonts w:hint="eastAsia" w:ascii="宋体" w:hAnsi="Courier New"/>
          <w:highlight w:val="none"/>
          <w:lang w:eastAsia="zh-CN"/>
        </w:rPr>
        <w:t>中国重汽</w:t>
      </w:r>
      <w:r>
        <w:rPr>
          <w:rFonts w:hint="eastAsia" w:ascii="宋体" w:hAnsi="Courier New"/>
          <w:highlight w:val="none"/>
          <w:lang w:val="en-US" w:eastAsia="zh-CN"/>
        </w:rPr>
        <w:t>采购管理人员赋能培训</w:t>
      </w:r>
      <w:r>
        <w:rPr>
          <w:rFonts w:hint="eastAsia"/>
          <w:highlight w:val="none"/>
          <w:lang w:eastAsia="zh-CN"/>
        </w:rPr>
        <w:t>项目，具体内容如下：</w:t>
      </w:r>
    </w:p>
    <w:p w14:paraId="37D3AEEF">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outlineLvl w:val="1"/>
        <w:rPr>
          <w:rFonts w:hint="eastAsia" w:ascii="黑体" w:hAnsi="黑体" w:eastAsia="黑体" w:cstheme="minorBidi"/>
          <w:b/>
          <w:bCs/>
          <w:szCs w:val="22"/>
          <w:highlight w:val="none"/>
        </w:rPr>
      </w:pPr>
      <w:r>
        <w:rPr>
          <w:rFonts w:hint="eastAsia" w:ascii="黑体" w:hAnsi="黑体" w:eastAsia="黑体" w:cstheme="minorBidi"/>
          <w:b/>
          <w:bCs/>
          <w:szCs w:val="22"/>
          <w:highlight w:val="none"/>
        </w:rPr>
        <w:t>三、技术要求</w:t>
      </w:r>
    </w:p>
    <w:p w14:paraId="361D46D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1"/>
        <w:rPr>
          <w:rFonts w:hint="default" w:ascii="宋体" w:hAnsi="Courier New" w:eastAsia="宋体" w:cstheme="minorBidi"/>
          <w:kern w:val="2"/>
          <w:sz w:val="21"/>
          <w:szCs w:val="22"/>
          <w:highlight w:val="none"/>
          <w:lang w:val="en-US" w:eastAsia="zh-CN" w:bidi="ar-SA"/>
        </w:rPr>
      </w:pPr>
      <w:r>
        <w:rPr>
          <w:rFonts w:hint="eastAsia" w:ascii="宋体" w:hAnsi="Courier New" w:eastAsia="宋体" w:cstheme="minorBidi"/>
          <w:kern w:val="2"/>
          <w:sz w:val="21"/>
          <w:szCs w:val="22"/>
          <w:highlight w:val="none"/>
          <w:lang w:val="en-US" w:eastAsia="zh-CN" w:bidi="ar-SA"/>
        </w:rPr>
        <w:t>招标信息一览表：</w:t>
      </w:r>
    </w:p>
    <w:tbl>
      <w:tblPr>
        <w:tblStyle w:val="20"/>
        <w:tblpPr w:leftFromText="180" w:rightFromText="180" w:vertAnchor="text" w:horzAnchor="page" w:tblpX="874" w:tblpY="230"/>
        <w:tblOverlap w:val="never"/>
        <w:tblW w:w="10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96"/>
        <w:gridCol w:w="1308"/>
        <w:gridCol w:w="995"/>
        <w:gridCol w:w="713"/>
        <w:gridCol w:w="3104"/>
        <w:gridCol w:w="1984"/>
      </w:tblGrid>
      <w:tr w14:paraId="05D1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jc w:val="center"/>
        </w:trPr>
        <w:tc>
          <w:tcPr>
            <w:tcW w:w="2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42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项目</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7C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培训形式</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47C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计量单位</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93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数量</w:t>
            </w:r>
          </w:p>
        </w:tc>
        <w:tc>
          <w:tcPr>
            <w:tcW w:w="3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16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班级设置</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B5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备注</w:t>
            </w:r>
          </w:p>
        </w:tc>
      </w:tr>
      <w:tr w14:paraId="2AD9B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32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外部师资课程</w:t>
            </w:r>
            <w:r>
              <w:rPr>
                <w:rFonts w:hint="eastAsia" w:ascii="宋体" w:hAnsi="宋体" w:eastAsia="宋体" w:cs="宋体"/>
                <w:b/>
                <w:bCs/>
                <w:i w:val="0"/>
                <w:iCs w:val="0"/>
                <w:color w:val="000000"/>
                <w:kern w:val="0"/>
                <w:sz w:val="18"/>
                <w:szCs w:val="18"/>
                <w:highlight w:val="none"/>
                <w:u w:val="none"/>
                <w:lang w:val="en-US" w:eastAsia="zh-CN" w:bidi="ar"/>
              </w:rPr>
              <w:br w:type="textWrapping"/>
            </w:r>
            <w:r>
              <w:rPr>
                <w:rFonts w:hint="eastAsia" w:ascii="宋体" w:hAnsi="宋体" w:eastAsia="宋体" w:cs="宋体"/>
                <w:b/>
                <w:bCs/>
                <w:i w:val="0"/>
                <w:iCs w:val="0"/>
                <w:color w:val="000000"/>
                <w:kern w:val="0"/>
                <w:sz w:val="18"/>
                <w:szCs w:val="18"/>
                <w:highlight w:val="none"/>
                <w:u w:val="none"/>
                <w:lang w:val="en-US" w:eastAsia="zh-CN" w:bidi="ar"/>
              </w:rPr>
              <w:t>共</w:t>
            </w:r>
            <w:r>
              <w:rPr>
                <w:rFonts w:hint="eastAsia" w:ascii="宋体" w:hAnsi="宋体" w:cs="宋体"/>
                <w:b/>
                <w:bCs/>
                <w:i w:val="0"/>
                <w:iCs w:val="0"/>
                <w:color w:val="000000"/>
                <w:kern w:val="0"/>
                <w:sz w:val="18"/>
                <w:szCs w:val="18"/>
                <w:highlight w:val="none"/>
                <w:u w:val="none"/>
                <w:lang w:val="en-US" w:eastAsia="zh-CN" w:bidi="ar"/>
              </w:rPr>
              <w:t>9</w:t>
            </w:r>
            <w:r>
              <w:rPr>
                <w:rFonts w:hint="eastAsia" w:ascii="宋体" w:hAnsi="宋体" w:eastAsia="宋体" w:cs="宋体"/>
                <w:b/>
                <w:bCs/>
                <w:i w:val="0"/>
                <w:iCs w:val="0"/>
                <w:color w:val="000000"/>
                <w:kern w:val="0"/>
                <w:sz w:val="18"/>
                <w:szCs w:val="18"/>
                <w:highlight w:val="none"/>
                <w:u w:val="none"/>
                <w:lang w:val="en-US" w:eastAsia="zh-CN" w:bidi="ar"/>
              </w:rPr>
              <w:t>门课程，包括：通用赋能课</w:t>
            </w:r>
            <w:r>
              <w:rPr>
                <w:rFonts w:hint="eastAsia" w:ascii="宋体" w:hAnsi="宋体" w:cs="宋体"/>
                <w:b/>
                <w:bCs/>
                <w:i w:val="0"/>
                <w:iCs w:val="0"/>
                <w:color w:val="000000"/>
                <w:kern w:val="0"/>
                <w:sz w:val="18"/>
                <w:szCs w:val="18"/>
                <w:highlight w:val="none"/>
                <w:u w:val="none"/>
                <w:lang w:val="en-US" w:eastAsia="zh-CN" w:bidi="ar"/>
              </w:rPr>
              <w:t>5门</w:t>
            </w:r>
            <w:r>
              <w:rPr>
                <w:rFonts w:hint="eastAsia" w:ascii="宋体" w:hAnsi="宋体" w:eastAsia="宋体" w:cs="宋体"/>
                <w:b/>
                <w:bCs/>
                <w:i w:val="0"/>
                <w:iCs w:val="0"/>
                <w:color w:val="000000"/>
                <w:kern w:val="0"/>
                <w:sz w:val="18"/>
                <w:szCs w:val="18"/>
                <w:highlight w:val="none"/>
                <w:u w:val="none"/>
                <w:lang w:val="en-US" w:eastAsia="zh-CN" w:bidi="ar"/>
              </w:rPr>
              <w:t>（供应链基础认知、商务核心技能、合规与安全、AI赋能素养、质量专业能力），采购管理必修课3门（供应商管理、采购策略、合同管理），采购执行</w:t>
            </w:r>
            <w:r>
              <w:rPr>
                <w:rFonts w:hint="eastAsia" w:ascii="宋体" w:hAnsi="宋体" w:cs="宋体"/>
                <w:b/>
                <w:bCs/>
                <w:i w:val="0"/>
                <w:iCs w:val="0"/>
                <w:color w:val="000000"/>
                <w:kern w:val="0"/>
                <w:sz w:val="18"/>
                <w:szCs w:val="18"/>
                <w:highlight w:val="none"/>
                <w:u w:val="none"/>
                <w:lang w:val="en-US" w:eastAsia="zh-CN" w:bidi="ar"/>
              </w:rPr>
              <w:t>必修课1门（业务能力提升-产品需求管理，计划管理，库存管理等）</w:t>
            </w:r>
          </w:p>
        </w:tc>
        <w:tc>
          <w:tcPr>
            <w:tcW w:w="1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D4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线下集训</w:t>
            </w:r>
          </w:p>
          <w:p w14:paraId="55D6B2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w:t>
            </w:r>
          </w:p>
          <w:p w14:paraId="41736F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线上直播</w:t>
            </w:r>
          </w:p>
        </w:tc>
        <w:tc>
          <w:tcPr>
            <w:tcW w:w="9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D2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课时</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88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32</w:t>
            </w: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33D9">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采取“</w:t>
            </w:r>
            <w:r>
              <w:rPr>
                <w:rFonts w:hint="eastAsia" w:ascii="宋体" w:hAnsi="宋体" w:eastAsia="宋体" w:cs="宋体"/>
                <w:kern w:val="0"/>
                <w:sz w:val="18"/>
                <w:szCs w:val="18"/>
                <w:highlight w:val="none"/>
                <w:lang w:val="en-US" w:eastAsia="zh-CN" w:bidi="ar"/>
              </w:rPr>
              <w:t>通用赋能</w:t>
            </w:r>
            <w:r>
              <w:rPr>
                <w:rFonts w:ascii="宋体" w:hAnsi="宋体" w:eastAsia="宋体" w:cs="宋体"/>
                <w:kern w:val="0"/>
                <w:sz w:val="18"/>
                <w:szCs w:val="18"/>
                <w:highlight w:val="none"/>
                <w:lang w:val="en-US" w:eastAsia="zh-CN" w:bidi="ar"/>
              </w:rPr>
              <w:t>课+</w:t>
            </w:r>
            <w:r>
              <w:rPr>
                <w:rFonts w:hint="eastAsia" w:ascii="宋体" w:hAnsi="宋体" w:eastAsia="宋体" w:cs="宋体"/>
                <w:kern w:val="0"/>
                <w:sz w:val="18"/>
                <w:szCs w:val="18"/>
                <w:highlight w:val="none"/>
                <w:lang w:val="en-US" w:eastAsia="zh-CN" w:bidi="ar"/>
              </w:rPr>
              <w:t>岗位必修课</w:t>
            </w:r>
            <w:r>
              <w:rPr>
                <w:rFonts w:ascii="宋体" w:hAnsi="宋体" w:eastAsia="宋体" w:cs="宋体"/>
                <w:kern w:val="0"/>
                <w:sz w:val="18"/>
                <w:szCs w:val="18"/>
                <w:highlight w:val="none"/>
                <w:lang w:val="en-US" w:eastAsia="zh-CN" w:bidi="ar"/>
              </w:rPr>
              <w:t>”模式开展：</w:t>
            </w:r>
          </w:p>
          <w:p w14:paraId="2FBD6526">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2天通用赋能课，线上线下共计160人</w:t>
            </w:r>
            <w:r>
              <w:rPr>
                <w:rFonts w:hint="eastAsia" w:ascii="宋体" w:hAnsi="宋体" w:eastAsia="宋体" w:cs="宋体"/>
                <w:kern w:val="0"/>
                <w:sz w:val="18"/>
                <w:szCs w:val="18"/>
                <w:highlight w:val="none"/>
                <w:lang w:val="en-US" w:eastAsia="zh-CN" w:bidi="ar"/>
              </w:rPr>
              <w:t>（其中</w:t>
            </w:r>
            <w:r>
              <w:rPr>
                <w:rFonts w:hint="eastAsia" w:ascii="宋体" w:hAnsi="宋体" w:cs="宋体"/>
                <w:kern w:val="0"/>
                <w:sz w:val="18"/>
                <w:szCs w:val="18"/>
                <w:highlight w:val="none"/>
                <w:lang w:val="en-US" w:eastAsia="zh-CN" w:bidi="ar"/>
              </w:rPr>
              <w:t>线下集训人数不超过110人</w:t>
            </w:r>
            <w:r>
              <w:rPr>
                <w:rFonts w:hint="eastAsia" w:ascii="宋体" w:hAnsi="宋体" w:eastAsia="宋体" w:cs="宋体"/>
                <w:kern w:val="0"/>
                <w:sz w:val="18"/>
                <w:szCs w:val="18"/>
                <w:highlight w:val="none"/>
                <w:lang w:val="en-US" w:eastAsia="zh-CN" w:bidi="ar"/>
              </w:rPr>
              <w:t>）；</w:t>
            </w:r>
          </w:p>
          <w:p w14:paraId="1FC5391F">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1天采购执行必修课，</w:t>
            </w:r>
            <w:r>
              <w:rPr>
                <w:rFonts w:hint="eastAsia" w:ascii="宋体" w:hAnsi="宋体" w:cs="宋体"/>
                <w:kern w:val="0"/>
                <w:sz w:val="18"/>
                <w:szCs w:val="18"/>
                <w:highlight w:val="none"/>
                <w:lang w:val="en-US" w:eastAsia="zh-CN" w:bidi="ar"/>
              </w:rPr>
              <w:t>线下集训人数不超过30人</w:t>
            </w:r>
            <w:r>
              <w:rPr>
                <w:rFonts w:hint="eastAsia" w:ascii="宋体" w:hAnsi="宋体" w:eastAsia="宋体" w:cs="宋体"/>
                <w:kern w:val="0"/>
                <w:sz w:val="18"/>
                <w:szCs w:val="18"/>
                <w:highlight w:val="none"/>
                <w:lang w:val="en-US" w:eastAsia="zh-CN" w:bidi="ar"/>
              </w:rPr>
              <w:t>；</w:t>
            </w:r>
          </w:p>
          <w:p w14:paraId="78978CDD">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1天采购管理必修课</w:t>
            </w:r>
            <w:r>
              <w:rPr>
                <w:rFonts w:hint="eastAsia" w:ascii="宋体" w:hAnsi="宋体" w:cs="宋体"/>
                <w:kern w:val="0"/>
                <w:sz w:val="18"/>
                <w:szCs w:val="18"/>
                <w:highlight w:val="none"/>
                <w:lang w:val="en-US" w:eastAsia="zh-CN" w:bidi="ar"/>
              </w:rPr>
              <w:t>，线下集训人数不超过80人</w:t>
            </w:r>
            <w:r>
              <w:rPr>
                <w:rFonts w:hint="eastAsia" w:ascii="宋体" w:hAnsi="宋体" w:eastAsia="宋体" w:cs="宋体"/>
                <w:kern w:val="0"/>
                <w:sz w:val="18"/>
                <w:szCs w:val="18"/>
                <w:highlight w:val="none"/>
                <w:lang w:val="en-US" w:eastAsia="zh-CN" w:bidi="ar"/>
              </w:rPr>
              <w:t>。</w:t>
            </w:r>
          </w:p>
          <w:p w14:paraId="6AB56C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i w:val="0"/>
                <w:iCs w:val="0"/>
                <w:color w:val="000000"/>
                <w:kern w:val="0"/>
                <w:sz w:val="18"/>
                <w:szCs w:val="18"/>
                <w:highlight w:val="none"/>
                <w:u w:val="none"/>
                <w:lang w:val="en-US" w:eastAsia="zh-CN" w:bidi="ar"/>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1F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本次培训共4天，具体安排详见课程安排。</w:t>
            </w:r>
          </w:p>
        </w:tc>
      </w:tr>
    </w:tbl>
    <w:p w14:paraId="2F0CC280">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Courier New"/>
          <w:b/>
          <w:bCs/>
          <w:highlight w:val="none"/>
          <w:lang w:val="en-US" w:eastAsia="zh-CN"/>
        </w:rPr>
      </w:pPr>
    </w:p>
    <w:p w14:paraId="08E7AE77">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b w:val="0"/>
          <w:bCs w:val="0"/>
          <w:highlight w:val="none"/>
          <w:lang w:val="en-US" w:eastAsia="zh-CN"/>
        </w:rPr>
      </w:pPr>
      <w:r>
        <w:rPr>
          <w:rFonts w:hint="eastAsia" w:ascii="宋体" w:hAnsi="Courier New"/>
          <w:b/>
          <w:bCs/>
          <w:highlight w:val="none"/>
          <w:lang w:val="en-US" w:eastAsia="zh-CN"/>
        </w:rPr>
        <w:t>1.课程目标：</w:t>
      </w:r>
      <w:r>
        <w:rPr>
          <w:rFonts w:hint="eastAsia" w:ascii="宋体" w:hAnsi="Courier New"/>
          <w:b w:val="0"/>
          <w:bCs w:val="0"/>
          <w:highlight w:val="none"/>
          <w:lang w:val="en-US" w:eastAsia="zh-CN"/>
        </w:rPr>
        <w:t>本次培训面向前期各单位核定的轮岗采购人员160人，围绕采购管理赋能、采购管理和采购执行必修技能设置课程，提高专业素质能力，帮助轮岗人员快速适应角色转变。</w:t>
      </w:r>
    </w:p>
    <w:p w14:paraId="5E5ECC59">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b w:val="0"/>
          <w:bCs w:val="0"/>
          <w:highlight w:val="none"/>
          <w:lang w:val="en-US" w:eastAsia="zh-CN"/>
        </w:rPr>
      </w:pPr>
      <w:r>
        <w:rPr>
          <w:rFonts w:hint="eastAsia" w:ascii="宋体" w:hAnsi="Courier New"/>
          <w:b/>
          <w:bCs/>
          <w:highlight w:val="none"/>
          <w:lang w:val="en-US" w:eastAsia="zh-CN"/>
        </w:rPr>
        <w:t>2.培训形式：</w:t>
      </w:r>
      <w:r>
        <w:rPr>
          <w:rFonts w:hint="eastAsia" w:ascii="宋体" w:hAnsi="Courier New"/>
          <w:b w:val="0"/>
          <w:bCs w:val="0"/>
          <w:highlight w:val="none"/>
          <w:lang w:val="en-US" w:eastAsia="zh-CN"/>
        </w:rPr>
        <w:t>采用集中授课，辅以案例讲解；培训时长共4天，地点为重汽科技园区。</w:t>
      </w:r>
    </w:p>
    <w:p w14:paraId="4A041C97">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b w:val="0"/>
          <w:bCs w:val="0"/>
          <w:highlight w:val="none"/>
          <w:lang w:val="en-US" w:eastAsia="zh-CN"/>
        </w:rPr>
      </w:pPr>
      <w:r>
        <w:rPr>
          <w:rFonts w:hint="eastAsia" w:ascii="宋体" w:hAnsi="Courier New"/>
          <w:b/>
          <w:bCs/>
          <w:highlight w:val="none"/>
          <w:lang w:val="en-US" w:eastAsia="zh-CN"/>
        </w:rPr>
        <w:t>3.课程内容要求：</w:t>
      </w:r>
      <w:r>
        <w:rPr>
          <w:rFonts w:hint="eastAsia" w:ascii="宋体" w:hAnsi="Courier New"/>
          <w:b w:val="0"/>
          <w:bCs w:val="0"/>
          <w:highlight w:val="none"/>
          <w:lang w:val="en-US" w:eastAsia="zh-CN"/>
        </w:rPr>
        <w:t>核心课程包含三部分：一是采购通用赋能课；二是采购管理必修课；三是采购执行必修课。</w:t>
      </w:r>
    </w:p>
    <w:p w14:paraId="67139CC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textAlignment w:val="auto"/>
        <w:outlineLvl w:val="9"/>
        <w:rPr>
          <w:rFonts w:hint="default" w:ascii="宋体" w:hAnsi="Courier New" w:eastAsia="宋体" w:cs="Times New Roman"/>
          <w:b/>
          <w:bCs/>
          <w:highlight w:val="none"/>
          <w:lang w:val="en-US" w:eastAsia="zh-CN"/>
        </w:rPr>
      </w:pPr>
      <w:r>
        <w:rPr>
          <w:rFonts w:hint="default" w:ascii="宋体" w:hAnsi="Courier New" w:eastAsia="宋体" w:cs="Times New Roman"/>
          <w:b/>
          <w:bCs/>
          <w:highlight w:val="none"/>
          <w:lang w:val="en-US" w:eastAsia="zh-CN"/>
        </w:rPr>
        <w:t>（1）</w:t>
      </w:r>
      <w:r>
        <w:rPr>
          <w:rFonts w:hint="eastAsia" w:ascii="宋体" w:hAnsi="Courier New" w:eastAsia="宋体" w:cs="Times New Roman"/>
          <w:b/>
          <w:bCs/>
          <w:highlight w:val="none"/>
          <w:lang w:val="en-US" w:eastAsia="zh-CN"/>
        </w:rPr>
        <w:t>通用赋能课</w:t>
      </w:r>
      <w:r>
        <w:rPr>
          <w:rFonts w:hint="default" w:ascii="宋体" w:hAnsi="Courier New" w:eastAsia="宋体" w:cs="Times New Roman"/>
          <w:b/>
          <w:bCs/>
          <w:highlight w:val="none"/>
          <w:lang w:val="en-US" w:eastAsia="zh-CN"/>
        </w:rPr>
        <w:t>：</w:t>
      </w:r>
    </w:p>
    <w:p w14:paraId="0DD09C3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bCs/>
          <w:highlight w:val="none"/>
          <w:lang w:val="en-US" w:eastAsia="zh-CN"/>
        </w:rPr>
      </w:pPr>
      <w:r>
        <w:rPr>
          <w:rFonts w:hint="eastAsia" w:ascii="宋体" w:hAnsi="Courier New" w:eastAsia="宋体" w:cs="Times New Roman"/>
          <w:b w:val="0"/>
          <w:bCs w:val="0"/>
          <w:kern w:val="2"/>
          <w:sz w:val="21"/>
          <w:highlight w:val="none"/>
          <w:lang w:val="en-US" w:eastAsia="zh-CN" w:bidi="ar-SA"/>
        </w:rPr>
        <w:t>①供应链基础认知</w:t>
      </w:r>
      <w:r>
        <w:rPr>
          <w:rFonts w:hint="eastAsia" w:ascii="宋体" w:hAnsi="Courier New" w:cs="Times New Roman"/>
          <w:b w:val="0"/>
          <w:bCs w:val="0"/>
          <w:kern w:val="2"/>
          <w:sz w:val="21"/>
          <w:highlight w:val="none"/>
          <w:lang w:val="en-US" w:eastAsia="zh-CN" w:bidi="ar-SA"/>
        </w:rPr>
        <w:t>课程</w:t>
      </w:r>
      <w:r>
        <w:rPr>
          <w:rFonts w:hint="eastAsia" w:ascii="宋体" w:hAnsi="Courier New" w:eastAsia="宋体" w:cs="Times New Roman"/>
          <w:b w:val="0"/>
          <w:bCs w:val="0"/>
          <w:kern w:val="2"/>
          <w:sz w:val="21"/>
          <w:highlight w:val="none"/>
          <w:lang w:val="en-US" w:eastAsia="zh-CN" w:bidi="ar-SA"/>
        </w:rPr>
        <w:t>：本课程帮助大家建立供应链整体思维</w:t>
      </w:r>
      <w:r>
        <w:rPr>
          <w:rFonts w:hint="eastAsia" w:ascii="宋体" w:hAnsi="Courier New" w:cs="Times New Roman"/>
          <w:b w:val="0"/>
          <w:bCs w:val="0"/>
          <w:kern w:val="2"/>
          <w:sz w:val="21"/>
          <w:highlight w:val="none"/>
          <w:lang w:val="en-US" w:eastAsia="zh-CN" w:bidi="ar-SA"/>
        </w:rPr>
        <w:t>，</w:t>
      </w:r>
      <w:r>
        <w:rPr>
          <w:rFonts w:hint="eastAsia" w:ascii="宋体" w:hAnsi="Courier New" w:eastAsia="宋体" w:cs="Times New Roman"/>
          <w:b w:val="0"/>
          <w:bCs w:val="0"/>
          <w:kern w:val="2"/>
          <w:sz w:val="21"/>
          <w:highlight w:val="none"/>
          <w:lang w:val="en-US" w:eastAsia="zh-CN" w:bidi="ar-SA"/>
        </w:rPr>
        <w:t>了解供应链概念，理解供应链如何匹配公司整体发展目标，兼顾成本、交付、创新和供应稳定。熟悉产品从设计、生产、分销到退市全阶段的供应链管理思路，掌握提前联动供应链上下游的工作思路。学会识别供应链隐患，做好风险防范，明白采购环节在整条供应链里的定位与价值。</w:t>
      </w:r>
    </w:p>
    <w:p w14:paraId="47D413B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bCs/>
          <w:highlight w:val="none"/>
          <w:lang w:val="en-US" w:eastAsia="zh-CN"/>
        </w:rPr>
      </w:pPr>
      <w:r>
        <w:rPr>
          <w:rFonts w:hint="eastAsia" w:ascii="宋体" w:hAnsi="Courier New" w:cs="Times New Roman"/>
          <w:b w:val="0"/>
          <w:bCs w:val="0"/>
          <w:kern w:val="2"/>
          <w:sz w:val="21"/>
          <w:highlight w:val="none"/>
          <w:lang w:val="en-US" w:eastAsia="zh-CN" w:bidi="ar-SA"/>
        </w:rPr>
        <w:t>②</w:t>
      </w:r>
      <w:r>
        <w:rPr>
          <w:rFonts w:hint="eastAsia" w:ascii="宋体" w:hAnsi="Courier New" w:eastAsia="宋体" w:cs="Times New Roman"/>
          <w:b w:val="0"/>
          <w:bCs w:val="0"/>
          <w:kern w:val="2"/>
          <w:sz w:val="21"/>
          <w:highlight w:val="none"/>
          <w:lang w:val="en-US" w:eastAsia="zh-CN" w:bidi="ar-SA"/>
        </w:rPr>
        <w:t>商务核心技能课程：本课程围绕商务洽谈和成本管控能力展开，学习不同场景下的沟通谈判思路，综合判断合作筹码，合理让步、平衡各方诉求。跳出只看单价的思维，从整体成本角度分析，学会拆解产品成本、挖掘供方价值。综合权衡成本、质量、交期和长期合作关系，形成稳定、可复用的商务谈判方法论。</w:t>
      </w:r>
    </w:p>
    <w:p w14:paraId="19FC3BE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cs="Times New Roman"/>
          <w:b w:val="0"/>
          <w:bCs w:val="0"/>
          <w:kern w:val="2"/>
          <w:sz w:val="21"/>
          <w:highlight w:val="none"/>
          <w:lang w:val="en-US" w:eastAsia="zh-CN" w:bidi="ar-SA"/>
        </w:rPr>
      </w:pPr>
      <w:r>
        <w:rPr>
          <w:rFonts w:hint="eastAsia" w:ascii="宋体" w:hAnsi="Courier New" w:cs="Times New Roman"/>
          <w:b w:val="0"/>
          <w:bCs w:val="0"/>
          <w:kern w:val="2"/>
          <w:sz w:val="21"/>
          <w:highlight w:val="none"/>
          <w:lang w:val="en-US" w:eastAsia="zh-CN" w:bidi="ar-SA"/>
        </w:rPr>
        <w:t>③合规与廉洁课程：本课程讲解采购工作需要遵守的法律法规和公司内控要求，清楚各类采购方式适用场景，落实岗位之间相互制衡的管理要求。学习识别廉洁风险，知晓利益冲突、商业贿赂相关红线。掌握风险排查、预警、整改闭环的工作思路，明确个人责任，养成依法依规办事、守住廉洁底线的工作习惯。</w:t>
      </w:r>
    </w:p>
    <w:p w14:paraId="28C7B17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cs="Times New Roman"/>
          <w:b w:val="0"/>
          <w:bCs w:val="0"/>
          <w:kern w:val="2"/>
          <w:sz w:val="21"/>
          <w:highlight w:val="none"/>
          <w:lang w:val="en-US" w:eastAsia="zh-CN" w:bidi="ar-SA"/>
        </w:rPr>
      </w:pPr>
      <w:r>
        <w:rPr>
          <w:rFonts w:hint="eastAsia" w:ascii="宋体" w:hAnsi="Courier New" w:cs="Times New Roman"/>
          <w:b w:val="0"/>
          <w:bCs w:val="0"/>
          <w:kern w:val="2"/>
          <w:sz w:val="21"/>
          <w:highlight w:val="none"/>
          <w:lang w:val="en-US" w:eastAsia="zh-CN" w:bidi="ar-SA"/>
        </w:rPr>
        <w:t>④AI赋能素养课程：本课程介绍人工智能在供应链工作中的适用场景，了解AI辅助信息整理、趋势判断、风险筛查的用法，分清工具辅助和人工最终决策的边界。重点学习使用AI的保密要求，警惕信息泄露、内容失真等问题。熟悉权限管理、内容复核的要求，做到规范、安全、合理使用智能化工具。</w:t>
      </w:r>
    </w:p>
    <w:p w14:paraId="69CF34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outlineLvl w:val="9"/>
        <w:rPr>
          <w:rFonts w:hint="default" w:ascii="宋体" w:hAnsi="Courier New" w:cs="Times New Roman"/>
          <w:b w:val="0"/>
          <w:bCs w:val="0"/>
          <w:kern w:val="2"/>
          <w:sz w:val="21"/>
          <w:highlight w:val="none"/>
          <w:lang w:val="en-US" w:eastAsia="zh-CN" w:bidi="ar-SA"/>
        </w:rPr>
      </w:pPr>
      <w:r>
        <w:rPr>
          <w:rFonts w:hint="eastAsia" w:ascii="宋体" w:hAnsi="Courier New" w:cs="Times New Roman"/>
          <w:b w:val="0"/>
          <w:bCs w:val="0"/>
          <w:kern w:val="2"/>
          <w:sz w:val="21"/>
          <w:highlight w:val="none"/>
          <w:lang w:val="en-US" w:eastAsia="zh-CN" w:bidi="ar-SA"/>
        </w:rPr>
        <w:t>⑤质量专业能力课程：本课程围绕质量管理思路展开，坚持过程管控、持续改进、风险前置的管理原则。熟悉供方样件试装、批量释放的管理要求，掌握常用质量管控工具重点讲解与采购相关的质量工具如PPAP。理解质量标准传递、问题追溯的逻辑，学会和供方协同管控生产过程中可能出现的质量风险，保障供货质量稳定可控。</w:t>
      </w:r>
    </w:p>
    <w:p w14:paraId="0A69F21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eastAsia="宋体" w:cs="Times New Roman"/>
          <w:b/>
          <w:bCs/>
          <w:highlight w:val="none"/>
          <w:lang w:val="en-US" w:eastAsia="zh-CN"/>
        </w:rPr>
      </w:pPr>
      <w:r>
        <w:rPr>
          <w:rFonts w:hint="eastAsia" w:ascii="宋体" w:hAnsi="Courier New" w:eastAsia="宋体" w:cs="Times New Roman"/>
          <w:b/>
          <w:bCs/>
          <w:highlight w:val="none"/>
          <w:lang w:val="en-US" w:eastAsia="zh-CN"/>
        </w:rPr>
        <w:t>（2）采购管理必修课：</w:t>
      </w:r>
    </w:p>
    <w:p w14:paraId="0849B2E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bCs/>
          <w:highlight w:val="none"/>
          <w:lang w:val="en-US" w:eastAsia="zh-CN"/>
        </w:rPr>
      </w:pPr>
      <w:r>
        <w:rPr>
          <w:rFonts w:hint="eastAsia" w:ascii="宋体" w:hAnsi="Courier New" w:eastAsia="宋体" w:cs="Times New Roman"/>
          <w:b w:val="0"/>
          <w:bCs w:val="0"/>
          <w:kern w:val="2"/>
          <w:sz w:val="21"/>
          <w:highlight w:val="none"/>
          <w:lang w:val="en-US" w:eastAsia="zh-CN" w:bidi="ar-SA"/>
        </w:rPr>
        <w:t>①供应商管理课程：</w:t>
      </w:r>
      <w:r>
        <w:rPr>
          <w:rFonts w:hint="eastAsia" w:ascii="宋体" w:hAnsi="Courier New" w:cs="Times New Roman"/>
          <w:b w:val="0"/>
          <w:bCs w:val="0"/>
          <w:kern w:val="2"/>
          <w:sz w:val="21"/>
          <w:highlight w:val="none"/>
          <w:lang w:val="en-US" w:eastAsia="zh-CN" w:bidi="ar-SA"/>
        </w:rPr>
        <w:t>本课程按照供应商合作全流程讲解管理思路，根据供方特点做分类管理，差异化开展合作。学习新供应商开发准入、综合能力评估的思路，掌握供应商日常评价方法，依据评价动态调整合作策略。同时了解供方淘汰切换的管控要点，平稳处理合作终止，减少因供方问题导致的供应链风险。实现供应商动态、良性管理。</w:t>
      </w:r>
    </w:p>
    <w:p w14:paraId="1F79974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bCs/>
          <w:highlight w:val="none"/>
          <w:lang w:val="en-US" w:eastAsia="zh-CN"/>
        </w:rPr>
      </w:pPr>
      <w:r>
        <w:rPr>
          <w:rFonts w:hint="eastAsia" w:ascii="宋体" w:hAnsi="Courier New" w:cs="Times New Roman"/>
          <w:b w:val="0"/>
          <w:bCs w:val="0"/>
          <w:kern w:val="2"/>
          <w:sz w:val="21"/>
          <w:highlight w:val="none"/>
          <w:lang w:val="en-US" w:eastAsia="zh-CN" w:bidi="ar-SA"/>
        </w:rPr>
        <w:t>②采购策略课程：本课程按物料品类梳理采购管理思路，结合物料特点制定差异化寻源方案，合理选择单一、多家供方布局方式。学习在质量、成本、交付、风险之间权衡取舍，根据公司不同阶段的重点目标灵活调整策略。借助数据监控业务状态，形成从物料分析到落地策略的标准化工作思路。</w:t>
      </w:r>
    </w:p>
    <w:p w14:paraId="6FF1CD2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eastAsia="宋体" w:cs="Times New Roman"/>
          <w:b/>
          <w:bCs/>
          <w:highlight w:val="none"/>
          <w:lang w:val="en-US" w:eastAsia="zh-CN"/>
        </w:rPr>
      </w:pPr>
      <w:r>
        <w:rPr>
          <w:rFonts w:hint="eastAsia" w:ascii="宋体" w:hAnsi="Courier New" w:cs="Times New Roman"/>
          <w:b w:val="0"/>
          <w:bCs w:val="0"/>
          <w:kern w:val="2"/>
          <w:sz w:val="21"/>
          <w:highlight w:val="none"/>
          <w:lang w:val="en-US" w:eastAsia="zh-CN" w:bidi="ar-SA"/>
        </w:rPr>
        <w:t>③合同管理课程：本课程从法律风险角度讲解采购合同全流程管控要点，熟悉合作主体核验、合同核心条款把控的思路。掌握合同评审、签署授权、履约跟进的管理要求，了解合同变更、争议处理、索赔的处置原则。重视过程资料留存，明白合同是划分双方权责、防控合作风险的重要载体，做好档案闭环管理。</w:t>
      </w:r>
    </w:p>
    <w:p w14:paraId="2B4D75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eastAsia="宋体" w:cs="Times New Roman"/>
          <w:b/>
          <w:bCs/>
          <w:highlight w:val="none"/>
          <w:lang w:val="en-US" w:eastAsia="zh-CN"/>
        </w:rPr>
      </w:pPr>
      <w:r>
        <w:rPr>
          <w:rFonts w:hint="eastAsia" w:ascii="宋体" w:hAnsi="Courier New" w:eastAsia="宋体" w:cs="Times New Roman"/>
          <w:b/>
          <w:bCs/>
          <w:highlight w:val="none"/>
          <w:lang w:val="en-US" w:eastAsia="zh-CN"/>
        </w:rPr>
        <w:t>（3）采购执行必修课：</w:t>
      </w:r>
    </w:p>
    <w:p w14:paraId="57AB40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cs="Times New Roman"/>
          <w:b w:val="0"/>
          <w:bCs w:val="0"/>
          <w:kern w:val="2"/>
          <w:sz w:val="21"/>
          <w:highlight w:val="none"/>
          <w:lang w:val="en-US" w:eastAsia="zh-CN" w:bidi="ar-SA"/>
        </w:rPr>
      </w:pPr>
      <w:r>
        <w:rPr>
          <w:rFonts w:hint="eastAsia"/>
          <w:highlight w:val="none"/>
        </w:rPr>
        <w:t>业务能力提高课程</w:t>
      </w:r>
      <w:r>
        <w:rPr>
          <w:rFonts w:hint="eastAsia"/>
          <w:highlight w:val="none"/>
          <w:lang w:eastAsia="zh-CN"/>
        </w:rPr>
        <w:t>：</w:t>
      </w:r>
      <w:r>
        <w:rPr>
          <w:rFonts w:hint="eastAsia" w:ascii="宋体" w:hAnsi="Courier New" w:cs="Times New Roman"/>
          <w:b w:val="0"/>
          <w:bCs w:val="0"/>
          <w:kern w:val="2"/>
          <w:sz w:val="21"/>
          <w:highlight w:val="none"/>
          <w:lang w:val="en-US" w:eastAsia="zh-CN" w:bidi="ar-SA"/>
        </w:rPr>
        <w:t>本课程讲解需求、计划、库存之间联动逻辑，理解牛鞭效应、需求变更对采购工作带来的影响。熟悉生产计划、物料排产的基本运行思路，掌握合理备货、订货、库存分类管理的方法，理清呆滞物料产生原因。做好采购、计划、仓储之间协同配合，保障物料供应平稳高效。</w:t>
      </w:r>
    </w:p>
    <w:p w14:paraId="6E17FE1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val="0"/>
          <w:bCs w:val="0"/>
          <w:highlight w:val="none"/>
          <w:lang w:val="en-US" w:eastAsia="zh-CN"/>
        </w:rPr>
      </w:pPr>
    </w:p>
    <w:p w14:paraId="40A84EF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val="0"/>
          <w:bCs w:val="0"/>
          <w:highlight w:val="none"/>
          <w:lang w:val="en-US" w:eastAsia="zh-CN"/>
        </w:rPr>
      </w:pPr>
      <w:r>
        <w:rPr>
          <w:rFonts w:hint="eastAsia" w:ascii="宋体" w:hAnsi="Courier New"/>
          <w:b w:val="0"/>
          <w:bCs w:val="0"/>
          <w:highlight w:val="none"/>
          <w:lang w:val="en-US" w:eastAsia="zh-CN"/>
        </w:rPr>
        <w:t>课程安排详见下表：</w:t>
      </w:r>
    </w:p>
    <w:tbl>
      <w:tblPr>
        <w:tblStyle w:val="20"/>
        <w:tblW w:w="103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0"/>
        <w:gridCol w:w="1408"/>
        <w:gridCol w:w="1408"/>
        <w:gridCol w:w="1472"/>
        <w:gridCol w:w="3939"/>
        <w:gridCol w:w="962"/>
      </w:tblGrid>
      <w:tr w14:paraId="3DF2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atLeast"/>
          <w:jc w:val="center"/>
        </w:trPr>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14:paraId="4607C75F">
            <w:pPr>
              <w:keepNext w:val="0"/>
              <w:keepLines w:val="0"/>
              <w:widowControl/>
              <w:suppressLineNumbers w:val="0"/>
              <w:jc w:val="center"/>
              <w:textAlignment w:val="center"/>
              <w:rPr>
                <w:rFonts w:hint="eastAsia" w:ascii="黑体" w:hAnsi="黑体" w:eastAsia="黑体" w:cs="黑体"/>
                <w:b/>
                <w:bCs/>
                <w:i w:val="0"/>
                <w:iCs w:val="0"/>
                <w:color w:val="auto"/>
                <w:kern w:val="2"/>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类别</w:t>
            </w: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14:paraId="0E1F0B6D">
            <w:pPr>
              <w:keepNext w:val="0"/>
              <w:keepLines w:val="0"/>
              <w:widowControl/>
              <w:suppressLineNumbers w:val="0"/>
              <w:jc w:val="center"/>
              <w:textAlignment w:val="center"/>
              <w:rPr>
                <w:rFonts w:hint="default" w:ascii="黑体" w:hAnsi="黑体" w:eastAsia="黑体" w:cs="黑体"/>
                <w:b/>
                <w:bCs/>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日期</w:t>
            </w: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14:paraId="2D1B86E9">
            <w:pPr>
              <w:keepNext w:val="0"/>
              <w:keepLines w:val="0"/>
              <w:widowControl/>
              <w:suppressLineNumbers w:val="0"/>
              <w:jc w:val="center"/>
              <w:textAlignment w:val="center"/>
              <w:rPr>
                <w:rFonts w:hint="eastAsia" w:ascii="黑体" w:hAnsi="黑体" w:eastAsia="黑体" w:cs="黑体"/>
                <w:b/>
                <w:bCs/>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时间</w:t>
            </w:r>
          </w:p>
        </w:tc>
        <w:tc>
          <w:tcPr>
            <w:tcW w:w="1472" w:type="dxa"/>
            <w:tcBorders>
              <w:top w:val="single" w:color="000000" w:sz="4" w:space="0"/>
              <w:left w:val="single" w:color="auto" w:sz="4" w:space="0"/>
              <w:bottom w:val="single" w:color="000000" w:sz="4" w:space="0"/>
              <w:right w:val="single" w:color="000000" w:sz="4" w:space="0"/>
            </w:tcBorders>
            <w:shd w:val="clear" w:color="auto" w:fill="auto"/>
            <w:vAlign w:val="center"/>
          </w:tcPr>
          <w:p w14:paraId="76021249">
            <w:pPr>
              <w:keepNext w:val="0"/>
              <w:keepLines w:val="0"/>
              <w:widowControl/>
              <w:suppressLineNumbers w:val="0"/>
              <w:jc w:val="center"/>
              <w:textAlignment w:val="center"/>
              <w:rPr>
                <w:rFonts w:hint="eastAsia" w:ascii="黑体" w:hAnsi="黑体" w:eastAsia="黑体" w:cs="黑体"/>
                <w:b/>
                <w:bCs/>
                <w:i w:val="0"/>
                <w:iCs w:val="0"/>
                <w:color w:val="auto"/>
                <w:sz w:val="18"/>
                <w:szCs w:val="18"/>
                <w:highlight w:val="none"/>
                <w:u w:val="none"/>
              </w:rPr>
            </w:pPr>
            <w:r>
              <w:rPr>
                <w:rFonts w:hint="eastAsia" w:ascii="黑体" w:hAnsi="黑体" w:eastAsia="黑体" w:cs="黑体"/>
                <w:b/>
                <w:bCs/>
                <w:i w:val="0"/>
                <w:iCs w:val="0"/>
                <w:color w:val="auto"/>
                <w:kern w:val="0"/>
                <w:sz w:val="18"/>
                <w:szCs w:val="18"/>
                <w:highlight w:val="none"/>
                <w:u w:val="none"/>
                <w:lang w:val="en-US" w:eastAsia="zh-CN" w:bidi="ar"/>
              </w:rPr>
              <w:t>培训课程</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3058">
            <w:pPr>
              <w:keepNext w:val="0"/>
              <w:keepLines w:val="0"/>
              <w:widowControl/>
              <w:suppressLineNumbers w:val="0"/>
              <w:jc w:val="center"/>
              <w:textAlignment w:val="center"/>
              <w:rPr>
                <w:rFonts w:hint="eastAsia" w:ascii="黑体" w:hAnsi="黑体" w:eastAsia="黑体" w:cs="黑体"/>
                <w:b/>
                <w:bCs/>
                <w:i w:val="0"/>
                <w:iCs w:val="0"/>
                <w:color w:val="auto"/>
                <w:sz w:val="18"/>
                <w:szCs w:val="18"/>
                <w:highlight w:val="none"/>
                <w:u w:val="none"/>
              </w:rPr>
            </w:pPr>
            <w:r>
              <w:rPr>
                <w:rFonts w:hint="eastAsia" w:ascii="黑体" w:hAnsi="黑体" w:eastAsia="黑体" w:cs="黑体"/>
                <w:b/>
                <w:bCs/>
                <w:i w:val="0"/>
                <w:iCs w:val="0"/>
                <w:color w:val="auto"/>
                <w:kern w:val="0"/>
                <w:sz w:val="18"/>
                <w:szCs w:val="18"/>
                <w:highlight w:val="none"/>
                <w:u w:val="none"/>
                <w:lang w:val="en-US" w:eastAsia="zh-CN" w:bidi="ar"/>
              </w:rPr>
              <w:t>培训内容</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3078">
            <w:pPr>
              <w:keepNext w:val="0"/>
              <w:keepLines w:val="0"/>
              <w:widowControl/>
              <w:suppressLineNumbers w:val="0"/>
              <w:jc w:val="center"/>
              <w:textAlignment w:val="center"/>
              <w:rPr>
                <w:rFonts w:hint="eastAsia" w:ascii="黑体" w:hAnsi="黑体" w:eastAsia="黑体" w:cs="黑体"/>
                <w:b/>
                <w:bCs/>
                <w:i w:val="0"/>
                <w:iCs w:val="0"/>
                <w:color w:val="auto"/>
                <w:sz w:val="18"/>
                <w:szCs w:val="18"/>
                <w:highlight w:val="none"/>
                <w:u w:val="none"/>
              </w:rPr>
            </w:pPr>
            <w:r>
              <w:rPr>
                <w:rFonts w:hint="eastAsia" w:ascii="黑体" w:hAnsi="黑体" w:eastAsia="黑体" w:cs="黑体"/>
                <w:b/>
                <w:bCs/>
                <w:i w:val="0"/>
                <w:iCs w:val="0"/>
                <w:color w:val="auto"/>
                <w:kern w:val="0"/>
                <w:sz w:val="18"/>
                <w:szCs w:val="18"/>
                <w:highlight w:val="none"/>
                <w:u w:val="none"/>
                <w:lang w:val="en-US" w:eastAsia="zh-CN" w:bidi="ar"/>
              </w:rPr>
              <w:t>课时（h）</w:t>
            </w:r>
          </w:p>
        </w:tc>
      </w:tr>
      <w:tr w14:paraId="65C1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restart"/>
            <w:tcBorders>
              <w:top w:val="single" w:color="auto" w:sz="4" w:space="0"/>
              <w:left w:val="single" w:color="auto" w:sz="4" w:space="0"/>
              <w:right w:val="single" w:color="auto" w:sz="4" w:space="0"/>
            </w:tcBorders>
            <w:shd w:val="clear" w:color="auto" w:fill="auto"/>
            <w:vAlign w:val="center"/>
          </w:tcPr>
          <w:p w14:paraId="201A3A14">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通用</w:t>
            </w:r>
          </w:p>
          <w:p w14:paraId="2F645E2D">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赋能课</w:t>
            </w:r>
          </w:p>
          <w:p w14:paraId="27FD3B8B">
            <w:pPr>
              <w:keepNext w:val="0"/>
              <w:keepLines w:val="0"/>
              <w:widowControl/>
              <w:suppressLineNumbers w:val="0"/>
              <w:tabs>
                <w:tab w:val="left" w:pos="442"/>
              </w:tabs>
              <w:jc w:val="left"/>
              <w:textAlignment w:val="center"/>
              <w:rPr>
                <w:rFonts w:hint="eastAsia" w:ascii="宋体" w:hAnsi="宋体" w:eastAsia="宋体" w:cs="宋体"/>
                <w:b/>
                <w:bCs/>
                <w:i w:val="0"/>
                <w:iCs w:val="0"/>
                <w:color w:val="auto"/>
                <w:kern w:val="0"/>
                <w:sz w:val="18"/>
                <w:szCs w:val="18"/>
                <w:highlight w:val="none"/>
                <w:u w:val="none"/>
                <w:lang w:val="en-US" w:eastAsia="zh-CN" w:bidi="ar"/>
              </w:rPr>
            </w:pPr>
          </w:p>
        </w:tc>
        <w:tc>
          <w:tcPr>
            <w:tcW w:w="1408" w:type="dxa"/>
            <w:vMerge w:val="restart"/>
            <w:tcBorders>
              <w:top w:val="single" w:color="auto" w:sz="4" w:space="0"/>
              <w:left w:val="single" w:color="auto" w:sz="4" w:space="0"/>
              <w:right w:val="single" w:color="auto" w:sz="4" w:space="0"/>
            </w:tcBorders>
            <w:shd w:val="clear" w:color="auto" w:fill="auto"/>
            <w:vAlign w:val="center"/>
          </w:tcPr>
          <w:p w14:paraId="079194A7">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11月12日</w:t>
            </w: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14:paraId="1B37A92D">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cs="宋体"/>
                <w:b w:val="0"/>
                <w:bCs w:val="0"/>
                <w:i w:val="0"/>
                <w:iCs w:val="0"/>
                <w:color w:val="auto"/>
                <w:kern w:val="0"/>
                <w:sz w:val="18"/>
                <w:szCs w:val="18"/>
                <w:highlight w:val="none"/>
                <w:u w:val="none"/>
                <w:lang w:val="en-US" w:eastAsia="zh-CN" w:bidi="ar"/>
              </w:rPr>
              <w:t>9</w:t>
            </w:r>
            <w:r>
              <w:rPr>
                <w:rFonts w:hint="eastAsia" w:ascii="宋体" w:hAnsi="宋体" w:eastAsia="宋体" w:cs="宋体"/>
                <w:b w:val="0"/>
                <w:bCs w:val="0"/>
                <w:i w:val="0"/>
                <w:iCs w:val="0"/>
                <w:color w:val="auto"/>
                <w:kern w:val="0"/>
                <w:sz w:val="18"/>
                <w:szCs w:val="18"/>
                <w:highlight w:val="none"/>
                <w:u w:val="none"/>
                <w:lang w:val="en-US" w:eastAsia="zh-CN" w:bidi="ar"/>
              </w:rPr>
              <w:t>:</w:t>
            </w:r>
            <w:r>
              <w:rPr>
                <w:rFonts w:hint="eastAsia" w:ascii="宋体" w:hAnsi="宋体" w:cs="宋体"/>
                <w:b w:val="0"/>
                <w:bCs w:val="0"/>
                <w:i w:val="0"/>
                <w:iCs w:val="0"/>
                <w:color w:val="auto"/>
                <w:kern w:val="0"/>
                <w:sz w:val="18"/>
                <w:szCs w:val="18"/>
                <w:highlight w:val="none"/>
                <w:u w:val="none"/>
                <w:lang w:val="en-US" w:eastAsia="zh-CN" w:bidi="ar"/>
              </w:rPr>
              <w:t>0</w:t>
            </w:r>
            <w:r>
              <w:rPr>
                <w:rFonts w:hint="eastAsia" w:ascii="宋体" w:hAnsi="宋体" w:eastAsia="宋体" w:cs="宋体"/>
                <w:b w:val="0"/>
                <w:bCs w:val="0"/>
                <w:i w:val="0"/>
                <w:iCs w:val="0"/>
                <w:color w:val="auto"/>
                <w:kern w:val="0"/>
                <w:sz w:val="18"/>
                <w:szCs w:val="18"/>
                <w:highlight w:val="none"/>
                <w:u w:val="none"/>
                <w:lang w:val="en-US" w:eastAsia="zh-CN" w:bidi="ar"/>
              </w:rPr>
              <w:t>0-10:30</w:t>
            </w:r>
          </w:p>
        </w:tc>
        <w:tc>
          <w:tcPr>
            <w:tcW w:w="1472" w:type="dxa"/>
            <w:tcBorders>
              <w:top w:val="single" w:color="000000" w:sz="4" w:space="0"/>
              <w:left w:val="single" w:color="auto" w:sz="4" w:space="0"/>
              <w:bottom w:val="single" w:color="000000" w:sz="4" w:space="0"/>
              <w:right w:val="single" w:color="000000" w:sz="4" w:space="0"/>
            </w:tcBorders>
            <w:shd w:val="clear" w:color="auto" w:fill="auto"/>
            <w:vAlign w:val="center"/>
          </w:tcPr>
          <w:p w14:paraId="14B15047">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供应链基础认知</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305C">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供应链战略、产品件全生命周期管理、供应链安全</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B189">
            <w:pPr>
              <w:keepNext w:val="0"/>
              <w:keepLines w:val="0"/>
              <w:widowControl/>
              <w:suppressLineNumbers w:val="0"/>
              <w:jc w:val="center"/>
              <w:textAlignment w:val="center"/>
              <w:rPr>
                <w:rFonts w:hint="default" w:ascii="宋体" w:hAnsi="宋体" w:eastAsia="宋体" w:cs="宋体"/>
                <w:b w:val="0"/>
                <w:bCs w:val="0"/>
                <w:i w:val="0"/>
                <w:iCs w:val="0"/>
                <w:color w:val="auto"/>
                <w:sz w:val="18"/>
                <w:szCs w:val="18"/>
                <w:highlight w:val="none"/>
                <w:u w:val="none"/>
                <w:lang w:val="en-US"/>
              </w:rPr>
            </w:pPr>
            <w:r>
              <w:rPr>
                <w:rFonts w:hint="eastAsia" w:ascii="宋体" w:hAnsi="宋体" w:cs="宋体"/>
                <w:b w:val="0"/>
                <w:bCs w:val="0"/>
                <w:i w:val="0"/>
                <w:iCs w:val="0"/>
                <w:color w:val="auto"/>
                <w:kern w:val="0"/>
                <w:sz w:val="18"/>
                <w:szCs w:val="18"/>
                <w:highlight w:val="none"/>
                <w:u w:val="none"/>
                <w:lang w:val="en-US" w:eastAsia="zh-CN" w:bidi="ar"/>
              </w:rPr>
              <w:t>1.5</w:t>
            </w:r>
          </w:p>
        </w:tc>
      </w:tr>
      <w:tr w14:paraId="41B5E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continue"/>
            <w:tcBorders>
              <w:left w:val="single" w:color="auto" w:sz="4" w:space="0"/>
              <w:right w:val="single" w:color="auto" w:sz="4" w:space="0"/>
            </w:tcBorders>
            <w:shd w:val="clear" w:color="auto" w:fill="auto"/>
            <w:vAlign w:val="center"/>
          </w:tcPr>
          <w:p w14:paraId="34BCBB78">
            <w:pPr>
              <w:jc w:val="left"/>
              <w:rPr>
                <w:rFonts w:hint="eastAsia" w:ascii="宋体" w:hAnsi="宋体" w:eastAsia="宋体" w:cs="宋体"/>
                <w:b/>
                <w:bCs/>
                <w:i w:val="0"/>
                <w:iCs w:val="0"/>
                <w:color w:val="auto"/>
                <w:sz w:val="18"/>
                <w:szCs w:val="18"/>
                <w:highlight w:val="none"/>
                <w:u w:val="none"/>
              </w:rPr>
            </w:pPr>
          </w:p>
        </w:tc>
        <w:tc>
          <w:tcPr>
            <w:tcW w:w="1408" w:type="dxa"/>
            <w:vMerge w:val="continue"/>
            <w:tcBorders>
              <w:left w:val="single" w:color="auto" w:sz="4" w:space="0"/>
              <w:right w:val="single" w:color="auto" w:sz="4" w:space="0"/>
            </w:tcBorders>
            <w:shd w:val="clear" w:color="auto" w:fill="auto"/>
            <w:vAlign w:val="center"/>
          </w:tcPr>
          <w:p w14:paraId="3BBDFE27">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14:paraId="0FAC1EE9">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10:30-12:00</w:t>
            </w:r>
          </w:p>
        </w:tc>
        <w:tc>
          <w:tcPr>
            <w:tcW w:w="1472" w:type="dxa"/>
            <w:tcBorders>
              <w:top w:val="single" w:color="000000" w:sz="4" w:space="0"/>
              <w:left w:val="single" w:color="auto" w:sz="4" w:space="0"/>
              <w:bottom w:val="single" w:color="000000" w:sz="4" w:space="0"/>
              <w:right w:val="single" w:color="000000" w:sz="4" w:space="0"/>
            </w:tcBorders>
            <w:shd w:val="clear" w:color="auto" w:fill="auto"/>
            <w:vAlign w:val="center"/>
          </w:tcPr>
          <w:p w14:paraId="457DE952">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商务核心技能</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0DF5">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谈判技巧、降本策略</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C021">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1.5</w:t>
            </w:r>
          </w:p>
        </w:tc>
      </w:tr>
      <w:tr w14:paraId="719D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continue"/>
            <w:tcBorders>
              <w:left w:val="single" w:color="auto" w:sz="4" w:space="0"/>
              <w:right w:val="single" w:color="auto" w:sz="4" w:space="0"/>
            </w:tcBorders>
            <w:shd w:val="clear" w:color="auto" w:fill="auto"/>
            <w:vAlign w:val="center"/>
          </w:tcPr>
          <w:p w14:paraId="11D4FBCC">
            <w:pPr>
              <w:jc w:val="left"/>
              <w:rPr>
                <w:rFonts w:hint="eastAsia" w:ascii="宋体" w:hAnsi="宋体" w:eastAsia="宋体" w:cs="宋体"/>
                <w:b/>
                <w:bCs/>
                <w:i w:val="0"/>
                <w:iCs w:val="0"/>
                <w:color w:val="auto"/>
                <w:sz w:val="18"/>
                <w:szCs w:val="18"/>
                <w:highlight w:val="none"/>
                <w:u w:val="none"/>
              </w:rPr>
            </w:pPr>
          </w:p>
        </w:tc>
        <w:tc>
          <w:tcPr>
            <w:tcW w:w="1408" w:type="dxa"/>
            <w:vMerge w:val="continue"/>
            <w:tcBorders>
              <w:left w:val="single" w:color="auto" w:sz="4" w:space="0"/>
              <w:right w:val="single" w:color="auto" w:sz="4" w:space="0"/>
            </w:tcBorders>
            <w:shd w:val="clear" w:color="auto" w:fill="auto"/>
            <w:vAlign w:val="center"/>
          </w:tcPr>
          <w:p w14:paraId="6F336A71">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14:paraId="6E9949E3">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13:00-15:30</w:t>
            </w:r>
          </w:p>
        </w:tc>
        <w:tc>
          <w:tcPr>
            <w:tcW w:w="1472" w:type="dxa"/>
            <w:tcBorders>
              <w:top w:val="single" w:color="000000" w:sz="4" w:space="0"/>
              <w:left w:val="single" w:color="auto" w:sz="4" w:space="0"/>
              <w:bottom w:val="single" w:color="000000" w:sz="4" w:space="0"/>
              <w:right w:val="single" w:color="000000" w:sz="4" w:space="0"/>
            </w:tcBorders>
            <w:shd w:val="clear" w:color="auto" w:fill="auto"/>
            <w:vAlign w:val="center"/>
          </w:tcPr>
          <w:p w14:paraId="7064D5F2">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合规与廉洁</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0FBB">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合规意识与廉洁教育</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BB27">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2.5</w:t>
            </w:r>
          </w:p>
        </w:tc>
      </w:tr>
      <w:tr w14:paraId="443F9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continue"/>
            <w:tcBorders>
              <w:left w:val="single" w:color="auto" w:sz="4" w:space="0"/>
              <w:right w:val="single" w:color="auto" w:sz="4" w:space="0"/>
            </w:tcBorders>
            <w:shd w:val="clear" w:color="auto" w:fill="auto"/>
            <w:vAlign w:val="center"/>
          </w:tcPr>
          <w:p w14:paraId="74E541FF">
            <w:pPr>
              <w:jc w:val="left"/>
              <w:rPr>
                <w:rFonts w:hint="eastAsia" w:ascii="宋体" w:hAnsi="宋体" w:eastAsia="宋体" w:cs="宋体"/>
                <w:b/>
                <w:bCs/>
                <w:i w:val="0"/>
                <w:iCs w:val="0"/>
                <w:color w:val="auto"/>
                <w:sz w:val="18"/>
                <w:szCs w:val="18"/>
                <w:highlight w:val="none"/>
                <w:u w:val="none"/>
              </w:rPr>
            </w:pPr>
          </w:p>
        </w:tc>
        <w:tc>
          <w:tcPr>
            <w:tcW w:w="1408" w:type="dxa"/>
            <w:vMerge w:val="continue"/>
            <w:tcBorders>
              <w:left w:val="single" w:color="auto" w:sz="4" w:space="0"/>
              <w:bottom w:val="single" w:color="000000" w:sz="4" w:space="0"/>
              <w:right w:val="single" w:color="auto" w:sz="4" w:space="0"/>
            </w:tcBorders>
            <w:shd w:val="clear" w:color="auto" w:fill="auto"/>
            <w:vAlign w:val="center"/>
          </w:tcPr>
          <w:p w14:paraId="45450F61">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p>
        </w:tc>
        <w:tc>
          <w:tcPr>
            <w:tcW w:w="1408" w:type="dxa"/>
            <w:tcBorders>
              <w:top w:val="single" w:color="auto" w:sz="4" w:space="0"/>
              <w:left w:val="single" w:color="000000" w:sz="4" w:space="0"/>
              <w:bottom w:val="single" w:color="000000" w:sz="4" w:space="0"/>
              <w:right w:val="single" w:color="000000" w:sz="4" w:space="0"/>
            </w:tcBorders>
            <w:shd w:val="clear" w:color="auto" w:fill="auto"/>
            <w:vAlign w:val="center"/>
          </w:tcPr>
          <w:p w14:paraId="6BAD6685">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15:30-1</w:t>
            </w:r>
            <w:r>
              <w:rPr>
                <w:rFonts w:hint="eastAsia" w:ascii="宋体" w:hAnsi="宋体" w:cs="宋体"/>
                <w:b w:val="0"/>
                <w:bCs w:val="0"/>
                <w:i w:val="0"/>
                <w:iCs w:val="0"/>
                <w:color w:val="auto"/>
                <w:kern w:val="0"/>
                <w:sz w:val="18"/>
                <w:szCs w:val="18"/>
                <w:highlight w:val="none"/>
                <w:u w:val="none"/>
                <w:lang w:val="en-US" w:eastAsia="zh-CN" w:bidi="ar"/>
              </w:rPr>
              <w:t>8</w:t>
            </w:r>
            <w:r>
              <w:rPr>
                <w:rFonts w:hint="eastAsia" w:ascii="宋体" w:hAnsi="宋体" w:eastAsia="宋体" w:cs="宋体"/>
                <w:b w:val="0"/>
                <w:bCs w:val="0"/>
                <w:i w:val="0"/>
                <w:iCs w:val="0"/>
                <w:color w:val="auto"/>
                <w:kern w:val="0"/>
                <w:sz w:val="18"/>
                <w:szCs w:val="18"/>
                <w:highlight w:val="none"/>
                <w:u w:val="none"/>
                <w:lang w:val="en-US" w:eastAsia="zh-CN" w:bidi="ar"/>
              </w:rPr>
              <w:t>:</w:t>
            </w:r>
            <w:r>
              <w:rPr>
                <w:rFonts w:hint="eastAsia" w:ascii="宋体" w:hAnsi="宋体" w:cs="宋体"/>
                <w:b w:val="0"/>
                <w:bCs w:val="0"/>
                <w:i w:val="0"/>
                <w:iCs w:val="0"/>
                <w:color w:val="auto"/>
                <w:kern w:val="0"/>
                <w:sz w:val="18"/>
                <w:szCs w:val="18"/>
                <w:highlight w:val="none"/>
                <w:u w:val="none"/>
                <w:lang w:val="en-US" w:eastAsia="zh-CN" w:bidi="ar"/>
              </w:rPr>
              <w:t>0</w:t>
            </w:r>
            <w:r>
              <w:rPr>
                <w:rFonts w:hint="eastAsia" w:ascii="宋体" w:hAnsi="宋体" w:eastAsia="宋体" w:cs="宋体"/>
                <w:b w:val="0"/>
                <w:bCs w:val="0"/>
                <w:i w:val="0"/>
                <w:iCs w:val="0"/>
                <w:color w:val="auto"/>
                <w:kern w:val="0"/>
                <w:sz w:val="18"/>
                <w:szCs w:val="18"/>
                <w:highlight w:val="none"/>
                <w:u w:val="none"/>
                <w:lang w:val="en-US" w:eastAsia="zh-CN" w:bidi="ar"/>
              </w:rPr>
              <w:t>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2715">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AI赋能素养</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9A0F">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AI工具应用</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0104">
            <w:pPr>
              <w:keepNext w:val="0"/>
              <w:keepLines w:val="0"/>
              <w:widowControl/>
              <w:suppressLineNumbers w:val="0"/>
              <w:jc w:val="center"/>
              <w:textAlignment w:val="center"/>
              <w:rPr>
                <w:rFonts w:hint="default" w:ascii="宋体" w:hAnsi="宋体" w:eastAsia="宋体" w:cs="宋体"/>
                <w:b w:val="0"/>
                <w:bCs w:val="0"/>
                <w:i w:val="0"/>
                <w:iCs w:val="0"/>
                <w:color w:val="auto"/>
                <w:sz w:val="18"/>
                <w:szCs w:val="18"/>
                <w:highlight w:val="none"/>
                <w:u w:val="none"/>
                <w:lang w:val="en-US"/>
              </w:rPr>
            </w:pPr>
            <w:r>
              <w:rPr>
                <w:rFonts w:hint="eastAsia" w:ascii="宋体" w:hAnsi="宋体" w:eastAsia="宋体" w:cs="宋体"/>
                <w:b w:val="0"/>
                <w:bCs w:val="0"/>
                <w:i w:val="0"/>
                <w:iCs w:val="0"/>
                <w:color w:val="auto"/>
                <w:kern w:val="0"/>
                <w:sz w:val="18"/>
                <w:szCs w:val="18"/>
                <w:highlight w:val="none"/>
                <w:u w:val="none"/>
                <w:lang w:val="en-US" w:eastAsia="zh-CN" w:bidi="ar"/>
              </w:rPr>
              <w:t>2</w:t>
            </w:r>
            <w:r>
              <w:rPr>
                <w:rFonts w:hint="eastAsia" w:ascii="宋体" w:hAnsi="宋体" w:cs="宋体"/>
                <w:b w:val="0"/>
                <w:bCs w:val="0"/>
                <w:i w:val="0"/>
                <w:iCs w:val="0"/>
                <w:color w:val="auto"/>
                <w:kern w:val="0"/>
                <w:sz w:val="18"/>
                <w:szCs w:val="18"/>
                <w:highlight w:val="none"/>
                <w:u w:val="none"/>
                <w:lang w:val="en-US" w:eastAsia="zh-CN" w:bidi="ar"/>
              </w:rPr>
              <w:t>.5</w:t>
            </w:r>
          </w:p>
        </w:tc>
      </w:tr>
      <w:tr w14:paraId="6B6D4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continue"/>
            <w:tcBorders>
              <w:left w:val="single" w:color="auto" w:sz="4" w:space="0"/>
              <w:bottom w:val="single" w:color="000000" w:sz="4" w:space="0"/>
              <w:right w:val="single" w:color="auto" w:sz="4" w:space="0"/>
            </w:tcBorders>
            <w:shd w:val="clear" w:color="auto" w:fill="auto"/>
            <w:vAlign w:val="center"/>
          </w:tcPr>
          <w:p w14:paraId="5D1DABB9">
            <w:pPr>
              <w:jc w:val="left"/>
              <w:rPr>
                <w:rFonts w:hint="eastAsia" w:ascii="宋体" w:hAnsi="宋体" w:eastAsia="宋体" w:cs="宋体"/>
                <w:b/>
                <w:bCs/>
                <w:i w:val="0"/>
                <w:iCs w:val="0"/>
                <w:color w:val="auto"/>
                <w:kern w:val="0"/>
                <w:sz w:val="18"/>
                <w:szCs w:val="18"/>
                <w:highlight w:val="none"/>
                <w:u w:val="none"/>
                <w:lang w:val="en-US" w:eastAsia="zh-CN" w:bidi="ar"/>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B831">
            <w:pPr>
              <w:keepNext w:val="0"/>
              <w:keepLines w:val="0"/>
              <w:widowControl/>
              <w:suppressLineNumbers w:val="0"/>
              <w:jc w:val="center"/>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11月1</w:t>
            </w:r>
            <w:r>
              <w:rPr>
                <w:rFonts w:hint="eastAsia" w:ascii="宋体" w:hAnsi="宋体" w:cs="宋体"/>
                <w:b/>
                <w:bCs/>
                <w:i w:val="0"/>
                <w:iCs w:val="0"/>
                <w:color w:val="auto"/>
                <w:kern w:val="0"/>
                <w:sz w:val="18"/>
                <w:szCs w:val="18"/>
                <w:highlight w:val="none"/>
                <w:u w:val="none"/>
                <w:lang w:val="en-US" w:eastAsia="zh-CN" w:bidi="ar"/>
              </w:rPr>
              <w:t>3</w:t>
            </w:r>
            <w:r>
              <w:rPr>
                <w:rFonts w:hint="eastAsia" w:ascii="宋体" w:hAnsi="宋体" w:eastAsia="宋体" w:cs="宋体"/>
                <w:b/>
                <w:bCs/>
                <w:i w:val="0"/>
                <w:iCs w:val="0"/>
                <w:color w:val="auto"/>
                <w:kern w:val="0"/>
                <w:sz w:val="18"/>
                <w:szCs w:val="18"/>
                <w:highlight w:val="none"/>
                <w:u w:val="none"/>
                <w:lang w:val="en-US" w:eastAsia="zh-CN" w:bidi="ar"/>
              </w:rPr>
              <w:t>日</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7C92">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08:30-17:30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BFC1">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质量专业能力</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470F">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质量管理体系概述，与采购相关的质量工具：PPAP</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B306">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8</w:t>
            </w:r>
          </w:p>
        </w:tc>
      </w:tr>
      <w:tr w14:paraId="66FB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jc w:val="center"/>
        </w:trPr>
        <w:tc>
          <w:tcPr>
            <w:tcW w:w="1170" w:type="dxa"/>
            <w:tcBorders>
              <w:left w:val="single" w:color="000000" w:sz="4" w:space="0"/>
              <w:bottom w:val="single" w:color="000000" w:sz="4" w:space="0"/>
              <w:right w:val="single" w:color="000000" w:sz="4" w:space="0"/>
            </w:tcBorders>
            <w:shd w:val="clear" w:color="auto" w:fill="auto"/>
            <w:vAlign w:val="center"/>
          </w:tcPr>
          <w:p w14:paraId="528473F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采购执行</w:t>
            </w:r>
          </w:p>
          <w:p w14:paraId="5476EE3C">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必修课</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C84A">
            <w:pPr>
              <w:keepNext w:val="0"/>
              <w:keepLines w:val="0"/>
              <w:widowControl/>
              <w:suppressLineNumbers w:val="0"/>
              <w:jc w:val="center"/>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11月1</w:t>
            </w:r>
            <w:r>
              <w:rPr>
                <w:rFonts w:hint="eastAsia" w:ascii="宋体" w:hAnsi="宋体" w:cs="宋体"/>
                <w:b/>
                <w:bCs/>
                <w:i w:val="0"/>
                <w:iCs w:val="0"/>
                <w:color w:val="auto"/>
                <w:kern w:val="0"/>
                <w:sz w:val="18"/>
                <w:szCs w:val="18"/>
                <w:highlight w:val="none"/>
                <w:u w:val="none"/>
                <w:lang w:val="en-US" w:eastAsia="zh-CN" w:bidi="ar"/>
              </w:rPr>
              <w:t>6</w:t>
            </w:r>
            <w:r>
              <w:rPr>
                <w:rFonts w:hint="eastAsia" w:ascii="宋体" w:hAnsi="宋体" w:eastAsia="宋体" w:cs="宋体"/>
                <w:b/>
                <w:bCs/>
                <w:i w:val="0"/>
                <w:iCs w:val="0"/>
                <w:color w:val="auto"/>
                <w:kern w:val="0"/>
                <w:sz w:val="18"/>
                <w:szCs w:val="18"/>
                <w:highlight w:val="none"/>
                <w:u w:val="none"/>
                <w:lang w:val="en-US" w:eastAsia="zh-CN" w:bidi="ar"/>
              </w:rPr>
              <w:t>日</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487E">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08:30-17:30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EF">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业务能力提高</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11B2">
            <w:pPr>
              <w:keepNext w:val="0"/>
              <w:keepLines w:val="0"/>
              <w:widowControl/>
              <w:suppressLineNumbers w:val="0"/>
              <w:jc w:val="left"/>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产品需求管理，计划管理，库存管理等</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E2B0">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8</w:t>
            </w:r>
          </w:p>
        </w:tc>
      </w:tr>
      <w:tr w14:paraId="7CC7A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170" w:type="dxa"/>
            <w:vMerge w:val="restart"/>
            <w:tcBorders>
              <w:top w:val="single" w:color="000000" w:sz="4" w:space="0"/>
              <w:left w:val="single" w:color="000000" w:sz="4" w:space="0"/>
              <w:right w:val="single" w:color="000000" w:sz="4" w:space="0"/>
            </w:tcBorders>
            <w:shd w:val="clear" w:color="auto" w:fill="auto"/>
            <w:vAlign w:val="center"/>
          </w:tcPr>
          <w:p w14:paraId="3028CFDF">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采购管理</w:t>
            </w:r>
          </w:p>
          <w:p w14:paraId="7F1214BF">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必修课</w:t>
            </w:r>
          </w:p>
        </w:tc>
        <w:tc>
          <w:tcPr>
            <w:tcW w:w="1408" w:type="dxa"/>
            <w:vMerge w:val="restart"/>
            <w:tcBorders>
              <w:top w:val="single" w:color="000000" w:sz="4" w:space="0"/>
              <w:left w:val="single" w:color="000000" w:sz="4" w:space="0"/>
              <w:right w:val="single" w:color="000000" w:sz="4" w:space="0"/>
            </w:tcBorders>
            <w:shd w:val="clear" w:color="auto" w:fill="auto"/>
            <w:vAlign w:val="center"/>
          </w:tcPr>
          <w:p w14:paraId="5B6202DA">
            <w:pPr>
              <w:keepNext w:val="0"/>
              <w:keepLines w:val="0"/>
              <w:widowControl/>
              <w:suppressLineNumbers w:val="0"/>
              <w:jc w:val="center"/>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11月1</w:t>
            </w:r>
            <w:r>
              <w:rPr>
                <w:rFonts w:hint="eastAsia" w:ascii="宋体" w:hAnsi="宋体" w:cs="宋体"/>
                <w:b/>
                <w:bCs/>
                <w:i w:val="0"/>
                <w:iCs w:val="0"/>
                <w:color w:val="auto"/>
                <w:kern w:val="0"/>
                <w:sz w:val="18"/>
                <w:szCs w:val="18"/>
                <w:highlight w:val="none"/>
                <w:u w:val="none"/>
                <w:lang w:val="en-US" w:eastAsia="zh-CN" w:bidi="ar"/>
              </w:rPr>
              <w:t>7</w:t>
            </w:r>
            <w:r>
              <w:rPr>
                <w:rFonts w:hint="eastAsia" w:ascii="宋体" w:hAnsi="宋体" w:eastAsia="宋体" w:cs="宋体"/>
                <w:b/>
                <w:bCs/>
                <w:i w:val="0"/>
                <w:iCs w:val="0"/>
                <w:color w:val="auto"/>
                <w:kern w:val="0"/>
                <w:sz w:val="18"/>
                <w:szCs w:val="18"/>
                <w:highlight w:val="none"/>
                <w:u w:val="none"/>
                <w:lang w:val="en-US" w:eastAsia="zh-CN" w:bidi="ar"/>
              </w:rPr>
              <w:t>日</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70AA">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08:30-12:00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DD13">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供应商管理</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1B24">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供应商选择、准入、淘汰、分类分级等</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51C0">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3.5</w:t>
            </w:r>
          </w:p>
        </w:tc>
      </w:tr>
      <w:tr w14:paraId="72F9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1170" w:type="dxa"/>
            <w:vMerge w:val="continue"/>
            <w:tcBorders>
              <w:left w:val="single" w:color="000000" w:sz="4" w:space="0"/>
              <w:right w:val="single" w:color="000000" w:sz="4" w:space="0"/>
            </w:tcBorders>
            <w:shd w:val="clear" w:color="auto" w:fill="auto"/>
            <w:vAlign w:val="center"/>
          </w:tcPr>
          <w:p w14:paraId="0AD6B1E0">
            <w:pPr>
              <w:jc w:val="center"/>
              <w:rPr>
                <w:rFonts w:hint="eastAsia" w:ascii="宋体" w:hAnsi="宋体" w:eastAsia="宋体" w:cs="宋体"/>
                <w:b/>
                <w:bCs/>
                <w:i w:val="0"/>
                <w:iCs w:val="0"/>
                <w:color w:val="auto"/>
                <w:sz w:val="18"/>
                <w:szCs w:val="18"/>
                <w:highlight w:val="none"/>
                <w:u w:val="none"/>
              </w:rPr>
            </w:pPr>
          </w:p>
        </w:tc>
        <w:tc>
          <w:tcPr>
            <w:tcW w:w="1408" w:type="dxa"/>
            <w:vMerge w:val="continue"/>
            <w:tcBorders>
              <w:left w:val="single" w:color="000000" w:sz="4" w:space="0"/>
              <w:right w:val="single" w:color="000000" w:sz="4" w:space="0"/>
            </w:tcBorders>
            <w:shd w:val="clear" w:color="auto" w:fill="auto"/>
            <w:vAlign w:val="center"/>
          </w:tcPr>
          <w:p w14:paraId="1F8B4093">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highlight w:val="none"/>
                <w:u w:val="none"/>
                <w:lang w:val="en-US" w:eastAsia="zh-CN" w:bidi="ar"/>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2C63">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13:00-15:30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35E3">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采购策略</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3427">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按品类差异化布局供方，从寻源、成本、质量交付、供货风险、数字化多维度平衡质量、交付、成本三大目标</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DC3B">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2.5</w:t>
            </w:r>
          </w:p>
        </w:tc>
      </w:tr>
      <w:tr w14:paraId="2E282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1170" w:type="dxa"/>
            <w:vMerge w:val="continue"/>
            <w:tcBorders>
              <w:left w:val="single" w:color="000000" w:sz="4" w:space="0"/>
              <w:bottom w:val="single" w:color="000000" w:sz="4" w:space="0"/>
              <w:right w:val="single" w:color="000000" w:sz="4" w:space="0"/>
            </w:tcBorders>
            <w:shd w:val="clear" w:color="auto" w:fill="auto"/>
            <w:vAlign w:val="center"/>
          </w:tcPr>
          <w:p w14:paraId="064FD939">
            <w:pPr>
              <w:jc w:val="center"/>
              <w:rPr>
                <w:rFonts w:hint="eastAsia" w:ascii="宋体" w:hAnsi="宋体" w:eastAsia="宋体" w:cs="宋体"/>
                <w:b/>
                <w:bCs/>
                <w:i w:val="0"/>
                <w:iCs w:val="0"/>
                <w:color w:val="auto"/>
                <w:sz w:val="18"/>
                <w:szCs w:val="18"/>
                <w:highlight w:val="none"/>
                <w:u w:val="none"/>
              </w:rPr>
            </w:pPr>
          </w:p>
        </w:tc>
        <w:tc>
          <w:tcPr>
            <w:tcW w:w="1408" w:type="dxa"/>
            <w:vMerge w:val="continue"/>
            <w:tcBorders>
              <w:left w:val="single" w:color="000000" w:sz="4" w:space="0"/>
              <w:bottom w:val="single" w:color="000000" w:sz="4" w:space="0"/>
              <w:right w:val="single" w:color="000000" w:sz="4" w:space="0"/>
            </w:tcBorders>
            <w:shd w:val="clear" w:color="auto" w:fill="auto"/>
            <w:vAlign w:val="center"/>
          </w:tcPr>
          <w:p w14:paraId="28CCB5B2">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highlight w:val="none"/>
                <w:u w:val="none"/>
                <w:lang w:val="en-US" w:eastAsia="zh-CN" w:bidi="ar"/>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1EF0">
            <w:pPr>
              <w:keepNext w:val="0"/>
              <w:keepLines w:val="0"/>
              <w:widowControl/>
              <w:suppressLineNumbers w:val="0"/>
              <w:jc w:val="center"/>
              <w:textAlignment w:val="center"/>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kern w:val="0"/>
                <w:sz w:val="18"/>
                <w:szCs w:val="18"/>
                <w:highlight w:val="none"/>
                <w:u w:val="none"/>
                <w:lang w:val="en-US" w:eastAsia="zh-CN" w:bidi="ar"/>
              </w:rPr>
              <w:t>15:30-17:30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31BA">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合同管理</w:t>
            </w:r>
          </w:p>
        </w:tc>
        <w:tc>
          <w:tcPr>
            <w:tcW w:w="3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6D33">
            <w:pPr>
              <w:keepNext w:val="0"/>
              <w:keepLines w:val="0"/>
              <w:widowControl/>
              <w:suppressLineNumbers w:val="0"/>
              <w:jc w:val="left"/>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合同前期评审、条款编制审核、签约管控、履约跟踪、变更/索赔争议、到期关闭、归档数字化、风险监督</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E3ED">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val="0"/>
                <w:bCs w:val="0"/>
                <w:i w:val="0"/>
                <w:iCs w:val="0"/>
                <w:color w:val="auto"/>
                <w:kern w:val="0"/>
                <w:sz w:val="18"/>
                <w:szCs w:val="18"/>
                <w:highlight w:val="none"/>
                <w:u w:val="none"/>
                <w:lang w:val="en-US" w:eastAsia="zh-CN" w:bidi="ar"/>
              </w:rPr>
              <w:t>2</w:t>
            </w:r>
          </w:p>
        </w:tc>
      </w:tr>
    </w:tbl>
    <w:p w14:paraId="1BAE02F0">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ascii="宋体" w:hAnsi="Courier New"/>
          <w:b/>
          <w:bCs/>
          <w:highlight w:val="none"/>
        </w:rPr>
      </w:pPr>
      <w:r>
        <w:rPr>
          <w:rFonts w:hint="eastAsia" w:ascii="宋体" w:hAnsi="Courier New"/>
          <w:b/>
          <w:bCs/>
          <w:highlight w:val="none"/>
          <w:lang w:val="en-US" w:eastAsia="zh-CN"/>
        </w:rPr>
        <w:t>四、</w:t>
      </w:r>
      <w:r>
        <w:rPr>
          <w:rFonts w:hint="eastAsia" w:ascii="宋体" w:hAnsi="Courier New"/>
          <w:b/>
          <w:bCs/>
          <w:highlight w:val="none"/>
        </w:rPr>
        <w:t>相关要求</w:t>
      </w:r>
    </w:p>
    <w:p w14:paraId="1ED9840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rPr>
      </w:pPr>
      <w:r>
        <w:rPr>
          <w:rFonts w:hint="eastAsia" w:ascii="宋体" w:hAnsi="Courier New"/>
          <w:highlight w:val="none"/>
          <w:lang w:val="en-US" w:eastAsia="zh-CN"/>
        </w:rPr>
        <w:t>1.</w:t>
      </w:r>
      <w:r>
        <w:rPr>
          <w:rFonts w:hint="eastAsia" w:ascii="宋体" w:hAnsi="Courier New"/>
          <w:highlight w:val="none"/>
        </w:rPr>
        <w:t>出具详实的课程方案、价格方案。课程应根据中国重汽企业实际情况设计。</w:t>
      </w:r>
    </w:p>
    <w:p w14:paraId="00ABCD3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lang w:val="en-US" w:eastAsia="zh-CN"/>
        </w:rPr>
      </w:pPr>
      <w:r>
        <w:rPr>
          <w:rFonts w:hint="eastAsia" w:ascii="宋体" w:hAnsi="Courier New"/>
          <w:highlight w:val="none"/>
          <w:lang w:val="en-US" w:eastAsia="zh-CN"/>
        </w:rPr>
        <w:t>2.中标人在中标后1日内，</w:t>
      </w:r>
      <w:r>
        <w:rPr>
          <w:rFonts w:hint="eastAsia" w:ascii="宋体" w:hAnsi="Courier New"/>
          <w:highlight w:val="none"/>
        </w:rPr>
        <w:t>按照中标的技术标及澄清内容完成课</w:t>
      </w:r>
      <w:r>
        <w:rPr>
          <w:rFonts w:hint="eastAsia" w:ascii="宋体" w:hAnsi="Courier New"/>
          <w:highlight w:val="none"/>
          <w:lang w:val="en-US" w:eastAsia="zh-CN"/>
        </w:rPr>
        <w:t>程设计，并按招标人要求进行课程试讲。若课程未达到技术标及澄清内容要求，招标人有权否决投标人的中标资格。</w:t>
      </w:r>
    </w:p>
    <w:p w14:paraId="113EE90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宋体" w:hAnsi="Courier New" w:eastAsia="宋体"/>
          <w:highlight w:val="none"/>
          <w:lang w:val="en-US" w:eastAsia="zh-CN"/>
        </w:rPr>
      </w:pPr>
      <w:r>
        <w:rPr>
          <w:rFonts w:hint="eastAsia" w:ascii="宋体" w:hAnsi="Courier New" w:eastAsia="黑体"/>
          <w:highlight w:val="none"/>
          <w:lang w:val="en-US" w:eastAsia="zh-CN"/>
        </w:rPr>
        <w:t>3.</w:t>
      </w:r>
      <w:r>
        <w:rPr>
          <w:rFonts w:hint="eastAsia" w:ascii="黑体" w:hAnsi="黑体" w:eastAsia="黑体" w:cs="黑体"/>
          <w:b/>
          <w:bCs/>
          <w:highlight w:val="none"/>
        </w:rPr>
        <w:t>培训讲师应具有5年以上的培训经验，</w:t>
      </w:r>
      <w:r>
        <w:rPr>
          <w:rFonts w:hint="eastAsia" w:ascii="宋体" w:hAnsi="Courier New"/>
          <w:highlight w:val="none"/>
        </w:rPr>
        <w:t>具有把教学内容与实践能力相结合的能力，可以将理论知识演绎得生动易懂。保障课程设计到执行的统一性，授课老师课前需进行课程</w:t>
      </w:r>
      <w:r>
        <w:rPr>
          <w:rFonts w:hint="eastAsia" w:ascii="宋体" w:hAnsi="Courier New"/>
          <w:highlight w:val="none"/>
          <w:lang w:val="en-US" w:eastAsia="zh-CN"/>
        </w:rPr>
        <w:t>试讲及认证</w:t>
      </w:r>
      <w:r>
        <w:rPr>
          <w:rFonts w:hint="eastAsia" w:ascii="宋体" w:hAnsi="Courier New"/>
          <w:highlight w:val="none"/>
        </w:rPr>
        <w:t>，经中国重汽审核通过后才可进行授课</w:t>
      </w:r>
      <w:r>
        <w:rPr>
          <w:rFonts w:hint="eastAsia" w:ascii="宋体" w:hAnsi="Courier New"/>
          <w:highlight w:val="none"/>
          <w:lang w:eastAsia="zh-CN"/>
        </w:rPr>
        <w:t>，</w:t>
      </w:r>
      <w:r>
        <w:rPr>
          <w:rFonts w:hint="eastAsia" w:ascii="宋体" w:hAnsi="Courier New"/>
          <w:highlight w:val="none"/>
          <w:u w:val="single"/>
          <w:lang w:val="en-US" w:eastAsia="zh-CN"/>
        </w:rPr>
        <w:t>每门课程至少另有一位老师作为备选。</w:t>
      </w:r>
    </w:p>
    <w:p w14:paraId="4EEC979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Courier New"/>
          <w:highlight w:val="none"/>
        </w:rPr>
      </w:pPr>
      <w:r>
        <w:rPr>
          <w:rFonts w:hint="eastAsia" w:ascii="宋体" w:hAnsi="Courier New"/>
          <w:highlight w:val="none"/>
          <w:lang w:val="en-US" w:eastAsia="zh-CN"/>
        </w:rPr>
        <w:t>4.</w:t>
      </w:r>
      <w:r>
        <w:rPr>
          <w:rFonts w:hint="eastAsia" w:ascii="宋体" w:hAnsi="Courier New"/>
          <w:highlight w:val="none"/>
        </w:rPr>
        <w:t>培训师应极为重视和学员之间的互动交流，以此来激发学员充分参与，提高学员关注度，达到最佳的授课效果。</w:t>
      </w:r>
    </w:p>
    <w:p w14:paraId="1560194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lang w:val="en-US" w:eastAsia="zh-CN"/>
        </w:rPr>
      </w:pPr>
      <w:r>
        <w:rPr>
          <w:rFonts w:hint="eastAsia" w:ascii="宋体" w:hAnsi="Courier New"/>
          <w:highlight w:val="none"/>
          <w:lang w:val="en-US" w:eastAsia="zh-CN"/>
        </w:rPr>
        <w:t>5.</w:t>
      </w:r>
      <w:r>
        <w:rPr>
          <w:rFonts w:hint="eastAsia" w:ascii="宋体" w:hAnsi="Courier New"/>
          <w:highlight w:val="none"/>
        </w:rPr>
        <w:t>中标方应指定一名经验丰富的工作人员负责与中国重汽集团沟通和联络，每期培训前应根据中国重汽集团的要求，制定好培训计划及授课前的各项准备工作，培训现场</w:t>
      </w:r>
      <w:r>
        <w:rPr>
          <w:rFonts w:hint="eastAsia" w:ascii="宋体" w:hAnsi="Courier New"/>
          <w:highlight w:val="none"/>
          <w:lang w:val="en-US" w:eastAsia="zh-CN"/>
        </w:rPr>
        <w:t>每班</w:t>
      </w:r>
      <w:r>
        <w:rPr>
          <w:rFonts w:hint="eastAsia" w:ascii="宋体" w:hAnsi="Courier New"/>
          <w:highlight w:val="none"/>
        </w:rPr>
        <w:t>除培训师之外应确保有1名工作人员布置会场、教具准备和签到等工作</w:t>
      </w:r>
      <w:r>
        <w:rPr>
          <w:rFonts w:hint="eastAsia" w:ascii="宋体" w:hAnsi="Courier New"/>
          <w:highlight w:val="none"/>
          <w:lang w:val="en-US" w:eastAsia="zh-CN"/>
        </w:rPr>
        <w:t>。</w:t>
      </w:r>
      <w:bookmarkStart w:id="29" w:name="_Toc15177"/>
    </w:p>
    <w:p w14:paraId="1D94D5D4">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hint="eastAsia" w:ascii="宋体" w:hAnsi="Courier New"/>
          <w:sz w:val="22"/>
          <w:szCs w:val="21"/>
          <w:highlight w:val="none"/>
          <w:lang w:val="en-US" w:eastAsia="zh-CN"/>
        </w:rPr>
      </w:pPr>
      <w:r>
        <w:rPr>
          <w:rFonts w:hint="eastAsia" w:ascii="宋体" w:hAnsi="Courier New"/>
          <w:sz w:val="22"/>
          <w:szCs w:val="21"/>
          <w:highlight w:val="none"/>
          <w:lang w:val="en-US" w:eastAsia="zh-CN"/>
        </w:rPr>
        <w:t>6.</w:t>
      </w:r>
      <w:r>
        <w:rPr>
          <w:rFonts w:hint="eastAsia" w:ascii="宋体" w:hAnsi="宋体" w:cs="宋体"/>
          <w:color w:val="000000"/>
          <w:sz w:val="21"/>
          <w:highlight w:val="none"/>
          <w:shd w:val="clear" w:color="auto" w:fill="FFFFFF"/>
          <w:lang w:val="en-US" w:eastAsia="zh-CN"/>
        </w:rPr>
        <w:t>为学员提供相应纸质教材、内部讲义，</w:t>
      </w:r>
      <w:r>
        <w:rPr>
          <w:rFonts w:hint="eastAsia" w:ascii="宋体" w:hAnsi="Courier New"/>
          <w:sz w:val="22"/>
          <w:szCs w:val="21"/>
          <w:highlight w:val="none"/>
          <w:lang w:val="en-US" w:eastAsia="zh-CN"/>
        </w:rPr>
        <w:t>每门课程均需提供纸质考试试卷（涵盖选择、判断、简答等题型），并提供阅卷服务及补考服务。</w:t>
      </w:r>
    </w:p>
    <w:p w14:paraId="1D31CE90">
      <w:pPr>
        <w:rPr>
          <w:rFonts w:hint="eastAsia" w:ascii="宋体" w:hAnsi="Courier New"/>
          <w:sz w:val="22"/>
          <w:szCs w:val="21"/>
          <w:highlight w:val="none"/>
          <w:lang w:val="en-US" w:eastAsia="zh-CN"/>
        </w:rPr>
      </w:pPr>
      <w:r>
        <w:rPr>
          <w:rFonts w:hint="eastAsia" w:ascii="宋体" w:hAnsi="Courier New"/>
          <w:sz w:val="22"/>
          <w:szCs w:val="21"/>
          <w:highlight w:val="none"/>
          <w:lang w:val="en-US" w:eastAsia="zh-CN"/>
        </w:rPr>
        <w:br w:type="page"/>
      </w:r>
    </w:p>
    <w:p w14:paraId="112E45AC">
      <w:pPr>
        <w:pageBreakBefore w:val="0"/>
        <w:widowControl w:val="0"/>
        <w:kinsoku/>
        <w:wordWrap/>
        <w:overflowPunct/>
        <w:topLinePunct w:val="0"/>
        <w:autoSpaceDE/>
        <w:autoSpaceDN/>
        <w:bidi w:val="0"/>
        <w:spacing w:before="118"/>
        <w:ind w:right="30"/>
        <w:jc w:val="center"/>
        <w:textAlignment w:val="auto"/>
        <w:outlineLvl w:val="9"/>
        <w:rPr>
          <w:rFonts w:ascii="楷体" w:hAnsi="楷体" w:eastAsia="楷体" w:cs="楷体"/>
          <w:sz w:val="40"/>
          <w:szCs w:val="21"/>
          <w:highlight w:val="none"/>
        </w:rPr>
      </w:pPr>
      <w:r>
        <w:rPr>
          <w:rFonts w:hint="eastAsia" w:ascii="方正小标宋简体" w:hAnsi="方正小标宋简体" w:eastAsia="方正小标宋简体" w:cs="方正小标宋简体"/>
          <w:sz w:val="40"/>
          <w:szCs w:val="21"/>
          <w:highlight w:val="none"/>
        </w:rPr>
        <w:t>廉洁诚信协议</w:t>
      </w:r>
      <w:bookmarkEnd w:id="29"/>
    </w:p>
    <w:p w14:paraId="478B8C13">
      <w:pPr>
        <w:pStyle w:val="7"/>
        <w:pageBreakBefore w:val="0"/>
        <w:widowControl w:val="0"/>
        <w:kinsoku/>
        <w:wordWrap/>
        <w:overflowPunct/>
        <w:topLinePunct w:val="0"/>
        <w:autoSpaceDE/>
        <w:autoSpaceDN/>
        <w:bidi w:val="0"/>
        <w:spacing w:before="8"/>
        <w:textAlignment w:val="auto"/>
        <w:outlineLvl w:val="9"/>
        <w:rPr>
          <w:rFonts w:ascii="楷体" w:hAnsi="楷体" w:eastAsia="楷体" w:cs="楷体"/>
          <w:sz w:val="44"/>
          <w:szCs w:val="28"/>
          <w:highlight w:val="none"/>
        </w:rPr>
      </w:pPr>
    </w:p>
    <w:p w14:paraId="59982504">
      <w:pPr>
        <w:pageBreakBefore w:val="0"/>
        <w:widowControl w:val="0"/>
        <w:kinsoku/>
        <w:wordWrap/>
        <w:overflowPunct/>
        <w:topLinePunct w:val="0"/>
        <w:autoSpaceDE/>
        <w:autoSpaceDN/>
        <w:bidi w:val="0"/>
        <w:spacing w:line="607" w:lineRule="auto"/>
        <w:ind w:left="117" w:right="3769"/>
        <w:textAlignment w:val="auto"/>
        <w:outlineLvl w:val="9"/>
        <w:rPr>
          <w:rFonts w:ascii="楷体" w:hAnsi="楷体" w:eastAsia="楷体" w:cs="楷体"/>
          <w:b/>
          <w:sz w:val="28"/>
          <w:szCs w:val="21"/>
          <w:highlight w:val="none"/>
        </w:rPr>
      </w:pPr>
      <w:r>
        <w:rPr>
          <w:rFonts w:hint="eastAsia" w:ascii="楷体" w:hAnsi="楷体" w:eastAsia="楷体" w:cs="楷体"/>
          <w:b/>
          <w:sz w:val="28"/>
          <w:szCs w:val="21"/>
          <w:highlight w:val="none"/>
        </w:rPr>
        <w:t>甲方：</w:t>
      </w:r>
    </w:p>
    <w:p w14:paraId="618AEF5D">
      <w:pPr>
        <w:pageBreakBefore w:val="0"/>
        <w:widowControl w:val="0"/>
        <w:kinsoku/>
        <w:wordWrap/>
        <w:overflowPunct/>
        <w:topLinePunct w:val="0"/>
        <w:autoSpaceDE/>
        <w:autoSpaceDN/>
        <w:bidi w:val="0"/>
        <w:spacing w:line="607" w:lineRule="auto"/>
        <w:ind w:left="117" w:right="3769"/>
        <w:textAlignment w:val="auto"/>
        <w:outlineLvl w:val="9"/>
        <w:rPr>
          <w:rFonts w:ascii="楷体" w:hAnsi="楷体" w:eastAsia="楷体" w:cs="楷体"/>
          <w:b/>
          <w:sz w:val="28"/>
          <w:szCs w:val="21"/>
          <w:highlight w:val="none"/>
        </w:rPr>
      </w:pPr>
      <w:r>
        <w:rPr>
          <w:rFonts w:hint="eastAsia" w:ascii="楷体" w:hAnsi="楷体" w:eastAsia="楷体" w:cs="楷体"/>
          <w:b/>
          <w:sz w:val="28"/>
          <w:szCs w:val="21"/>
          <w:highlight w:val="none"/>
        </w:rPr>
        <w:t>乙方：</w:t>
      </w:r>
    </w:p>
    <w:p w14:paraId="31E02AB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hint="eastAsia" w:ascii="楷体" w:hAnsi="楷体" w:eastAsia="楷体" w:cs="楷体"/>
          <w:spacing w:val="-2"/>
          <w:sz w:val="28"/>
          <w:szCs w:val="28"/>
          <w:highlight w:val="none"/>
          <w:lang w:eastAsia="zh-CN"/>
        </w:rPr>
        <w:t>，</w:t>
      </w:r>
      <w:r>
        <w:rPr>
          <w:rFonts w:ascii="楷体" w:hAnsi="楷体" w:eastAsia="楷体" w:cs="楷体"/>
          <w:spacing w:val="-2"/>
          <w:sz w:val="28"/>
          <w:szCs w:val="28"/>
          <w:highlight w:val="none"/>
        </w:rPr>
        <w:t>共同加强廉洁自律建设，甲乙双方在平等、自愿、协商一致的原则下，签订本协议。</w:t>
      </w:r>
    </w:p>
    <w:p w14:paraId="24E80F0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1.甲乙双方应当共同遵守国家、地方法律法规以及本协议的约定，在合同的订立、履行过程中廉洁自律，绝不弄虚作假、以次充好，虚结虚算。</w:t>
      </w:r>
    </w:p>
    <w:p w14:paraId="647F8BC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2.乙方声明并承诺甲方人员或其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和其他特定关系人（甲方人员为领导干部的，其他特定关系人包含身边工作人员）</w:t>
      </w:r>
      <w:r>
        <w:rPr>
          <w:rFonts w:ascii="楷体" w:hAnsi="楷体" w:eastAsia="楷体" w:cs="楷体"/>
          <w:spacing w:val="-2"/>
          <w:sz w:val="28"/>
          <w:szCs w:val="28"/>
          <w:highlight w:val="none"/>
        </w:rPr>
        <w:t>没有直接或间接投资乙方或持有乙方股权，没有直接或间接投资乙方关联企业或持有乙方关联企业股权。</w:t>
      </w:r>
    </w:p>
    <w:p w14:paraId="473FFC6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3.乙方承诺乙方或乙方关联企业股东、实际出资人或持股人、高管、主要业务人员不得与甲方人员或其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共同成立公司，不得聘请甲方人员或其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在乙方或乙方关联企业股东或实际出资人或高管或主要业务人员成立的企业中担任高管或为其</w:t>
      </w:r>
      <w:r>
        <w:rPr>
          <w:rFonts w:hint="eastAsia" w:ascii="楷体" w:hAnsi="楷体" w:eastAsia="楷体" w:cs="楷体"/>
          <w:spacing w:val="-2"/>
          <w:sz w:val="28"/>
          <w:szCs w:val="28"/>
          <w:highlight w:val="none"/>
        </w:rPr>
        <w:t>违规</w:t>
      </w:r>
      <w:r>
        <w:rPr>
          <w:rFonts w:ascii="楷体" w:hAnsi="楷体" w:eastAsia="楷体" w:cs="楷体"/>
          <w:spacing w:val="-2"/>
          <w:sz w:val="28"/>
          <w:szCs w:val="28"/>
          <w:highlight w:val="none"/>
        </w:rPr>
        <w:t>发放薪酬。</w:t>
      </w:r>
      <w:r>
        <w:rPr>
          <w:rFonts w:hint="eastAsia" w:ascii="楷体" w:hAnsi="楷体" w:eastAsia="楷体" w:cs="楷体"/>
          <w:spacing w:val="-2"/>
          <w:sz w:val="28"/>
          <w:szCs w:val="28"/>
          <w:highlight w:val="none"/>
        </w:rPr>
        <w:t>违规发放薪酬包括不实际工作而获取薪酬或者虽实际工作但领取明显超出同职级标准薪酬。</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若乙方为甲方</w:t>
      </w:r>
      <w:r>
        <w:rPr>
          <w:rFonts w:ascii="楷体" w:hAnsi="楷体" w:eastAsia="楷体" w:cs="楷体"/>
          <w:spacing w:val="-2"/>
          <w:sz w:val="28"/>
          <w:szCs w:val="28"/>
          <w:highlight w:val="none"/>
        </w:rPr>
        <w:t>新</w:t>
      </w:r>
      <w:r>
        <w:rPr>
          <w:rFonts w:hint="eastAsia" w:ascii="楷体" w:hAnsi="楷体" w:eastAsia="楷体" w:cs="楷体"/>
          <w:spacing w:val="-2"/>
          <w:sz w:val="28"/>
          <w:szCs w:val="28"/>
          <w:highlight w:val="none"/>
        </w:rPr>
        <w:t>合作伙伴</w:t>
      </w:r>
      <w:r>
        <w:rPr>
          <w:rFonts w:ascii="楷体" w:hAnsi="楷体" w:eastAsia="楷体" w:cs="楷体"/>
          <w:spacing w:val="-2"/>
          <w:sz w:val="28"/>
          <w:szCs w:val="28"/>
          <w:highlight w:val="none"/>
        </w:rPr>
        <w:t>，如在本协议签订前乙方存在本条规定情形的，需在本协议签订后30日内，将相关情况报</w:t>
      </w:r>
      <w:r>
        <w:rPr>
          <w:rFonts w:hint="eastAsia" w:ascii="楷体" w:hAnsi="楷体" w:eastAsia="楷体" w:cs="楷体"/>
          <w:spacing w:val="-2"/>
          <w:sz w:val="28"/>
          <w:szCs w:val="28"/>
          <w:highlight w:val="none"/>
        </w:rPr>
        <w:t>甲方所属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w:t>
      </w:r>
      <w:r>
        <w:rPr>
          <w:rFonts w:hint="eastAsia" w:ascii="楷体" w:hAnsi="楷体" w:eastAsia="楷体" w:cs="楷体"/>
          <w:spacing w:val="-2"/>
          <w:sz w:val="28"/>
          <w:szCs w:val="28"/>
          <w:highlight w:val="none"/>
        </w:rPr>
        <w:t>门</w:t>
      </w:r>
      <w:r>
        <w:rPr>
          <w:rFonts w:ascii="楷体" w:hAnsi="楷体" w:eastAsia="楷体" w:cs="楷体"/>
          <w:spacing w:val="-2"/>
          <w:sz w:val="28"/>
          <w:szCs w:val="28"/>
          <w:highlight w:val="none"/>
        </w:rPr>
        <w:t>备案）。</w:t>
      </w:r>
    </w:p>
    <w:p w14:paraId="13B3D9F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4.乙方承诺依法开展经营活动，不得有任何形式的商业贿赂行为。乙方一经发现其员工或其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highlight w:val="none"/>
        </w:rPr>
        <w:t>已</w:t>
      </w:r>
      <w:r>
        <w:rPr>
          <w:rFonts w:ascii="楷体" w:hAnsi="楷体" w:eastAsia="楷体" w:cs="楷体"/>
          <w:spacing w:val="-2"/>
          <w:sz w:val="28"/>
          <w:szCs w:val="28"/>
          <w:highlight w:val="none"/>
        </w:rPr>
        <w:t>签订的</w:t>
      </w:r>
      <w:r>
        <w:rPr>
          <w:rFonts w:hint="eastAsia" w:ascii="楷体" w:hAnsi="楷体" w:eastAsia="楷体" w:cs="楷体"/>
          <w:spacing w:val="-2"/>
          <w:sz w:val="28"/>
          <w:szCs w:val="28"/>
          <w:highlight w:val="none"/>
        </w:rPr>
        <w:t>所有合同</w:t>
      </w:r>
      <w:r>
        <w:rPr>
          <w:rFonts w:ascii="楷体" w:hAnsi="楷体" w:eastAsia="楷体" w:cs="楷体"/>
          <w:spacing w:val="-2"/>
          <w:sz w:val="28"/>
          <w:szCs w:val="28"/>
          <w:highlight w:val="none"/>
        </w:rPr>
        <w:t>协议，并要求乙方赔偿。</w:t>
      </w:r>
    </w:p>
    <w:p w14:paraId="797A5F3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5.乙方承诺不以任何理由为甲方人员及其</w:t>
      </w:r>
      <w:r>
        <w:rPr>
          <w:rFonts w:hint="eastAsia" w:ascii="楷体" w:hAnsi="楷体" w:eastAsia="楷体" w:cs="楷体"/>
          <w:spacing w:val="-2"/>
          <w:sz w:val="28"/>
          <w:szCs w:val="28"/>
          <w:highlight w:val="none"/>
        </w:rPr>
        <w:t>配偶、子女及其配偶等亲属和其他特定关系人提供如下：</w:t>
      </w:r>
    </w:p>
    <w:p w14:paraId="7D20BF57">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a)</w:t>
      </w:r>
      <w:r>
        <w:rPr>
          <w:rFonts w:ascii="楷体" w:hAnsi="楷体" w:eastAsia="楷体" w:cs="楷体"/>
          <w:spacing w:val="-2"/>
          <w:sz w:val="28"/>
          <w:szCs w:val="28"/>
          <w:highlight w:val="none"/>
        </w:rPr>
        <w:t>赠送</w:t>
      </w:r>
      <w:r>
        <w:rPr>
          <w:rFonts w:hint="eastAsia" w:ascii="楷体" w:hAnsi="楷体" w:eastAsia="楷体" w:cs="楷体"/>
          <w:spacing w:val="-2"/>
          <w:sz w:val="28"/>
          <w:szCs w:val="28"/>
          <w:highlight w:val="none"/>
        </w:rPr>
        <w:t>礼品、</w:t>
      </w:r>
      <w:r>
        <w:rPr>
          <w:rFonts w:ascii="楷体" w:hAnsi="楷体" w:eastAsia="楷体" w:cs="楷体"/>
          <w:spacing w:val="-2"/>
          <w:sz w:val="28"/>
          <w:szCs w:val="28"/>
          <w:highlight w:val="none"/>
        </w:rPr>
        <w:t>礼金、</w:t>
      </w:r>
      <w:r>
        <w:rPr>
          <w:rFonts w:hint="eastAsia" w:ascii="楷体" w:hAnsi="楷体" w:eastAsia="楷体" w:cs="楷体"/>
          <w:spacing w:val="-2"/>
          <w:sz w:val="28"/>
          <w:szCs w:val="28"/>
          <w:highlight w:val="none"/>
        </w:rPr>
        <w:t>消费卡（券）、</w:t>
      </w:r>
      <w:r>
        <w:rPr>
          <w:rFonts w:ascii="楷体" w:hAnsi="楷体" w:eastAsia="楷体" w:cs="楷体"/>
          <w:spacing w:val="-2"/>
          <w:sz w:val="28"/>
          <w:szCs w:val="28"/>
          <w:highlight w:val="none"/>
        </w:rPr>
        <w:t>购物卡、充值卡、信用卡</w:t>
      </w:r>
      <w:r>
        <w:rPr>
          <w:rFonts w:hint="eastAsia" w:ascii="楷体" w:hAnsi="楷体" w:eastAsia="楷体" w:cs="楷体"/>
          <w:spacing w:val="-2"/>
          <w:sz w:val="28"/>
          <w:szCs w:val="28"/>
          <w:highlight w:val="none"/>
        </w:rPr>
        <w:t>和</w:t>
      </w:r>
      <w:r>
        <w:rPr>
          <w:rFonts w:ascii="楷体" w:hAnsi="楷体" w:eastAsia="楷体" w:cs="楷体"/>
          <w:spacing w:val="-2"/>
          <w:sz w:val="28"/>
          <w:szCs w:val="28"/>
          <w:highlight w:val="none"/>
        </w:rPr>
        <w:t>有价证券</w:t>
      </w:r>
      <w:r>
        <w:rPr>
          <w:rFonts w:hint="eastAsia" w:ascii="楷体" w:hAnsi="楷体" w:eastAsia="楷体" w:cs="楷体"/>
          <w:spacing w:val="-2"/>
          <w:sz w:val="28"/>
          <w:szCs w:val="28"/>
          <w:highlight w:val="none"/>
        </w:rPr>
        <w:t>、股权、其他金融产品等财物</w:t>
      </w:r>
      <w:r>
        <w:rPr>
          <w:rFonts w:ascii="楷体" w:hAnsi="楷体" w:eastAsia="楷体" w:cs="楷体"/>
          <w:spacing w:val="-2"/>
          <w:sz w:val="28"/>
          <w:szCs w:val="28"/>
          <w:highlight w:val="none"/>
        </w:rPr>
        <w:t>和其他贵重物品；</w:t>
      </w:r>
    </w:p>
    <w:p w14:paraId="2AFF6A6D">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b)</w:t>
      </w:r>
      <w:r>
        <w:rPr>
          <w:rFonts w:ascii="楷体" w:hAnsi="楷体" w:eastAsia="楷体" w:cs="楷体"/>
          <w:spacing w:val="-2"/>
          <w:sz w:val="28"/>
          <w:szCs w:val="28"/>
          <w:highlight w:val="none"/>
        </w:rPr>
        <w:t>报销个人费用</w:t>
      </w:r>
      <w:r>
        <w:rPr>
          <w:rFonts w:hint="eastAsia" w:ascii="楷体" w:hAnsi="楷体" w:eastAsia="楷体" w:cs="楷体"/>
          <w:spacing w:val="-2"/>
          <w:sz w:val="28"/>
          <w:szCs w:val="28"/>
          <w:highlight w:val="none"/>
        </w:rPr>
        <w:t>或以讲课费、课题费、咨询费等名义支付费用</w:t>
      </w:r>
      <w:r>
        <w:rPr>
          <w:rFonts w:ascii="楷体" w:hAnsi="楷体" w:eastAsia="楷体" w:cs="楷体"/>
          <w:spacing w:val="-2"/>
          <w:sz w:val="28"/>
          <w:szCs w:val="28"/>
          <w:highlight w:val="none"/>
        </w:rPr>
        <w:t>；</w:t>
      </w:r>
    </w:p>
    <w:p w14:paraId="748AB86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c)</w:t>
      </w:r>
      <w:r>
        <w:rPr>
          <w:rFonts w:ascii="楷体" w:hAnsi="楷体" w:eastAsia="楷体" w:cs="楷体"/>
          <w:spacing w:val="-2"/>
          <w:sz w:val="28"/>
          <w:szCs w:val="28"/>
          <w:highlight w:val="none"/>
        </w:rPr>
        <w:t>以洽谈业务、签订合同等为借口宴请或邀请外出旅游</w:t>
      </w:r>
      <w:r>
        <w:rPr>
          <w:rFonts w:hint="eastAsia" w:ascii="楷体" w:hAnsi="楷体" w:eastAsia="楷体" w:cs="楷体"/>
          <w:spacing w:val="-2"/>
          <w:sz w:val="28"/>
          <w:szCs w:val="28"/>
          <w:highlight w:val="none"/>
        </w:rPr>
        <w:t>、健身、娱乐</w:t>
      </w:r>
      <w:r>
        <w:rPr>
          <w:rFonts w:ascii="楷体" w:hAnsi="楷体" w:eastAsia="楷体" w:cs="楷体"/>
          <w:spacing w:val="-2"/>
          <w:sz w:val="28"/>
          <w:szCs w:val="28"/>
          <w:highlight w:val="none"/>
        </w:rPr>
        <w:t>和进入营业性娱乐场所；</w:t>
      </w:r>
    </w:p>
    <w:p w14:paraId="42DF0C6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d)</w:t>
      </w:r>
      <w:r>
        <w:rPr>
          <w:rFonts w:ascii="楷体" w:hAnsi="楷体" w:eastAsia="楷体" w:cs="楷体"/>
          <w:spacing w:val="-2"/>
          <w:sz w:val="28"/>
          <w:szCs w:val="28"/>
          <w:highlight w:val="none"/>
        </w:rPr>
        <w:t>购置或提供通讯、交通工具</w:t>
      </w:r>
      <w:r>
        <w:rPr>
          <w:rFonts w:hint="eastAsia" w:ascii="楷体" w:hAnsi="楷体" w:eastAsia="楷体" w:cs="楷体"/>
          <w:spacing w:val="-2"/>
          <w:sz w:val="28"/>
          <w:szCs w:val="28"/>
          <w:highlight w:val="none"/>
        </w:rPr>
        <w:t>、钱款、住房、车辆等或提供通过民间借贷等金融助其获得大额回报</w:t>
      </w:r>
      <w:r>
        <w:rPr>
          <w:rFonts w:ascii="楷体" w:hAnsi="楷体" w:eastAsia="楷体" w:cs="楷体"/>
          <w:spacing w:val="-2"/>
          <w:sz w:val="28"/>
          <w:szCs w:val="28"/>
          <w:highlight w:val="none"/>
        </w:rPr>
        <w:t>；</w:t>
      </w:r>
    </w:p>
    <w:p w14:paraId="6CA0A73C">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e)</w:t>
      </w:r>
      <w:r>
        <w:rPr>
          <w:rFonts w:ascii="楷体" w:hAnsi="楷体" w:eastAsia="楷体" w:cs="楷体"/>
          <w:spacing w:val="-2"/>
          <w:sz w:val="28"/>
          <w:szCs w:val="28"/>
          <w:highlight w:val="none"/>
        </w:rPr>
        <w:t>住房装修、婚丧嫁娶、家属和子女的工作安排以及出国等提供任何金钱或非金钱方式的资助或帮助</w:t>
      </w:r>
      <w:r>
        <w:rPr>
          <w:rFonts w:hint="eastAsia" w:ascii="楷体" w:hAnsi="楷体" w:eastAsia="楷体" w:cs="楷体"/>
          <w:spacing w:val="-2"/>
          <w:sz w:val="28"/>
          <w:szCs w:val="28"/>
          <w:highlight w:val="none"/>
        </w:rPr>
        <w:t>；</w:t>
      </w:r>
    </w:p>
    <w:p w14:paraId="65342DFD">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f)吸收存款、推销金融产品、经营名贵特产类资源等提供帮助谋取利益；</w:t>
      </w:r>
    </w:p>
    <w:p w14:paraId="66E7C560">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g)其他可能影响甲方人员公平、公正的履行职权或者履行职责的情形</w:t>
      </w:r>
      <w:r>
        <w:rPr>
          <w:rFonts w:ascii="楷体" w:hAnsi="楷体" w:eastAsia="楷体" w:cs="楷体"/>
          <w:spacing w:val="-2"/>
          <w:sz w:val="28"/>
          <w:szCs w:val="28"/>
          <w:highlight w:val="none"/>
        </w:rPr>
        <w:t>。</w:t>
      </w:r>
    </w:p>
    <w:p w14:paraId="68C1E158">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6.乙方应当通过正常途径开展相关业务，决不为谋取不正当利益诱使甲方人员就</w:t>
      </w:r>
      <w:r>
        <w:rPr>
          <w:rFonts w:hint="eastAsia" w:ascii="楷体" w:hAnsi="楷体" w:eastAsia="楷体" w:cs="楷体"/>
          <w:spacing w:val="-2"/>
          <w:sz w:val="28"/>
          <w:szCs w:val="28"/>
          <w:highlight w:val="none"/>
        </w:rPr>
        <w:t>采购、服务或销售、经销的物项种类</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物项</w:t>
      </w:r>
      <w:r>
        <w:rPr>
          <w:rFonts w:ascii="楷体" w:hAnsi="楷体" w:eastAsia="楷体" w:cs="楷体"/>
          <w:spacing w:val="-2"/>
          <w:sz w:val="28"/>
          <w:szCs w:val="28"/>
          <w:highlight w:val="none"/>
        </w:rPr>
        <w:t>数量、价格</w:t>
      </w:r>
      <w:r>
        <w:rPr>
          <w:rFonts w:hint="eastAsia" w:ascii="楷体" w:hAnsi="楷体" w:eastAsia="楷体" w:cs="楷体"/>
          <w:spacing w:val="-2"/>
          <w:sz w:val="28"/>
          <w:szCs w:val="28"/>
          <w:highlight w:val="none"/>
        </w:rPr>
        <w:t>条件</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付款条件、</w:t>
      </w:r>
      <w:r>
        <w:rPr>
          <w:rFonts w:ascii="楷体" w:hAnsi="楷体" w:eastAsia="楷体" w:cs="楷体"/>
          <w:spacing w:val="-2"/>
          <w:sz w:val="28"/>
          <w:szCs w:val="28"/>
          <w:highlight w:val="none"/>
        </w:rPr>
        <w:t>质量问题处理等方面私下商谈或达成默契</w:t>
      </w:r>
      <w:r>
        <w:rPr>
          <w:rFonts w:hint="eastAsia" w:ascii="楷体" w:hAnsi="楷体" w:eastAsia="楷体" w:cs="楷体"/>
          <w:spacing w:val="-2"/>
          <w:sz w:val="28"/>
          <w:szCs w:val="28"/>
          <w:highlight w:val="none"/>
        </w:rPr>
        <w:t>；</w:t>
      </w:r>
      <w:r>
        <w:rPr>
          <w:rFonts w:ascii="楷体" w:hAnsi="楷体" w:eastAsia="楷体" w:cs="楷体"/>
          <w:spacing w:val="-2"/>
          <w:sz w:val="28"/>
          <w:szCs w:val="28"/>
          <w:highlight w:val="none"/>
        </w:rPr>
        <w:t>决不以任何方式诱使甲方人员接受或共同编造虚假议价及质量资料、影响交易价格或交易之达成、违背职务、将合同权利义务转让给第三方及其它损害甲方利益的行为。</w:t>
      </w:r>
    </w:p>
    <w:p w14:paraId="33FDEC84">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7.若乙方发现甲方人员或其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有任何形式的索贿受贿行为，乙方有责任向甲方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纪委监察部门举报（举报电话：0531-58062233，举报邮箱：jianchabu@sinotruk.com）。甲方不得</w:t>
      </w:r>
      <w:r>
        <w:rPr>
          <w:rFonts w:hint="eastAsia" w:ascii="楷体" w:hAnsi="楷体" w:eastAsia="楷体" w:cs="楷体"/>
          <w:spacing w:val="-2"/>
          <w:sz w:val="28"/>
          <w:szCs w:val="28"/>
          <w:highlight w:val="none"/>
        </w:rPr>
        <w:t>以</w:t>
      </w:r>
      <w:r>
        <w:rPr>
          <w:rFonts w:ascii="楷体" w:hAnsi="楷体" w:eastAsia="楷体" w:cs="楷体"/>
          <w:spacing w:val="-2"/>
          <w:sz w:val="28"/>
          <w:szCs w:val="28"/>
          <w:highlight w:val="none"/>
        </w:rPr>
        <w:t>任何借口对乙方进行报复。对举报属实和严格遵守廉洁协议的乙方，在同等条件下甲方优先考虑与乙方继续合作并给予更优惠的商务合作条件。</w:t>
      </w:r>
    </w:p>
    <w:p w14:paraId="4D7F9BB1">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8.若乙方知悉其它与甲方合作的供应商</w:t>
      </w:r>
      <w:r>
        <w:rPr>
          <w:rFonts w:hint="eastAsia" w:ascii="楷体" w:hAnsi="楷体" w:eastAsia="楷体" w:cs="楷体"/>
          <w:spacing w:val="-2"/>
          <w:sz w:val="28"/>
          <w:szCs w:val="28"/>
          <w:highlight w:val="none"/>
        </w:rPr>
        <w:t>、服务商或采购商、经销商等合作伙伴</w:t>
      </w:r>
      <w:r>
        <w:rPr>
          <w:rFonts w:ascii="楷体" w:hAnsi="楷体" w:eastAsia="楷体" w:cs="楷体"/>
          <w:spacing w:val="-2"/>
          <w:sz w:val="28"/>
          <w:szCs w:val="28"/>
          <w:highlight w:val="none"/>
        </w:rPr>
        <w:t>存在违反本协议规定之行为，乙方应向甲方</w:t>
      </w:r>
      <w:r>
        <w:rPr>
          <w:rFonts w:hint="eastAsia" w:ascii="楷体" w:hAnsi="楷体" w:eastAsia="楷体" w:cs="楷体"/>
          <w:spacing w:val="-2"/>
          <w:sz w:val="28"/>
          <w:szCs w:val="28"/>
          <w:highlight w:val="none"/>
        </w:rPr>
        <w:t>或</w:t>
      </w:r>
      <w:r>
        <w:rPr>
          <w:rFonts w:ascii="楷体" w:hAnsi="楷体" w:eastAsia="楷体" w:cs="楷体"/>
          <w:spacing w:val="-2"/>
          <w:sz w:val="28"/>
          <w:szCs w:val="28"/>
          <w:highlight w:val="none"/>
        </w:rPr>
        <w:t>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纪委监察部门检举并提供证据。</w:t>
      </w:r>
    </w:p>
    <w:p w14:paraId="769E8000">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9.乙方承诺在双方业务往来期间，不得对甲方人员采取任何手段使其离开甲方到乙方或乙方关联企业任职，若出现上述情况，则属于乙方违约，应承担给甲方造成的一切损失。</w:t>
      </w:r>
    </w:p>
    <w:p w14:paraId="0087D656">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10.乙方承诺不聘任甲方内退领导干部或其他人员在乙方或乙方关联企业工作；乙方承诺不聘任甲方离职或退休三年内的领导干部或其他人员在乙方或乙方关联企业工作。</w:t>
      </w:r>
    </w:p>
    <w:p w14:paraId="4DCE855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448340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highlight w:val="none"/>
        </w:rPr>
        <w:t>等</w:t>
      </w:r>
      <w:r>
        <w:rPr>
          <w:rFonts w:ascii="楷体" w:hAnsi="楷体" w:eastAsia="楷体" w:cs="楷体"/>
          <w:spacing w:val="-2"/>
          <w:sz w:val="28"/>
          <w:szCs w:val="28"/>
          <w:highlight w:val="none"/>
        </w:rPr>
        <w:t>能够对其实际支配的企业或单位。</w:t>
      </w:r>
    </w:p>
    <w:p w14:paraId="1FD07F0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4F2CB2A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CFD5895">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045A8B8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14.本协议作为执行</w:t>
      </w:r>
      <w:r>
        <w:rPr>
          <w:rFonts w:hint="eastAsia" w:ascii="楷体" w:hAnsi="楷体" w:eastAsia="楷体" w:cs="楷体"/>
          <w:spacing w:val="-2"/>
          <w:sz w:val="28"/>
          <w:szCs w:val="28"/>
          <w:highlight w:val="none"/>
        </w:rPr>
        <w:t>甲乙双方</w:t>
      </w:r>
      <w:r>
        <w:rPr>
          <w:rFonts w:ascii="楷体" w:hAnsi="楷体" w:eastAsia="楷体" w:cs="楷体"/>
          <w:spacing w:val="-2"/>
          <w:sz w:val="28"/>
          <w:szCs w:val="28"/>
          <w:highlight w:val="none"/>
        </w:rPr>
        <w:t>采购协议</w:t>
      </w:r>
      <w:r>
        <w:rPr>
          <w:rFonts w:hint="eastAsia" w:ascii="楷体" w:hAnsi="楷体" w:eastAsia="楷体" w:cs="楷体"/>
          <w:spacing w:val="-2"/>
          <w:sz w:val="28"/>
          <w:szCs w:val="28"/>
          <w:highlight w:val="none"/>
        </w:rPr>
        <w:t>或其他合作合同、协议</w:t>
      </w:r>
      <w:r>
        <w:rPr>
          <w:rFonts w:ascii="楷体" w:hAnsi="楷体" w:eastAsia="楷体" w:cs="楷体"/>
          <w:spacing w:val="-2"/>
          <w:sz w:val="28"/>
          <w:szCs w:val="28"/>
          <w:highlight w:val="none"/>
        </w:rPr>
        <w:t>的附件，自双方签署之日起生效，此协议在</w:t>
      </w:r>
      <w:r>
        <w:rPr>
          <w:rFonts w:hint="eastAsia" w:ascii="楷体" w:hAnsi="楷体" w:eastAsia="楷体" w:cs="楷体"/>
          <w:spacing w:val="-2"/>
          <w:sz w:val="28"/>
          <w:szCs w:val="28"/>
          <w:highlight w:val="none"/>
        </w:rPr>
        <w:t>甲乙</w:t>
      </w:r>
      <w:r>
        <w:rPr>
          <w:rFonts w:ascii="楷体" w:hAnsi="楷体" w:eastAsia="楷体" w:cs="楷体"/>
          <w:spacing w:val="-2"/>
          <w:sz w:val="28"/>
          <w:szCs w:val="28"/>
          <w:highlight w:val="none"/>
        </w:rPr>
        <w:t>双方</w:t>
      </w:r>
      <w:r>
        <w:rPr>
          <w:rFonts w:hint="eastAsia" w:ascii="楷体" w:hAnsi="楷体" w:eastAsia="楷体" w:cs="楷体"/>
          <w:spacing w:val="-2"/>
          <w:sz w:val="28"/>
          <w:szCs w:val="28"/>
          <w:highlight w:val="none"/>
        </w:rPr>
        <w:t>业务</w:t>
      </w:r>
      <w:r>
        <w:rPr>
          <w:rFonts w:ascii="楷体" w:hAnsi="楷体" w:eastAsia="楷体" w:cs="楷体"/>
          <w:spacing w:val="-2"/>
          <w:sz w:val="28"/>
          <w:szCs w:val="28"/>
          <w:highlight w:val="none"/>
        </w:rPr>
        <w:t>合作期间有效</w:t>
      </w:r>
      <w:r>
        <w:rPr>
          <w:rFonts w:hint="eastAsia" w:ascii="楷体" w:hAnsi="楷体" w:eastAsia="楷体" w:cs="楷体"/>
          <w:spacing w:val="-2"/>
          <w:sz w:val="28"/>
          <w:szCs w:val="28"/>
          <w:highlight w:val="none"/>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007FA713">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w:t>
      </w:r>
      <w:r>
        <w:rPr>
          <w:rFonts w:hint="eastAsia" w:ascii="楷体" w:hAnsi="楷体" w:eastAsia="楷体" w:cs="楷体"/>
          <w:spacing w:val="-2"/>
          <w:sz w:val="28"/>
          <w:szCs w:val="28"/>
          <w:highlight w:val="none"/>
        </w:rPr>
        <w:t>5</w:t>
      </w:r>
      <w:r>
        <w:rPr>
          <w:rFonts w:ascii="楷体" w:hAnsi="楷体" w:eastAsia="楷体" w:cs="楷体"/>
          <w:spacing w:val="-2"/>
          <w:sz w:val="28"/>
          <w:szCs w:val="28"/>
          <w:highlight w:val="none"/>
        </w:rPr>
        <w:t>.本协议一式二份，双方各执一份，具有同等法律效力。若产生争议，双方协商解决，协商不成的在甲方所在地有管辖权的法院诉讼解决。</w:t>
      </w:r>
    </w:p>
    <w:p w14:paraId="3B9B47D6">
      <w:pPr>
        <w:pStyle w:val="7"/>
        <w:pageBreakBefore w:val="0"/>
        <w:widowControl w:val="0"/>
        <w:kinsoku/>
        <w:wordWrap/>
        <w:overflowPunct/>
        <w:topLinePunct w:val="0"/>
        <w:autoSpaceDE/>
        <w:autoSpaceDN/>
        <w:bidi w:val="0"/>
        <w:spacing w:before="9"/>
        <w:textAlignment w:val="auto"/>
        <w:outlineLvl w:val="9"/>
        <w:rPr>
          <w:rFonts w:ascii="楷体" w:hAnsi="楷体" w:eastAsia="楷体" w:cs="楷体"/>
          <w:sz w:val="40"/>
          <w:szCs w:val="28"/>
          <w:highlight w:val="none"/>
        </w:rPr>
      </w:pPr>
    </w:p>
    <w:p w14:paraId="3F0BAFCC">
      <w:pPr>
        <w:pageBreakBefore w:val="0"/>
        <w:widowControl w:val="0"/>
        <w:tabs>
          <w:tab w:val="left" w:pos="5457"/>
        </w:tabs>
        <w:kinsoku/>
        <w:wordWrap/>
        <w:overflowPunct/>
        <w:topLinePunct w:val="0"/>
        <w:autoSpaceDE/>
        <w:autoSpaceDN/>
        <w:bidi w:val="0"/>
        <w:spacing w:before="1"/>
        <w:ind w:left="117"/>
        <w:textAlignment w:val="auto"/>
        <w:outlineLvl w:val="9"/>
        <w:rPr>
          <w:rFonts w:ascii="楷体" w:hAnsi="楷体" w:eastAsia="楷体" w:cs="楷体"/>
          <w:b/>
          <w:sz w:val="24"/>
          <w:szCs w:val="21"/>
          <w:highlight w:val="none"/>
        </w:rPr>
      </w:pPr>
      <w:bookmarkStart w:id="30" w:name="_Toc3301"/>
      <w:r>
        <w:rPr>
          <w:rFonts w:hint="eastAsia" w:ascii="楷体" w:hAnsi="楷体" w:eastAsia="楷体" w:cs="楷体"/>
          <w:b/>
          <w:spacing w:val="-1"/>
          <w:w w:val="99"/>
          <w:sz w:val="24"/>
          <w:szCs w:val="21"/>
          <w:highlight w:val="none"/>
        </w:rPr>
        <w:t>甲方（盖章</w:t>
      </w:r>
      <w:r>
        <w:rPr>
          <w:rFonts w:hint="eastAsia" w:ascii="楷体" w:hAnsi="楷体" w:eastAsia="楷体" w:cs="楷体"/>
          <w:b/>
          <w:spacing w:val="-140"/>
          <w:w w:val="99"/>
          <w:sz w:val="24"/>
          <w:szCs w:val="21"/>
          <w:highlight w:val="none"/>
        </w:rPr>
        <w:t>）</w:t>
      </w:r>
      <w:r>
        <w:rPr>
          <w:rFonts w:hint="eastAsia" w:ascii="楷体" w:hAnsi="楷体" w:eastAsia="楷体" w:cs="楷体"/>
          <w:b/>
          <w:w w:val="99"/>
          <w:sz w:val="24"/>
          <w:szCs w:val="21"/>
          <w:highlight w:val="none"/>
        </w:rPr>
        <w:t>：</w:t>
      </w:r>
      <w:r>
        <w:rPr>
          <w:rFonts w:hint="eastAsia" w:ascii="楷体" w:hAnsi="楷体" w:eastAsia="楷体" w:cs="楷体"/>
          <w:b/>
          <w:sz w:val="24"/>
          <w:szCs w:val="21"/>
          <w:highlight w:val="none"/>
        </w:rPr>
        <w:tab/>
      </w:r>
      <w:r>
        <w:rPr>
          <w:rFonts w:hint="eastAsia" w:ascii="楷体" w:hAnsi="楷体" w:eastAsia="楷体" w:cs="楷体"/>
          <w:b/>
          <w:spacing w:val="-1"/>
          <w:w w:val="99"/>
          <w:sz w:val="24"/>
          <w:szCs w:val="21"/>
          <w:highlight w:val="none"/>
        </w:rPr>
        <w:t>乙方（盖</w:t>
      </w:r>
      <w:r>
        <w:rPr>
          <w:rFonts w:hint="eastAsia" w:ascii="楷体" w:hAnsi="楷体" w:eastAsia="楷体" w:cs="楷体"/>
          <w:b/>
          <w:spacing w:val="2"/>
          <w:w w:val="99"/>
          <w:sz w:val="24"/>
          <w:szCs w:val="21"/>
          <w:highlight w:val="none"/>
        </w:rPr>
        <w:t>章</w:t>
      </w:r>
      <w:r>
        <w:rPr>
          <w:rFonts w:hint="eastAsia" w:ascii="楷体" w:hAnsi="楷体" w:eastAsia="楷体" w:cs="楷体"/>
          <w:b/>
          <w:spacing w:val="-142"/>
          <w:w w:val="99"/>
          <w:sz w:val="24"/>
          <w:szCs w:val="21"/>
          <w:highlight w:val="none"/>
        </w:rPr>
        <w:t>）</w:t>
      </w:r>
      <w:r>
        <w:rPr>
          <w:rFonts w:hint="eastAsia" w:ascii="楷体" w:hAnsi="楷体" w:eastAsia="楷体" w:cs="楷体"/>
          <w:b/>
          <w:w w:val="99"/>
          <w:sz w:val="24"/>
          <w:szCs w:val="21"/>
          <w:highlight w:val="none"/>
        </w:rPr>
        <w:t>：</w:t>
      </w:r>
      <w:bookmarkEnd w:id="30"/>
    </w:p>
    <w:p w14:paraId="47BABD10">
      <w:pPr>
        <w:pStyle w:val="7"/>
        <w:pageBreakBefore w:val="0"/>
        <w:widowControl w:val="0"/>
        <w:kinsoku/>
        <w:wordWrap/>
        <w:overflowPunct/>
        <w:topLinePunct w:val="0"/>
        <w:autoSpaceDE/>
        <w:autoSpaceDN/>
        <w:bidi w:val="0"/>
        <w:textAlignment w:val="auto"/>
        <w:outlineLvl w:val="9"/>
        <w:rPr>
          <w:rFonts w:ascii="楷体" w:hAnsi="楷体" w:eastAsia="楷体" w:cs="楷体"/>
          <w:b/>
          <w:sz w:val="24"/>
          <w:szCs w:val="28"/>
          <w:highlight w:val="none"/>
        </w:rPr>
      </w:pPr>
    </w:p>
    <w:p w14:paraId="6FB080BE">
      <w:pPr>
        <w:pStyle w:val="7"/>
        <w:pageBreakBefore w:val="0"/>
        <w:widowControl w:val="0"/>
        <w:kinsoku/>
        <w:wordWrap/>
        <w:overflowPunct/>
        <w:topLinePunct w:val="0"/>
        <w:autoSpaceDE/>
        <w:autoSpaceDN/>
        <w:bidi w:val="0"/>
        <w:spacing w:before="1"/>
        <w:textAlignment w:val="auto"/>
        <w:outlineLvl w:val="9"/>
        <w:rPr>
          <w:rFonts w:ascii="楷体" w:hAnsi="楷体" w:eastAsia="楷体" w:cs="楷体"/>
          <w:b/>
          <w:sz w:val="24"/>
          <w:szCs w:val="28"/>
          <w:highlight w:val="none"/>
        </w:rPr>
      </w:pPr>
    </w:p>
    <w:p w14:paraId="44008D1C">
      <w:pPr>
        <w:pageBreakBefore w:val="0"/>
        <w:widowControl w:val="0"/>
        <w:tabs>
          <w:tab w:val="left" w:pos="5457"/>
        </w:tabs>
        <w:kinsoku/>
        <w:wordWrap/>
        <w:overflowPunct/>
        <w:topLinePunct w:val="0"/>
        <w:autoSpaceDE/>
        <w:autoSpaceDN/>
        <w:bidi w:val="0"/>
        <w:ind w:left="117"/>
        <w:textAlignment w:val="auto"/>
        <w:outlineLvl w:val="9"/>
        <w:rPr>
          <w:rFonts w:ascii="楷体" w:hAnsi="楷体" w:eastAsia="楷体" w:cs="楷体"/>
          <w:b/>
          <w:sz w:val="24"/>
          <w:szCs w:val="21"/>
          <w:highlight w:val="none"/>
        </w:rPr>
      </w:pPr>
      <w:bookmarkStart w:id="31" w:name="_Toc5270"/>
      <w:r>
        <w:rPr>
          <w:rFonts w:hint="eastAsia" w:ascii="楷体" w:hAnsi="楷体" w:eastAsia="楷体" w:cs="楷体"/>
          <w:b/>
          <w:sz w:val="24"/>
          <w:szCs w:val="21"/>
          <w:highlight w:val="none"/>
        </w:rPr>
        <w:t>法定代表/授权代表</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法定代表/授权代表</w:t>
      </w:r>
      <w:bookmarkEnd w:id="31"/>
    </w:p>
    <w:p w14:paraId="426FE208">
      <w:pPr>
        <w:pStyle w:val="7"/>
        <w:pageBreakBefore w:val="0"/>
        <w:widowControl w:val="0"/>
        <w:kinsoku/>
        <w:wordWrap/>
        <w:overflowPunct/>
        <w:topLinePunct w:val="0"/>
        <w:autoSpaceDE/>
        <w:autoSpaceDN/>
        <w:bidi w:val="0"/>
        <w:textAlignment w:val="auto"/>
        <w:outlineLvl w:val="9"/>
        <w:rPr>
          <w:rFonts w:ascii="楷体" w:hAnsi="楷体" w:eastAsia="楷体" w:cs="楷体"/>
          <w:b/>
          <w:sz w:val="24"/>
          <w:szCs w:val="28"/>
          <w:highlight w:val="none"/>
        </w:rPr>
      </w:pPr>
    </w:p>
    <w:p w14:paraId="1F624737">
      <w:pPr>
        <w:pStyle w:val="7"/>
        <w:pageBreakBefore w:val="0"/>
        <w:widowControl w:val="0"/>
        <w:kinsoku/>
        <w:wordWrap/>
        <w:overflowPunct/>
        <w:topLinePunct w:val="0"/>
        <w:autoSpaceDE/>
        <w:autoSpaceDN/>
        <w:bidi w:val="0"/>
        <w:spacing w:before="4"/>
        <w:textAlignment w:val="auto"/>
        <w:outlineLvl w:val="9"/>
        <w:rPr>
          <w:rFonts w:ascii="楷体" w:hAnsi="楷体" w:eastAsia="楷体" w:cs="楷体"/>
          <w:b/>
          <w:sz w:val="24"/>
          <w:szCs w:val="28"/>
          <w:highlight w:val="none"/>
        </w:rPr>
      </w:pPr>
    </w:p>
    <w:p w14:paraId="7E5CE49B">
      <w:pPr>
        <w:pageBreakBefore w:val="0"/>
        <w:widowControl w:val="0"/>
        <w:tabs>
          <w:tab w:val="left" w:pos="5457"/>
        </w:tabs>
        <w:kinsoku/>
        <w:wordWrap/>
        <w:overflowPunct/>
        <w:topLinePunct w:val="0"/>
        <w:autoSpaceDE/>
        <w:autoSpaceDN/>
        <w:bidi w:val="0"/>
        <w:ind w:left="117"/>
        <w:textAlignment w:val="auto"/>
        <w:outlineLvl w:val="9"/>
        <w:rPr>
          <w:rFonts w:ascii="Calibri" w:hAnsi="Calibri"/>
          <w:b/>
          <w:bCs/>
          <w:kern w:val="44"/>
          <w:sz w:val="36"/>
          <w:szCs w:val="44"/>
          <w:highlight w:val="none"/>
        </w:rPr>
        <w:sectPr>
          <w:pgSz w:w="11906" w:h="16838"/>
          <w:pgMar w:top="1587" w:right="1417" w:bottom="1134" w:left="1417" w:header="851" w:footer="992" w:gutter="0"/>
          <w:pgNumType w:fmt="decimal"/>
          <w:cols w:space="0" w:num="1"/>
          <w:titlePg/>
          <w:rtlGutter w:val="0"/>
          <w:docGrid w:type="lines" w:linePitch="312" w:charSpace="0"/>
        </w:sectPr>
      </w:pPr>
      <w:bookmarkStart w:id="32" w:name="_Toc4135"/>
      <w:r>
        <w:rPr>
          <w:rFonts w:hint="eastAsia" w:ascii="楷体" w:hAnsi="楷体" w:eastAsia="楷体" w:cs="楷体"/>
          <w:b/>
          <w:sz w:val="24"/>
          <w:szCs w:val="21"/>
          <w:highlight w:val="none"/>
        </w:rPr>
        <w:t>日</w:t>
      </w:r>
      <w:r>
        <w:rPr>
          <w:rFonts w:hint="eastAsia" w:ascii="楷体" w:hAnsi="楷体" w:eastAsia="楷体" w:cs="楷体"/>
          <w:b/>
          <w:spacing w:val="-4"/>
          <w:sz w:val="24"/>
          <w:szCs w:val="21"/>
          <w:highlight w:val="none"/>
        </w:rPr>
        <w:t xml:space="preserve"> </w:t>
      </w:r>
      <w:r>
        <w:rPr>
          <w:rFonts w:hint="eastAsia" w:ascii="楷体" w:hAnsi="楷体" w:eastAsia="楷体" w:cs="楷体"/>
          <w:b/>
          <w:sz w:val="24"/>
          <w:szCs w:val="21"/>
          <w:highlight w:val="none"/>
        </w:rPr>
        <w:t>期:</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日 期:</w:t>
      </w:r>
      <w:bookmarkEnd w:id="32"/>
    </w:p>
    <w:p w14:paraId="418E6E05">
      <w:pPr>
        <w:keepNext w:val="0"/>
        <w:keepLines w:val="0"/>
        <w:pageBreakBefore w:val="0"/>
        <w:widowControl w:val="0"/>
        <w:kinsoku/>
        <w:wordWrap/>
        <w:overflowPunct/>
        <w:topLinePunct w:val="0"/>
        <w:autoSpaceDE/>
        <w:autoSpaceDN/>
        <w:bidi w:val="0"/>
        <w:spacing w:line="500" w:lineRule="exact"/>
        <w:jc w:val="both"/>
        <w:textAlignment w:val="auto"/>
        <w:outlineLvl w:val="9"/>
        <w:rPr>
          <w:rFonts w:ascii="宋体" w:hAnsi="Courier New"/>
          <w:highlight w:val="none"/>
        </w:rPr>
      </w:pPr>
    </w:p>
    <w:p w14:paraId="770A78C8">
      <w:pPr>
        <w:pStyle w:val="10"/>
        <w:keepNext w:val="0"/>
        <w:keepLines w:val="0"/>
        <w:pageBreakBefore w:val="0"/>
        <w:widowControl w:val="0"/>
        <w:kinsoku/>
        <w:wordWrap/>
        <w:overflowPunct/>
        <w:topLinePunct w:val="0"/>
        <w:autoSpaceDE/>
        <w:autoSpaceDN/>
        <w:bidi w:val="0"/>
        <w:spacing w:line="500" w:lineRule="exact"/>
        <w:jc w:val="center"/>
        <w:textAlignment w:val="auto"/>
        <w:outlineLvl w:val="9"/>
        <w:rPr>
          <w:rFonts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SRM非生产供应商注册操作手册</w:t>
      </w:r>
    </w:p>
    <w:p w14:paraId="1D1E5BB6">
      <w:pPr>
        <w:pStyle w:val="10"/>
        <w:keepNext w:val="0"/>
        <w:keepLines w:val="0"/>
        <w:pageBreakBefore w:val="0"/>
        <w:widowControl w:val="0"/>
        <w:kinsoku/>
        <w:wordWrap/>
        <w:overflowPunct/>
        <w:topLinePunct w:val="0"/>
        <w:autoSpaceDE/>
        <w:autoSpaceDN/>
        <w:bidi w:val="0"/>
        <w:spacing w:line="500" w:lineRule="exact"/>
        <w:jc w:val="center"/>
        <w:textAlignment w:val="auto"/>
        <w:outlineLvl w:val="9"/>
        <w:rPr>
          <w:highlight w:val="none"/>
        </w:rPr>
      </w:pPr>
    </w:p>
    <w:p w14:paraId="26E8979A">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outlineLvl w:val="9"/>
        <w:rPr>
          <w:rFonts w:ascii="宋体" w:hAnsi="宋体" w:cs="宋体"/>
          <w:sz w:val="24"/>
          <w:szCs w:val="24"/>
          <w:highlight w:val="none"/>
        </w:rPr>
      </w:pPr>
      <w:r>
        <w:rPr>
          <w:rFonts w:ascii="宋体" w:hAnsi="宋体" w:cs="宋体"/>
          <w:sz w:val="24"/>
          <w:szCs w:val="24"/>
          <w:highlight w:val="none"/>
        </w:rPr>
        <w:t>浏览器中输入地址;</w:t>
      </w:r>
    </w:p>
    <w:p w14:paraId="16E77F11">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outlineLvl w:val="9"/>
        <w:rPr>
          <w:rFonts w:ascii="宋体" w:hAnsi="宋体" w:cs="宋体"/>
          <w:sz w:val="24"/>
          <w:szCs w:val="24"/>
          <w:highlight w:val="none"/>
        </w:rPr>
      </w:pPr>
      <w:r>
        <w:rPr>
          <w:highlight w:val="none"/>
        </w:rPr>
        <w:fldChar w:fldCharType="begin"/>
      </w:r>
      <w:r>
        <w:rPr>
          <w:highlight w:val="none"/>
        </w:rPr>
        <w:instrText xml:space="preserve"> HYPERLINK "http://ecaitong.sinotruk.com:8012/#/login" \t "dlt" </w:instrText>
      </w:r>
      <w:r>
        <w:rPr>
          <w:highlight w:val="none"/>
        </w:rPr>
        <w:fldChar w:fldCharType="separate"/>
      </w:r>
      <w:r>
        <w:rPr>
          <w:rFonts w:ascii="宋体" w:hAnsi="宋体" w:cs="宋体"/>
          <w:sz w:val="24"/>
          <w:szCs w:val="24"/>
          <w:highlight w:val="none"/>
        </w:rPr>
        <w:t>http</w:t>
      </w:r>
      <w:r>
        <w:rPr>
          <w:rFonts w:hint="eastAsia" w:ascii="宋体" w:hAnsi="宋体" w:cs="宋体"/>
          <w:sz w:val="24"/>
          <w:szCs w:val="24"/>
          <w:highlight w:val="none"/>
        </w:rPr>
        <w:t>s</w:t>
      </w:r>
      <w:r>
        <w:rPr>
          <w:rFonts w:ascii="宋体" w:hAnsi="宋体" w:cs="宋体"/>
          <w:sz w:val="24"/>
          <w:szCs w:val="24"/>
          <w:highlight w:val="none"/>
        </w:rPr>
        <w:t>://ecaitong.sinotruk.com:8012/#/login</w:t>
      </w:r>
      <w:r>
        <w:rPr>
          <w:rFonts w:ascii="宋体" w:hAnsi="宋体" w:cs="宋体"/>
          <w:sz w:val="24"/>
          <w:szCs w:val="24"/>
          <w:highlight w:val="none"/>
        </w:rPr>
        <w:fldChar w:fldCharType="end"/>
      </w:r>
    </w:p>
    <w:p w14:paraId="51C18C75">
      <w:pPr>
        <w:pageBreakBefore w:val="0"/>
        <w:widowControl w:val="0"/>
        <w:kinsoku/>
        <w:wordWrap/>
        <w:overflowPunct/>
        <w:topLinePunct w:val="0"/>
        <w:autoSpaceDE/>
        <w:autoSpaceDN/>
        <w:bidi w:val="0"/>
        <w:adjustRightInd w:val="0"/>
        <w:snapToGrid w:val="0"/>
        <w:spacing w:line="360" w:lineRule="auto"/>
        <w:jc w:val="left"/>
        <w:textAlignment w:val="auto"/>
        <w:outlineLvl w:val="9"/>
        <w:rPr>
          <w:rFonts w:ascii="宋体" w:hAnsi="宋体" w:cs="宋体"/>
          <w:sz w:val="24"/>
          <w:szCs w:val="24"/>
          <w:highlight w:val="none"/>
        </w:rPr>
      </w:pPr>
      <w:r>
        <w:rPr>
          <w:rFonts w:ascii="宋体" w:hAnsi="宋体" w:cs="宋体"/>
          <w:sz w:val="24"/>
          <w:szCs w:val="24"/>
          <w:highlight w:val="none"/>
        </w:rPr>
        <w:t>1.点击立即注册</w:t>
      </w:r>
    </w:p>
    <w:p w14:paraId="216776EA">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933065"/>
            <wp:effectExtent l="0" t="0" r="635" b="825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8"/>
                    <a:stretch>
                      <a:fillRect/>
                    </a:stretch>
                  </pic:blipFill>
                  <pic:spPr>
                    <a:xfrm>
                      <a:off x="0" y="0"/>
                      <a:ext cx="5760085" cy="2933377"/>
                    </a:xfrm>
                    <a:prstGeom prst="rect">
                      <a:avLst/>
                    </a:prstGeom>
                  </pic:spPr>
                </pic:pic>
              </a:graphicData>
            </a:graphic>
          </wp:inline>
        </w:drawing>
      </w:r>
    </w:p>
    <w:p w14:paraId="0307CC1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2.</w:t>
      </w:r>
      <w:r>
        <w:rPr>
          <w:rFonts w:ascii="宋体" w:hAnsi="宋体" w:cs="宋体"/>
          <w:color w:val="000000"/>
          <w:sz w:val="24"/>
          <w:szCs w:val="28"/>
          <w:highlight w:val="none"/>
        </w:rPr>
        <w:t>填写手机号码（没有注册过的）</w:t>
      </w:r>
    </w:p>
    <w:p w14:paraId="58036964">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766695"/>
            <wp:effectExtent l="0" t="0" r="635" b="698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9"/>
                    <a:stretch>
                      <a:fillRect/>
                    </a:stretch>
                  </pic:blipFill>
                  <pic:spPr>
                    <a:xfrm>
                      <a:off x="0" y="0"/>
                      <a:ext cx="5760085" cy="2766707"/>
                    </a:xfrm>
                    <a:prstGeom prst="rect">
                      <a:avLst/>
                    </a:prstGeom>
                  </pic:spPr>
                </pic:pic>
              </a:graphicData>
            </a:graphic>
          </wp:inline>
        </w:drawing>
      </w:r>
    </w:p>
    <w:p w14:paraId="34FB5DF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3.</w:t>
      </w:r>
      <w:r>
        <w:rPr>
          <w:rFonts w:ascii="宋体" w:hAnsi="宋体" w:cs="宋体"/>
          <w:color w:val="000000"/>
          <w:sz w:val="24"/>
          <w:szCs w:val="28"/>
          <w:highlight w:val="none"/>
        </w:rPr>
        <w:t>注册成功登录这个手机号码的账号进入系统，点击供应商注册</w:t>
      </w:r>
    </w:p>
    <w:p w14:paraId="16C3956B">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869565"/>
            <wp:effectExtent l="0" t="0" r="635" b="1079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0"/>
                    <a:stretch>
                      <a:fillRect/>
                    </a:stretch>
                  </pic:blipFill>
                  <pic:spPr>
                    <a:xfrm>
                      <a:off x="0" y="0"/>
                      <a:ext cx="5760085" cy="2870054"/>
                    </a:xfrm>
                    <a:prstGeom prst="rect">
                      <a:avLst/>
                    </a:prstGeom>
                  </pic:spPr>
                </pic:pic>
              </a:graphicData>
            </a:graphic>
          </wp:inline>
        </w:drawing>
      </w:r>
    </w:p>
    <w:p w14:paraId="0D61877C">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4.</w:t>
      </w:r>
      <w:r>
        <w:rPr>
          <w:rFonts w:ascii="宋体" w:hAnsi="宋体" w:cs="宋体"/>
          <w:color w:val="000000"/>
          <w:sz w:val="24"/>
          <w:szCs w:val="28"/>
          <w:highlight w:val="none"/>
        </w:rPr>
        <w:t>点击新增</w:t>
      </w:r>
    </w:p>
    <w:p w14:paraId="2C09CD70">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853055"/>
            <wp:effectExtent l="0" t="0" r="635" b="1206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1"/>
                    <a:stretch>
                      <a:fillRect/>
                    </a:stretch>
                  </pic:blipFill>
                  <pic:spPr>
                    <a:xfrm>
                      <a:off x="0" y="0"/>
                      <a:ext cx="5760085" cy="2853375"/>
                    </a:xfrm>
                    <a:prstGeom prst="rect">
                      <a:avLst/>
                    </a:prstGeom>
                  </pic:spPr>
                </pic:pic>
              </a:graphicData>
            </a:graphic>
          </wp:inline>
        </w:drawing>
      </w:r>
    </w:p>
    <w:p w14:paraId="68B91FB2">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sz w:val="24"/>
          <w:szCs w:val="28"/>
          <w:highlight w:val="none"/>
        </w:rPr>
        <w:t>5</w:t>
      </w:r>
      <w:r>
        <w:rPr>
          <w:rFonts w:hint="eastAsia" w:ascii="宋体" w:hAnsi="宋体" w:cs="宋体"/>
          <w:color w:val="000000"/>
          <w:sz w:val="24"/>
          <w:szCs w:val="28"/>
          <w:highlight w:val="none"/>
        </w:rPr>
        <w:t>.</w:t>
      </w:r>
      <w:r>
        <w:rPr>
          <w:rFonts w:ascii="宋体" w:hAnsi="宋体" w:cs="宋体"/>
          <w:color w:val="000000"/>
          <w:sz w:val="24"/>
          <w:szCs w:val="28"/>
          <w:highlight w:val="none"/>
        </w:rPr>
        <w:t>按要求填写所有信息，注意非生产类要填写合作单位，最后提交审批</w:t>
      </w:r>
    </w:p>
    <w:p w14:paraId="0C045047">
      <w:pPr>
        <w:pStyle w:val="10"/>
        <w:pageBreakBefore w:val="0"/>
        <w:widowControl w:val="0"/>
        <w:kinsoku/>
        <w:wordWrap/>
        <w:overflowPunct/>
        <w:topLinePunct w:val="0"/>
        <w:autoSpaceDE/>
        <w:autoSpaceDN/>
        <w:bidi w:val="0"/>
        <w:textAlignment w:val="auto"/>
        <w:outlineLvl w:val="9"/>
        <w:rPr>
          <w:highlight w:val="none"/>
        </w:rPr>
      </w:pPr>
    </w:p>
    <w:p w14:paraId="1BDC7C4A">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809875"/>
            <wp:effectExtent l="0" t="0" r="63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2"/>
                    <a:stretch>
                      <a:fillRect/>
                    </a:stretch>
                  </pic:blipFill>
                  <pic:spPr>
                    <a:xfrm>
                      <a:off x="0" y="0"/>
                      <a:ext cx="5760085" cy="2810122"/>
                    </a:xfrm>
                    <a:prstGeom prst="rect">
                      <a:avLst/>
                    </a:prstGeom>
                  </pic:spPr>
                </pic:pic>
              </a:graphicData>
            </a:graphic>
          </wp:inline>
        </w:drawing>
      </w:r>
    </w:p>
    <w:p w14:paraId="32E4E905">
      <w:pPr>
        <w:pStyle w:val="10"/>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820035"/>
            <wp:effectExtent l="0" t="0" r="635" b="1460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3"/>
                    <a:stretch>
                      <a:fillRect/>
                    </a:stretch>
                  </pic:blipFill>
                  <pic:spPr>
                    <a:xfrm>
                      <a:off x="0" y="0"/>
                      <a:ext cx="5760085" cy="2820042"/>
                    </a:xfrm>
                    <a:prstGeom prst="rect">
                      <a:avLst/>
                    </a:prstGeom>
                  </pic:spPr>
                </pic:pic>
              </a:graphicData>
            </a:graphic>
          </wp:inline>
        </w:drawing>
      </w:r>
    </w:p>
    <w:p w14:paraId="3912A533">
      <w:pPr>
        <w:pStyle w:val="10"/>
        <w:pageBreakBefore w:val="0"/>
        <w:widowControl w:val="0"/>
        <w:kinsoku/>
        <w:wordWrap/>
        <w:overflowPunct/>
        <w:topLinePunct w:val="0"/>
        <w:autoSpaceDE/>
        <w:autoSpaceDN/>
        <w:bidi w:val="0"/>
        <w:textAlignment w:val="auto"/>
        <w:outlineLvl w:val="9"/>
        <w:rPr>
          <w:highlight w:val="none"/>
        </w:rPr>
      </w:pPr>
    </w:p>
    <w:p w14:paraId="3123772F">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A5F9393">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2B85A7D">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4E6B491B">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0B948C32">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0EC973D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6E01B8">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71DCE94F">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645FB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B0190ED">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415CE456">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2453D7">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71F6C781">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72B50AF">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Ansi="宋体" w:cs="Times New Roman"/>
          <w:b/>
          <w:color w:val="000000"/>
          <w:sz w:val="24"/>
          <w:szCs w:val="24"/>
          <w:highlight w:val="none"/>
        </w:rPr>
      </w:pPr>
    </w:p>
    <w:p w14:paraId="1DE8BCD6">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SRM系统供应商用户手册</w:t>
      </w:r>
    </w:p>
    <w:p w14:paraId="2263DF26">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cs="Times New Roman"/>
          <w:b/>
          <w:bCs/>
          <w:sz w:val="36"/>
          <w:highlight w:val="none"/>
        </w:rPr>
      </w:pPr>
    </w:p>
    <w:p w14:paraId="626237FE">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24"/>
          <w:rFonts w:hint="eastAsia" w:ascii="宋体" w:hAnsi="宋体" w:cs="宋体"/>
          <w:sz w:val="24"/>
          <w:szCs w:val="24"/>
          <w:highlight w:val="none"/>
        </w:rPr>
        <w:t>https://ecaitong.sinotruk.com:8012/</w:t>
      </w:r>
      <w:r>
        <w:rPr>
          <w:rStyle w:val="24"/>
          <w:rFonts w:hint="eastAsia" w:ascii="宋体" w:hAnsi="宋体" w:cs="宋体"/>
          <w:sz w:val="24"/>
          <w:szCs w:val="24"/>
          <w:highlight w:val="none"/>
        </w:rPr>
        <w:fldChar w:fldCharType="end"/>
      </w:r>
    </w:p>
    <w:p w14:paraId="5D9BD696">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用 户 名：gys+供应商代码（</w:t>
      </w:r>
      <w:r>
        <w:rPr>
          <w:rFonts w:hint="eastAsia" w:ascii="宋体" w:hAnsi="宋体" w:cs="宋体"/>
          <w:color w:val="FF0000"/>
          <w:sz w:val="24"/>
          <w:szCs w:val="24"/>
          <w:highlight w:val="none"/>
        </w:rPr>
        <w:t>注意：注册完毕后，用户名不要用手机号登录</w:t>
      </w:r>
      <w:r>
        <w:rPr>
          <w:rFonts w:hint="eastAsia" w:ascii="宋体" w:hAnsi="宋体" w:cs="宋体"/>
          <w:color w:val="000000"/>
          <w:sz w:val="24"/>
          <w:szCs w:val="24"/>
          <w:highlight w:val="none"/>
        </w:rPr>
        <w:t>）</w:t>
      </w:r>
    </w:p>
    <w:p w14:paraId="7AB80747">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初始密码：scm@2022</w:t>
      </w:r>
    </w:p>
    <w:p w14:paraId="55A7050F">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3" w:name="_Toc3323"/>
      <w:r>
        <w:rPr>
          <w:rFonts w:hint="eastAsia" w:ascii="宋体" w:hAnsi="宋体" w:cs="宋体"/>
          <w:b/>
          <w:bCs/>
          <w:color w:val="000000"/>
          <w:sz w:val="24"/>
          <w:szCs w:val="24"/>
          <w:highlight w:val="none"/>
        </w:rPr>
        <w:t>1.供应商应标</w:t>
      </w:r>
      <w:bookmarkEnd w:id="33"/>
    </w:p>
    <w:p w14:paraId="5739BDB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供应商应标</w:t>
      </w:r>
    </w:p>
    <w:p w14:paraId="0D87262B">
      <w:pPr>
        <w:pageBreakBefore w:val="0"/>
        <w:widowControl w:val="0"/>
        <w:kinsoku/>
        <w:wordWrap/>
        <w:overflowPunct/>
        <w:topLinePunct w:val="0"/>
        <w:autoSpaceDE/>
        <w:autoSpaceDN/>
        <w:bidi w:val="0"/>
        <w:spacing w:line="360" w:lineRule="auto"/>
        <w:textAlignment w:val="auto"/>
        <w:outlineLvl w:val="9"/>
        <w:rPr>
          <w:rFonts w:ascii="宋体" w:hAnsi="宋体" w:cs="宋体"/>
          <w:color w:val="000000"/>
          <w:sz w:val="24"/>
          <w:szCs w:val="24"/>
          <w:highlight w:val="none"/>
        </w:rPr>
      </w:pPr>
      <w:r>
        <w:rPr>
          <w:rFonts w:ascii="宋体" w:hAnsi="宋体" w:cs="宋体"/>
          <w:color w:val="000000"/>
          <w:sz w:val="24"/>
          <w:szCs w:val="24"/>
          <w:highlight w:val="none"/>
        </w:rPr>
        <w:t>点击应标，上传文件之后点击提交。</w:t>
      </w:r>
    </w:p>
    <w:p w14:paraId="4CD9076F">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269490"/>
            <wp:effectExtent l="0" t="0" r="635" b="127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4"/>
                    <a:stretch>
                      <a:fillRect/>
                    </a:stretch>
                  </pic:blipFill>
                  <pic:spPr>
                    <a:xfrm>
                      <a:off x="0" y="0"/>
                      <a:ext cx="5760085" cy="2269864"/>
                    </a:xfrm>
                    <a:prstGeom prst="rect">
                      <a:avLst/>
                    </a:prstGeom>
                  </pic:spPr>
                </pic:pic>
              </a:graphicData>
            </a:graphic>
          </wp:inline>
        </w:drawing>
      </w:r>
    </w:p>
    <w:p w14:paraId="6A947636">
      <w:pPr>
        <w:pageBreakBefore w:val="0"/>
        <w:widowControl w:val="0"/>
        <w:kinsoku/>
        <w:wordWrap/>
        <w:overflowPunct/>
        <w:topLinePunct w:val="0"/>
        <w:autoSpaceDE/>
        <w:autoSpaceDN/>
        <w:bidi w:val="0"/>
        <w:textAlignment w:val="auto"/>
        <w:outlineLvl w:val="9"/>
        <w:rPr>
          <w:highlight w:val="none"/>
        </w:rPr>
      </w:pPr>
    </w:p>
    <w:p w14:paraId="20789426">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4" w:name="_Toc4507"/>
      <w:r>
        <w:rPr>
          <w:rFonts w:hint="eastAsia" w:ascii="宋体" w:hAnsi="宋体" w:cs="宋体"/>
          <w:b/>
          <w:bCs/>
          <w:color w:val="000000"/>
          <w:sz w:val="24"/>
          <w:szCs w:val="24"/>
          <w:highlight w:val="none"/>
        </w:rPr>
        <w:t>2.供应商投标</w:t>
      </w:r>
      <w:bookmarkEnd w:id="34"/>
    </w:p>
    <w:p w14:paraId="128FAABC">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供应商投标</w:t>
      </w:r>
    </w:p>
    <w:p w14:paraId="3EBDAA46">
      <w:pPr>
        <w:pageBreakBefore w:val="0"/>
        <w:widowControl w:val="0"/>
        <w:kinsoku/>
        <w:wordWrap/>
        <w:overflowPunct/>
        <w:topLinePunct w:val="0"/>
        <w:autoSpaceDE/>
        <w:autoSpaceDN/>
        <w:bidi w:val="0"/>
        <w:textAlignment w:val="auto"/>
        <w:outlineLvl w:val="9"/>
        <w:rPr>
          <w:rFonts w:ascii="宋体" w:hAnsi="宋体" w:cs="宋体"/>
          <w:color w:val="000000"/>
          <w:highlight w:val="none"/>
        </w:rPr>
      </w:pPr>
      <w:r>
        <w:rPr>
          <w:rFonts w:ascii="宋体" w:hAnsi="宋体" w:cs="宋体"/>
          <w:color w:val="000000"/>
          <w:highlight w:val="none"/>
        </w:rPr>
        <w:drawing>
          <wp:inline distT="0" distB="0" distL="0" distR="0">
            <wp:extent cx="5760085" cy="2125345"/>
            <wp:effectExtent l="0" t="0" r="63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5"/>
                    <a:stretch>
                      <a:fillRect/>
                    </a:stretch>
                  </pic:blipFill>
                  <pic:spPr>
                    <a:xfrm>
                      <a:off x="0" y="0"/>
                      <a:ext cx="5760085" cy="2125673"/>
                    </a:xfrm>
                    <a:prstGeom prst="rect">
                      <a:avLst/>
                    </a:prstGeom>
                  </pic:spPr>
                </pic:pic>
              </a:graphicData>
            </a:graphic>
          </wp:inline>
        </w:drawing>
      </w:r>
    </w:p>
    <w:p w14:paraId="2CAAD949">
      <w:pPr>
        <w:pageBreakBefore w:val="0"/>
        <w:widowControl w:val="0"/>
        <w:kinsoku/>
        <w:wordWrap/>
        <w:overflowPunct/>
        <w:topLinePunct w:val="0"/>
        <w:autoSpaceDE/>
        <w:autoSpaceDN/>
        <w:bidi w:val="0"/>
        <w:spacing w:line="360" w:lineRule="auto"/>
        <w:textAlignment w:val="auto"/>
        <w:outlineLvl w:val="9"/>
        <w:rPr>
          <w:rFonts w:ascii="宋体" w:hAnsi="宋体" w:cs="宋体"/>
          <w:color w:val="000000"/>
          <w:sz w:val="24"/>
          <w:szCs w:val="28"/>
          <w:highlight w:val="none"/>
        </w:rPr>
      </w:pPr>
      <w:r>
        <w:rPr>
          <w:rFonts w:ascii="宋体" w:hAnsi="宋体" w:cs="宋体"/>
          <w:color w:val="000000"/>
          <w:sz w:val="24"/>
          <w:szCs w:val="28"/>
          <w:highlight w:val="none"/>
        </w:rPr>
        <w:t>点击投标按钮，进入详情页，输入投标报价并上传相应的附件。</w:t>
      </w:r>
    </w:p>
    <w:p w14:paraId="6FF8BA1B">
      <w:pPr>
        <w:pStyle w:val="10"/>
        <w:pageBreakBefore w:val="0"/>
        <w:widowControl w:val="0"/>
        <w:kinsoku/>
        <w:wordWrap/>
        <w:overflowPunct/>
        <w:topLinePunct w:val="0"/>
        <w:autoSpaceDE/>
        <w:autoSpaceDN/>
        <w:bidi w:val="0"/>
        <w:textAlignment w:val="auto"/>
        <w:outlineLvl w:val="9"/>
        <w:rPr>
          <w:highlight w:val="none"/>
        </w:rPr>
      </w:pPr>
      <w:r>
        <w:rPr>
          <w:rFonts w:hint="eastAsia" w:hAnsi="宋体" w:cs="宋体"/>
          <w:color w:val="000000"/>
          <w:sz w:val="24"/>
          <w:szCs w:val="28"/>
          <w:highlight w:val="none"/>
        </w:rPr>
        <w:t>注意：系统内的投标报价单位为“万元”，如开标现场发现填错报价，即直接淘汰。</w:t>
      </w:r>
    </w:p>
    <w:p w14:paraId="683CE859">
      <w:pPr>
        <w:pageBreakBefore w:val="0"/>
        <w:widowControl w:val="0"/>
        <w:numPr>
          <w:ilvl w:val="0"/>
          <w:numId w:val="0"/>
        </w:numPr>
        <w:kinsoku/>
        <w:wordWrap/>
        <w:overflowPunct/>
        <w:topLinePunct w:val="0"/>
        <w:autoSpaceDE/>
        <w:autoSpaceDN/>
        <w:bidi w:val="0"/>
        <w:textAlignment w:val="auto"/>
        <w:outlineLvl w:val="9"/>
        <w:rPr>
          <w:rFonts w:eastAsia="Arial" w:cs="Arial"/>
          <w:color w:val="000000"/>
          <w:highlight w:val="none"/>
        </w:rPr>
      </w:pPr>
      <w:r>
        <w:rPr>
          <w:rFonts w:eastAsia="Arial" w:cs="Arial"/>
          <w:color w:val="000000"/>
          <w:highlight w:val="none"/>
        </w:rPr>
        <w:drawing>
          <wp:inline distT="0" distB="0" distL="0" distR="0">
            <wp:extent cx="5490210" cy="2668905"/>
            <wp:effectExtent l="0" t="0" r="11430" b="1333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6"/>
                    <a:stretch>
                      <a:fillRect/>
                    </a:stretch>
                  </pic:blipFill>
                  <pic:spPr>
                    <a:xfrm>
                      <a:off x="0" y="0"/>
                      <a:ext cx="5490210" cy="2669498"/>
                    </a:xfrm>
                    <a:prstGeom prst="rect">
                      <a:avLst/>
                    </a:prstGeom>
                  </pic:spPr>
                </pic:pic>
              </a:graphicData>
            </a:graphic>
          </wp:inline>
        </w:drawing>
      </w:r>
    </w:p>
    <w:p w14:paraId="7BCFD73C">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5" w:name="_Toc30037"/>
      <w:r>
        <w:rPr>
          <w:rFonts w:hint="eastAsia" w:ascii="宋体" w:hAnsi="宋体" w:cs="宋体"/>
          <w:b/>
          <w:bCs/>
          <w:color w:val="000000"/>
          <w:sz w:val="24"/>
          <w:szCs w:val="24"/>
          <w:highlight w:val="none"/>
        </w:rPr>
        <w:t>3.供应商技术标澄清函</w:t>
      </w:r>
      <w:bookmarkEnd w:id="35"/>
    </w:p>
    <w:p w14:paraId="2559FDBD">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供应商技术标澄清函</w:t>
      </w:r>
    </w:p>
    <w:p w14:paraId="32D2CC89">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点击编辑按钮进入系统，上传技术标澄清函。</w:t>
      </w:r>
    </w:p>
    <w:p w14:paraId="15B48090">
      <w:pPr>
        <w:pageBreakBefore w:val="0"/>
        <w:widowControl w:val="0"/>
        <w:kinsoku/>
        <w:wordWrap/>
        <w:overflowPunct/>
        <w:topLinePunct w:val="0"/>
        <w:autoSpaceDE/>
        <w:autoSpaceDN/>
        <w:bidi w:val="0"/>
        <w:spacing w:line="360" w:lineRule="auto"/>
        <w:textAlignment w:val="auto"/>
        <w:outlineLvl w:val="9"/>
        <w:rPr>
          <w:rFonts w:ascii="Arial" w:hAnsi="Arial" w:eastAsia="Arial" w:cs="Arial"/>
          <w:color w:val="000000"/>
          <w:sz w:val="28"/>
          <w:highlight w:val="none"/>
        </w:rPr>
      </w:pPr>
      <w:r>
        <w:rPr>
          <w:rFonts w:ascii="宋体" w:hAnsi="宋体" w:cs="宋体"/>
          <w:color w:val="000000"/>
          <w:sz w:val="24"/>
          <w:szCs w:val="24"/>
          <w:highlight w:val="none"/>
        </w:rPr>
        <w:t>开标之后所有投标的供应商都可编辑提交，技术标入围之后</w:t>
      </w:r>
      <w:r>
        <w:rPr>
          <w:rFonts w:hint="eastAsia" w:ascii="宋体" w:hAnsi="宋体" w:cs="宋体"/>
          <w:color w:val="000000"/>
          <w:sz w:val="24"/>
          <w:szCs w:val="24"/>
          <w:highlight w:val="none"/>
        </w:rPr>
        <w:t xml:space="preserve"> </w:t>
      </w:r>
      <w:r>
        <w:rPr>
          <w:rFonts w:ascii="宋体" w:hAnsi="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1430" b="381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7"/>
                    <a:stretch>
                      <a:fillRect/>
                    </a:stretch>
                  </pic:blipFill>
                  <pic:spPr>
                    <a:xfrm>
                      <a:off x="0" y="0"/>
                      <a:ext cx="5490210" cy="1992743"/>
                    </a:xfrm>
                    <a:prstGeom prst="rect">
                      <a:avLst/>
                    </a:prstGeom>
                  </pic:spPr>
                </pic:pic>
              </a:graphicData>
            </a:graphic>
          </wp:inline>
        </w:drawing>
      </w:r>
    </w:p>
    <w:p w14:paraId="5565014E">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6" w:name="_Toc3204"/>
      <w:r>
        <w:rPr>
          <w:rFonts w:hint="eastAsia" w:ascii="宋体" w:hAnsi="宋体" w:cs="宋体"/>
          <w:b/>
          <w:bCs/>
          <w:color w:val="000000"/>
          <w:sz w:val="24"/>
          <w:szCs w:val="24"/>
          <w:highlight w:val="none"/>
        </w:rPr>
        <w:t>4.供应商报价</w:t>
      </w:r>
      <w:bookmarkEnd w:id="36"/>
    </w:p>
    <w:p w14:paraId="5FABB5E3">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供应商报价</w:t>
      </w:r>
    </w:p>
    <w:p w14:paraId="0930DEE9">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点击报价按钮进入报价详情界面，请在此轮报价起止时间内报价，否则无法报价。</w:t>
      </w:r>
    </w:p>
    <w:p w14:paraId="7A837318">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7" w:name="_Toc31317"/>
      <w:r>
        <w:rPr>
          <w:rFonts w:hint="eastAsia" w:ascii="宋体" w:hAnsi="宋体" w:cs="宋体"/>
          <w:b/>
          <w:bCs/>
          <w:color w:val="000000"/>
          <w:sz w:val="24"/>
          <w:szCs w:val="24"/>
          <w:highlight w:val="none"/>
        </w:rPr>
        <w:t>5.供应商澄清报价</w:t>
      </w:r>
      <w:bookmarkEnd w:id="37"/>
    </w:p>
    <w:p w14:paraId="747B75AB">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供应商澄清报价</w:t>
      </w:r>
    </w:p>
    <w:p w14:paraId="7E1AA56A">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6F6A1732">
      <w:pPr>
        <w:pageBreakBefore w:val="0"/>
        <w:widowControl w:val="0"/>
        <w:numPr>
          <w:ilvl w:val="0"/>
          <w:numId w:val="0"/>
        </w:numPr>
        <w:kinsoku/>
        <w:wordWrap/>
        <w:overflowPunct/>
        <w:topLinePunct w:val="0"/>
        <w:autoSpaceDE/>
        <w:autoSpaceDN/>
        <w:bidi w:val="0"/>
        <w:textAlignment w:val="auto"/>
        <w:outlineLvl w:val="9"/>
        <w:rPr>
          <w:rFonts w:eastAsia="Arial" w:cs="Arial"/>
          <w:color w:val="000000"/>
          <w:highlight w:val="none"/>
        </w:rPr>
      </w:pPr>
      <w:r>
        <w:rPr>
          <w:rFonts w:eastAsia="Arial" w:cs="Arial"/>
          <w:color w:val="000000"/>
          <w:highlight w:val="none"/>
        </w:rPr>
        <w:drawing>
          <wp:inline distT="0" distB="0" distL="0" distR="0">
            <wp:extent cx="5490210" cy="2544445"/>
            <wp:effectExtent l="0" t="0" r="11430" b="63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8"/>
                    <a:stretch>
                      <a:fillRect/>
                    </a:stretch>
                  </pic:blipFill>
                  <pic:spPr>
                    <a:xfrm>
                      <a:off x="0" y="0"/>
                      <a:ext cx="5490210" cy="2544669"/>
                    </a:xfrm>
                    <a:prstGeom prst="rect">
                      <a:avLst/>
                    </a:prstGeom>
                  </pic:spPr>
                </pic:pic>
              </a:graphicData>
            </a:graphic>
          </wp:inline>
        </w:drawing>
      </w:r>
    </w:p>
    <w:p w14:paraId="5E92003A">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8" w:name="_Toc26492"/>
      <w:r>
        <w:rPr>
          <w:rFonts w:hint="eastAsia" w:ascii="宋体" w:hAnsi="宋体" w:cs="宋体"/>
          <w:b/>
          <w:bCs/>
          <w:color w:val="000000"/>
          <w:sz w:val="24"/>
          <w:szCs w:val="24"/>
          <w:highlight w:val="none"/>
        </w:rPr>
        <w:t>6.供应商查看中标通知</w:t>
      </w:r>
      <w:bookmarkEnd w:id="38"/>
    </w:p>
    <w:p w14:paraId="6DBC83F2">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中标项目</w:t>
      </w:r>
    </w:p>
    <w:p w14:paraId="15452DC8">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点击查看进入查看中标项目详情</w:t>
      </w:r>
    </w:p>
    <w:p w14:paraId="7EC5B441">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489835"/>
            <wp:effectExtent l="0" t="0" r="635" b="952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9"/>
                    <a:stretch>
                      <a:fillRect/>
                    </a:stretch>
                  </pic:blipFill>
                  <pic:spPr>
                    <a:xfrm>
                      <a:off x="0" y="0"/>
                      <a:ext cx="5760085" cy="2489835"/>
                    </a:xfrm>
                    <a:prstGeom prst="rect">
                      <a:avLst/>
                    </a:prstGeom>
                  </pic:spPr>
                </pic:pic>
              </a:graphicData>
            </a:graphic>
          </wp:inline>
        </w:drawing>
      </w:r>
    </w:p>
    <w:p w14:paraId="1707729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8C6D490">
      <w:pPr>
        <w:pageBreakBefore w:val="0"/>
        <w:widowControl w:val="0"/>
        <w:kinsoku/>
        <w:wordWrap/>
        <w:overflowPunct/>
        <w:topLinePunct w:val="0"/>
        <w:autoSpaceDE/>
        <w:autoSpaceDN/>
        <w:bidi w:val="0"/>
        <w:spacing w:line="440" w:lineRule="exact"/>
        <w:ind w:firstLine="420" w:firstLineChars="200"/>
        <w:textAlignment w:val="auto"/>
        <w:outlineLvl w:val="9"/>
        <w:rPr>
          <w:rFonts w:ascii="宋体" w:hAnsi="Courier New"/>
          <w:highlight w:val="none"/>
        </w:rPr>
      </w:pPr>
    </w:p>
    <w:p w14:paraId="56E175A2">
      <w:pPr>
        <w:pStyle w:val="7"/>
        <w:pageBreakBefore w:val="0"/>
        <w:widowControl w:val="0"/>
        <w:kinsoku/>
        <w:wordWrap/>
        <w:overflowPunct/>
        <w:topLinePunct w:val="0"/>
        <w:autoSpaceDE/>
        <w:autoSpaceDN/>
        <w:bidi w:val="0"/>
        <w:textAlignment w:val="auto"/>
        <w:outlineLvl w:val="9"/>
        <w:rPr>
          <w:rFonts w:ascii="宋体" w:hAnsi="宋体"/>
          <w:sz w:val="24"/>
          <w:highlight w:val="none"/>
        </w:rPr>
      </w:pPr>
    </w:p>
    <w:p w14:paraId="2D027593">
      <w:pPr>
        <w:pStyle w:val="7"/>
        <w:pageBreakBefore w:val="0"/>
        <w:widowControl w:val="0"/>
        <w:kinsoku/>
        <w:wordWrap/>
        <w:overflowPunct/>
        <w:topLinePunct w:val="0"/>
        <w:autoSpaceDE/>
        <w:autoSpaceDN/>
        <w:bidi w:val="0"/>
        <w:textAlignment w:val="auto"/>
        <w:outlineLvl w:val="9"/>
        <w:rPr>
          <w:highlight w:val="none"/>
        </w:rPr>
      </w:pPr>
    </w:p>
    <w:p w14:paraId="7548A8B5">
      <w:pPr>
        <w:rPr>
          <w:highlight w:val="none"/>
        </w:rPr>
      </w:pPr>
    </w:p>
    <w:sectPr>
      <w:pgSz w:w="11906" w:h="16838"/>
      <w:pgMar w:top="1587" w:right="1417" w:bottom="1134" w:left="1417" w:header="851" w:footer="992"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F3437">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65EA7">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74046">
                          <w:pPr>
                            <w:pStyle w:val="1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0F74046">
                    <w:pPr>
                      <w:pStyle w:val="1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1C240">
    <w:pPr>
      <w:pStyle w:val="1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22439">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D722439">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D18C3">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03BC2"/>
    <w:multiLevelType w:val="singleLevel"/>
    <w:tmpl w:val="AAA03BC2"/>
    <w:lvl w:ilvl="0" w:tentative="0">
      <w:start w:val="1"/>
      <w:numFmt w:val="decimal"/>
      <w:pStyle w:val="4"/>
      <w:lvlText w:val="%1."/>
      <w:lvlJc w:val="left"/>
      <w:pPr>
        <w:ind w:left="425" w:hanging="425"/>
      </w:pPr>
      <w:rPr>
        <w:rFonts w:hint="default"/>
      </w:rPr>
    </w:lvl>
  </w:abstractNum>
  <w:abstractNum w:abstractNumId="1">
    <w:nsid w:val="C5D83CA2"/>
    <w:multiLevelType w:val="singleLevel"/>
    <w:tmpl w:val="C5D83CA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kMGM3MmM4NzExZDMyMDAwZjczNTM5Nzg4MzI5YTcifQ=="/>
  </w:docVars>
  <w:rsids>
    <w:rsidRoot w:val="00172A27"/>
    <w:rsid w:val="000039FD"/>
    <w:rsid w:val="00015299"/>
    <w:rsid w:val="00015E0D"/>
    <w:rsid w:val="000244B3"/>
    <w:rsid w:val="00037FEA"/>
    <w:rsid w:val="00040CDD"/>
    <w:rsid w:val="00054BC1"/>
    <w:rsid w:val="00066BC6"/>
    <w:rsid w:val="000918C3"/>
    <w:rsid w:val="000A08F6"/>
    <w:rsid w:val="000A6C1D"/>
    <w:rsid w:val="000D030F"/>
    <w:rsid w:val="000D6816"/>
    <w:rsid w:val="000D7E43"/>
    <w:rsid w:val="000E11DF"/>
    <w:rsid w:val="000E1D6A"/>
    <w:rsid w:val="000E1EB0"/>
    <w:rsid w:val="000F74C7"/>
    <w:rsid w:val="001054BC"/>
    <w:rsid w:val="001111A1"/>
    <w:rsid w:val="001160A0"/>
    <w:rsid w:val="00124B86"/>
    <w:rsid w:val="00125A4C"/>
    <w:rsid w:val="0014725F"/>
    <w:rsid w:val="00161153"/>
    <w:rsid w:val="00176A3F"/>
    <w:rsid w:val="00181E01"/>
    <w:rsid w:val="00182A00"/>
    <w:rsid w:val="00187025"/>
    <w:rsid w:val="00196A2A"/>
    <w:rsid w:val="001B3716"/>
    <w:rsid w:val="001E2456"/>
    <w:rsid w:val="001E2654"/>
    <w:rsid w:val="001E2EDF"/>
    <w:rsid w:val="001F0C50"/>
    <w:rsid w:val="001F739D"/>
    <w:rsid w:val="00202D2A"/>
    <w:rsid w:val="00213DA4"/>
    <w:rsid w:val="00214C54"/>
    <w:rsid w:val="00224E70"/>
    <w:rsid w:val="00225CB4"/>
    <w:rsid w:val="00236C19"/>
    <w:rsid w:val="00255A5F"/>
    <w:rsid w:val="00257531"/>
    <w:rsid w:val="00262E60"/>
    <w:rsid w:val="00263E3C"/>
    <w:rsid w:val="00281627"/>
    <w:rsid w:val="00295568"/>
    <w:rsid w:val="00296943"/>
    <w:rsid w:val="002A46AD"/>
    <w:rsid w:val="002B42E4"/>
    <w:rsid w:val="002C4231"/>
    <w:rsid w:val="002D071B"/>
    <w:rsid w:val="002D6C16"/>
    <w:rsid w:val="002E2654"/>
    <w:rsid w:val="002E3BFB"/>
    <w:rsid w:val="00301417"/>
    <w:rsid w:val="003140E9"/>
    <w:rsid w:val="00317394"/>
    <w:rsid w:val="0032767B"/>
    <w:rsid w:val="003351E4"/>
    <w:rsid w:val="003414D2"/>
    <w:rsid w:val="00341BD2"/>
    <w:rsid w:val="00343BE5"/>
    <w:rsid w:val="00353674"/>
    <w:rsid w:val="0035570A"/>
    <w:rsid w:val="00366263"/>
    <w:rsid w:val="00367B34"/>
    <w:rsid w:val="00375545"/>
    <w:rsid w:val="0038116C"/>
    <w:rsid w:val="00381C08"/>
    <w:rsid w:val="003A0656"/>
    <w:rsid w:val="003A7560"/>
    <w:rsid w:val="003C64EB"/>
    <w:rsid w:val="003D1BDF"/>
    <w:rsid w:val="004063DD"/>
    <w:rsid w:val="00420506"/>
    <w:rsid w:val="004261A7"/>
    <w:rsid w:val="004365F7"/>
    <w:rsid w:val="00441012"/>
    <w:rsid w:val="0046389B"/>
    <w:rsid w:val="00465A2D"/>
    <w:rsid w:val="0047546E"/>
    <w:rsid w:val="00482A3B"/>
    <w:rsid w:val="00486F05"/>
    <w:rsid w:val="00487E03"/>
    <w:rsid w:val="004B546C"/>
    <w:rsid w:val="005012AB"/>
    <w:rsid w:val="00514C62"/>
    <w:rsid w:val="00530E26"/>
    <w:rsid w:val="005559C2"/>
    <w:rsid w:val="0056559A"/>
    <w:rsid w:val="00572F5C"/>
    <w:rsid w:val="00573F5B"/>
    <w:rsid w:val="00587F93"/>
    <w:rsid w:val="005B6585"/>
    <w:rsid w:val="005B6F2C"/>
    <w:rsid w:val="0060686A"/>
    <w:rsid w:val="00607BC2"/>
    <w:rsid w:val="00610597"/>
    <w:rsid w:val="006159F9"/>
    <w:rsid w:val="00620178"/>
    <w:rsid w:val="00624856"/>
    <w:rsid w:val="00650980"/>
    <w:rsid w:val="006531A5"/>
    <w:rsid w:val="006648FD"/>
    <w:rsid w:val="00664D1E"/>
    <w:rsid w:val="00673CCD"/>
    <w:rsid w:val="0068717A"/>
    <w:rsid w:val="00696583"/>
    <w:rsid w:val="00697EA2"/>
    <w:rsid w:val="006A1773"/>
    <w:rsid w:val="006A4830"/>
    <w:rsid w:val="006A7C26"/>
    <w:rsid w:val="006B1916"/>
    <w:rsid w:val="006B45EA"/>
    <w:rsid w:val="006E22DF"/>
    <w:rsid w:val="006F2D1D"/>
    <w:rsid w:val="006F4C09"/>
    <w:rsid w:val="006F7257"/>
    <w:rsid w:val="00730521"/>
    <w:rsid w:val="007407D7"/>
    <w:rsid w:val="00741A30"/>
    <w:rsid w:val="00764157"/>
    <w:rsid w:val="007A66C5"/>
    <w:rsid w:val="007E1D25"/>
    <w:rsid w:val="007E7530"/>
    <w:rsid w:val="00805D91"/>
    <w:rsid w:val="00826C1B"/>
    <w:rsid w:val="00833CE3"/>
    <w:rsid w:val="0083414B"/>
    <w:rsid w:val="00873E3A"/>
    <w:rsid w:val="008861E0"/>
    <w:rsid w:val="0088706A"/>
    <w:rsid w:val="00896D21"/>
    <w:rsid w:val="008B4C89"/>
    <w:rsid w:val="008F002C"/>
    <w:rsid w:val="008F4A28"/>
    <w:rsid w:val="00905806"/>
    <w:rsid w:val="00917EDB"/>
    <w:rsid w:val="009275EE"/>
    <w:rsid w:val="0095269E"/>
    <w:rsid w:val="009641E2"/>
    <w:rsid w:val="009A24A5"/>
    <w:rsid w:val="009D39EF"/>
    <w:rsid w:val="009D706A"/>
    <w:rsid w:val="009E21EB"/>
    <w:rsid w:val="00A118B9"/>
    <w:rsid w:val="00A15446"/>
    <w:rsid w:val="00A52DC5"/>
    <w:rsid w:val="00A6747D"/>
    <w:rsid w:val="00A7293D"/>
    <w:rsid w:val="00A87200"/>
    <w:rsid w:val="00A9121B"/>
    <w:rsid w:val="00A93987"/>
    <w:rsid w:val="00A94E4E"/>
    <w:rsid w:val="00AA31BE"/>
    <w:rsid w:val="00AA3A13"/>
    <w:rsid w:val="00AA7B2B"/>
    <w:rsid w:val="00AD2690"/>
    <w:rsid w:val="00AE3E17"/>
    <w:rsid w:val="00AE5556"/>
    <w:rsid w:val="00B014B0"/>
    <w:rsid w:val="00B04952"/>
    <w:rsid w:val="00B27112"/>
    <w:rsid w:val="00B30BF4"/>
    <w:rsid w:val="00B4039D"/>
    <w:rsid w:val="00B47C6E"/>
    <w:rsid w:val="00B562B0"/>
    <w:rsid w:val="00B71897"/>
    <w:rsid w:val="00B71E1F"/>
    <w:rsid w:val="00B81D55"/>
    <w:rsid w:val="00B860B4"/>
    <w:rsid w:val="00B91B85"/>
    <w:rsid w:val="00B95837"/>
    <w:rsid w:val="00B97D41"/>
    <w:rsid w:val="00BB30E9"/>
    <w:rsid w:val="00BB4839"/>
    <w:rsid w:val="00C257DD"/>
    <w:rsid w:val="00C26C15"/>
    <w:rsid w:val="00C32311"/>
    <w:rsid w:val="00C55D77"/>
    <w:rsid w:val="00CE04CF"/>
    <w:rsid w:val="00CE4EB9"/>
    <w:rsid w:val="00D03851"/>
    <w:rsid w:val="00D047CB"/>
    <w:rsid w:val="00D21473"/>
    <w:rsid w:val="00D43562"/>
    <w:rsid w:val="00D5154E"/>
    <w:rsid w:val="00D56F7E"/>
    <w:rsid w:val="00D626B3"/>
    <w:rsid w:val="00D6684E"/>
    <w:rsid w:val="00D70EB3"/>
    <w:rsid w:val="00D72C39"/>
    <w:rsid w:val="00D95ED4"/>
    <w:rsid w:val="00DB02C7"/>
    <w:rsid w:val="00DC2D3B"/>
    <w:rsid w:val="00DF14F4"/>
    <w:rsid w:val="00E03EDC"/>
    <w:rsid w:val="00E0425B"/>
    <w:rsid w:val="00E05644"/>
    <w:rsid w:val="00E0592B"/>
    <w:rsid w:val="00E13231"/>
    <w:rsid w:val="00E15CD1"/>
    <w:rsid w:val="00E305E2"/>
    <w:rsid w:val="00E375E6"/>
    <w:rsid w:val="00E4366F"/>
    <w:rsid w:val="00E51036"/>
    <w:rsid w:val="00E51F56"/>
    <w:rsid w:val="00E67661"/>
    <w:rsid w:val="00E756A6"/>
    <w:rsid w:val="00E871EE"/>
    <w:rsid w:val="00E9166E"/>
    <w:rsid w:val="00E9543F"/>
    <w:rsid w:val="00E95900"/>
    <w:rsid w:val="00E97E73"/>
    <w:rsid w:val="00EF5FCA"/>
    <w:rsid w:val="00F05D31"/>
    <w:rsid w:val="00F22435"/>
    <w:rsid w:val="00F2273D"/>
    <w:rsid w:val="00F25542"/>
    <w:rsid w:val="00F25F15"/>
    <w:rsid w:val="00F40D51"/>
    <w:rsid w:val="00F50A8B"/>
    <w:rsid w:val="00F8614E"/>
    <w:rsid w:val="00FA4D06"/>
    <w:rsid w:val="00FC5B3D"/>
    <w:rsid w:val="00FE438B"/>
    <w:rsid w:val="00FF11E7"/>
    <w:rsid w:val="00FF5AA9"/>
    <w:rsid w:val="010B22B0"/>
    <w:rsid w:val="011C0A03"/>
    <w:rsid w:val="01471711"/>
    <w:rsid w:val="014F4893"/>
    <w:rsid w:val="016139CC"/>
    <w:rsid w:val="01767B23"/>
    <w:rsid w:val="01774D6C"/>
    <w:rsid w:val="01831488"/>
    <w:rsid w:val="018E7819"/>
    <w:rsid w:val="019604A9"/>
    <w:rsid w:val="01AF0612"/>
    <w:rsid w:val="01C51910"/>
    <w:rsid w:val="01DA2E6C"/>
    <w:rsid w:val="01DB7ED5"/>
    <w:rsid w:val="0224187C"/>
    <w:rsid w:val="02395F2F"/>
    <w:rsid w:val="02436043"/>
    <w:rsid w:val="02611E54"/>
    <w:rsid w:val="0261662C"/>
    <w:rsid w:val="026933C1"/>
    <w:rsid w:val="02755FB4"/>
    <w:rsid w:val="0279651D"/>
    <w:rsid w:val="028A0530"/>
    <w:rsid w:val="02B0568A"/>
    <w:rsid w:val="02D149AD"/>
    <w:rsid w:val="02D46657"/>
    <w:rsid w:val="02DA2949"/>
    <w:rsid w:val="02DB52BD"/>
    <w:rsid w:val="02DC2D3E"/>
    <w:rsid w:val="02E958D7"/>
    <w:rsid w:val="03273887"/>
    <w:rsid w:val="032853BC"/>
    <w:rsid w:val="0341249E"/>
    <w:rsid w:val="034858F1"/>
    <w:rsid w:val="035A4CAD"/>
    <w:rsid w:val="036A5588"/>
    <w:rsid w:val="036A712A"/>
    <w:rsid w:val="037D56E7"/>
    <w:rsid w:val="03827B14"/>
    <w:rsid w:val="039203FC"/>
    <w:rsid w:val="039E11BA"/>
    <w:rsid w:val="03AB4C62"/>
    <w:rsid w:val="03D3663B"/>
    <w:rsid w:val="03E7552B"/>
    <w:rsid w:val="03EC63C9"/>
    <w:rsid w:val="0425785D"/>
    <w:rsid w:val="04361CF6"/>
    <w:rsid w:val="04637AA8"/>
    <w:rsid w:val="048B7990"/>
    <w:rsid w:val="048C0506"/>
    <w:rsid w:val="04A17265"/>
    <w:rsid w:val="04AE64BD"/>
    <w:rsid w:val="04B163D7"/>
    <w:rsid w:val="04B32944"/>
    <w:rsid w:val="04DC6F54"/>
    <w:rsid w:val="04EE3948"/>
    <w:rsid w:val="04F311AF"/>
    <w:rsid w:val="04F61345"/>
    <w:rsid w:val="05011ADD"/>
    <w:rsid w:val="05133C63"/>
    <w:rsid w:val="05177476"/>
    <w:rsid w:val="051D6770"/>
    <w:rsid w:val="05235E1B"/>
    <w:rsid w:val="052778F4"/>
    <w:rsid w:val="05690B31"/>
    <w:rsid w:val="05776166"/>
    <w:rsid w:val="057876ED"/>
    <w:rsid w:val="05860158"/>
    <w:rsid w:val="05885E20"/>
    <w:rsid w:val="059267A3"/>
    <w:rsid w:val="05B3073B"/>
    <w:rsid w:val="05BB5375"/>
    <w:rsid w:val="05CE10C1"/>
    <w:rsid w:val="05D07899"/>
    <w:rsid w:val="05F509D2"/>
    <w:rsid w:val="05F62280"/>
    <w:rsid w:val="0622059D"/>
    <w:rsid w:val="065345EF"/>
    <w:rsid w:val="06815AFC"/>
    <w:rsid w:val="06A665F7"/>
    <w:rsid w:val="06B5558D"/>
    <w:rsid w:val="06D575E9"/>
    <w:rsid w:val="06E11DAC"/>
    <w:rsid w:val="06FB3B03"/>
    <w:rsid w:val="06FE205F"/>
    <w:rsid w:val="070752C8"/>
    <w:rsid w:val="070B2161"/>
    <w:rsid w:val="07123242"/>
    <w:rsid w:val="0715212E"/>
    <w:rsid w:val="071B07B5"/>
    <w:rsid w:val="071F0E51"/>
    <w:rsid w:val="073D1FEE"/>
    <w:rsid w:val="074E1599"/>
    <w:rsid w:val="07532B5F"/>
    <w:rsid w:val="077965D0"/>
    <w:rsid w:val="077E0AE9"/>
    <w:rsid w:val="079B438E"/>
    <w:rsid w:val="07B4177C"/>
    <w:rsid w:val="07CF4DE0"/>
    <w:rsid w:val="07DF75F9"/>
    <w:rsid w:val="07E43A81"/>
    <w:rsid w:val="07E84685"/>
    <w:rsid w:val="081952B3"/>
    <w:rsid w:val="081F675F"/>
    <w:rsid w:val="08215F31"/>
    <w:rsid w:val="082F287B"/>
    <w:rsid w:val="083A27B3"/>
    <w:rsid w:val="0845254C"/>
    <w:rsid w:val="08521B36"/>
    <w:rsid w:val="0859085C"/>
    <w:rsid w:val="087864F3"/>
    <w:rsid w:val="0885360A"/>
    <w:rsid w:val="08A27337"/>
    <w:rsid w:val="08AD4471"/>
    <w:rsid w:val="08BB245F"/>
    <w:rsid w:val="08D77648"/>
    <w:rsid w:val="08E510A5"/>
    <w:rsid w:val="08E82938"/>
    <w:rsid w:val="08FD1FCF"/>
    <w:rsid w:val="08FF7955"/>
    <w:rsid w:val="091A12E3"/>
    <w:rsid w:val="0922698B"/>
    <w:rsid w:val="092E3A4F"/>
    <w:rsid w:val="096F3207"/>
    <w:rsid w:val="098E4FA0"/>
    <w:rsid w:val="099111BE"/>
    <w:rsid w:val="09916177"/>
    <w:rsid w:val="09991E4D"/>
    <w:rsid w:val="09B207F9"/>
    <w:rsid w:val="09BD4F56"/>
    <w:rsid w:val="09CE47AD"/>
    <w:rsid w:val="09EA5159"/>
    <w:rsid w:val="09F124DC"/>
    <w:rsid w:val="0A0124A3"/>
    <w:rsid w:val="0A062BA1"/>
    <w:rsid w:val="0A095331"/>
    <w:rsid w:val="0A156FE1"/>
    <w:rsid w:val="0A2B13BC"/>
    <w:rsid w:val="0A384ABE"/>
    <w:rsid w:val="0A573505"/>
    <w:rsid w:val="0A641E54"/>
    <w:rsid w:val="0A8B17BD"/>
    <w:rsid w:val="0A937AE7"/>
    <w:rsid w:val="0AC018B0"/>
    <w:rsid w:val="0AD35BED"/>
    <w:rsid w:val="0AD61B81"/>
    <w:rsid w:val="0AFF4C34"/>
    <w:rsid w:val="0B45790A"/>
    <w:rsid w:val="0B484401"/>
    <w:rsid w:val="0B4C3874"/>
    <w:rsid w:val="0B5843AD"/>
    <w:rsid w:val="0B6017B9"/>
    <w:rsid w:val="0B646908"/>
    <w:rsid w:val="0B8373EF"/>
    <w:rsid w:val="0B971913"/>
    <w:rsid w:val="0BB53545"/>
    <w:rsid w:val="0BDE31B6"/>
    <w:rsid w:val="0BE51013"/>
    <w:rsid w:val="0C0E7438"/>
    <w:rsid w:val="0C1A0BD1"/>
    <w:rsid w:val="0C1D0382"/>
    <w:rsid w:val="0C31628E"/>
    <w:rsid w:val="0C3C7EA2"/>
    <w:rsid w:val="0C4B11C9"/>
    <w:rsid w:val="0C7358DA"/>
    <w:rsid w:val="0C853B1A"/>
    <w:rsid w:val="0C8602EC"/>
    <w:rsid w:val="0C88659A"/>
    <w:rsid w:val="0C8E2713"/>
    <w:rsid w:val="0C924DEE"/>
    <w:rsid w:val="0CB3547B"/>
    <w:rsid w:val="0CD343D7"/>
    <w:rsid w:val="0CEA2D36"/>
    <w:rsid w:val="0CF10C4B"/>
    <w:rsid w:val="0CF84B54"/>
    <w:rsid w:val="0D011AF9"/>
    <w:rsid w:val="0D015662"/>
    <w:rsid w:val="0D053F9C"/>
    <w:rsid w:val="0D1036FE"/>
    <w:rsid w:val="0D18082E"/>
    <w:rsid w:val="0D1A191A"/>
    <w:rsid w:val="0D3E2F48"/>
    <w:rsid w:val="0D466D19"/>
    <w:rsid w:val="0D5044E7"/>
    <w:rsid w:val="0D5613D5"/>
    <w:rsid w:val="0D731580"/>
    <w:rsid w:val="0D77682B"/>
    <w:rsid w:val="0D7A532C"/>
    <w:rsid w:val="0D836704"/>
    <w:rsid w:val="0DC63892"/>
    <w:rsid w:val="0DD40A08"/>
    <w:rsid w:val="0DE7465B"/>
    <w:rsid w:val="0DE97B5E"/>
    <w:rsid w:val="0DEB5944"/>
    <w:rsid w:val="0DED1503"/>
    <w:rsid w:val="0DF33CF1"/>
    <w:rsid w:val="0E1A3BB0"/>
    <w:rsid w:val="0E1B19B0"/>
    <w:rsid w:val="0E552513"/>
    <w:rsid w:val="0E594D91"/>
    <w:rsid w:val="0E5E3999"/>
    <w:rsid w:val="0E634D7D"/>
    <w:rsid w:val="0E722A7E"/>
    <w:rsid w:val="0EB360DE"/>
    <w:rsid w:val="0EB918B7"/>
    <w:rsid w:val="0ECE1DFE"/>
    <w:rsid w:val="0EEC54CF"/>
    <w:rsid w:val="0EFC5A27"/>
    <w:rsid w:val="0EFD592E"/>
    <w:rsid w:val="0F0B47BD"/>
    <w:rsid w:val="0F0D2236"/>
    <w:rsid w:val="0F1550CD"/>
    <w:rsid w:val="0F2365E1"/>
    <w:rsid w:val="0F423C5D"/>
    <w:rsid w:val="0F793CA1"/>
    <w:rsid w:val="0F8372E0"/>
    <w:rsid w:val="0F8F3712"/>
    <w:rsid w:val="0FC477AC"/>
    <w:rsid w:val="0FEE632A"/>
    <w:rsid w:val="10094131"/>
    <w:rsid w:val="100C62CC"/>
    <w:rsid w:val="101A3B79"/>
    <w:rsid w:val="102A2868"/>
    <w:rsid w:val="104D064D"/>
    <w:rsid w:val="10574D0E"/>
    <w:rsid w:val="10662971"/>
    <w:rsid w:val="1074723A"/>
    <w:rsid w:val="107E484D"/>
    <w:rsid w:val="108C1EAE"/>
    <w:rsid w:val="109936C0"/>
    <w:rsid w:val="109E0C3D"/>
    <w:rsid w:val="109E6D51"/>
    <w:rsid w:val="10A27D57"/>
    <w:rsid w:val="10A40F46"/>
    <w:rsid w:val="10B503BE"/>
    <w:rsid w:val="10C14E82"/>
    <w:rsid w:val="10DA5576"/>
    <w:rsid w:val="11212A0C"/>
    <w:rsid w:val="11422A71"/>
    <w:rsid w:val="11426303"/>
    <w:rsid w:val="1149506D"/>
    <w:rsid w:val="115D3D0D"/>
    <w:rsid w:val="11891F6A"/>
    <w:rsid w:val="119D105F"/>
    <w:rsid w:val="11EE1165"/>
    <w:rsid w:val="11EF7262"/>
    <w:rsid w:val="11F55185"/>
    <w:rsid w:val="12025766"/>
    <w:rsid w:val="1231003F"/>
    <w:rsid w:val="123C1304"/>
    <w:rsid w:val="123D4149"/>
    <w:rsid w:val="125E74E2"/>
    <w:rsid w:val="12712DC5"/>
    <w:rsid w:val="12787CDD"/>
    <w:rsid w:val="128E407F"/>
    <w:rsid w:val="1295180B"/>
    <w:rsid w:val="129B6A1F"/>
    <w:rsid w:val="12A34203"/>
    <w:rsid w:val="12C46AD7"/>
    <w:rsid w:val="12D85778"/>
    <w:rsid w:val="12E144B4"/>
    <w:rsid w:val="12FC2E1F"/>
    <w:rsid w:val="13031357"/>
    <w:rsid w:val="131A6F25"/>
    <w:rsid w:val="13255180"/>
    <w:rsid w:val="13270D7A"/>
    <w:rsid w:val="136C6BDF"/>
    <w:rsid w:val="13791B85"/>
    <w:rsid w:val="13A33CA4"/>
    <w:rsid w:val="13A36145"/>
    <w:rsid w:val="13A9603D"/>
    <w:rsid w:val="13AA5AD0"/>
    <w:rsid w:val="13AF1D43"/>
    <w:rsid w:val="13B82867"/>
    <w:rsid w:val="13CA1B57"/>
    <w:rsid w:val="13CA3E07"/>
    <w:rsid w:val="13CD6F8A"/>
    <w:rsid w:val="13D15990"/>
    <w:rsid w:val="13D502B6"/>
    <w:rsid w:val="13D7311C"/>
    <w:rsid w:val="13E9022F"/>
    <w:rsid w:val="13EB044B"/>
    <w:rsid w:val="14250C9D"/>
    <w:rsid w:val="142B0E90"/>
    <w:rsid w:val="146F4594"/>
    <w:rsid w:val="14990D3A"/>
    <w:rsid w:val="14A127E5"/>
    <w:rsid w:val="14B02E00"/>
    <w:rsid w:val="14B51486"/>
    <w:rsid w:val="14BA1191"/>
    <w:rsid w:val="15030AD9"/>
    <w:rsid w:val="15090F10"/>
    <w:rsid w:val="15267814"/>
    <w:rsid w:val="15273D43"/>
    <w:rsid w:val="15602773"/>
    <w:rsid w:val="156712A9"/>
    <w:rsid w:val="15695ACC"/>
    <w:rsid w:val="156F6E5A"/>
    <w:rsid w:val="157629DC"/>
    <w:rsid w:val="157D344D"/>
    <w:rsid w:val="15A03E6A"/>
    <w:rsid w:val="15B21729"/>
    <w:rsid w:val="15B43F4C"/>
    <w:rsid w:val="15C23B9A"/>
    <w:rsid w:val="15DA10F2"/>
    <w:rsid w:val="16397206"/>
    <w:rsid w:val="16612C47"/>
    <w:rsid w:val="168A398A"/>
    <w:rsid w:val="16A3229C"/>
    <w:rsid w:val="16B207CA"/>
    <w:rsid w:val="16C624EA"/>
    <w:rsid w:val="16C92C9F"/>
    <w:rsid w:val="16DC5ED4"/>
    <w:rsid w:val="16FE00C6"/>
    <w:rsid w:val="1702234F"/>
    <w:rsid w:val="17081026"/>
    <w:rsid w:val="170D59F4"/>
    <w:rsid w:val="17143815"/>
    <w:rsid w:val="171844F3"/>
    <w:rsid w:val="17255D87"/>
    <w:rsid w:val="173A48D6"/>
    <w:rsid w:val="173C59AC"/>
    <w:rsid w:val="17457E73"/>
    <w:rsid w:val="1767588B"/>
    <w:rsid w:val="17692FF8"/>
    <w:rsid w:val="1776488C"/>
    <w:rsid w:val="17825F6C"/>
    <w:rsid w:val="17912EB8"/>
    <w:rsid w:val="17D450D9"/>
    <w:rsid w:val="17DF5199"/>
    <w:rsid w:val="17E4768B"/>
    <w:rsid w:val="180026D3"/>
    <w:rsid w:val="18176D37"/>
    <w:rsid w:val="184616E2"/>
    <w:rsid w:val="18550589"/>
    <w:rsid w:val="185F480A"/>
    <w:rsid w:val="18617D0D"/>
    <w:rsid w:val="188E5DDF"/>
    <w:rsid w:val="18D53478"/>
    <w:rsid w:val="18DB462D"/>
    <w:rsid w:val="18EB1E70"/>
    <w:rsid w:val="18EF137B"/>
    <w:rsid w:val="18F44CFE"/>
    <w:rsid w:val="19180BFF"/>
    <w:rsid w:val="19343E52"/>
    <w:rsid w:val="193F66C8"/>
    <w:rsid w:val="1964413C"/>
    <w:rsid w:val="19782D58"/>
    <w:rsid w:val="19923106"/>
    <w:rsid w:val="19A22534"/>
    <w:rsid w:val="19A54B21"/>
    <w:rsid w:val="19AE3232"/>
    <w:rsid w:val="19B06735"/>
    <w:rsid w:val="19C57049"/>
    <w:rsid w:val="19C72DC1"/>
    <w:rsid w:val="19FE0A33"/>
    <w:rsid w:val="1A141D7E"/>
    <w:rsid w:val="1A357F21"/>
    <w:rsid w:val="1A514E21"/>
    <w:rsid w:val="1A551442"/>
    <w:rsid w:val="1AA11864"/>
    <w:rsid w:val="1AC35C7E"/>
    <w:rsid w:val="1AD80FFE"/>
    <w:rsid w:val="1AEC4E38"/>
    <w:rsid w:val="1B253925"/>
    <w:rsid w:val="1B2D351A"/>
    <w:rsid w:val="1B492231"/>
    <w:rsid w:val="1B4A2C53"/>
    <w:rsid w:val="1B75731B"/>
    <w:rsid w:val="1BA67AEA"/>
    <w:rsid w:val="1BDC7FC4"/>
    <w:rsid w:val="1BDF56C5"/>
    <w:rsid w:val="1BEC02F6"/>
    <w:rsid w:val="1BEC6B0F"/>
    <w:rsid w:val="1BF252AE"/>
    <w:rsid w:val="1C07688A"/>
    <w:rsid w:val="1C0E2142"/>
    <w:rsid w:val="1C104F9B"/>
    <w:rsid w:val="1C117199"/>
    <w:rsid w:val="1C2C7FE2"/>
    <w:rsid w:val="1C3715D7"/>
    <w:rsid w:val="1C420E24"/>
    <w:rsid w:val="1C4B73E9"/>
    <w:rsid w:val="1C816553"/>
    <w:rsid w:val="1C865AAB"/>
    <w:rsid w:val="1CAF5D9E"/>
    <w:rsid w:val="1CC2453B"/>
    <w:rsid w:val="1CD55894"/>
    <w:rsid w:val="1CD96BE2"/>
    <w:rsid w:val="1CDF436F"/>
    <w:rsid w:val="1CE83979"/>
    <w:rsid w:val="1CF62125"/>
    <w:rsid w:val="1CFE13A0"/>
    <w:rsid w:val="1D201555"/>
    <w:rsid w:val="1D3F2158"/>
    <w:rsid w:val="1D436612"/>
    <w:rsid w:val="1D6B7F07"/>
    <w:rsid w:val="1D73466D"/>
    <w:rsid w:val="1D9C4722"/>
    <w:rsid w:val="1DA069AB"/>
    <w:rsid w:val="1DA3201D"/>
    <w:rsid w:val="1DFD34C1"/>
    <w:rsid w:val="1E0B27D7"/>
    <w:rsid w:val="1E117F64"/>
    <w:rsid w:val="1E287B89"/>
    <w:rsid w:val="1E2C4463"/>
    <w:rsid w:val="1E314C15"/>
    <w:rsid w:val="1E856ED3"/>
    <w:rsid w:val="1EAB5EF7"/>
    <w:rsid w:val="1ECD2CE2"/>
    <w:rsid w:val="1EDC7DA8"/>
    <w:rsid w:val="1EEF62CD"/>
    <w:rsid w:val="1EF14F9B"/>
    <w:rsid w:val="1F0869EA"/>
    <w:rsid w:val="1F137E76"/>
    <w:rsid w:val="1F1C3919"/>
    <w:rsid w:val="1F3025BA"/>
    <w:rsid w:val="1F58785A"/>
    <w:rsid w:val="1F7A1CD0"/>
    <w:rsid w:val="1FC803E8"/>
    <w:rsid w:val="1FCA4D36"/>
    <w:rsid w:val="1FF548C8"/>
    <w:rsid w:val="1FFF212D"/>
    <w:rsid w:val="200C6AA5"/>
    <w:rsid w:val="20216415"/>
    <w:rsid w:val="202D5948"/>
    <w:rsid w:val="20334D0F"/>
    <w:rsid w:val="206E6027"/>
    <w:rsid w:val="208D46B8"/>
    <w:rsid w:val="20913154"/>
    <w:rsid w:val="20942D66"/>
    <w:rsid w:val="209B043C"/>
    <w:rsid w:val="20AE082C"/>
    <w:rsid w:val="20B65C39"/>
    <w:rsid w:val="20E93CF9"/>
    <w:rsid w:val="20FD3E2F"/>
    <w:rsid w:val="21170748"/>
    <w:rsid w:val="21332A32"/>
    <w:rsid w:val="213A0410"/>
    <w:rsid w:val="213A6642"/>
    <w:rsid w:val="21457AA6"/>
    <w:rsid w:val="21460B22"/>
    <w:rsid w:val="216A315E"/>
    <w:rsid w:val="217B6997"/>
    <w:rsid w:val="219D5F36"/>
    <w:rsid w:val="21A62FC3"/>
    <w:rsid w:val="21B96760"/>
    <w:rsid w:val="21BD5166"/>
    <w:rsid w:val="21E360C5"/>
    <w:rsid w:val="21EC5CB5"/>
    <w:rsid w:val="22004907"/>
    <w:rsid w:val="2206685F"/>
    <w:rsid w:val="223031EB"/>
    <w:rsid w:val="2230760B"/>
    <w:rsid w:val="22422E41"/>
    <w:rsid w:val="2254540E"/>
    <w:rsid w:val="225C2514"/>
    <w:rsid w:val="225E4CF0"/>
    <w:rsid w:val="225F1FCF"/>
    <w:rsid w:val="226546C9"/>
    <w:rsid w:val="22691D7A"/>
    <w:rsid w:val="226C1A87"/>
    <w:rsid w:val="22A51891"/>
    <w:rsid w:val="22AA736D"/>
    <w:rsid w:val="22AD41D9"/>
    <w:rsid w:val="22AE0FC2"/>
    <w:rsid w:val="22AF1419"/>
    <w:rsid w:val="22B84105"/>
    <w:rsid w:val="22C8691D"/>
    <w:rsid w:val="22EC56A6"/>
    <w:rsid w:val="22EF2384"/>
    <w:rsid w:val="230022FA"/>
    <w:rsid w:val="23222C5F"/>
    <w:rsid w:val="233E2EB1"/>
    <w:rsid w:val="234C2589"/>
    <w:rsid w:val="23527219"/>
    <w:rsid w:val="235B53E0"/>
    <w:rsid w:val="238B0A63"/>
    <w:rsid w:val="239A0082"/>
    <w:rsid w:val="23D70CD9"/>
    <w:rsid w:val="23DA1C5E"/>
    <w:rsid w:val="23E435FF"/>
    <w:rsid w:val="23FB5A15"/>
    <w:rsid w:val="24140B3E"/>
    <w:rsid w:val="241D144D"/>
    <w:rsid w:val="24233357"/>
    <w:rsid w:val="243512C2"/>
    <w:rsid w:val="246429CB"/>
    <w:rsid w:val="24885842"/>
    <w:rsid w:val="24983315"/>
    <w:rsid w:val="249B43C3"/>
    <w:rsid w:val="24AA6D8B"/>
    <w:rsid w:val="24D81B80"/>
    <w:rsid w:val="24F43A2F"/>
    <w:rsid w:val="25024F43"/>
    <w:rsid w:val="250F3174"/>
    <w:rsid w:val="251145CB"/>
    <w:rsid w:val="25361F1A"/>
    <w:rsid w:val="255911D5"/>
    <w:rsid w:val="256E58F7"/>
    <w:rsid w:val="25702FF9"/>
    <w:rsid w:val="25832019"/>
    <w:rsid w:val="25C34EA0"/>
    <w:rsid w:val="25DA0320"/>
    <w:rsid w:val="25E642BC"/>
    <w:rsid w:val="25EB42DB"/>
    <w:rsid w:val="25ED1E01"/>
    <w:rsid w:val="25FC2044"/>
    <w:rsid w:val="26241BA3"/>
    <w:rsid w:val="26261045"/>
    <w:rsid w:val="262650A6"/>
    <w:rsid w:val="263578BE"/>
    <w:rsid w:val="26361ABD"/>
    <w:rsid w:val="265448F0"/>
    <w:rsid w:val="268F74A1"/>
    <w:rsid w:val="26B81248"/>
    <w:rsid w:val="26C40427"/>
    <w:rsid w:val="26CC32B5"/>
    <w:rsid w:val="26ED37EA"/>
    <w:rsid w:val="26F9507E"/>
    <w:rsid w:val="270657F8"/>
    <w:rsid w:val="271414AB"/>
    <w:rsid w:val="271C4469"/>
    <w:rsid w:val="271C4BC8"/>
    <w:rsid w:val="272A364F"/>
    <w:rsid w:val="272D447F"/>
    <w:rsid w:val="273370CF"/>
    <w:rsid w:val="27551F14"/>
    <w:rsid w:val="2759091B"/>
    <w:rsid w:val="27705CAA"/>
    <w:rsid w:val="27826986"/>
    <w:rsid w:val="278674BE"/>
    <w:rsid w:val="279D398E"/>
    <w:rsid w:val="27A22014"/>
    <w:rsid w:val="27B21B89"/>
    <w:rsid w:val="27B775BB"/>
    <w:rsid w:val="27C8781B"/>
    <w:rsid w:val="27CC3C98"/>
    <w:rsid w:val="27F42F5B"/>
    <w:rsid w:val="27FD65D4"/>
    <w:rsid w:val="280F0246"/>
    <w:rsid w:val="281A0EA7"/>
    <w:rsid w:val="283F2399"/>
    <w:rsid w:val="2846729E"/>
    <w:rsid w:val="28634650"/>
    <w:rsid w:val="28652094"/>
    <w:rsid w:val="287265EE"/>
    <w:rsid w:val="287C2ACA"/>
    <w:rsid w:val="287C7778"/>
    <w:rsid w:val="28956124"/>
    <w:rsid w:val="2899001E"/>
    <w:rsid w:val="289D572F"/>
    <w:rsid w:val="28B1347D"/>
    <w:rsid w:val="28BB0CDC"/>
    <w:rsid w:val="28DE3F9A"/>
    <w:rsid w:val="290618DB"/>
    <w:rsid w:val="293B69F3"/>
    <w:rsid w:val="294739C9"/>
    <w:rsid w:val="296F4668"/>
    <w:rsid w:val="297D6603"/>
    <w:rsid w:val="298734E1"/>
    <w:rsid w:val="29A7676B"/>
    <w:rsid w:val="29B042F2"/>
    <w:rsid w:val="29E37FC4"/>
    <w:rsid w:val="2A06727F"/>
    <w:rsid w:val="2A0D248D"/>
    <w:rsid w:val="2A276A0A"/>
    <w:rsid w:val="2A497822"/>
    <w:rsid w:val="2A524E42"/>
    <w:rsid w:val="2A573E05"/>
    <w:rsid w:val="2A8F62DB"/>
    <w:rsid w:val="2A9F6179"/>
    <w:rsid w:val="2AA529EA"/>
    <w:rsid w:val="2AAE58D7"/>
    <w:rsid w:val="2ACE2709"/>
    <w:rsid w:val="2AD44455"/>
    <w:rsid w:val="2AE546EF"/>
    <w:rsid w:val="2AF6240B"/>
    <w:rsid w:val="2B0D6C28"/>
    <w:rsid w:val="2B172940"/>
    <w:rsid w:val="2B1E22C0"/>
    <w:rsid w:val="2B255FBA"/>
    <w:rsid w:val="2B27334F"/>
    <w:rsid w:val="2B361147"/>
    <w:rsid w:val="2B487ADA"/>
    <w:rsid w:val="2B510813"/>
    <w:rsid w:val="2B690FE4"/>
    <w:rsid w:val="2B7B1535"/>
    <w:rsid w:val="2B7B3A0B"/>
    <w:rsid w:val="2B7D0CDF"/>
    <w:rsid w:val="2B85488A"/>
    <w:rsid w:val="2B8A2873"/>
    <w:rsid w:val="2B8B7A2B"/>
    <w:rsid w:val="2BAF21A8"/>
    <w:rsid w:val="2BB304C5"/>
    <w:rsid w:val="2BB70AC7"/>
    <w:rsid w:val="2BD63C77"/>
    <w:rsid w:val="2BE47802"/>
    <w:rsid w:val="2C01033F"/>
    <w:rsid w:val="2C292DC5"/>
    <w:rsid w:val="2C320B0E"/>
    <w:rsid w:val="2C6D3C9C"/>
    <w:rsid w:val="2C73669D"/>
    <w:rsid w:val="2C830D32"/>
    <w:rsid w:val="2C852F1B"/>
    <w:rsid w:val="2C8B24A1"/>
    <w:rsid w:val="2C923702"/>
    <w:rsid w:val="2C9A25B7"/>
    <w:rsid w:val="2CAC615D"/>
    <w:rsid w:val="2CBA556F"/>
    <w:rsid w:val="2CC82306"/>
    <w:rsid w:val="2CDE41A9"/>
    <w:rsid w:val="2CEA2186"/>
    <w:rsid w:val="2CF2314A"/>
    <w:rsid w:val="2D214C54"/>
    <w:rsid w:val="2D2E5194"/>
    <w:rsid w:val="2D3A63C1"/>
    <w:rsid w:val="2D4609D6"/>
    <w:rsid w:val="2D586372"/>
    <w:rsid w:val="2D5E1836"/>
    <w:rsid w:val="2DD37B2E"/>
    <w:rsid w:val="2DE04B48"/>
    <w:rsid w:val="2DED4667"/>
    <w:rsid w:val="2E047B0F"/>
    <w:rsid w:val="2E1F0FC6"/>
    <w:rsid w:val="2E203BBC"/>
    <w:rsid w:val="2E2D22C4"/>
    <w:rsid w:val="2E32193B"/>
    <w:rsid w:val="2E456552"/>
    <w:rsid w:val="2E56209C"/>
    <w:rsid w:val="2E8337A2"/>
    <w:rsid w:val="2E8A57EA"/>
    <w:rsid w:val="2EB07E70"/>
    <w:rsid w:val="2EB4662E"/>
    <w:rsid w:val="2EEA5313"/>
    <w:rsid w:val="2F1A1856"/>
    <w:rsid w:val="2F25085E"/>
    <w:rsid w:val="2F397A40"/>
    <w:rsid w:val="2F3A4309"/>
    <w:rsid w:val="2F5B483E"/>
    <w:rsid w:val="2F5D35C4"/>
    <w:rsid w:val="2F643CCA"/>
    <w:rsid w:val="2F666B63"/>
    <w:rsid w:val="2F8B269D"/>
    <w:rsid w:val="2F8D6311"/>
    <w:rsid w:val="2F9F78B1"/>
    <w:rsid w:val="2FEA3FFE"/>
    <w:rsid w:val="2FF10740"/>
    <w:rsid w:val="2FFB00F8"/>
    <w:rsid w:val="30042AC7"/>
    <w:rsid w:val="300D1CFE"/>
    <w:rsid w:val="300F55E6"/>
    <w:rsid w:val="30285E63"/>
    <w:rsid w:val="30305B1B"/>
    <w:rsid w:val="30611B6D"/>
    <w:rsid w:val="30612B5B"/>
    <w:rsid w:val="306C7EFE"/>
    <w:rsid w:val="30810353"/>
    <w:rsid w:val="30811F78"/>
    <w:rsid w:val="308952B0"/>
    <w:rsid w:val="308A4F2F"/>
    <w:rsid w:val="30902D45"/>
    <w:rsid w:val="3092460A"/>
    <w:rsid w:val="309918E9"/>
    <w:rsid w:val="309C64CF"/>
    <w:rsid w:val="30A26212"/>
    <w:rsid w:val="30A91A2E"/>
    <w:rsid w:val="30B20672"/>
    <w:rsid w:val="312E16A3"/>
    <w:rsid w:val="31374878"/>
    <w:rsid w:val="31416C5C"/>
    <w:rsid w:val="316200E4"/>
    <w:rsid w:val="316D0DA5"/>
    <w:rsid w:val="31A56C28"/>
    <w:rsid w:val="31B168B2"/>
    <w:rsid w:val="31B3151A"/>
    <w:rsid w:val="31BA0EA5"/>
    <w:rsid w:val="31BD1E29"/>
    <w:rsid w:val="31BE6E53"/>
    <w:rsid w:val="31C02DAE"/>
    <w:rsid w:val="31CB333D"/>
    <w:rsid w:val="31F36A80"/>
    <w:rsid w:val="32354F6B"/>
    <w:rsid w:val="32406B7F"/>
    <w:rsid w:val="326B1AE0"/>
    <w:rsid w:val="32812E6C"/>
    <w:rsid w:val="32904003"/>
    <w:rsid w:val="32990513"/>
    <w:rsid w:val="32CA3CCA"/>
    <w:rsid w:val="330865C8"/>
    <w:rsid w:val="330B779A"/>
    <w:rsid w:val="33205E2B"/>
    <w:rsid w:val="333C359F"/>
    <w:rsid w:val="333E1EEE"/>
    <w:rsid w:val="335F3C12"/>
    <w:rsid w:val="338F274A"/>
    <w:rsid w:val="339367E0"/>
    <w:rsid w:val="339935C8"/>
    <w:rsid w:val="339F6038"/>
    <w:rsid w:val="33B45F7E"/>
    <w:rsid w:val="33D91F25"/>
    <w:rsid w:val="3402116D"/>
    <w:rsid w:val="340824FC"/>
    <w:rsid w:val="34192013"/>
    <w:rsid w:val="343018AE"/>
    <w:rsid w:val="34324DB1"/>
    <w:rsid w:val="343F692D"/>
    <w:rsid w:val="34411D1D"/>
    <w:rsid w:val="344219DC"/>
    <w:rsid w:val="345073E6"/>
    <w:rsid w:val="34732836"/>
    <w:rsid w:val="34866A39"/>
    <w:rsid w:val="348817B1"/>
    <w:rsid w:val="349B3370"/>
    <w:rsid w:val="34DE5317"/>
    <w:rsid w:val="34EE524E"/>
    <w:rsid w:val="34F442A9"/>
    <w:rsid w:val="3507608E"/>
    <w:rsid w:val="350C2516"/>
    <w:rsid w:val="3511441F"/>
    <w:rsid w:val="352E5F4D"/>
    <w:rsid w:val="35301D0A"/>
    <w:rsid w:val="3543266F"/>
    <w:rsid w:val="354632DC"/>
    <w:rsid w:val="35533940"/>
    <w:rsid w:val="358805AB"/>
    <w:rsid w:val="359A007B"/>
    <w:rsid w:val="359A34CC"/>
    <w:rsid w:val="35C031DF"/>
    <w:rsid w:val="35C24D96"/>
    <w:rsid w:val="35D703D8"/>
    <w:rsid w:val="35DE3665"/>
    <w:rsid w:val="35DF02EF"/>
    <w:rsid w:val="35EB1B74"/>
    <w:rsid w:val="36071A43"/>
    <w:rsid w:val="360F7B72"/>
    <w:rsid w:val="36346539"/>
    <w:rsid w:val="36656A49"/>
    <w:rsid w:val="366E25F0"/>
    <w:rsid w:val="366E68DA"/>
    <w:rsid w:val="36737EBE"/>
    <w:rsid w:val="36756265"/>
    <w:rsid w:val="368262AA"/>
    <w:rsid w:val="36A54032"/>
    <w:rsid w:val="36D049E0"/>
    <w:rsid w:val="36E865A3"/>
    <w:rsid w:val="36F05BAE"/>
    <w:rsid w:val="36F71555"/>
    <w:rsid w:val="36F853A7"/>
    <w:rsid w:val="36FC151F"/>
    <w:rsid w:val="371A5359"/>
    <w:rsid w:val="37496F7A"/>
    <w:rsid w:val="374E39C9"/>
    <w:rsid w:val="376D6F23"/>
    <w:rsid w:val="37935876"/>
    <w:rsid w:val="37A147F9"/>
    <w:rsid w:val="37A814B8"/>
    <w:rsid w:val="37B3452D"/>
    <w:rsid w:val="37C16EFA"/>
    <w:rsid w:val="37E32842"/>
    <w:rsid w:val="37F84C01"/>
    <w:rsid w:val="38037FF5"/>
    <w:rsid w:val="3828112E"/>
    <w:rsid w:val="385851E1"/>
    <w:rsid w:val="387F672B"/>
    <w:rsid w:val="3880534A"/>
    <w:rsid w:val="3894625F"/>
    <w:rsid w:val="38A02C28"/>
    <w:rsid w:val="38A57162"/>
    <w:rsid w:val="38AA60D6"/>
    <w:rsid w:val="38F60882"/>
    <w:rsid w:val="38FC020D"/>
    <w:rsid w:val="39022116"/>
    <w:rsid w:val="39137E32"/>
    <w:rsid w:val="39241B86"/>
    <w:rsid w:val="394250FE"/>
    <w:rsid w:val="39451C2E"/>
    <w:rsid w:val="394E275F"/>
    <w:rsid w:val="39573D9E"/>
    <w:rsid w:val="397865C9"/>
    <w:rsid w:val="39BA18C5"/>
    <w:rsid w:val="39F32D23"/>
    <w:rsid w:val="3A1B3A32"/>
    <w:rsid w:val="3A235A71"/>
    <w:rsid w:val="3A377697"/>
    <w:rsid w:val="3A3D661B"/>
    <w:rsid w:val="3A4614A9"/>
    <w:rsid w:val="3A4B4A64"/>
    <w:rsid w:val="3A602029"/>
    <w:rsid w:val="3A6E018B"/>
    <w:rsid w:val="3A7374AB"/>
    <w:rsid w:val="3AA70B7D"/>
    <w:rsid w:val="3AB358D0"/>
    <w:rsid w:val="3ACC045B"/>
    <w:rsid w:val="3AD71050"/>
    <w:rsid w:val="3AE7433D"/>
    <w:rsid w:val="3AEA41B5"/>
    <w:rsid w:val="3AF743EB"/>
    <w:rsid w:val="3AF92745"/>
    <w:rsid w:val="3B27401A"/>
    <w:rsid w:val="3B351E28"/>
    <w:rsid w:val="3B522666"/>
    <w:rsid w:val="3B605478"/>
    <w:rsid w:val="3B887290"/>
    <w:rsid w:val="3B95318F"/>
    <w:rsid w:val="3BA64AD4"/>
    <w:rsid w:val="3BA96B71"/>
    <w:rsid w:val="3BAF3DF0"/>
    <w:rsid w:val="3BD426C1"/>
    <w:rsid w:val="3BD57296"/>
    <w:rsid w:val="3BE36841"/>
    <w:rsid w:val="3C034C82"/>
    <w:rsid w:val="3C2B179C"/>
    <w:rsid w:val="3C461E13"/>
    <w:rsid w:val="3C516B3D"/>
    <w:rsid w:val="3C522FC2"/>
    <w:rsid w:val="3C546447"/>
    <w:rsid w:val="3C5B6745"/>
    <w:rsid w:val="3C8B38E1"/>
    <w:rsid w:val="3C8E0152"/>
    <w:rsid w:val="3C97441D"/>
    <w:rsid w:val="3C980980"/>
    <w:rsid w:val="3CB80047"/>
    <w:rsid w:val="3CFD37EC"/>
    <w:rsid w:val="3D6574A6"/>
    <w:rsid w:val="3D700DED"/>
    <w:rsid w:val="3D8C6D07"/>
    <w:rsid w:val="3D9106FF"/>
    <w:rsid w:val="3D9378F2"/>
    <w:rsid w:val="3DA556B2"/>
    <w:rsid w:val="3DB76351"/>
    <w:rsid w:val="3DFA2BBE"/>
    <w:rsid w:val="3E0F7557"/>
    <w:rsid w:val="3E1B0B74"/>
    <w:rsid w:val="3E37533F"/>
    <w:rsid w:val="3E526C9A"/>
    <w:rsid w:val="3E5E705F"/>
    <w:rsid w:val="3E6D222C"/>
    <w:rsid w:val="3E9912FE"/>
    <w:rsid w:val="3EA861DA"/>
    <w:rsid w:val="3EAF165A"/>
    <w:rsid w:val="3EE31B9B"/>
    <w:rsid w:val="3F125FDD"/>
    <w:rsid w:val="3F782C2D"/>
    <w:rsid w:val="3F87539D"/>
    <w:rsid w:val="3F8D5553"/>
    <w:rsid w:val="3F9E7BA5"/>
    <w:rsid w:val="3FF46C1E"/>
    <w:rsid w:val="3FF638FD"/>
    <w:rsid w:val="40154B29"/>
    <w:rsid w:val="40271D55"/>
    <w:rsid w:val="4039566C"/>
    <w:rsid w:val="403F7575"/>
    <w:rsid w:val="40533F5C"/>
    <w:rsid w:val="40775150"/>
    <w:rsid w:val="40803861"/>
    <w:rsid w:val="409316FF"/>
    <w:rsid w:val="409370B0"/>
    <w:rsid w:val="40980F08"/>
    <w:rsid w:val="40A84917"/>
    <w:rsid w:val="40AB0F3D"/>
    <w:rsid w:val="40B14030"/>
    <w:rsid w:val="40B32BB9"/>
    <w:rsid w:val="40C120CD"/>
    <w:rsid w:val="40D54329"/>
    <w:rsid w:val="40E13A86"/>
    <w:rsid w:val="40F869A3"/>
    <w:rsid w:val="40FD6DCE"/>
    <w:rsid w:val="412A0C9C"/>
    <w:rsid w:val="41415E9E"/>
    <w:rsid w:val="414867C0"/>
    <w:rsid w:val="414A2F2A"/>
    <w:rsid w:val="416E4E06"/>
    <w:rsid w:val="417D6E29"/>
    <w:rsid w:val="418238EE"/>
    <w:rsid w:val="418B5764"/>
    <w:rsid w:val="419D77EE"/>
    <w:rsid w:val="41A75842"/>
    <w:rsid w:val="41C37A62"/>
    <w:rsid w:val="41C62F9F"/>
    <w:rsid w:val="41CF2CDA"/>
    <w:rsid w:val="41DA2351"/>
    <w:rsid w:val="420267DC"/>
    <w:rsid w:val="42092064"/>
    <w:rsid w:val="42552336"/>
    <w:rsid w:val="425E290D"/>
    <w:rsid w:val="427A6373"/>
    <w:rsid w:val="427E4891"/>
    <w:rsid w:val="427F1A20"/>
    <w:rsid w:val="42814AA1"/>
    <w:rsid w:val="429F2D3C"/>
    <w:rsid w:val="42B559FF"/>
    <w:rsid w:val="42C83C9E"/>
    <w:rsid w:val="42CA46A0"/>
    <w:rsid w:val="43090C3D"/>
    <w:rsid w:val="4310261D"/>
    <w:rsid w:val="43316941"/>
    <w:rsid w:val="43392C9A"/>
    <w:rsid w:val="434652EE"/>
    <w:rsid w:val="43537423"/>
    <w:rsid w:val="436F0D42"/>
    <w:rsid w:val="4374370A"/>
    <w:rsid w:val="438C7FE1"/>
    <w:rsid w:val="43B1111A"/>
    <w:rsid w:val="43D745D9"/>
    <w:rsid w:val="43DE6767"/>
    <w:rsid w:val="43E42FB9"/>
    <w:rsid w:val="43E560F1"/>
    <w:rsid w:val="44060F86"/>
    <w:rsid w:val="4406131F"/>
    <w:rsid w:val="44256EDB"/>
    <w:rsid w:val="44360F15"/>
    <w:rsid w:val="44395B7B"/>
    <w:rsid w:val="44497B98"/>
    <w:rsid w:val="445157F9"/>
    <w:rsid w:val="44564BBE"/>
    <w:rsid w:val="44651EC3"/>
    <w:rsid w:val="449175A0"/>
    <w:rsid w:val="449D39F5"/>
    <w:rsid w:val="44A377A9"/>
    <w:rsid w:val="44A55215"/>
    <w:rsid w:val="44C53AE2"/>
    <w:rsid w:val="44D51F86"/>
    <w:rsid w:val="45004161"/>
    <w:rsid w:val="450A37AA"/>
    <w:rsid w:val="452138FB"/>
    <w:rsid w:val="454F3145"/>
    <w:rsid w:val="45546485"/>
    <w:rsid w:val="45570552"/>
    <w:rsid w:val="4562042C"/>
    <w:rsid w:val="45631DE6"/>
    <w:rsid w:val="456F5A46"/>
    <w:rsid w:val="45852C0D"/>
    <w:rsid w:val="459D3528"/>
    <w:rsid w:val="45A523A1"/>
    <w:rsid w:val="45DD7B84"/>
    <w:rsid w:val="45E40FD1"/>
    <w:rsid w:val="460951E5"/>
    <w:rsid w:val="462078FF"/>
    <w:rsid w:val="46367BC0"/>
    <w:rsid w:val="46695D9C"/>
    <w:rsid w:val="469349A7"/>
    <w:rsid w:val="46941ED9"/>
    <w:rsid w:val="46962EBD"/>
    <w:rsid w:val="46C235B1"/>
    <w:rsid w:val="46C77B24"/>
    <w:rsid w:val="46D01E3A"/>
    <w:rsid w:val="46F76979"/>
    <w:rsid w:val="46F81F5C"/>
    <w:rsid w:val="47046B43"/>
    <w:rsid w:val="47095999"/>
    <w:rsid w:val="47236543"/>
    <w:rsid w:val="47257848"/>
    <w:rsid w:val="473B3050"/>
    <w:rsid w:val="474E4E09"/>
    <w:rsid w:val="474F288B"/>
    <w:rsid w:val="47737835"/>
    <w:rsid w:val="478234F8"/>
    <w:rsid w:val="47831DE0"/>
    <w:rsid w:val="478B71FD"/>
    <w:rsid w:val="47AD0F98"/>
    <w:rsid w:val="47B93A3E"/>
    <w:rsid w:val="47E54403"/>
    <w:rsid w:val="47E82E09"/>
    <w:rsid w:val="47F06A54"/>
    <w:rsid w:val="47F77BA0"/>
    <w:rsid w:val="47F941DE"/>
    <w:rsid w:val="48182B77"/>
    <w:rsid w:val="48520700"/>
    <w:rsid w:val="486024AF"/>
    <w:rsid w:val="48637FD6"/>
    <w:rsid w:val="486E0728"/>
    <w:rsid w:val="488E0DCA"/>
    <w:rsid w:val="48A36EB3"/>
    <w:rsid w:val="48A8119E"/>
    <w:rsid w:val="48BD0863"/>
    <w:rsid w:val="48C77FB2"/>
    <w:rsid w:val="48D91831"/>
    <w:rsid w:val="48DE6819"/>
    <w:rsid w:val="48EB00AD"/>
    <w:rsid w:val="48F30C2D"/>
    <w:rsid w:val="49061A89"/>
    <w:rsid w:val="490F4DEA"/>
    <w:rsid w:val="49316623"/>
    <w:rsid w:val="493B5C19"/>
    <w:rsid w:val="493E070A"/>
    <w:rsid w:val="494C4797"/>
    <w:rsid w:val="49836455"/>
    <w:rsid w:val="49981673"/>
    <w:rsid w:val="49AF33A2"/>
    <w:rsid w:val="49B05850"/>
    <w:rsid w:val="49B27E76"/>
    <w:rsid w:val="49BB319A"/>
    <w:rsid w:val="49C35B92"/>
    <w:rsid w:val="49C37D91"/>
    <w:rsid w:val="49CD147E"/>
    <w:rsid w:val="49E85F88"/>
    <w:rsid w:val="4A224A86"/>
    <w:rsid w:val="4A2C5E11"/>
    <w:rsid w:val="4A305416"/>
    <w:rsid w:val="4A35282B"/>
    <w:rsid w:val="4A3835D3"/>
    <w:rsid w:val="4A404346"/>
    <w:rsid w:val="4A5561C0"/>
    <w:rsid w:val="4A913C61"/>
    <w:rsid w:val="4A942144"/>
    <w:rsid w:val="4AA41745"/>
    <w:rsid w:val="4ABA06A9"/>
    <w:rsid w:val="4ACA61F8"/>
    <w:rsid w:val="4AE14CE5"/>
    <w:rsid w:val="4AF46CEF"/>
    <w:rsid w:val="4AF56185"/>
    <w:rsid w:val="4B182C41"/>
    <w:rsid w:val="4B1E1EF3"/>
    <w:rsid w:val="4B2A78D3"/>
    <w:rsid w:val="4B7C61E8"/>
    <w:rsid w:val="4B831C8E"/>
    <w:rsid w:val="4BC53274"/>
    <w:rsid w:val="4BC75484"/>
    <w:rsid w:val="4BCF5BB7"/>
    <w:rsid w:val="4BD60E0F"/>
    <w:rsid w:val="4BDE7186"/>
    <w:rsid w:val="4BF214F2"/>
    <w:rsid w:val="4BFE1C3A"/>
    <w:rsid w:val="4BFF0BF2"/>
    <w:rsid w:val="4C067046"/>
    <w:rsid w:val="4C0D1AB5"/>
    <w:rsid w:val="4C167EC0"/>
    <w:rsid w:val="4C2A705C"/>
    <w:rsid w:val="4C5835B8"/>
    <w:rsid w:val="4C5C7A55"/>
    <w:rsid w:val="4C6431C2"/>
    <w:rsid w:val="4C8425E4"/>
    <w:rsid w:val="4C843198"/>
    <w:rsid w:val="4C84765C"/>
    <w:rsid w:val="4C8D5335"/>
    <w:rsid w:val="4C982217"/>
    <w:rsid w:val="4CBD7ED0"/>
    <w:rsid w:val="4CE9093D"/>
    <w:rsid w:val="4CEB6A0D"/>
    <w:rsid w:val="4CF5694E"/>
    <w:rsid w:val="4CF77C53"/>
    <w:rsid w:val="4D3A42FD"/>
    <w:rsid w:val="4D565C2E"/>
    <w:rsid w:val="4D8B1037"/>
    <w:rsid w:val="4D8B5F48"/>
    <w:rsid w:val="4D933355"/>
    <w:rsid w:val="4DAE5A6A"/>
    <w:rsid w:val="4DB04E83"/>
    <w:rsid w:val="4DB561FB"/>
    <w:rsid w:val="4DD4222A"/>
    <w:rsid w:val="4DE72BC1"/>
    <w:rsid w:val="4DEE2DFF"/>
    <w:rsid w:val="4E1F10C9"/>
    <w:rsid w:val="4E3166D6"/>
    <w:rsid w:val="4E607225"/>
    <w:rsid w:val="4EA17C8F"/>
    <w:rsid w:val="4EA86291"/>
    <w:rsid w:val="4EAA105B"/>
    <w:rsid w:val="4ECB4B86"/>
    <w:rsid w:val="4ED5067D"/>
    <w:rsid w:val="4ED86247"/>
    <w:rsid w:val="4EE80403"/>
    <w:rsid w:val="4EEC05F8"/>
    <w:rsid w:val="4F1869D4"/>
    <w:rsid w:val="4F1D3C8E"/>
    <w:rsid w:val="4F1E3C95"/>
    <w:rsid w:val="4F2C22E7"/>
    <w:rsid w:val="4F36223C"/>
    <w:rsid w:val="4F3D0FA0"/>
    <w:rsid w:val="4F551BB1"/>
    <w:rsid w:val="4F560A37"/>
    <w:rsid w:val="4F631692"/>
    <w:rsid w:val="4F692025"/>
    <w:rsid w:val="4F7725B8"/>
    <w:rsid w:val="4F890F7F"/>
    <w:rsid w:val="4FA63CB9"/>
    <w:rsid w:val="4FAA5F43"/>
    <w:rsid w:val="4FB541B4"/>
    <w:rsid w:val="4FD028FF"/>
    <w:rsid w:val="4FD64808"/>
    <w:rsid w:val="4FE20690"/>
    <w:rsid w:val="4FE33A0C"/>
    <w:rsid w:val="50011E81"/>
    <w:rsid w:val="501D29FE"/>
    <w:rsid w:val="5047158B"/>
    <w:rsid w:val="504D1B60"/>
    <w:rsid w:val="50583ADD"/>
    <w:rsid w:val="507801E4"/>
    <w:rsid w:val="50863F0E"/>
    <w:rsid w:val="509C58BA"/>
    <w:rsid w:val="509F74AB"/>
    <w:rsid w:val="50B341F7"/>
    <w:rsid w:val="50EC0C1D"/>
    <w:rsid w:val="50F619D7"/>
    <w:rsid w:val="50FB36C9"/>
    <w:rsid w:val="512B7338"/>
    <w:rsid w:val="51311242"/>
    <w:rsid w:val="51575BFE"/>
    <w:rsid w:val="519A5987"/>
    <w:rsid w:val="519B6B0A"/>
    <w:rsid w:val="51C365B2"/>
    <w:rsid w:val="51D15C06"/>
    <w:rsid w:val="51E7154B"/>
    <w:rsid w:val="51E754ED"/>
    <w:rsid w:val="51ED2C7A"/>
    <w:rsid w:val="51FF6B72"/>
    <w:rsid w:val="520A30CD"/>
    <w:rsid w:val="5217023B"/>
    <w:rsid w:val="524D2FE5"/>
    <w:rsid w:val="526B51B3"/>
    <w:rsid w:val="527346F9"/>
    <w:rsid w:val="52AA302D"/>
    <w:rsid w:val="52B458D1"/>
    <w:rsid w:val="52F70339"/>
    <w:rsid w:val="530C2CF4"/>
    <w:rsid w:val="530D1C98"/>
    <w:rsid w:val="533802B0"/>
    <w:rsid w:val="534D53DE"/>
    <w:rsid w:val="535F39CE"/>
    <w:rsid w:val="53844015"/>
    <w:rsid w:val="53961129"/>
    <w:rsid w:val="53A21BCD"/>
    <w:rsid w:val="53B547E4"/>
    <w:rsid w:val="53C54A7E"/>
    <w:rsid w:val="53E00F74"/>
    <w:rsid w:val="53ED77E6"/>
    <w:rsid w:val="53F427B9"/>
    <w:rsid w:val="542F397D"/>
    <w:rsid w:val="545A2356"/>
    <w:rsid w:val="54992FD0"/>
    <w:rsid w:val="54DC5F38"/>
    <w:rsid w:val="54DF2FCC"/>
    <w:rsid w:val="55012924"/>
    <w:rsid w:val="550F7A5B"/>
    <w:rsid w:val="5510701F"/>
    <w:rsid w:val="551B75AE"/>
    <w:rsid w:val="555111B5"/>
    <w:rsid w:val="55594E94"/>
    <w:rsid w:val="55621614"/>
    <w:rsid w:val="558A1367"/>
    <w:rsid w:val="55933D75"/>
    <w:rsid w:val="5599291F"/>
    <w:rsid w:val="55996042"/>
    <w:rsid w:val="55A07807"/>
    <w:rsid w:val="55AC6E9D"/>
    <w:rsid w:val="55B36EFC"/>
    <w:rsid w:val="55BF7DAB"/>
    <w:rsid w:val="55C022BA"/>
    <w:rsid w:val="55D7234B"/>
    <w:rsid w:val="563C3EC0"/>
    <w:rsid w:val="56474B1D"/>
    <w:rsid w:val="56497633"/>
    <w:rsid w:val="564C3605"/>
    <w:rsid w:val="56520719"/>
    <w:rsid w:val="56531C0A"/>
    <w:rsid w:val="56A62938"/>
    <w:rsid w:val="56B75990"/>
    <w:rsid w:val="56BD475C"/>
    <w:rsid w:val="56C169E5"/>
    <w:rsid w:val="56CB6225"/>
    <w:rsid w:val="56E37E35"/>
    <w:rsid w:val="56FA7E8B"/>
    <w:rsid w:val="571A31DA"/>
    <w:rsid w:val="571F34FB"/>
    <w:rsid w:val="57283E0B"/>
    <w:rsid w:val="572E3DFB"/>
    <w:rsid w:val="573351B0"/>
    <w:rsid w:val="57390C18"/>
    <w:rsid w:val="574014E1"/>
    <w:rsid w:val="57571CBA"/>
    <w:rsid w:val="57D07475"/>
    <w:rsid w:val="57D455E1"/>
    <w:rsid w:val="57E00F16"/>
    <w:rsid w:val="58040E81"/>
    <w:rsid w:val="5814296E"/>
    <w:rsid w:val="58346713"/>
    <w:rsid w:val="5842572D"/>
    <w:rsid w:val="584274DB"/>
    <w:rsid w:val="584C7F32"/>
    <w:rsid w:val="585D2CCE"/>
    <w:rsid w:val="585D4208"/>
    <w:rsid w:val="58840844"/>
    <w:rsid w:val="588C5D58"/>
    <w:rsid w:val="58CC3F96"/>
    <w:rsid w:val="58E70023"/>
    <w:rsid w:val="58EE5CF5"/>
    <w:rsid w:val="59204DD3"/>
    <w:rsid w:val="592F4560"/>
    <w:rsid w:val="593037D7"/>
    <w:rsid w:val="59417CFE"/>
    <w:rsid w:val="5943350B"/>
    <w:rsid w:val="5958194C"/>
    <w:rsid w:val="59587923"/>
    <w:rsid w:val="59591495"/>
    <w:rsid w:val="595E728C"/>
    <w:rsid w:val="59775899"/>
    <w:rsid w:val="59843C6A"/>
    <w:rsid w:val="59CE62B6"/>
    <w:rsid w:val="59F27B21"/>
    <w:rsid w:val="5A18539D"/>
    <w:rsid w:val="5A186086"/>
    <w:rsid w:val="5A1A647C"/>
    <w:rsid w:val="5A2C6645"/>
    <w:rsid w:val="5A354648"/>
    <w:rsid w:val="5A394AAB"/>
    <w:rsid w:val="5A6310DA"/>
    <w:rsid w:val="5A6D2048"/>
    <w:rsid w:val="5A6E4EEC"/>
    <w:rsid w:val="5A8B6673"/>
    <w:rsid w:val="5A93545B"/>
    <w:rsid w:val="5A9A023F"/>
    <w:rsid w:val="5AC00946"/>
    <w:rsid w:val="5ACE6A69"/>
    <w:rsid w:val="5AE45748"/>
    <w:rsid w:val="5AFC0F7F"/>
    <w:rsid w:val="5B047E67"/>
    <w:rsid w:val="5B5B3870"/>
    <w:rsid w:val="5B607CF8"/>
    <w:rsid w:val="5B730F17"/>
    <w:rsid w:val="5B884084"/>
    <w:rsid w:val="5B887BB7"/>
    <w:rsid w:val="5B8A042A"/>
    <w:rsid w:val="5B900847"/>
    <w:rsid w:val="5B973484"/>
    <w:rsid w:val="5BA3429A"/>
    <w:rsid w:val="5BB10BFF"/>
    <w:rsid w:val="5BDC50C3"/>
    <w:rsid w:val="5BE34A4E"/>
    <w:rsid w:val="5BEE27B5"/>
    <w:rsid w:val="5C0E1115"/>
    <w:rsid w:val="5C3B0F83"/>
    <w:rsid w:val="5C537F09"/>
    <w:rsid w:val="5C5E2199"/>
    <w:rsid w:val="5C677226"/>
    <w:rsid w:val="5C745223"/>
    <w:rsid w:val="5C8835A3"/>
    <w:rsid w:val="5C8A5083"/>
    <w:rsid w:val="5C997ECC"/>
    <w:rsid w:val="5CAF2C65"/>
    <w:rsid w:val="5CB83619"/>
    <w:rsid w:val="5CEE6D21"/>
    <w:rsid w:val="5CF35248"/>
    <w:rsid w:val="5CFB4EAD"/>
    <w:rsid w:val="5D1D62C3"/>
    <w:rsid w:val="5D2E7C24"/>
    <w:rsid w:val="5D413CF7"/>
    <w:rsid w:val="5D49561A"/>
    <w:rsid w:val="5D8530C7"/>
    <w:rsid w:val="5D9E2C70"/>
    <w:rsid w:val="5DB858CE"/>
    <w:rsid w:val="5DCF0D76"/>
    <w:rsid w:val="5DDA6435"/>
    <w:rsid w:val="5DDD390F"/>
    <w:rsid w:val="5DE25438"/>
    <w:rsid w:val="5DE51EC6"/>
    <w:rsid w:val="5DEA454E"/>
    <w:rsid w:val="5DF66D9E"/>
    <w:rsid w:val="5DFD1BC3"/>
    <w:rsid w:val="5E072571"/>
    <w:rsid w:val="5E075446"/>
    <w:rsid w:val="5E155522"/>
    <w:rsid w:val="5E3929A4"/>
    <w:rsid w:val="5E415870"/>
    <w:rsid w:val="5E4B3F43"/>
    <w:rsid w:val="5E5E18DF"/>
    <w:rsid w:val="5E6B3CD4"/>
    <w:rsid w:val="5E72551F"/>
    <w:rsid w:val="5E810B9A"/>
    <w:rsid w:val="5E8F45A3"/>
    <w:rsid w:val="5EA23196"/>
    <w:rsid w:val="5EBB7FE7"/>
    <w:rsid w:val="5EC138C5"/>
    <w:rsid w:val="5ED4120C"/>
    <w:rsid w:val="5EF23897"/>
    <w:rsid w:val="5F044B81"/>
    <w:rsid w:val="5F0B4A8B"/>
    <w:rsid w:val="5F47185C"/>
    <w:rsid w:val="5F545A7C"/>
    <w:rsid w:val="5F7C5664"/>
    <w:rsid w:val="5F7F34EB"/>
    <w:rsid w:val="5FE252DE"/>
    <w:rsid w:val="5FF22ABD"/>
    <w:rsid w:val="602C4CF9"/>
    <w:rsid w:val="603154C1"/>
    <w:rsid w:val="60432042"/>
    <w:rsid w:val="605D3C0F"/>
    <w:rsid w:val="606E70C0"/>
    <w:rsid w:val="607C0FE5"/>
    <w:rsid w:val="60852569"/>
    <w:rsid w:val="609561DC"/>
    <w:rsid w:val="60AA3E6F"/>
    <w:rsid w:val="60DC6F0C"/>
    <w:rsid w:val="60E320D0"/>
    <w:rsid w:val="60F715A3"/>
    <w:rsid w:val="610C0686"/>
    <w:rsid w:val="610E4B69"/>
    <w:rsid w:val="61335628"/>
    <w:rsid w:val="61484B8A"/>
    <w:rsid w:val="61495B2A"/>
    <w:rsid w:val="614F1C31"/>
    <w:rsid w:val="619F2CB5"/>
    <w:rsid w:val="61A56906"/>
    <w:rsid w:val="61B81661"/>
    <w:rsid w:val="61CF0A40"/>
    <w:rsid w:val="61F01D9D"/>
    <w:rsid w:val="61FB33CF"/>
    <w:rsid w:val="622003DE"/>
    <w:rsid w:val="6220088D"/>
    <w:rsid w:val="62316C8B"/>
    <w:rsid w:val="6237500A"/>
    <w:rsid w:val="62642A4C"/>
    <w:rsid w:val="62680DB7"/>
    <w:rsid w:val="626D784A"/>
    <w:rsid w:val="62704140"/>
    <w:rsid w:val="627A35A1"/>
    <w:rsid w:val="62907837"/>
    <w:rsid w:val="62996751"/>
    <w:rsid w:val="62E25A94"/>
    <w:rsid w:val="630A358C"/>
    <w:rsid w:val="63822E9C"/>
    <w:rsid w:val="64212885"/>
    <w:rsid w:val="642301C1"/>
    <w:rsid w:val="643364F2"/>
    <w:rsid w:val="64480350"/>
    <w:rsid w:val="64564CFA"/>
    <w:rsid w:val="645B63B1"/>
    <w:rsid w:val="646F08D5"/>
    <w:rsid w:val="647924D6"/>
    <w:rsid w:val="64923598"/>
    <w:rsid w:val="64942E6C"/>
    <w:rsid w:val="64A66831"/>
    <w:rsid w:val="64A71234"/>
    <w:rsid w:val="64AC4EB7"/>
    <w:rsid w:val="64CB61F8"/>
    <w:rsid w:val="64F64031"/>
    <w:rsid w:val="651061B6"/>
    <w:rsid w:val="651D4188"/>
    <w:rsid w:val="655D6EB5"/>
    <w:rsid w:val="6560355A"/>
    <w:rsid w:val="656256ED"/>
    <w:rsid w:val="6598361E"/>
    <w:rsid w:val="659D27E5"/>
    <w:rsid w:val="65A044CA"/>
    <w:rsid w:val="65A83DAC"/>
    <w:rsid w:val="65AD6914"/>
    <w:rsid w:val="65E329B5"/>
    <w:rsid w:val="65FC2771"/>
    <w:rsid w:val="66012783"/>
    <w:rsid w:val="6603361E"/>
    <w:rsid w:val="66127C81"/>
    <w:rsid w:val="66344D3E"/>
    <w:rsid w:val="6635553A"/>
    <w:rsid w:val="665C267F"/>
    <w:rsid w:val="66624588"/>
    <w:rsid w:val="66745FFD"/>
    <w:rsid w:val="66A01E6F"/>
    <w:rsid w:val="66A22C57"/>
    <w:rsid w:val="66C83F2C"/>
    <w:rsid w:val="66EC2F44"/>
    <w:rsid w:val="6701538B"/>
    <w:rsid w:val="670D6F06"/>
    <w:rsid w:val="67110EA9"/>
    <w:rsid w:val="671D2317"/>
    <w:rsid w:val="6730455B"/>
    <w:rsid w:val="67387A63"/>
    <w:rsid w:val="676818B7"/>
    <w:rsid w:val="678F02D7"/>
    <w:rsid w:val="67B36C0C"/>
    <w:rsid w:val="67BB7C19"/>
    <w:rsid w:val="67C63C85"/>
    <w:rsid w:val="67D15A64"/>
    <w:rsid w:val="67F01298"/>
    <w:rsid w:val="67FB08EB"/>
    <w:rsid w:val="67FB3025"/>
    <w:rsid w:val="67FC3E1A"/>
    <w:rsid w:val="68017E89"/>
    <w:rsid w:val="68112FCA"/>
    <w:rsid w:val="68195E58"/>
    <w:rsid w:val="683E3E9A"/>
    <w:rsid w:val="686A7F84"/>
    <w:rsid w:val="687B1001"/>
    <w:rsid w:val="68907DEF"/>
    <w:rsid w:val="68DA0494"/>
    <w:rsid w:val="68E258A1"/>
    <w:rsid w:val="68E542A7"/>
    <w:rsid w:val="68FA376A"/>
    <w:rsid w:val="6925180D"/>
    <w:rsid w:val="692C1515"/>
    <w:rsid w:val="692C4A1B"/>
    <w:rsid w:val="69367529"/>
    <w:rsid w:val="693D6EB4"/>
    <w:rsid w:val="696164DE"/>
    <w:rsid w:val="69811A86"/>
    <w:rsid w:val="6983762F"/>
    <w:rsid w:val="69A955F8"/>
    <w:rsid w:val="69B248AE"/>
    <w:rsid w:val="69B61E25"/>
    <w:rsid w:val="69BB191B"/>
    <w:rsid w:val="69DF7D42"/>
    <w:rsid w:val="69E441CA"/>
    <w:rsid w:val="6A19339F"/>
    <w:rsid w:val="6A1A0E21"/>
    <w:rsid w:val="6A1C0805"/>
    <w:rsid w:val="6A2677F7"/>
    <w:rsid w:val="6A5209DF"/>
    <w:rsid w:val="6A68311E"/>
    <w:rsid w:val="6A6F0AC9"/>
    <w:rsid w:val="6A703DAE"/>
    <w:rsid w:val="6A7D6CAF"/>
    <w:rsid w:val="6A8739D3"/>
    <w:rsid w:val="6A9042E2"/>
    <w:rsid w:val="6A973C6D"/>
    <w:rsid w:val="6AC10822"/>
    <w:rsid w:val="6AFA3FDD"/>
    <w:rsid w:val="6B1846A8"/>
    <w:rsid w:val="6B1C3093"/>
    <w:rsid w:val="6B3320C3"/>
    <w:rsid w:val="6B344DF0"/>
    <w:rsid w:val="6B3967AC"/>
    <w:rsid w:val="6B3A3476"/>
    <w:rsid w:val="6B4F341C"/>
    <w:rsid w:val="6B6D0974"/>
    <w:rsid w:val="6B726E54"/>
    <w:rsid w:val="6B8204BE"/>
    <w:rsid w:val="6B924428"/>
    <w:rsid w:val="6BA72B78"/>
    <w:rsid w:val="6BBA67F4"/>
    <w:rsid w:val="6BD63A05"/>
    <w:rsid w:val="6BDA0E02"/>
    <w:rsid w:val="6BDB0A81"/>
    <w:rsid w:val="6BEA091C"/>
    <w:rsid w:val="6C134FBF"/>
    <w:rsid w:val="6C1B622C"/>
    <w:rsid w:val="6C2446F9"/>
    <w:rsid w:val="6C316D02"/>
    <w:rsid w:val="6C321490"/>
    <w:rsid w:val="6C321699"/>
    <w:rsid w:val="6C336F12"/>
    <w:rsid w:val="6C3B4144"/>
    <w:rsid w:val="6C670C97"/>
    <w:rsid w:val="6C693B68"/>
    <w:rsid w:val="6C796D9F"/>
    <w:rsid w:val="6C856BF4"/>
    <w:rsid w:val="6C8A7920"/>
    <w:rsid w:val="6C953733"/>
    <w:rsid w:val="6CA639CD"/>
    <w:rsid w:val="6CAF42DD"/>
    <w:rsid w:val="6CB56076"/>
    <w:rsid w:val="6CB807AD"/>
    <w:rsid w:val="6CCB618B"/>
    <w:rsid w:val="6CCF5389"/>
    <w:rsid w:val="6CE15E47"/>
    <w:rsid w:val="6CE547B7"/>
    <w:rsid w:val="6D056989"/>
    <w:rsid w:val="6D205895"/>
    <w:rsid w:val="6D216B9A"/>
    <w:rsid w:val="6D257ED9"/>
    <w:rsid w:val="6D4312CD"/>
    <w:rsid w:val="6D5B21F7"/>
    <w:rsid w:val="6D7C5FAF"/>
    <w:rsid w:val="6D85303B"/>
    <w:rsid w:val="6DA5433C"/>
    <w:rsid w:val="6DAB327B"/>
    <w:rsid w:val="6DD2313B"/>
    <w:rsid w:val="6DFA0C7A"/>
    <w:rsid w:val="6DFA2445"/>
    <w:rsid w:val="6DFC1022"/>
    <w:rsid w:val="6E18621E"/>
    <w:rsid w:val="6E1A7569"/>
    <w:rsid w:val="6E2B704C"/>
    <w:rsid w:val="6E7946DB"/>
    <w:rsid w:val="6E7E6481"/>
    <w:rsid w:val="6E803BE8"/>
    <w:rsid w:val="6E892D6E"/>
    <w:rsid w:val="6E8A28E9"/>
    <w:rsid w:val="6EA41295"/>
    <w:rsid w:val="6EA43493"/>
    <w:rsid w:val="6EB84E89"/>
    <w:rsid w:val="6EC46A44"/>
    <w:rsid w:val="6EEA0D68"/>
    <w:rsid w:val="6F101C89"/>
    <w:rsid w:val="6F141779"/>
    <w:rsid w:val="6F2A51A0"/>
    <w:rsid w:val="6F3B4F58"/>
    <w:rsid w:val="6F5558EE"/>
    <w:rsid w:val="6F615376"/>
    <w:rsid w:val="6F786CEE"/>
    <w:rsid w:val="6F834BB1"/>
    <w:rsid w:val="6F8C3791"/>
    <w:rsid w:val="6F993A2D"/>
    <w:rsid w:val="6FE55C0C"/>
    <w:rsid w:val="700167C8"/>
    <w:rsid w:val="700751E2"/>
    <w:rsid w:val="7012146B"/>
    <w:rsid w:val="704B4AC8"/>
    <w:rsid w:val="70613C5D"/>
    <w:rsid w:val="7063074E"/>
    <w:rsid w:val="70666977"/>
    <w:rsid w:val="70792114"/>
    <w:rsid w:val="7086142A"/>
    <w:rsid w:val="708D6817"/>
    <w:rsid w:val="70A17A56"/>
    <w:rsid w:val="70CE7706"/>
    <w:rsid w:val="70E33D42"/>
    <w:rsid w:val="71041CF8"/>
    <w:rsid w:val="711A294B"/>
    <w:rsid w:val="71211CA2"/>
    <w:rsid w:val="71270FB3"/>
    <w:rsid w:val="712D47EA"/>
    <w:rsid w:val="71351C2D"/>
    <w:rsid w:val="715531B0"/>
    <w:rsid w:val="71823031"/>
    <w:rsid w:val="7185134D"/>
    <w:rsid w:val="718C304E"/>
    <w:rsid w:val="718F49FD"/>
    <w:rsid w:val="71AB378B"/>
    <w:rsid w:val="71B316DD"/>
    <w:rsid w:val="71CB25AA"/>
    <w:rsid w:val="71D83356"/>
    <w:rsid w:val="71F35EB5"/>
    <w:rsid w:val="71F92EA9"/>
    <w:rsid w:val="720C4C93"/>
    <w:rsid w:val="72113D47"/>
    <w:rsid w:val="72131EB6"/>
    <w:rsid w:val="72216C4D"/>
    <w:rsid w:val="72361171"/>
    <w:rsid w:val="72495B34"/>
    <w:rsid w:val="725331AC"/>
    <w:rsid w:val="72712474"/>
    <w:rsid w:val="72766AE8"/>
    <w:rsid w:val="727950DD"/>
    <w:rsid w:val="72912784"/>
    <w:rsid w:val="72AC0DAF"/>
    <w:rsid w:val="72BD6ACB"/>
    <w:rsid w:val="72C154D1"/>
    <w:rsid w:val="72C33CEF"/>
    <w:rsid w:val="72DC3AFD"/>
    <w:rsid w:val="72E70F53"/>
    <w:rsid w:val="730C2768"/>
    <w:rsid w:val="730D7B4F"/>
    <w:rsid w:val="730F0E54"/>
    <w:rsid w:val="732706F9"/>
    <w:rsid w:val="732A14E7"/>
    <w:rsid w:val="73454032"/>
    <w:rsid w:val="7346211D"/>
    <w:rsid w:val="735B0B61"/>
    <w:rsid w:val="73707BF4"/>
    <w:rsid w:val="73941263"/>
    <w:rsid w:val="73D03795"/>
    <w:rsid w:val="73D36613"/>
    <w:rsid w:val="747B5DF7"/>
    <w:rsid w:val="74864D7B"/>
    <w:rsid w:val="74974023"/>
    <w:rsid w:val="74A05D67"/>
    <w:rsid w:val="74BC6591"/>
    <w:rsid w:val="74C47221"/>
    <w:rsid w:val="74EF5AE6"/>
    <w:rsid w:val="74F769B5"/>
    <w:rsid w:val="75045DEC"/>
    <w:rsid w:val="751956F6"/>
    <w:rsid w:val="755B649A"/>
    <w:rsid w:val="755E6196"/>
    <w:rsid w:val="75787FC9"/>
    <w:rsid w:val="758827E2"/>
    <w:rsid w:val="75943A9C"/>
    <w:rsid w:val="75A51ECF"/>
    <w:rsid w:val="75A90798"/>
    <w:rsid w:val="75B545AA"/>
    <w:rsid w:val="75C73909"/>
    <w:rsid w:val="75D97FCA"/>
    <w:rsid w:val="75EB18CD"/>
    <w:rsid w:val="75EB6C83"/>
    <w:rsid w:val="763C747E"/>
    <w:rsid w:val="76524935"/>
    <w:rsid w:val="765C1C80"/>
    <w:rsid w:val="76665F34"/>
    <w:rsid w:val="7685754C"/>
    <w:rsid w:val="76A15F21"/>
    <w:rsid w:val="76A46917"/>
    <w:rsid w:val="76C96D94"/>
    <w:rsid w:val="76D12653"/>
    <w:rsid w:val="76E840FC"/>
    <w:rsid w:val="76EB32F5"/>
    <w:rsid w:val="76EF03D6"/>
    <w:rsid w:val="771459A6"/>
    <w:rsid w:val="771769F1"/>
    <w:rsid w:val="772A2051"/>
    <w:rsid w:val="773E0AC2"/>
    <w:rsid w:val="77607E69"/>
    <w:rsid w:val="77715B85"/>
    <w:rsid w:val="77767741"/>
    <w:rsid w:val="777D3B96"/>
    <w:rsid w:val="77A41857"/>
    <w:rsid w:val="77B5517C"/>
    <w:rsid w:val="77C96214"/>
    <w:rsid w:val="77DA2E34"/>
    <w:rsid w:val="77DF1E38"/>
    <w:rsid w:val="77DF61B9"/>
    <w:rsid w:val="77E912C9"/>
    <w:rsid w:val="781A75D7"/>
    <w:rsid w:val="781E72DE"/>
    <w:rsid w:val="783F076E"/>
    <w:rsid w:val="785E6707"/>
    <w:rsid w:val="786A5D9D"/>
    <w:rsid w:val="78746F41"/>
    <w:rsid w:val="789631FF"/>
    <w:rsid w:val="789B4F81"/>
    <w:rsid w:val="789D2ED2"/>
    <w:rsid w:val="78D53773"/>
    <w:rsid w:val="78E20029"/>
    <w:rsid w:val="78E950F0"/>
    <w:rsid w:val="78EF46BD"/>
    <w:rsid w:val="78FD502C"/>
    <w:rsid w:val="791A372E"/>
    <w:rsid w:val="791B013F"/>
    <w:rsid w:val="791D69FF"/>
    <w:rsid w:val="792E135E"/>
    <w:rsid w:val="79381B96"/>
    <w:rsid w:val="794B7CCC"/>
    <w:rsid w:val="79612E69"/>
    <w:rsid w:val="797C365C"/>
    <w:rsid w:val="798F00FE"/>
    <w:rsid w:val="79AD1484"/>
    <w:rsid w:val="79C5464A"/>
    <w:rsid w:val="79DB6E10"/>
    <w:rsid w:val="79DC2E94"/>
    <w:rsid w:val="79DF58FF"/>
    <w:rsid w:val="79EF399B"/>
    <w:rsid w:val="79FB5AE0"/>
    <w:rsid w:val="7A092E01"/>
    <w:rsid w:val="7A1109A0"/>
    <w:rsid w:val="7A1545F8"/>
    <w:rsid w:val="7A195E96"/>
    <w:rsid w:val="7A3800E6"/>
    <w:rsid w:val="7A517873"/>
    <w:rsid w:val="7A526F79"/>
    <w:rsid w:val="7A567350"/>
    <w:rsid w:val="7A765096"/>
    <w:rsid w:val="7A905722"/>
    <w:rsid w:val="7A9E4A38"/>
    <w:rsid w:val="7AAE27F4"/>
    <w:rsid w:val="7AB655D0"/>
    <w:rsid w:val="7ABD0F17"/>
    <w:rsid w:val="7AC00390"/>
    <w:rsid w:val="7ACD1D04"/>
    <w:rsid w:val="7AD75E97"/>
    <w:rsid w:val="7ADB231E"/>
    <w:rsid w:val="7AF379C5"/>
    <w:rsid w:val="7AF71029"/>
    <w:rsid w:val="7B0F1874"/>
    <w:rsid w:val="7B13027A"/>
    <w:rsid w:val="7B186900"/>
    <w:rsid w:val="7B207590"/>
    <w:rsid w:val="7B256ABC"/>
    <w:rsid w:val="7B273A10"/>
    <w:rsid w:val="7B2B5921"/>
    <w:rsid w:val="7B2C39A7"/>
    <w:rsid w:val="7B4F4CA9"/>
    <w:rsid w:val="7B5D73F5"/>
    <w:rsid w:val="7B615DFB"/>
    <w:rsid w:val="7B66335D"/>
    <w:rsid w:val="7B723B17"/>
    <w:rsid w:val="7B821819"/>
    <w:rsid w:val="7B883294"/>
    <w:rsid w:val="7B9E692F"/>
    <w:rsid w:val="7BA97F26"/>
    <w:rsid w:val="7BC02341"/>
    <w:rsid w:val="7BDC1EC1"/>
    <w:rsid w:val="7BDD144D"/>
    <w:rsid w:val="7BE86FD9"/>
    <w:rsid w:val="7BEB7F5D"/>
    <w:rsid w:val="7BEC6B42"/>
    <w:rsid w:val="7C312C50"/>
    <w:rsid w:val="7C3456F4"/>
    <w:rsid w:val="7C5A3831"/>
    <w:rsid w:val="7C6A2A2A"/>
    <w:rsid w:val="7C715C38"/>
    <w:rsid w:val="7C7A4BE6"/>
    <w:rsid w:val="7C7F737F"/>
    <w:rsid w:val="7CA5738C"/>
    <w:rsid w:val="7CAE3135"/>
    <w:rsid w:val="7CC46939"/>
    <w:rsid w:val="7CD6700D"/>
    <w:rsid w:val="7D073BAD"/>
    <w:rsid w:val="7D115DE1"/>
    <w:rsid w:val="7D3B05D1"/>
    <w:rsid w:val="7D511DEB"/>
    <w:rsid w:val="7D5207A9"/>
    <w:rsid w:val="7D647E4E"/>
    <w:rsid w:val="7D857221"/>
    <w:rsid w:val="7D91151E"/>
    <w:rsid w:val="7D9E6463"/>
    <w:rsid w:val="7DAA52A9"/>
    <w:rsid w:val="7DAF7BC0"/>
    <w:rsid w:val="7DB61C4E"/>
    <w:rsid w:val="7DB85FB8"/>
    <w:rsid w:val="7DD264DC"/>
    <w:rsid w:val="7DDD7A8F"/>
    <w:rsid w:val="7DE22616"/>
    <w:rsid w:val="7DE440B0"/>
    <w:rsid w:val="7E000B16"/>
    <w:rsid w:val="7E1772DE"/>
    <w:rsid w:val="7E194CEF"/>
    <w:rsid w:val="7E317F06"/>
    <w:rsid w:val="7E436010"/>
    <w:rsid w:val="7E65736C"/>
    <w:rsid w:val="7E684A6E"/>
    <w:rsid w:val="7E793A93"/>
    <w:rsid w:val="7E7C2E97"/>
    <w:rsid w:val="7E812A19"/>
    <w:rsid w:val="7EA61CC2"/>
    <w:rsid w:val="7EBB22FA"/>
    <w:rsid w:val="7EFD4068"/>
    <w:rsid w:val="7F0810F9"/>
    <w:rsid w:val="7F2870AA"/>
    <w:rsid w:val="7F2F5FE4"/>
    <w:rsid w:val="7F35093E"/>
    <w:rsid w:val="7F360E03"/>
    <w:rsid w:val="7F631C62"/>
    <w:rsid w:val="7F9F6E3D"/>
    <w:rsid w:val="7FBC4F26"/>
    <w:rsid w:val="7FDA2751"/>
    <w:rsid w:val="7FFA4074"/>
    <w:rsid w:val="7FFA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lang w:val="zh-CN"/>
    </w:rPr>
  </w:style>
  <w:style w:type="paragraph" w:styleId="3">
    <w:name w:val="heading 3"/>
    <w:basedOn w:val="1"/>
    <w:next w:val="1"/>
    <w:qFormat/>
    <w:uiPriority w:val="0"/>
    <w:pPr>
      <w:keepNext/>
      <w:keepLines/>
      <w:spacing w:before="260" w:after="260" w:line="416" w:lineRule="auto"/>
      <w:outlineLvl w:val="2"/>
    </w:pPr>
    <w:rPr>
      <w:b/>
      <w:bCs/>
      <w:sz w:val="32"/>
      <w:szCs w:val="32"/>
      <w:lang w:val="zh-CN"/>
    </w:rPr>
  </w:style>
  <w:style w:type="paragraph" w:styleId="4">
    <w:name w:val="heading 4"/>
    <w:basedOn w:val="1"/>
    <w:next w:val="1"/>
    <w:unhideWhenUsed/>
    <w:qFormat/>
    <w:uiPriority w:val="0"/>
    <w:pPr>
      <w:keepNext/>
      <w:keepLines/>
      <w:numPr>
        <w:ilvl w:val="0"/>
        <w:numId w:val="1"/>
      </w:numPr>
      <w:spacing w:before="280" w:after="290" w:line="372" w:lineRule="auto"/>
      <w:outlineLvl w:val="3"/>
    </w:pPr>
    <w:rPr>
      <w:rFonts w:ascii="Arial" w:hAnsi="Arial"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unhideWhenUsed/>
    <w:qFormat/>
    <w:uiPriority w:val="99"/>
    <w:pPr>
      <w:spacing w:after="200" w:line="276" w:lineRule="auto"/>
      <w:ind w:left="720"/>
    </w:pPr>
    <w:rPr>
      <w:rFonts w:ascii="Calibri" w:hAnsi="Calibri" w:eastAsia="Calibri" w:cs="Times New Roman"/>
      <w:sz w:val="22"/>
      <w:szCs w:val="22"/>
      <w:lang w:val="en-US" w:eastAsia="en-US" w:bidi="ar-SA"/>
    </w:rPr>
  </w:style>
  <w:style w:type="paragraph" w:styleId="6">
    <w:name w:val="annotation text"/>
    <w:basedOn w:val="1"/>
    <w:link w:val="34"/>
    <w:semiHidden/>
    <w:unhideWhenUsed/>
    <w:qFormat/>
    <w:uiPriority w:val="99"/>
    <w:pPr>
      <w:jc w:val="left"/>
    </w:pPr>
  </w:style>
  <w:style w:type="paragraph" w:styleId="7">
    <w:name w:val="Body Text"/>
    <w:basedOn w:val="1"/>
    <w:link w:val="30"/>
    <w:qFormat/>
    <w:uiPriority w:val="0"/>
    <w:rPr>
      <w:rFonts w:ascii="仿宋_GB2312" w:eastAsia="仿宋_GB2312"/>
      <w:sz w:val="32"/>
    </w:rPr>
  </w:style>
  <w:style w:type="paragraph" w:styleId="8">
    <w:name w:val="Body Text Indent"/>
    <w:basedOn w:val="1"/>
    <w:link w:val="31"/>
    <w:qFormat/>
    <w:uiPriority w:val="0"/>
    <w:pPr>
      <w:spacing w:after="120"/>
      <w:ind w:left="420" w:leftChars="200"/>
    </w:pPr>
  </w:style>
  <w:style w:type="paragraph" w:styleId="9">
    <w:name w:val="toc 3"/>
    <w:basedOn w:val="1"/>
    <w:next w:val="1"/>
    <w:semiHidden/>
    <w:unhideWhenUsed/>
    <w:qFormat/>
    <w:uiPriority w:val="39"/>
    <w:pPr>
      <w:ind w:left="840" w:leftChars="400"/>
    </w:pPr>
  </w:style>
  <w:style w:type="paragraph" w:styleId="10">
    <w:name w:val="Plain Text"/>
    <w:basedOn w:val="1"/>
    <w:link w:val="28"/>
    <w:qFormat/>
    <w:uiPriority w:val="0"/>
    <w:rPr>
      <w:rFonts w:ascii="宋体" w:hAnsi="Courier New" w:cstheme="minorBidi"/>
      <w:szCs w:val="22"/>
    </w:rPr>
  </w:style>
  <w:style w:type="paragraph" w:styleId="11">
    <w:name w:val="Date"/>
    <w:basedOn w:val="1"/>
    <w:next w:val="1"/>
    <w:link w:val="29"/>
    <w:unhideWhenUsed/>
    <w:qFormat/>
    <w:uiPriority w:val="0"/>
    <w:pPr>
      <w:ind w:left="100" w:leftChars="2500"/>
    </w:pPr>
  </w:style>
  <w:style w:type="paragraph" w:styleId="12">
    <w:name w:val="Balloon Text"/>
    <w:basedOn w:val="1"/>
    <w:link w:val="33"/>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semiHidden/>
    <w:unhideWhenUsed/>
    <w:qFormat/>
    <w:uiPriority w:val="39"/>
  </w:style>
  <w:style w:type="paragraph" w:styleId="16">
    <w:name w:val="List"/>
    <w:basedOn w:val="1"/>
    <w:qFormat/>
    <w:uiPriority w:val="0"/>
    <w:pPr>
      <w:ind w:left="200" w:hanging="200" w:hangingChars="200"/>
    </w:pPr>
    <w:rPr>
      <w:szCs w:val="21"/>
    </w:rPr>
  </w:style>
  <w:style w:type="paragraph" w:styleId="17">
    <w:name w:val="toc 2"/>
    <w:basedOn w:val="1"/>
    <w:next w:val="1"/>
    <w:semiHidden/>
    <w:unhideWhenUsed/>
    <w:qFormat/>
    <w:uiPriority w:val="39"/>
    <w:pPr>
      <w:ind w:left="420" w:leftChars="200"/>
    </w:pPr>
  </w:style>
  <w:style w:type="paragraph" w:styleId="1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9">
    <w:name w:val="annotation subject"/>
    <w:basedOn w:val="6"/>
    <w:next w:val="6"/>
    <w:link w:val="35"/>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customStyle="1" w:styleId="26">
    <w:name w:val="页眉 字符"/>
    <w:basedOn w:val="22"/>
    <w:link w:val="14"/>
    <w:qFormat/>
    <w:uiPriority w:val="99"/>
    <w:rPr>
      <w:sz w:val="18"/>
      <w:szCs w:val="18"/>
    </w:rPr>
  </w:style>
  <w:style w:type="character" w:customStyle="1" w:styleId="27">
    <w:name w:val="页脚 字符"/>
    <w:basedOn w:val="22"/>
    <w:link w:val="13"/>
    <w:qFormat/>
    <w:uiPriority w:val="99"/>
    <w:rPr>
      <w:sz w:val="18"/>
      <w:szCs w:val="18"/>
    </w:rPr>
  </w:style>
  <w:style w:type="character" w:customStyle="1" w:styleId="28">
    <w:name w:val="纯文本 字符"/>
    <w:basedOn w:val="22"/>
    <w:link w:val="10"/>
    <w:qFormat/>
    <w:uiPriority w:val="0"/>
    <w:rPr>
      <w:rFonts w:ascii="宋体" w:hAnsi="Courier New" w:eastAsia="宋体"/>
    </w:rPr>
  </w:style>
  <w:style w:type="character" w:customStyle="1" w:styleId="29">
    <w:name w:val="日期 字符"/>
    <w:basedOn w:val="22"/>
    <w:link w:val="11"/>
    <w:qFormat/>
    <w:uiPriority w:val="99"/>
    <w:rPr>
      <w:rFonts w:ascii="Times New Roman" w:hAnsi="Times New Roman" w:eastAsia="宋体" w:cs="Times New Roman"/>
      <w:szCs w:val="20"/>
    </w:rPr>
  </w:style>
  <w:style w:type="character" w:customStyle="1" w:styleId="30">
    <w:name w:val="正文文本 字符"/>
    <w:basedOn w:val="22"/>
    <w:link w:val="7"/>
    <w:qFormat/>
    <w:uiPriority w:val="0"/>
    <w:rPr>
      <w:rFonts w:ascii="仿宋_GB2312" w:hAnsi="Times New Roman" w:eastAsia="仿宋_GB2312" w:cs="Times New Roman"/>
      <w:sz w:val="32"/>
      <w:szCs w:val="20"/>
    </w:rPr>
  </w:style>
  <w:style w:type="character" w:customStyle="1" w:styleId="31">
    <w:name w:val="正文文本缩进 字符"/>
    <w:basedOn w:val="22"/>
    <w:link w:val="8"/>
    <w:qFormat/>
    <w:uiPriority w:val="0"/>
    <w:rPr>
      <w:rFonts w:ascii="Times New Roman" w:hAnsi="Times New Roman" w:eastAsia="宋体" w:cs="Times New Roman"/>
      <w:szCs w:val="20"/>
    </w:rPr>
  </w:style>
  <w:style w:type="character" w:customStyle="1" w:styleId="32">
    <w:name w:val="未处理的提及1"/>
    <w:basedOn w:val="22"/>
    <w:semiHidden/>
    <w:unhideWhenUsed/>
    <w:qFormat/>
    <w:uiPriority w:val="99"/>
    <w:rPr>
      <w:color w:val="605E5C"/>
      <w:shd w:val="clear" w:color="auto" w:fill="E1DFDD"/>
    </w:rPr>
  </w:style>
  <w:style w:type="character" w:customStyle="1" w:styleId="33">
    <w:name w:val="批注框文本 字符"/>
    <w:basedOn w:val="22"/>
    <w:link w:val="12"/>
    <w:semiHidden/>
    <w:qFormat/>
    <w:uiPriority w:val="99"/>
    <w:rPr>
      <w:rFonts w:ascii="Times New Roman" w:hAnsi="Times New Roman" w:eastAsia="宋体" w:cs="Times New Roman"/>
      <w:sz w:val="18"/>
      <w:szCs w:val="18"/>
    </w:rPr>
  </w:style>
  <w:style w:type="character" w:customStyle="1" w:styleId="34">
    <w:name w:val="批注文字 字符"/>
    <w:basedOn w:val="22"/>
    <w:link w:val="6"/>
    <w:semiHidden/>
    <w:qFormat/>
    <w:uiPriority w:val="99"/>
    <w:rPr>
      <w:rFonts w:ascii="Times New Roman" w:hAnsi="Times New Roman" w:eastAsia="宋体" w:cs="Times New Roman"/>
      <w:szCs w:val="20"/>
    </w:rPr>
  </w:style>
  <w:style w:type="character" w:customStyle="1" w:styleId="35">
    <w:name w:val="批注主题 字符"/>
    <w:basedOn w:val="34"/>
    <w:link w:val="19"/>
    <w:semiHidden/>
    <w:qFormat/>
    <w:uiPriority w:val="99"/>
    <w:rPr>
      <w:rFonts w:ascii="Times New Roman" w:hAnsi="Times New Roman" w:eastAsia="宋体" w:cs="Times New Roman"/>
      <w:b/>
      <w:bCs/>
      <w:szCs w:val="20"/>
    </w:rPr>
  </w:style>
  <w:style w:type="paragraph" w:customStyle="1" w:styleId="36">
    <w:name w:val="修订1"/>
    <w:hidden/>
    <w:semiHidden/>
    <w:qFormat/>
    <w:uiPriority w:val="99"/>
    <w:rPr>
      <w:rFonts w:ascii="Times New Roman" w:hAnsi="Times New Roman" w:eastAsia="宋体" w:cs="Times New Roman"/>
      <w:kern w:val="2"/>
      <w:sz w:val="21"/>
      <w:lang w:val="en-US" w:eastAsia="zh-CN" w:bidi="ar-SA"/>
    </w:rPr>
  </w:style>
  <w:style w:type="character" w:customStyle="1" w:styleId="37">
    <w:name w:val="未处理的提及2"/>
    <w:basedOn w:val="22"/>
    <w:semiHidden/>
    <w:unhideWhenUsed/>
    <w:qFormat/>
    <w:uiPriority w:val="99"/>
    <w:rPr>
      <w:color w:val="605E5C"/>
      <w:shd w:val="clear" w:color="auto" w:fill="E1DFDD"/>
    </w:rPr>
  </w:style>
  <w:style w:type="paragraph" w:customStyle="1" w:styleId="38">
    <w:name w:val="修订2"/>
    <w:hidden/>
    <w:semiHidden/>
    <w:qFormat/>
    <w:uiPriority w:val="99"/>
    <w:rPr>
      <w:rFonts w:ascii="Times New Roman" w:hAnsi="Times New Roman" w:eastAsia="宋体" w:cs="Times New Roman"/>
      <w:kern w:val="2"/>
      <w:sz w:val="21"/>
      <w:lang w:val="en-US" w:eastAsia="zh-CN" w:bidi="ar-SA"/>
    </w:rPr>
  </w:style>
  <w:style w:type="paragraph" w:customStyle="1" w:styleId="39">
    <w:name w:val="标三级标题"/>
    <w:basedOn w:val="40"/>
    <w:qFormat/>
    <w:uiPriority w:val="0"/>
  </w:style>
  <w:style w:type="paragraph" w:customStyle="1" w:styleId="40">
    <w:name w:val="标书三级标题"/>
    <w:basedOn w:val="3"/>
    <w:next w:val="41"/>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paragraph" w:customStyle="1" w:styleId="41">
    <w:name w:val="标书正文格式"/>
    <w:basedOn w:val="10"/>
    <w:qFormat/>
    <w:uiPriority w:val="0"/>
    <w:pPr>
      <w:spacing w:line="360" w:lineRule="auto"/>
      <w:ind w:firstLine="200" w:firstLineChars="200"/>
    </w:pPr>
    <w:rPr>
      <w:rFonts w:hAnsi="宋体" w:eastAsiaTheme="minorEastAsia"/>
      <w:color w:val="000000"/>
      <w:sz w:val="24"/>
      <w:szCs w:val="24"/>
    </w:rPr>
  </w:style>
  <w:style w:type="paragraph" w:customStyle="1" w:styleId="42">
    <w:name w:val="WPSOffice手动目录 1"/>
    <w:qFormat/>
    <w:uiPriority w:val="0"/>
    <w:rPr>
      <w:rFonts w:ascii="Times New Roman" w:hAnsi="Times New Roman" w:eastAsia="宋体" w:cs="Times New Roman"/>
      <w:lang w:val="en-US" w:eastAsia="zh-CN" w:bidi="ar-SA"/>
    </w:rPr>
  </w:style>
  <w:style w:type="paragraph" w:styleId="43">
    <w:name w:val="List Paragraph"/>
    <w:basedOn w:val="1"/>
    <w:qFormat/>
    <w:uiPriority w:val="99"/>
    <w:pPr>
      <w:ind w:firstLine="420" w:firstLineChars="200"/>
    </w:pPr>
  </w:style>
  <w:style w:type="paragraph" w:customStyle="1" w:styleId="4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49</Words>
  <Characters>53</Characters>
  <Lines>114</Lines>
  <Paragraphs>32</Paragraphs>
  <TotalTime>48</TotalTime>
  <ScaleCrop>false</ScaleCrop>
  <LinksUpToDate>false</LinksUpToDate>
  <CharactersWithSpaces>55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2023-04-11T10:39:00Z</dcterms:created>
  <dc:creator>李保龙</dc:creator>
  <cp:lastModifiedBy>lulala</cp:lastModifiedBy>
  <cp:lastPrinted>2026-10-27T01:29:00Z</cp:lastPrinted>
  <dcterms:modified xsi:type="dcterms:W3CDTF">2026-10-30T05:11:26Z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049F48E6356649A0B7814128E2665569_13</vt:lpwstr>
  </property>
  <property fmtid="{D5CDD505-2E9C-101B-9397-08002B2CF9AE}" pid="4" name="KSOTemplateDocerSaveRecord">
    <vt:lpwstr>eyJoZGlkIjoiZDBiMWFiZGZhOTA3OTgwODAxOTc1MzNiZDE3ZjY2NTYiLCJ1c2VySWQiOiI0MTE1MTQyNTMifQ==</vt:lpwstr>
  </property>
</Properties>
</file>