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185839">
      <w:pPr>
        <w:jc w:val="center"/>
        <w:rPr>
          <w:rFonts w:ascii="黑体" w:hAnsi="宋体" w:eastAsia="黑体"/>
          <w:sz w:val="84"/>
          <w:szCs w:val="84"/>
        </w:rPr>
      </w:pPr>
      <w:r>
        <w:rPr>
          <w:rFonts w:hint="eastAsia" w:ascii="黑体" w:hAnsi="宋体" w:eastAsia="黑体"/>
          <w:sz w:val="84"/>
          <w:szCs w:val="84"/>
        </w:rPr>
        <w:t>招</w:t>
      </w:r>
    </w:p>
    <w:p w14:paraId="57332EAC">
      <w:pPr>
        <w:jc w:val="center"/>
        <w:rPr>
          <w:rFonts w:hint="eastAsia" w:ascii="黑体" w:hAnsi="宋体" w:eastAsia="黑体"/>
          <w:sz w:val="84"/>
          <w:szCs w:val="84"/>
        </w:rPr>
      </w:pPr>
    </w:p>
    <w:p w14:paraId="50AFCFF8">
      <w:pPr>
        <w:jc w:val="center"/>
        <w:rPr>
          <w:rFonts w:hint="eastAsia" w:ascii="黑体" w:hAnsi="宋体" w:eastAsia="黑体"/>
          <w:sz w:val="84"/>
          <w:szCs w:val="84"/>
        </w:rPr>
      </w:pPr>
      <w:r>
        <w:rPr>
          <w:rFonts w:hint="eastAsia" w:ascii="黑体" w:hAnsi="宋体" w:eastAsia="黑体"/>
          <w:sz w:val="84"/>
          <w:szCs w:val="84"/>
        </w:rPr>
        <w:t>标</w:t>
      </w:r>
    </w:p>
    <w:p w14:paraId="7FF0571C">
      <w:pPr>
        <w:jc w:val="center"/>
        <w:rPr>
          <w:rFonts w:hint="eastAsia" w:ascii="黑体" w:hAnsi="宋体" w:eastAsia="黑体"/>
          <w:sz w:val="84"/>
          <w:szCs w:val="84"/>
        </w:rPr>
      </w:pPr>
    </w:p>
    <w:p w14:paraId="36DB348A">
      <w:pPr>
        <w:jc w:val="center"/>
        <w:rPr>
          <w:rFonts w:hint="eastAsia" w:ascii="宋体" w:hAnsi="宋体"/>
          <w:sz w:val="72"/>
          <w:szCs w:val="72"/>
        </w:rPr>
      </w:pPr>
      <w:r>
        <w:rPr>
          <w:rFonts w:hint="eastAsia" w:ascii="黑体" w:hAnsi="宋体" w:eastAsia="黑体"/>
          <w:sz w:val="84"/>
          <w:szCs w:val="84"/>
        </w:rPr>
        <w:t>书</w:t>
      </w:r>
    </w:p>
    <w:p w14:paraId="36FA51F1">
      <w:pPr>
        <w:jc w:val="center"/>
        <w:rPr>
          <w:rFonts w:hint="eastAsia" w:ascii="宋体" w:hAnsi="宋体"/>
          <w:sz w:val="48"/>
          <w:szCs w:val="48"/>
        </w:rPr>
      </w:pPr>
    </w:p>
    <w:p w14:paraId="5844A61E">
      <w:pPr>
        <w:jc w:val="center"/>
        <w:rPr>
          <w:rFonts w:hint="eastAsia" w:ascii="宋体" w:hAnsi="宋体"/>
          <w:sz w:val="28"/>
          <w:szCs w:val="28"/>
        </w:rPr>
      </w:pPr>
    </w:p>
    <w:p w14:paraId="51EC036E">
      <w:pPr>
        <w:jc w:val="center"/>
        <w:rPr>
          <w:rFonts w:hint="eastAsia" w:ascii="宋体" w:hAnsi="宋体"/>
          <w:sz w:val="28"/>
          <w:szCs w:val="28"/>
        </w:rPr>
      </w:pPr>
      <w:r>
        <w:rPr>
          <w:rFonts w:hint="eastAsia" w:ascii="宋体" w:hAnsi="宋体"/>
          <w:sz w:val="28"/>
          <w:szCs w:val="28"/>
        </w:rPr>
        <w:t>招 标 人：中国重汽集团</w:t>
      </w:r>
      <w:r>
        <w:rPr>
          <w:rFonts w:hint="eastAsia" w:ascii="宋体" w:hAnsi="宋体"/>
          <w:sz w:val="28"/>
          <w:szCs w:val="28"/>
          <w:lang w:val="en-US" w:eastAsia="zh-CN"/>
        </w:rPr>
        <w:t>济南动力</w:t>
      </w:r>
      <w:r>
        <w:rPr>
          <w:rFonts w:hint="eastAsia" w:ascii="宋体" w:hAnsi="宋体"/>
          <w:sz w:val="28"/>
          <w:szCs w:val="28"/>
        </w:rPr>
        <w:t>有限公司</w:t>
      </w:r>
    </w:p>
    <w:p w14:paraId="49027242">
      <w:pPr>
        <w:jc w:val="center"/>
        <w:rPr>
          <w:rFonts w:hint="eastAsia" w:ascii="宋体" w:hAnsi="宋体"/>
          <w:sz w:val="28"/>
          <w:szCs w:val="28"/>
        </w:rPr>
      </w:pPr>
      <w:r>
        <w:rPr>
          <w:rFonts w:hint="eastAsia" w:ascii="宋体" w:hAnsi="宋体"/>
          <w:sz w:val="28"/>
          <w:szCs w:val="28"/>
        </w:rPr>
        <w:t>20</w:t>
      </w:r>
      <w:r>
        <w:rPr>
          <w:rFonts w:hint="eastAsia" w:ascii="宋体" w:hAnsi="宋体"/>
          <w:sz w:val="28"/>
          <w:szCs w:val="28"/>
          <w:lang w:val="en-US" w:eastAsia="zh-CN"/>
        </w:rPr>
        <w:t>26</w:t>
      </w:r>
      <w:r>
        <w:rPr>
          <w:rFonts w:hint="eastAsia" w:ascii="宋体" w:hAnsi="宋体"/>
          <w:sz w:val="28"/>
          <w:szCs w:val="28"/>
        </w:rPr>
        <w:t>年</w:t>
      </w:r>
      <w:r>
        <w:rPr>
          <w:rFonts w:hint="eastAsia" w:ascii="宋体" w:hAnsi="宋体"/>
          <w:sz w:val="28"/>
          <w:szCs w:val="28"/>
          <w:lang w:val="en-US" w:eastAsia="zh-CN"/>
        </w:rPr>
        <w:t>3</w:t>
      </w:r>
      <w:r>
        <w:rPr>
          <w:rFonts w:hint="eastAsia" w:ascii="宋体" w:hAnsi="宋体"/>
          <w:sz w:val="28"/>
          <w:szCs w:val="28"/>
        </w:rPr>
        <w:t>月</w:t>
      </w:r>
    </w:p>
    <w:p w14:paraId="71BDA4C1"/>
    <w:p w14:paraId="0C6F8B37"/>
    <w:p w14:paraId="01829FB7"/>
    <w:p w14:paraId="5581DEB0"/>
    <w:p w14:paraId="2FEBFF2E"/>
    <w:p w14:paraId="30CB7C45"/>
    <w:p w14:paraId="71AEBDD1"/>
    <w:p w14:paraId="761A60EB"/>
    <w:p w14:paraId="7C1CB191"/>
    <w:p w14:paraId="5C965702"/>
    <w:p w14:paraId="0726F214"/>
    <w:p w14:paraId="69179217"/>
    <w:p w14:paraId="1788C49D"/>
    <w:p w14:paraId="720A7316"/>
    <w:p w14:paraId="66C1C739"/>
    <w:p w14:paraId="6F47B5EA"/>
    <w:p w14:paraId="3D7EFF31">
      <w:pPr>
        <w:pStyle w:val="2"/>
        <w:spacing w:line="360" w:lineRule="auto"/>
        <w:jc w:val="center"/>
        <w:rPr>
          <w:rFonts w:ascii="黑体" w:eastAsia="黑体"/>
          <w:b/>
          <w:bCs/>
          <w:sz w:val="36"/>
          <w:szCs w:val="36"/>
        </w:rPr>
      </w:pPr>
      <w:r>
        <w:rPr>
          <w:rFonts w:hint="eastAsia" w:ascii="黑体" w:eastAsia="黑体"/>
          <w:b/>
          <w:bCs/>
          <w:sz w:val="36"/>
          <w:szCs w:val="36"/>
        </w:rPr>
        <w:t>招标文件</w:t>
      </w:r>
    </w:p>
    <w:p w14:paraId="250D8FF4">
      <w:pPr>
        <w:pStyle w:val="2"/>
        <w:spacing w:line="360" w:lineRule="auto"/>
        <w:rPr>
          <w:rFonts w:hint="eastAsia" w:ascii="黑体" w:eastAsia="黑体"/>
          <w:b/>
          <w:bCs/>
          <w:sz w:val="28"/>
        </w:rPr>
      </w:pPr>
      <w:r>
        <w:rPr>
          <w:rFonts w:hint="eastAsia" w:ascii="黑体" w:eastAsia="黑体"/>
          <w:b/>
          <w:bCs/>
          <w:sz w:val="28"/>
        </w:rPr>
        <w:t>一、项目名称</w:t>
      </w:r>
    </w:p>
    <w:p w14:paraId="5E14F2C9">
      <w:pPr>
        <w:ind w:right="280" w:firstLine="420" w:firstLineChars="200"/>
        <w:rPr>
          <w:rFonts w:hint="default" w:ascii="宋体" w:hAnsi="Courier New" w:eastAsia="宋体"/>
          <w:color w:val="000000"/>
          <w:lang w:val="en-US" w:eastAsia="zh-CN"/>
        </w:rPr>
      </w:pPr>
      <w:bookmarkStart w:id="0" w:name="OLE_LINK1"/>
      <w:r>
        <w:rPr>
          <w:rFonts w:hint="eastAsia" w:ascii="宋体" w:hAnsi="Courier New"/>
          <w:color w:val="000000"/>
        </w:rPr>
        <w:t>项目名称：</w:t>
      </w:r>
      <w:r>
        <w:rPr>
          <w:rFonts w:hint="eastAsia" w:ascii="宋体" w:hAnsi="Courier New"/>
          <w:color w:val="000000"/>
          <w:lang w:val="en-US" w:eastAsia="zh-CN"/>
        </w:rPr>
        <w:t>中国重汽集团职能部室</w:t>
      </w:r>
      <w:r>
        <w:rPr>
          <w:rFonts w:hint="eastAsia" w:ascii="宋体" w:hAnsi="Courier New"/>
          <w:color w:val="000000"/>
        </w:rPr>
        <w:t>办公家具采购</w:t>
      </w:r>
      <w:r>
        <w:rPr>
          <w:rFonts w:hint="eastAsia" w:ascii="宋体" w:hAnsi="Courier New"/>
          <w:color w:val="000000"/>
          <w:lang w:val="en-US" w:eastAsia="zh-CN"/>
        </w:rPr>
        <w:t>项目（二次）</w:t>
      </w:r>
    </w:p>
    <w:bookmarkEnd w:id="0"/>
    <w:p w14:paraId="6EE10179">
      <w:pPr>
        <w:pStyle w:val="2"/>
        <w:numPr>
          <w:ilvl w:val="0"/>
          <w:numId w:val="1"/>
        </w:numPr>
        <w:spacing w:line="360" w:lineRule="auto"/>
        <w:rPr>
          <w:rFonts w:hint="eastAsia" w:ascii="黑体" w:eastAsia="黑体"/>
          <w:b/>
          <w:bCs/>
          <w:sz w:val="28"/>
        </w:rPr>
      </w:pPr>
      <w:r>
        <w:rPr>
          <w:rFonts w:hint="eastAsia" w:ascii="黑体" w:eastAsia="黑体"/>
          <w:b/>
          <w:bCs/>
          <w:sz w:val="28"/>
        </w:rPr>
        <w:t>招标内容及形式</w:t>
      </w:r>
    </w:p>
    <w:p w14:paraId="3569BAB6">
      <w:pPr>
        <w:ind w:right="280" w:firstLine="420" w:firstLineChars="200"/>
        <w:rPr>
          <w:rFonts w:hint="default" w:ascii="宋体" w:hAnsi="Courier New" w:eastAsia="宋体"/>
          <w:color w:val="000000"/>
          <w:lang w:val="en-US" w:eastAsia="zh-CN"/>
        </w:rPr>
      </w:pPr>
      <w:r>
        <w:rPr>
          <w:rFonts w:hint="eastAsia" w:ascii="宋体" w:hAnsi="Courier New"/>
          <w:color w:val="000000"/>
        </w:rPr>
        <w:t>招标内容：</w:t>
      </w:r>
      <w:r>
        <w:rPr>
          <w:rFonts w:hint="eastAsia" w:ascii="宋体" w:hAnsi="Courier New"/>
          <w:color w:val="000000"/>
          <w:lang w:val="en-US" w:eastAsia="zh-CN"/>
        </w:rPr>
        <w:t>中国重汽集团职能部室</w:t>
      </w:r>
      <w:r>
        <w:rPr>
          <w:rFonts w:hint="eastAsia" w:ascii="宋体" w:hAnsi="Courier New"/>
          <w:color w:val="000000"/>
        </w:rPr>
        <w:t>办公家具采购</w:t>
      </w:r>
      <w:r>
        <w:rPr>
          <w:rFonts w:hint="eastAsia" w:ascii="宋体" w:hAnsi="Courier New"/>
          <w:color w:val="000000"/>
          <w:lang w:val="en-US" w:eastAsia="zh-CN"/>
        </w:rPr>
        <w:t>项目</w:t>
      </w:r>
    </w:p>
    <w:p w14:paraId="73F9F370">
      <w:pPr>
        <w:pStyle w:val="2"/>
        <w:spacing w:line="360" w:lineRule="auto"/>
        <w:ind w:firstLine="420" w:firstLineChars="200"/>
        <w:rPr>
          <w:rFonts w:hint="default" w:eastAsia="宋体"/>
          <w:lang w:val="en-US" w:eastAsia="zh-CN"/>
        </w:rPr>
      </w:pPr>
      <w:r>
        <w:rPr>
          <w:rFonts w:hint="eastAsia"/>
        </w:rPr>
        <w:t>招标形式：</w:t>
      </w:r>
      <w:r>
        <w:rPr>
          <w:rFonts w:hint="eastAsia"/>
          <w:lang w:val="en-US" w:eastAsia="zh-CN"/>
        </w:rPr>
        <w:t>公开招标</w:t>
      </w:r>
    </w:p>
    <w:p w14:paraId="4157F7E4">
      <w:pPr>
        <w:pStyle w:val="2"/>
        <w:spacing w:line="360" w:lineRule="auto"/>
        <w:ind w:firstLine="420" w:firstLineChars="200"/>
        <w:rPr>
          <w:rFonts w:hint="eastAsia"/>
          <w:color w:val="auto"/>
          <w:lang w:val="en-US" w:eastAsia="zh-CN"/>
        </w:rPr>
      </w:pPr>
      <w:r>
        <w:rPr>
          <w:rFonts w:hint="eastAsia"/>
          <w:color w:val="auto"/>
        </w:rPr>
        <w:t>招标内容：</w:t>
      </w:r>
      <w:r>
        <w:rPr>
          <w:rFonts w:hint="eastAsia"/>
          <w:color w:val="auto"/>
          <w:lang w:val="en-US" w:eastAsia="zh-CN"/>
        </w:rPr>
        <w:t>详见附件</w:t>
      </w:r>
    </w:p>
    <w:p w14:paraId="2E9D497E">
      <w:pPr>
        <w:pStyle w:val="2"/>
        <w:spacing w:line="360" w:lineRule="auto"/>
        <w:rPr>
          <w:rFonts w:hint="eastAsia" w:ascii="黑体" w:eastAsia="黑体"/>
          <w:b/>
          <w:bCs/>
          <w:color w:val="auto"/>
          <w:sz w:val="28"/>
        </w:rPr>
      </w:pPr>
      <w:r>
        <w:rPr>
          <w:rFonts w:hint="eastAsia" w:ascii="黑体" w:eastAsia="黑体"/>
          <w:b/>
          <w:bCs/>
          <w:color w:val="auto"/>
          <w:sz w:val="28"/>
        </w:rPr>
        <w:t>三、发货及付款</w:t>
      </w:r>
    </w:p>
    <w:p w14:paraId="47C0392F">
      <w:pPr>
        <w:pStyle w:val="2"/>
        <w:spacing w:line="360" w:lineRule="auto"/>
        <w:ind w:firstLine="420" w:firstLineChars="200"/>
        <w:rPr>
          <w:rFonts w:hint="eastAsia"/>
          <w:color w:val="auto"/>
          <w:sz w:val="21"/>
          <w:szCs w:val="21"/>
        </w:rPr>
      </w:pPr>
      <w:r>
        <w:rPr>
          <w:rFonts w:hint="eastAsia"/>
          <w:color w:val="auto"/>
          <w:sz w:val="21"/>
          <w:szCs w:val="21"/>
        </w:rPr>
        <w:t xml:space="preserve">1、发货时间：以合同约定为准。 </w:t>
      </w:r>
    </w:p>
    <w:p w14:paraId="7A8ADE93">
      <w:pPr>
        <w:pStyle w:val="2"/>
        <w:spacing w:line="360" w:lineRule="auto"/>
        <w:ind w:firstLine="420" w:firstLineChars="200"/>
        <w:rPr>
          <w:rFonts w:hint="eastAsia"/>
          <w:color w:val="auto"/>
          <w:sz w:val="21"/>
          <w:szCs w:val="21"/>
        </w:rPr>
      </w:pPr>
      <w:r>
        <w:rPr>
          <w:rFonts w:hint="eastAsia"/>
          <w:color w:val="auto"/>
          <w:sz w:val="21"/>
          <w:szCs w:val="21"/>
        </w:rPr>
        <w:t>2、发货地点：具体交付地点以合同约定为准。</w:t>
      </w:r>
    </w:p>
    <w:p w14:paraId="36A41A0F">
      <w:pPr>
        <w:pStyle w:val="2"/>
        <w:spacing w:line="360" w:lineRule="auto"/>
        <w:ind w:firstLine="420" w:firstLineChars="200"/>
        <w:rPr>
          <w:rFonts w:hint="eastAsia" w:ascii="宋体" w:hAnsi="Courier New" w:eastAsia="宋体" w:cstheme="minorBidi"/>
          <w:i w:val="0"/>
          <w:iCs w:val="0"/>
          <w:caps w:val="0"/>
          <w:spacing w:val="0"/>
          <w:sz w:val="21"/>
          <w:szCs w:val="22"/>
          <w:shd w:val="clear"/>
        </w:rPr>
      </w:pPr>
      <w:r>
        <w:rPr>
          <w:rFonts w:hint="eastAsia"/>
          <w:color w:val="000000"/>
          <w:sz w:val="21"/>
          <w:szCs w:val="21"/>
        </w:rPr>
        <w:t>3、付款方式：</w:t>
      </w:r>
      <w:r>
        <w:rPr>
          <w:rFonts w:hint="eastAsia" w:ascii="宋体" w:hAnsi="Courier New" w:eastAsia="宋体" w:cstheme="minorBidi"/>
          <w:i w:val="0"/>
          <w:iCs w:val="0"/>
          <w:caps w:val="0"/>
          <w:spacing w:val="0"/>
          <w:sz w:val="21"/>
          <w:szCs w:val="22"/>
          <w:shd w:val="clear"/>
        </w:rPr>
        <w:t>半年期商业汇票（包括银行承兑汇票和商业承兑汇票）</w:t>
      </w:r>
    </w:p>
    <w:p w14:paraId="258BFD26">
      <w:pPr>
        <w:pStyle w:val="2"/>
        <w:spacing w:line="360" w:lineRule="auto"/>
        <w:ind w:firstLine="420" w:firstLineChars="200"/>
        <w:rPr>
          <w:rFonts w:hint="eastAsia"/>
          <w:color w:val="000000"/>
          <w:sz w:val="21"/>
          <w:szCs w:val="21"/>
        </w:rPr>
      </w:pPr>
      <w:r>
        <w:rPr>
          <w:rFonts w:hint="eastAsia"/>
          <w:color w:val="000000"/>
          <w:sz w:val="21"/>
          <w:szCs w:val="21"/>
          <w:lang w:val="en-US" w:eastAsia="zh-CN"/>
        </w:rPr>
        <w:t>（1）</w:t>
      </w:r>
      <w:r>
        <w:rPr>
          <w:rFonts w:hint="eastAsia" w:ascii="宋体" w:hAnsi="Courier New"/>
          <w:color w:val="000000"/>
          <w:sz w:val="21"/>
          <w:szCs w:val="21"/>
        </w:rPr>
        <w:t>办公家具</w:t>
      </w:r>
      <w:r>
        <w:rPr>
          <w:rFonts w:hint="eastAsia"/>
          <w:color w:val="000000"/>
          <w:sz w:val="21"/>
          <w:szCs w:val="21"/>
          <w:lang w:eastAsia="zh-CN"/>
        </w:rPr>
        <w:t>，</w:t>
      </w:r>
      <w:r>
        <w:rPr>
          <w:rFonts w:hint="eastAsia"/>
          <w:color w:val="000000"/>
          <w:sz w:val="21"/>
          <w:szCs w:val="21"/>
          <w:lang w:val="en-US" w:eastAsia="zh-CN"/>
        </w:rPr>
        <w:t>买方所采购的该批家具</w:t>
      </w:r>
      <w:r>
        <w:rPr>
          <w:rFonts w:hint="eastAsia"/>
          <w:color w:val="000000"/>
          <w:sz w:val="21"/>
          <w:szCs w:val="21"/>
        </w:rPr>
        <w:t>全部到齐无质量问题，经安装、调试最终验收合格后，</w:t>
      </w:r>
      <w:r>
        <w:rPr>
          <w:rFonts w:hint="eastAsia"/>
          <w:color w:val="000000"/>
          <w:sz w:val="21"/>
          <w:szCs w:val="21"/>
          <w:lang w:val="en-US" w:eastAsia="zh-CN"/>
        </w:rPr>
        <w:t>卖方</w:t>
      </w:r>
      <w:r>
        <w:rPr>
          <w:rFonts w:hint="eastAsia"/>
          <w:color w:val="000000"/>
          <w:sz w:val="21"/>
          <w:szCs w:val="21"/>
        </w:rPr>
        <w:t>提交金额为合同价款90 %的收据及</w:t>
      </w:r>
      <w:r>
        <w:rPr>
          <w:rFonts w:hint="eastAsia"/>
          <w:color w:val="000000"/>
          <w:sz w:val="21"/>
          <w:szCs w:val="21"/>
          <w:lang w:val="en-US" w:eastAsia="zh-CN"/>
        </w:rPr>
        <w:t>该批家具</w:t>
      </w:r>
      <w:r>
        <w:rPr>
          <w:rFonts w:hint="eastAsia"/>
          <w:color w:val="000000"/>
          <w:sz w:val="21"/>
          <w:szCs w:val="21"/>
        </w:rPr>
        <w:t>总额的增值税专用发票（正本一份，复印件二份），经</w:t>
      </w:r>
      <w:r>
        <w:rPr>
          <w:rFonts w:hint="eastAsia"/>
          <w:color w:val="000000"/>
          <w:sz w:val="21"/>
          <w:szCs w:val="21"/>
          <w:lang w:val="en-US" w:eastAsia="zh-CN"/>
        </w:rPr>
        <w:t>买方</w:t>
      </w:r>
      <w:r>
        <w:rPr>
          <w:rFonts w:hint="eastAsia"/>
          <w:color w:val="000000"/>
          <w:sz w:val="21"/>
          <w:szCs w:val="21"/>
        </w:rPr>
        <w:t>依照财务制度审核无误后支付</w:t>
      </w:r>
      <w:bookmarkStart w:id="1" w:name="_Toc14531628"/>
      <w:bookmarkStart w:id="2" w:name="_Toc14676804"/>
      <w:r>
        <w:rPr>
          <w:rFonts w:hint="eastAsia"/>
          <w:color w:val="000000"/>
          <w:sz w:val="21"/>
          <w:szCs w:val="21"/>
        </w:rPr>
        <w:t>。</w:t>
      </w:r>
    </w:p>
    <w:p w14:paraId="4FF934D0">
      <w:pPr>
        <w:pStyle w:val="2"/>
        <w:spacing w:line="360" w:lineRule="auto"/>
        <w:ind w:firstLine="420" w:firstLineChars="200"/>
        <w:rPr>
          <w:rFonts w:hint="eastAsia"/>
          <w:color w:val="000000"/>
          <w:sz w:val="21"/>
          <w:szCs w:val="21"/>
        </w:rPr>
      </w:pPr>
      <w:r>
        <w:rPr>
          <w:rFonts w:hint="eastAsia"/>
          <w:color w:val="000000"/>
          <w:sz w:val="21"/>
          <w:szCs w:val="21"/>
          <w:lang w:val="en-US" w:eastAsia="zh-CN"/>
        </w:rPr>
        <w:t>（2）该批家具</w:t>
      </w:r>
      <w:r>
        <w:rPr>
          <w:rFonts w:hint="eastAsia"/>
          <w:color w:val="000000"/>
          <w:sz w:val="21"/>
          <w:szCs w:val="21"/>
        </w:rPr>
        <w:t>总额的 10 %作为质量保证金，质量保证金在质量保证期内不计利息。待质量保证期满后，向</w:t>
      </w:r>
      <w:r>
        <w:rPr>
          <w:rFonts w:hint="eastAsia"/>
          <w:color w:val="000000"/>
          <w:sz w:val="21"/>
          <w:szCs w:val="21"/>
          <w:lang w:val="en-US" w:eastAsia="zh-CN"/>
        </w:rPr>
        <w:t>买方</w:t>
      </w:r>
      <w:r>
        <w:rPr>
          <w:rFonts w:hint="eastAsia"/>
          <w:color w:val="000000"/>
          <w:sz w:val="21"/>
          <w:szCs w:val="21"/>
        </w:rPr>
        <w:t>提交金额为</w:t>
      </w:r>
      <w:r>
        <w:rPr>
          <w:rFonts w:hint="eastAsia"/>
          <w:color w:val="000000"/>
          <w:sz w:val="21"/>
          <w:szCs w:val="21"/>
          <w:lang w:val="en-US" w:eastAsia="zh-CN"/>
        </w:rPr>
        <w:t>该批家具</w:t>
      </w:r>
      <w:r>
        <w:rPr>
          <w:rFonts w:hint="eastAsia"/>
          <w:color w:val="000000"/>
          <w:sz w:val="21"/>
          <w:szCs w:val="21"/>
        </w:rPr>
        <w:t>总额10%的收据（正本一份，复印件二份），经</w:t>
      </w:r>
      <w:r>
        <w:rPr>
          <w:rFonts w:hint="eastAsia"/>
          <w:color w:val="000000"/>
          <w:sz w:val="21"/>
          <w:szCs w:val="21"/>
          <w:lang w:val="en-US" w:eastAsia="zh-CN"/>
        </w:rPr>
        <w:t>买方</w:t>
      </w:r>
      <w:r>
        <w:rPr>
          <w:rFonts w:hint="eastAsia"/>
          <w:color w:val="000000"/>
          <w:sz w:val="21"/>
          <w:szCs w:val="21"/>
        </w:rPr>
        <w:t>依照财务制度审核无误后支付。如有质量问题，质量保证金予以相应扣除。</w:t>
      </w:r>
      <w:bookmarkEnd w:id="1"/>
      <w:bookmarkEnd w:id="2"/>
    </w:p>
    <w:p w14:paraId="389AB6AC">
      <w:pPr>
        <w:pStyle w:val="2"/>
        <w:spacing w:line="360" w:lineRule="auto"/>
        <w:ind w:firstLine="442" w:firstLineChars="200"/>
        <w:rPr>
          <w:rFonts w:hint="eastAsia"/>
          <w:b/>
          <w:bCs/>
          <w:color w:val="000000"/>
          <w:sz w:val="22"/>
          <w:lang w:val="en-US" w:eastAsia="zh-CN"/>
        </w:rPr>
      </w:pPr>
      <w:r>
        <w:rPr>
          <w:rFonts w:hint="eastAsia"/>
          <w:b/>
          <w:bCs/>
          <w:color w:val="000000"/>
          <w:sz w:val="22"/>
          <w:lang w:val="en-US" w:eastAsia="zh-CN"/>
        </w:rPr>
        <w:t>备注：买方采购的产品于中标单位所描述的材质不一致不予付款。</w:t>
      </w:r>
    </w:p>
    <w:p w14:paraId="774FB364">
      <w:pPr>
        <w:pStyle w:val="2"/>
        <w:spacing w:line="360" w:lineRule="auto"/>
        <w:ind w:firstLine="420" w:firstLineChars="200"/>
        <w:rPr>
          <w:rFonts w:hAnsi="宋体"/>
          <w:bCs/>
          <w:color w:val="auto"/>
          <w:sz w:val="21"/>
          <w:szCs w:val="21"/>
        </w:rPr>
      </w:pPr>
      <w:r>
        <w:rPr>
          <w:rFonts w:hint="eastAsia" w:hAnsi="宋体" w:cs="宋体"/>
          <w:b w:val="0"/>
          <w:bCs w:val="0"/>
          <w:color w:val="auto"/>
          <w:kern w:val="2"/>
          <w:sz w:val="21"/>
          <w:szCs w:val="21"/>
          <w:u w:val="none"/>
          <w:lang w:val="en-US" w:eastAsia="zh-CN" w:bidi="ar-SA"/>
        </w:rPr>
        <w:t>4、办公家具服务项目，</w:t>
      </w:r>
      <w:r>
        <w:rPr>
          <w:rFonts w:hint="eastAsia" w:hAnsi="宋体"/>
          <w:b w:val="0"/>
          <w:bCs w:val="0"/>
          <w:color w:val="auto"/>
          <w:sz w:val="21"/>
          <w:szCs w:val="21"/>
          <w:lang w:val="en-US" w:eastAsia="zh-CN"/>
        </w:rPr>
        <w:t>家</w:t>
      </w:r>
      <w:r>
        <w:rPr>
          <w:rFonts w:hint="eastAsia" w:hAnsi="宋体"/>
          <w:bCs/>
          <w:color w:val="auto"/>
          <w:sz w:val="21"/>
          <w:szCs w:val="21"/>
          <w:lang w:val="en-US" w:eastAsia="zh-CN"/>
        </w:rPr>
        <w:t>具按要求拆装、搬运到指定地点，</w:t>
      </w:r>
      <w:r>
        <w:rPr>
          <w:rFonts w:hint="eastAsia" w:hAnsi="宋体"/>
          <w:bCs/>
          <w:color w:val="auto"/>
          <w:sz w:val="21"/>
          <w:szCs w:val="21"/>
        </w:rPr>
        <w:t>并现场摆放完成</w:t>
      </w:r>
      <w:r>
        <w:rPr>
          <w:rFonts w:hint="eastAsia" w:hAnsi="宋体"/>
          <w:bCs/>
          <w:color w:val="auto"/>
          <w:sz w:val="21"/>
          <w:szCs w:val="21"/>
          <w:lang w:val="en-US" w:eastAsia="zh-CN"/>
        </w:rPr>
        <w:t>形成统计表，经招标方核对并</w:t>
      </w:r>
      <w:r>
        <w:rPr>
          <w:rFonts w:hint="eastAsia" w:hAnsi="宋体"/>
          <w:bCs/>
          <w:color w:val="auto"/>
          <w:sz w:val="21"/>
          <w:szCs w:val="21"/>
        </w:rPr>
        <w:t>验收合格后，中标方提交金额为</w:t>
      </w:r>
      <w:r>
        <w:rPr>
          <w:rFonts w:hint="eastAsia" w:hAnsi="宋体"/>
          <w:bCs/>
          <w:color w:val="auto"/>
          <w:sz w:val="21"/>
          <w:szCs w:val="21"/>
          <w:lang w:val="en-US" w:eastAsia="zh-CN"/>
        </w:rPr>
        <w:t>项目</w:t>
      </w:r>
      <w:r>
        <w:rPr>
          <w:rFonts w:hint="eastAsia" w:hAnsi="宋体"/>
          <w:bCs/>
          <w:color w:val="auto"/>
          <w:sz w:val="21"/>
          <w:szCs w:val="21"/>
        </w:rPr>
        <w:t>价款100%的收据并附带下列单据，经招标方依照财务制度审核无误后支付。</w:t>
      </w:r>
    </w:p>
    <w:p w14:paraId="61AAF15E">
      <w:pPr>
        <w:pStyle w:val="2"/>
        <w:spacing w:line="360" w:lineRule="auto"/>
        <w:ind w:firstLine="420" w:firstLineChars="200"/>
        <w:rPr>
          <w:rFonts w:hAnsi="宋体"/>
          <w:bCs/>
          <w:color w:val="auto"/>
          <w:sz w:val="21"/>
          <w:szCs w:val="21"/>
        </w:rPr>
      </w:pPr>
      <w:r>
        <w:rPr>
          <w:rFonts w:hint="eastAsia" w:hAnsi="宋体"/>
          <w:bCs/>
          <w:color w:val="auto"/>
          <w:sz w:val="21"/>
          <w:szCs w:val="21"/>
        </w:rPr>
        <w:t>A：金额为该</w:t>
      </w:r>
      <w:r>
        <w:rPr>
          <w:rFonts w:hint="eastAsia" w:hAnsi="宋体"/>
          <w:bCs/>
          <w:color w:val="auto"/>
          <w:sz w:val="21"/>
          <w:szCs w:val="21"/>
          <w:lang w:val="en-US" w:eastAsia="zh-CN"/>
        </w:rPr>
        <w:t>项目价款</w:t>
      </w:r>
      <w:r>
        <w:rPr>
          <w:rFonts w:hAnsi="宋体"/>
          <w:bCs/>
          <w:color w:val="auto"/>
          <w:sz w:val="21"/>
          <w:szCs w:val="21"/>
        </w:rPr>
        <w:t>100</w:t>
      </w:r>
      <w:r>
        <w:rPr>
          <w:rFonts w:hint="eastAsia" w:hAnsi="宋体"/>
          <w:bCs/>
          <w:color w:val="auto"/>
          <w:sz w:val="21"/>
          <w:szCs w:val="21"/>
        </w:rPr>
        <w:t>%的增值税专用发票（含复印件二份）。</w:t>
      </w:r>
    </w:p>
    <w:p w14:paraId="29840998">
      <w:pPr>
        <w:pStyle w:val="2"/>
        <w:spacing w:line="360" w:lineRule="auto"/>
        <w:rPr>
          <w:rFonts w:hAnsi="宋体"/>
          <w:bCs/>
          <w:color w:val="auto"/>
          <w:sz w:val="21"/>
          <w:szCs w:val="21"/>
        </w:rPr>
      </w:pPr>
      <w:r>
        <w:rPr>
          <w:rFonts w:hint="eastAsia" w:hAnsi="宋体" w:cs="宋体"/>
          <w:color w:val="auto"/>
          <w:sz w:val="21"/>
          <w:szCs w:val="21"/>
        </w:rPr>
        <w:t xml:space="preserve">    </w:t>
      </w:r>
      <w:r>
        <w:rPr>
          <w:rFonts w:hint="eastAsia" w:hAnsi="宋体"/>
          <w:bCs/>
          <w:color w:val="auto"/>
          <w:sz w:val="21"/>
          <w:szCs w:val="21"/>
        </w:rPr>
        <w:t>B：该合同最终验收报告的原件及复印件两份。</w:t>
      </w:r>
    </w:p>
    <w:p w14:paraId="4D46160D">
      <w:pPr>
        <w:adjustRightInd w:val="0"/>
        <w:snapToGrid w:val="0"/>
        <w:spacing w:line="500" w:lineRule="exact"/>
        <w:ind w:firstLine="422" w:firstLineChars="200"/>
        <w:rPr>
          <w:rFonts w:hint="default"/>
          <w:color w:val="000000"/>
          <w:sz w:val="22"/>
          <w:lang w:val="en-US" w:eastAsia="zh-CN"/>
        </w:rPr>
      </w:pPr>
      <w:r>
        <w:rPr>
          <w:rFonts w:hint="eastAsia" w:ascii="宋体" w:hAnsi="宋体" w:cs="宋体"/>
          <w:b/>
          <w:bCs/>
          <w:color w:val="auto"/>
          <w:sz w:val="21"/>
          <w:szCs w:val="21"/>
        </w:rPr>
        <w:t>备注：总价款包括</w:t>
      </w:r>
      <w:r>
        <w:rPr>
          <w:rFonts w:hint="eastAsia" w:hAnsi="宋体"/>
          <w:b/>
          <w:color w:val="auto"/>
          <w:sz w:val="21"/>
          <w:szCs w:val="21"/>
          <w:lang w:val="en-US" w:eastAsia="zh-CN"/>
        </w:rPr>
        <w:t>家具</w:t>
      </w:r>
      <w:r>
        <w:rPr>
          <w:rFonts w:hint="eastAsia" w:ascii="宋体" w:hAnsi="宋体" w:cs="宋体"/>
          <w:b/>
          <w:bCs/>
          <w:color w:val="auto"/>
          <w:sz w:val="21"/>
          <w:szCs w:val="21"/>
        </w:rPr>
        <w:t>的</w:t>
      </w:r>
      <w:r>
        <w:rPr>
          <w:rFonts w:hint="eastAsia" w:ascii="宋体" w:hAnsi="宋体" w:cs="宋体"/>
          <w:b/>
          <w:bCs/>
          <w:color w:val="auto"/>
          <w:sz w:val="21"/>
          <w:szCs w:val="21"/>
          <w:lang w:val="en-US" w:eastAsia="zh-CN"/>
        </w:rPr>
        <w:t>拆装</w:t>
      </w:r>
      <w:r>
        <w:rPr>
          <w:rFonts w:hint="eastAsia" w:ascii="宋体" w:hAnsi="宋体" w:cs="宋体"/>
          <w:b/>
          <w:bCs/>
          <w:color w:val="auto"/>
          <w:sz w:val="21"/>
          <w:szCs w:val="21"/>
        </w:rPr>
        <w:t>、</w:t>
      </w:r>
      <w:r>
        <w:rPr>
          <w:rFonts w:hint="eastAsia" w:ascii="宋体" w:hAnsi="宋体" w:cs="宋体"/>
          <w:b/>
          <w:bCs/>
          <w:color w:val="auto"/>
          <w:sz w:val="21"/>
          <w:szCs w:val="21"/>
          <w:lang w:val="en-US" w:eastAsia="zh-CN"/>
        </w:rPr>
        <w:t>装家具所需零配件、</w:t>
      </w:r>
      <w:r>
        <w:rPr>
          <w:rFonts w:hint="eastAsia" w:ascii="宋体" w:hAnsi="宋体" w:cs="宋体"/>
          <w:b/>
          <w:bCs/>
          <w:color w:val="auto"/>
          <w:sz w:val="21"/>
          <w:szCs w:val="21"/>
        </w:rPr>
        <w:t>包装、装卸、运输、搬运、摆放、安装、防护等全部费用。</w:t>
      </w:r>
    </w:p>
    <w:p w14:paraId="638F5204">
      <w:pPr>
        <w:pStyle w:val="2"/>
        <w:spacing w:line="360" w:lineRule="auto"/>
        <w:rPr>
          <w:rFonts w:hint="eastAsia" w:ascii="黑体" w:eastAsia="黑体"/>
          <w:b/>
          <w:bCs/>
          <w:color w:val="auto"/>
          <w:sz w:val="28"/>
        </w:rPr>
      </w:pPr>
      <w:r>
        <w:rPr>
          <w:rFonts w:hint="eastAsia" w:ascii="黑体" w:eastAsia="黑体"/>
          <w:b/>
          <w:bCs/>
          <w:color w:val="auto"/>
          <w:sz w:val="28"/>
        </w:rPr>
        <w:t>四、投标说明</w:t>
      </w:r>
    </w:p>
    <w:p w14:paraId="68F6FDCB">
      <w:pPr>
        <w:pStyle w:val="2"/>
        <w:widowControl w:val="0"/>
        <w:numPr>
          <w:ilvl w:val="0"/>
          <w:numId w:val="0"/>
        </w:numPr>
        <w:spacing w:line="360" w:lineRule="auto"/>
        <w:ind w:firstLine="281" w:firstLineChars="100"/>
        <w:jc w:val="both"/>
        <w:outlineLvl w:val="1"/>
        <w:rPr>
          <w:rStyle w:val="11"/>
          <w:rFonts w:hint="eastAsia" w:asciiTheme="minorEastAsia" w:hAnsiTheme="minorEastAsia" w:eastAsiaTheme="minorEastAsia" w:cstheme="minorEastAsia"/>
          <w:b w:val="0"/>
          <w:bCs w:val="0"/>
          <w:color w:val="auto"/>
          <w:sz w:val="21"/>
          <w:szCs w:val="21"/>
          <w:highlight w:val="none"/>
          <w:lang w:val="en-US" w:eastAsia="zh-CN"/>
        </w:rPr>
      </w:pPr>
      <w:r>
        <w:rPr>
          <w:rFonts w:hint="eastAsia" w:ascii="黑体" w:eastAsia="黑体"/>
          <w:b/>
          <w:bCs/>
          <w:sz w:val="28"/>
          <w:lang w:val="en-US" w:eastAsia="zh-CN"/>
        </w:rPr>
        <w:t xml:space="preserve"> </w:t>
      </w:r>
      <w:r>
        <w:rPr>
          <w:rFonts w:hint="eastAsia" w:asciiTheme="minorEastAsia" w:hAnsiTheme="minorEastAsia" w:eastAsiaTheme="minorEastAsia" w:cstheme="minorEastAsia"/>
          <w:b/>
          <w:bCs/>
          <w:sz w:val="21"/>
          <w:szCs w:val="21"/>
          <w:lang w:val="en-US" w:eastAsia="zh-CN"/>
        </w:rPr>
        <w:t xml:space="preserve"> </w:t>
      </w:r>
      <w:r>
        <w:rPr>
          <w:rStyle w:val="11"/>
          <w:rFonts w:hint="eastAsia" w:asciiTheme="minorEastAsia" w:hAnsiTheme="minorEastAsia" w:eastAsiaTheme="minorEastAsia" w:cstheme="minorEastAsia"/>
          <w:b w:val="0"/>
          <w:bCs w:val="0"/>
          <w:color w:val="auto"/>
          <w:sz w:val="21"/>
          <w:szCs w:val="21"/>
          <w:highlight w:val="none"/>
          <w:lang w:val="en-US" w:eastAsia="zh-CN"/>
        </w:rPr>
        <w:t>1、各拟投标方需在https://ecaitong.sinotruk.com:8012/重汽E采通网站进行供应商注册，注册审批完成后，收到正式账号密码，使用正式账号密码进行招投标业务。</w:t>
      </w:r>
    </w:p>
    <w:p w14:paraId="2C2C2B20">
      <w:pPr>
        <w:pStyle w:val="2"/>
        <w:numPr>
          <w:ilvl w:val="-1"/>
          <w:numId w:val="0"/>
        </w:numPr>
        <w:spacing w:line="360" w:lineRule="auto"/>
        <w:ind w:firstLine="420" w:firstLineChars="200"/>
        <w:rPr>
          <w:rFonts w:hint="eastAsia" w:asciiTheme="minorEastAsia" w:hAnsiTheme="minorEastAsia" w:eastAsiaTheme="minorEastAsia" w:cstheme="minorEastAsia"/>
          <w:b/>
          <w:bCs/>
          <w:sz w:val="21"/>
          <w:szCs w:val="21"/>
          <w:lang w:val="en-US" w:eastAsia="zh-CN"/>
        </w:rPr>
      </w:pPr>
      <w:r>
        <w:rPr>
          <w:rStyle w:val="11"/>
          <w:rFonts w:hint="eastAsia" w:asciiTheme="minorEastAsia" w:hAnsiTheme="minorEastAsia" w:eastAsiaTheme="minorEastAsia" w:cstheme="minorEastAsia"/>
          <w:b w:val="0"/>
          <w:bCs w:val="0"/>
          <w:color w:val="auto"/>
          <w:sz w:val="21"/>
          <w:szCs w:val="21"/>
          <w:highlight w:val="none"/>
          <w:lang w:val="en-US" w:eastAsia="zh-CN"/>
        </w:rPr>
        <w:t>2、按要求应标、投标，及时关注https://ecaitong.sinotruk.com:8012/重汽E采通，根据规定时间应标、投标，现场开标，凡不按时、不按要求应标、投标、参与开标会议的投标单位一律视为放弃投标活动。招标单位依次检查投标文件的密封及送达情况，按签到的先后顺序竞价，招标人有权根据项目情况，采取多级评标模式，最终确定中标人。</w:t>
      </w:r>
    </w:p>
    <w:p w14:paraId="3448DBAA">
      <w:pPr>
        <w:pStyle w:val="2"/>
        <w:spacing w:line="360" w:lineRule="auto"/>
        <w:ind w:firstLine="422" w:firstLineChars="200"/>
        <w:rPr>
          <w:b/>
          <w:color w:val="auto"/>
        </w:rPr>
      </w:pPr>
      <w:r>
        <w:rPr>
          <w:rFonts w:hint="eastAsia"/>
          <w:b/>
          <w:color w:val="auto"/>
          <w:lang w:val="en-US" w:eastAsia="zh-CN"/>
        </w:rPr>
        <w:t>3</w:t>
      </w:r>
      <w:r>
        <w:rPr>
          <w:rFonts w:hint="eastAsia"/>
          <w:b/>
          <w:color w:val="auto"/>
        </w:rPr>
        <w:t>、投标条件</w:t>
      </w:r>
    </w:p>
    <w:p w14:paraId="0F1D0744">
      <w:pPr>
        <w:pStyle w:val="2"/>
        <w:spacing w:line="360" w:lineRule="auto"/>
        <w:ind w:firstLine="420" w:firstLineChars="200"/>
        <w:rPr>
          <w:rFonts w:hint="eastAsia"/>
          <w:color w:val="auto"/>
        </w:rPr>
      </w:pPr>
      <w:r>
        <w:rPr>
          <w:rFonts w:hint="eastAsia"/>
          <w:color w:val="auto"/>
        </w:rPr>
        <w:t>所有拟投标人需满足以下条件，并经招标人审核通过后方可获得该项目的投标资格（资质文件要求单独封存）：</w:t>
      </w:r>
    </w:p>
    <w:p w14:paraId="0D7C6EF4">
      <w:pPr>
        <w:pStyle w:val="2"/>
        <w:spacing w:line="360" w:lineRule="auto"/>
        <w:ind w:firstLine="210" w:firstLineChars="100"/>
        <w:rPr>
          <w:rFonts w:hint="eastAsia" w:eastAsia="宋体"/>
          <w:color w:val="auto"/>
          <w:lang w:eastAsia="zh-CN"/>
        </w:rPr>
      </w:pPr>
      <w:r>
        <w:rPr>
          <w:rFonts w:hint="eastAsia"/>
          <w:color w:val="auto"/>
        </w:rPr>
        <w:t>（1）法定代表人或单位负责人为同一人或者存在控股、管理关系的不同单位，不得参加同一宗货物的投标</w:t>
      </w:r>
      <w:r>
        <w:rPr>
          <w:rFonts w:hint="eastAsia"/>
          <w:color w:val="auto"/>
          <w:lang w:eastAsia="zh-CN"/>
        </w:rPr>
        <w:t>。</w:t>
      </w:r>
    </w:p>
    <w:p w14:paraId="12F64EA9">
      <w:pPr>
        <w:pStyle w:val="2"/>
        <w:spacing w:line="360" w:lineRule="auto"/>
        <w:ind w:firstLine="210" w:firstLineChars="100"/>
        <w:rPr>
          <w:rFonts w:hint="eastAsia" w:eastAsia="宋体"/>
          <w:color w:val="auto"/>
          <w:lang w:eastAsia="zh-CN"/>
        </w:rPr>
      </w:pPr>
      <w:r>
        <w:rPr>
          <w:rFonts w:hint="eastAsia"/>
          <w:color w:val="auto"/>
        </w:rPr>
        <w:t>（2）拟标投人必须是在中华人民共和国境内注册的独立法人机构，具有独立承担民事责任能力，注册资金不少于</w:t>
      </w:r>
      <w:r>
        <w:rPr>
          <w:rFonts w:hint="eastAsia"/>
          <w:color w:val="auto"/>
          <w:lang w:val="en-US" w:eastAsia="zh-CN"/>
        </w:rPr>
        <w:t>500</w:t>
      </w:r>
      <w:r>
        <w:rPr>
          <w:rFonts w:hint="eastAsia"/>
          <w:color w:val="auto"/>
        </w:rPr>
        <w:t>万人民币；公司成立三年以上（以营业执照成立日期到开标当日满三年为准）；且经营范围满足招标人需求；并在人员、设备、资金等方面具有承担本项目的能力</w:t>
      </w:r>
      <w:r>
        <w:rPr>
          <w:rFonts w:hint="eastAsia"/>
          <w:color w:val="auto"/>
          <w:lang w:eastAsia="zh-CN"/>
        </w:rPr>
        <w:t>。</w:t>
      </w:r>
    </w:p>
    <w:p w14:paraId="6877FA38">
      <w:pPr>
        <w:pStyle w:val="2"/>
        <w:spacing w:line="360" w:lineRule="auto"/>
        <w:ind w:left="206"/>
        <w:rPr>
          <w:rFonts w:hint="eastAsia" w:eastAsia="宋体"/>
          <w:b/>
          <w:lang w:eastAsia="zh-CN"/>
        </w:rPr>
      </w:pPr>
      <w:r>
        <w:rPr>
          <w:rFonts w:hint="eastAsia"/>
          <w:szCs w:val="21"/>
        </w:rPr>
        <w:t>（3）拟投标人应提供</w:t>
      </w:r>
      <w:r>
        <w:rPr>
          <w:rFonts w:hint="eastAsia" w:hAnsi="宋体" w:cs="宋体"/>
          <w:color w:val="333333"/>
          <w:szCs w:val="21"/>
          <w:shd w:val="clear" w:color="auto" w:fill="FFFFFF"/>
        </w:rPr>
        <w:t>经营许可资质</w:t>
      </w:r>
      <w:r>
        <w:rPr>
          <w:rFonts w:hint="eastAsia"/>
          <w:szCs w:val="21"/>
        </w:rPr>
        <w:t>原件</w:t>
      </w:r>
      <w:r>
        <w:rPr>
          <w:rFonts w:hint="eastAsia" w:hAnsi="宋体" w:cs="微软雅黑"/>
          <w:bCs/>
          <w:szCs w:val="21"/>
        </w:rPr>
        <w:t>，同时提供复印件，并加盖投标人公章</w:t>
      </w:r>
      <w:r>
        <w:rPr>
          <w:rFonts w:hint="eastAsia" w:hAnsi="宋体" w:cs="微软雅黑"/>
          <w:bCs/>
          <w:szCs w:val="21"/>
          <w:lang w:eastAsia="zh-CN"/>
        </w:rPr>
        <w:t>。</w:t>
      </w:r>
    </w:p>
    <w:p w14:paraId="13D5F7F4">
      <w:pPr>
        <w:pStyle w:val="2"/>
        <w:spacing w:line="360" w:lineRule="auto"/>
        <w:ind w:firstLine="210" w:firstLineChars="100"/>
        <w:rPr>
          <w:rFonts w:hint="eastAsia" w:eastAsia="宋体"/>
          <w:szCs w:val="21"/>
          <w:lang w:eastAsia="zh-CN"/>
        </w:rPr>
      </w:pPr>
      <w:r>
        <w:rPr>
          <w:rFonts w:hint="eastAsia"/>
          <w:szCs w:val="21"/>
        </w:rPr>
        <w:t>（4）拟投标人应提供产品生产厂商授权及售后服务承诺函</w:t>
      </w:r>
      <w:r>
        <w:rPr>
          <w:rFonts w:hint="eastAsia"/>
          <w:szCs w:val="21"/>
          <w:lang w:eastAsia="zh-CN"/>
        </w:rPr>
        <w:t>。</w:t>
      </w:r>
    </w:p>
    <w:p w14:paraId="511A0C5B">
      <w:pPr>
        <w:pStyle w:val="2"/>
        <w:spacing w:line="360" w:lineRule="auto"/>
        <w:ind w:firstLine="210" w:firstLineChars="100"/>
        <w:rPr>
          <w:rFonts w:hint="eastAsia" w:eastAsia="宋体"/>
          <w:color w:val="auto"/>
          <w:szCs w:val="21"/>
          <w:lang w:eastAsia="zh-CN"/>
        </w:rPr>
      </w:pPr>
      <w:r>
        <w:rPr>
          <w:rFonts w:hint="eastAsia"/>
          <w:color w:val="auto"/>
          <w:szCs w:val="21"/>
        </w:rPr>
        <w:t>（5）</w:t>
      </w:r>
      <w:r>
        <w:rPr>
          <w:rFonts w:hint="eastAsia"/>
          <w:color w:val="000000" w:themeColor="text1"/>
          <w:szCs w:val="21"/>
          <w14:textFill>
            <w14:solidFill>
              <w14:schemeClr w14:val="tx1"/>
            </w14:solidFill>
          </w14:textFill>
        </w:rPr>
        <w:t>投标人应提供《法定代表人资格证明》、《法定代表人授权委托书》、加盖公章的法定代表人身份证复印件；如法定代表人参加投标，仅提供法定代表人身份证原件及复印件即可</w:t>
      </w:r>
      <w:r>
        <w:rPr>
          <w:rFonts w:hint="eastAsia"/>
          <w:color w:val="auto"/>
          <w:szCs w:val="21"/>
        </w:rPr>
        <w:t xml:space="preserve"> </w:t>
      </w:r>
      <w:r>
        <w:rPr>
          <w:rFonts w:hint="eastAsia"/>
          <w:color w:val="auto"/>
          <w:szCs w:val="21"/>
          <w:lang w:eastAsia="zh-CN"/>
        </w:rPr>
        <w:t>。</w:t>
      </w:r>
    </w:p>
    <w:p w14:paraId="0349E343">
      <w:pPr>
        <w:pStyle w:val="2"/>
        <w:spacing w:line="360" w:lineRule="auto"/>
        <w:ind w:firstLine="420" w:firstLineChars="200"/>
        <w:rPr>
          <w:rFonts w:hint="eastAsia" w:hAnsi="宋体" w:eastAsia="宋体"/>
          <w:color w:val="auto"/>
          <w:lang w:eastAsia="zh-CN"/>
        </w:rPr>
      </w:pPr>
      <w:r>
        <w:rPr>
          <w:rFonts w:hint="eastAsia" w:hAnsi="宋体"/>
          <w:color w:val="auto"/>
        </w:rPr>
        <w:t>（6）</w:t>
      </w:r>
      <w:r>
        <w:rPr>
          <w:rFonts w:hint="eastAsia" w:hAnsi="宋体"/>
          <w:lang w:val="en-US" w:eastAsia="zh-CN"/>
        </w:rPr>
        <w:t>投标人</w:t>
      </w:r>
      <w:r>
        <w:rPr>
          <w:rFonts w:hint="eastAsia" w:hAnsi="宋体"/>
        </w:rPr>
        <w:t>最近半年完税证明、信用证明材料（征信报告）</w:t>
      </w:r>
      <w:r>
        <w:rPr>
          <w:rFonts w:hint="eastAsia" w:hAnsi="宋体"/>
          <w:lang w:eastAsia="zh-CN"/>
        </w:rPr>
        <w:t>，</w:t>
      </w:r>
      <w:r>
        <w:rPr>
          <w:rFonts w:hint="eastAsia" w:hAnsi="宋体"/>
        </w:rPr>
        <w:t>年度纳税信用评价信息（可从电子税务局查询截图，需加盖公章）</w:t>
      </w:r>
      <w:r>
        <w:rPr>
          <w:rFonts w:hint="eastAsia" w:hAnsi="宋体"/>
          <w:lang w:eastAsia="zh-CN"/>
        </w:rPr>
        <w:t>，</w:t>
      </w:r>
      <w:r>
        <w:rPr>
          <w:rFonts w:hint="eastAsia" w:hAnsi="宋体"/>
          <w:lang w:val="en-US" w:eastAsia="zh-CN"/>
        </w:rPr>
        <w:t>投标人</w:t>
      </w:r>
      <w:r>
        <w:rPr>
          <w:rFonts w:hint="eastAsia" w:hAnsi="宋体"/>
        </w:rPr>
        <w:t>对外担保说明（写明贵单位对外有无对外担保和质押业务，需加盖公章）</w:t>
      </w:r>
      <w:r>
        <w:rPr>
          <w:rFonts w:hint="eastAsia" w:hAnsi="宋体"/>
          <w:lang w:eastAsia="zh-CN"/>
        </w:rPr>
        <w:t>。</w:t>
      </w:r>
    </w:p>
    <w:p w14:paraId="0C3DCE9A">
      <w:pPr>
        <w:pStyle w:val="2"/>
        <w:spacing w:line="360" w:lineRule="auto"/>
        <w:ind w:firstLine="210" w:firstLineChars="100"/>
        <w:rPr>
          <w:rFonts w:hint="eastAsia" w:hAnsi="宋体" w:eastAsia="宋体"/>
          <w:color w:val="auto"/>
          <w:lang w:eastAsia="zh-CN"/>
        </w:rPr>
      </w:pPr>
      <w:r>
        <w:rPr>
          <w:rFonts w:hint="eastAsia" w:hAnsi="宋体"/>
          <w:color w:val="auto"/>
        </w:rPr>
        <w:t>（7）投标人应具有相同或类似项目业绩，且投标人过去两年中不曾在任何合同中违约或任何原因而使合同被解除</w:t>
      </w:r>
      <w:r>
        <w:rPr>
          <w:rFonts w:hint="eastAsia" w:hAnsi="宋体"/>
          <w:color w:val="auto"/>
          <w:lang w:eastAsia="zh-CN"/>
        </w:rPr>
        <w:t>。</w:t>
      </w:r>
    </w:p>
    <w:p w14:paraId="48966CF4">
      <w:pPr>
        <w:pStyle w:val="2"/>
        <w:spacing w:line="360" w:lineRule="auto"/>
        <w:ind w:firstLine="210" w:firstLineChars="100"/>
        <w:rPr>
          <w:rFonts w:hint="eastAsia" w:hAnsi="宋体" w:eastAsia="宋体"/>
          <w:color w:val="auto"/>
          <w:lang w:eastAsia="zh-CN"/>
        </w:rPr>
      </w:pPr>
      <w:r>
        <w:rPr>
          <w:rFonts w:hint="eastAsia" w:hAnsi="宋体"/>
          <w:color w:val="auto"/>
        </w:rPr>
        <w:t>（8）</w:t>
      </w:r>
      <w:r>
        <w:rPr>
          <w:rFonts w:hint="eastAsia" w:hAnsi="宋体"/>
        </w:rPr>
        <w:t>投标人</w:t>
      </w:r>
      <w:r>
        <w:rPr>
          <w:rFonts w:hint="eastAsia" w:ascii="宋体" w:hAnsi="宋体" w:eastAsia="宋体" w:cs="宋体"/>
          <w:b w:val="0"/>
          <w:bCs w:val="0"/>
          <w:color w:val="000000"/>
          <w:kern w:val="0"/>
          <w:sz w:val="21"/>
          <w:szCs w:val="21"/>
          <w:lang w:val="en-US" w:eastAsia="zh-CN" w:bidi="ar"/>
        </w:rPr>
        <w:t>提供经会计师事务所审计且出具无保留意见的近三年的财务审计报告原件，并加盖公章，包括但不限于报告页、经审计的资产负债表、利润表、现金流量表及报表附注。</w:t>
      </w:r>
      <w:r>
        <w:rPr>
          <w:rFonts w:hint="eastAsia" w:ascii="宋体" w:hAnsi="宋体" w:eastAsia="宋体" w:cs="宋体"/>
          <w:b w:val="0"/>
          <w:bCs w:val="0"/>
          <w:i w:val="0"/>
          <w:iCs w:val="0"/>
          <w:caps w:val="0"/>
          <w:color w:val="000000"/>
          <w:spacing w:val="0"/>
          <w:sz w:val="21"/>
          <w:szCs w:val="21"/>
          <w:shd w:val="clear" w:color="auto" w:fill="FFFFFF"/>
        </w:rPr>
        <w:t>如投标人公司没有经审计的财务报告，可提供加盖公章的近三年财务报表，包括但不限于资产负债表、利润表、现金流量表。应提供中文版本的审计报告或财务报表。</w:t>
      </w:r>
    </w:p>
    <w:p w14:paraId="7751A954">
      <w:pPr>
        <w:pStyle w:val="2"/>
        <w:spacing w:line="360" w:lineRule="auto"/>
        <w:ind w:firstLine="415" w:firstLineChars="198"/>
        <w:rPr>
          <w:rFonts w:hint="eastAsia" w:hAnsi="Courier New"/>
          <w:color w:val="000000" w:themeColor="text1"/>
          <w:szCs w:val="21"/>
          <w14:textFill>
            <w14:solidFill>
              <w14:schemeClr w14:val="tx1"/>
            </w14:solidFill>
          </w14:textFill>
        </w:rPr>
      </w:pPr>
      <w:r>
        <w:rPr>
          <w:rFonts w:hint="eastAsia" w:ascii="宋体" w:hAnsi="宋体"/>
          <w:color w:val="auto"/>
        </w:rPr>
        <w:t>（9）</w:t>
      </w:r>
      <w:r>
        <w:rPr>
          <w:rFonts w:hint="eastAsia" w:ascii="宋体" w:hAnsi="Courier New"/>
          <w:color w:val="000000" w:themeColor="text1"/>
          <w:szCs w:val="21"/>
          <w:lang w:bidi="ar"/>
          <w14:textFill>
            <w14:solidFill>
              <w14:schemeClr w14:val="tx1"/>
            </w14:solidFill>
          </w14:textFill>
        </w:rPr>
        <w:t>有严格的服务质量管理制度和完备的业务操作规范；有健全的安全保障制度和措施</w:t>
      </w:r>
      <w:r>
        <w:rPr>
          <w:rFonts w:hint="eastAsia" w:ascii="宋体" w:hAnsi="Courier New"/>
          <w:color w:val="000000" w:themeColor="text1"/>
          <w:szCs w:val="21"/>
          <w:lang w:eastAsia="zh-CN" w:bidi="ar"/>
          <w14:textFill>
            <w14:solidFill>
              <w14:schemeClr w14:val="tx1"/>
            </w14:solidFill>
          </w14:textFill>
        </w:rPr>
        <w:t>。</w:t>
      </w:r>
      <w:r>
        <w:rPr>
          <w:rFonts w:hint="eastAsia" w:hAnsi="Courier New"/>
          <w:color w:val="000000" w:themeColor="text1"/>
          <w:szCs w:val="21"/>
          <w:lang w:bidi="ar"/>
          <w14:textFill>
            <w14:solidFill>
              <w14:schemeClr w14:val="tx1"/>
            </w14:solidFill>
          </w14:textFill>
        </w:rPr>
        <w:t>如存在两家及以上单位反馈拟投标人存在较严重合同履约问题的，经过招标人核实，</w:t>
      </w:r>
      <w:r>
        <w:rPr>
          <w:rFonts w:hint="eastAsia" w:hAnsi="Courier New"/>
          <w:color w:val="000000" w:themeColor="text1"/>
          <w:szCs w:val="21"/>
          <w14:textFill>
            <w14:solidFill>
              <w14:schemeClr w14:val="tx1"/>
            </w14:solidFill>
          </w14:textFill>
        </w:rPr>
        <w:t>将取消投标资格，同时该投标人2年不得参与招标人关于相关快递业务类的招投标项目。</w:t>
      </w:r>
    </w:p>
    <w:p w14:paraId="04A6FE93">
      <w:pPr>
        <w:pStyle w:val="2"/>
        <w:spacing w:line="360" w:lineRule="auto"/>
        <w:ind w:firstLine="415" w:firstLineChars="198"/>
        <w:rPr>
          <w:rFonts w:hint="eastAsia" w:ascii="宋体" w:hAnsi="Courier New" w:eastAsia="宋体" w:cstheme="minorBidi"/>
          <w:i w:val="0"/>
          <w:iCs w:val="0"/>
          <w:caps w:val="0"/>
          <w:color w:val="000000" w:themeColor="text1"/>
          <w:spacing w:val="0"/>
          <w:sz w:val="21"/>
          <w:szCs w:val="21"/>
          <w:shd w:val="clear"/>
          <w:lang w:eastAsia="zh-CN"/>
          <w14:textFill>
            <w14:solidFill>
              <w14:schemeClr w14:val="tx1"/>
            </w14:solidFill>
          </w14:textFill>
        </w:rPr>
      </w:pPr>
      <w:r>
        <w:rPr>
          <w:rFonts w:hint="eastAsia" w:cstheme="minorBidi"/>
          <w:i w:val="0"/>
          <w:iCs w:val="0"/>
          <w:caps w:val="0"/>
          <w:color w:val="000000" w:themeColor="text1"/>
          <w:spacing w:val="0"/>
          <w:sz w:val="21"/>
          <w:szCs w:val="21"/>
          <w:shd w:val="clear"/>
          <w:lang w:eastAsia="zh-CN"/>
          <w14:textFill>
            <w14:solidFill>
              <w14:schemeClr w14:val="tx1"/>
            </w14:solidFill>
          </w14:textFill>
        </w:rPr>
        <w:t>（</w:t>
      </w:r>
      <w:r>
        <w:rPr>
          <w:rFonts w:hint="eastAsia" w:cstheme="minorBidi"/>
          <w:i w:val="0"/>
          <w:iCs w:val="0"/>
          <w:caps w:val="0"/>
          <w:color w:val="000000" w:themeColor="text1"/>
          <w:spacing w:val="0"/>
          <w:sz w:val="21"/>
          <w:szCs w:val="21"/>
          <w:shd w:val="clear"/>
          <w:lang w:val="en-US" w:eastAsia="zh-CN"/>
          <w14:textFill>
            <w14:solidFill>
              <w14:schemeClr w14:val="tx1"/>
            </w14:solidFill>
          </w14:textFill>
        </w:rPr>
        <w:t>10</w:t>
      </w:r>
      <w:r>
        <w:rPr>
          <w:rFonts w:hint="eastAsia" w:cstheme="minorBidi"/>
          <w:i w:val="0"/>
          <w:iCs w:val="0"/>
          <w:caps w:val="0"/>
          <w:color w:val="000000" w:themeColor="text1"/>
          <w:spacing w:val="0"/>
          <w:sz w:val="21"/>
          <w:szCs w:val="21"/>
          <w:shd w:val="clear"/>
          <w:lang w:eastAsia="zh-CN"/>
          <w14:textFill>
            <w14:solidFill>
              <w14:schemeClr w14:val="tx1"/>
            </w14:solidFill>
          </w14:textFill>
        </w:rPr>
        <w:t>）</w:t>
      </w:r>
      <w:r>
        <w:rPr>
          <w:rFonts w:hint="eastAsia" w:ascii="宋体" w:hAnsi="Courier New" w:eastAsia="宋体" w:cstheme="minorBidi"/>
          <w:i w:val="0"/>
          <w:iCs w:val="0"/>
          <w:caps w:val="0"/>
          <w:color w:val="000000" w:themeColor="text1"/>
          <w:spacing w:val="0"/>
          <w:sz w:val="21"/>
          <w:szCs w:val="21"/>
          <w:shd w:val="clear"/>
          <w14:textFill>
            <w14:solidFill>
              <w14:schemeClr w14:val="tx1"/>
            </w14:solidFill>
          </w14:textFill>
        </w:rPr>
        <w:t>没有被招标方列入黑名单</w:t>
      </w:r>
      <w:r>
        <w:rPr>
          <w:rFonts w:hint="eastAsia" w:ascii="宋体" w:hAnsi="Courier New" w:cstheme="minorBidi"/>
          <w:i w:val="0"/>
          <w:iCs w:val="0"/>
          <w:caps w:val="0"/>
          <w:color w:val="000000" w:themeColor="text1"/>
          <w:spacing w:val="0"/>
          <w:sz w:val="21"/>
          <w:szCs w:val="21"/>
          <w:shd w:val="clear"/>
          <w:lang w:eastAsia="zh-CN"/>
          <w14:textFill>
            <w14:solidFill>
              <w14:schemeClr w14:val="tx1"/>
            </w14:solidFill>
          </w14:textFill>
        </w:rPr>
        <w:t>。</w:t>
      </w:r>
    </w:p>
    <w:p w14:paraId="3999A47A">
      <w:pPr>
        <w:pStyle w:val="2"/>
        <w:numPr>
          <w:ilvl w:val="-1"/>
          <w:numId w:val="0"/>
        </w:numPr>
        <w:spacing w:line="360" w:lineRule="auto"/>
        <w:ind w:left="0" w:firstLine="415" w:firstLineChars="198"/>
        <w:rPr>
          <w:rFonts w:hint="eastAsia" w:ascii="宋体" w:hAnsi="Courier New" w:eastAsia="宋体" w:cstheme="minorBidi"/>
          <w:i w:val="0"/>
          <w:iCs w:val="0"/>
          <w:caps w:val="0"/>
          <w:color w:val="000000" w:themeColor="text1"/>
          <w:spacing w:val="0"/>
          <w:sz w:val="21"/>
          <w:szCs w:val="21"/>
          <w:shd w:val="clear"/>
          <w14:textFill>
            <w14:solidFill>
              <w14:schemeClr w14:val="tx1"/>
            </w14:solidFill>
          </w14:textFill>
        </w:rPr>
      </w:pPr>
      <w:r>
        <w:rPr>
          <w:rFonts w:hint="eastAsia" w:cstheme="minorBidi"/>
          <w:i w:val="0"/>
          <w:iCs w:val="0"/>
          <w:caps w:val="0"/>
          <w:color w:val="000000" w:themeColor="text1"/>
          <w:spacing w:val="0"/>
          <w:sz w:val="21"/>
          <w:szCs w:val="21"/>
          <w:shd w:val="clear"/>
          <w:lang w:eastAsia="zh-CN"/>
          <w14:textFill>
            <w14:solidFill>
              <w14:schemeClr w14:val="tx1"/>
            </w14:solidFill>
          </w14:textFill>
        </w:rPr>
        <w:t>（</w:t>
      </w:r>
      <w:r>
        <w:rPr>
          <w:rFonts w:hint="eastAsia" w:cstheme="minorBidi"/>
          <w:i w:val="0"/>
          <w:iCs w:val="0"/>
          <w:caps w:val="0"/>
          <w:color w:val="000000" w:themeColor="text1"/>
          <w:spacing w:val="0"/>
          <w:sz w:val="21"/>
          <w:szCs w:val="21"/>
          <w:shd w:val="clear"/>
          <w:lang w:val="en-US" w:eastAsia="zh-CN"/>
          <w14:textFill>
            <w14:solidFill>
              <w14:schemeClr w14:val="tx1"/>
            </w14:solidFill>
          </w14:textFill>
        </w:rPr>
        <w:t>11</w:t>
      </w:r>
      <w:r>
        <w:rPr>
          <w:rFonts w:hint="eastAsia" w:cstheme="minorBidi"/>
          <w:i w:val="0"/>
          <w:iCs w:val="0"/>
          <w:caps w:val="0"/>
          <w:color w:val="000000" w:themeColor="text1"/>
          <w:spacing w:val="0"/>
          <w:sz w:val="21"/>
          <w:szCs w:val="21"/>
          <w:shd w:val="clear"/>
          <w:lang w:eastAsia="zh-CN"/>
          <w14:textFill>
            <w14:solidFill>
              <w14:schemeClr w14:val="tx1"/>
            </w14:solidFill>
          </w14:textFill>
        </w:rPr>
        <w:t>）</w:t>
      </w:r>
      <w:r>
        <w:rPr>
          <w:rFonts w:hint="eastAsia" w:ascii="宋体" w:hAnsi="Courier New" w:eastAsia="宋体" w:cstheme="minorBidi"/>
          <w:i w:val="0"/>
          <w:iCs w:val="0"/>
          <w:caps w:val="0"/>
          <w:color w:val="000000" w:themeColor="text1"/>
          <w:spacing w:val="0"/>
          <w:sz w:val="21"/>
          <w:szCs w:val="21"/>
          <w:shd w:val="clear"/>
          <w14:textFill>
            <w14:solidFill>
              <w14:schemeClr w14:val="tx1"/>
            </w14:solidFill>
          </w14:textFill>
        </w:rPr>
        <w:t>拟投标人的直接或间接股东、法定代表人、董事、监事、高管非重汽员工及其亲属。</w:t>
      </w:r>
    </w:p>
    <w:p w14:paraId="4D228561">
      <w:pPr>
        <w:pStyle w:val="2"/>
        <w:numPr>
          <w:ilvl w:val="-1"/>
          <w:numId w:val="0"/>
        </w:numPr>
        <w:spacing w:line="360" w:lineRule="auto"/>
        <w:ind w:left="0" w:firstLine="415" w:firstLineChars="198"/>
        <w:rPr>
          <w:rFonts w:hint="eastAsia" w:hAnsi="Courier New"/>
          <w:color w:val="000000" w:themeColor="text1"/>
          <w:szCs w:val="21"/>
          <w14:textFill>
            <w14:solidFill>
              <w14:schemeClr w14:val="tx1"/>
            </w14:solidFill>
          </w14:textFill>
        </w:rPr>
      </w:pPr>
      <w:r>
        <w:rPr>
          <w:rFonts w:hint="eastAsia" w:cstheme="minorBidi"/>
          <w:i w:val="0"/>
          <w:iCs w:val="0"/>
          <w:caps w:val="0"/>
          <w:color w:val="000000" w:themeColor="text1"/>
          <w:spacing w:val="0"/>
          <w:sz w:val="21"/>
          <w:szCs w:val="21"/>
          <w:shd w:val="clear"/>
          <w:lang w:eastAsia="zh-CN"/>
          <w14:textFill>
            <w14:solidFill>
              <w14:schemeClr w14:val="tx1"/>
            </w14:solidFill>
          </w14:textFill>
        </w:rPr>
        <w:t>（</w:t>
      </w:r>
      <w:r>
        <w:rPr>
          <w:rFonts w:hint="eastAsia" w:cstheme="minorBidi"/>
          <w:i w:val="0"/>
          <w:iCs w:val="0"/>
          <w:caps w:val="0"/>
          <w:color w:val="000000" w:themeColor="text1"/>
          <w:spacing w:val="0"/>
          <w:sz w:val="21"/>
          <w:szCs w:val="21"/>
          <w:shd w:val="clear"/>
          <w:lang w:val="en-US" w:eastAsia="zh-CN"/>
          <w14:textFill>
            <w14:solidFill>
              <w14:schemeClr w14:val="tx1"/>
            </w14:solidFill>
          </w14:textFill>
        </w:rPr>
        <w:t>12</w:t>
      </w:r>
      <w:r>
        <w:rPr>
          <w:rFonts w:hint="eastAsia" w:cstheme="minorBidi"/>
          <w:i w:val="0"/>
          <w:iCs w:val="0"/>
          <w:caps w:val="0"/>
          <w:color w:val="000000" w:themeColor="text1"/>
          <w:spacing w:val="0"/>
          <w:sz w:val="21"/>
          <w:szCs w:val="21"/>
          <w:shd w:val="clear"/>
          <w:lang w:eastAsia="zh-CN"/>
          <w14:textFill>
            <w14:solidFill>
              <w14:schemeClr w14:val="tx1"/>
            </w14:solidFill>
          </w14:textFill>
        </w:rPr>
        <w:t>）</w:t>
      </w:r>
      <w:r>
        <w:rPr>
          <w:rFonts w:hint="eastAsia" w:ascii="宋体" w:hAnsi="Courier New" w:eastAsia="宋体" w:cstheme="minorBidi"/>
          <w:i w:val="0"/>
          <w:iCs w:val="0"/>
          <w:caps w:val="0"/>
          <w:color w:val="000000" w:themeColor="text1"/>
          <w:spacing w:val="0"/>
          <w:sz w:val="21"/>
          <w:szCs w:val="21"/>
          <w:shd w:val="clear"/>
          <w14:textFill>
            <w14:solidFill>
              <w14:schemeClr w14:val="tx1"/>
            </w14:solidFill>
          </w14:textFill>
        </w:rPr>
        <w:t>拟投标人遵守执业准则和执业规范，近三年内没有与本项目有关的违法、违规或行业自律惩戒记录，需提供信用中国网站出具的信用报告。</w:t>
      </w:r>
    </w:p>
    <w:p w14:paraId="15B850CB">
      <w:pPr>
        <w:pStyle w:val="2"/>
        <w:numPr>
          <w:ilvl w:val="-1"/>
          <w:numId w:val="0"/>
        </w:numPr>
        <w:spacing w:line="360" w:lineRule="auto"/>
        <w:ind w:left="0" w:firstLine="415" w:firstLineChars="198"/>
        <w:rPr>
          <w:rFonts w:hint="eastAsia" w:ascii="宋体" w:hAnsi="Courier New" w:eastAsia="宋体" w:cstheme="minorBidi"/>
          <w:i w:val="0"/>
          <w:iCs w:val="0"/>
          <w:caps w:val="0"/>
          <w:color w:val="000000" w:themeColor="text1"/>
          <w:spacing w:val="0"/>
          <w:sz w:val="21"/>
          <w:szCs w:val="21"/>
          <w:shd w:val="clear"/>
          <w14:textFill>
            <w14:solidFill>
              <w14:schemeClr w14:val="tx1"/>
            </w14:solidFill>
          </w14:textFill>
        </w:rPr>
      </w:pPr>
      <w:r>
        <w:rPr>
          <w:rFonts w:hint="eastAsia" w:cstheme="minorBidi"/>
          <w:i w:val="0"/>
          <w:iCs w:val="0"/>
          <w:caps w:val="0"/>
          <w:color w:val="000000" w:themeColor="text1"/>
          <w:spacing w:val="0"/>
          <w:sz w:val="21"/>
          <w:szCs w:val="21"/>
          <w:shd w:val="clear"/>
          <w:lang w:eastAsia="zh-CN"/>
          <w14:textFill>
            <w14:solidFill>
              <w14:schemeClr w14:val="tx1"/>
            </w14:solidFill>
          </w14:textFill>
        </w:rPr>
        <w:t>（</w:t>
      </w:r>
      <w:r>
        <w:rPr>
          <w:rFonts w:hint="eastAsia" w:cstheme="minorBidi"/>
          <w:i w:val="0"/>
          <w:iCs w:val="0"/>
          <w:caps w:val="0"/>
          <w:color w:val="000000" w:themeColor="text1"/>
          <w:spacing w:val="0"/>
          <w:sz w:val="21"/>
          <w:szCs w:val="21"/>
          <w:shd w:val="clear"/>
          <w:lang w:val="en-US" w:eastAsia="zh-CN"/>
          <w14:textFill>
            <w14:solidFill>
              <w14:schemeClr w14:val="tx1"/>
            </w14:solidFill>
          </w14:textFill>
        </w:rPr>
        <w:t>13</w:t>
      </w:r>
      <w:r>
        <w:rPr>
          <w:rFonts w:hint="eastAsia" w:cstheme="minorBidi"/>
          <w:i w:val="0"/>
          <w:iCs w:val="0"/>
          <w:caps w:val="0"/>
          <w:color w:val="000000" w:themeColor="text1"/>
          <w:spacing w:val="0"/>
          <w:sz w:val="21"/>
          <w:szCs w:val="21"/>
          <w:shd w:val="clear"/>
          <w:lang w:eastAsia="zh-CN"/>
          <w14:textFill>
            <w14:solidFill>
              <w14:schemeClr w14:val="tx1"/>
            </w14:solidFill>
          </w14:textFill>
        </w:rPr>
        <w:t>）</w:t>
      </w:r>
      <w:r>
        <w:rPr>
          <w:rFonts w:hint="eastAsia" w:ascii="宋体" w:hAnsi="Courier New" w:eastAsia="宋体" w:cstheme="minorBidi"/>
          <w:i w:val="0"/>
          <w:iCs w:val="0"/>
          <w:caps w:val="0"/>
          <w:color w:val="000000" w:themeColor="text1"/>
          <w:spacing w:val="0"/>
          <w:sz w:val="21"/>
          <w:szCs w:val="21"/>
          <w:shd w:val="clear"/>
          <w14:textFill>
            <w14:solidFill>
              <w14:schemeClr w14:val="tx1"/>
            </w14:solidFill>
          </w14:textFill>
        </w:rPr>
        <w:t>投标方必须是最终投保、签订合同的单位，不得以任何理由将已中标项目以任何形式分包或转包给其他单位。</w:t>
      </w:r>
    </w:p>
    <w:p w14:paraId="3D883B1A">
      <w:pPr>
        <w:spacing w:line="360" w:lineRule="auto"/>
        <w:ind w:firstLine="420" w:firstLineChars="200"/>
        <w:jc w:val="left"/>
        <w:rPr>
          <w:rFonts w:hint="eastAsia" w:hAnsi="宋体"/>
          <w:color w:val="auto"/>
        </w:rPr>
      </w:pPr>
      <w:r>
        <w:rPr>
          <w:rFonts w:hint="eastAsia" w:ascii="宋体" w:hAnsi="Courier New" w:eastAsia="宋体" w:cstheme="minorBidi"/>
          <w:color w:val="000000" w:themeColor="text1"/>
          <w:sz w:val="21"/>
          <w:szCs w:val="21"/>
          <w:lang w:eastAsia="zh-CN"/>
          <w14:textFill>
            <w14:solidFill>
              <w14:schemeClr w14:val="tx1"/>
            </w14:solidFill>
          </w14:textFill>
        </w:rPr>
        <w:t>（</w:t>
      </w:r>
      <w:r>
        <w:rPr>
          <w:rFonts w:hint="eastAsia" w:ascii="宋体" w:hAnsi="Courier New" w:eastAsia="宋体" w:cstheme="minorBidi"/>
          <w:color w:val="000000" w:themeColor="text1"/>
          <w:sz w:val="21"/>
          <w:szCs w:val="21"/>
          <w:lang w:val="en-US" w:eastAsia="zh-CN"/>
          <w14:textFill>
            <w14:solidFill>
              <w14:schemeClr w14:val="tx1"/>
            </w14:solidFill>
          </w14:textFill>
        </w:rPr>
        <w:t>14</w:t>
      </w:r>
      <w:r>
        <w:rPr>
          <w:rFonts w:hint="eastAsia" w:ascii="宋体" w:hAnsi="Courier New" w:eastAsia="宋体" w:cstheme="minorBidi"/>
          <w:color w:val="000000" w:themeColor="text1"/>
          <w:sz w:val="21"/>
          <w:szCs w:val="21"/>
          <w:lang w:eastAsia="zh-CN"/>
          <w14:textFill>
            <w14:solidFill>
              <w14:schemeClr w14:val="tx1"/>
            </w14:solidFill>
          </w14:textFill>
        </w:rPr>
        <w:t>）</w:t>
      </w:r>
      <w:r>
        <w:rPr>
          <w:rFonts w:hint="eastAsia" w:ascii="宋体" w:hAnsi="Courier New" w:eastAsia="宋体" w:cstheme="minorBidi"/>
          <w:color w:val="000000" w:themeColor="text1"/>
          <w:sz w:val="21"/>
          <w:szCs w:val="21"/>
          <w14:textFill>
            <w14:solidFill>
              <w14:schemeClr w14:val="tx1"/>
            </w14:solidFill>
          </w14:textFill>
        </w:rPr>
        <w:t>法律法规规定的其他情形。</w:t>
      </w:r>
    </w:p>
    <w:p w14:paraId="5821CC5F">
      <w:pPr>
        <w:pStyle w:val="2"/>
        <w:spacing w:line="360" w:lineRule="auto"/>
        <w:ind w:left="631" w:leftChars="200" w:hanging="211" w:hangingChars="100"/>
        <w:rPr>
          <w:rFonts w:hint="eastAsia"/>
          <w:b/>
          <w:color w:val="auto"/>
        </w:rPr>
      </w:pPr>
      <w:r>
        <w:rPr>
          <w:rFonts w:hint="eastAsia"/>
          <w:b/>
          <w:color w:val="auto"/>
          <w:lang w:val="en-US" w:eastAsia="zh-CN"/>
        </w:rPr>
        <w:t>4</w:t>
      </w:r>
      <w:r>
        <w:rPr>
          <w:rFonts w:hint="eastAsia"/>
          <w:b/>
          <w:color w:val="auto"/>
        </w:rPr>
        <w:t>、报价</w:t>
      </w:r>
    </w:p>
    <w:p w14:paraId="1062EDCF">
      <w:pPr>
        <w:pStyle w:val="2"/>
        <w:spacing w:line="360" w:lineRule="auto"/>
        <w:ind w:firstLine="315" w:firstLineChars="150"/>
      </w:pPr>
      <w:r>
        <w:rPr>
          <w:rFonts w:hint="eastAsia"/>
        </w:rPr>
        <w:t>（</w:t>
      </w:r>
      <w:r>
        <w:t>1</w:t>
      </w:r>
      <w:r>
        <w:rPr>
          <w:rFonts w:hint="eastAsia"/>
        </w:rPr>
        <w:t>）所有产品的报价货币单位为：元（</w:t>
      </w:r>
      <w:r>
        <w:rPr>
          <w:rFonts w:hint="eastAsia" w:hAnsi="宋体" w:cs="宋体"/>
          <w:color w:val="000000"/>
          <w:kern w:val="0"/>
          <w:szCs w:val="21"/>
          <w:lang w:bidi="ar"/>
        </w:rPr>
        <w:t>报价包含不含税金额、税率及价税合计金额</w:t>
      </w:r>
      <w:r>
        <w:rPr>
          <w:rFonts w:hint="eastAsia"/>
        </w:rPr>
        <w:t>）</w:t>
      </w:r>
    </w:p>
    <w:p w14:paraId="06BBEDF7">
      <w:pPr>
        <w:spacing w:line="360" w:lineRule="auto"/>
        <w:rPr>
          <w:rFonts w:hint="eastAsia" w:ascii="宋体" w:hAnsi="Courier New"/>
        </w:rPr>
      </w:pPr>
      <w:r>
        <w:rPr>
          <w:rFonts w:hint="default"/>
        </w:rPr>
        <w:t>，</w:t>
      </w:r>
      <w:r>
        <w:rPr>
          <w:rFonts w:hint="eastAsia"/>
        </w:rPr>
        <w:t>投标报价包含了本项目所涉及的货物、运输、验收、安装、保险、售后服务、税款、质检、行政许可证及相关证书等费用。</w:t>
      </w:r>
    </w:p>
    <w:p w14:paraId="7FB93386">
      <w:pPr>
        <w:pStyle w:val="2"/>
        <w:spacing w:line="360" w:lineRule="auto"/>
        <w:ind w:firstLine="420" w:firstLineChars="200"/>
        <w:rPr>
          <w:rFonts w:hint="eastAsia"/>
        </w:rPr>
      </w:pPr>
      <w:r>
        <w:rPr>
          <w:rFonts w:hint="eastAsia"/>
        </w:rPr>
        <w:t>（2）招标人不接受可选择的投标方案，任何有选择的或可调整的投标方案将被视为实质性偏离，其投标文件无效。</w:t>
      </w:r>
    </w:p>
    <w:p w14:paraId="7C6A83DC">
      <w:pPr>
        <w:tabs>
          <w:tab w:val="left" w:pos="315"/>
          <w:tab w:val="left" w:pos="567"/>
        </w:tabs>
        <w:adjustRightInd w:val="0"/>
        <w:snapToGrid w:val="0"/>
        <w:spacing w:line="360" w:lineRule="auto"/>
        <w:ind w:firstLine="420" w:firstLineChars="200"/>
        <w:rPr>
          <w:rFonts w:hint="eastAsia" w:ascii="宋体" w:hAnsi="Courier New"/>
        </w:rPr>
      </w:pPr>
      <w:r>
        <w:rPr>
          <w:rFonts w:hint="eastAsia" w:ascii="宋体" w:hAnsi="Courier New"/>
        </w:rPr>
        <w:t>（3）评标委员会认为投标人的报价明显低于其他通过符合性审查投标人的报价，有可能影响服务质量或者不能诚信履约的，应当要求其在评标现场合理的时间内提供书面说明，必要时提交相关证明材料；投标人不能证明其报价合理性的，评标委员会应当将其作为无效投标处理。</w:t>
      </w:r>
    </w:p>
    <w:p w14:paraId="4ECDE4FD">
      <w:pPr>
        <w:pStyle w:val="2"/>
        <w:spacing w:line="360" w:lineRule="auto"/>
        <w:ind w:firstLine="420" w:firstLineChars="200"/>
        <w:rPr>
          <w:rFonts w:hint="eastAsia"/>
          <w:b/>
          <w:color w:val="auto"/>
        </w:rPr>
      </w:pPr>
      <w:r>
        <w:rPr>
          <w:rFonts w:hint="eastAsia"/>
        </w:rPr>
        <w:t>（4）拟投标人要按投标货物价格表(统一格式) 的内容填写产品单价及其他事项，并由法人代表或授权代表签署。</w:t>
      </w:r>
    </w:p>
    <w:p w14:paraId="1E4AC674">
      <w:pPr>
        <w:pStyle w:val="2"/>
        <w:spacing w:line="360" w:lineRule="auto"/>
        <w:ind w:left="631" w:leftChars="200" w:hanging="211" w:hangingChars="100"/>
        <w:rPr>
          <w:rFonts w:hint="eastAsia"/>
          <w:b/>
          <w:color w:val="auto"/>
        </w:rPr>
      </w:pPr>
      <w:r>
        <w:rPr>
          <w:rFonts w:hint="eastAsia"/>
          <w:b/>
          <w:color w:val="auto"/>
          <w:lang w:val="en-US" w:eastAsia="zh-CN"/>
        </w:rPr>
        <w:t>5</w:t>
      </w:r>
      <w:r>
        <w:rPr>
          <w:rFonts w:hint="eastAsia"/>
          <w:b/>
          <w:color w:val="auto"/>
        </w:rPr>
        <w:t>、投标费用</w:t>
      </w:r>
    </w:p>
    <w:p w14:paraId="561AD6AA">
      <w:pPr>
        <w:tabs>
          <w:tab w:val="left" w:pos="315"/>
          <w:tab w:val="left" w:pos="567"/>
        </w:tabs>
        <w:adjustRightInd w:val="0"/>
        <w:snapToGrid w:val="0"/>
        <w:spacing w:line="360" w:lineRule="auto"/>
        <w:ind w:firstLine="630" w:firstLineChars="300"/>
        <w:rPr>
          <w:rFonts w:hint="eastAsia" w:ascii="宋体" w:hAnsi="宋体" w:cs="微软雅黑"/>
          <w:bCs/>
          <w:color w:val="auto"/>
          <w:szCs w:val="21"/>
        </w:rPr>
      </w:pPr>
      <w:r>
        <w:rPr>
          <w:rFonts w:hint="eastAsia" w:ascii="宋体" w:hAnsi="宋体" w:cs="微软雅黑"/>
          <w:bCs/>
          <w:color w:val="auto"/>
          <w:szCs w:val="21"/>
        </w:rPr>
        <w:t>（1）投标人自行承担参加投标有关的全部费用（含前期准备费用）。</w:t>
      </w:r>
    </w:p>
    <w:p w14:paraId="26912E98">
      <w:pPr>
        <w:tabs>
          <w:tab w:val="left" w:pos="315"/>
          <w:tab w:val="left" w:pos="567"/>
        </w:tabs>
        <w:adjustRightInd w:val="0"/>
        <w:snapToGrid w:val="0"/>
        <w:spacing w:line="360" w:lineRule="auto"/>
        <w:ind w:firstLine="630" w:firstLineChars="300"/>
        <w:rPr>
          <w:rFonts w:hint="eastAsia" w:ascii="宋体" w:hAnsi="宋体" w:cs="微软雅黑"/>
          <w:bCs/>
          <w:color w:val="auto"/>
          <w:szCs w:val="21"/>
        </w:rPr>
      </w:pPr>
      <w:r>
        <w:rPr>
          <w:rFonts w:hint="eastAsia" w:ascii="宋体" w:hAnsi="宋体" w:cs="微软雅黑"/>
          <w:bCs/>
          <w:color w:val="auto"/>
          <w:szCs w:val="21"/>
        </w:rPr>
        <w:t>（2）招标人免费提供招标文件，且不收取中标服务费。</w:t>
      </w:r>
    </w:p>
    <w:p w14:paraId="5785E2DA">
      <w:pPr>
        <w:pStyle w:val="2"/>
        <w:spacing w:line="360" w:lineRule="auto"/>
        <w:ind w:firstLine="422" w:firstLineChars="200"/>
        <w:rPr>
          <w:rFonts w:hint="eastAsia"/>
          <w:b/>
          <w:color w:val="auto"/>
        </w:rPr>
      </w:pPr>
      <w:r>
        <w:rPr>
          <w:rFonts w:hint="eastAsia"/>
          <w:b/>
          <w:color w:val="auto"/>
          <w:lang w:val="en-US" w:eastAsia="zh-CN"/>
        </w:rPr>
        <w:t>6</w:t>
      </w:r>
      <w:r>
        <w:rPr>
          <w:rFonts w:hint="eastAsia"/>
          <w:b/>
          <w:color w:val="auto"/>
        </w:rPr>
        <w:t>、投标文件资料</w:t>
      </w:r>
    </w:p>
    <w:p w14:paraId="2BDD104F">
      <w:pPr>
        <w:pStyle w:val="2"/>
        <w:spacing w:line="360" w:lineRule="auto"/>
        <w:ind w:firstLine="420" w:firstLineChars="200"/>
        <w:rPr>
          <w:rFonts w:hint="eastAsia"/>
          <w:color w:val="auto"/>
        </w:rPr>
      </w:pPr>
      <w:r>
        <w:rPr>
          <w:rFonts w:hint="eastAsia"/>
          <w:color w:val="auto"/>
        </w:rPr>
        <w:t>（1）投标人所投标项目详细技术资料清单，在标书中列示说明；</w:t>
      </w:r>
    </w:p>
    <w:p w14:paraId="5B22558E">
      <w:pPr>
        <w:pStyle w:val="2"/>
        <w:spacing w:line="360" w:lineRule="auto"/>
        <w:ind w:firstLine="420" w:firstLineChars="200"/>
        <w:rPr>
          <w:rFonts w:hint="eastAsia"/>
          <w:color w:val="auto"/>
        </w:rPr>
      </w:pPr>
      <w:r>
        <w:rPr>
          <w:rFonts w:hint="eastAsia"/>
          <w:color w:val="auto"/>
        </w:rPr>
        <w:t>（2）投标人完整的技术支持与售后服务实施方案，在标书中列示说明，包含但不限于以下内容：</w:t>
      </w:r>
    </w:p>
    <w:p w14:paraId="6A7DD918">
      <w:pPr>
        <w:pStyle w:val="2"/>
        <w:spacing w:line="360" w:lineRule="auto"/>
        <w:ind w:firstLine="630" w:firstLineChars="300"/>
        <w:rPr>
          <w:rFonts w:hint="eastAsia"/>
          <w:color w:val="auto"/>
        </w:rPr>
      </w:pPr>
      <w:r>
        <w:rPr>
          <w:rFonts w:hint="eastAsia"/>
          <w:color w:val="auto"/>
        </w:rPr>
        <w:t>A、售后服务机构或网点（名称、地址、联系人、电话）</w:t>
      </w:r>
    </w:p>
    <w:p w14:paraId="3D743A6F">
      <w:pPr>
        <w:pStyle w:val="2"/>
        <w:spacing w:line="360" w:lineRule="auto"/>
        <w:ind w:firstLine="630" w:firstLineChars="300"/>
        <w:rPr>
          <w:rFonts w:hint="eastAsia"/>
          <w:color w:val="auto"/>
        </w:rPr>
      </w:pPr>
      <w:r>
        <w:rPr>
          <w:rFonts w:hint="eastAsia"/>
          <w:color w:val="auto"/>
        </w:rPr>
        <w:t>B、针对本项目的技术服务团队情况（人员数量、姓名、电话、专业资质等）</w:t>
      </w:r>
    </w:p>
    <w:p w14:paraId="6F62EA55">
      <w:pPr>
        <w:pStyle w:val="2"/>
        <w:spacing w:line="360" w:lineRule="auto"/>
        <w:ind w:firstLine="420" w:firstLineChars="200"/>
        <w:rPr>
          <w:rFonts w:hint="eastAsia"/>
          <w:color w:val="auto"/>
        </w:rPr>
      </w:pPr>
      <w:r>
        <w:rPr>
          <w:rFonts w:hint="eastAsia"/>
          <w:color w:val="auto"/>
        </w:rPr>
        <w:t>（3）投标人关于</w:t>
      </w:r>
      <w:r>
        <w:rPr>
          <w:rFonts w:hint="eastAsia" w:hAnsi="宋体"/>
          <w:color w:val="auto"/>
        </w:rPr>
        <w:t>包装、运输、检验、交付</w:t>
      </w:r>
      <w:r>
        <w:rPr>
          <w:rFonts w:hint="eastAsia"/>
          <w:color w:val="auto"/>
        </w:rPr>
        <w:t>等方案，均需在标书中列示说明；</w:t>
      </w:r>
    </w:p>
    <w:p w14:paraId="0FA1E8D9">
      <w:pPr>
        <w:pStyle w:val="2"/>
        <w:spacing w:line="360" w:lineRule="auto"/>
        <w:ind w:firstLine="413" w:firstLineChars="196"/>
        <w:rPr>
          <w:rFonts w:hint="eastAsia" w:hAnsi="宋体"/>
          <w:color w:val="auto"/>
        </w:rPr>
      </w:pPr>
      <w:r>
        <w:rPr>
          <w:rFonts w:hint="eastAsia"/>
          <w:b/>
          <w:color w:val="auto"/>
          <w:lang w:val="en-US" w:eastAsia="zh-CN"/>
        </w:rPr>
        <w:t>7</w:t>
      </w:r>
      <w:r>
        <w:rPr>
          <w:rFonts w:hint="eastAsia"/>
          <w:b/>
          <w:color w:val="auto"/>
        </w:rPr>
        <w:t>、</w:t>
      </w:r>
      <w:r>
        <w:rPr>
          <w:rFonts w:hint="eastAsia" w:hAnsi="宋体"/>
          <w:color w:val="auto"/>
        </w:rPr>
        <w:t>包装、运输、检验、交付</w:t>
      </w:r>
      <w:r>
        <w:rPr>
          <w:rFonts w:hint="eastAsia"/>
          <w:color w:val="auto"/>
        </w:rPr>
        <w:t>、</w:t>
      </w:r>
      <w:r>
        <w:rPr>
          <w:rFonts w:hint="eastAsia" w:hAnsi="宋体"/>
          <w:color w:val="auto"/>
        </w:rPr>
        <w:t>结算、质保及售后服务等，以</w:t>
      </w:r>
      <w:r>
        <w:rPr>
          <w:rFonts w:hint="eastAsia"/>
          <w:color w:val="auto"/>
        </w:rPr>
        <w:t>最终</w:t>
      </w:r>
      <w:r>
        <w:rPr>
          <w:rFonts w:hint="eastAsia" w:hAnsi="宋体"/>
          <w:color w:val="auto"/>
        </w:rPr>
        <w:t>合同约定为准。</w:t>
      </w:r>
    </w:p>
    <w:p w14:paraId="22D48DBA">
      <w:pPr>
        <w:pStyle w:val="2"/>
        <w:spacing w:line="360" w:lineRule="auto"/>
        <w:ind w:firstLine="422" w:firstLineChars="200"/>
        <w:rPr>
          <w:rFonts w:hint="eastAsia"/>
          <w:color w:val="auto"/>
        </w:rPr>
      </w:pPr>
      <w:r>
        <w:rPr>
          <w:rFonts w:hint="eastAsia"/>
          <w:b/>
          <w:color w:val="auto"/>
          <w:lang w:val="en-US" w:eastAsia="zh-CN"/>
        </w:rPr>
        <w:t>8</w:t>
      </w:r>
      <w:r>
        <w:rPr>
          <w:rFonts w:hint="eastAsia"/>
          <w:b/>
          <w:color w:val="auto"/>
        </w:rPr>
        <w:t>、</w:t>
      </w:r>
      <w:r>
        <w:rPr>
          <w:rFonts w:hint="eastAsia"/>
          <w:color w:val="auto"/>
        </w:rPr>
        <w:t>投标人要求买方提供何种配合，需在标书中说明；</w:t>
      </w:r>
    </w:p>
    <w:p w14:paraId="4A4310C7">
      <w:pPr>
        <w:pStyle w:val="2"/>
        <w:spacing w:line="360" w:lineRule="auto"/>
        <w:ind w:firstLine="413" w:firstLineChars="196"/>
        <w:rPr>
          <w:rFonts w:hint="eastAsia"/>
          <w:color w:val="auto"/>
        </w:rPr>
      </w:pPr>
      <w:r>
        <w:rPr>
          <w:rFonts w:hint="eastAsia"/>
          <w:b/>
          <w:color w:val="auto"/>
          <w:lang w:val="en-US" w:eastAsia="zh-CN"/>
        </w:rPr>
        <w:t>9</w:t>
      </w:r>
      <w:r>
        <w:rPr>
          <w:rFonts w:hint="eastAsia"/>
          <w:b/>
          <w:color w:val="auto"/>
        </w:rPr>
        <w:t>、</w:t>
      </w:r>
      <w:r>
        <w:rPr>
          <w:rFonts w:hint="eastAsia"/>
          <w:color w:val="auto"/>
        </w:rPr>
        <w:t>凡对本次招标提出的询问，均以招标方的书面答复为准。</w:t>
      </w:r>
    </w:p>
    <w:p w14:paraId="79C4B1A3">
      <w:pPr>
        <w:pStyle w:val="2"/>
        <w:spacing w:line="360" w:lineRule="auto"/>
        <w:rPr>
          <w:rFonts w:hint="eastAsia" w:ascii="黑体" w:eastAsia="黑体"/>
          <w:b/>
          <w:bCs/>
          <w:color w:val="auto"/>
          <w:sz w:val="28"/>
        </w:rPr>
      </w:pPr>
      <w:r>
        <w:rPr>
          <w:rFonts w:hint="eastAsia" w:ascii="黑体" w:eastAsia="黑体"/>
          <w:b/>
          <w:bCs/>
          <w:color w:val="auto"/>
          <w:sz w:val="28"/>
          <w:lang w:val="en-US" w:eastAsia="zh-CN"/>
        </w:rPr>
        <w:t>五</w:t>
      </w:r>
      <w:r>
        <w:rPr>
          <w:rFonts w:hint="eastAsia" w:ascii="黑体" w:eastAsia="黑体"/>
          <w:b/>
          <w:bCs/>
          <w:color w:val="auto"/>
          <w:sz w:val="28"/>
        </w:rPr>
        <w:t>、议程安排</w:t>
      </w:r>
    </w:p>
    <w:p w14:paraId="235B97DF">
      <w:pPr>
        <w:pStyle w:val="2"/>
        <w:spacing w:line="360" w:lineRule="auto"/>
        <w:ind w:firstLine="420" w:firstLineChars="200"/>
        <w:rPr>
          <w:rFonts w:hint="eastAsia" w:hAnsi="宋体"/>
          <w:bCs/>
          <w:szCs w:val="21"/>
        </w:rPr>
      </w:pPr>
      <w:r>
        <w:rPr>
          <w:rFonts w:hAnsi="宋体"/>
          <w:bCs/>
          <w:szCs w:val="21"/>
        </w:rPr>
        <w:t>1</w:t>
      </w:r>
      <w:r>
        <w:rPr>
          <w:rFonts w:hint="eastAsia" w:hAnsi="宋体"/>
          <w:bCs/>
          <w:szCs w:val="21"/>
        </w:rPr>
        <w:t>、发标时间： 202</w:t>
      </w:r>
      <w:r>
        <w:rPr>
          <w:rFonts w:hint="eastAsia" w:hAnsi="宋体"/>
          <w:bCs/>
          <w:szCs w:val="21"/>
          <w:lang w:val="en-US" w:eastAsia="zh-CN"/>
        </w:rPr>
        <w:t>6</w:t>
      </w:r>
      <w:r>
        <w:rPr>
          <w:rFonts w:hint="eastAsia" w:hAnsi="宋体"/>
          <w:bCs/>
          <w:szCs w:val="21"/>
        </w:rPr>
        <w:t>年</w:t>
      </w:r>
      <w:r>
        <w:rPr>
          <w:rFonts w:hint="eastAsia" w:hAnsi="宋体"/>
          <w:bCs/>
          <w:szCs w:val="21"/>
          <w:lang w:val="en-US" w:eastAsia="zh-CN"/>
        </w:rPr>
        <w:t>3</w:t>
      </w:r>
      <w:r>
        <w:rPr>
          <w:rFonts w:hint="eastAsia" w:hAnsi="宋体"/>
          <w:bCs/>
          <w:szCs w:val="21"/>
        </w:rPr>
        <w:t>月</w:t>
      </w:r>
      <w:r>
        <w:rPr>
          <w:rFonts w:hint="eastAsia" w:hAnsi="宋体"/>
          <w:bCs/>
          <w:szCs w:val="21"/>
          <w:lang w:val="en-US" w:eastAsia="zh-CN"/>
        </w:rPr>
        <w:t>10</w:t>
      </w:r>
      <w:r>
        <w:rPr>
          <w:rFonts w:hint="eastAsia" w:hAnsi="宋体"/>
          <w:bCs/>
          <w:szCs w:val="21"/>
        </w:rPr>
        <w:t>日</w:t>
      </w:r>
    </w:p>
    <w:p w14:paraId="6A289290">
      <w:pPr>
        <w:pStyle w:val="2"/>
        <w:spacing w:line="360" w:lineRule="auto"/>
        <w:ind w:firstLine="420" w:firstLineChars="200"/>
        <w:rPr>
          <w:rFonts w:hint="eastAsia" w:hAnsi="宋体" w:eastAsia="宋体"/>
          <w:bCs/>
          <w:szCs w:val="21"/>
          <w:lang w:eastAsia="zh-CN"/>
        </w:rPr>
      </w:pPr>
      <w:r>
        <w:rPr>
          <w:rFonts w:hint="eastAsia" w:hAnsi="宋体"/>
          <w:bCs/>
          <w:szCs w:val="21"/>
          <w:lang w:val="en-US" w:eastAsia="zh-CN"/>
        </w:rPr>
        <w:t>2、</w:t>
      </w:r>
      <w:r>
        <w:rPr>
          <w:rFonts w:hint="eastAsia" w:hAnsi="宋体"/>
          <w:bCs/>
          <w:szCs w:val="21"/>
        </w:rPr>
        <w:t>答疑时间：</w:t>
      </w:r>
      <w:r>
        <w:rPr>
          <w:rFonts w:hAnsi="宋体"/>
          <w:bCs/>
          <w:szCs w:val="21"/>
        </w:rPr>
        <w:t xml:space="preserve"> </w:t>
      </w:r>
      <w:r>
        <w:rPr>
          <w:rFonts w:hint="eastAsia" w:hAnsi="宋体"/>
          <w:bCs/>
          <w:szCs w:val="21"/>
          <w:lang w:val="en-US" w:eastAsia="zh-CN"/>
        </w:rPr>
        <w:t>截止</w:t>
      </w:r>
      <w:r>
        <w:rPr>
          <w:rFonts w:hint="eastAsia" w:hAnsi="宋体"/>
          <w:bCs/>
          <w:szCs w:val="21"/>
        </w:rPr>
        <w:t>202</w:t>
      </w:r>
      <w:r>
        <w:rPr>
          <w:rFonts w:hint="eastAsia" w:hAnsi="宋体"/>
          <w:bCs/>
          <w:szCs w:val="21"/>
          <w:lang w:val="en-US" w:eastAsia="zh-CN"/>
        </w:rPr>
        <w:t>6</w:t>
      </w:r>
      <w:r>
        <w:rPr>
          <w:rFonts w:hint="eastAsia" w:hAnsi="宋体"/>
          <w:bCs/>
          <w:szCs w:val="21"/>
        </w:rPr>
        <w:t>年</w:t>
      </w:r>
      <w:r>
        <w:rPr>
          <w:rFonts w:hint="eastAsia" w:hAnsi="宋体"/>
          <w:bCs/>
          <w:szCs w:val="21"/>
          <w:lang w:val="en-US" w:eastAsia="zh-CN"/>
        </w:rPr>
        <w:t>3</w:t>
      </w:r>
      <w:r>
        <w:rPr>
          <w:rFonts w:hint="eastAsia" w:hAnsi="宋体"/>
          <w:bCs/>
          <w:szCs w:val="21"/>
        </w:rPr>
        <w:t>月</w:t>
      </w:r>
      <w:r>
        <w:rPr>
          <w:rFonts w:hint="eastAsia" w:hAnsi="宋体"/>
          <w:bCs/>
          <w:szCs w:val="21"/>
          <w:lang w:val="en-US" w:eastAsia="zh-CN"/>
        </w:rPr>
        <w:t xml:space="preserve"> 18</w:t>
      </w:r>
      <w:r>
        <w:rPr>
          <w:rFonts w:hint="eastAsia" w:hAnsi="宋体"/>
          <w:bCs/>
          <w:szCs w:val="21"/>
        </w:rPr>
        <w:t>日，逾期不受理</w:t>
      </w:r>
    </w:p>
    <w:p w14:paraId="28E78C84">
      <w:pPr>
        <w:pStyle w:val="2"/>
        <w:spacing w:line="360" w:lineRule="auto"/>
        <w:ind w:firstLine="420" w:firstLineChars="200"/>
        <w:rPr>
          <w:rFonts w:hint="eastAsia" w:hAnsi="宋体"/>
          <w:bCs/>
          <w:szCs w:val="21"/>
        </w:rPr>
      </w:pPr>
      <w:r>
        <w:rPr>
          <w:rFonts w:hint="eastAsia" w:hAnsi="宋体"/>
          <w:bCs/>
          <w:szCs w:val="21"/>
          <w:lang w:val="en-US" w:eastAsia="zh-CN"/>
        </w:rPr>
        <w:t>3</w:t>
      </w:r>
      <w:r>
        <w:rPr>
          <w:rFonts w:hint="eastAsia" w:hAnsi="宋体"/>
          <w:bCs/>
          <w:szCs w:val="21"/>
        </w:rPr>
        <w:t>、答疑方式：书面及</w:t>
      </w:r>
      <w:r>
        <w:rPr>
          <w:rFonts w:hint="eastAsia" w:hAnsi="宋体"/>
          <w:bCs/>
          <w:szCs w:val="21"/>
          <w:lang w:val="en-US" w:eastAsia="zh-CN"/>
        </w:rPr>
        <w:t>邮件</w:t>
      </w:r>
    </w:p>
    <w:p w14:paraId="17C7271B">
      <w:pPr>
        <w:pStyle w:val="2"/>
        <w:spacing w:line="360" w:lineRule="auto"/>
        <w:ind w:firstLine="420" w:firstLineChars="200"/>
        <w:rPr>
          <w:rFonts w:hint="eastAsia" w:hAnsi="宋体"/>
          <w:bCs/>
          <w:szCs w:val="21"/>
        </w:rPr>
      </w:pPr>
      <w:r>
        <w:rPr>
          <w:rFonts w:hint="eastAsia" w:hAnsi="宋体"/>
          <w:bCs/>
          <w:szCs w:val="21"/>
          <w:lang w:val="en-US" w:eastAsia="zh-CN"/>
        </w:rPr>
        <w:t>4</w:t>
      </w:r>
      <w:r>
        <w:rPr>
          <w:rFonts w:hint="eastAsia" w:hAnsi="宋体"/>
          <w:bCs/>
          <w:szCs w:val="21"/>
        </w:rPr>
        <w:t>、现场踏勘时间：截止202</w:t>
      </w:r>
      <w:r>
        <w:rPr>
          <w:rFonts w:hint="eastAsia" w:hAnsi="宋体"/>
          <w:bCs/>
          <w:szCs w:val="21"/>
          <w:lang w:val="en-US" w:eastAsia="zh-CN"/>
        </w:rPr>
        <w:t>6</w:t>
      </w:r>
      <w:r>
        <w:rPr>
          <w:rFonts w:hint="eastAsia" w:hAnsi="宋体"/>
          <w:bCs/>
          <w:szCs w:val="21"/>
        </w:rPr>
        <w:t>年</w:t>
      </w:r>
      <w:r>
        <w:rPr>
          <w:rFonts w:hint="eastAsia" w:hAnsi="宋体"/>
          <w:bCs/>
          <w:szCs w:val="21"/>
          <w:lang w:val="en-US" w:eastAsia="zh-CN"/>
        </w:rPr>
        <w:t>3</w:t>
      </w:r>
      <w:r>
        <w:rPr>
          <w:rFonts w:hint="eastAsia" w:hAnsi="宋体"/>
          <w:bCs/>
          <w:szCs w:val="21"/>
        </w:rPr>
        <w:t>月</w:t>
      </w:r>
      <w:r>
        <w:rPr>
          <w:rFonts w:hint="eastAsia" w:hAnsi="宋体"/>
          <w:bCs/>
          <w:szCs w:val="21"/>
          <w:lang w:val="en-US" w:eastAsia="zh-CN"/>
        </w:rPr>
        <w:t>18</w:t>
      </w:r>
      <w:r>
        <w:rPr>
          <w:rFonts w:hint="eastAsia" w:hAnsi="宋体"/>
          <w:bCs/>
          <w:szCs w:val="21"/>
        </w:rPr>
        <w:t>日（自行踏勘）</w:t>
      </w:r>
    </w:p>
    <w:p w14:paraId="716D9E3B">
      <w:pPr>
        <w:pStyle w:val="2"/>
        <w:spacing w:line="360" w:lineRule="auto"/>
        <w:ind w:firstLine="420" w:firstLineChars="200"/>
        <w:rPr>
          <w:rFonts w:hint="eastAsia" w:hAnsi="宋体"/>
          <w:bCs/>
          <w:szCs w:val="21"/>
        </w:rPr>
      </w:pPr>
      <w:r>
        <w:rPr>
          <w:rFonts w:hint="eastAsia" w:ascii="宋体" w:hAnsi="宋体" w:eastAsia="宋体" w:cstheme="minorBidi"/>
          <w:b w:val="0"/>
          <w:bCs/>
          <w:sz w:val="21"/>
          <w:szCs w:val="21"/>
          <w:lang w:val="en-US" w:eastAsia="zh-CN"/>
        </w:rPr>
        <w:t>5</w:t>
      </w:r>
      <w:r>
        <w:rPr>
          <w:rFonts w:hint="eastAsia" w:ascii="宋体" w:hAnsi="宋体" w:eastAsia="宋体" w:cstheme="minorBidi"/>
          <w:b w:val="0"/>
          <w:bCs/>
          <w:sz w:val="21"/>
          <w:szCs w:val="21"/>
        </w:rPr>
        <w:t>、应标时间：</w:t>
      </w:r>
      <w:r>
        <w:rPr>
          <w:rFonts w:hint="eastAsia" w:hAnsi="宋体" w:cstheme="minorBidi"/>
          <w:b w:val="0"/>
          <w:bCs/>
          <w:sz w:val="21"/>
          <w:szCs w:val="21"/>
          <w:lang w:val="en-US" w:eastAsia="zh-CN"/>
        </w:rPr>
        <w:t>截止</w:t>
      </w:r>
      <w:r>
        <w:rPr>
          <w:rFonts w:hint="eastAsia" w:ascii="宋体" w:hAnsi="宋体" w:eastAsia="宋体" w:cstheme="minorBidi"/>
          <w:b w:val="0"/>
          <w:bCs/>
          <w:sz w:val="21"/>
          <w:szCs w:val="21"/>
        </w:rPr>
        <w:t>202</w:t>
      </w:r>
      <w:r>
        <w:rPr>
          <w:rFonts w:hint="eastAsia" w:hAnsi="宋体" w:cstheme="minorBidi"/>
          <w:b w:val="0"/>
          <w:bCs/>
          <w:sz w:val="21"/>
          <w:szCs w:val="21"/>
          <w:lang w:val="en-US" w:eastAsia="zh-CN"/>
        </w:rPr>
        <w:t>6</w:t>
      </w:r>
      <w:r>
        <w:rPr>
          <w:rFonts w:hint="eastAsia" w:ascii="宋体" w:hAnsi="宋体" w:eastAsia="宋体" w:cstheme="minorBidi"/>
          <w:b w:val="0"/>
          <w:bCs/>
          <w:sz w:val="21"/>
          <w:szCs w:val="21"/>
        </w:rPr>
        <w:t>年</w:t>
      </w:r>
      <w:r>
        <w:rPr>
          <w:rFonts w:hint="eastAsia" w:hAnsi="宋体" w:cstheme="minorBidi"/>
          <w:b w:val="0"/>
          <w:bCs/>
          <w:sz w:val="21"/>
          <w:szCs w:val="21"/>
          <w:lang w:val="en-US" w:eastAsia="zh-CN"/>
        </w:rPr>
        <w:t>3</w:t>
      </w:r>
      <w:r>
        <w:rPr>
          <w:rFonts w:hint="eastAsia" w:ascii="宋体" w:hAnsi="宋体" w:eastAsia="宋体" w:cstheme="minorBidi"/>
          <w:b w:val="0"/>
          <w:bCs/>
          <w:sz w:val="21"/>
          <w:szCs w:val="21"/>
        </w:rPr>
        <w:t>月</w:t>
      </w:r>
      <w:r>
        <w:rPr>
          <w:rFonts w:hint="eastAsia" w:hAnsi="宋体" w:cstheme="minorBidi"/>
          <w:b w:val="0"/>
          <w:bCs/>
          <w:sz w:val="21"/>
          <w:szCs w:val="21"/>
          <w:lang w:val="en-US" w:eastAsia="zh-CN"/>
        </w:rPr>
        <w:t>16</w:t>
      </w:r>
      <w:r>
        <w:rPr>
          <w:rFonts w:hint="eastAsia" w:ascii="宋体" w:hAnsi="宋体" w:eastAsia="宋体" w:cstheme="minorBidi"/>
          <w:b w:val="0"/>
          <w:bCs/>
          <w:sz w:val="21"/>
          <w:szCs w:val="21"/>
        </w:rPr>
        <w:t>日</w:t>
      </w:r>
    </w:p>
    <w:p w14:paraId="468F0CA8">
      <w:pPr>
        <w:pStyle w:val="2"/>
        <w:spacing w:line="360" w:lineRule="auto"/>
        <w:ind w:firstLine="420" w:firstLineChars="200"/>
        <w:rPr>
          <w:rFonts w:hAnsi="宋体"/>
          <w:bCs/>
          <w:szCs w:val="21"/>
        </w:rPr>
      </w:pPr>
      <w:r>
        <w:rPr>
          <w:rFonts w:hint="eastAsia" w:hAnsi="宋体"/>
          <w:bCs/>
          <w:szCs w:val="21"/>
          <w:lang w:val="en-US" w:eastAsia="zh-CN"/>
        </w:rPr>
        <w:t>6</w:t>
      </w:r>
      <w:r>
        <w:rPr>
          <w:rFonts w:hint="eastAsia" w:hAnsi="宋体"/>
          <w:bCs/>
          <w:szCs w:val="21"/>
        </w:rPr>
        <w:t>、投标报名截止时间：20</w:t>
      </w:r>
      <w:r>
        <w:rPr>
          <w:rFonts w:hint="eastAsia" w:hAnsi="宋体"/>
          <w:bCs/>
          <w:szCs w:val="21"/>
          <w:lang w:val="en-US" w:eastAsia="zh-CN"/>
        </w:rPr>
        <w:t>26</w:t>
      </w:r>
      <w:r>
        <w:rPr>
          <w:rFonts w:hint="eastAsia" w:hAnsi="宋体"/>
          <w:bCs/>
          <w:szCs w:val="21"/>
        </w:rPr>
        <w:t>年</w:t>
      </w:r>
      <w:r>
        <w:rPr>
          <w:rFonts w:hint="eastAsia" w:hAnsi="宋体"/>
          <w:bCs/>
          <w:szCs w:val="21"/>
          <w:lang w:val="en-US" w:eastAsia="zh-CN"/>
        </w:rPr>
        <w:t>3</w:t>
      </w:r>
      <w:r>
        <w:rPr>
          <w:rFonts w:hint="eastAsia" w:hAnsi="宋体"/>
          <w:bCs/>
          <w:szCs w:val="21"/>
        </w:rPr>
        <w:t>月</w:t>
      </w:r>
      <w:r>
        <w:rPr>
          <w:rFonts w:hint="eastAsia" w:hAnsi="宋体"/>
          <w:bCs/>
          <w:szCs w:val="21"/>
          <w:lang w:val="en-US" w:eastAsia="zh-CN"/>
        </w:rPr>
        <w:t>23</w:t>
      </w:r>
      <w:r>
        <w:rPr>
          <w:rFonts w:hint="eastAsia" w:hAnsi="宋体"/>
          <w:bCs/>
          <w:szCs w:val="21"/>
        </w:rPr>
        <w:t>日</w:t>
      </w:r>
      <w:r>
        <w:rPr>
          <w:rFonts w:hint="eastAsia" w:hAnsi="宋体"/>
          <w:bCs/>
          <w:szCs w:val="21"/>
          <w:lang w:val="en-US" w:eastAsia="zh-CN"/>
        </w:rPr>
        <w:t>上午8:00</w:t>
      </w:r>
      <w:r>
        <w:rPr>
          <w:rFonts w:hint="eastAsia" w:hAnsi="宋体"/>
          <w:bCs/>
          <w:szCs w:val="21"/>
        </w:rPr>
        <w:t>点</w:t>
      </w:r>
    </w:p>
    <w:p w14:paraId="7F65BCA4">
      <w:pPr>
        <w:pStyle w:val="2"/>
        <w:spacing w:line="360" w:lineRule="auto"/>
        <w:ind w:firstLine="420" w:firstLineChars="200"/>
        <w:rPr>
          <w:rFonts w:hAnsi="宋体" w:eastAsiaTheme="minorEastAsia"/>
          <w:bCs/>
          <w:szCs w:val="21"/>
        </w:rPr>
      </w:pPr>
      <w:r>
        <w:rPr>
          <w:rFonts w:hint="eastAsia" w:hAnsi="宋体"/>
          <w:bCs/>
          <w:szCs w:val="21"/>
          <w:lang w:val="en-US" w:eastAsia="zh-CN"/>
        </w:rPr>
        <w:t>7</w:t>
      </w:r>
      <w:r>
        <w:rPr>
          <w:rFonts w:hint="eastAsia" w:hAnsi="宋体"/>
          <w:bCs/>
          <w:szCs w:val="21"/>
        </w:rPr>
        <w:t>、开标时间</w:t>
      </w:r>
      <w:r>
        <w:rPr>
          <w:rFonts w:hint="eastAsia" w:hAnsi="宋体"/>
          <w:bCs/>
          <w:szCs w:val="21"/>
          <w:lang w:eastAsia="zh-CN"/>
        </w:rPr>
        <w:t>：</w:t>
      </w:r>
      <w:r>
        <w:rPr>
          <w:rFonts w:hint="eastAsia" w:hAnsi="宋体"/>
          <w:bCs/>
          <w:szCs w:val="21"/>
        </w:rPr>
        <w:t>202</w:t>
      </w:r>
      <w:r>
        <w:rPr>
          <w:rFonts w:hint="eastAsia" w:hAnsi="宋体"/>
          <w:bCs/>
          <w:szCs w:val="21"/>
          <w:lang w:val="en-US" w:eastAsia="zh-CN"/>
        </w:rPr>
        <w:t>6</w:t>
      </w:r>
      <w:r>
        <w:rPr>
          <w:rFonts w:hint="eastAsia" w:hAnsi="宋体"/>
          <w:bCs/>
          <w:szCs w:val="21"/>
        </w:rPr>
        <w:t>年</w:t>
      </w:r>
      <w:r>
        <w:rPr>
          <w:rFonts w:hint="eastAsia" w:hAnsi="宋体"/>
          <w:bCs/>
          <w:szCs w:val="21"/>
          <w:lang w:val="en-US" w:eastAsia="zh-CN"/>
        </w:rPr>
        <w:t>3</w:t>
      </w:r>
      <w:r>
        <w:rPr>
          <w:rFonts w:hint="eastAsia" w:hAnsi="宋体"/>
          <w:bCs/>
          <w:szCs w:val="21"/>
        </w:rPr>
        <w:t>月</w:t>
      </w:r>
      <w:r>
        <w:rPr>
          <w:rFonts w:hint="eastAsia" w:hAnsi="宋体"/>
          <w:bCs/>
          <w:szCs w:val="21"/>
          <w:lang w:val="en-US" w:eastAsia="zh-CN"/>
        </w:rPr>
        <w:t>23</w:t>
      </w:r>
      <w:r>
        <w:rPr>
          <w:rFonts w:hint="eastAsia" w:hAnsi="宋体"/>
          <w:bCs/>
          <w:szCs w:val="21"/>
        </w:rPr>
        <w:t>日上午9：</w:t>
      </w:r>
      <w:r>
        <w:rPr>
          <w:rFonts w:hint="eastAsia" w:hAnsi="宋体"/>
          <w:bCs/>
          <w:szCs w:val="21"/>
          <w:lang w:val="en-US" w:eastAsia="zh-CN"/>
        </w:rPr>
        <w:t>30</w:t>
      </w:r>
      <w:r>
        <w:rPr>
          <w:rFonts w:hint="eastAsia" w:hAnsi="宋体"/>
          <w:bCs/>
          <w:szCs w:val="21"/>
        </w:rPr>
        <w:t xml:space="preserve"> ，若有变动另行通知</w:t>
      </w:r>
    </w:p>
    <w:p w14:paraId="5BA30BE2">
      <w:pPr>
        <w:pStyle w:val="2"/>
        <w:spacing w:line="360" w:lineRule="auto"/>
        <w:ind w:firstLine="422" w:firstLineChars="200"/>
        <w:rPr>
          <w:b/>
          <w:szCs w:val="21"/>
        </w:rPr>
      </w:pPr>
      <w:r>
        <w:rPr>
          <w:rFonts w:hint="eastAsia"/>
          <w:b/>
          <w:szCs w:val="21"/>
        </w:rPr>
        <w:t>投标人应提供法定代表人资格等相关证明、授权委托书原件等。</w:t>
      </w:r>
    </w:p>
    <w:p w14:paraId="742C1245">
      <w:pPr>
        <w:pStyle w:val="2"/>
        <w:spacing w:line="360" w:lineRule="auto"/>
        <w:ind w:left="426" w:leftChars="203"/>
        <w:rPr>
          <w:rFonts w:hint="eastAsia" w:eastAsia="宋体"/>
          <w:color w:val="auto"/>
          <w:lang w:val="en-US" w:eastAsia="zh-CN"/>
        </w:rPr>
      </w:pPr>
      <w:r>
        <w:rPr>
          <w:rFonts w:hint="eastAsia" w:hAnsi="宋体"/>
          <w:bCs/>
          <w:szCs w:val="21"/>
        </w:rPr>
        <w:t>投标地点：暂定</w:t>
      </w:r>
      <w:r>
        <w:rPr>
          <w:rFonts w:hint="eastAsia" w:hAnsi="宋体"/>
          <w:bCs/>
          <w:szCs w:val="21"/>
          <w:lang w:val="en-US" w:eastAsia="zh-CN"/>
        </w:rPr>
        <w:t>科技大厦三楼会议室</w:t>
      </w:r>
    </w:p>
    <w:p w14:paraId="448327E3">
      <w:pPr>
        <w:pStyle w:val="2"/>
        <w:spacing w:line="360" w:lineRule="auto"/>
        <w:ind w:left="1890" w:hanging="1890" w:hangingChars="900"/>
        <w:rPr>
          <w:rFonts w:hint="default" w:eastAsia="宋体"/>
          <w:color w:val="auto"/>
          <w:lang w:val="en-US" w:eastAsia="zh-CN"/>
        </w:rPr>
      </w:pPr>
      <w:r>
        <w:rPr>
          <w:rFonts w:hint="eastAsia"/>
          <w:color w:val="auto"/>
        </w:rPr>
        <w:t xml:space="preserve">    地    址： 济南市</w:t>
      </w:r>
      <w:r>
        <w:rPr>
          <w:rFonts w:hint="eastAsia"/>
          <w:color w:val="auto"/>
          <w:lang w:val="en-US" w:eastAsia="zh-CN"/>
        </w:rPr>
        <w:t>历城区华奥路777号</w:t>
      </w:r>
    </w:p>
    <w:p w14:paraId="3F88F4EF">
      <w:pPr>
        <w:pStyle w:val="2"/>
        <w:spacing w:line="360" w:lineRule="auto"/>
        <w:ind w:firstLine="420" w:firstLineChars="200"/>
        <w:rPr>
          <w:rFonts w:hint="eastAsia" w:eastAsia="宋体"/>
          <w:color w:val="auto"/>
          <w:lang w:val="en-US" w:eastAsia="zh-CN"/>
        </w:rPr>
      </w:pPr>
      <w:r>
        <w:rPr>
          <w:rFonts w:hint="eastAsia"/>
          <w:color w:val="auto"/>
        </w:rPr>
        <w:t xml:space="preserve">联 系 人： </w:t>
      </w:r>
      <w:r>
        <w:rPr>
          <w:rFonts w:hint="eastAsia"/>
          <w:color w:val="auto"/>
          <w:lang w:val="en-US" w:eastAsia="zh-CN"/>
        </w:rPr>
        <w:t>李延军</w:t>
      </w:r>
    </w:p>
    <w:p w14:paraId="6980DEF5">
      <w:pPr>
        <w:pStyle w:val="2"/>
        <w:spacing w:line="360" w:lineRule="auto"/>
        <w:ind w:firstLine="420" w:firstLineChars="200"/>
        <w:rPr>
          <w:rFonts w:hint="eastAsia"/>
          <w:color w:val="auto"/>
          <w:lang w:val="en-US" w:eastAsia="zh-CN"/>
        </w:rPr>
      </w:pPr>
      <w:r>
        <w:rPr>
          <w:rFonts w:hint="eastAsia"/>
          <w:color w:val="auto"/>
        </w:rPr>
        <w:t>电    话：</w:t>
      </w:r>
      <w:r>
        <w:rPr>
          <w:rFonts w:hint="eastAsia"/>
          <w:color w:val="auto"/>
          <w:lang w:val="en-US" w:eastAsia="zh-CN"/>
        </w:rPr>
        <w:t>17860605562</w:t>
      </w:r>
    </w:p>
    <w:p w14:paraId="3BA55307">
      <w:pPr>
        <w:pStyle w:val="2"/>
        <w:numPr>
          <w:ilvl w:val="0"/>
          <w:numId w:val="0"/>
        </w:numPr>
        <w:spacing w:line="360" w:lineRule="auto"/>
        <w:rPr>
          <w:rFonts w:hint="eastAsia" w:ascii="黑体" w:eastAsia="黑体"/>
          <w:b/>
          <w:bCs/>
          <w:sz w:val="28"/>
          <w:lang w:eastAsia="zh-CN"/>
        </w:rPr>
      </w:pPr>
      <w:r>
        <w:rPr>
          <w:rFonts w:hint="eastAsia" w:ascii="黑体" w:hAnsi="黑体" w:eastAsia="黑体" w:cs="黑体"/>
          <w:b/>
          <w:bCs/>
          <w:sz w:val="28"/>
          <w:szCs w:val="28"/>
          <w:lang w:val="en-US" w:eastAsia="zh-CN"/>
        </w:rPr>
        <w:t>六</w:t>
      </w:r>
      <w:r>
        <w:rPr>
          <w:rFonts w:hint="eastAsia" w:ascii="黑体" w:hAnsi="黑体" w:eastAsia="黑体" w:cs="黑体"/>
          <w:b/>
          <w:bCs/>
          <w:sz w:val="28"/>
          <w:szCs w:val="28"/>
        </w:rPr>
        <w:t>、</w:t>
      </w:r>
      <w:r>
        <w:rPr>
          <w:rFonts w:hint="eastAsia" w:ascii="黑体" w:eastAsia="黑体"/>
          <w:b/>
          <w:bCs/>
          <w:sz w:val="28"/>
          <w:lang w:eastAsia="zh-CN"/>
        </w:rPr>
        <w:t>投标保证金</w:t>
      </w:r>
    </w:p>
    <w:p w14:paraId="646BF76A">
      <w:pPr>
        <w:pStyle w:val="2"/>
        <w:numPr>
          <w:ilvl w:val="255"/>
          <w:numId w:val="0"/>
        </w:numPr>
        <w:spacing w:line="360" w:lineRule="auto"/>
        <w:ind w:firstLine="420" w:firstLineChars="200"/>
        <w:rPr>
          <w:rFonts w:hint="eastAsia" w:ascii="宋体" w:hAnsi="宋体" w:eastAsia="宋体" w:cs="宋体"/>
          <w:b w:val="0"/>
          <w:bCs w:val="0"/>
          <w:sz w:val="21"/>
          <w:szCs w:val="21"/>
          <w:lang w:val="en-US" w:eastAsia="zh-CN"/>
        </w:rPr>
      </w:pPr>
      <w:r>
        <w:rPr>
          <w:rFonts w:hint="eastAsia" w:ascii="宋体" w:hAnsi="宋体" w:eastAsia="宋体" w:cs="宋体"/>
          <w:sz w:val="21"/>
          <w:szCs w:val="21"/>
        </w:rPr>
        <w:t>投标方务必在（202</w:t>
      </w:r>
      <w:r>
        <w:rPr>
          <w:rFonts w:hint="eastAsia" w:hAnsi="宋体" w:cs="宋体"/>
          <w:sz w:val="21"/>
          <w:szCs w:val="21"/>
          <w:lang w:val="en-US" w:eastAsia="zh-CN"/>
        </w:rPr>
        <w:t>6</w:t>
      </w:r>
      <w:r>
        <w:rPr>
          <w:rFonts w:hint="eastAsia" w:ascii="宋体" w:hAnsi="宋体" w:eastAsia="宋体" w:cs="宋体"/>
          <w:sz w:val="21"/>
          <w:szCs w:val="21"/>
        </w:rPr>
        <w:t>年</w:t>
      </w:r>
      <w:r>
        <w:rPr>
          <w:rFonts w:hint="eastAsia" w:ascii="宋体" w:hAnsi="宋体" w:eastAsia="宋体" w:cs="宋体"/>
          <w:sz w:val="21"/>
          <w:szCs w:val="21"/>
          <w:lang w:val="en-US" w:eastAsia="zh-CN"/>
        </w:rPr>
        <w:t>3</w:t>
      </w:r>
      <w:r>
        <w:rPr>
          <w:rFonts w:hint="eastAsia" w:ascii="宋体" w:hAnsi="宋体" w:eastAsia="宋体" w:cs="宋体"/>
          <w:sz w:val="21"/>
          <w:szCs w:val="21"/>
        </w:rPr>
        <w:t>月</w:t>
      </w:r>
      <w:r>
        <w:rPr>
          <w:rFonts w:hint="eastAsia" w:hAnsi="宋体" w:cs="宋体"/>
          <w:sz w:val="21"/>
          <w:szCs w:val="21"/>
          <w:lang w:val="en-US" w:eastAsia="zh-CN"/>
        </w:rPr>
        <w:t>22</w:t>
      </w:r>
      <w:bookmarkStart w:id="3" w:name="_GoBack"/>
      <w:bookmarkEnd w:id="3"/>
      <w:r>
        <w:rPr>
          <w:rFonts w:hint="eastAsia" w:ascii="宋体" w:hAnsi="宋体" w:eastAsia="宋体" w:cs="宋体"/>
          <w:sz w:val="21"/>
          <w:szCs w:val="21"/>
        </w:rPr>
        <w:t>日 1</w:t>
      </w:r>
      <w:r>
        <w:rPr>
          <w:rFonts w:hint="eastAsia" w:hAnsi="宋体" w:cs="宋体"/>
          <w:sz w:val="21"/>
          <w:szCs w:val="21"/>
          <w:lang w:val="en-US" w:eastAsia="zh-CN"/>
        </w:rPr>
        <w:t>7</w:t>
      </w:r>
      <w:r>
        <w:rPr>
          <w:rFonts w:hint="eastAsia" w:ascii="宋体" w:hAnsi="宋体" w:eastAsia="宋体" w:cs="宋体"/>
          <w:sz w:val="21"/>
          <w:szCs w:val="21"/>
        </w:rPr>
        <w:t>:00点前）向中国重汽集团济南动力有限公司（开户银行：中国建设银行济南天桥支行，银行帐号：37001616508050150300）缴纳投标保证金</w:t>
      </w:r>
      <w:r>
        <w:rPr>
          <w:rFonts w:hint="eastAsia" w:ascii="宋体" w:hAnsi="宋体" w:eastAsia="宋体" w:cs="宋体"/>
          <w:sz w:val="21"/>
          <w:szCs w:val="21"/>
          <w:lang w:val="en-US" w:eastAsia="zh-CN"/>
        </w:rPr>
        <w:t>2</w:t>
      </w:r>
      <w:r>
        <w:rPr>
          <w:rFonts w:hint="eastAsia" w:ascii="宋体" w:hAnsi="宋体" w:eastAsia="宋体" w:cs="宋体"/>
          <w:sz w:val="21"/>
          <w:szCs w:val="21"/>
        </w:rPr>
        <w:t>0000.00元（</w:t>
      </w:r>
      <w:r>
        <w:rPr>
          <w:rFonts w:hint="eastAsia" w:ascii="宋体" w:hAnsi="宋体" w:eastAsia="宋体" w:cs="宋体"/>
          <w:b w:val="0"/>
          <w:bCs w:val="0"/>
          <w:sz w:val="21"/>
          <w:szCs w:val="21"/>
        </w:rPr>
        <w:t>公对公打款，汇款时备注项目名称</w:t>
      </w:r>
      <w:r>
        <w:rPr>
          <w:rFonts w:hint="eastAsia" w:ascii="宋体" w:hAnsi="宋体" w:eastAsia="宋体" w:cs="宋体"/>
          <w:sz w:val="21"/>
          <w:szCs w:val="21"/>
        </w:rPr>
        <w:t>），同时在报名表中需提供已缴纳保证金证明。该保证金退还时为无息退还，项目实施单位在中标（成交）人经批准确定之日起 3 个工作日内，发出中标（成交）通知书；在中标（成交）通知书发出后 30个工作日内，通知财务部门退还未中标（成交）人的投标保证金；中标（成交）人的投标保证金转为履约保证金，合同履行期结束后退回。</w:t>
      </w:r>
    </w:p>
    <w:p w14:paraId="5F209D76">
      <w:pPr>
        <w:pStyle w:val="2"/>
        <w:numPr>
          <w:ilvl w:val="-1"/>
          <w:numId w:val="0"/>
        </w:numPr>
        <w:spacing w:line="360" w:lineRule="auto"/>
        <w:ind w:firstLine="420" w:firstLineChars="200"/>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发生以下情况时,有权没收保证金:</w:t>
      </w:r>
    </w:p>
    <w:p w14:paraId="19CD0DB7">
      <w:pPr>
        <w:pStyle w:val="2"/>
        <w:numPr>
          <w:ilvl w:val="-1"/>
          <w:numId w:val="0"/>
        </w:numPr>
        <w:spacing w:line="360" w:lineRule="auto"/>
        <w:ind w:firstLine="420" w:firstLineChars="200"/>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①截至开标前 3天，供应商无正当理由、未以书面形式递交说明而在投标截止日不来投标的；</w:t>
      </w:r>
    </w:p>
    <w:p w14:paraId="1905C043">
      <w:pPr>
        <w:pStyle w:val="2"/>
        <w:numPr>
          <w:ilvl w:val="-1"/>
          <w:numId w:val="0"/>
        </w:numPr>
        <w:spacing w:line="360" w:lineRule="auto"/>
        <w:ind w:firstLine="420" w:firstLineChars="200"/>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②供应商递送文件后，无正当理由放弃投标的；</w:t>
      </w:r>
    </w:p>
    <w:p w14:paraId="4651E0B0">
      <w:pPr>
        <w:pStyle w:val="2"/>
        <w:numPr>
          <w:ilvl w:val="-1"/>
          <w:numId w:val="0"/>
        </w:numPr>
        <w:spacing w:line="360" w:lineRule="auto"/>
        <w:ind w:firstLine="420" w:firstLineChars="200"/>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③自中标（成交）通知书发出之日起 30 日内，中标（成交）供应商无正当理由不签订合同的；</w:t>
      </w:r>
    </w:p>
    <w:p w14:paraId="4794990E">
      <w:pPr>
        <w:pStyle w:val="2"/>
        <w:numPr>
          <w:ilvl w:val="-1"/>
          <w:numId w:val="0"/>
        </w:numPr>
        <w:spacing w:line="360" w:lineRule="auto"/>
        <w:ind w:firstLine="420" w:firstLineChars="200"/>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④投标过程中被查实有串标、围标、陪标等违规违纪行为的；</w:t>
      </w:r>
    </w:p>
    <w:p w14:paraId="0024D5A7">
      <w:pPr>
        <w:pStyle w:val="2"/>
        <w:numPr>
          <w:ilvl w:val="-1"/>
          <w:numId w:val="0"/>
        </w:numPr>
        <w:spacing w:line="360" w:lineRule="auto"/>
        <w:ind w:firstLine="420" w:firstLineChars="200"/>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lang w:val="en-US" w:eastAsia="zh-CN"/>
        </w:rPr>
        <w:t xml:space="preserve">⑤供应商有违约违规行为或被投诉、举报的，在调查处理期间，保证金暂不退还，待调查处理结束后按有关规定处理。 </w:t>
      </w:r>
    </w:p>
    <w:p w14:paraId="7DEDDF3C">
      <w:pPr>
        <w:spacing w:line="360" w:lineRule="auto"/>
      </w:pPr>
      <w:r>
        <w:rPr>
          <w:rFonts w:hint="eastAsia" w:ascii="黑体" w:hAnsi="黑体" w:eastAsia="黑体" w:cs="黑体"/>
          <w:b/>
          <w:bCs/>
          <w:sz w:val="28"/>
          <w:szCs w:val="28"/>
          <w:lang w:val="en-US" w:eastAsia="zh-CN"/>
        </w:rPr>
        <w:t>七、</w:t>
      </w:r>
      <w:r>
        <w:rPr>
          <w:rFonts w:hint="eastAsia" w:ascii="黑体" w:hAnsi="黑体" w:eastAsia="黑体" w:cs="黑体"/>
          <w:b/>
          <w:bCs/>
          <w:sz w:val="28"/>
          <w:szCs w:val="28"/>
        </w:rPr>
        <w:t>评标</w:t>
      </w:r>
    </w:p>
    <w:p w14:paraId="63EE8A33">
      <w:pPr>
        <w:pStyle w:val="2"/>
        <w:spacing w:line="360" w:lineRule="auto"/>
        <w:ind w:firstLine="420" w:firstLineChars="200"/>
        <w:rPr>
          <w:rFonts w:hint="eastAsia"/>
          <w:b/>
          <w:bCs/>
          <w:color w:val="000000" w:themeColor="text1"/>
          <w:szCs w:val="21"/>
          <w:u w:val="single"/>
          <w:lang w:val="en-US" w:eastAsia="zh-CN"/>
          <w14:textFill>
            <w14:solidFill>
              <w14:schemeClr w14:val="tx1"/>
            </w14:solidFill>
          </w14:textFill>
        </w:rPr>
      </w:pPr>
      <w:r>
        <w:rPr>
          <w:rFonts w:ascii="宋体" w:hAnsi="宋体" w:eastAsia="宋体" w:cs="宋体"/>
          <w:sz w:val="21"/>
          <w:szCs w:val="21"/>
        </w:rPr>
        <w:t>本项目按照评分结果顺序产生</w:t>
      </w:r>
      <w:r>
        <w:rPr>
          <w:rFonts w:hint="eastAsia" w:ascii="宋体" w:hAnsi="宋体" w:eastAsia="宋体" w:cs="宋体"/>
          <w:sz w:val="21"/>
          <w:szCs w:val="21"/>
          <w:lang w:val="en-US" w:eastAsia="zh-CN"/>
        </w:rPr>
        <w:t>一</w:t>
      </w:r>
      <w:r>
        <w:rPr>
          <w:rFonts w:ascii="宋体" w:hAnsi="宋体" w:eastAsia="宋体" w:cs="宋体"/>
          <w:sz w:val="21"/>
          <w:szCs w:val="21"/>
        </w:rPr>
        <w:t>名中标人</w:t>
      </w:r>
      <w:r>
        <w:rPr>
          <w:rFonts w:hint="eastAsia" w:ascii="宋体" w:hAnsi="宋体" w:eastAsia="宋体" w:cs="宋体"/>
          <w:sz w:val="21"/>
          <w:szCs w:val="21"/>
          <w:lang w:eastAsia="zh-CN"/>
        </w:rPr>
        <w:t>，</w:t>
      </w:r>
      <w:r>
        <w:rPr>
          <w:rFonts w:hint="eastAsia" w:ascii="宋体" w:hAnsi="Courier New" w:eastAsia="宋体" w:cs="Times New Roman"/>
          <w:b w:val="0"/>
          <w:bCs w:val="0"/>
          <w:sz w:val="21"/>
          <w:szCs w:val="21"/>
        </w:rPr>
        <w:t>本次评标</w:t>
      </w:r>
      <w:r>
        <w:rPr>
          <w:rFonts w:hint="eastAsia"/>
          <w:szCs w:val="21"/>
          <w:lang w:val="en-US" w:eastAsia="zh-CN"/>
        </w:rPr>
        <w:t>采用</w:t>
      </w:r>
      <w:r>
        <w:rPr>
          <w:rFonts w:hint="eastAsia" w:ascii="宋体" w:hAnsi="Courier New"/>
          <w:szCs w:val="21"/>
        </w:rPr>
        <w:t>综合评分法，满分为100分</w:t>
      </w:r>
      <w:r>
        <w:rPr>
          <w:rFonts w:hint="eastAsia"/>
          <w:szCs w:val="21"/>
          <w:lang w:eastAsia="zh-CN"/>
        </w:rPr>
        <w:t>，</w:t>
      </w:r>
      <w:r>
        <w:rPr>
          <w:rFonts w:hint="eastAsia" w:ascii="宋体" w:hAnsi="Courier New"/>
          <w:szCs w:val="21"/>
        </w:rPr>
        <w:t>即指在最大限度地满足招标文件实质性要求及对采购人最有利的前提下，按照招标文件中规定的各项因素进行综合评审后，以评标总得分排序</w:t>
      </w:r>
      <w:r>
        <w:rPr>
          <w:rFonts w:hint="eastAsia"/>
          <w:szCs w:val="21"/>
          <w:lang w:eastAsia="zh-CN"/>
        </w:rPr>
        <w:t>，</w:t>
      </w:r>
      <w:r>
        <w:rPr>
          <w:rFonts w:hint="eastAsia"/>
          <w:szCs w:val="21"/>
          <w:lang w:val="en-US" w:eastAsia="zh-CN"/>
        </w:rPr>
        <w:t>技术标占比30%,商务标占比70%，</w:t>
      </w:r>
      <w:r>
        <w:rPr>
          <w:rFonts w:hint="eastAsia" w:ascii="宋体" w:hAnsi="Courier New" w:eastAsia="宋体" w:cs="Times New Roman"/>
          <w:sz w:val="21"/>
          <w:szCs w:val="21"/>
          <w:u w:val="none"/>
          <w:lang w:bidi="ar-SA"/>
        </w:rPr>
        <w:t>对未中标单位不做任何解释。</w:t>
      </w:r>
    </w:p>
    <w:p w14:paraId="513DF7A6">
      <w:pPr>
        <w:pStyle w:val="4"/>
        <w:rPr>
          <w:rFonts w:hint="eastAsia" w:ascii="宋体" w:hAnsi="Courier New"/>
          <w:b/>
          <w:bCs/>
          <w:sz w:val="21"/>
          <w:szCs w:val="21"/>
        </w:rPr>
      </w:pPr>
      <w:r>
        <w:rPr>
          <w:rFonts w:ascii="宋体" w:hAnsi="宋体" w:eastAsia="宋体" w:cs="宋体"/>
          <w:b/>
          <w:bCs/>
          <w:sz w:val="21"/>
          <w:szCs w:val="21"/>
        </w:rPr>
        <w:t>技术标评分标准</w:t>
      </w:r>
    </w:p>
    <w:tbl>
      <w:tblPr>
        <w:tblStyle w:val="8"/>
        <w:tblpPr w:leftFromText="180" w:rightFromText="180" w:vertAnchor="text" w:horzAnchor="margin" w:tblpXSpec="center" w:tblpY="26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68"/>
        <w:gridCol w:w="4921"/>
        <w:gridCol w:w="1639"/>
      </w:tblGrid>
      <w:tr w14:paraId="052FAD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1968" w:type="dxa"/>
            <w:noWrap w:val="0"/>
            <w:vAlign w:val="center"/>
          </w:tcPr>
          <w:p w14:paraId="6CD9847F">
            <w:pPr>
              <w:spacing w:line="360" w:lineRule="auto"/>
              <w:ind w:left="360" w:hanging="361" w:hangingChars="171"/>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序号</w:t>
            </w:r>
          </w:p>
        </w:tc>
        <w:tc>
          <w:tcPr>
            <w:tcW w:w="4921" w:type="dxa"/>
            <w:noWrap w:val="0"/>
            <w:vAlign w:val="center"/>
          </w:tcPr>
          <w:p w14:paraId="1EE7948D">
            <w:pPr>
              <w:spacing w:line="360" w:lineRule="auto"/>
              <w:ind w:left="360" w:hanging="361" w:hangingChars="171"/>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评分因素</w:t>
            </w:r>
          </w:p>
        </w:tc>
        <w:tc>
          <w:tcPr>
            <w:tcW w:w="1639" w:type="dxa"/>
            <w:noWrap w:val="0"/>
            <w:vAlign w:val="center"/>
          </w:tcPr>
          <w:p w14:paraId="29579A14">
            <w:pPr>
              <w:spacing w:line="360" w:lineRule="auto"/>
              <w:ind w:left="360" w:hanging="361" w:hangingChars="171"/>
              <w:jc w:val="center"/>
              <w:rPr>
                <w:rFonts w:hint="eastAsia" w:asciiTheme="minorEastAsia" w:hAnsiTheme="minorEastAsia" w:eastAsiaTheme="minorEastAsia" w:cstheme="minorEastAsia"/>
                <w:b/>
                <w:szCs w:val="21"/>
              </w:rPr>
            </w:pPr>
            <w:r>
              <w:rPr>
                <w:rFonts w:hint="eastAsia" w:asciiTheme="minorEastAsia" w:hAnsiTheme="minorEastAsia" w:eastAsiaTheme="minorEastAsia" w:cstheme="minorEastAsia"/>
                <w:b/>
                <w:szCs w:val="21"/>
              </w:rPr>
              <w:t>分值</w:t>
            </w:r>
          </w:p>
        </w:tc>
      </w:tr>
      <w:tr w14:paraId="52224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1968" w:type="dxa"/>
            <w:noWrap w:val="0"/>
            <w:vAlign w:val="center"/>
          </w:tcPr>
          <w:p w14:paraId="2CD6440D">
            <w:pPr>
              <w:spacing w:line="360" w:lineRule="auto"/>
              <w:ind w:left="359" w:hanging="359" w:hangingChars="171"/>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lang w:val="en-US" w:eastAsia="zh-CN"/>
              </w:rPr>
              <w:t>1</w:t>
            </w:r>
          </w:p>
        </w:tc>
        <w:tc>
          <w:tcPr>
            <w:tcW w:w="4921" w:type="dxa"/>
            <w:noWrap w:val="0"/>
            <w:vAlign w:val="center"/>
          </w:tcPr>
          <w:p w14:paraId="326DA8E7">
            <w:pPr>
              <w:spacing w:line="46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bCs/>
                <w:szCs w:val="21"/>
                <w:highlight w:val="none"/>
              </w:rPr>
              <w:t>投标人的综合实力1-</w:t>
            </w:r>
            <w:r>
              <w:rPr>
                <w:rFonts w:hint="eastAsia" w:asciiTheme="minorEastAsia" w:hAnsiTheme="minorEastAsia" w:eastAsiaTheme="minorEastAsia" w:cstheme="minorEastAsia"/>
                <w:bCs/>
                <w:szCs w:val="21"/>
                <w:highlight w:val="none"/>
                <w:lang w:val="en-US" w:eastAsia="zh-CN"/>
              </w:rPr>
              <w:t>4</w:t>
            </w:r>
            <w:r>
              <w:rPr>
                <w:rFonts w:hint="eastAsia" w:asciiTheme="minorEastAsia" w:hAnsiTheme="minorEastAsia" w:eastAsiaTheme="minorEastAsia" w:cstheme="minorEastAsia"/>
                <w:bCs/>
                <w:szCs w:val="21"/>
                <w:highlight w:val="none"/>
              </w:rPr>
              <w:t>0分</w:t>
            </w:r>
          </w:p>
        </w:tc>
        <w:tc>
          <w:tcPr>
            <w:tcW w:w="1639" w:type="dxa"/>
            <w:noWrap w:val="0"/>
            <w:vAlign w:val="center"/>
          </w:tcPr>
          <w:p w14:paraId="0A016F73">
            <w:pPr>
              <w:spacing w:line="360" w:lineRule="auto"/>
              <w:ind w:left="359" w:hanging="359" w:hangingChars="171"/>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lang w:val="en-US" w:eastAsia="zh-CN"/>
              </w:rPr>
              <w:t>40</w:t>
            </w:r>
            <w:r>
              <w:rPr>
                <w:rFonts w:hint="eastAsia" w:asciiTheme="minorEastAsia" w:hAnsiTheme="minorEastAsia" w:eastAsiaTheme="minorEastAsia" w:cstheme="minorEastAsia"/>
                <w:szCs w:val="21"/>
              </w:rPr>
              <w:t>分</w:t>
            </w:r>
          </w:p>
        </w:tc>
      </w:tr>
      <w:tr w14:paraId="120570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1" w:hRule="atLeast"/>
        </w:trPr>
        <w:tc>
          <w:tcPr>
            <w:tcW w:w="1968" w:type="dxa"/>
            <w:noWrap w:val="0"/>
            <w:vAlign w:val="center"/>
          </w:tcPr>
          <w:p w14:paraId="5C71F314">
            <w:pPr>
              <w:spacing w:line="360" w:lineRule="auto"/>
              <w:ind w:left="359" w:hanging="359" w:hangingChars="171"/>
              <w:jc w:val="center"/>
              <w:rPr>
                <w:rFonts w:hint="eastAsia" w:asciiTheme="minorEastAsia" w:hAnsiTheme="minorEastAsia" w:eastAsiaTheme="minorEastAsia" w:cstheme="minorEastAsia"/>
                <w:szCs w:val="21"/>
                <w:lang w:eastAsia="zh-CN"/>
              </w:rPr>
            </w:pPr>
            <w:r>
              <w:rPr>
                <w:rFonts w:hint="eastAsia" w:asciiTheme="minorEastAsia" w:hAnsiTheme="minorEastAsia" w:eastAsiaTheme="minorEastAsia" w:cstheme="minorEastAsia"/>
                <w:szCs w:val="21"/>
                <w:lang w:val="en-US" w:eastAsia="zh-CN"/>
              </w:rPr>
              <w:t>2</w:t>
            </w:r>
          </w:p>
        </w:tc>
        <w:tc>
          <w:tcPr>
            <w:tcW w:w="4921" w:type="dxa"/>
            <w:noWrap w:val="0"/>
            <w:vAlign w:val="center"/>
          </w:tcPr>
          <w:p w14:paraId="037FDE4E">
            <w:pPr>
              <w:spacing w:line="460" w:lineRule="exact"/>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bCs/>
                <w:szCs w:val="21"/>
                <w:highlight w:val="none"/>
              </w:rPr>
              <w:t>售后服务、质保期、</w:t>
            </w:r>
            <w:r>
              <w:rPr>
                <w:rFonts w:hint="eastAsia" w:asciiTheme="minorEastAsia" w:hAnsiTheme="minorEastAsia" w:eastAsiaTheme="minorEastAsia" w:cstheme="minorEastAsia"/>
                <w:bCs/>
                <w:szCs w:val="21"/>
                <w:highlight w:val="none"/>
                <w:lang w:val="en-US" w:eastAsia="zh-CN"/>
              </w:rPr>
              <w:t>供</w:t>
            </w:r>
            <w:r>
              <w:rPr>
                <w:rFonts w:hint="eastAsia" w:asciiTheme="minorEastAsia" w:hAnsiTheme="minorEastAsia" w:eastAsiaTheme="minorEastAsia" w:cstheme="minorEastAsia"/>
                <w:bCs/>
                <w:szCs w:val="21"/>
                <w:highlight w:val="none"/>
              </w:rPr>
              <w:t>货及时性</w:t>
            </w:r>
          </w:p>
        </w:tc>
        <w:tc>
          <w:tcPr>
            <w:tcW w:w="1639" w:type="dxa"/>
            <w:noWrap w:val="0"/>
            <w:vAlign w:val="center"/>
          </w:tcPr>
          <w:p w14:paraId="5B04410F">
            <w:pPr>
              <w:spacing w:line="360" w:lineRule="auto"/>
              <w:ind w:left="359" w:hanging="359" w:hangingChars="171"/>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lang w:val="en-US" w:eastAsia="zh-CN"/>
              </w:rPr>
              <w:t>60</w:t>
            </w:r>
            <w:r>
              <w:rPr>
                <w:rFonts w:hint="eastAsia" w:asciiTheme="minorEastAsia" w:hAnsiTheme="minorEastAsia" w:eastAsiaTheme="minorEastAsia" w:cstheme="minorEastAsia"/>
                <w:szCs w:val="21"/>
              </w:rPr>
              <w:t>分</w:t>
            </w:r>
          </w:p>
        </w:tc>
      </w:tr>
      <w:tr w14:paraId="5DD6CA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 w:hRule="atLeast"/>
        </w:trPr>
        <w:tc>
          <w:tcPr>
            <w:tcW w:w="6889" w:type="dxa"/>
            <w:gridSpan w:val="2"/>
            <w:noWrap w:val="0"/>
            <w:vAlign w:val="center"/>
          </w:tcPr>
          <w:p w14:paraId="5763C8C1">
            <w:pPr>
              <w:spacing w:line="360" w:lineRule="auto"/>
              <w:ind w:left="359" w:hanging="359" w:hangingChars="171"/>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rPr>
              <w:t>总分</w:t>
            </w:r>
          </w:p>
        </w:tc>
        <w:tc>
          <w:tcPr>
            <w:tcW w:w="1639" w:type="dxa"/>
            <w:noWrap w:val="0"/>
            <w:vAlign w:val="center"/>
          </w:tcPr>
          <w:p w14:paraId="36F4C5AB">
            <w:pPr>
              <w:spacing w:line="360" w:lineRule="auto"/>
              <w:ind w:left="359" w:hanging="359" w:hangingChars="171"/>
              <w:jc w:val="center"/>
              <w:rPr>
                <w:rFonts w:hint="eastAsia" w:asciiTheme="minorEastAsia" w:hAnsiTheme="minorEastAsia" w:eastAsiaTheme="minorEastAsia" w:cstheme="minorEastAsia"/>
                <w:szCs w:val="21"/>
              </w:rPr>
            </w:pPr>
            <w:r>
              <w:rPr>
                <w:rFonts w:hint="eastAsia" w:asciiTheme="minorEastAsia" w:hAnsiTheme="minorEastAsia" w:eastAsiaTheme="minorEastAsia" w:cstheme="minorEastAsia"/>
                <w:szCs w:val="21"/>
                <w:lang w:val="en-US" w:eastAsia="zh-CN"/>
              </w:rPr>
              <w:t>100</w:t>
            </w:r>
            <w:r>
              <w:rPr>
                <w:rFonts w:hint="eastAsia" w:asciiTheme="minorEastAsia" w:hAnsiTheme="minorEastAsia" w:eastAsiaTheme="minorEastAsia" w:cstheme="minorEastAsia"/>
                <w:szCs w:val="21"/>
              </w:rPr>
              <w:t>分</w:t>
            </w:r>
          </w:p>
        </w:tc>
      </w:tr>
    </w:tbl>
    <w:p w14:paraId="65B450EE">
      <w:pPr>
        <w:pStyle w:val="2"/>
        <w:spacing w:line="360" w:lineRule="auto"/>
        <w:ind w:firstLine="0" w:firstLineChars="0"/>
        <w:rPr>
          <w:szCs w:val="21"/>
        </w:rPr>
      </w:pPr>
    </w:p>
    <w:p w14:paraId="6C43A482">
      <w:pPr>
        <w:pStyle w:val="2"/>
        <w:spacing w:line="360" w:lineRule="auto"/>
        <w:rPr>
          <w:rFonts w:hint="eastAsia" w:ascii="黑体" w:eastAsia="黑体"/>
          <w:b/>
          <w:bCs/>
          <w:color w:val="000000"/>
          <w:sz w:val="28"/>
        </w:rPr>
      </w:pPr>
      <w:r>
        <w:rPr>
          <w:rFonts w:hint="eastAsia" w:ascii="黑体" w:eastAsia="黑体"/>
          <w:b/>
          <w:bCs/>
          <w:color w:val="000000"/>
          <w:sz w:val="28"/>
          <w:lang w:val="en-US" w:eastAsia="zh-CN"/>
        </w:rPr>
        <w:t>八</w:t>
      </w:r>
      <w:r>
        <w:rPr>
          <w:rFonts w:hint="eastAsia" w:ascii="黑体" w:eastAsia="黑体"/>
          <w:b/>
          <w:bCs/>
          <w:color w:val="000000"/>
          <w:sz w:val="28"/>
        </w:rPr>
        <w:t>、合同签订</w:t>
      </w:r>
    </w:p>
    <w:p w14:paraId="59403DA5">
      <w:pPr>
        <w:pStyle w:val="2"/>
        <w:spacing w:line="360" w:lineRule="auto"/>
        <w:ind w:firstLine="420" w:firstLineChars="200"/>
        <w:rPr>
          <w:rFonts w:hint="eastAsia"/>
          <w:color w:val="000000"/>
        </w:rPr>
      </w:pPr>
      <w:r>
        <w:rPr>
          <w:rFonts w:hint="eastAsia"/>
          <w:color w:val="000000"/>
        </w:rPr>
        <w:t>1、招标人根据评标工作小组的评标结果确定中标人，并书面通知中标人，招标人不承诺将合同授予报价最低的投标人。</w:t>
      </w:r>
    </w:p>
    <w:p w14:paraId="56C7110B">
      <w:pPr>
        <w:pStyle w:val="2"/>
        <w:spacing w:line="360" w:lineRule="auto"/>
        <w:ind w:firstLine="420" w:firstLineChars="200"/>
        <w:rPr>
          <w:rFonts w:hint="eastAsia"/>
          <w:color w:val="000000"/>
        </w:rPr>
      </w:pPr>
      <w:r>
        <w:rPr>
          <w:rFonts w:hint="eastAsia" w:hAnsi="宋体"/>
          <w:color w:val="000000"/>
          <w:szCs w:val="21"/>
        </w:rPr>
        <w:t>2、招标人发送《中标通知书》给中标人，中标人应及时与招标人联系，在规定的时间内（一般为接到通知后3个工作日内）到招标单位对《中标人推荐表》进行签字确认，如果中标人接到《中标通知书》后，</w:t>
      </w:r>
      <w:r>
        <w:rPr>
          <w:rFonts w:hint="eastAsia" w:hAnsi="宋体"/>
          <w:color w:val="000000"/>
        </w:rPr>
        <w:t>无不正当理由拒签合同、在签订合同时向招标人提出无理附加条件的，将取消该投标人的中标资格，</w:t>
      </w:r>
      <w:r>
        <w:rPr>
          <w:rFonts w:hint="eastAsia"/>
          <w:color w:val="000000"/>
        </w:rPr>
        <w:t>该投标人2年内不得参与招标人组织的</w:t>
      </w:r>
      <w:r>
        <w:rPr>
          <w:rFonts w:hint="eastAsia"/>
          <w:color w:val="000000"/>
          <w:lang w:val="en-US" w:eastAsia="zh-CN"/>
        </w:rPr>
        <w:t>办公家具</w:t>
      </w:r>
      <w:r>
        <w:rPr>
          <w:rFonts w:hint="eastAsia"/>
          <w:color w:val="000000"/>
        </w:rPr>
        <w:t>类的招投标项目。</w:t>
      </w:r>
    </w:p>
    <w:p w14:paraId="3F32F95B">
      <w:pPr>
        <w:pStyle w:val="2"/>
        <w:spacing w:line="360" w:lineRule="auto"/>
        <w:ind w:firstLine="422" w:firstLineChars="200"/>
        <w:rPr>
          <w:rFonts w:hint="eastAsia"/>
          <w:b/>
          <w:bCs/>
        </w:rPr>
      </w:pPr>
      <w:r>
        <w:rPr>
          <w:rFonts w:hint="eastAsia" w:hAnsi="宋体"/>
          <w:b/>
          <w:bCs/>
          <w:szCs w:val="21"/>
        </w:rPr>
        <w:t>3、合同订立后，一旦第一中标人由于履行合同义务的能力或信用有严重缺陷，招标人可以终止履行本合同，并要求该中标人返还已支付的款项，招标人不承担违约责任，同时</w:t>
      </w:r>
      <w:r>
        <w:rPr>
          <w:rFonts w:hint="eastAsia"/>
          <w:b/>
          <w:bCs/>
        </w:rPr>
        <w:t>该投标人2年内不得参与招标人组织的</w:t>
      </w:r>
      <w:r>
        <w:rPr>
          <w:rFonts w:hint="eastAsia"/>
          <w:b/>
          <w:bCs/>
          <w:lang w:val="en-US" w:eastAsia="zh-CN"/>
        </w:rPr>
        <w:t>办公家具</w:t>
      </w:r>
      <w:r>
        <w:rPr>
          <w:rFonts w:hint="eastAsia"/>
          <w:b/>
          <w:bCs/>
        </w:rPr>
        <w:t>类的招投标项目</w:t>
      </w:r>
      <w:r>
        <w:rPr>
          <w:rFonts w:hint="eastAsia" w:hAnsi="宋体"/>
          <w:b/>
          <w:bCs/>
        </w:rPr>
        <w:t>；</w:t>
      </w:r>
      <w:r>
        <w:rPr>
          <w:rFonts w:hint="eastAsia" w:hAnsi="宋体"/>
          <w:b/>
          <w:bCs/>
          <w:szCs w:val="21"/>
        </w:rPr>
        <w:t>由第二顺位投标人继续签订合同，完成后续供货及服务。</w:t>
      </w:r>
    </w:p>
    <w:p w14:paraId="61BD8CB9">
      <w:pPr>
        <w:pStyle w:val="2"/>
        <w:spacing w:line="360" w:lineRule="auto"/>
        <w:ind w:firstLine="420" w:firstLineChars="200"/>
        <w:rPr>
          <w:rFonts w:hint="eastAsia" w:ascii="黑体" w:eastAsia="黑体"/>
          <w:b/>
          <w:bCs/>
          <w:sz w:val="28"/>
          <w:lang w:val="en-US" w:eastAsia="zh-CN"/>
        </w:rPr>
      </w:pPr>
      <w:r>
        <w:rPr>
          <w:rFonts w:hint="eastAsia" w:hAnsi="宋体"/>
          <w:color w:val="000000"/>
          <w:szCs w:val="21"/>
        </w:rPr>
        <w:t>4、中标人应当按照合同约定的履约责任，在保证质量的前提下完成中标项目，不得将中标项目转包或分包给他人，否则视为违约，招标人有权解除合同。</w:t>
      </w:r>
    </w:p>
    <w:p w14:paraId="09C18132">
      <w:pPr>
        <w:pStyle w:val="2"/>
        <w:spacing w:line="360" w:lineRule="auto"/>
        <w:rPr>
          <w:rFonts w:hint="eastAsia" w:ascii="黑体" w:eastAsia="黑体"/>
          <w:b/>
          <w:bCs/>
          <w:sz w:val="28"/>
        </w:rPr>
      </w:pPr>
      <w:r>
        <w:rPr>
          <w:rFonts w:hint="eastAsia" w:ascii="黑体" w:eastAsia="黑体"/>
          <w:b/>
          <w:bCs/>
          <w:sz w:val="28"/>
          <w:lang w:val="en-US" w:eastAsia="zh-CN"/>
        </w:rPr>
        <w:t>九</w:t>
      </w:r>
      <w:r>
        <w:rPr>
          <w:rFonts w:hint="eastAsia" w:ascii="黑体" w:eastAsia="黑体"/>
          <w:b/>
          <w:bCs/>
          <w:sz w:val="28"/>
        </w:rPr>
        <w:t>、废标及终止招标</w:t>
      </w:r>
    </w:p>
    <w:p w14:paraId="3558D180">
      <w:pPr>
        <w:spacing w:line="520" w:lineRule="exact"/>
        <w:ind w:right="2" w:firstLine="420" w:firstLineChars="200"/>
        <w:rPr>
          <w:rFonts w:hint="eastAsia" w:ascii="宋体" w:hAnsi="Courier New"/>
        </w:rPr>
      </w:pPr>
      <w:r>
        <w:rPr>
          <w:rFonts w:hint="eastAsia" w:ascii="宋体" w:hAnsi="Courier New"/>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46385E42">
      <w:pPr>
        <w:spacing w:line="520" w:lineRule="exact"/>
        <w:ind w:right="2" w:firstLine="420" w:firstLineChars="200"/>
        <w:rPr>
          <w:rFonts w:hint="eastAsia" w:ascii="宋体" w:hAnsi="Courier New"/>
        </w:rPr>
      </w:pPr>
      <w:r>
        <w:rPr>
          <w:rFonts w:hint="eastAsia" w:ascii="宋体" w:hAnsi="Courier New"/>
        </w:rPr>
        <w:t>（1）投标人提供的有关资格、资质证明文件不合格、不真实或提供虚假投标材料；</w:t>
      </w:r>
    </w:p>
    <w:p w14:paraId="15F8F236">
      <w:pPr>
        <w:spacing w:line="520" w:lineRule="exact"/>
        <w:ind w:right="2" w:firstLine="420" w:firstLineChars="200"/>
        <w:rPr>
          <w:rFonts w:hint="eastAsia" w:ascii="宋体" w:hAnsi="Courier New"/>
        </w:rPr>
      </w:pPr>
      <w:r>
        <w:rPr>
          <w:rFonts w:hint="eastAsia" w:ascii="宋体" w:hAnsi="Courier New"/>
        </w:rPr>
        <w:t>（2）投标人在报价有效期内撤回投标；</w:t>
      </w:r>
    </w:p>
    <w:p w14:paraId="1773CCCD">
      <w:pPr>
        <w:spacing w:line="520" w:lineRule="exact"/>
        <w:ind w:right="2" w:firstLine="420" w:firstLineChars="200"/>
        <w:rPr>
          <w:rFonts w:hint="eastAsia" w:ascii="宋体" w:hAnsi="Courier New"/>
        </w:rPr>
      </w:pPr>
      <w:r>
        <w:rPr>
          <w:rFonts w:hint="eastAsia" w:ascii="宋体" w:hAnsi="Courier New"/>
        </w:rPr>
        <w:t>（3）在整个评标过程中，投标人有企图影响评标结果公正性的任何活动；</w:t>
      </w:r>
    </w:p>
    <w:p w14:paraId="0B7ECE93">
      <w:pPr>
        <w:spacing w:line="520" w:lineRule="exact"/>
        <w:ind w:right="2" w:firstLine="420" w:firstLineChars="200"/>
        <w:rPr>
          <w:rFonts w:hint="eastAsia" w:ascii="宋体" w:hAnsi="Courier New"/>
        </w:rPr>
      </w:pPr>
      <w:r>
        <w:rPr>
          <w:rFonts w:hint="eastAsia" w:ascii="宋体" w:hAnsi="Courier New"/>
        </w:rPr>
        <w:t>（4）投标人以任何方式诋毁其他投标人；</w:t>
      </w:r>
    </w:p>
    <w:p w14:paraId="201E621E">
      <w:pPr>
        <w:spacing w:line="520" w:lineRule="exact"/>
        <w:ind w:right="2" w:firstLine="420" w:firstLineChars="200"/>
        <w:rPr>
          <w:rFonts w:hint="eastAsia" w:ascii="宋体" w:hAnsi="Courier New"/>
        </w:rPr>
      </w:pPr>
      <w:r>
        <w:rPr>
          <w:rFonts w:hint="eastAsia" w:ascii="宋体" w:hAnsi="Courier New"/>
        </w:rPr>
        <w:t>（5）投标人串通投标；</w:t>
      </w:r>
    </w:p>
    <w:p w14:paraId="42E86EC4">
      <w:pPr>
        <w:spacing w:line="520" w:lineRule="exact"/>
        <w:ind w:right="2" w:firstLine="420" w:firstLineChars="200"/>
        <w:rPr>
          <w:rFonts w:hint="eastAsia" w:ascii="宋体" w:hAnsi="Courier New"/>
        </w:rPr>
      </w:pPr>
      <w:r>
        <w:rPr>
          <w:rFonts w:hint="eastAsia" w:ascii="宋体" w:hAnsi="Courier New"/>
        </w:rPr>
        <w:t>（6）以他人名义投标或者以其他方式弄虚作假，骗取中标的；</w:t>
      </w:r>
    </w:p>
    <w:p w14:paraId="61EA5DBF">
      <w:pPr>
        <w:spacing w:line="520" w:lineRule="exact"/>
        <w:ind w:right="2" w:firstLine="420" w:firstLineChars="200"/>
        <w:rPr>
          <w:rFonts w:hint="eastAsia" w:ascii="宋体" w:hAnsi="Courier New"/>
        </w:rPr>
      </w:pPr>
      <w:r>
        <w:rPr>
          <w:rFonts w:hint="eastAsia" w:ascii="宋体" w:hAnsi="Courier New"/>
        </w:rPr>
        <w:t>（7）法律、法规规定的其他情况；</w:t>
      </w:r>
    </w:p>
    <w:p w14:paraId="69D803BB">
      <w:pPr>
        <w:spacing w:line="520" w:lineRule="exact"/>
        <w:ind w:right="2" w:firstLine="420" w:firstLineChars="200"/>
        <w:rPr>
          <w:rFonts w:hint="eastAsia" w:ascii="宋体" w:hAnsi="Courier New"/>
        </w:rPr>
      </w:pPr>
      <w:r>
        <w:rPr>
          <w:rFonts w:hint="eastAsia" w:ascii="宋体" w:hAnsi="Courier New"/>
        </w:rPr>
        <w:t>（8）具有持股关系或者法定代表人（或负责人）同为一人的关联单位不得同时参加本项目同一包的投标，否则投标无效。</w:t>
      </w:r>
    </w:p>
    <w:p w14:paraId="43DA7388">
      <w:pPr>
        <w:spacing w:line="520" w:lineRule="exact"/>
        <w:ind w:right="2" w:firstLine="420" w:firstLineChars="200"/>
        <w:rPr>
          <w:rFonts w:hint="eastAsia" w:ascii="宋体" w:hAnsi="Courier New"/>
        </w:rPr>
      </w:pPr>
      <w:r>
        <w:rPr>
          <w:rFonts w:hint="eastAsia" w:ascii="宋体" w:hAnsi="Courier New"/>
        </w:rPr>
        <w:t>2、出现下列情形之一，招标人有权否决所有投标人的投标，并终止招标</w:t>
      </w:r>
    </w:p>
    <w:p w14:paraId="3D35FFB5">
      <w:pPr>
        <w:spacing w:line="520" w:lineRule="exact"/>
        <w:ind w:left="945" w:leftChars="200" w:right="2" w:hanging="525" w:hangingChars="250"/>
        <w:rPr>
          <w:rFonts w:hint="eastAsia" w:ascii="宋体" w:hAnsi="Courier New"/>
          <w:b/>
        </w:rPr>
      </w:pPr>
      <w:r>
        <w:rPr>
          <w:rFonts w:hint="eastAsia" w:ascii="宋体" w:hAnsi="Courier New"/>
        </w:rPr>
        <w:t>（1）竞价谈判</w:t>
      </w:r>
      <w:r>
        <w:rPr>
          <w:rFonts w:hint="eastAsia" w:ascii="宋体" w:hAnsi="Courier New"/>
          <w:b/>
        </w:rPr>
        <w:t>：</w:t>
      </w:r>
      <w:r>
        <w:rPr>
          <w:rFonts w:hint="eastAsia" w:ascii="宋体" w:hAnsi="Courier New"/>
        </w:rPr>
        <w:t>符合条件的投标人或者对招标文件做实质响应的投标人不足两家的；</w:t>
      </w:r>
    </w:p>
    <w:p w14:paraId="0594A3A6">
      <w:pPr>
        <w:spacing w:line="520" w:lineRule="exact"/>
        <w:ind w:right="2" w:firstLine="420" w:firstLineChars="200"/>
        <w:rPr>
          <w:rFonts w:hint="eastAsia" w:ascii="宋体" w:hAnsi="Courier New"/>
        </w:rPr>
      </w:pPr>
      <w:r>
        <w:rPr>
          <w:rFonts w:hint="eastAsia" w:ascii="宋体" w:hAnsi="Courier New"/>
        </w:rPr>
        <w:t>（2）出现影响采购公正的违法、违规行为的；</w:t>
      </w:r>
    </w:p>
    <w:p w14:paraId="7F9F602A">
      <w:pPr>
        <w:spacing w:line="520" w:lineRule="exact"/>
        <w:ind w:right="2" w:firstLine="420" w:firstLineChars="200"/>
        <w:rPr>
          <w:rFonts w:hint="eastAsia" w:ascii="宋体" w:hAnsi="Courier New"/>
        </w:rPr>
      </w:pPr>
      <w:r>
        <w:rPr>
          <w:rFonts w:hint="eastAsia" w:ascii="宋体" w:hAnsi="Courier New"/>
        </w:rPr>
        <w:t>（3）投标人的投标均超过了采购预算；</w:t>
      </w:r>
    </w:p>
    <w:p w14:paraId="2A7A615C">
      <w:pPr>
        <w:spacing w:line="520" w:lineRule="exact"/>
        <w:ind w:right="2" w:firstLine="420" w:firstLineChars="200"/>
        <w:rPr>
          <w:rFonts w:hint="eastAsia" w:ascii="宋体" w:hAnsi="Courier New"/>
        </w:rPr>
      </w:pPr>
      <w:r>
        <w:rPr>
          <w:rFonts w:hint="eastAsia" w:ascii="宋体" w:hAnsi="Courier New"/>
        </w:rPr>
        <w:t>（4）因重大变故，采购任务取消的；</w:t>
      </w:r>
    </w:p>
    <w:p w14:paraId="440AB9C8">
      <w:pPr>
        <w:spacing w:line="520" w:lineRule="exact"/>
        <w:ind w:right="2" w:firstLine="420" w:firstLineChars="200"/>
        <w:rPr>
          <w:rFonts w:hint="eastAsia" w:ascii="宋体" w:hAnsi="Courier New"/>
        </w:rPr>
      </w:pPr>
      <w:r>
        <w:rPr>
          <w:rFonts w:hint="eastAsia" w:ascii="宋体" w:hAnsi="Courier New"/>
        </w:rPr>
        <w:t>（5）法律、法规规定的其他情况；</w:t>
      </w:r>
    </w:p>
    <w:p w14:paraId="583E4831">
      <w:pPr>
        <w:pStyle w:val="2"/>
        <w:spacing w:line="360" w:lineRule="auto"/>
        <w:ind w:left="708" w:leftChars="187" w:hanging="315" w:hangingChars="150"/>
        <w:rPr>
          <w:rFonts w:hint="eastAsia" w:hAnsi="宋体"/>
          <w:sz w:val="21"/>
          <w:szCs w:val="21"/>
        </w:rPr>
      </w:pPr>
    </w:p>
    <w:p w14:paraId="6483CCFF">
      <w:pPr>
        <w:pStyle w:val="2"/>
        <w:spacing w:line="360" w:lineRule="auto"/>
        <w:rPr>
          <w:rFonts w:hint="eastAsia"/>
        </w:rPr>
      </w:pPr>
      <w:r>
        <w:rPr>
          <w:rFonts w:hint="eastAsia" w:ascii="黑体" w:eastAsia="黑体"/>
          <w:b/>
          <w:bCs/>
          <w:sz w:val="28"/>
          <w:lang w:val="en-US" w:eastAsia="zh-CN"/>
        </w:rPr>
        <w:t>十</w:t>
      </w:r>
      <w:r>
        <w:rPr>
          <w:rFonts w:hint="eastAsia" w:ascii="黑体" w:eastAsia="黑体"/>
          <w:b/>
          <w:bCs/>
          <w:sz w:val="28"/>
        </w:rPr>
        <w:t>、本次招标最终解释权归中国重型汽车集团有限公司。</w:t>
      </w:r>
    </w:p>
    <w:p w14:paraId="4D067FDA">
      <w:pPr>
        <w:rPr>
          <w:rFonts w:hint="eastAsia"/>
        </w:rPr>
      </w:pPr>
    </w:p>
    <w:p w14:paraId="3B918AAA">
      <w:pPr>
        <w:rPr>
          <w:rFonts w:hint="eastAsia"/>
        </w:rPr>
        <w:sectPr>
          <w:pgSz w:w="11906" w:h="16838"/>
          <w:pgMar w:top="1440" w:right="1800" w:bottom="1440" w:left="1800" w:header="851" w:footer="992" w:gutter="0"/>
          <w:cols w:space="425" w:num="1"/>
          <w:docGrid w:type="lines" w:linePitch="312" w:charSpace="0"/>
        </w:sectPr>
      </w:pPr>
    </w:p>
    <w:tbl>
      <w:tblPr>
        <w:tblStyle w:val="8"/>
        <w:tblW w:w="13833" w:type="dxa"/>
        <w:tblInd w:w="-454"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833"/>
      </w:tblGrid>
      <w:tr w14:paraId="7E5AD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13833" w:type="dxa"/>
            <w:tcBorders>
              <w:top w:val="nil"/>
              <w:left w:val="nil"/>
              <w:bottom w:val="nil"/>
              <w:right w:val="nil"/>
            </w:tcBorders>
            <w:shd w:val="clear" w:color="auto" w:fill="auto"/>
            <w:vAlign w:val="center"/>
          </w:tcPr>
          <w:p w14:paraId="2A3FA01C">
            <w:pPr>
              <w:keepNext w:val="0"/>
              <w:keepLines w:val="0"/>
              <w:widowControl/>
              <w:suppressLineNumbers w:val="0"/>
              <w:jc w:val="left"/>
              <w:textAlignment w:val="center"/>
              <w:rPr>
                <w:rFonts w:hint="eastAsia" w:ascii="仿宋" w:hAnsi="仿宋" w:eastAsia="仿宋" w:cs="仿宋"/>
                <w:i w:val="0"/>
                <w:iCs w:val="0"/>
                <w:color w:val="000000"/>
                <w:kern w:val="0"/>
                <w:sz w:val="32"/>
                <w:szCs w:val="32"/>
                <w:u w:val="none"/>
                <w:lang w:val="en-US" w:eastAsia="zh-CN" w:bidi="ar"/>
              </w:rPr>
            </w:pPr>
          </w:p>
          <w:tbl>
            <w:tblPr>
              <w:tblStyle w:val="8"/>
              <w:tblW w:w="13593"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3593"/>
            </w:tblGrid>
            <w:tr w14:paraId="6B1F8A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trPr>
              <w:tc>
                <w:tcPr>
                  <w:tcW w:w="13593" w:type="dxa"/>
                  <w:tcBorders>
                    <w:top w:val="nil"/>
                    <w:left w:val="nil"/>
                    <w:bottom w:val="nil"/>
                    <w:right w:val="nil"/>
                  </w:tcBorders>
                  <w:shd w:val="clear" w:color="auto" w:fill="auto"/>
                  <w:vAlign w:val="center"/>
                </w:tcPr>
                <w:p w14:paraId="69DE69F9">
                  <w:pPr>
                    <w:ind w:firstLine="3520" w:firstLineChars="1100"/>
                    <w:jc w:val="left"/>
                    <w:rPr>
                      <w:rFonts w:hint="eastAsia" w:ascii="微软雅黑" w:hAnsi="微软雅黑" w:eastAsia="微软雅黑" w:cs="微软雅黑"/>
                      <w:i w:val="0"/>
                      <w:iCs w:val="0"/>
                      <w:color w:val="000000"/>
                      <w:kern w:val="0"/>
                      <w:sz w:val="32"/>
                      <w:szCs w:val="32"/>
                      <w:u w:val="none"/>
                      <w:lang w:val="en-US" w:eastAsia="zh-CN" w:bidi="ar"/>
                    </w:rPr>
                  </w:pPr>
                  <w:r>
                    <w:rPr>
                      <w:rFonts w:hint="eastAsia" w:ascii="微软雅黑" w:hAnsi="微软雅黑" w:eastAsia="微软雅黑" w:cs="微软雅黑"/>
                      <w:i w:val="0"/>
                      <w:iCs w:val="0"/>
                      <w:color w:val="000000"/>
                      <w:kern w:val="0"/>
                      <w:sz w:val="32"/>
                      <w:szCs w:val="32"/>
                      <w:u w:val="none"/>
                      <w:lang w:val="en-US" w:eastAsia="zh-CN" w:bidi="ar"/>
                    </w:rPr>
                    <w:t xml:space="preserve">中国重汽集团职能部室办公家具采购明细表              </w:t>
                  </w:r>
                  <w:r>
                    <w:rPr>
                      <w:rFonts w:hint="eastAsia" w:ascii="微软雅黑" w:hAnsi="微软雅黑" w:eastAsia="微软雅黑" w:cs="微软雅黑"/>
                      <w:i w:val="0"/>
                      <w:iCs w:val="0"/>
                      <w:color w:val="000000"/>
                      <w:kern w:val="0"/>
                      <w:sz w:val="21"/>
                      <w:szCs w:val="21"/>
                      <w:u w:val="none"/>
                      <w:lang w:val="en-US" w:eastAsia="zh-CN" w:bidi="ar"/>
                    </w:rPr>
                    <w:t>税率：</w:t>
                  </w:r>
                </w:p>
                <w:tbl>
                  <w:tblPr>
                    <w:tblStyle w:val="8"/>
                    <w:tblW w:w="13329" w:type="dxa"/>
                    <w:tblInd w:w="-1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3"/>
                    <w:gridCol w:w="688"/>
                    <w:gridCol w:w="2663"/>
                    <w:gridCol w:w="1252"/>
                    <w:gridCol w:w="1267"/>
                    <w:gridCol w:w="601"/>
                    <w:gridCol w:w="3330"/>
                    <w:gridCol w:w="382"/>
                    <w:gridCol w:w="413"/>
                    <w:gridCol w:w="427"/>
                    <w:gridCol w:w="450"/>
                    <w:gridCol w:w="353"/>
                    <w:gridCol w:w="352"/>
                    <w:gridCol w:w="398"/>
                  </w:tblGrid>
                  <w:tr w14:paraId="19DF6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73" w:hRule="atLeast"/>
                    </w:trPr>
                    <w:tc>
                      <w:tcPr>
                        <w:tcW w:w="753" w:type="dxa"/>
                        <w:tcBorders>
                          <w:top w:val="single" w:color="000000" w:sz="4" w:space="0"/>
                          <w:left w:val="single" w:color="000000" w:sz="4" w:space="0"/>
                          <w:bottom w:val="single" w:color="000000" w:sz="4" w:space="0"/>
                          <w:right w:val="single" w:color="000000" w:sz="4" w:space="0"/>
                        </w:tcBorders>
                        <w:shd w:val="clear" w:color="auto" w:fill="F2F2F2"/>
                        <w:vAlign w:val="center"/>
                      </w:tcPr>
                      <w:p w14:paraId="5796303A">
                        <w:pPr>
                          <w:keepNext w:val="0"/>
                          <w:keepLines w:val="0"/>
                          <w:pageBreakBefore w:val="0"/>
                          <w:widowControl/>
                          <w:suppressLineNumbers w:val="0"/>
                          <w:kinsoku/>
                          <w:wordWrap/>
                          <w:overflowPunct/>
                          <w:topLinePunct w:val="0"/>
                          <w:autoSpaceDE/>
                          <w:autoSpaceDN/>
                          <w:bidi w:val="0"/>
                          <w:adjustRightInd/>
                          <w:snapToGrid/>
                          <w:spacing w:line="120" w:lineRule="auto"/>
                          <w:jc w:val="center"/>
                          <w:textAlignment w:val="center"/>
                          <w:rPr>
                            <w:rFonts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bidi="ar"/>
                          </w:rPr>
                          <w:t>序号</w:t>
                        </w:r>
                      </w:p>
                    </w:tc>
                    <w:tc>
                      <w:tcPr>
                        <w:tcW w:w="688" w:type="dxa"/>
                        <w:tcBorders>
                          <w:top w:val="single" w:color="000000" w:sz="4" w:space="0"/>
                          <w:left w:val="single" w:color="000000" w:sz="4" w:space="0"/>
                          <w:bottom w:val="single" w:color="000000" w:sz="4" w:space="0"/>
                          <w:right w:val="single" w:color="000000" w:sz="4" w:space="0"/>
                        </w:tcBorders>
                        <w:shd w:val="clear" w:color="auto" w:fill="F2F2F2"/>
                        <w:vAlign w:val="center"/>
                      </w:tcPr>
                      <w:p w14:paraId="04882B25">
                        <w:pPr>
                          <w:keepNext w:val="0"/>
                          <w:keepLines w:val="0"/>
                          <w:pageBreakBefore w:val="0"/>
                          <w:widowControl/>
                          <w:suppressLineNumbers w:val="0"/>
                          <w:kinsoku/>
                          <w:wordWrap/>
                          <w:overflowPunct/>
                          <w:topLinePunct w:val="0"/>
                          <w:autoSpaceDE/>
                          <w:autoSpaceDN/>
                          <w:bidi w:val="0"/>
                          <w:adjustRightInd/>
                          <w:snapToGrid/>
                          <w:spacing w:line="120" w:lineRule="auto"/>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bidi="ar"/>
                          </w:rPr>
                          <w:t>名称</w:t>
                        </w:r>
                      </w:p>
                    </w:tc>
                    <w:tc>
                      <w:tcPr>
                        <w:tcW w:w="2663" w:type="dxa"/>
                        <w:tcBorders>
                          <w:top w:val="single" w:color="000000" w:sz="4" w:space="0"/>
                          <w:left w:val="single" w:color="000000" w:sz="4" w:space="0"/>
                          <w:bottom w:val="single" w:color="000000" w:sz="4" w:space="0"/>
                          <w:right w:val="single" w:color="000000" w:sz="4" w:space="0"/>
                        </w:tcBorders>
                        <w:shd w:val="clear" w:color="auto" w:fill="F2F2F2"/>
                        <w:vAlign w:val="center"/>
                      </w:tcPr>
                      <w:p w14:paraId="702BF2BC">
                        <w:pPr>
                          <w:keepNext w:val="0"/>
                          <w:keepLines w:val="0"/>
                          <w:pageBreakBefore w:val="0"/>
                          <w:widowControl/>
                          <w:suppressLineNumbers w:val="0"/>
                          <w:kinsoku/>
                          <w:wordWrap/>
                          <w:overflowPunct/>
                          <w:topLinePunct w:val="0"/>
                          <w:autoSpaceDE/>
                          <w:autoSpaceDN/>
                          <w:bidi w:val="0"/>
                          <w:adjustRightInd/>
                          <w:snapToGrid/>
                          <w:spacing w:line="120" w:lineRule="auto"/>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bidi="ar"/>
                          </w:rPr>
                          <w:t>图片</w:t>
                        </w:r>
                      </w:p>
                    </w:tc>
                    <w:tc>
                      <w:tcPr>
                        <w:tcW w:w="1252" w:type="dxa"/>
                        <w:tcBorders>
                          <w:top w:val="single" w:color="000000" w:sz="4" w:space="0"/>
                          <w:left w:val="single" w:color="000000" w:sz="4" w:space="0"/>
                          <w:bottom w:val="single" w:color="000000" w:sz="4" w:space="0"/>
                          <w:right w:val="single" w:color="000000" w:sz="4" w:space="0"/>
                        </w:tcBorders>
                        <w:shd w:val="clear" w:color="auto" w:fill="F2F2F2"/>
                        <w:vAlign w:val="center"/>
                      </w:tcPr>
                      <w:p w14:paraId="117873B9">
                        <w:pPr>
                          <w:keepNext w:val="0"/>
                          <w:keepLines w:val="0"/>
                          <w:pageBreakBefore w:val="0"/>
                          <w:widowControl/>
                          <w:suppressLineNumbers w:val="0"/>
                          <w:kinsoku/>
                          <w:wordWrap/>
                          <w:overflowPunct/>
                          <w:topLinePunct w:val="0"/>
                          <w:autoSpaceDE/>
                          <w:autoSpaceDN/>
                          <w:bidi w:val="0"/>
                          <w:adjustRightInd/>
                          <w:snapToGrid/>
                          <w:spacing w:line="120" w:lineRule="auto"/>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bidi="ar"/>
                          </w:rPr>
                          <w:t>规格</w:t>
                        </w:r>
                      </w:p>
                    </w:tc>
                    <w:tc>
                      <w:tcPr>
                        <w:tcW w:w="1267" w:type="dxa"/>
                        <w:tcBorders>
                          <w:top w:val="single" w:color="000000" w:sz="4" w:space="0"/>
                          <w:left w:val="single" w:color="000000" w:sz="4" w:space="0"/>
                          <w:bottom w:val="single" w:color="000000" w:sz="4" w:space="0"/>
                          <w:right w:val="single" w:color="000000" w:sz="4" w:space="0"/>
                        </w:tcBorders>
                        <w:shd w:val="clear" w:color="auto" w:fill="F2F2F2"/>
                        <w:vAlign w:val="center"/>
                      </w:tcPr>
                      <w:p w14:paraId="7595FE26">
                        <w:pPr>
                          <w:keepNext w:val="0"/>
                          <w:keepLines w:val="0"/>
                          <w:pageBreakBefore w:val="0"/>
                          <w:widowControl/>
                          <w:suppressLineNumbers w:val="0"/>
                          <w:kinsoku/>
                          <w:wordWrap/>
                          <w:overflowPunct/>
                          <w:topLinePunct w:val="0"/>
                          <w:autoSpaceDE/>
                          <w:autoSpaceDN/>
                          <w:bidi w:val="0"/>
                          <w:adjustRightInd/>
                          <w:snapToGrid/>
                          <w:spacing w:line="120" w:lineRule="auto"/>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bidi="ar"/>
                          </w:rPr>
                          <w:t>材质/颜色</w:t>
                        </w:r>
                      </w:p>
                    </w:tc>
                    <w:tc>
                      <w:tcPr>
                        <w:tcW w:w="601" w:type="dxa"/>
                        <w:tcBorders>
                          <w:top w:val="single" w:color="000000" w:sz="4" w:space="0"/>
                          <w:left w:val="single" w:color="000000" w:sz="4" w:space="0"/>
                          <w:bottom w:val="single" w:color="000000" w:sz="4" w:space="0"/>
                          <w:right w:val="single" w:color="000000" w:sz="4" w:space="0"/>
                        </w:tcBorders>
                        <w:shd w:val="clear" w:color="auto" w:fill="F2F2F2"/>
                        <w:vAlign w:val="center"/>
                      </w:tcPr>
                      <w:p w14:paraId="1B016925">
                        <w:pPr>
                          <w:keepNext w:val="0"/>
                          <w:keepLines w:val="0"/>
                          <w:pageBreakBefore w:val="0"/>
                          <w:widowControl/>
                          <w:suppressLineNumbers w:val="0"/>
                          <w:kinsoku/>
                          <w:wordWrap/>
                          <w:overflowPunct/>
                          <w:topLinePunct w:val="0"/>
                          <w:autoSpaceDE/>
                          <w:autoSpaceDN/>
                          <w:bidi w:val="0"/>
                          <w:adjustRightInd/>
                          <w:snapToGrid/>
                          <w:spacing w:line="120" w:lineRule="auto"/>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bidi="ar"/>
                          </w:rPr>
                          <w:t>数量</w:t>
                        </w:r>
                      </w:p>
                    </w:tc>
                    <w:tc>
                      <w:tcPr>
                        <w:tcW w:w="3330" w:type="dxa"/>
                        <w:tcBorders>
                          <w:top w:val="single" w:color="000000" w:sz="4" w:space="0"/>
                          <w:left w:val="single" w:color="000000" w:sz="4" w:space="0"/>
                          <w:bottom w:val="single" w:color="000000" w:sz="4" w:space="0"/>
                          <w:right w:val="single" w:color="000000" w:sz="4" w:space="0"/>
                        </w:tcBorders>
                        <w:shd w:val="clear" w:color="auto" w:fill="F2F2F2"/>
                        <w:vAlign w:val="center"/>
                      </w:tcPr>
                      <w:p w14:paraId="4E0DEB08">
                        <w:pPr>
                          <w:keepNext w:val="0"/>
                          <w:keepLines w:val="0"/>
                          <w:pageBreakBefore w:val="0"/>
                          <w:widowControl/>
                          <w:suppressLineNumbers w:val="0"/>
                          <w:kinsoku/>
                          <w:wordWrap/>
                          <w:overflowPunct/>
                          <w:topLinePunct w:val="0"/>
                          <w:autoSpaceDE/>
                          <w:autoSpaceDN/>
                          <w:bidi w:val="0"/>
                          <w:adjustRightInd/>
                          <w:snapToGrid/>
                          <w:spacing w:line="120" w:lineRule="auto"/>
                          <w:jc w:val="center"/>
                          <w:textAlignment w:val="center"/>
                          <w:rPr>
                            <w:rFonts w:hint="eastAsia" w:ascii="微软雅黑" w:hAnsi="微软雅黑" w:eastAsia="微软雅黑" w:cs="微软雅黑"/>
                            <w:b/>
                            <w:bCs/>
                            <w:i w:val="0"/>
                            <w:iCs w:val="0"/>
                            <w:color w:val="000000"/>
                            <w:sz w:val="16"/>
                            <w:szCs w:val="16"/>
                            <w:u w:val="none"/>
                          </w:rPr>
                        </w:pPr>
                        <w:r>
                          <w:rPr>
                            <w:rFonts w:hint="eastAsia" w:ascii="微软雅黑" w:hAnsi="微软雅黑" w:eastAsia="微软雅黑" w:cs="微软雅黑"/>
                            <w:b/>
                            <w:bCs/>
                            <w:i w:val="0"/>
                            <w:iCs w:val="0"/>
                            <w:color w:val="000000"/>
                            <w:kern w:val="0"/>
                            <w:sz w:val="20"/>
                            <w:szCs w:val="20"/>
                            <w:u w:val="none"/>
                            <w:lang w:val="en-US" w:eastAsia="zh-CN" w:bidi="ar"/>
                          </w:rPr>
                          <w:t>产品备注</w:t>
                        </w:r>
                      </w:p>
                    </w:tc>
                    <w:tc>
                      <w:tcPr>
                        <w:tcW w:w="382" w:type="dxa"/>
                        <w:tcBorders>
                          <w:top w:val="single" w:color="000000" w:sz="4" w:space="0"/>
                          <w:left w:val="single" w:color="000000" w:sz="4" w:space="0"/>
                          <w:bottom w:val="single" w:color="000000" w:sz="4" w:space="0"/>
                          <w:right w:val="single" w:color="000000" w:sz="4" w:space="0"/>
                        </w:tcBorders>
                        <w:shd w:val="clear" w:color="auto" w:fill="F2F2F2"/>
                        <w:vAlign w:val="center"/>
                      </w:tcPr>
                      <w:p w14:paraId="3D86BAF8">
                        <w:pPr>
                          <w:keepNext w:val="0"/>
                          <w:keepLines w:val="0"/>
                          <w:pageBreakBefore w:val="0"/>
                          <w:widowControl/>
                          <w:suppressLineNumbers w:val="0"/>
                          <w:kinsoku/>
                          <w:wordWrap/>
                          <w:overflowPunct/>
                          <w:topLinePunct w:val="0"/>
                          <w:autoSpaceDE/>
                          <w:autoSpaceDN/>
                          <w:bidi w:val="0"/>
                          <w:adjustRightInd/>
                          <w:snapToGrid/>
                          <w:spacing w:line="120" w:lineRule="auto"/>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bidi="ar"/>
                          </w:rPr>
                          <w:t>单位</w:t>
                        </w:r>
                      </w:p>
                    </w:tc>
                    <w:tc>
                      <w:tcPr>
                        <w:tcW w:w="413" w:type="dxa"/>
                        <w:tcBorders>
                          <w:top w:val="single" w:color="000000" w:sz="4" w:space="0"/>
                          <w:left w:val="single" w:color="000000" w:sz="4" w:space="0"/>
                          <w:bottom w:val="single" w:color="000000" w:sz="4" w:space="0"/>
                          <w:right w:val="single" w:color="000000" w:sz="4" w:space="0"/>
                        </w:tcBorders>
                        <w:shd w:val="clear" w:color="auto" w:fill="F2F2F2"/>
                        <w:vAlign w:val="center"/>
                      </w:tcPr>
                      <w:p w14:paraId="145C45D7">
                        <w:pPr>
                          <w:keepNext w:val="0"/>
                          <w:keepLines w:val="0"/>
                          <w:pageBreakBefore w:val="0"/>
                          <w:widowControl/>
                          <w:suppressLineNumbers w:val="0"/>
                          <w:kinsoku/>
                          <w:wordWrap/>
                          <w:overflowPunct/>
                          <w:topLinePunct w:val="0"/>
                          <w:autoSpaceDE/>
                          <w:autoSpaceDN/>
                          <w:bidi w:val="0"/>
                          <w:adjustRightInd/>
                          <w:snapToGrid/>
                          <w:spacing w:line="120" w:lineRule="auto"/>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bidi="ar"/>
                          </w:rPr>
                          <w:t>送货周期</w:t>
                        </w:r>
                      </w:p>
                    </w:tc>
                    <w:tc>
                      <w:tcPr>
                        <w:tcW w:w="427" w:type="dxa"/>
                        <w:tcBorders>
                          <w:top w:val="single" w:color="000000" w:sz="4" w:space="0"/>
                          <w:left w:val="single" w:color="000000" w:sz="4" w:space="0"/>
                          <w:bottom w:val="single" w:color="000000" w:sz="4" w:space="0"/>
                          <w:right w:val="single" w:color="000000" w:sz="4" w:space="0"/>
                        </w:tcBorders>
                        <w:shd w:val="clear" w:color="auto" w:fill="F2F2F2"/>
                        <w:vAlign w:val="center"/>
                      </w:tcPr>
                      <w:p w14:paraId="7F146C75">
                        <w:pPr>
                          <w:keepNext w:val="0"/>
                          <w:keepLines w:val="0"/>
                          <w:pageBreakBefore w:val="0"/>
                          <w:widowControl/>
                          <w:suppressLineNumbers w:val="0"/>
                          <w:kinsoku/>
                          <w:wordWrap/>
                          <w:overflowPunct/>
                          <w:topLinePunct w:val="0"/>
                          <w:autoSpaceDE/>
                          <w:autoSpaceDN/>
                          <w:bidi w:val="0"/>
                          <w:adjustRightInd/>
                          <w:snapToGrid/>
                          <w:spacing w:line="120" w:lineRule="auto"/>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bidi="ar"/>
                          </w:rPr>
                          <w:t>单价含税</w:t>
                        </w:r>
                      </w:p>
                    </w:tc>
                    <w:tc>
                      <w:tcPr>
                        <w:tcW w:w="450" w:type="dxa"/>
                        <w:tcBorders>
                          <w:top w:val="single" w:color="000000" w:sz="4" w:space="0"/>
                          <w:left w:val="single" w:color="000000" w:sz="4" w:space="0"/>
                          <w:bottom w:val="single" w:color="000000" w:sz="4" w:space="0"/>
                          <w:right w:val="single" w:color="000000" w:sz="4" w:space="0"/>
                        </w:tcBorders>
                        <w:shd w:val="clear" w:color="auto" w:fill="F2F2F2"/>
                        <w:vAlign w:val="center"/>
                      </w:tcPr>
                      <w:p w14:paraId="7207C680">
                        <w:pPr>
                          <w:keepNext w:val="0"/>
                          <w:keepLines w:val="0"/>
                          <w:pageBreakBefore w:val="0"/>
                          <w:widowControl/>
                          <w:suppressLineNumbers w:val="0"/>
                          <w:kinsoku/>
                          <w:wordWrap/>
                          <w:overflowPunct/>
                          <w:topLinePunct w:val="0"/>
                          <w:autoSpaceDE/>
                          <w:autoSpaceDN/>
                          <w:bidi w:val="0"/>
                          <w:adjustRightInd/>
                          <w:snapToGrid/>
                          <w:spacing w:line="120" w:lineRule="auto"/>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bidi="ar"/>
                          </w:rPr>
                          <w:t>单价未税</w:t>
                        </w:r>
                      </w:p>
                    </w:tc>
                    <w:tc>
                      <w:tcPr>
                        <w:tcW w:w="353" w:type="dxa"/>
                        <w:tcBorders>
                          <w:top w:val="single" w:color="000000" w:sz="4" w:space="0"/>
                          <w:left w:val="single" w:color="000000" w:sz="4" w:space="0"/>
                          <w:bottom w:val="single" w:color="000000" w:sz="4" w:space="0"/>
                          <w:right w:val="single" w:color="000000" w:sz="4" w:space="0"/>
                        </w:tcBorders>
                        <w:shd w:val="clear" w:color="auto" w:fill="F2F2F2"/>
                        <w:vAlign w:val="center"/>
                      </w:tcPr>
                      <w:p w14:paraId="45B178B5">
                        <w:pPr>
                          <w:keepNext w:val="0"/>
                          <w:keepLines w:val="0"/>
                          <w:pageBreakBefore w:val="0"/>
                          <w:widowControl/>
                          <w:suppressLineNumbers w:val="0"/>
                          <w:kinsoku/>
                          <w:wordWrap/>
                          <w:overflowPunct/>
                          <w:topLinePunct w:val="0"/>
                          <w:autoSpaceDE/>
                          <w:autoSpaceDN/>
                          <w:bidi w:val="0"/>
                          <w:adjustRightInd/>
                          <w:snapToGrid/>
                          <w:spacing w:line="120" w:lineRule="auto"/>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bidi="ar"/>
                          </w:rPr>
                          <w:t>数量</w:t>
                        </w:r>
                      </w:p>
                    </w:tc>
                    <w:tc>
                      <w:tcPr>
                        <w:tcW w:w="352" w:type="dxa"/>
                        <w:tcBorders>
                          <w:top w:val="single" w:color="000000" w:sz="4" w:space="0"/>
                          <w:left w:val="single" w:color="000000" w:sz="4" w:space="0"/>
                          <w:bottom w:val="single" w:color="000000" w:sz="4" w:space="0"/>
                          <w:right w:val="single" w:color="000000" w:sz="4" w:space="0"/>
                        </w:tcBorders>
                        <w:shd w:val="clear" w:color="auto" w:fill="F2F2F2"/>
                        <w:vAlign w:val="center"/>
                      </w:tcPr>
                      <w:p w14:paraId="326C6363">
                        <w:pPr>
                          <w:keepNext w:val="0"/>
                          <w:keepLines w:val="0"/>
                          <w:pageBreakBefore w:val="0"/>
                          <w:widowControl/>
                          <w:suppressLineNumbers w:val="0"/>
                          <w:kinsoku/>
                          <w:wordWrap/>
                          <w:overflowPunct/>
                          <w:topLinePunct w:val="0"/>
                          <w:autoSpaceDE/>
                          <w:autoSpaceDN/>
                          <w:bidi w:val="0"/>
                          <w:adjustRightInd/>
                          <w:snapToGrid/>
                          <w:spacing w:line="120" w:lineRule="auto"/>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bidi="ar"/>
                          </w:rPr>
                          <w:t>总价含税</w:t>
                        </w:r>
                      </w:p>
                    </w:tc>
                    <w:tc>
                      <w:tcPr>
                        <w:tcW w:w="398" w:type="dxa"/>
                        <w:tcBorders>
                          <w:top w:val="single" w:color="000000" w:sz="4" w:space="0"/>
                          <w:left w:val="single" w:color="000000" w:sz="4" w:space="0"/>
                          <w:bottom w:val="single" w:color="000000" w:sz="4" w:space="0"/>
                          <w:right w:val="single" w:color="000000" w:sz="4" w:space="0"/>
                        </w:tcBorders>
                        <w:shd w:val="clear" w:color="auto" w:fill="F2F2F2"/>
                        <w:vAlign w:val="center"/>
                      </w:tcPr>
                      <w:p w14:paraId="65C93EBE">
                        <w:pPr>
                          <w:keepNext w:val="0"/>
                          <w:keepLines w:val="0"/>
                          <w:pageBreakBefore w:val="0"/>
                          <w:widowControl/>
                          <w:suppressLineNumbers w:val="0"/>
                          <w:kinsoku/>
                          <w:wordWrap/>
                          <w:overflowPunct/>
                          <w:topLinePunct w:val="0"/>
                          <w:autoSpaceDE/>
                          <w:autoSpaceDN/>
                          <w:bidi w:val="0"/>
                          <w:adjustRightInd/>
                          <w:snapToGrid/>
                          <w:spacing w:line="120" w:lineRule="auto"/>
                          <w:jc w:val="center"/>
                          <w:textAlignment w:val="center"/>
                          <w:rPr>
                            <w:rFonts w:hint="eastAsia" w:ascii="微软雅黑" w:hAnsi="微软雅黑" w:eastAsia="微软雅黑" w:cs="微软雅黑"/>
                            <w:b/>
                            <w:bCs/>
                            <w:i w:val="0"/>
                            <w:iCs w:val="0"/>
                            <w:color w:val="000000"/>
                            <w:sz w:val="20"/>
                            <w:szCs w:val="20"/>
                            <w:u w:val="none"/>
                          </w:rPr>
                        </w:pPr>
                        <w:r>
                          <w:rPr>
                            <w:rFonts w:hint="eastAsia" w:ascii="微软雅黑" w:hAnsi="微软雅黑" w:eastAsia="微软雅黑" w:cs="微软雅黑"/>
                            <w:b/>
                            <w:bCs/>
                            <w:i w:val="0"/>
                            <w:iCs w:val="0"/>
                            <w:color w:val="000000"/>
                            <w:kern w:val="0"/>
                            <w:sz w:val="20"/>
                            <w:szCs w:val="20"/>
                            <w:u w:val="none"/>
                            <w:lang w:val="en-US" w:eastAsia="zh-CN" w:bidi="ar"/>
                          </w:rPr>
                          <w:t>总价未税</w:t>
                        </w:r>
                      </w:p>
                    </w:tc>
                  </w:tr>
                  <w:tr w14:paraId="4CB9A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32" w:hRule="atLeast"/>
                    </w:trPr>
                    <w:tc>
                      <w:tcPr>
                        <w:tcW w:w="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9A89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2A48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班台</w:t>
                        </w:r>
                      </w:p>
                    </w:tc>
                    <w:tc>
                      <w:tcPr>
                        <w:tcW w:w="2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C7E9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drawing>
                            <wp:inline distT="0" distB="0" distL="114300" distR="114300">
                              <wp:extent cx="1489075" cy="900430"/>
                              <wp:effectExtent l="0" t="0" r="6350" b="4445"/>
                              <wp:docPr id="2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
                                      <pic:cNvPicPr>
                                        <a:picLocks noChangeAspect="1"/>
                                      </pic:cNvPicPr>
                                    </pic:nvPicPr>
                                    <pic:blipFill>
                                      <a:blip r:embed="rId4"/>
                                      <a:stretch>
                                        <a:fillRect/>
                                      </a:stretch>
                                    </pic:blipFill>
                                    <pic:spPr>
                                      <a:xfrm>
                                        <a:off x="0" y="0"/>
                                        <a:ext cx="1489075" cy="900430"/>
                                      </a:xfrm>
                                      <a:prstGeom prst="rect">
                                        <a:avLst/>
                                      </a:prstGeom>
                                    </pic:spPr>
                                  </pic:pic>
                                </a:graphicData>
                              </a:graphic>
                            </wp:inline>
                          </w:drawing>
                        </w:r>
                        <w:r>
                          <w:rPr>
                            <w:rFonts w:hint="eastAsia" w:ascii="微软雅黑" w:hAnsi="微软雅黑" w:eastAsia="微软雅黑" w:cs="微软雅黑"/>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144780</wp:posOffset>
                              </wp:positionH>
                              <wp:positionV relativeFrom="paragraph">
                                <wp:posOffset>365760</wp:posOffset>
                              </wp:positionV>
                              <wp:extent cx="1398905" cy="601345"/>
                              <wp:effectExtent l="0" t="0" r="0" b="0"/>
                              <wp:wrapNone/>
                              <wp:docPr id="10" name="图片_2"/>
                              <wp:cNvGraphicFramePr/>
                              <a:graphic xmlns:a="http://schemas.openxmlformats.org/drawingml/2006/main">
                                <a:graphicData uri="http://schemas.openxmlformats.org/drawingml/2006/picture">
                                  <pic:pic xmlns:pic="http://schemas.openxmlformats.org/drawingml/2006/picture">
                                    <pic:nvPicPr>
                                      <pic:cNvPr id="10" name="图片_2"/>
                                      <pic:cNvPicPr/>
                                    </pic:nvPicPr>
                                    <pic:blipFill>
                                      <a:blip r:embed="rId5"/>
                                      <a:stretch>
                                        <a:fillRect/>
                                      </a:stretch>
                                    </pic:blipFill>
                                    <pic:spPr>
                                      <a:xfrm>
                                        <a:off x="0" y="0"/>
                                        <a:ext cx="1398905" cy="601345"/>
                                      </a:xfrm>
                                      <a:prstGeom prst="rect">
                                        <a:avLst/>
                                      </a:prstGeom>
                                      <a:noFill/>
                                      <a:ln>
                                        <a:noFill/>
                                      </a:ln>
                                    </pic:spPr>
                                  </pic:pic>
                                </a:graphicData>
                              </a:graphic>
                            </wp:anchor>
                          </w:drawing>
                        </w:r>
                      </w:p>
                    </w:tc>
                    <w:tc>
                      <w:tcPr>
                        <w:tcW w:w="12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551E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3200*1200*760</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D95D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直纹灰橡开放漆+高级灰</w:t>
                        </w:r>
                      </w:p>
                    </w:tc>
                    <w:tc>
                      <w:tcPr>
                        <w:tcW w:w="6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09FB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w:t>
                        </w:r>
                      </w:p>
                    </w:tc>
                    <w:tc>
                      <w:tcPr>
                        <w:tcW w:w="33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40F932F">
                        <w:pPr>
                          <w:keepNext w:val="0"/>
                          <w:keepLines w:val="0"/>
                          <w:widowControl/>
                          <w:numPr>
                            <w:ilvl w:val="0"/>
                            <w:numId w:val="2"/>
                          </w:numPr>
                          <w:suppressLineNumbers w:val="0"/>
                          <w:jc w:val="left"/>
                          <w:textAlignment w:val="center"/>
                          <w:rPr>
                            <w:rFonts w:hint="eastAsia"/>
                          </w:rPr>
                        </w:pPr>
                        <w:r>
                          <w:rPr>
                            <w:rStyle w:val="19"/>
                            <w:lang w:val="en-US" w:eastAsia="zh-CN" w:bidi="ar"/>
                          </w:rPr>
                          <w:t>饰面：采用优质木皮，厚度≥0.6mm，总挥发性有机化合物≤20</w:t>
                        </w:r>
                        <w:r>
                          <w:rPr>
                            <w:rStyle w:val="20"/>
                            <w:lang w:val="en-US" w:eastAsia="zh-CN" w:bidi="ar"/>
                          </w:rPr>
                          <w:t>㎍</w:t>
                        </w:r>
                        <w:r>
                          <w:rPr>
                            <w:rStyle w:val="19"/>
                            <w:lang w:val="en-US" w:eastAsia="zh-CN" w:bidi="ar"/>
                          </w:rPr>
                          <w:t>/m³，甲醛释放量≤0.5mg/L，单板含水率3%～8%，无贯通裂缝、无虫蛀现象，无腐朽材。</w:t>
                        </w:r>
                        <w:r>
                          <w:rPr>
                            <w:rStyle w:val="19"/>
                            <w:lang w:val="en-US" w:eastAsia="zh-CN" w:bidi="ar"/>
                          </w:rPr>
                          <w:br w:type="textWrapping"/>
                        </w:r>
                        <w:r>
                          <w:rPr>
                            <w:rStyle w:val="19"/>
                            <w:lang w:val="en-US" w:eastAsia="zh-CN" w:bidi="ar"/>
                          </w:rPr>
                          <w:t>2、基材：采用优质不低于E1级高密度纤维板，甲醛释放量≤0.03mg/m³，总挥发性有机化合物≤20</w:t>
                        </w:r>
                        <w:r>
                          <w:rPr>
                            <w:rStyle w:val="20"/>
                            <w:lang w:val="en-US" w:eastAsia="zh-CN" w:bidi="ar"/>
                          </w:rPr>
                          <w:t>㎍</w:t>
                        </w:r>
                        <w:r>
                          <w:rPr>
                            <w:rStyle w:val="19"/>
                            <w:lang w:val="en-US" w:eastAsia="zh-CN" w:bidi="ar"/>
                          </w:rPr>
                          <w:t>/m³，防霉菌等级0级或1级。</w:t>
                        </w:r>
                        <w:r>
                          <w:rPr>
                            <w:rStyle w:val="19"/>
                            <w:lang w:val="en-US" w:eastAsia="zh-CN" w:bidi="ar"/>
                          </w:rPr>
                          <w:br w:type="textWrapping"/>
                        </w:r>
                        <w:r>
                          <w:rPr>
                            <w:rStyle w:val="19"/>
                            <w:lang w:val="en-US" w:eastAsia="zh-CN" w:bidi="ar"/>
                          </w:rPr>
                          <w:t>3、封边：采用优质实木封边条，厚度≥3mm，含水率8%～11%，甲醛释放量≤0.5mg/L，抗菌性能（抗细菌率）≥99.5%。</w:t>
                        </w:r>
                        <w:r>
                          <w:rPr>
                            <w:rStyle w:val="19"/>
                            <w:lang w:val="en-US" w:eastAsia="zh-CN" w:bidi="ar"/>
                          </w:rPr>
                          <w:br w:type="textWrapping"/>
                        </w:r>
                        <w:r>
                          <w:rPr>
                            <w:rStyle w:val="19"/>
                            <w:lang w:val="en-US" w:eastAsia="zh-CN" w:bidi="ar"/>
                          </w:rPr>
                          <w:t>4、油漆：采用优质环保油漆，苯含量≤0.1%，甲醛含量≤10mg/kg，甲苯与二甲苯（含乙苯）总和含量≤5%，多环芳烃总和含量≤1mg/kg，抗菌性能（抗细菌率）≥99.5%，附着力1级。</w:t>
                        </w:r>
                        <w:r>
                          <w:rPr>
                            <w:rStyle w:val="19"/>
                            <w:lang w:val="en-US" w:eastAsia="zh-CN" w:bidi="ar"/>
                          </w:rPr>
                          <w:br w:type="textWrapping"/>
                        </w:r>
                        <w:r>
                          <w:rPr>
                            <w:rStyle w:val="19"/>
                            <w:lang w:val="en-US" w:eastAsia="zh-CN" w:bidi="ar"/>
                          </w:rPr>
                          <w:t>5、水性胶粘剂：选用优质环保胶，游离甲醛≤0.5g/kg，总挥发性有机物≤5g/L，卤代烃≤0.1g/kg。</w:t>
                        </w:r>
                        <w:r>
                          <w:rPr>
                            <w:rStyle w:val="19"/>
                            <w:lang w:val="en-US" w:eastAsia="zh-CN" w:bidi="ar"/>
                          </w:rPr>
                          <w:br w:type="textWrapping"/>
                        </w:r>
                        <w:r>
                          <w:rPr>
                            <w:rStyle w:val="19"/>
                            <w:lang w:val="en-US" w:eastAsia="zh-CN" w:bidi="ar"/>
                          </w:rPr>
                          <w:t>6、五金配件：采用优质品牌五金配件。</w:t>
                        </w:r>
                      </w:p>
                      <w:p w14:paraId="24823F13">
                        <w:pPr>
                          <w:pStyle w:val="2"/>
                          <w:widowControl w:val="0"/>
                          <w:numPr>
                            <w:ilvl w:val="0"/>
                            <w:numId w:val="0"/>
                          </w:numPr>
                          <w:jc w:val="both"/>
                          <w:rPr>
                            <w:rFonts w:hint="eastAsia"/>
                          </w:rPr>
                        </w:pPr>
                      </w:p>
                      <w:p w14:paraId="027B0742">
                        <w:pPr>
                          <w:pStyle w:val="2"/>
                          <w:widowControl w:val="0"/>
                          <w:numPr>
                            <w:ilvl w:val="0"/>
                            <w:numId w:val="0"/>
                          </w:numPr>
                          <w:jc w:val="both"/>
                          <w:rPr>
                            <w:rFonts w:hint="eastAsia"/>
                          </w:rPr>
                        </w:pPr>
                      </w:p>
                      <w:p w14:paraId="3C34DA4A">
                        <w:pPr>
                          <w:pStyle w:val="2"/>
                          <w:widowControl w:val="0"/>
                          <w:numPr>
                            <w:ilvl w:val="0"/>
                            <w:numId w:val="0"/>
                          </w:numPr>
                          <w:jc w:val="both"/>
                          <w:rPr>
                            <w:rFonts w:hint="eastAsia"/>
                          </w:rPr>
                        </w:pPr>
                      </w:p>
                      <w:p w14:paraId="11CE4617">
                        <w:pPr>
                          <w:pStyle w:val="2"/>
                          <w:widowControl w:val="0"/>
                          <w:numPr>
                            <w:ilvl w:val="0"/>
                            <w:numId w:val="0"/>
                          </w:numPr>
                          <w:jc w:val="both"/>
                          <w:rPr>
                            <w:rFonts w:hint="eastAsia"/>
                          </w:rPr>
                        </w:pPr>
                      </w:p>
                      <w:p w14:paraId="06A5B58F">
                        <w:pPr>
                          <w:pStyle w:val="2"/>
                          <w:widowControl w:val="0"/>
                          <w:numPr>
                            <w:ilvl w:val="0"/>
                            <w:numId w:val="0"/>
                          </w:numPr>
                          <w:jc w:val="both"/>
                          <w:rPr>
                            <w:rFonts w:hint="eastAsia"/>
                          </w:rPr>
                        </w:pPr>
                      </w:p>
                    </w:tc>
                    <w:tc>
                      <w:tcPr>
                        <w:tcW w:w="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2803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组</w:t>
                        </w:r>
                      </w:p>
                    </w:tc>
                    <w:tc>
                      <w:tcPr>
                        <w:tcW w:w="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14A43">
                        <w:pPr>
                          <w:jc w:val="center"/>
                          <w:rPr>
                            <w:rFonts w:hint="eastAsia" w:ascii="微软雅黑" w:hAnsi="微软雅黑" w:eastAsia="微软雅黑" w:cs="微软雅黑"/>
                            <w:i w:val="0"/>
                            <w:iCs w:val="0"/>
                            <w:color w:val="000000"/>
                            <w:sz w:val="20"/>
                            <w:szCs w:val="20"/>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44014">
                        <w:pPr>
                          <w:keepNext w:val="0"/>
                          <w:keepLines w:val="0"/>
                          <w:widowControl/>
                          <w:suppressLineNumbers w:val="0"/>
                          <w:jc w:val="both"/>
                          <w:textAlignment w:val="center"/>
                          <w:rPr>
                            <w:rFonts w:hint="eastAsia" w:ascii="微软雅黑" w:hAnsi="微软雅黑" w:eastAsia="微软雅黑" w:cs="微软雅黑"/>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C7160">
                        <w:pPr>
                          <w:jc w:val="center"/>
                          <w:rPr>
                            <w:rFonts w:hint="eastAsia" w:ascii="微软雅黑" w:hAnsi="微软雅黑" w:eastAsia="微软雅黑" w:cs="微软雅黑"/>
                            <w:i w:val="0"/>
                            <w:iCs w:val="0"/>
                            <w:color w:val="000000"/>
                            <w:sz w:val="20"/>
                            <w:szCs w:val="20"/>
                            <w:u w:val="none"/>
                          </w:rPr>
                        </w:pPr>
                      </w:p>
                    </w:tc>
                    <w:tc>
                      <w:tcPr>
                        <w:tcW w:w="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957BE">
                        <w:pPr>
                          <w:jc w:val="center"/>
                          <w:rPr>
                            <w:rFonts w:hint="eastAsia" w:ascii="微软雅黑" w:hAnsi="微软雅黑" w:eastAsia="微软雅黑" w:cs="微软雅黑"/>
                            <w:i w:val="0"/>
                            <w:iCs w:val="0"/>
                            <w:color w:val="000000"/>
                            <w:sz w:val="20"/>
                            <w:szCs w:val="20"/>
                            <w:u w:val="none"/>
                          </w:rPr>
                        </w:pPr>
                      </w:p>
                    </w:tc>
                    <w:tc>
                      <w:tcPr>
                        <w:tcW w:w="3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68778">
                        <w:pPr>
                          <w:jc w:val="center"/>
                          <w:rPr>
                            <w:rFonts w:hint="eastAsia" w:ascii="微软雅黑" w:hAnsi="微软雅黑" w:eastAsia="微软雅黑" w:cs="微软雅黑"/>
                            <w:i w:val="0"/>
                            <w:iCs w:val="0"/>
                            <w:color w:val="000000"/>
                            <w:sz w:val="20"/>
                            <w:szCs w:val="20"/>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768C3">
                        <w:pPr>
                          <w:keepNext w:val="0"/>
                          <w:keepLines w:val="0"/>
                          <w:widowControl/>
                          <w:suppressLineNumbers w:val="0"/>
                          <w:jc w:val="both"/>
                          <w:textAlignment w:val="center"/>
                          <w:rPr>
                            <w:rFonts w:hint="eastAsia" w:ascii="微软雅黑" w:hAnsi="微软雅黑" w:eastAsia="微软雅黑" w:cs="微软雅黑"/>
                            <w:i w:val="0"/>
                            <w:iCs w:val="0"/>
                            <w:color w:val="000000"/>
                            <w:sz w:val="20"/>
                            <w:szCs w:val="20"/>
                            <w:u w:val="none"/>
                          </w:rPr>
                        </w:pPr>
                      </w:p>
                    </w:tc>
                  </w:tr>
                  <w:tr w14:paraId="7FE219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32" w:hRule="atLeast"/>
                    </w:trPr>
                    <w:tc>
                      <w:tcPr>
                        <w:tcW w:w="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AF81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B59B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书柜</w:t>
                        </w:r>
                      </w:p>
                    </w:tc>
                    <w:tc>
                      <w:tcPr>
                        <w:tcW w:w="26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FA44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bdr w:val="single" w:color="000000" w:sz="4" w:space="0"/>
                            <w:lang w:val="en-US" w:eastAsia="zh-CN" w:bidi="ar"/>
                          </w:rPr>
                          <w:drawing>
                            <wp:anchor distT="0" distB="0" distL="114300" distR="114300" simplePos="0" relativeHeight="251659264" behindDoc="0" locked="0" layoutInCell="1" allowOverlap="1">
                              <wp:simplePos x="0" y="0"/>
                              <wp:positionH relativeFrom="column">
                                <wp:posOffset>15875</wp:posOffset>
                              </wp:positionH>
                              <wp:positionV relativeFrom="paragraph">
                                <wp:posOffset>-87630</wp:posOffset>
                              </wp:positionV>
                              <wp:extent cx="1534795" cy="1073785"/>
                              <wp:effectExtent l="0" t="0" r="0" b="0"/>
                              <wp:wrapNone/>
                              <wp:docPr id="7" name="图片_4"/>
                              <wp:cNvGraphicFramePr/>
                              <a:graphic xmlns:a="http://schemas.openxmlformats.org/drawingml/2006/main">
                                <a:graphicData uri="http://schemas.openxmlformats.org/drawingml/2006/picture">
                                  <pic:pic xmlns:pic="http://schemas.openxmlformats.org/drawingml/2006/picture">
                                    <pic:nvPicPr>
                                      <pic:cNvPr id="7" name="图片_4"/>
                                      <pic:cNvPicPr/>
                                    </pic:nvPicPr>
                                    <pic:blipFill>
                                      <a:blip r:embed="rId5"/>
                                      <a:stretch>
                                        <a:fillRect/>
                                      </a:stretch>
                                    </pic:blipFill>
                                    <pic:spPr>
                                      <a:xfrm>
                                        <a:off x="0" y="0"/>
                                        <a:ext cx="1534795" cy="1073785"/>
                                      </a:xfrm>
                                      <a:prstGeom prst="rect">
                                        <a:avLst/>
                                      </a:prstGeom>
                                      <a:noFill/>
                                      <a:ln>
                                        <a:noFill/>
                                      </a:ln>
                                    </pic:spPr>
                                  </pic:pic>
                                </a:graphicData>
                              </a:graphic>
                            </wp:anchor>
                          </w:drawing>
                        </w:r>
                        <w:r>
                          <w:drawing>
                            <wp:inline distT="0" distB="0" distL="114300" distR="114300">
                              <wp:extent cx="1348740" cy="978535"/>
                              <wp:effectExtent l="0" t="0" r="3810" b="2540"/>
                              <wp:docPr id="2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4"/>
                                      <pic:cNvPicPr>
                                        <a:picLocks noChangeAspect="1"/>
                                      </pic:cNvPicPr>
                                    </pic:nvPicPr>
                                    <pic:blipFill>
                                      <a:blip r:embed="rId6"/>
                                      <a:stretch>
                                        <a:fillRect/>
                                      </a:stretch>
                                    </pic:blipFill>
                                    <pic:spPr>
                                      <a:xfrm>
                                        <a:off x="0" y="0"/>
                                        <a:ext cx="1348740" cy="978535"/>
                                      </a:xfrm>
                                      <a:prstGeom prst="rect">
                                        <a:avLst/>
                                      </a:prstGeom>
                                    </pic:spPr>
                                  </pic:pic>
                                </a:graphicData>
                              </a:graphic>
                            </wp:inline>
                          </w:drawing>
                        </w:r>
                      </w:p>
                    </w:tc>
                    <w:tc>
                      <w:tcPr>
                        <w:tcW w:w="12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C3CC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br w:type="textWrapping"/>
                        </w:r>
                        <w:r>
                          <w:rPr>
                            <w:rFonts w:hint="eastAsia" w:ascii="微软雅黑" w:hAnsi="微软雅黑" w:eastAsia="微软雅黑" w:cs="微软雅黑"/>
                            <w:i w:val="0"/>
                            <w:iCs w:val="0"/>
                            <w:color w:val="000000"/>
                            <w:kern w:val="0"/>
                            <w:sz w:val="20"/>
                            <w:szCs w:val="20"/>
                            <w:u w:val="none"/>
                            <w:lang w:val="en-US" w:eastAsia="zh-CN" w:bidi="ar"/>
                          </w:rPr>
                          <w:t>3800W×450D×2180H</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B168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直纹灰橡开放漆+高级灰</w:t>
                        </w:r>
                      </w:p>
                    </w:tc>
                    <w:tc>
                      <w:tcPr>
                        <w:tcW w:w="6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2285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w:t>
                        </w:r>
                      </w:p>
                    </w:tc>
                    <w:tc>
                      <w:tcPr>
                        <w:tcW w:w="33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DB70A3">
                        <w:pPr>
                          <w:jc w:val="left"/>
                          <w:rPr>
                            <w:rFonts w:hint="eastAsia" w:ascii="微软雅黑" w:hAnsi="微软雅黑" w:eastAsia="微软雅黑" w:cs="微软雅黑"/>
                            <w:i w:val="0"/>
                            <w:iCs w:val="0"/>
                            <w:color w:val="000000"/>
                            <w:sz w:val="16"/>
                            <w:szCs w:val="16"/>
                            <w:u w:val="none"/>
                          </w:rPr>
                        </w:pPr>
                      </w:p>
                    </w:tc>
                    <w:tc>
                      <w:tcPr>
                        <w:tcW w:w="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BAD7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组</w:t>
                        </w:r>
                      </w:p>
                    </w:tc>
                    <w:tc>
                      <w:tcPr>
                        <w:tcW w:w="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85F5A">
                        <w:pPr>
                          <w:jc w:val="center"/>
                          <w:rPr>
                            <w:rFonts w:hint="eastAsia" w:ascii="微软雅黑" w:hAnsi="微软雅黑" w:eastAsia="微软雅黑" w:cs="微软雅黑"/>
                            <w:i w:val="0"/>
                            <w:iCs w:val="0"/>
                            <w:color w:val="000000"/>
                            <w:sz w:val="20"/>
                            <w:szCs w:val="20"/>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7E2D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46829">
                        <w:pPr>
                          <w:jc w:val="center"/>
                          <w:rPr>
                            <w:rFonts w:hint="eastAsia" w:ascii="微软雅黑" w:hAnsi="微软雅黑" w:eastAsia="微软雅黑" w:cs="微软雅黑"/>
                            <w:i w:val="0"/>
                            <w:iCs w:val="0"/>
                            <w:color w:val="000000"/>
                            <w:sz w:val="20"/>
                            <w:szCs w:val="20"/>
                            <w:u w:val="none"/>
                          </w:rPr>
                        </w:pPr>
                      </w:p>
                    </w:tc>
                    <w:tc>
                      <w:tcPr>
                        <w:tcW w:w="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BB16A">
                        <w:pPr>
                          <w:jc w:val="center"/>
                          <w:rPr>
                            <w:rFonts w:hint="eastAsia" w:ascii="微软雅黑" w:hAnsi="微软雅黑" w:eastAsia="微软雅黑" w:cs="微软雅黑"/>
                            <w:i w:val="0"/>
                            <w:iCs w:val="0"/>
                            <w:color w:val="000000"/>
                            <w:sz w:val="20"/>
                            <w:szCs w:val="20"/>
                            <w:u w:val="none"/>
                          </w:rPr>
                        </w:pPr>
                      </w:p>
                    </w:tc>
                    <w:tc>
                      <w:tcPr>
                        <w:tcW w:w="3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CE8D9">
                        <w:pPr>
                          <w:jc w:val="center"/>
                          <w:rPr>
                            <w:rFonts w:hint="eastAsia" w:ascii="微软雅黑" w:hAnsi="微软雅黑" w:eastAsia="微软雅黑" w:cs="微软雅黑"/>
                            <w:i w:val="0"/>
                            <w:iCs w:val="0"/>
                            <w:color w:val="000000"/>
                            <w:sz w:val="20"/>
                            <w:szCs w:val="20"/>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3A49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r>
                  <w:tr w14:paraId="2EBAF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08" w:hRule="atLeast"/>
                    </w:trPr>
                    <w:tc>
                      <w:tcPr>
                        <w:tcW w:w="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438C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AC0C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班台</w:t>
                        </w:r>
                      </w:p>
                    </w:tc>
                    <w:tc>
                      <w:tcPr>
                        <w:tcW w:w="2663" w:type="dxa"/>
                        <w:tcBorders>
                          <w:top w:val="nil"/>
                          <w:left w:val="nil"/>
                          <w:bottom w:val="nil"/>
                          <w:right w:val="nil"/>
                        </w:tcBorders>
                        <w:shd w:val="clear" w:color="auto" w:fill="auto"/>
                        <w:noWrap/>
                        <w:vAlign w:val="bottom"/>
                      </w:tcPr>
                      <w:p w14:paraId="62EE9DAF">
                        <w:pPr>
                          <w:keepNext w:val="0"/>
                          <w:keepLines w:val="0"/>
                          <w:widowControl/>
                          <w:suppressLineNumbers w:val="0"/>
                          <w:jc w:val="both"/>
                          <w:textAlignment w:val="bottom"/>
                          <w:rPr>
                            <w:rFonts w:ascii="Calibri" w:hAnsi="Calibri" w:cs="Calibri"/>
                            <w:i w:val="0"/>
                            <w:iCs w:val="0"/>
                            <w:color w:val="000000"/>
                            <w:sz w:val="22"/>
                            <w:szCs w:val="22"/>
                            <w:u w:val="none"/>
                          </w:rPr>
                        </w:pPr>
                        <w:r>
                          <w:drawing>
                            <wp:inline distT="0" distB="0" distL="114300" distR="114300">
                              <wp:extent cx="1447800" cy="1447800"/>
                              <wp:effectExtent l="0" t="0" r="0" b="0"/>
                              <wp:docPr id="26" name="图片 1" descr="https://file.linkingvr.com/projects/rel/e10043679/10469019/df6158fa1cdf00b019ce9c8e1ccf62b6_138423_2104_2104.jpg?imageView2/2/w/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 descr="https://file.linkingvr.com/projects/rel/e10043679/10469019/df6158fa1cdf00b019ce9c8e1ccf62b6_138423_2104_2104.jpg?imageView2/2/w/500"/>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a:xfrm>
                                        <a:off x="0" y="0"/>
                                        <a:ext cx="1447800" cy="1447800"/>
                                      </a:xfrm>
                                      <a:prstGeom prst="rect">
                                        <a:avLst/>
                                      </a:prstGeom>
                                      <a:noFill/>
                                    </pic:spPr>
                                  </pic:pic>
                                </a:graphicData>
                              </a:graphic>
                            </wp:inline>
                          </w:drawing>
                        </w:r>
                      </w:p>
                    </w:tc>
                    <w:tc>
                      <w:tcPr>
                        <w:tcW w:w="12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4458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2000W*1000D*760H</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1C5E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胡桃色</w:t>
                        </w:r>
                      </w:p>
                    </w:tc>
                    <w:tc>
                      <w:tcPr>
                        <w:tcW w:w="6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4E16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w:t>
                        </w:r>
                      </w:p>
                    </w:tc>
                    <w:tc>
                      <w:tcPr>
                        <w:tcW w:w="33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3826DF">
                        <w:pPr>
                          <w:jc w:val="left"/>
                          <w:rPr>
                            <w:rFonts w:hint="eastAsia" w:ascii="微软雅黑" w:hAnsi="微软雅黑" w:eastAsia="微软雅黑" w:cs="微软雅黑"/>
                            <w:i w:val="0"/>
                            <w:iCs w:val="0"/>
                            <w:color w:val="000000"/>
                            <w:sz w:val="16"/>
                            <w:szCs w:val="16"/>
                            <w:u w:val="none"/>
                          </w:rPr>
                        </w:pPr>
                      </w:p>
                    </w:tc>
                    <w:tc>
                      <w:tcPr>
                        <w:tcW w:w="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63D1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张</w:t>
                        </w:r>
                      </w:p>
                    </w:tc>
                    <w:tc>
                      <w:tcPr>
                        <w:tcW w:w="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D6306">
                        <w:pPr>
                          <w:jc w:val="center"/>
                          <w:rPr>
                            <w:rFonts w:hint="eastAsia" w:ascii="微软雅黑" w:hAnsi="微软雅黑" w:eastAsia="微软雅黑" w:cs="微软雅黑"/>
                            <w:i w:val="0"/>
                            <w:iCs w:val="0"/>
                            <w:color w:val="000000"/>
                            <w:sz w:val="20"/>
                            <w:szCs w:val="20"/>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8B4F7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E8E332">
                        <w:pPr>
                          <w:jc w:val="center"/>
                          <w:rPr>
                            <w:rFonts w:hint="eastAsia" w:ascii="微软雅黑" w:hAnsi="微软雅黑" w:eastAsia="微软雅黑" w:cs="微软雅黑"/>
                            <w:i w:val="0"/>
                            <w:iCs w:val="0"/>
                            <w:color w:val="000000"/>
                            <w:sz w:val="20"/>
                            <w:szCs w:val="20"/>
                            <w:u w:val="none"/>
                          </w:rPr>
                        </w:pPr>
                      </w:p>
                    </w:tc>
                    <w:tc>
                      <w:tcPr>
                        <w:tcW w:w="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FC81C">
                        <w:pPr>
                          <w:jc w:val="center"/>
                          <w:rPr>
                            <w:rFonts w:hint="eastAsia" w:ascii="微软雅黑" w:hAnsi="微软雅黑" w:eastAsia="微软雅黑" w:cs="微软雅黑"/>
                            <w:i w:val="0"/>
                            <w:iCs w:val="0"/>
                            <w:color w:val="000000"/>
                            <w:sz w:val="20"/>
                            <w:szCs w:val="20"/>
                            <w:u w:val="none"/>
                          </w:rPr>
                        </w:pPr>
                      </w:p>
                    </w:tc>
                    <w:tc>
                      <w:tcPr>
                        <w:tcW w:w="3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D3031">
                        <w:pPr>
                          <w:jc w:val="center"/>
                          <w:rPr>
                            <w:rFonts w:hint="eastAsia" w:ascii="微软雅黑" w:hAnsi="微软雅黑" w:eastAsia="微软雅黑" w:cs="微软雅黑"/>
                            <w:i w:val="0"/>
                            <w:iCs w:val="0"/>
                            <w:color w:val="000000"/>
                            <w:sz w:val="20"/>
                            <w:szCs w:val="20"/>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E999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r>
                  <w:tr w14:paraId="119E2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99" w:hRule="atLeast"/>
                    </w:trPr>
                    <w:tc>
                      <w:tcPr>
                        <w:tcW w:w="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A4A71">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4</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C225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班椅</w:t>
                        </w:r>
                      </w:p>
                    </w:tc>
                    <w:tc>
                      <w:tcPr>
                        <w:tcW w:w="266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03D876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drawing>
                            <wp:inline distT="0" distB="0" distL="114300" distR="114300">
                              <wp:extent cx="1211580" cy="1376680"/>
                              <wp:effectExtent l="0" t="0" r="7620" b="4445"/>
                              <wp:docPr id="27"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3"/>
                                      <pic:cNvPicPr>
                                        <a:picLocks noChangeAspect="1"/>
                                      </pic:cNvPicPr>
                                    </pic:nvPicPr>
                                    <pic:blipFill>
                                      <a:blip r:embed="rId8"/>
                                      <a:stretch>
                                        <a:fillRect/>
                                      </a:stretch>
                                    </pic:blipFill>
                                    <pic:spPr>
                                      <a:xfrm>
                                        <a:off x="0" y="0"/>
                                        <a:ext cx="1211580" cy="1376680"/>
                                      </a:xfrm>
                                      <a:prstGeom prst="rect">
                                        <a:avLst/>
                                      </a:prstGeom>
                                    </pic:spPr>
                                  </pic:pic>
                                </a:graphicData>
                              </a:graphic>
                            </wp:inline>
                          </w:drawing>
                        </w:r>
                        <w:r>
                          <w:rPr>
                            <w:rFonts w:hint="eastAsia" w:ascii="微软雅黑" w:hAnsi="微软雅黑" w:eastAsia="微软雅黑" w:cs="微软雅黑"/>
                            <w:i w:val="0"/>
                            <w:iCs w:val="0"/>
                            <w:color w:val="000000"/>
                            <w:kern w:val="0"/>
                            <w:sz w:val="20"/>
                            <w:szCs w:val="20"/>
                            <w:u w:val="none"/>
                            <w:bdr w:val="single" w:color="000000" w:sz="4" w:space="0"/>
                            <w:shd w:val="clear" w:fill="FFFFFF"/>
                            <w:lang w:val="en-US" w:eastAsia="zh-CN" w:bidi="ar"/>
                          </w:rPr>
                          <w:drawing>
                            <wp:anchor distT="0" distB="0" distL="114300" distR="114300" simplePos="0" relativeHeight="251659264" behindDoc="0" locked="0" layoutInCell="1" allowOverlap="1">
                              <wp:simplePos x="0" y="0"/>
                              <wp:positionH relativeFrom="column">
                                <wp:posOffset>259080</wp:posOffset>
                              </wp:positionH>
                              <wp:positionV relativeFrom="paragraph">
                                <wp:posOffset>99060</wp:posOffset>
                              </wp:positionV>
                              <wp:extent cx="1211580" cy="1376680"/>
                              <wp:effectExtent l="0" t="0" r="0" b="0"/>
                              <wp:wrapNone/>
                              <wp:docPr id="19" name="图片_3"/>
                              <wp:cNvGraphicFramePr/>
                              <a:graphic xmlns:a="http://schemas.openxmlformats.org/drawingml/2006/main">
                                <a:graphicData uri="http://schemas.openxmlformats.org/drawingml/2006/picture">
                                  <pic:pic xmlns:pic="http://schemas.openxmlformats.org/drawingml/2006/picture">
                                    <pic:nvPicPr>
                                      <pic:cNvPr id="19" name="图片_3"/>
                                      <pic:cNvPicPr/>
                                    </pic:nvPicPr>
                                    <pic:blipFill>
                                      <a:blip r:embed="rId5"/>
                                      <a:stretch>
                                        <a:fillRect/>
                                      </a:stretch>
                                    </pic:blipFill>
                                    <pic:spPr>
                                      <a:xfrm>
                                        <a:off x="0" y="0"/>
                                        <a:ext cx="1211580" cy="1376680"/>
                                      </a:xfrm>
                                      <a:prstGeom prst="rect">
                                        <a:avLst/>
                                      </a:prstGeom>
                                      <a:noFill/>
                                      <a:ln>
                                        <a:noFill/>
                                      </a:ln>
                                    </pic:spPr>
                                  </pic:pic>
                                </a:graphicData>
                              </a:graphic>
                            </wp:anchor>
                          </w:drawing>
                        </w:r>
                      </w:p>
                    </w:tc>
                    <w:tc>
                      <w:tcPr>
                        <w:tcW w:w="12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89BF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690W×650D×(1180-1240)H</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0192D">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浅灰色牛皮</w:t>
                        </w:r>
                      </w:p>
                    </w:tc>
                    <w:tc>
                      <w:tcPr>
                        <w:tcW w:w="6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4048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w:t>
                        </w:r>
                      </w:p>
                    </w:tc>
                    <w:tc>
                      <w:tcPr>
                        <w:tcW w:w="3330" w:type="dxa"/>
                        <w:tcBorders>
                          <w:top w:val="single" w:color="000000" w:sz="4" w:space="0"/>
                          <w:left w:val="single" w:color="000000" w:sz="4" w:space="0"/>
                          <w:bottom w:val="nil"/>
                          <w:right w:val="single" w:color="000000" w:sz="4" w:space="0"/>
                        </w:tcBorders>
                        <w:shd w:val="clear" w:color="auto" w:fill="auto"/>
                        <w:vAlign w:val="center"/>
                      </w:tcPr>
                      <w:p w14:paraId="12D8A380">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1、面料：采用优质牛皮，游离甲醛≤20mg/kg，皮革防霉性能：防霉等级0级或1级，抗引燃特性阻燃Ⅰ级。</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2、海绵：采用优质阻燃高弹海绵，密度≥50kg/m³，甲醛释放量≤0.03mg/m²h，TVOC≤0.05mg/m²h，抗引燃特性阻燃Ⅰ级，抗菌性能（抑菌率）≥95%。</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3、扶手：采用优质牛皮软包扶手</w:t>
                        </w:r>
                      </w:p>
                    </w:tc>
                    <w:tc>
                      <w:tcPr>
                        <w:tcW w:w="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8BF5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张</w:t>
                        </w:r>
                      </w:p>
                    </w:tc>
                    <w:tc>
                      <w:tcPr>
                        <w:tcW w:w="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D489F">
                        <w:pPr>
                          <w:jc w:val="center"/>
                          <w:rPr>
                            <w:rFonts w:hint="eastAsia" w:ascii="微软雅黑" w:hAnsi="微软雅黑" w:eastAsia="微软雅黑" w:cs="微软雅黑"/>
                            <w:i w:val="0"/>
                            <w:iCs w:val="0"/>
                            <w:color w:val="000000"/>
                            <w:sz w:val="20"/>
                            <w:szCs w:val="20"/>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E0F1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5967C">
                        <w:pPr>
                          <w:jc w:val="center"/>
                          <w:rPr>
                            <w:rFonts w:hint="eastAsia" w:ascii="微软雅黑" w:hAnsi="微软雅黑" w:eastAsia="微软雅黑" w:cs="微软雅黑"/>
                            <w:i w:val="0"/>
                            <w:iCs w:val="0"/>
                            <w:color w:val="000000"/>
                            <w:sz w:val="20"/>
                            <w:szCs w:val="20"/>
                            <w:u w:val="none"/>
                          </w:rPr>
                        </w:pPr>
                      </w:p>
                    </w:tc>
                    <w:tc>
                      <w:tcPr>
                        <w:tcW w:w="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7C217">
                        <w:pPr>
                          <w:jc w:val="center"/>
                          <w:rPr>
                            <w:rFonts w:hint="eastAsia" w:ascii="微软雅黑" w:hAnsi="微软雅黑" w:eastAsia="微软雅黑" w:cs="微软雅黑"/>
                            <w:i w:val="0"/>
                            <w:iCs w:val="0"/>
                            <w:color w:val="000000"/>
                            <w:sz w:val="20"/>
                            <w:szCs w:val="20"/>
                            <w:u w:val="none"/>
                          </w:rPr>
                        </w:pPr>
                      </w:p>
                    </w:tc>
                    <w:tc>
                      <w:tcPr>
                        <w:tcW w:w="3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8F280">
                        <w:pPr>
                          <w:jc w:val="center"/>
                          <w:rPr>
                            <w:rFonts w:hint="eastAsia" w:ascii="微软雅黑" w:hAnsi="微软雅黑" w:eastAsia="微软雅黑" w:cs="微软雅黑"/>
                            <w:i w:val="0"/>
                            <w:iCs w:val="0"/>
                            <w:color w:val="000000"/>
                            <w:sz w:val="20"/>
                            <w:szCs w:val="20"/>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2088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r>
                  <w:tr w14:paraId="35CB56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88" w:hRule="atLeast"/>
                    </w:trPr>
                    <w:tc>
                      <w:tcPr>
                        <w:tcW w:w="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DC18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B892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会议桌</w:t>
                        </w:r>
                      </w:p>
                    </w:tc>
                    <w:tc>
                      <w:tcPr>
                        <w:tcW w:w="266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1DC825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drawing>
                            <wp:inline distT="0" distB="0" distL="114300" distR="114300">
                              <wp:extent cx="1564005" cy="845820"/>
                              <wp:effectExtent l="0" t="0" r="7620" b="1905"/>
                              <wp:docPr id="2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5"/>
                                      <pic:cNvPicPr>
                                        <a:picLocks noChangeAspect="1"/>
                                      </pic:cNvPicPr>
                                    </pic:nvPicPr>
                                    <pic:blipFill>
                                      <a:blip r:embed="rId9"/>
                                      <a:stretch>
                                        <a:fillRect/>
                                      </a:stretch>
                                    </pic:blipFill>
                                    <pic:spPr>
                                      <a:xfrm>
                                        <a:off x="0" y="0"/>
                                        <a:ext cx="1564005" cy="845820"/>
                                      </a:xfrm>
                                      <a:prstGeom prst="rect">
                                        <a:avLst/>
                                      </a:prstGeom>
                                    </pic:spPr>
                                  </pic:pic>
                                </a:graphicData>
                              </a:graphic>
                            </wp:inline>
                          </w:drawing>
                        </w:r>
                        <w:r>
                          <w:rPr>
                            <w:rFonts w:hint="eastAsia" w:ascii="微软雅黑" w:hAnsi="微软雅黑" w:eastAsia="微软雅黑" w:cs="微软雅黑"/>
                            <w:i w:val="0"/>
                            <w:iCs w:val="0"/>
                            <w:color w:val="000000"/>
                            <w:kern w:val="0"/>
                            <w:sz w:val="20"/>
                            <w:szCs w:val="20"/>
                            <w:u w:val="none"/>
                            <w:bdr w:val="single" w:color="000000" w:sz="4" w:space="0"/>
                            <w:shd w:val="clear" w:fill="FFFFFF"/>
                            <w:lang w:val="en-US" w:eastAsia="zh-CN" w:bidi="ar"/>
                          </w:rPr>
                          <w:drawing>
                            <wp:anchor distT="0" distB="0" distL="114300" distR="114300" simplePos="0" relativeHeight="251659264" behindDoc="0" locked="0" layoutInCell="1" allowOverlap="1">
                              <wp:simplePos x="0" y="0"/>
                              <wp:positionH relativeFrom="column">
                                <wp:posOffset>68580</wp:posOffset>
                              </wp:positionH>
                              <wp:positionV relativeFrom="paragraph">
                                <wp:posOffset>716280</wp:posOffset>
                              </wp:positionV>
                              <wp:extent cx="1564005" cy="845820"/>
                              <wp:effectExtent l="0" t="0" r="0" b="0"/>
                              <wp:wrapNone/>
                              <wp:docPr id="20" name="图片_5"/>
                              <wp:cNvGraphicFramePr/>
                              <a:graphic xmlns:a="http://schemas.openxmlformats.org/drawingml/2006/main">
                                <a:graphicData uri="http://schemas.openxmlformats.org/drawingml/2006/picture">
                                  <pic:pic xmlns:pic="http://schemas.openxmlformats.org/drawingml/2006/picture">
                                    <pic:nvPicPr>
                                      <pic:cNvPr id="20" name="图片_5"/>
                                      <pic:cNvPicPr/>
                                    </pic:nvPicPr>
                                    <pic:blipFill>
                                      <a:blip r:embed="rId5"/>
                                      <a:stretch>
                                        <a:fillRect/>
                                      </a:stretch>
                                    </pic:blipFill>
                                    <pic:spPr>
                                      <a:xfrm>
                                        <a:off x="0" y="0"/>
                                        <a:ext cx="1564005" cy="845820"/>
                                      </a:xfrm>
                                      <a:prstGeom prst="rect">
                                        <a:avLst/>
                                      </a:prstGeom>
                                      <a:noFill/>
                                      <a:ln>
                                        <a:noFill/>
                                      </a:ln>
                                    </pic:spPr>
                                  </pic:pic>
                                </a:graphicData>
                              </a:graphic>
                            </wp:anchor>
                          </w:drawing>
                        </w:r>
                      </w:p>
                    </w:tc>
                    <w:tc>
                      <w:tcPr>
                        <w:tcW w:w="12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E0A2F">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3600W×1400D×800H</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E210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直纹灰橡开放漆+高级灰</w:t>
                        </w:r>
                      </w:p>
                    </w:tc>
                    <w:tc>
                      <w:tcPr>
                        <w:tcW w:w="6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6B58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w:t>
                        </w:r>
                      </w:p>
                    </w:tc>
                    <w:tc>
                      <w:tcPr>
                        <w:tcW w:w="3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37B30">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Style w:val="19"/>
                            <w:lang w:val="en-US" w:eastAsia="zh-CN" w:bidi="ar"/>
                          </w:rPr>
                          <w:t>1、饰面：采用优质木皮，厚度≥0.6mm，总挥发性有机化合物≤20</w:t>
                        </w:r>
                        <w:r>
                          <w:rPr>
                            <w:rStyle w:val="20"/>
                            <w:lang w:val="en-US" w:eastAsia="zh-CN" w:bidi="ar"/>
                          </w:rPr>
                          <w:t>㎍</w:t>
                        </w:r>
                        <w:r>
                          <w:rPr>
                            <w:rStyle w:val="19"/>
                            <w:lang w:val="en-US" w:eastAsia="zh-CN" w:bidi="ar"/>
                          </w:rPr>
                          <w:t>/m³，甲醛释放量≤0.5mg/L，单板含水率3%～8%，无贯通裂缝、无虫蛀现象，无腐朽材。</w:t>
                        </w:r>
                        <w:r>
                          <w:rPr>
                            <w:rStyle w:val="19"/>
                            <w:lang w:val="en-US" w:eastAsia="zh-CN" w:bidi="ar"/>
                          </w:rPr>
                          <w:br w:type="textWrapping"/>
                        </w:r>
                        <w:r>
                          <w:rPr>
                            <w:rStyle w:val="19"/>
                            <w:lang w:val="en-US" w:eastAsia="zh-CN" w:bidi="ar"/>
                          </w:rPr>
                          <w:t>2、基材：采用优质不低于E1级高密度纤维板，甲醛释放量≤0.03mg/m³，总挥发性有机化合物≤20</w:t>
                        </w:r>
                        <w:r>
                          <w:rPr>
                            <w:rStyle w:val="20"/>
                            <w:lang w:val="en-US" w:eastAsia="zh-CN" w:bidi="ar"/>
                          </w:rPr>
                          <w:t>㎍</w:t>
                        </w:r>
                        <w:r>
                          <w:rPr>
                            <w:rStyle w:val="19"/>
                            <w:lang w:val="en-US" w:eastAsia="zh-CN" w:bidi="ar"/>
                          </w:rPr>
                          <w:t>/m³，防霉菌等级0级或1级。</w:t>
                        </w:r>
                        <w:r>
                          <w:rPr>
                            <w:rStyle w:val="19"/>
                            <w:lang w:val="en-US" w:eastAsia="zh-CN" w:bidi="ar"/>
                          </w:rPr>
                          <w:br w:type="textWrapping"/>
                        </w:r>
                        <w:r>
                          <w:rPr>
                            <w:rStyle w:val="19"/>
                            <w:lang w:val="en-US" w:eastAsia="zh-CN" w:bidi="ar"/>
                          </w:rPr>
                          <w:t>3、封边：采用优质实木封边条，厚度≥3mm，含水率8%～11%，甲醛释放量≤0.5mg/L，抗菌性能（抗细菌率）≥99.5%。</w:t>
                        </w:r>
                        <w:r>
                          <w:rPr>
                            <w:rStyle w:val="19"/>
                            <w:lang w:val="en-US" w:eastAsia="zh-CN" w:bidi="ar"/>
                          </w:rPr>
                          <w:br w:type="textWrapping"/>
                        </w:r>
                        <w:r>
                          <w:rPr>
                            <w:rStyle w:val="19"/>
                            <w:lang w:val="en-US" w:eastAsia="zh-CN" w:bidi="ar"/>
                          </w:rPr>
                          <w:t>4、油漆：采用优质环保油漆，苯含量≤0.1%，甲醛含量≤10mg/kg，甲苯与二甲苯（含乙苯）总和含量≤5%，多环芳烃总和含量≤1mg/kg，抗菌性能（抗细菌率）≥99.5%，附着力1级。</w:t>
                        </w:r>
                        <w:r>
                          <w:rPr>
                            <w:rStyle w:val="19"/>
                            <w:lang w:val="en-US" w:eastAsia="zh-CN" w:bidi="ar"/>
                          </w:rPr>
                          <w:br w:type="textWrapping"/>
                        </w:r>
                        <w:r>
                          <w:rPr>
                            <w:rStyle w:val="19"/>
                            <w:lang w:val="en-US" w:eastAsia="zh-CN" w:bidi="ar"/>
                          </w:rPr>
                          <w:t>5、水性胶粘剂：选用优质环保胶，游离甲醛≤0.5g/kg，总挥发性有机物≤5g/L，卤代烃≤0.1g/kg。</w:t>
                        </w:r>
                        <w:r>
                          <w:rPr>
                            <w:rStyle w:val="19"/>
                            <w:lang w:val="en-US" w:eastAsia="zh-CN" w:bidi="ar"/>
                          </w:rPr>
                          <w:br w:type="textWrapping"/>
                        </w:r>
                        <w:r>
                          <w:rPr>
                            <w:rStyle w:val="19"/>
                            <w:lang w:val="en-US" w:eastAsia="zh-CN" w:bidi="ar"/>
                          </w:rPr>
                          <w:t>6、五金配件：采用优质品牌五金配件.</w:t>
                        </w:r>
                      </w:p>
                    </w:tc>
                    <w:tc>
                      <w:tcPr>
                        <w:tcW w:w="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7CD8B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张</w:t>
                        </w:r>
                      </w:p>
                    </w:tc>
                    <w:tc>
                      <w:tcPr>
                        <w:tcW w:w="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C1E14">
                        <w:pPr>
                          <w:jc w:val="center"/>
                          <w:rPr>
                            <w:rFonts w:hint="eastAsia" w:ascii="微软雅黑" w:hAnsi="微软雅黑" w:eastAsia="微软雅黑" w:cs="微软雅黑"/>
                            <w:i w:val="0"/>
                            <w:iCs w:val="0"/>
                            <w:color w:val="000000"/>
                            <w:sz w:val="20"/>
                            <w:szCs w:val="20"/>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D777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692D4">
                        <w:pPr>
                          <w:jc w:val="center"/>
                          <w:rPr>
                            <w:rFonts w:hint="eastAsia" w:ascii="微软雅黑" w:hAnsi="微软雅黑" w:eastAsia="微软雅黑" w:cs="微软雅黑"/>
                            <w:i w:val="0"/>
                            <w:iCs w:val="0"/>
                            <w:color w:val="000000"/>
                            <w:sz w:val="20"/>
                            <w:szCs w:val="20"/>
                            <w:u w:val="none"/>
                          </w:rPr>
                        </w:pPr>
                      </w:p>
                    </w:tc>
                    <w:tc>
                      <w:tcPr>
                        <w:tcW w:w="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9D7A7">
                        <w:pPr>
                          <w:jc w:val="center"/>
                          <w:rPr>
                            <w:rFonts w:hint="eastAsia" w:ascii="微软雅黑" w:hAnsi="微软雅黑" w:eastAsia="微软雅黑" w:cs="微软雅黑"/>
                            <w:i w:val="0"/>
                            <w:iCs w:val="0"/>
                            <w:color w:val="000000"/>
                            <w:sz w:val="20"/>
                            <w:szCs w:val="20"/>
                            <w:u w:val="none"/>
                          </w:rPr>
                        </w:pPr>
                      </w:p>
                    </w:tc>
                    <w:tc>
                      <w:tcPr>
                        <w:tcW w:w="3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4C757">
                        <w:pPr>
                          <w:jc w:val="center"/>
                          <w:rPr>
                            <w:rFonts w:hint="eastAsia" w:ascii="微软雅黑" w:hAnsi="微软雅黑" w:eastAsia="微软雅黑" w:cs="微软雅黑"/>
                            <w:i w:val="0"/>
                            <w:iCs w:val="0"/>
                            <w:color w:val="000000"/>
                            <w:sz w:val="20"/>
                            <w:szCs w:val="20"/>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9FD3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r>
                  <w:tr w14:paraId="24FFAE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92" w:hRule="atLeast"/>
                    </w:trPr>
                    <w:tc>
                      <w:tcPr>
                        <w:tcW w:w="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0F01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74885">
                        <w:pPr>
                          <w:keepNext w:val="0"/>
                          <w:keepLines w:val="0"/>
                          <w:widowControl/>
                          <w:suppressLineNumbers w:val="0"/>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bidi="ar"/>
                          </w:rPr>
                          <w:t>会议椅</w:t>
                        </w:r>
                      </w:p>
                    </w:tc>
                    <w:tc>
                      <w:tcPr>
                        <w:tcW w:w="266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8CD079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drawing>
                            <wp:inline distT="0" distB="0" distL="114300" distR="114300">
                              <wp:extent cx="1085215" cy="1524000"/>
                              <wp:effectExtent l="0" t="0" r="635" b="0"/>
                              <wp:docPr id="2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6"/>
                                      <pic:cNvPicPr>
                                        <a:picLocks noChangeAspect="1"/>
                                      </pic:cNvPicPr>
                                    </pic:nvPicPr>
                                    <pic:blipFill>
                                      <a:blip r:embed="rId10"/>
                                      <a:stretch>
                                        <a:fillRect/>
                                      </a:stretch>
                                    </pic:blipFill>
                                    <pic:spPr>
                                      <a:xfrm>
                                        <a:off x="0" y="0"/>
                                        <a:ext cx="1085215" cy="1524000"/>
                                      </a:xfrm>
                                      <a:prstGeom prst="rect">
                                        <a:avLst/>
                                      </a:prstGeom>
                                    </pic:spPr>
                                  </pic:pic>
                                </a:graphicData>
                              </a:graphic>
                            </wp:inline>
                          </w:drawing>
                        </w:r>
                        <w:r>
                          <w:rPr>
                            <w:rFonts w:hint="eastAsia" w:ascii="微软雅黑" w:hAnsi="微软雅黑" w:eastAsia="微软雅黑" w:cs="微软雅黑"/>
                            <w:i w:val="0"/>
                            <w:iCs w:val="0"/>
                            <w:color w:val="000000"/>
                            <w:kern w:val="0"/>
                            <w:sz w:val="20"/>
                            <w:szCs w:val="20"/>
                            <w:u w:val="none"/>
                            <w:bdr w:val="single" w:color="000000" w:sz="4" w:space="0"/>
                            <w:shd w:val="clear" w:fill="FFFFFF"/>
                            <w:lang w:val="en-US" w:eastAsia="zh-CN" w:bidi="ar"/>
                          </w:rPr>
                          <w:drawing>
                            <wp:anchor distT="0" distB="0" distL="114300" distR="114300" simplePos="0" relativeHeight="251659264" behindDoc="0" locked="0" layoutInCell="1" allowOverlap="1">
                              <wp:simplePos x="0" y="0"/>
                              <wp:positionH relativeFrom="column">
                                <wp:posOffset>350520</wp:posOffset>
                              </wp:positionH>
                              <wp:positionV relativeFrom="paragraph">
                                <wp:posOffset>137160</wp:posOffset>
                              </wp:positionV>
                              <wp:extent cx="1085215" cy="1524000"/>
                              <wp:effectExtent l="0" t="0" r="0" b="0"/>
                              <wp:wrapNone/>
                              <wp:docPr id="11" name="图片_6"/>
                              <wp:cNvGraphicFramePr/>
                              <a:graphic xmlns:a="http://schemas.openxmlformats.org/drawingml/2006/main">
                                <a:graphicData uri="http://schemas.openxmlformats.org/drawingml/2006/picture">
                                  <pic:pic xmlns:pic="http://schemas.openxmlformats.org/drawingml/2006/picture">
                                    <pic:nvPicPr>
                                      <pic:cNvPr id="11" name="图片_6"/>
                                      <pic:cNvPicPr/>
                                    </pic:nvPicPr>
                                    <pic:blipFill>
                                      <a:blip r:embed="rId5"/>
                                      <a:stretch>
                                        <a:fillRect/>
                                      </a:stretch>
                                    </pic:blipFill>
                                    <pic:spPr>
                                      <a:xfrm>
                                        <a:off x="0" y="0"/>
                                        <a:ext cx="1085215" cy="1524000"/>
                                      </a:xfrm>
                                      <a:prstGeom prst="rect">
                                        <a:avLst/>
                                      </a:prstGeom>
                                      <a:noFill/>
                                      <a:ln>
                                        <a:noFill/>
                                      </a:ln>
                                    </pic:spPr>
                                  </pic:pic>
                                </a:graphicData>
                              </a:graphic>
                            </wp:anchor>
                          </w:drawing>
                        </w:r>
                      </w:p>
                    </w:tc>
                    <w:tc>
                      <w:tcPr>
                        <w:tcW w:w="12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686C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580W*620D*950H</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EA9D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黑色环保皮</w:t>
                        </w:r>
                      </w:p>
                    </w:tc>
                    <w:tc>
                      <w:tcPr>
                        <w:tcW w:w="6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C0CE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w:t>
                        </w:r>
                      </w:p>
                    </w:tc>
                    <w:tc>
                      <w:tcPr>
                        <w:tcW w:w="3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63BDE">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1、面料：采用优质环保皮，游离甲醛≤20mg/kg，皮革防霉性能：防霉等级0级或1级，抗引燃特性阻燃Ⅰ级。</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2、海绵：采用优质阻燃高弹海绵，密度≥50kg/m³，甲醛释放量≤0.03mg/m²h，TVOC≤0.05mg/m²h，抗引燃特性阻燃Ⅰ级，抗菌性能（抑菌率）≥95%。</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3、脚架：优质电镀弓形脚架</w:t>
                        </w:r>
                      </w:p>
                    </w:tc>
                    <w:tc>
                      <w:tcPr>
                        <w:tcW w:w="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546B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张</w:t>
                        </w:r>
                      </w:p>
                    </w:tc>
                    <w:tc>
                      <w:tcPr>
                        <w:tcW w:w="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39E04">
                        <w:pPr>
                          <w:jc w:val="center"/>
                          <w:rPr>
                            <w:rFonts w:hint="eastAsia" w:ascii="微软雅黑" w:hAnsi="微软雅黑" w:eastAsia="微软雅黑" w:cs="微软雅黑"/>
                            <w:i w:val="0"/>
                            <w:iCs w:val="0"/>
                            <w:color w:val="000000"/>
                            <w:sz w:val="20"/>
                            <w:szCs w:val="20"/>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F8EE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23027">
                        <w:pPr>
                          <w:jc w:val="center"/>
                          <w:rPr>
                            <w:rFonts w:hint="eastAsia" w:ascii="微软雅黑" w:hAnsi="微软雅黑" w:eastAsia="微软雅黑" w:cs="微软雅黑"/>
                            <w:i w:val="0"/>
                            <w:iCs w:val="0"/>
                            <w:color w:val="000000"/>
                            <w:sz w:val="20"/>
                            <w:szCs w:val="20"/>
                            <w:u w:val="none"/>
                          </w:rPr>
                        </w:pPr>
                      </w:p>
                    </w:tc>
                    <w:tc>
                      <w:tcPr>
                        <w:tcW w:w="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BB7A9">
                        <w:pPr>
                          <w:jc w:val="center"/>
                          <w:rPr>
                            <w:rFonts w:hint="eastAsia" w:ascii="微软雅黑" w:hAnsi="微软雅黑" w:eastAsia="微软雅黑" w:cs="微软雅黑"/>
                            <w:i w:val="0"/>
                            <w:iCs w:val="0"/>
                            <w:color w:val="000000"/>
                            <w:sz w:val="20"/>
                            <w:szCs w:val="20"/>
                            <w:u w:val="none"/>
                          </w:rPr>
                        </w:pPr>
                      </w:p>
                    </w:tc>
                    <w:tc>
                      <w:tcPr>
                        <w:tcW w:w="3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C7497">
                        <w:pPr>
                          <w:jc w:val="center"/>
                          <w:rPr>
                            <w:rFonts w:hint="eastAsia" w:ascii="微软雅黑" w:hAnsi="微软雅黑" w:eastAsia="微软雅黑" w:cs="微软雅黑"/>
                            <w:i w:val="0"/>
                            <w:iCs w:val="0"/>
                            <w:color w:val="000000"/>
                            <w:sz w:val="20"/>
                            <w:szCs w:val="20"/>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F06A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r>
                  <w:tr w14:paraId="1CA8D2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92" w:hRule="atLeast"/>
                    </w:trPr>
                    <w:tc>
                      <w:tcPr>
                        <w:tcW w:w="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8EF8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7</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4066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衣架</w:t>
                        </w:r>
                      </w:p>
                    </w:tc>
                    <w:tc>
                      <w:tcPr>
                        <w:tcW w:w="266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D4E485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drawing>
                            <wp:inline distT="0" distB="0" distL="114300" distR="114300">
                              <wp:extent cx="1348740" cy="1352550"/>
                              <wp:effectExtent l="0" t="0" r="3810" b="0"/>
                              <wp:docPr id="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pic:cNvPicPr>
                                        <a:picLocks noChangeAspect="1"/>
                                      </pic:cNvPicPr>
                                    </pic:nvPicPr>
                                    <pic:blipFill>
                                      <a:blip r:embed="rId11"/>
                                      <a:stretch>
                                        <a:fillRect/>
                                      </a:stretch>
                                    </pic:blipFill>
                                    <pic:spPr>
                                      <a:xfrm>
                                        <a:off x="0" y="0"/>
                                        <a:ext cx="1348740" cy="1352550"/>
                                      </a:xfrm>
                                      <a:prstGeom prst="rect">
                                        <a:avLst/>
                                      </a:prstGeom>
                                    </pic:spPr>
                                  </pic:pic>
                                </a:graphicData>
                              </a:graphic>
                            </wp:inline>
                          </w:drawing>
                        </w:r>
                        <w:r>
                          <w:rPr>
                            <w:rFonts w:hint="eastAsia" w:ascii="微软雅黑" w:hAnsi="微软雅黑" w:eastAsia="微软雅黑" w:cs="微软雅黑"/>
                            <w:i w:val="0"/>
                            <w:iCs w:val="0"/>
                            <w:color w:val="000000"/>
                            <w:kern w:val="0"/>
                            <w:sz w:val="20"/>
                            <w:szCs w:val="20"/>
                            <w:u w:val="none"/>
                            <w:bdr w:val="single" w:color="000000" w:sz="4" w:space="0"/>
                            <w:shd w:val="clear" w:fill="FFFFFF"/>
                            <w:lang w:val="en-US" w:eastAsia="zh-CN" w:bidi="ar"/>
                          </w:rPr>
                          <w:drawing>
                            <wp:anchor distT="0" distB="0" distL="114300" distR="114300" simplePos="0" relativeHeight="251659264" behindDoc="0" locked="0" layoutInCell="1" allowOverlap="1">
                              <wp:simplePos x="0" y="0"/>
                              <wp:positionH relativeFrom="column">
                                <wp:posOffset>304800</wp:posOffset>
                              </wp:positionH>
                              <wp:positionV relativeFrom="paragraph">
                                <wp:posOffset>270510</wp:posOffset>
                              </wp:positionV>
                              <wp:extent cx="1348740" cy="1352550"/>
                              <wp:effectExtent l="0" t="0" r="0" b="0"/>
                              <wp:wrapNone/>
                              <wp:docPr id="17" name="图片_7"/>
                              <wp:cNvGraphicFramePr/>
                              <a:graphic xmlns:a="http://schemas.openxmlformats.org/drawingml/2006/main">
                                <a:graphicData uri="http://schemas.openxmlformats.org/drawingml/2006/picture">
                                  <pic:pic xmlns:pic="http://schemas.openxmlformats.org/drawingml/2006/picture">
                                    <pic:nvPicPr>
                                      <pic:cNvPr id="17" name="图片_7"/>
                                      <pic:cNvPicPr/>
                                    </pic:nvPicPr>
                                    <pic:blipFill>
                                      <a:blip r:embed="rId5"/>
                                      <a:stretch>
                                        <a:fillRect/>
                                      </a:stretch>
                                    </pic:blipFill>
                                    <pic:spPr>
                                      <a:xfrm>
                                        <a:off x="0" y="0"/>
                                        <a:ext cx="1348740" cy="1352550"/>
                                      </a:xfrm>
                                      <a:prstGeom prst="rect">
                                        <a:avLst/>
                                      </a:prstGeom>
                                      <a:noFill/>
                                      <a:ln>
                                        <a:noFill/>
                                      </a:ln>
                                    </pic:spPr>
                                  </pic:pic>
                                </a:graphicData>
                              </a:graphic>
                            </wp:anchor>
                          </w:drawing>
                        </w:r>
                      </w:p>
                    </w:tc>
                    <w:tc>
                      <w:tcPr>
                        <w:tcW w:w="12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DA6A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1200W*320D*1585H</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5D4F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胡桃色实木</w:t>
                        </w:r>
                      </w:p>
                    </w:tc>
                    <w:tc>
                      <w:tcPr>
                        <w:tcW w:w="6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7BE9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5</w:t>
                        </w:r>
                      </w:p>
                    </w:tc>
                    <w:tc>
                      <w:tcPr>
                        <w:tcW w:w="3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991CE">
                        <w:pPr>
                          <w:jc w:val="left"/>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胡桃色实木</w:t>
                        </w:r>
                      </w:p>
                    </w:tc>
                    <w:tc>
                      <w:tcPr>
                        <w:tcW w:w="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895EA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个</w:t>
                        </w:r>
                      </w:p>
                    </w:tc>
                    <w:tc>
                      <w:tcPr>
                        <w:tcW w:w="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8641F">
                        <w:pPr>
                          <w:jc w:val="center"/>
                          <w:rPr>
                            <w:rFonts w:hint="eastAsia" w:ascii="微软雅黑" w:hAnsi="微软雅黑" w:eastAsia="微软雅黑" w:cs="微软雅黑"/>
                            <w:i w:val="0"/>
                            <w:iCs w:val="0"/>
                            <w:color w:val="000000"/>
                            <w:sz w:val="20"/>
                            <w:szCs w:val="20"/>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DAAA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3345B">
                        <w:pPr>
                          <w:jc w:val="center"/>
                          <w:rPr>
                            <w:rFonts w:hint="eastAsia" w:ascii="微软雅黑" w:hAnsi="微软雅黑" w:eastAsia="微软雅黑" w:cs="微软雅黑"/>
                            <w:i w:val="0"/>
                            <w:iCs w:val="0"/>
                            <w:color w:val="000000"/>
                            <w:sz w:val="20"/>
                            <w:szCs w:val="20"/>
                            <w:u w:val="none"/>
                          </w:rPr>
                        </w:pPr>
                      </w:p>
                    </w:tc>
                    <w:tc>
                      <w:tcPr>
                        <w:tcW w:w="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EFE04">
                        <w:pPr>
                          <w:jc w:val="center"/>
                          <w:rPr>
                            <w:rFonts w:hint="eastAsia" w:ascii="微软雅黑" w:hAnsi="微软雅黑" w:eastAsia="微软雅黑" w:cs="微软雅黑"/>
                            <w:i w:val="0"/>
                            <w:iCs w:val="0"/>
                            <w:color w:val="000000"/>
                            <w:sz w:val="20"/>
                            <w:szCs w:val="20"/>
                            <w:u w:val="none"/>
                          </w:rPr>
                        </w:pPr>
                      </w:p>
                    </w:tc>
                    <w:tc>
                      <w:tcPr>
                        <w:tcW w:w="3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6C377">
                        <w:pPr>
                          <w:jc w:val="center"/>
                          <w:rPr>
                            <w:rFonts w:hint="eastAsia" w:ascii="微软雅黑" w:hAnsi="微软雅黑" w:eastAsia="微软雅黑" w:cs="微软雅黑"/>
                            <w:i w:val="0"/>
                            <w:iCs w:val="0"/>
                            <w:color w:val="000000"/>
                            <w:sz w:val="20"/>
                            <w:szCs w:val="20"/>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6600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r>
                  <w:tr w14:paraId="2D51DF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499" w:hRule="atLeast"/>
                    </w:trPr>
                    <w:tc>
                      <w:tcPr>
                        <w:tcW w:w="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ED37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8</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8832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班台</w:t>
                        </w:r>
                      </w:p>
                    </w:tc>
                    <w:tc>
                      <w:tcPr>
                        <w:tcW w:w="2663" w:type="dxa"/>
                        <w:tcBorders>
                          <w:top w:val="single" w:color="000000" w:sz="4" w:space="0"/>
                          <w:left w:val="single" w:color="000000" w:sz="4" w:space="0"/>
                          <w:bottom w:val="nil"/>
                          <w:right w:val="single" w:color="000000" w:sz="4" w:space="0"/>
                        </w:tcBorders>
                        <w:shd w:val="clear" w:color="auto" w:fill="FFFFFF"/>
                        <w:noWrap/>
                        <w:vAlign w:val="center"/>
                      </w:tcPr>
                      <w:p w14:paraId="1E061D23">
                        <w:pPr>
                          <w:keepNext w:val="0"/>
                          <w:keepLines w:val="0"/>
                          <w:widowControl/>
                          <w:suppressLineNumbers w:val="0"/>
                          <w:jc w:val="left"/>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bdr w:val="single" w:color="000000" w:sz="4" w:space="0"/>
                            <w:shd w:val="clear" w:fill="FFFFFF"/>
                            <w:lang w:val="en-US" w:eastAsia="zh-CN" w:bidi="ar"/>
                          </w:rPr>
                          <w:drawing>
                            <wp:anchor distT="0" distB="0" distL="114300" distR="114300" simplePos="0" relativeHeight="251659264" behindDoc="0" locked="0" layoutInCell="1" allowOverlap="1">
                              <wp:simplePos x="0" y="0"/>
                              <wp:positionH relativeFrom="column">
                                <wp:posOffset>160020</wp:posOffset>
                              </wp:positionH>
                              <wp:positionV relativeFrom="paragraph">
                                <wp:posOffset>0</wp:posOffset>
                              </wp:positionV>
                              <wp:extent cx="1303020" cy="1273810"/>
                              <wp:effectExtent l="0" t="0" r="0" b="0"/>
                              <wp:wrapNone/>
                              <wp:docPr id="9" name="图片_8"/>
                              <wp:cNvGraphicFramePr/>
                              <a:graphic xmlns:a="http://schemas.openxmlformats.org/drawingml/2006/main">
                                <a:graphicData uri="http://schemas.openxmlformats.org/drawingml/2006/picture">
                                  <pic:pic xmlns:pic="http://schemas.openxmlformats.org/drawingml/2006/picture">
                                    <pic:nvPicPr>
                                      <pic:cNvPr id="9" name="图片_8"/>
                                      <pic:cNvPicPr/>
                                    </pic:nvPicPr>
                                    <pic:blipFill>
                                      <a:blip r:embed="rId5"/>
                                      <a:stretch>
                                        <a:fillRect/>
                                      </a:stretch>
                                    </pic:blipFill>
                                    <pic:spPr>
                                      <a:xfrm>
                                        <a:off x="0" y="0"/>
                                        <a:ext cx="1303020" cy="1273810"/>
                                      </a:xfrm>
                                      <a:prstGeom prst="rect">
                                        <a:avLst/>
                                      </a:prstGeom>
                                      <a:noFill/>
                                      <a:ln>
                                        <a:noFill/>
                                      </a:ln>
                                    </pic:spPr>
                                  </pic:pic>
                                </a:graphicData>
                              </a:graphic>
                            </wp:anchor>
                          </w:drawing>
                        </w:r>
                        <w:r>
                          <w:drawing>
                            <wp:inline distT="0" distB="0" distL="114300" distR="114300">
                              <wp:extent cx="1524635" cy="1135380"/>
                              <wp:effectExtent l="0" t="0" r="8890" b="7620"/>
                              <wp:docPr id="3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10"/>
                                      <pic:cNvPicPr>
                                        <a:picLocks noChangeAspect="1"/>
                                      </pic:cNvPicPr>
                                    </pic:nvPicPr>
                                    <pic:blipFill>
                                      <a:blip r:embed="rId12"/>
                                      <a:stretch>
                                        <a:fillRect/>
                                      </a:stretch>
                                    </pic:blipFill>
                                    <pic:spPr>
                                      <a:xfrm>
                                        <a:off x="0" y="0"/>
                                        <a:ext cx="1524635" cy="1135380"/>
                                      </a:xfrm>
                                      <a:prstGeom prst="rect">
                                        <a:avLst/>
                                      </a:prstGeom>
                                    </pic:spPr>
                                  </pic:pic>
                                </a:graphicData>
                              </a:graphic>
                            </wp:inline>
                          </w:drawing>
                        </w:r>
                        <w:r>
                          <w:rPr>
                            <w:rFonts w:hint="eastAsia" w:ascii="微软雅黑" w:hAnsi="微软雅黑" w:eastAsia="微软雅黑" w:cs="微软雅黑"/>
                            <w:i w:val="0"/>
                            <w:iCs w:val="0"/>
                            <w:color w:val="000000"/>
                            <w:kern w:val="0"/>
                            <w:sz w:val="20"/>
                            <w:szCs w:val="20"/>
                            <w:u w:val="none"/>
                            <w:bdr w:val="single" w:color="000000" w:sz="4" w:space="0"/>
                            <w:shd w:val="clear" w:fill="FFFFFF"/>
                            <w:lang w:val="en-US" w:eastAsia="zh-CN" w:bidi="ar"/>
                          </w:rPr>
                          <w:drawing>
                            <wp:anchor distT="0" distB="0" distL="114300" distR="114300" simplePos="0" relativeHeight="251659264" behindDoc="0" locked="0" layoutInCell="1" allowOverlap="1">
                              <wp:simplePos x="0" y="0"/>
                              <wp:positionH relativeFrom="column">
                                <wp:posOffset>160020</wp:posOffset>
                              </wp:positionH>
                              <wp:positionV relativeFrom="paragraph">
                                <wp:posOffset>182880</wp:posOffset>
                              </wp:positionV>
                              <wp:extent cx="1524635" cy="1135380"/>
                              <wp:effectExtent l="0" t="0" r="0" b="0"/>
                              <wp:wrapNone/>
                              <wp:docPr id="12" name="图片_10"/>
                              <wp:cNvGraphicFramePr/>
                              <a:graphic xmlns:a="http://schemas.openxmlformats.org/drawingml/2006/main">
                                <a:graphicData uri="http://schemas.openxmlformats.org/drawingml/2006/picture">
                                  <pic:pic xmlns:pic="http://schemas.openxmlformats.org/drawingml/2006/picture">
                                    <pic:nvPicPr>
                                      <pic:cNvPr id="12" name="图片_10"/>
                                      <pic:cNvPicPr/>
                                    </pic:nvPicPr>
                                    <pic:blipFill>
                                      <a:blip r:embed="rId5"/>
                                      <a:stretch>
                                        <a:fillRect/>
                                      </a:stretch>
                                    </pic:blipFill>
                                    <pic:spPr>
                                      <a:xfrm>
                                        <a:off x="0" y="0"/>
                                        <a:ext cx="1524635" cy="1135380"/>
                                      </a:xfrm>
                                      <a:prstGeom prst="rect">
                                        <a:avLst/>
                                      </a:prstGeom>
                                      <a:noFill/>
                                      <a:ln>
                                        <a:noFill/>
                                      </a:ln>
                                    </pic:spPr>
                                  </pic:pic>
                                </a:graphicData>
                              </a:graphic>
                            </wp:anchor>
                          </w:drawing>
                        </w:r>
                      </w:p>
                    </w:tc>
                    <w:tc>
                      <w:tcPr>
                        <w:tcW w:w="12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A2747">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2200W*1000D*760H</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ECFC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胡桃色/高级灰色</w:t>
                        </w:r>
                      </w:p>
                    </w:tc>
                    <w:tc>
                      <w:tcPr>
                        <w:tcW w:w="6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40BCE">
                        <w:pPr>
                          <w:keepNext w:val="0"/>
                          <w:keepLines w:val="0"/>
                          <w:widowControl/>
                          <w:suppressLineNumbers w:val="0"/>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bidi="ar"/>
                          </w:rPr>
                          <w:t>10</w:t>
                        </w:r>
                      </w:p>
                    </w:tc>
                    <w:tc>
                      <w:tcPr>
                        <w:tcW w:w="333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045020">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 xml:space="preserve">1、饰面：采用优质三聚氰胺浸渍胶膜纸，挥发物含量5%-9%，甲醛释放量≤0.5mg/L。 </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2、基材：采用不低于E1级刨花板，密度≥0.75g/cm³，甲醛释放量≤0.05mg/m³。</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 xml:space="preserve">3、封边：采用优质ABS激光封边条，厚度≥1.8mm，表面光滑，花纹清晰、均匀，无漏印。 </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 xml:space="preserve">4、热熔胶：选用优质品牌环保热熔胶，游离甲醛≤0.1g/kg，苯≤0.02g/kg，甲苯≤0.02g/kg，二甲苯≤0.02g/kg，总挥发性有机物≤5g/L，游离甲苯二异氰酸酯≤1g/kg。 </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5、五金配件：采用优质品牌五金配件.</w:t>
                        </w:r>
                      </w:p>
                    </w:tc>
                    <w:tc>
                      <w:tcPr>
                        <w:tcW w:w="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2901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张</w:t>
                        </w:r>
                      </w:p>
                    </w:tc>
                    <w:tc>
                      <w:tcPr>
                        <w:tcW w:w="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F0F6E">
                        <w:pPr>
                          <w:jc w:val="center"/>
                          <w:rPr>
                            <w:rFonts w:hint="eastAsia" w:ascii="微软雅黑" w:hAnsi="微软雅黑" w:eastAsia="微软雅黑" w:cs="微软雅黑"/>
                            <w:i w:val="0"/>
                            <w:iCs w:val="0"/>
                            <w:color w:val="000000"/>
                            <w:sz w:val="20"/>
                            <w:szCs w:val="20"/>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3AFD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16C80">
                        <w:pPr>
                          <w:jc w:val="center"/>
                          <w:rPr>
                            <w:rFonts w:hint="eastAsia" w:ascii="微软雅黑" w:hAnsi="微软雅黑" w:eastAsia="微软雅黑" w:cs="微软雅黑"/>
                            <w:i w:val="0"/>
                            <w:iCs w:val="0"/>
                            <w:color w:val="000000"/>
                            <w:sz w:val="20"/>
                            <w:szCs w:val="20"/>
                            <w:u w:val="none"/>
                          </w:rPr>
                        </w:pPr>
                      </w:p>
                    </w:tc>
                    <w:tc>
                      <w:tcPr>
                        <w:tcW w:w="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CD017">
                        <w:pPr>
                          <w:jc w:val="center"/>
                          <w:rPr>
                            <w:rFonts w:hint="eastAsia" w:ascii="微软雅黑" w:hAnsi="微软雅黑" w:eastAsia="微软雅黑" w:cs="微软雅黑"/>
                            <w:i w:val="0"/>
                            <w:iCs w:val="0"/>
                            <w:color w:val="000000"/>
                            <w:sz w:val="20"/>
                            <w:szCs w:val="20"/>
                            <w:u w:val="none"/>
                          </w:rPr>
                        </w:pPr>
                      </w:p>
                    </w:tc>
                    <w:tc>
                      <w:tcPr>
                        <w:tcW w:w="3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3D13C">
                        <w:pPr>
                          <w:jc w:val="center"/>
                          <w:rPr>
                            <w:rFonts w:hint="eastAsia" w:ascii="微软雅黑" w:hAnsi="微软雅黑" w:eastAsia="微软雅黑" w:cs="微软雅黑"/>
                            <w:i w:val="0"/>
                            <w:iCs w:val="0"/>
                            <w:color w:val="000000"/>
                            <w:sz w:val="20"/>
                            <w:szCs w:val="20"/>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22A8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r>
                  <w:tr w14:paraId="3B5C6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99" w:hRule="atLeast"/>
                    </w:trPr>
                    <w:tc>
                      <w:tcPr>
                        <w:tcW w:w="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D9D1B">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9</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67D5E">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书柜</w:t>
                        </w:r>
                      </w:p>
                    </w:tc>
                    <w:tc>
                      <w:tcPr>
                        <w:tcW w:w="266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6A37CFAA">
                        <w:pPr>
                          <w:keepNext w:val="0"/>
                          <w:keepLines w:val="0"/>
                          <w:widowControl/>
                          <w:suppressLineNumbers w:val="0"/>
                          <w:jc w:val="left"/>
                          <w:textAlignment w:val="center"/>
                          <w:rPr>
                            <w:rFonts w:hint="eastAsia" w:ascii="微软雅黑" w:hAnsi="微软雅黑" w:eastAsia="微软雅黑" w:cs="微软雅黑"/>
                            <w:i w:val="0"/>
                            <w:iCs w:val="0"/>
                            <w:color w:val="000000"/>
                            <w:sz w:val="20"/>
                            <w:szCs w:val="20"/>
                            <w:u w:val="none"/>
                          </w:rPr>
                        </w:pPr>
                        <w:r>
                          <w:drawing>
                            <wp:inline distT="0" distB="0" distL="114300" distR="114300">
                              <wp:extent cx="1097280" cy="1409700"/>
                              <wp:effectExtent l="0" t="0" r="7620" b="0"/>
                              <wp:docPr id="3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12"/>
                                      <pic:cNvPicPr>
                                        <a:picLocks noChangeAspect="1"/>
                                      </pic:cNvPicPr>
                                    </pic:nvPicPr>
                                    <pic:blipFill>
                                      <a:blip r:embed="rId13"/>
                                      <a:stretch>
                                        <a:fillRect/>
                                      </a:stretch>
                                    </pic:blipFill>
                                    <pic:spPr>
                                      <a:xfrm>
                                        <a:off x="0" y="0"/>
                                        <a:ext cx="1097280" cy="1409700"/>
                                      </a:xfrm>
                                      <a:prstGeom prst="rect">
                                        <a:avLst/>
                                      </a:prstGeom>
                                    </pic:spPr>
                                  </pic:pic>
                                </a:graphicData>
                              </a:graphic>
                            </wp:inline>
                          </w:drawing>
                        </w:r>
                        <w:r>
                          <w:rPr>
                            <w:rFonts w:hint="eastAsia" w:ascii="微软雅黑" w:hAnsi="微软雅黑" w:eastAsia="微软雅黑" w:cs="微软雅黑"/>
                            <w:i w:val="0"/>
                            <w:iCs w:val="0"/>
                            <w:color w:val="000000"/>
                            <w:kern w:val="0"/>
                            <w:sz w:val="20"/>
                            <w:szCs w:val="20"/>
                            <w:u w:val="none"/>
                            <w:bdr w:val="single" w:color="000000" w:sz="4" w:space="0"/>
                            <w:shd w:val="clear" w:fill="FFFFFF"/>
                            <w:lang w:val="en-US" w:eastAsia="zh-CN" w:bidi="ar"/>
                          </w:rPr>
                          <w:drawing>
                            <wp:anchor distT="0" distB="0" distL="114300" distR="114300" simplePos="0" relativeHeight="251659264" behindDoc="0" locked="0" layoutInCell="1" allowOverlap="1">
                              <wp:simplePos x="0" y="0"/>
                              <wp:positionH relativeFrom="column">
                                <wp:posOffset>312420</wp:posOffset>
                              </wp:positionH>
                              <wp:positionV relativeFrom="paragraph">
                                <wp:posOffset>76200</wp:posOffset>
                              </wp:positionV>
                              <wp:extent cx="1097280" cy="1409700"/>
                              <wp:effectExtent l="0" t="0" r="0" b="0"/>
                              <wp:wrapNone/>
                              <wp:docPr id="13" name="图片_12"/>
                              <wp:cNvGraphicFramePr/>
                              <a:graphic xmlns:a="http://schemas.openxmlformats.org/drawingml/2006/main">
                                <a:graphicData uri="http://schemas.openxmlformats.org/drawingml/2006/picture">
                                  <pic:pic xmlns:pic="http://schemas.openxmlformats.org/drawingml/2006/picture">
                                    <pic:nvPicPr>
                                      <pic:cNvPr id="13" name="图片_12"/>
                                      <pic:cNvPicPr/>
                                    </pic:nvPicPr>
                                    <pic:blipFill>
                                      <a:blip r:embed="rId5"/>
                                      <a:stretch>
                                        <a:fillRect/>
                                      </a:stretch>
                                    </pic:blipFill>
                                    <pic:spPr>
                                      <a:xfrm>
                                        <a:off x="0" y="0"/>
                                        <a:ext cx="1097280" cy="1409700"/>
                                      </a:xfrm>
                                      <a:prstGeom prst="rect">
                                        <a:avLst/>
                                      </a:prstGeom>
                                      <a:noFill/>
                                      <a:ln>
                                        <a:noFill/>
                                      </a:ln>
                                    </pic:spPr>
                                  </pic:pic>
                                </a:graphicData>
                              </a:graphic>
                            </wp:anchor>
                          </w:drawing>
                        </w:r>
                      </w:p>
                    </w:tc>
                    <w:tc>
                      <w:tcPr>
                        <w:tcW w:w="12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0C5F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2800W*400D*1800H</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93C4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胡桃色/高级灰色</w:t>
                        </w:r>
                      </w:p>
                    </w:tc>
                    <w:tc>
                      <w:tcPr>
                        <w:tcW w:w="6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C3B3B">
                        <w:pPr>
                          <w:keepNext w:val="0"/>
                          <w:keepLines w:val="0"/>
                          <w:widowControl/>
                          <w:suppressLineNumbers w:val="0"/>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bidi="ar"/>
                          </w:rPr>
                          <w:t>10</w:t>
                        </w:r>
                      </w:p>
                    </w:tc>
                    <w:tc>
                      <w:tcPr>
                        <w:tcW w:w="333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C509D9">
                        <w:pPr>
                          <w:jc w:val="left"/>
                          <w:rPr>
                            <w:rFonts w:hint="eastAsia" w:ascii="微软雅黑" w:hAnsi="微软雅黑" w:eastAsia="微软雅黑" w:cs="微软雅黑"/>
                            <w:i w:val="0"/>
                            <w:iCs w:val="0"/>
                            <w:color w:val="000000"/>
                            <w:sz w:val="16"/>
                            <w:szCs w:val="16"/>
                            <w:u w:val="none"/>
                          </w:rPr>
                        </w:pPr>
                      </w:p>
                    </w:tc>
                    <w:tc>
                      <w:tcPr>
                        <w:tcW w:w="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2720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张</w:t>
                        </w:r>
                      </w:p>
                    </w:tc>
                    <w:tc>
                      <w:tcPr>
                        <w:tcW w:w="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67248">
                        <w:pPr>
                          <w:jc w:val="center"/>
                          <w:rPr>
                            <w:rFonts w:hint="eastAsia" w:ascii="微软雅黑" w:hAnsi="微软雅黑" w:eastAsia="微软雅黑" w:cs="微软雅黑"/>
                            <w:i w:val="0"/>
                            <w:iCs w:val="0"/>
                            <w:color w:val="000000"/>
                            <w:sz w:val="20"/>
                            <w:szCs w:val="20"/>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D268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45982">
                        <w:pPr>
                          <w:jc w:val="center"/>
                          <w:rPr>
                            <w:rFonts w:hint="eastAsia" w:ascii="微软雅黑" w:hAnsi="微软雅黑" w:eastAsia="微软雅黑" w:cs="微软雅黑"/>
                            <w:i w:val="0"/>
                            <w:iCs w:val="0"/>
                            <w:color w:val="000000"/>
                            <w:sz w:val="20"/>
                            <w:szCs w:val="20"/>
                            <w:u w:val="none"/>
                          </w:rPr>
                        </w:pPr>
                      </w:p>
                    </w:tc>
                    <w:tc>
                      <w:tcPr>
                        <w:tcW w:w="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4187F">
                        <w:pPr>
                          <w:jc w:val="center"/>
                          <w:rPr>
                            <w:rFonts w:hint="eastAsia" w:ascii="微软雅黑" w:hAnsi="微软雅黑" w:eastAsia="微软雅黑" w:cs="微软雅黑"/>
                            <w:i w:val="0"/>
                            <w:iCs w:val="0"/>
                            <w:color w:val="000000"/>
                            <w:sz w:val="20"/>
                            <w:szCs w:val="20"/>
                            <w:u w:val="none"/>
                          </w:rPr>
                        </w:pPr>
                      </w:p>
                    </w:tc>
                    <w:tc>
                      <w:tcPr>
                        <w:tcW w:w="3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948A9">
                        <w:pPr>
                          <w:jc w:val="center"/>
                          <w:rPr>
                            <w:rFonts w:hint="eastAsia" w:ascii="微软雅黑" w:hAnsi="微软雅黑" w:eastAsia="微软雅黑" w:cs="微软雅黑"/>
                            <w:i w:val="0"/>
                            <w:iCs w:val="0"/>
                            <w:color w:val="000000"/>
                            <w:sz w:val="20"/>
                            <w:szCs w:val="20"/>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3F82C">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r>
                  <w:tr w14:paraId="65AF5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76" w:hRule="atLeast"/>
                    </w:trPr>
                    <w:tc>
                      <w:tcPr>
                        <w:tcW w:w="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3FF5A">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10</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A3A2D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班椅</w:t>
                        </w:r>
                      </w:p>
                    </w:tc>
                    <w:tc>
                      <w:tcPr>
                        <w:tcW w:w="266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896D1E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drawing>
                            <wp:inline distT="0" distB="0" distL="114300" distR="114300">
                              <wp:extent cx="716280" cy="932815"/>
                              <wp:effectExtent l="0" t="0" r="7620" b="635"/>
                              <wp:docPr id="32"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13"/>
                                      <pic:cNvPicPr>
                                        <a:picLocks noChangeAspect="1"/>
                                      </pic:cNvPicPr>
                                    </pic:nvPicPr>
                                    <pic:blipFill>
                                      <a:blip r:embed="rId14"/>
                                      <a:stretch>
                                        <a:fillRect/>
                                      </a:stretch>
                                    </pic:blipFill>
                                    <pic:spPr>
                                      <a:xfrm>
                                        <a:off x="0" y="0"/>
                                        <a:ext cx="716280" cy="932815"/>
                                      </a:xfrm>
                                      <a:prstGeom prst="rect">
                                        <a:avLst/>
                                      </a:prstGeom>
                                    </pic:spPr>
                                  </pic:pic>
                                </a:graphicData>
                              </a:graphic>
                            </wp:inline>
                          </w:drawing>
                        </w:r>
                        <w:r>
                          <w:rPr>
                            <w:rFonts w:hint="eastAsia" w:ascii="微软雅黑" w:hAnsi="微软雅黑" w:eastAsia="微软雅黑" w:cs="微软雅黑"/>
                            <w:i w:val="0"/>
                            <w:iCs w:val="0"/>
                            <w:color w:val="000000"/>
                            <w:kern w:val="0"/>
                            <w:sz w:val="20"/>
                            <w:szCs w:val="20"/>
                            <w:u w:val="none"/>
                            <w:bdr w:val="single" w:color="000000" w:sz="4" w:space="0"/>
                            <w:shd w:val="clear" w:fill="FFFFFF"/>
                            <w:lang w:val="en-US" w:eastAsia="zh-CN" w:bidi="ar"/>
                          </w:rPr>
                          <w:drawing>
                            <wp:anchor distT="0" distB="0" distL="114300" distR="114300" simplePos="0" relativeHeight="251659264" behindDoc="0" locked="0" layoutInCell="1" allowOverlap="1">
                              <wp:simplePos x="0" y="0"/>
                              <wp:positionH relativeFrom="column">
                                <wp:posOffset>464820</wp:posOffset>
                              </wp:positionH>
                              <wp:positionV relativeFrom="paragraph">
                                <wp:posOffset>160020</wp:posOffset>
                              </wp:positionV>
                              <wp:extent cx="716280" cy="932815"/>
                              <wp:effectExtent l="0" t="0" r="0" b="0"/>
                              <wp:wrapNone/>
                              <wp:docPr id="15" name="图片_13"/>
                              <wp:cNvGraphicFramePr/>
                              <a:graphic xmlns:a="http://schemas.openxmlformats.org/drawingml/2006/main">
                                <a:graphicData uri="http://schemas.openxmlformats.org/drawingml/2006/picture">
                                  <pic:pic xmlns:pic="http://schemas.openxmlformats.org/drawingml/2006/picture">
                                    <pic:nvPicPr>
                                      <pic:cNvPr id="15" name="图片_13"/>
                                      <pic:cNvPicPr/>
                                    </pic:nvPicPr>
                                    <pic:blipFill>
                                      <a:blip r:embed="rId5"/>
                                      <a:stretch>
                                        <a:fillRect/>
                                      </a:stretch>
                                    </pic:blipFill>
                                    <pic:spPr>
                                      <a:xfrm>
                                        <a:off x="0" y="0"/>
                                        <a:ext cx="716280" cy="932815"/>
                                      </a:xfrm>
                                      <a:prstGeom prst="rect">
                                        <a:avLst/>
                                      </a:prstGeom>
                                      <a:noFill/>
                                      <a:ln>
                                        <a:noFill/>
                                      </a:ln>
                                    </pic:spPr>
                                  </pic:pic>
                                </a:graphicData>
                              </a:graphic>
                            </wp:anchor>
                          </w:drawing>
                        </w:r>
                      </w:p>
                    </w:tc>
                    <w:tc>
                      <w:tcPr>
                        <w:tcW w:w="12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CA822">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640W*650D*1150H</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E3F2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黑色网布/金属五星脚</w:t>
                        </w:r>
                      </w:p>
                    </w:tc>
                    <w:tc>
                      <w:tcPr>
                        <w:tcW w:w="6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67705">
                        <w:pPr>
                          <w:keepNext w:val="0"/>
                          <w:keepLines w:val="0"/>
                          <w:widowControl/>
                          <w:suppressLineNumbers w:val="0"/>
                          <w:jc w:val="center"/>
                          <w:textAlignment w:val="center"/>
                          <w:rPr>
                            <w:rFonts w:hint="default" w:ascii="微软雅黑" w:hAnsi="微软雅黑" w:eastAsia="微软雅黑" w:cs="微软雅黑"/>
                            <w:i w:val="0"/>
                            <w:iCs w:val="0"/>
                            <w:color w:val="000000"/>
                            <w:sz w:val="20"/>
                            <w:szCs w:val="20"/>
                            <w:u w:val="none"/>
                            <w:lang w:val="en-US" w:eastAsia="zh-CN"/>
                          </w:rPr>
                        </w:pPr>
                        <w:r>
                          <w:rPr>
                            <w:rFonts w:hint="eastAsia" w:ascii="微软雅黑" w:hAnsi="微软雅黑" w:eastAsia="微软雅黑" w:cs="微软雅黑"/>
                            <w:i w:val="0"/>
                            <w:iCs w:val="0"/>
                            <w:color w:val="000000"/>
                            <w:sz w:val="20"/>
                            <w:szCs w:val="20"/>
                            <w:u w:val="none"/>
                            <w:lang w:val="en-US" w:eastAsia="zh-CN"/>
                          </w:rPr>
                          <w:t>20</w:t>
                        </w:r>
                      </w:p>
                    </w:tc>
                    <w:tc>
                      <w:tcPr>
                        <w:tcW w:w="3330" w:type="dxa"/>
                        <w:tcBorders>
                          <w:top w:val="single" w:color="000000" w:sz="4" w:space="0"/>
                          <w:left w:val="single" w:color="000000" w:sz="4" w:space="0"/>
                          <w:bottom w:val="nil"/>
                          <w:right w:val="single" w:color="000000" w:sz="4" w:space="0"/>
                        </w:tcBorders>
                        <w:shd w:val="clear" w:color="auto" w:fill="auto"/>
                        <w:vAlign w:val="center"/>
                      </w:tcPr>
                      <w:p w14:paraId="78977015">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背靠：PP玻纤背筐，过BIFMA拉背测试102KG</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扶手：PP玻纤连体固定扶手</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坐垫：42密度中软高弹切割海绵</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底盘：2.5加厚中班蝴蝶底盘（可原位锁定和逍遥功能）</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气杆：80黑色拉深5CM气杆</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椅脚：Ø320黑色PP脚过1000KG静压测试</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椅轮：50MM黑色尼龙轮</w:t>
                        </w:r>
                      </w:p>
                    </w:tc>
                    <w:tc>
                      <w:tcPr>
                        <w:tcW w:w="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D377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张</w:t>
                        </w:r>
                      </w:p>
                    </w:tc>
                    <w:tc>
                      <w:tcPr>
                        <w:tcW w:w="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5AC77">
                        <w:pPr>
                          <w:jc w:val="center"/>
                          <w:rPr>
                            <w:rFonts w:hint="eastAsia" w:ascii="微软雅黑" w:hAnsi="微软雅黑" w:eastAsia="微软雅黑" w:cs="微软雅黑"/>
                            <w:i w:val="0"/>
                            <w:iCs w:val="0"/>
                            <w:color w:val="000000"/>
                            <w:sz w:val="20"/>
                            <w:szCs w:val="20"/>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55570">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951EB">
                        <w:pPr>
                          <w:jc w:val="center"/>
                          <w:rPr>
                            <w:rFonts w:hint="eastAsia" w:ascii="微软雅黑" w:hAnsi="微软雅黑" w:eastAsia="微软雅黑" w:cs="微软雅黑"/>
                            <w:i w:val="0"/>
                            <w:iCs w:val="0"/>
                            <w:color w:val="000000"/>
                            <w:sz w:val="20"/>
                            <w:szCs w:val="20"/>
                            <w:u w:val="none"/>
                          </w:rPr>
                        </w:pPr>
                      </w:p>
                    </w:tc>
                    <w:tc>
                      <w:tcPr>
                        <w:tcW w:w="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7A79B">
                        <w:pPr>
                          <w:jc w:val="center"/>
                          <w:rPr>
                            <w:rFonts w:hint="eastAsia" w:ascii="微软雅黑" w:hAnsi="微软雅黑" w:eastAsia="微软雅黑" w:cs="微软雅黑"/>
                            <w:i w:val="0"/>
                            <w:iCs w:val="0"/>
                            <w:color w:val="000000"/>
                            <w:sz w:val="20"/>
                            <w:szCs w:val="20"/>
                            <w:u w:val="none"/>
                          </w:rPr>
                        </w:pPr>
                      </w:p>
                    </w:tc>
                    <w:tc>
                      <w:tcPr>
                        <w:tcW w:w="3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AA1B0">
                        <w:pPr>
                          <w:jc w:val="center"/>
                          <w:rPr>
                            <w:rFonts w:hint="eastAsia" w:ascii="微软雅黑" w:hAnsi="微软雅黑" w:eastAsia="微软雅黑" w:cs="微软雅黑"/>
                            <w:i w:val="0"/>
                            <w:iCs w:val="0"/>
                            <w:color w:val="000000"/>
                            <w:sz w:val="20"/>
                            <w:szCs w:val="20"/>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3F90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r>
                  <w:tr w14:paraId="79F7E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96" w:hRule="atLeast"/>
                    </w:trPr>
                    <w:tc>
                      <w:tcPr>
                        <w:tcW w:w="7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18FBD">
                        <w:pPr>
                          <w:keepNext w:val="0"/>
                          <w:keepLines w:val="0"/>
                          <w:widowControl/>
                          <w:suppressLineNumbers w:val="0"/>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bidi="ar"/>
                          </w:rPr>
                          <w:t>11</w:t>
                        </w:r>
                      </w:p>
                    </w:tc>
                    <w:tc>
                      <w:tcPr>
                        <w:tcW w:w="6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BC38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会议桌</w:t>
                        </w:r>
                      </w:p>
                    </w:tc>
                    <w:tc>
                      <w:tcPr>
                        <w:tcW w:w="2663"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448158F3">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drawing>
                            <wp:inline distT="0" distB="0" distL="114300" distR="114300">
                              <wp:extent cx="1645920" cy="1074420"/>
                              <wp:effectExtent l="0" t="0" r="1905" b="1905"/>
                              <wp:docPr id="3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9"/>
                                      <pic:cNvPicPr>
                                        <a:picLocks noChangeAspect="1"/>
                                      </pic:cNvPicPr>
                                    </pic:nvPicPr>
                                    <pic:blipFill>
                                      <a:blip r:embed="rId15"/>
                                      <a:stretch>
                                        <a:fillRect/>
                                      </a:stretch>
                                    </pic:blipFill>
                                    <pic:spPr>
                                      <a:xfrm>
                                        <a:off x="0" y="0"/>
                                        <a:ext cx="1645920" cy="1074420"/>
                                      </a:xfrm>
                                      <a:prstGeom prst="rect">
                                        <a:avLst/>
                                      </a:prstGeom>
                                    </pic:spPr>
                                  </pic:pic>
                                </a:graphicData>
                              </a:graphic>
                            </wp:inline>
                          </w:drawing>
                        </w:r>
                        <w:r>
                          <w:rPr>
                            <w:rFonts w:hint="eastAsia" w:ascii="微软雅黑" w:hAnsi="微软雅黑" w:eastAsia="微软雅黑" w:cs="微软雅黑"/>
                            <w:i w:val="0"/>
                            <w:iCs w:val="0"/>
                            <w:color w:val="000000"/>
                            <w:kern w:val="0"/>
                            <w:sz w:val="20"/>
                            <w:szCs w:val="20"/>
                            <w:u w:val="none"/>
                            <w:bdr w:val="single" w:color="000000" w:sz="4" w:space="0"/>
                            <w:shd w:val="clear" w:fill="FFFFFF"/>
                            <w:lang w:val="en-US" w:eastAsia="zh-CN" w:bidi="ar"/>
                          </w:rPr>
                          <w:drawing>
                            <wp:anchor distT="0" distB="0" distL="114300" distR="114300" simplePos="0" relativeHeight="251659264" behindDoc="0" locked="0" layoutInCell="1" allowOverlap="1">
                              <wp:simplePos x="0" y="0"/>
                              <wp:positionH relativeFrom="column">
                                <wp:posOffset>83820</wp:posOffset>
                              </wp:positionH>
                              <wp:positionV relativeFrom="paragraph">
                                <wp:posOffset>525780</wp:posOffset>
                              </wp:positionV>
                              <wp:extent cx="1645920" cy="1074420"/>
                              <wp:effectExtent l="0" t="0" r="0" b="0"/>
                              <wp:wrapNone/>
                              <wp:docPr id="16" name="图片_9"/>
                              <wp:cNvGraphicFramePr/>
                              <a:graphic xmlns:a="http://schemas.openxmlformats.org/drawingml/2006/main">
                                <a:graphicData uri="http://schemas.openxmlformats.org/drawingml/2006/picture">
                                  <pic:pic xmlns:pic="http://schemas.openxmlformats.org/drawingml/2006/picture">
                                    <pic:nvPicPr>
                                      <pic:cNvPr id="16" name="图片_9"/>
                                      <pic:cNvPicPr/>
                                    </pic:nvPicPr>
                                    <pic:blipFill>
                                      <a:blip r:embed="rId5"/>
                                      <a:stretch>
                                        <a:fillRect/>
                                      </a:stretch>
                                    </pic:blipFill>
                                    <pic:spPr>
                                      <a:xfrm>
                                        <a:off x="0" y="0"/>
                                        <a:ext cx="1645920" cy="1074420"/>
                                      </a:xfrm>
                                      <a:prstGeom prst="rect">
                                        <a:avLst/>
                                      </a:prstGeom>
                                      <a:noFill/>
                                      <a:ln>
                                        <a:noFill/>
                                      </a:ln>
                                    </pic:spPr>
                                  </pic:pic>
                                </a:graphicData>
                              </a:graphic>
                            </wp:anchor>
                          </w:drawing>
                        </w:r>
                      </w:p>
                    </w:tc>
                    <w:tc>
                      <w:tcPr>
                        <w:tcW w:w="12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15696">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2000W×1000D×760H</w:t>
                        </w:r>
                      </w:p>
                    </w:tc>
                    <w:tc>
                      <w:tcPr>
                        <w:tcW w:w="126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D4935">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胡桃色/高级灰色</w:t>
                        </w:r>
                      </w:p>
                    </w:tc>
                    <w:tc>
                      <w:tcPr>
                        <w:tcW w:w="6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AED02">
                        <w:pPr>
                          <w:keepNext w:val="0"/>
                          <w:keepLines w:val="0"/>
                          <w:widowControl/>
                          <w:suppressLineNumbers w:val="0"/>
                          <w:jc w:val="center"/>
                          <w:textAlignment w:val="center"/>
                          <w:rPr>
                            <w:rFonts w:hint="default" w:ascii="微软雅黑" w:hAnsi="微软雅黑" w:eastAsia="微软雅黑" w:cs="微软雅黑"/>
                            <w:i w:val="0"/>
                            <w:iCs w:val="0"/>
                            <w:color w:val="000000"/>
                            <w:sz w:val="20"/>
                            <w:szCs w:val="20"/>
                            <w:u w:val="none"/>
                            <w:lang w:val="en-US"/>
                          </w:rPr>
                        </w:pPr>
                        <w:r>
                          <w:rPr>
                            <w:rFonts w:hint="eastAsia" w:ascii="微软雅黑" w:hAnsi="微软雅黑" w:eastAsia="微软雅黑" w:cs="微软雅黑"/>
                            <w:i w:val="0"/>
                            <w:iCs w:val="0"/>
                            <w:color w:val="000000"/>
                            <w:kern w:val="0"/>
                            <w:sz w:val="20"/>
                            <w:szCs w:val="20"/>
                            <w:u w:val="none"/>
                            <w:lang w:val="en-US" w:eastAsia="zh-CN" w:bidi="ar"/>
                          </w:rPr>
                          <w:t>10</w:t>
                        </w:r>
                      </w:p>
                    </w:tc>
                    <w:tc>
                      <w:tcPr>
                        <w:tcW w:w="33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11186">
                        <w:pPr>
                          <w:keepNext w:val="0"/>
                          <w:keepLines w:val="0"/>
                          <w:widowControl/>
                          <w:suppressLineNumbers w:val="0"/>
                          <w:jc w:val="left"/>
                          <w:textAlignment w:val="center"/>
                          <w:rPr>
                            <w:rFonts w:hint="eastAsia" w:ascii="微软雅黑" w:hAnsi="微软雅黑" w:eastAsia="微软雅黑" w:cs="微软雅黑"/>
                            <w:i w:val="0"/>
                            <w:iCs w:val="0"/>
                            <w:color w:val="000000"/>
                            <w:sz w:val="16"/>
                            <w:szCs w:val="16"/>
                            <w:u w:val="none"/>
                          </w:rPr>
                        </w:pPr>
                        <w:r>
                          <w:rPr>
                            <w:rFonts w:hint="eastAsia" w:ascii="微软雅黑" w:hAnsi="微软雅黑" w:eastAsia="微软雅黑" w:cs="微软雅黑"/>
                            <w:i w:val="0"/>
                            <w:iCs w:val="0"/>
                            <w:color w:val="000000"/>
                            <w:kern w:val="0"/>
                            <w:sz w:val="16"/>
                            <w:szCs w:val="16"/>
                            <w:u w:val="none"/>
                            <w:lang w:val="en-US" w:eastAsia="zh-CN" w:bidi="ar"/>
                          </w:rPr>
                          <w:t xml:space="preserve">1、饰面：采用优质三聚氰胺浸渍胶膜纸，挥发物含量5%-9%，甲醛释放量≤0.5mg/L。 </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2、基材：采用不低于E1级刨花板，密度≥0.75g/cm³，甲醛释放量≤0.05mg/m³。</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 xml:space="preserve">3、封边：采用优质ABS激光封边条，厚度≥1.8mm，表面光滑，花纹清晰、均匀，无漏印。 </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 xml:space="preserve">4、热熔胶：选用优质品牌环保热熔胶，游离甲醛≤0.1g/kg，苯≤0.02g/kg，甲苯≤0.02g/kg，二甲苯≤0.02g/kg，总挥发性有机物≤5g/L，游离甲苯二异氰酸酯≤1g/kg。 </w:t>
                        </w:r>
                        <w:r>
                          <w:rPr>
                            <w:rFonts w:hint="eastAsia" w:ascii="微软雅黑" w:hAnsi="微软雅黑" w:eastAsia="微软雅黑" w:cs="微软雅黑"/>
                            <w:i w:val="0"/>
                            <w:iCs w:val="0"/>
                            <w:color w:val="000000"/>
                            <w:kern w:val="0"/>
                            <w:sz w:val="16"/>
                            <w:szCs w:val="16"/>
                            <w:u w:val="none"/>
                            <w:lang w:val="en-US" w:eastAsia="zh-CN" w:bidi="ar"/>
                          </w:rPr>
                          <w:br w:type="textWrapping"/>
                        </w:r>
                        <w:r>
                          <w:rPr>
                            <w:rFonts w:hint="eastAsia" w:ascii="微软雅黑" w:hAnsi="微软雅黑" w:eastAsia="微软雅黑" w:cs="微软雅黑"/>
                            <w:i w:val="0"/>
                            <w:iCs w:val="0"/>
                            <w:color w:val="000000"/>
                            <w:kern w:val="0"/>
                            <w:sz w:val="16"/>
                            <w:szCs w:val="16"/>
                            <w:u w:val="none"/>
                            <w:lang w:val="en-US" w:eastAsia="zh-CN" w:bidi="ar"/>
                          </w:rPr>
                          <w:t>5、五金配件：采用优质品牌五金配件.</w:t>
                        </w:r>
                      </w:p>
                    </w:tc>
                    <w:tc>
                      <w:tcPr>
                        <w:tcW w:w="3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D7124">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r>
                          <w:rPr>
                            <w:rFonts w:hint="eastAsia" w:ascii="微软雅黑" w:hAnsi="微软雅黑" w:eastAsia="微软雅黑" w:cs="微软雅黑"/>
                            <w:i w:val="0"/>
                            <w:iCs w:val="0"/>
                            <w:color w:val="000000"/>
                            <w:kern w:val="0"/>
                            <w:sz w:val="20"/>
                            <w:szCs w:val="20"/>
                            <w:u w:val="none"/>
                            <w:lang w:val="en-US" w:eastAsia="zh-CN" w:bidi="ar"/>
                          </w:rPr>
                          <w:t>张</w:t>
                        </w:r>
                      </w:p>
                    </w:tc>
                    <w:tc>
                      <w:tcPr>
                        <w:tcW w:w="41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1BF78">
                        <w:pPr>
                          <w:jc w:val="center"/>
                          <w:rPr>
                            <w:rFonts w:hint="eastAsia" w:ascii="微软雅黑" w:hAnsi="微软雅黑" w:eastAsia="微软雅黑" w:cs="微软雅黑"/>
                            <w:i w:val="0"/>
                            <w:iCs w:val="0"/>
                            <w:color w:val="000000"/>
                            <w:sz w:val="20"/>
                            <w:szCs w:val="20"/>
                            <w:u w:val="none"/>
                          </w:rPr>
                        </w:pPr>
                      </w:p>
                    </w:tc>
                    <w:tc>
                      <w:tcPr>
                        <w:tcW w:w="4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86AC9">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58084">
                        <w:pPr>
                          <w:jc w:val="center"/>
                          <w:rPr>
                            <w:rFonts w:hint="eastAsia" w:ascii="微软雅黑" w:hAnsi="微软雅黑" w:eastAsia="微软雅黑" w:cs="微软雅黑"/>
                            <w:i w:val="0"/>
                            <w:iCs w:val="0"/>
                            <w:color w:val="000000"/>
                            <w:sz w:val="20"/>
                            <w:szCs w:val="20"/>
                            <w:u w:val="none"/>
                          </w:rPr>
                        </w:pPr>
                      </w:p>
                    </w:tc>
                    <w:tc>
                      <w:tcPr>
                        <w:tcW w:w="3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03791">
                        <w:pPr>
                          <w:jc w:val="center"/>
                          <w:rPr>
                            <w:rFonts w:hint="eastAsia" w:ascii="微软雅黑" w:hAnsi="微软雅黑" w:eastAsia="微软雅黑" w:cs="微软雅黑"/>
                            <w:i w:val="0"/>
                            <w:iCs w:val="0"/>
                            <w:color w:val="000000"/>
                            <w:sz w:val="20"/>
                            <w:szCs w:val="20"/>
                            <w:u w:val="none"/>
                          </w:rPr>
                        </w:pPr>
                      </w:p>
                    </w:tc>
                    <w:tc>
                      <w:tcPr>
                        <w:tcW w:w="35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5CE5D">
                        <w:pPr>
                          <w:jc w:val="center"/>
                          <w:rPr>
                            <w:rFonts w:hint="eastAsia" w:ascii="微软雅黑" w:hAnsi="微软雅黑" w:eastAsia="微软雅黑" w:cs="微软雅黑"/>
                            <w:i w:val="0"/>
                            <w:iCs w:val="0"/>
                            <w:color w:val="000000"/>
                            <w:sz w:val="20"/>
                            <w:szCs w:val="20"/>
                            <w:u w:val="none"/>
                          </w:rPr>
                        </w:pPr>
                      </w:p>
                    </w:tc>
                    <w:tc>
                      <w:tcPr>
                        <w:tcW w:w="39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5EEE8">
                        <w:pPr>
                          <w:keepNext w:val="0"/>
                          <w:keepLines w:val="0"/>
                          <w:widowControl/>
                          <w:suppressLineNumbers w:val="0"/>
                          <w:jc w:val="center"/>
                          <w:textAlignment w:val="center"/>
                          <w:rPr>
                            <w:rFonts w:hint="eastAsia" w:ascii="微软雅黑" w:hAnsi="微软雅黑" w:eastAsia="微软雅黑" w:cs="微软雅黑"/>
                            <w:i w:val="0"/>
                            <w:iCs w:val="0"/>
                            <w:color w:val="000000"/>
                            <w:sz w:val="20"/>
                            <w:szCs w:val="20"/>
                            <w:u w:val="none"/>
                          </w:rPr>
                        </w:pPr>
                      </w:p>
                    </w:tc>
                  </w:tr>
                </w:tbl>
                <w:p w14:paraId="27D87C67">
                  <w:pPr>
                    <w:jc w:val="both"/>
                    <w:rPr>
                      <w:rFonts w:hint="default" w:ascii="仿宋" w:hAnsi="仿宋" w:eastAsia="仿宋" w:cs="仿宋"/>
                      <w:i w:val="0"/>
                      <w:iCs w:val="0"/>
                      <w:color w:val="000000"/>
                      <w:sz w:val="22"/>
                      <w:szCs w:val="22"/>
                      <w:u w:val="none"/>
                      <w:lang w:val="en-US"/>
                    </w:rPr>
                  </w:pPr>
                  <w:r>
                    <w:rPr>
                      <w:rFonts w:hint="eastAsia" w:ascii="仿宋" w:hAnsi="仿宋" w:eastAsia="仿宋" w:cs="仿宋"/>
                      <w:i w:val="0"/>
                      <w:iCs w:val="0"/>
                      <w:color w:val="000000"/>
                      <w:kern w:val="0"/>
                      <w:sz w:val="32"/>
                      <w:szCs w:val="32"/>
                      <w:u w:val="none"/>
                      <w:lang w:val="en-US" w:eastAsia="zh-CN" w:bidi="ar"/>
                    </w:rPr>
                    <w:t xml:space="preserve">        </w:t>
                  </w:r>
                </w:p>
              </w:tc>
            </w:tr>
          </w:tbl>
          <w:p w14:paraId="1BC9E0EF">
            <w:pPr>
              <w:keepNext w:val="0"/>
              <w:keepLines w:val="0"/>
              <w:widowControl/>
              <w:suppressLineNumbers w:val="0"/>
              <w:jc w:val="both"/>
              <w:textAlignment w:val="center"/>
              <w:rPr>
                <w:rFonts w:hint="eastAsia" w:ascii="宋体" w:hAnsi="宋体" w:eastAsia="宋体" w:cs="宋体"/>
                <w:i w:val="0"/>
                <w:iCs w:val="0"/>
                <w:color w:val="000000"/>
                <w:sz w:val="22"/>
                <w:szCs w:val="22"/>
                <w:u w:val="none"/>
              </w:rPr>
            </w:pPr>
          </w:p>
        </w:tc>
      </w:tr>
      <w:tr w14:paraId="3D64A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13833" w:type="dxa"/>
            <w:tcBorders>
              <w:top w:val="nil"/>
              <w:left w:val="nil"/>
              <w:bottom w:val="nil"/>
              <w:right w:val="nil"/>
            </w:tcBorders>
            <w:shd w:val="clear" w:color="auto" w:fill="auto"/>
            <w:vAlign w:val="center"/>
          </w:tcPr>
          <w:p w14:paraId="5C1743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p>
        </w:tc>
      </w:tr>
    </w:tbl>
    <w:p w14:paraId="3E940D77">
      <w:pPr>
        <w:spacing w:line="360" w:lineRule="auto"/>
        <w:rPr>
          <w:rFonts w:hint="eastAsia"/>
        </w:rPr>
        <w:sectPr>
          <w:pgSz w:w="16838" w:h="11906" w:orient="landscape"/>
          <w:pgMar w:top="1800" w:right="1440" w:bottom="1800" w:left="1440" w:header="851" w:footer="992" w:gutter="0"/>
          <w:cols w:space="425" w:num="1"/>
          <w:docGrid w:type="lines" w:linePitch="312" w:charSpace="0"/>
        </w:sectPr>
      </w:pPr>
    </w:p>
    <w:p w14:paraId="0E0C3B86">
      <w:pPr>
        <w:jc w:val="both"/>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libri Light">
    <w:panose1 w:val="020F0302020204030204"/>
    <w:charset w:val="00"/>
    <w:family w:val="auto"/>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Arial Unicode MS">
    <w:altName w:val="Arial"/>
    <w:panose1 w:val="00000000000000000000"/>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4F0EDC"/>
    <w:multiLevelType w:val="singleLevel"/>
    <w:tmpl w:val="D14F0EDC"/>
    <w:lvl w:ilvl="0" w:tentative="0">
      <w:start w:val="1"/>
      <w:numFmt w:val="decimal"/>
      <w:suff w:val="nothing"/>
      <w:lvlText w:val="%1、"/>
      <w:lvlJc w:val="left"/>
    </w:lvl>
  </w:abstractNum>
  <w:abstractNum w:abstractNumId="1">
    <w:nsid w:val="23325B9A"/>
    <w:multiLevelType w:val="multilevel"/>
    <w:tmpl w:val="23325B9A"/>
    <w:lvl w:ilvl="0" w:tentative="0">
      <w:start w:val="2"/>
      <w:numFmt w:val="japaneseCounting"/>
      <w:lvlText w:val="%1、"/>
      <w:lvlJc w:val="left"/>
      <w:pPr>
        <w:ind w:left="600" w:hanging="60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RjMThiNmFmMDE1YTkzODk4YmNiNTZkNWI5NzA1ZTQifQ=="/>
  </w:docVars>
  <w:rsids>
    <w:rsidRoot w:val="56584866"/>
    <w:rsid w:val="00E30280"/>
    <w:rsid w:val="0B0842F0"/>
    <w:rsid w:val="0B907F82"/>
    <w:rsid w:val="0BE950D6"/>
    <w:rsid w:val="10984DE6"/>
    <w:rsid w:val="10AE1536"/>
    <w:rsid w:val="10B342C3"/>
    <w:rsid w:val="110779A3"/>
    <w:rsid w:val="11CF718B"/>
    <w:rsid w:val="1211165F"/>
    <w:rsid w:val="1233233F"/>
    <w:rsid w:val="13B77BB0"/>
    <w:rsid w:val="1ACB64E4"/>
    <w:rsid w:val="1AEC1287"/>
    <w:rsid w:val="20BD2A7C"/>
    <w:rsid w:val="22572B57"/>
    <w:rsid w:val="266556D2"/>
    <w:rsid w:val="268D596E"/>
    <w:rsid w:val="28BB08AE"/>
    <w:rsid w:val="29FC7FD4"/>
    <w:rsid w:val="2BCC340D"/>
    <w:rsid w:val="2DA41E1C"/>
    <w:rsid w:val="2E430BDF"/>
    <w:rsid w:val="31795375"/>
    <w:rsid w:val="32104D3F"/>
    <w:rsid w:val="33561956"/>
    <w:rsid w:val="37C22592"/>
    <w:rsid w:val="3A470E75"/>
    <w:rsid w:val="3ACC5894"/>
    <w:rsid w:val="3ADC1A6C"/>
    <w:rsid w:val="3D22441F"/>
    <w:rsid w:val="3E891729"/>
    <w:rsid w:val="3EE327AB"/>
    <w:rsid w:val="3F110196"/>
    <w:rsid w:val="3FED4714"/>
    <w:rsid w:val="41860A64"/>
    <w:rsid w:val="437E13A2"/>
    <w:rsid w:val="47031E41"/>
    <w:rsid w:val="4781047D"/>
    <w:rsid w:val="497E0266"/>
    <w:rsid w:val="498C2C60"/>
    <w:rsid w:val="4AE02227"/>
    <w:rsid w:val="4D8E6ECD"/>
    <w:rsid w:val="4DC66563"/>
    <w:rsid w:val="550A1B9C"/>
    <w:rsid w:val="556D1229"/>
    <w:rsid w:val="558A40FE"/>
    <w:rsid w:val="56584866"/>
    <w:rsid w:val="5A4A5DA2"/>
    <w:rsid w:val="5FA119A4"/>
    <w:rsid w:val="631B668C"/>
    <w:rsid w:val="64207A48"/>
    <w:rsid w:val="6A577829"/>
    <w:rsid w:val="6E936971"/>
    <w:rsid w:val="6EFF5440"/>
    <w:rsid w:val="70434EAB"/>
    <w:rsid w:val="717C0CD2"/>
    <w:rsid w:val="75085DF8"/>
    <w:rsid w:val="753C2EED"/>
    <w:rsid w:val="75551329"/>
    <w:rsid w:val="76BA4656"/>
    <w:rsid w:val="7B3541AC"/>
    <w:rsid w:val="7D891584"/>
    <w:rsid w:val="7ED540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0"/>
      <w:lang w:val="en-US" w:eastAsia="zh-CN" w:bidi="ar-SA"/>
    </w:rPr>
  </w:style>
  <w:style w:type="paragraph" w:styleId="3">
    <w:name w:val="heading 2"/>
    <w:basedOn w:val="1"/>
    <w:next w:val="1"/>
    <w:link w:val="11"/>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Plain Text"/>
    <w:basedOn w:val="1"/>
    <w:semiHidden/>
    <w:unhideWhenUsed/>
    <w:qFormat/>
    <w:uiPriority w:val="0"/>
    <w:rPr>
      <w:rFonts w:ascii="宋体" w:hAnsi="Courier New"/>
    </w:rPr>
  </w:style>
  <w:style w:type="paragraph" w:styleId="4">
    <w:name w:val="Body Text"/>
    <w:basedOn w:val="1"/>
    <w:qFormat/>
    <w:uiPriority w:val="0"/>
    <w:rPr>
      <w:rFonts w:ascii="仿宋_GB2312" w:eastAsia="仿宋_GB2312"/>
      <w:sz w:val="32"/>
    </w:rPr>
  </w:style>
  <w:style w:type="paragraph" w:styleId="5">
    <w:name w:val="footer"/>
    <w:basedOn w:val="1"/>
    <w:unhideWhenUsed/>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6">
    <w:name w:val="header"/>
    <w:basedOn w:val="1"/>
    <w:unhideWhenUsed/>
    <w:qFormat/>
    <w:uiPriority w:val="0"/>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7">
    <w:name w:val="toc 1"/>
    <w:basedOn w:val="1"/>
    <w:next w:val="1"/>
    <w:qFormat/>
    <w:uiPriority w:val="39"/>
    <w:pPr>
      <w:tabs>
        <w:tab w:val="right" w:leader="dot" w:pos="8494"/>
      </w:tabs>
      <w:ind w:firstLine="360" w:firstLineChars="150"/>
    </w:pPr>
  </w:style>
  <w:style w:type="character" w:styleId="10">
    <w:name w:val="page number"/>
    <w:basedOn w:val="9"/>
    <w:qFormat/>
    <w:uiPriority w:val="0"/>
  </w:style>
  <w:style w:type="character" w:customStyle="1" w:styleId="11">
    <w:name w:val="标题 2 字符"/>
    <w:basedOn w:val="9"/>
    <w:link w:val="3"/>
    <w:semiHidden/>
    <w:qFormat/>
    <w:uiPriority w:val="9"/>
    <w:rPr>
      <w:rFonts w:asciiTheme="majorHAnsi" w:hAnsiTheme="majorHAnsi" w:eastAsiaTheme="majorEastAsia" w:cstheme="majorBidi"/>
      <w:b/>
      <w:bCs/>
      <w:sz w:val="32"/>
      <w:szCs w:val="32"/>
    </w:rPr>
  </w:style>
  <w:style w:type="character" w:customStyle="1" w:styleId="12">
    <w:name w:val="font01"/>
    <w:basedOn w:val="9"/>
    <w:qFormat/>
    <w:uiPriority w:val="0"/>
    <w:rPr>
      <w:rFonts w:hint="eastAsia" w:ascii="仿宋" w:hAnsi="仿宋" w:eastAsia="仿宋" w:cs="仿宋"/>
      <w:color w:val="000000"/>
      <w:sz w:val="20"/>
      <w:szCs w:val="20"/>
      <w:u w:val="none"/>
    </w:rPr>
  </w:style>
  <w:style w:type="character" w:customStyle="1" w:styleId="13">
    <w:name w:val="font21"/>
    <w:basedOn w:val="9"/>
    <w:qFormat/>
    <w:uiPriority w:val="0"/>
    <w:rPr>
      <w:rFonts w:hint="eastAsia" w:ascii="宋体" w:hAnsi="宋体" w:eastAsia="宋体" w:cs="宋体"/>
      <w:color w:val="000000"/>
      <w:sz w:val="20"/>
      <w:szCs w:val="20"/>
      <w:u w:val="none"/>
    </w:rPr>
  </w:style>
  <w:style w:type="character" w:customStyle="1" w:styleId="14">
    <w:name w:val="font51"/>
    <w:basedOn w:val="9"/>
    <w:qFormat/>
    <w:uiPriority w:val="0"/>
    <w:rPr>
      <w:rFonts w:hint="eastAsia" w:ascii="仿宋" w:hAnsi="仿宋" w:eastAsia="仿宋" w:cs="仿宋"/>
      <w:color w:val="000000"/>
      <w:sz w:val="22"/>
      <w:szCs w:val="22"/>
      <w:u w:val="none"/>
    </w:rPr>
  </w:style>
  <w:style w:type="character" w:customStyle="1" w:styleId="15">
    <w:name w:val="font31"/>
    <w:basedOn w:val="9"/>
    <w:qFormat/>
    <w:uiPriority w:val="0"/>
    <w:rPr>
      <w:rFonts w:hint="eastAsia" w:ascii="宋体" w:hAnsi="宋体" w:eastAsia="宋体" w:cs="宋体"/>
      <w:color w:val="000000"/>
      <w:sz w:val="22"/>
      <w:szCs w:val="22"/>
      <w:u w:val="none"/>
    </w:rPr>
  </w:style>
  <w:style w:type="character" w:customStyle="1" w:styleId="16">
    <w:name w:val="font11"/>
    <w:basedOn w:val="9"/>
    <w:qFormat/>
    <w:uiPriority w:val="0"/>
    <w:rPr>
      <w:rFonts w:hint="eastAsia" w:ascii="仿宋" w:hAnsi="仿宋" w:eastAsia="仿宋" w:cs="仿宋"/>
      <w:color w:val="000000"/>
      <w:sz w:val="20"/>
      <w:szCs w:val="20"/>
      <w:u w:val="none"/>
    </w:rPr>
  </w:style>
  <w:style w:type="character" w:customStyle="1" w:styleId="17">
    <w:name w:val="font41"/>
    <w:basedOn w:val="9"/>
    <w:qFormat/>
    <w:uiPriority w:val="0"/>
    <w:rPr>
      <w:rFonts w:hint="eastAsia" w:ascii="仿宋" w:hAnsi="仿宋" w:eastAsia="仿宋" w:cs="仿宋"/>
      <w:color w:val="000000"/>
      <w:sz w:val="22"/>
      <w:szCs w:val="22"/>
      <w:u w:val="none"/>
    </w:rPr>
  </w:style>
  <w:style w:type="character" w:customStyle="1" w:styleId="18">
    <w:name w:val="font61"/>
    <w:basedOn w:val="9"/>
    <w:qFormat/>
    <w:uiPriority w:val="0"/>
    <w:rPr>
      <w:rFonts w:hint="eastAsia" w:ascii="仿宋" w:hAnsi="仿宋" w:eastAsia="仿宋" w:cs="仿宋"/>
      <w:b/>
      <w:bCs/>
      <w:color w:val="C00000"/>
      <w:sz w:val="20"/>
      <w:szCs w:val="20"/>
      <w:u w:val="none"/>
    </w:rPr>
  </w:style>
  <w:style w:type="character" w:customStyle="1" w:styleId="19">
    <w:name w:val="font71"/>
    <w:basedOn w:val="9"/>
    <w:qFormat/>
    <w:uiPriority w:val="0"/>
    <w:rPr>
      <w:rFonts w:hint="eastAsia" w:ascii="微软雅黑" w:hAnsi="微软雅黑" w:eastAsia="微软雅黑" w:cs="微软雅黑"/>
      <w:color w:val="000000"/>
      <w:sz w:val="16"/>
      <w:szCs w:val="16"/>
      <w:u w:val="none"/>
    </w:rPr>
  </w:style>
  <w:style w:type="character" w:customStyle="1" w:styleId="20">
    <w:name w:val="font81"/>
    <w:basedOn w:val="9"/>
    <w:qFormat/>
    <w:uiPriority w:val="0"/>
    <w:rPr>
      <w:rFonts w:ascii="Arial Unicode MS" w:hAnsi="Arial Unicode MS" w:eastAsia="Arial Unicode MS" w:cs="Arial Unicode MS"/>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jpeg"/><Relationship Id="rId6" Type="http://schemas.openxmlformats.org/officeDocument/2006/relationships/image" Target="media/image3.png"/><Relationship Id="rId5" Type="http://schemas.openxmlformats.org/officeDocument/2006/relationships/image" Target="../NUL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14</Pages>
  <Words>5699</Words>
  <Characters>6416</Characters>
  <Lines>0</Lines>
  <Paragraphs>0</Paragraphs>
  <TotalTime>586</TotalTime>
  <ScaleCrop>false</ScaleCrop>
  <LinksUpToDate>false</LinksUpToDate>
  <CharactersWithSpaces>6486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2022-04-22T06:49:00Z</dcterms:created>
  <dc:creator>Administrator</dc:creator>
  <cp:lastModifiedBy>李延军</cp:lastModifiedBy>
  <dcterms:modified xsi:type="dcterms:W3CDTF">2026-03-10T08:14:43Z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FA274F6D892D484B91BF7F3080EEDC45</vt:lpwstr>
  </property>
  <property fmtid="{D5CDD505-2E9C-101B-9397-08002B2CF9AE}" pid="4" name="KSOTemplateDocerSaveRecord">
    <vt:lpwstr>eyJoZGlkIjoiODEwMGJlNWMwN2E0MTEyMDY3OTg2NzA0YzQ4NGEzODIiLCJ1c2VySWQiOiIxNjczMDAzNDE0In0=</vt:lpwstr>
  </property>
</Properties>
</file>