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5CD18">
      <w:pPr>
        <w:jc w:val="center"/>
        <w:rPr>
          <w:rFonts w:asciiTheme="minorEastAsia" w:hAnsiTheme="minorEastAsia"/>
          <w:b/>
          <w:color w:val="auto"/>
          <w:sz w:val="44"/>
          <w:szCs w:val="44"/>
          <w:highlight w:val="none"/>
        </w:rPr>
      </w:pPr>
    </w:p>
    <w:p w14:paraId="3FC176A6">
      <w:pPr>
        <w:jc w:val="center"/>
        <w:rPr>
          <w:rFonts w:asciiTheme="minorEastAsia" w:hAnsiTheme="minorEastAsia"/>
          <w:b/>
          <w:color w:val="auto"/>
          <w:sz w:val="44"/>
          <w:szCs w:val="44"/>
          <w:highlight w:val="none"/>
        </w:rPr>
      </w:pPr>
    </w:p>
    <w:p w14:paraId="511D75AD">
      <w:pPr>
        <w:spacing w:line="720" w:lineRule="auto"/>
        <w:ind w:right="280"/>
        <w:jc w:val="center"/>
        <w:rPr>
          <w:rFonts w:hint="eastAsia" w:ascii="宋体" w:hAnsi="宋体"/>
          <w:bCs/>
          <w:color w:val="auto"/>
          <w:sz w:val="48"/>
          <w:szCs w:val="48"/>
          <w:highlight w:val="none"/>
          <w:lang w:val="en-US" w:eastAsia="zh-CN"/>
        </w:rPr>
      </w:pPr>
      <w:r>
        <w:rPr>
          <w:rFonts w:hint="eastAsia" w:ascii="宋体" w:hAnsi="宋体"/>
          <w:bCs/>
          <w:color w:val="auto"/>
          <w:sz w:val="48"/>
          <w:szCs w:val="48"/>
          <w:highlight w:val="none"/>
          <w:lang w:val="en-US" w:eastAsia="zh-CN"/>
        </w:rPr>
        <w:t>中国重汽集团成都王牌商用车有限公司</w:t>
      </w:r>
    </w:p>
    <w:p w14:paraId="5EA62298">
      <w:pPr>
        <w:spacing w:line="720" w:lineRule="auto"/>
        <w:ind w:right="280"/>
        <w:jc w:val="center"/>
        <w:rPr>
          <w:b/>
          <w:color w:val="auto"/>
          <w:sz w:val="32"/>
          <w:szCs w:val="32"/>
          <w:highlight w:val="none"/>
        </w:rPr>
      </w:pPr>
      <w:r>
        <w:rPr>
          <w:rFonts w:hint="eastAsia" w:ascii="宋体" w:hAnsi="宋体"/>
          <w:bCs/>
          <w:color w:val="auto"/>
          <w:sz w:val="48"/>
          <w:szCs w:val="48"/>
          <w:highlight w:val="none"/>
          <w:lang w:val="en-US" w:eastAsia="zh-CN"/>
        </w:rPr>
        <w:t>2026年市场推广活动采购项目</w:t>
      </w:r>
    </w:p>
    <w:p w14:paraId="3296E88F">
      <w:pPr>
        <w:jc w:val="center"/>
        <w:rPr>
          <w:b/>
          <w:color w:val="auto"/>
          <w:sz w:val="32"/>
          <w:szCs w:val="32"/>
          <w:highlight w:val="none"/>
        </w:rPr>
      </w:pPr>
    </w:p>
    <w:p w14:paraId="7B126162">
      <w:pPr>
        <w:jc w:val="center"/>
        <w:rPr>
          <w:b/>
          <w:color w:val="auto"/>
          <w:sz w:val="32"/>
          <w:szCs w:val="32"/>
          <w:highlight w:val="none"/>
        </w:rPr>
      </w:pPr>
    </w:p>
    <w:p w14:paraId="699B0F8B">
      <w:pPr>
        <w:jc w:val="center"/>
        <w:rPr>
          <w:b/>
          <w:color w:val="auto"/>
          <w:sz w:val="32"/>
          <w:szCs w:val="32"/>
          <w:highlight w:val="none"/>
        </w:rPr>
      </w:pPr>
    </w:p>
    <w:p w14:paraId="5941555E">
      <w:pPr>
        <w:jc w:val="center"/>
        <w:rPr>
          <w:b/>
          <w:color w:val="auto"/>
          <w:sz w:val="32"/>
          <w:szCs w:val="32"/>
          <w:highlight w:val="none"/>
        </w:rPr>
      </w:pPr>
    </w:p>
    <w:p w14:paraId="0AE52975">
      <w:pPr>
        <w:jc w:val="center"/>
        <w:rPr>
          <w:rFonts w:hint="default" w:ascii="黑体" w:eastAsia="黑体"/>
          <w:b/>
          <w:color w:val="auto"/>
          <w:sz w:val="92"/>
          <w:szCs w:val="92"/>
          <w:highlight w:val="none"/>
          <w:lang w:val="en-US" w:eastAsia="zh-CN"/>
        </w:rPr>
      </w:pPr>
      <w:r>
        <w:rPr>
          <w:rFonts w:hint="eastAsia" w:ascii="黑体" w:eastAsia="黑体"/>
          <w:b/>
          <w:color w:val="auto"/>
          <w:sz w:val="92"/>
          <w:szCs w:val="92"/>
          <w:highlight w:val="none"/>
          <w:lang w:val="en-US" w:eastAsia="zh-CN"/>
        </w:rPr>
        <w:t>招 标 文 件</w:t>
      </w:r>
    </w:p>
    <w:p w14:paraId="0649F71E">
      <w:pPr>
        <w:jc w:val="center"/>
        <w:rPr>
          <w:b/>
          <w:color w:val="auto"/>
          <w:sz w:val="32"/>
          <w:szCs w:val="32"/>
          <w:highlight w:val="none"/>
        </w:rPr>
      </w:pPr>
    </w:p>
    <w:p w14:paraId="27301CD2">
      <w:pPr>
        <w:jc w:val="center"/>
        <w:rPr>
          <w:b/>
          <w:color w:val="auto"/>
          <w:sz w:val="32"/>
          <w:szCs w:val="32"/>
          <w:highlight w:val="none"/>
        </w:rPr>
      </w:pPr>
    </w:p>
    <w:p w14:paraId="273DE2F9">
      <w:pPr>
        <w:jc w:val="center"/>
        <w:rPr>
          <w:b/>
          <w:color w:val="auto"/>
          <w:sz w:val="32"/>
          <w:szCs w:val="32"/>
          <w:highlight w:val="none"/>
        </w:rPr>
      </w:pPr>
    </w:p>
    <w:p w14:paraId="33A020EB">
      <w:pPr>
        <w:jc w:val="center"/>
        <w:rPr>
          <w:b/>
          <w:color w:val="auto"/>
          <w:sz w:val="32"/>
          <w:szCs w:val="32"/>
          <w:highlight w:val="none"/>
        </w:rPr>
      </w:pPr>
    </w:p>
    <w:p w14:paraId="64A11738">
      <w:pPr>
        <w:jc w:val="center"/>
        <w:rPr>
          <w:b/>
          <w:color w:val="auto"/>
          <w:sz w:val="32"/>
          <w:szCs w:val="32"/>
          <w:highlight w:val="none"/>
        </w:rPr>
      </w:pPr>
    </w:p>
    <w:p w14:paraId="1FF5DD39">
      <w:pPr>
        <w:jc w:val="both"/>
        <w:rPr>
          <w:rFonts w:hint="eastAsia" w:eastAsiaTheme="minorEastAsia"/>
          <w:b/>
          <w:color w:val="auto"/>
          <w:sz w:val="32"/>
          <w:szCs w:val="32"/>
          <w:highlight w:val="none"/>
          <w:lang w:val="en-US" w:eastAsia="zh-CN"/>
        </w:rPr>
      </w:pPr>
    </w:p>
    <w:p w14:paraId="121BD49C">
      <w:pPr>
        <w:jc w:val="center"/>
        <w:rPr>
          <w:b/>
          <w:color w:val="auto"/>
          <w:sz w:val="32"/>
          <w:szCs w:val="32"/>
          <w:highlight w:val="none"/>
        </w:rPr>
      </w:pPr>
    </w:p>
    <w:p w14:paraId="41A73CDE">
      <w:pPr>
        <w:ind w:firstLine="1606" w:firstLineChars="500"/>
        <w:jc w:val="left"/>
        <w:rPr>
          <w:rFonts w:hint="default" w:ascii="宋体" w:hAnsi="宋体" w:eastAsia="宋体"/>
          <w:b/>
          <w:color w:val="auto"/>
          <w:sz w:val="32"/>
          <w:szCs w:val="32"/>
          <w:highlight w:val="none"/>
          <w:lang w:val="en-US" w:eastAsia="zh-CN"/>
        </w:rPr>
      </w:pPr>
      <w:r>
        <w:rPr>
          <w:rFonts w:hint="eastAsia" w:ascii="宋体" w:hAnsi="宋体" w:eastAsia="宋体"/>
          <w:b/>
          <w:color w:val="auto"/>
          <w:sz w:val="32"/>
          <w:szCs w:val="32"/>
          <w:highlight w:val="none"/>
          <w:lang w:val="en-US" w:eastAsia="zh-CN"/>
        </w:rPr>
        <w:t>项目编号：CGZXCX-202602-5087</w:t>
      </w:r>
    </w:p>
    <w:p w14:paraId="630496A1">
      <w:pPr>
        <w:ind w:firstLine="1606" w:firstLineChars="500"/>
        <w:jc w:val="both"/>
        <w:rPr>
          <w:rFonts w:ascii="宋体" w:hAnsi="宋体" w:eastAsia="宋体"/>
          <w:b/>
          <w:color w:val="auto"/>
          <w:sz w:val="32"/>
          <w:szCs w:val="32"/>
          <w:highlight w:val="none"/>
        </w:rPr>
      </w:pPr>
      <w:r>
        <w:rPr>
          <w:rFonts w:hint="eastAsia" w:ascii="宋体" w:hAnsi="宋体" w:eastAsia="宋体"/>
          <w:b/>
          <w:color w:val="auto"/>
          <w:sz w:val="32"/>
          <w:szCs w:val="32"/>
          <w:highlight w:val="none"/>
        </w:rPr>
        <w:t>招</w:t>
      </w:r>
      <w:r>
        <w:rPr>
          <w:rFonts w:hint="eastAsia" w:ascii="宋体" w:hAnsi="宋体" w:eastAsia="宋体"/>
          <w:b/>
          <w:color w:val="auto"/>
          <w:sz w:val="32"/>
          <w:szCs w:val="32"/>
          <w:highlight w:val="none"/>
          <w:lang w:val="en-US" w:eastAsia="zh-CN"/>
        </w:rPr>
        <w:t xml:space="preserve"> </w:t>
      </w:r>
      <w:r>
        <w:rPr>
          <w:rFonts w:hint="eastAsia" w:ascii="宋体" w:hAnsi="宋体" w:eastAsia="宋体"/>
          <w:b/>
          <w:color w:val="auto"/>
          <w:sz w:val="32"/>
          <w:szCs w:val="32"/>
          <w:highlight w:val="none"/>
        </w:rPr>
        <w:t>标</w:t>
      </w:r>
      <w:r>
        <w:rPr>
          <w:rFonts w:hint="eastAsia" w:ascii="宋体" w:hAnsi="宋体" w:eastAsia="宋体"/>
          <w:b/>
          <w:color w:val="auto"/>
          <w:sz w:val="32"/>
          <w:szCs w:val="32"/>
          <w:highlight w:val="none"/>
          <w:lang w:val="en-US" w:eastAsia="zh-CN"/>
        </w:rPr>
        <w:t xml:space="preserve"> </w:t>
      </w:r>
      <w:r>
        <w:rPr>
          <w:rFonts w:hint="eastAsia" w:ascii="宋体" w:hAnsi="宋体" w:eastAsia="宋体"/>
          <w:b/>
          <w:color w:val="auto"/>
          <w:sz w:val="32"/>
          <w:szCs w:val="32"/>
          <w:highlight w:val="none"/>
        </w:rPr>
        <w:t>人：中国重汽集团</w:t>
      </w:r>
      <w:r>
        <w:rPr>
          <w:rFonts w:hint="eastAsia" w:ascii="宋体" w:hAnsi="宋体" w:eastAsia="宋体"/>
          <w:b/>
          <w:color w:val="auto"/>
          <w:sz w:val="32"/>
          <w:szCs w:val="32"/>
          <w:highlight w:val="none"/>
          <w:lang w:val="en-US" w:eastAsia="zh-CN"/>
        </w:rPr>
        <w:t>成都王牌</w:t>
      </w:r>
      <w:r>
        <w:rPr>
          <w:rFonts w:hint="eastAsia" w:ascii="宋体" w:hAnsi="宋体" w:eastAsia="宋体"/>
          <w:b/>
          <w:color w:val="auto"/>
          <w:sz w:val="32"/>
          <w:szCs w:val="32"/>
          <w:highlight w:val="none"/>
        </w:rPr>
        <w:t>商用车有限公司</w:t>
      </w:r>
    </w:p>
    <w:p w14:paraId="4E32FF46">
      <w:pPr>
        <w:ind w:firstLine="1606" w:firstLineChars="500"/>
        <w:jc w:val="left"/>
        <w:rPr>
          <w:rFonts w:hint="eastAsia" w:ascii="宋体" w:hAnsi="宋体" w:eastAsia="宋体"/>
          <w:b/>
          <w:color w:val="auto"/>
          <w:sz w:val="32"/>
          <w:szCs w:val="32"/>
          <w:highlight w:val="none"/>
        </w:rPr>
      </w:pPr>
      <w:r>
        <w:rPr>
          <w:rFonts w:hint="eastAsia" w:ascii="宋体" w:hAnsi="宋体" w:eastAsia="宋体"/>
          <w:b/>
          <w:color w:val="auto"/>
          <w:sz w:val="32"/>
          <w:szCs w:val="32"/>
          <w:highlight w:val="none"/>
        </w:rPr>
        <w:t xml:space="preserve">日 </w:t>
      </w:r>
      <w:r>
        <w:rPr>
          <w:rFonts w:hint="eastAsia" w:ascii="宋体" w:hAnsi="宋体" w:eastAsia="宋体"/>
          <w:b/>
          <w:color w:val="auto"/>
          <w:sz w:val="32"/>
          <w:szCs w:val="32"/>
          <w:highlight w:val="none"/>
          <w:lang w:val="en-US" w:eastAsia="zh-CN"/>
        </w:rPr>
        <w:t xml:space="preserve">  </w:t>
      </w:r>
      <w:r>
        <w:rPr>
          <w:rFonts w:hint="eastAsia" w:ascii="宋体" w:hAnsi="宋体" w:eastAsia="宋体"/>
          <w:b/>
          <w:color w:val="auto"/>
          <w:sz w:val="32"/>
          <w:szCs w:val="32"/>
          <w:highlight w:val="none"/>
        </w:rPr>
        <w:t xml:space="preserve"> 期：二〇二</w:t>
      </w:r>
      <w:r>
        <w:rPr>
          <w:rFonts w:hint="eastAsia" w:ascii="宋体" w:hAnsi="宋体" w:eastAsia="宋体"/>
          <w:b/>
          <w:color w:val="auto"/>
          <w:sz w:val="32"/>
          <w:szCs w:val="32"/>
          <w:highlight w:val="none"/>
          <w:lang w:eastAsia="zh-CN"/>
        </w:rPr>
        <w:t>六</w:t>
      </w:r>
      <w:r>
        <w:rPr>
          <w:rFonts w:hint="eastAsia" w:ascii="宋体" w:hAnsi="宋体" w:eastAsia="宋体"/>
          <w:b/>
          <w:color w:val="auto"/>
          <w:sz w:val="32"/>
          <w:szCs w:val="32"/>
          <w:highlight w:val="none"/>
        </w:rPr>
        <w:t>年</w:t>
      </w:r>
      <w:r>
        <w:rPr>
          <w:rFonts w:hint="eastAsia" w:ascii="宋体" w:hAnsi="宋体" w:eastAsia="宋体"/>
          <w:b/>
          <w:color w:val="auto"/>
          <w:sz w:val="32"/>
          <w:szCs w:val="32"/>
          <w:highlight w:val="none"/>
          <w:lang w:val="en-US" w:eastAsia="zh-CN"/>
        </w:rPr>
        <w:t>二</w:t>
      </w:r>
      <w:r>
        <w:rPr>
          <w:rFonts w:hint="eastAsia" w:ascii="宋体" w:hAnsi="宋体" w:eastAsia="宋体"/>
          <w:b/>
          <w:color w:val="auto"/>
          <w:sz w:val="32"/>
          <w:szCs w:val="32"/>
          <w:highlight w:val="none"/>
        </w:rPr>
        <w:t>月</w:t>
      </w:r>
    </w:p>
    <w:p w14:paraId="60D89EF1">
      <w:pPr>
        <w:pStyle w:val="3"/>
        <w:rPr>
          <w:color w:val="auto"/>
        </w:rPr>
      </w:pPr>
    </w:p>
    <w:p w14:paraId="4E889867">
      <w:pPr>
        <w:keepNext w:val="0"/>
        <w:keepLines w:val="0"/>
        <w:widowControl/>
        <w:numPr>
          <w:ilvl w:val="0"/>
          <w:numId w:val="2"/>
        </w:numPr>
        <w:suppressLineNumbers w:val="0"/>
        <w:jc w:val="center"/>
        <w:rPr>
          <w:rFonts w:hint="eastAsia" w:ascii="黑体" w:hAnsi="黑体" w:eastAsia="黑体" w:cs="黑体"/>
          <w:b/>
          <w:bCs/>
          <w:color w:val="auto"/>
          <w:kern w:val="0"/>
          <w:sz w:val="36"/>
          <w:szCs w:val="36"/>
          <w:highlight w:val="none"/>
          <w:lang w:val="en-US" w:eastAsia="zh-CN" w:bidi="ar"/>
        </w:rPr>
      </w:pPr>
      <w:r>
        <w:rPr>
          <w:rFonts w:hint="eastAsia" w:ascii="黑体" w:hAnsi="黑体" w:eastAsia="黑体" w:cs="黑体"/>
          <w:b/>
          <w:bCs/>
          <w:color w:val="auto"/>
          <w:kern w:val="0"/>
          <w:sz w:val="36"/>
          <w:szCs w:val="36"/>
          <w:highlight w:val="none"/>
          <w:lang w:val="en-US" w:eastAsia="zh-CN" w:bidi="ar"/>
        </w:rPr>
        <w:t>招标公告</w:t>
      </w:r>
    </w:p>
    <w:p w14:paraId="36D3933F">
      <w:pPr>
        <w:widowControl/>
        <w:numPr>
          <w:ilvl w:val="0"/>
          <w:numId w:val="3"/>
        </w:numPr>
        <w:spacing w:line="360" w:lineRule="auto"/>
        <w:jc w:val="left"/>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项目名称</w:t>
      </w:r>
    </w:p>
    <w:p w14:paraId="52871142">
      <w:pPr>
        <w:pStyle w:val="3"/>
        <w:spacing w:line="360" w:lineRule="auto"/>
        <w:ind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kern w:val="0"/>
          <w:sz w:val="24"/>
          <w:szCs w:val="24"/>
          <w:highlight w:val="none"/>
          <w:lang w:val="en-US" w:eastAsia="zh-CN" w:bidi="ar"/>
        </w:rPr>
        <w:t>中国重汽集团成都王牌商用车有限公司2026年市场推广活动采购项目</w:t>
      </w:r>
    </w:p>
    <w:p w14:paraId="77CD12FF">
      <w:pPr>
        <w:widowControl/>
        <w:numPr>
          <w:ilvl w:val="0"/>
          <w:numId w:val="3"/>
        </w:numPr>
        <w:spacing w:line="360" w:lineRule="auto"/>
        <w:jc w:val="left"/>
        <w:rPr>
          <w:rFonts w:hint="default"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项目概况</w:t>
      </w:r>
    </w:p>
    <w:p w14:paraId="0F8D2E7D">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按照招标方要求</w:t>
      </w:r>
      <w:r>
        <w:rPr>
          <w:rFonts w:hint="eastAsia" w:asciiTheme="minorEastAsia" w:hAnsiTheme="minorEastAsia" w:cstheme="minorEastAsia"/>
          <w:color w:val="auto"/>
          <w:kern w:val="0"/>
          <w:sz w:val="24"/>
          <w:szCs w:val="24"/>
          <w:highlight w:val="none"/>
          <w:lang w:val="en-US" w:eastAsia="zh-CN" w:bidi="ar"/>
        </w:rPr>
        <w:t>提供</w:t>
      </w:r>
      <w:r>
        <w:rPr>
          <w:rFonts w:hint="eastAsia" w:asciiTheme="minorEastAsia" w:hAnsiTheme="minorEastAsia" w:eastAsiaTheme="minorEastAsia" w:cstheme="minorEastAsia"/>
          <w:color w:val="auto"/>
          <w:kern w:val="0"/>
          <w:sz w:val="24"/>
          <w:szCs w:val="24"/>
          <w:highlight w:val="none"/>
          <w:lang w:val="en-US" w:eastAsia="zh-CN" w:bidi="ar"/>
        </w:rPr>
        <w:t>市场推广活动</w:t>
      </w:r>
      <w:r>
        <w:rPr>
          <w:rFonts w:hint="eastAsia" w:asciiTheme="minorEastAsia" w:hAnsiTheme="minorEastAsia" w:eastAsiaTheme="minorEastAsia" w:cstheme="minorEastAsia"/>
          <w:color w:val="auto"/>
          <w:kern w:val="0"/>
          <w:sz w:val="24"/>
          <w:szCs w:val="24"/>
          <w:highlight w:val="none"/>
          <w:lang w:eastAsia="zh-CN" w:bidi="ar"/>
        </w:rPr>
        <w:t>的</w:t>
      </w:r>
      <w:r>
        <w:rPr>
          <w:rFonts w:hint="eastAsia" w:asciiTheme="minorEastAsia" w:hAnsiTheme="minorEastAsia" w:eastAsiaTheme="minorEastAsia" w:cstheme="minorEastAsia"/>
          <w:color w:val="auto"/>
          <w:kern w:val="0"/>
          <w:sz w:val="24"/>
          <w:szCs w:val="24"/>
          <w:highlight w:val="none"/>
          <w:lang w:val="en-US" w:eastAsia="zh-CN" w:bidi="ar"/>
        </w:rPr>
        <w:t>策划、执行及相关</w:t>
      </w:r>
      <w:r>
        <w:rPr>
          <w:rFonts w:hint="eastAsia" w:asciiTheme="minorEastAsia" w:hAnsiTheme="minorEastAsia" w:cstheme="minorEastAsia"/>
          <w:color w:val="auto"/>
          <w:kern w:val="0"/>
          <w:sz w:val="24"/>
          <w:szCs w:val="24"/>
          <w:highlight w:val="none"/>
          <w:lang w:val="en-US" w:eastAsia="zh-CN" w:bidi="ar"/>
        </w:rPr>
        <w:t>会务</w:t>
      </w:r>
      <w:r>
        <w:rPr>
          <w:rFonts w:hint="eastAsia" w:asciiTheme="minorEastAsia" w:hAnsiTheme="minorEastAsia" w:eastAsiaTheme="minorEastAsia" w:cstheme="minorEastAsia"/>
          <w:color w:val="auto"/>
          <w:kern w:val="0"/>
          <w:sz w:val="24"/>
          <w:szCs w:val="24"/>
          <w:highlight w:val="none"/>
          <w:lang w:val="en-US" w:eastAsia="zh-CN" w:bidi="ar"/>
        </w:rPr>
        <w:t>服务</w:t>
      </w:r>
      <w:r>
        <w:rPr>
          <w:rFonts w:hint="eastAsia" w:asciiTheme="minorEastAsia" w:hAnsi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包含</w:t>
      </w:r>
      <w:r>
        <w:rPr>
          <w:rFonts w:hint="eastAsia" w:asciiTheme="minorEastAsia" w:hAnsiTheme="minorEastAsia" w:cstheme="minorEastAsia"/>
          <w:color w:val="auto"/>
          <w:kern w:val="0"/>
          <w:sz w:val="24"/>
          <w:szCs w:val="24"/>
          <w:highlight w:val="none"/>
          <w:lang w:val="en-US" w:eastAsia="zh-CN" w:bidi="ar"/>
        </w:rPr>
        <w:t>但不限于</w:t>
      </w:r>
      <w:r>
        <w:rPr>
          <w:rFonts w:hint="eastAsia" w:asciiTheme="minorEastAsia" w:hAnsiTheme="minorEastAsia" w:eastAsiaTheme="minorEastAsia" w:cstheme="minorEastAsia"/>
          <w:color w:val="auto"/>
          <w:kern w:val="0"/>
          <w:sz w:val="24"/>
          <w:szCs w:val="24"/>
          <w:highlight w:val="none"/>
          <w:lang w:val="en-US" w:eastAsia="zh-CN" w:bidi="ar"/>
        </w:rPr>
        <w:t>前期宣发、文案</w:t>
      </w:r>
      <w:r>
        <w:rPr>
          <w:rFonts w:hint="eastAsia" w:asciiTheme="minorEastAsia" w:hAnsiTheme="minorEastAsia" w:cstheme="minorEastAsia"/>
          <w:color w:val="auto"/>
          <w:kern w:val="0"/>
          <w:sz w:val="24"/>
          <w:szCs w:val="24"/>
          <w:highlight w:val="none"/>
          <w:lang w:val="en-US" w:eastAsia="zh-CN" w:bidi="ar"/>
        </w:rPr>
        <w:t>策划</w:t>
      </w:r>
      <w:r>
        <w:rPr>
          <w:rFonts w:hint="eastAsia" w:asciiTheme="minorEastAsia" w:hAnsiTheme="minorEastAsia" w:cstheme="minorEastAsia"/>
          <w:color w:val="auto"/>
          <w:kern w:val="0"/>
          <w:sz w:val="24"/>
          <w:szCs w:val="24"/>
          <w:highlight w:val="none"/>
          <w:lang w:eastAsia="zh-CN" w:bidi="ar"/>
        </w:rPr>
        <w:t>、</w:t>
      </w:r>
      <w:r>
        <w:rPr>
          <w:rFonts w:hint="eastAsia" w:asciiTheme="minorEastAsia" w:hAnsiTheme="minorEastAsia" w:cstheme="minorEastAsia"/>
          <w:color w:val="auto"/>
          <w:kern w:val="0"/>
          <w:sz w:val="24"/>
          <w:szCs w:val="24"/>
          <w:highlight w:val="none"/>
          <w:lang w:val="en-US" w:eastAsia="zh-CN" w:bidi="ar"/>
        </w:rPr>
        <w:t>设计制作、</w:t>
      </w:r>
      <w:r>
        <w:rPr>
          <w:rFonts w:hint="eastAsia" w:asciiTheme="minorEastAsia" w:hAnsiTheme="minorEastAsia" w:eastAsiaTheme="minorEastAsia" w:cstheme="minorEastAsia"/>
          <w:color w:val="auto"/>
          <w:kern w:val="0"/>
          <w:sz w:val="24"/>
          <w:szCs w:val="24"/>
          <w:highlight w:val="none"/>
          <w:lang w:val="en-US" w:eastAsia="zh-CN" w:bidi="ar"/>
        </w:rPr>
        <w:t>布置搭建、</w:t>
      </w:r>
      <w:r>
        <w:rPr>
          <w:rFonts w:hint="eastAsia" w:asciiTheme="minorEastAsia" w:hAnsiTheme="minorEastAsia" w:cstheme="minorEastAsia"/>
          <w:color w:val="auto"/>
          <w:kern w:val="0"/>
          <w:sz w:val="24"/>
          <w:szCs w:val="24"/>
          <w:highlight w:val="none"/>
          <w:lang w:val="en-US" w:eastAsia="zh-CN" w:bidi="ar"/>
        </w:rPr>
        <w:t>服务人员及</w:t>
      </w:r>
      <w:r>
        <w:rPr>
          <w:rFonts w:hint="eastAsia" w:asciiTheme="minorEastAsia" w:hAnsiTheme="minorEastAsia" w:eastAsiaTheme="minorEastAsia" w:cstheme="minorEastAsia"/>
          <w:color w:val="auto"/>
          <w:kern w:val="0"/>
          <w:sz w:val="24"/>
          <w:szCs w:val="24"/>
          <w:highlight w:val="none"/>
          <w:lang w:val="en-US" w:eastAsia="zh-CN" w:bidi="ar"/>
        </w:rPr>
        <w:t>设备租赁、会务配套服务等。</w:t>
      </w:r>
      <w:r>
        <w:rPr>
          <w:rFonts w:hint="eastAsia" w:asciiTheme="minorEastAsia" w:hAnsiTheme="minorEastAsia" w:cstheme="minorEastAsia"/>
          <w:color w:val="auto"/>
          <w:kern w:val="0"/>
          <w:sz w:val="24"/>
          <w:szCs w:val="24"/>
          <w:highlight w:val="none"/>
          <w:lang w:val="en-US" w:eastAsia="zh-CN" w:bidi="ar"/>
        </w:rPr>
        <w:t>具体项目招标内容及要求详见附件。</w:t>
      </w:r>
    </w:p>
    <w:p w14:paraId="351C997D">
      <w:pPr>
        <w:pStyle w:val="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招标形式</w:t>
      </w:r>
    </w:p>
    <w:p w14:paraId="68668CE7">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heme="minorEastAsia" w:hAnsiTheme="minorEastAsia" w:eastAsiaTheme="minorEastAsia" w:cstheme="minorEastAsia"/>
          <w:b/>
          <w:bCs/>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公开</w:t>
      </w:r>
      <w:r>
        <w:rPr>
          <w:rFonts w:hint="eastAsia" w:asciiTheme="minorEastAsia" w:hAnsiTheme="minorEastAsia" w:eastAsiaTheme="minorEastAsia" w:cstheme="minorEastAsia"/>
          <w:color w:val="auto"/>
          <w:kern w:val="0"/>
          <w:sz w:val="24"/>
          <w:szCs w:val="24"/>
          <w:highlight w:val="none"/>
          <w:lang w:val="en-US" w:eastAsia="zh-CN" w:bidi="ar"/>
        </w:rPr>
        <w:t>招标</w:t>
      </w:r>
    </w:p>
    <w:p w14:paraId="440B8927">
      <w:pPr>
        <w:pStyle w:val="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议程安排</w:t>
      </w:r>
    </w:p>
    <w:p w14:paraId="21AFB90E">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公告时间：2026年3月10日</w:t>
      </w:r>
    </w:p>
    <w:p w14:paraId="2AC506EC">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答疑时间：2026年3月15日17：00前，请投标单位在规定时间内将答疑内容扫描件发送至邮箱：</w:t>
      </w:r>
      <w:r>
        <w:rPr>
          <w:rFonts w:hint="eastAsia" w:asciiTheme="minorEastAsia" w:hAnsiTheme="minorEastAsia" w:eastAsiaTheme="minorEastAsia" w:cstheme="minorEastAsia"/>
          <w:color w:val="auto"/>
          <w:kern w:val="0"/>
          <w:sz w:val="24"/>
          <w:szCs w:val="24"/>
          <w:highlight w:val="none"/>
          <w:lang w:val="en-US" w:eastAsia="zh-CN" w:bidi="ar"/>
        </w:rPr>
        <w:fldChar w:fldCharType="begin"/>
      </w:r>
      <w:r>
        <w:rPr>
          <w:rFonts w:hint="eastAsia" w:asciiTheme="minorEastAsia" w:hAnsiTheme="minorEastAsia" w:eastAsiaTheme="minorEastAsia" w:cstheme="minorEastAsia"/>
          <w:color w:val="auto"/>
          <w:kern w:val="0"/>
          <w:sz w:val="24"/>
          <w:szCs w:val="24"/>
          <w:highlight w:val="none"/>
          <w:lang w:val="en-US" w:eastAsia="zh-CN" w:bidi="ar"/>
        </w:rPr>
        <w:instrText xml:space="preserve"> HYPERLINK "mailto:wuxiaofang@sinotruk.com" </w:instrText>
      </w:r>
      <w:r>
        <w:rPr>
          <w:rFonts w:hint="eastAsia" w:asciiTheme="minorEastAsia" w:hAnsiTheme="minorEastAsia" w:eastAsiaTheme="minorEastAsia" w:cstheme="minorEastAsia"/>
          <w:color w:val="auto"/>
          <w:kern w:val="0"/>
          <w:sz w:val="24"/>
          <w:szCs w:val="24"/>
          <w:highlight w:val="none"/>
          <w:lang w:val="en-US" w:eastAsia="zh-CN" w:bidi="ar"/>
        </w:rPr>
        <w:fldChar w:fldCharType="separate"/>
      </w:r>
      <w:r>
        <w:rPr>
          <w:rFonts w:hint="eastAsia" w:asciiTheme="minorEastAsia" w:hAnsiTheme="minorEastAsia" w:eastAsiaTheme="minorEastAsia" w:cstheme="minorEastAsia"/>
          <w:color w:val="auto"/>
          <w:kern w:val="0"/>
          <w:sz w:val="24"/>
          <w:szCs w:val="24"/>
          <w:highlight w:val="none"/>
          <w:lang w:val="en-US" w:eastAsia="zh-CN" w:bidi="ar"/>
        </w:rPr>
        <w:t>cdwscwls@163.com</w:t>
      </w:r>
      <w:r>
        <w:rPr>
          <w:rFonts w:hint="eastAsia" w:asciiTheme="minorEastAsia" w:hAnsiTheme="minorEastAsia" w:eastAsiaTheme="minorEastAsia" w:cstheme="minorEastAsia"/>
          <w:color w:val="auto"/>
          <w:kern w:val="0"/>
          <w:sz w:val="24"/>
          <w:szCs w:val="24"/>
          <w:highlight w:val="none"/>
          <w:lang w:val="en-US" w:eastAsia="zh-CN" w:bidi="ar"/>
        </w:rPr>
        <w:fldChar w:fldCharType="end"/>
      </w:r>
      <w:r>
        <w:rPr>
          <w:rFonts w:hint="eastAsia" w:asciiTheme="minorEastAsia" w:hAnsiTheme="minorEastAsia" w:cstheme="minorEastAsia"/>
          <w:color w:val="auto"/>
          <w:kern w:val="0"/>
          <w:sz w:val="24"/>
          <w:szCs w:val="24"/>
          <w:highlight w:val="none"/>
          <w:lang w:val="en-US" w:eastAsia="zh-CN" w:bidi="ar"/>
        </w:rPr>
        <w:t>，招标方以邮箱或书面形式进行回复答疑。</w:t>
      </w:r>
    </w:p>
    <w:p w14:paraId="1BE474D8">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开标时间：2026年3月18日14：00（若有变动另行通知）。</w:t>
      </w:r>
    </w:p>
    <w:p w14:paraId="13713F89">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投标地点：</w:t>
      </w:r>
      <w:r>
        <w:rPr>
          <w:rFonts w:hint="eastAsia" w:asciiTheme="minorEastAsia" w:hAnsiTheme="minorEastAsia" w:eastAsiaTheme="minorEastAsia" w:cstheme="minorEastAsia"/>
          <w:color w:val="auto"/>
          <w:kern w:val="0"/>
          <w:sz w:val="24"/>
          <w:szCs w:val="24"/>
          <w:highlight w:val="none"/>
          <w:lang w:val="en-US" w:eastAsia="zh-CN" w:bidi="ar"/>
        </w:rPr>
        <w:t>成都市青白江区弥牟镇长城路8号</w:t>
      </w:r>
      <w:r>
        <w:rPr>
          <w:rFonts w:hint="eastAsia" w:asciiTheme="minorEastAsia" w:hAnsiTheme="minorEastAsia" w:cstheme="minorEastAsia"/>
          <w:color w:val="auto"/>
          <w:kern w:val="0"/>
          <w:sz w:val="24"/>
          <w:szCs w:val="24"/>
          <w:highlight w:val="none"/>
          <w:lang w:val="en-US" w:eastAsia="zh-CN" w:bidi="ar"/>
        </w:rPr>
        <w:t>中国重汽成都</w:t>
      </w:r>
      <w:r>
        <w:rPr>
          <w:rFonts w:hint="eastAsia" w:asciiTheme="minorEastAsia" w:hAnsiTheme="minorEastAsia" w:eastAsiaTheme="minorEastAsia" w:cstheme="minorEastAsia"/>
          <w:color w:val="auto"/>
          <w:kern w:val="0"/>
          <w:sz w:val="24"/>
          <w:szCs w:val="24"/>
          <w:highlight w:val="none"/>
          <w:lang w:val="en-US" w:eastAsia="zh-CN" w:bidi="ar"/>
        </w:rPr>
        <w:t>王牌行政办公楼</w:t>
      </w:r>
      <w:r>
        <w:rPr>
          <w:rFonts w:hint="eastAsia" w:asciiTheme="minorEastAsia" w:hAnsiTheme="minorEastAsia" w:cstheme="minorEastAsia"/>
          <w:color w:val="auto"/>
          <w:kern w:val="0"/>
          <w:sz w:val="24"/>
          <w:szCs w:val="24"/>
          <w:highlight w:val="none"/>
          <w:lang w:val="en-US" w:eastAsia="zh-CN" w:bidi="ar"/>
        </w:rPr>
        <w:t>203会议室（若有变动另行通知）。</w:t>
      </w:r>
    </w:p>
    <w:p w14:paraId="5AD65B8F">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投标保证金缴纳</w:t>
      </w:r>
    </w:p>
    <w:p w14:paraId="549F5AAC">
      <w:pPr>
        <w:pStyle w:val="4"/>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投标人应在2026年3月16日17：00前从基本账户向招标人交纳人民币：10000元的投标保证金后才能获得本次招标的</w:t>
      </w:r>
      <w:bookmarkStart w:id="0" w:name="_GoBack"/>
      <w:bookmarkEnd w:id="0"/>
      <w:r>
        <w:rPr>
          <w:rFonts w:hint="eastAsia" w:asciiTheme="minorEastAsia" w:hAnsiTheme="minorEastAsia" w:cstheme="minorEastAsia"/>
          <w:color w:val="auto"/>
          <w:kern w:val="0"/>
          <w:sz w:val="24"/>
          <w:szCs w:val="24"/>
          <w:highlight w:val="none"/>
          <w:lang w:val="en-US" w:eastAsia="zh-CN" w:bidi="ar"/>
        </w:rPr>
        <w:t>投标资格。招标结束后，该保证金将在中标通知发布之日起30个工作日内原路径全额无息退还。缴纳保证金时，应在汇款时注明“××公司××项目”。</w:t>
      </w:r>
    </w:p>
    <w:p w14:paraId="185898DF">
      <w:pPr>
        <w:pStyle w:val="4"/>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保证金缴纳账户：</w:t>
      </w:r>
    </w:p>
    <w:p w14:paraId="612DA5D7">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 xml:space="preserve">收款单位：中国重汽集团成都王牌商用车有限公司 </w:t>
      </w:r>
    </w:p>
    <w:p w14:paraId="11DDAB32">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开 户 行：中国农业银行四川成都青白江弥牟支行</w:t>
      </w:r>
    </w:p>
    <w:p w14:paraId="0B035C0E">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账    号：22844401040000572</w:t>
      </w:r>
    </w:p>
    <w:p w14:paraId="5A83097A">
      <w:pPr>
        <w:pStyle w:val="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行    号：103651084448</w:t>
      </w:r>
    </w:p>
    <w:p w14:paraId="46EF6286">
      <w:pPr>
        <w:pStyle w:val="4"/>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发生以下情况时，招标人有权没收投标保证金：</w:t>
      </w:r>
    </w:p>
    <w:p w14:paraId="7C5ED9AC">
      <w:pPr>
        <w:pStyle w:val="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截至开标前3天，供应商无正当理由、未以书面形式递交说明而在投标截止日不来投标的；</w:t>
      </w:r>
    </w:p>
    <w:p w14:paraId="6BB47FE9">
      <w:pPr>
        <w:pStyle w:val="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供应商递送文件后，无正当理由放弃投标的；</w:t>
      </w:r>
    </w:p>
    <w:p w14:paraId="4AE2F2D5">
      <w:pPr>
        <w:pStyle w:val="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自中标（成交）通知书发出之日起30日内，中标（成交）供应商无正当理由不签订合同的；</w:t>
      </w:r>
    </w:p>
    <w:p w14:paraId="7AEE3D70">
      <w:pPr>
        <w:pStyle w:val="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投标过程中被查实有串标、围标、陪标等违规违纪行为的；</w:t>
      </w:r>
    </w:p>
    <w:p w14:paraId="2A9325B4">
      <w:pPr>
        <w:pStyle w:val="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供应商有违约违规行为或被投诉、举报的，在调查处理期间，保证金暂不退还，待调查处理结束后按有关规定处理。</w:t>
      </w:r>
    </w:p>
    <w:p w14:paraId="120FDB4D">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color w:val="auto"/>
        </w:rPr>
      </w:pPr>
      <w:r>
        <w:rPr>
          <w:rFonts w:hint="eastAsia" w:asciiTheme="minorEastAsia" w:hAnsiTheme="minorEastAsia" w:cstheme="minorEastAsia"/>
          <w:color w:val="auto"/>
          <w:kern w:val="0"/>
          <w:sz w:val="24"/>
          <w:szCs w:val="24"/>
          <w:highlight w:val="none"/>
          <w:lang w:val="en-US" w:eastAsia="zh-CN" w:bidi="ar"/>
        </w:rPr>
        <w:t>在线资格预审时间：3月16日前，请投标人按照资格审查内容及要求（详见附件 5《在线资质文件预审目录》），准备相关资料和投标联系人和电话等信息发送至</w:t>
      </w:r>
      <w:r>
        <w:rPr>
          <w:rFonts w:hint="eastAsia" w:asciiTheme="minorEastAsia" w:hAnsiTheme="minorEastAsia" w:eastAsiaTheme="minorEastAsia" w:cstheme="minorEastAsia"/>
          <w:color w:val="auto"/>
          <w:kern w:val="0"/>
          <w:sz w:val="24"/>
          <w:szCs w:val="24"/>
          <w:highlight w:val="none"/>
          <w:lang w:val="en-US" w:eastAsia="zh-CN" w:bidi="ar"/>
        </w:rPr>
        <w:fldChar w:fldCharType="begin"/>
      </w:r>
      <w:r>
        <w:rPr>
          <w:rFonts w:hint="eastAsia" w:asciiTheme="minorEastAsia" w:hAnsiTheme="minorEastAsia" w:eastAsiaTheme="minorEastAsia" w:cstheme="minorEastAsia"/>
          <w:color w:val="auto"/>
          <w:kern w:val="0"/>
          <w:sz w:val="24"/>
          <w:szCs w:val="24"/>
          <w:highlight w:val="none"/>
          <w:lang w:val="en-US" w:eastAsia="zh-CN" w:bidi="ar"/>
        </w:rPr>
        <w:instrText xml:space="preserve"> HYPERLINK "mailto:wuxiaofang@sinotruk.com" </w:instrText>
      </w:r>
      <w:r>
        <w:rPr>
          <w:rFonts w:hint="eastAsia" w:asciiTheme="minorEastAsia" w:hAnsiTheme="minorEastAsia" w:eastAsiaTheme="minorEastAsia" w:cstheme="minorEastAsia"/>
          <w:color w:val="auto"/>
          <w:kern w:val="0"/>
          <w:sz w:val="24"/>
          <w:szCs w:val="24"/>
          <w:highlight w:val="none"/>
          <w:lang w:val="en-US" w:eastAsia="zh-CN" w:bidi="ar"/>
        </w:rPr>
        <w:fldChar w:fldCharType="separate"/>
      </w:r>
      <w:r>
        <w:rPr>
          <w:rFonts w:hint="eastAsia" w:asciiTheme="minorEastAsia" w:hAnsiTheme="minorEastAsia" w:eastAsiaTheme="minorEastAsia" w:cstheme="minorEastAsia"/>
          <w:color w:val="auto"/>
          <w:kern w:val="0"/>
          <w:sz w:val="24"/>
          <w:szCs w:val="24"/>
          <w:highlight w:val="none"/>
          <w:lang w:val="en-US" w:eastAsia="zh-CN" w:bidi="ar"/>
        </w:rPr>
        <w:t>cdwscwls@163.com</w:t>
      </w:r>
      <w:r>
        <w:rPr>
          <w:rFonts w:hint="eastAsia" w:asciiTheme="minorEastAsia" w:hAnsiTheme="minorEastAsia" w:eastAsiaTheme="minorEastAsia" w:cstheme="minorEastAsia"/>
          <w:color w:val="auto"/>
          <w:kern w:val="0"/>
          <w:sz w:val="24"/>
          <w:szCs w:val="24"/>
          <w:highlight w:val="none"/>
          <w:lang w:val="en-US" w:eastAsia="zh-CN" w:bidi="ar"/>
        </w:rPr>
        <w:fldChar w:fldCharType="end"/>
      </w:r>
      <w:r>
        <w:rPr>
          <w:rFonts w:hint="eastAsia" w:asciiTheme="minorEastAsia" w:hAnsiTheme="minorEastAsia" w:cstheme="minorEastAsia"/>
          <w:color w:val="auto"/>
          <w:kern w:val="0"/>
          <w:sz w:val="24"/>
          <w:szCs w:val="24"/>
          <w:highlight w:val="none"/>
          <w:lang w:val="en-US" w:eastAsia="zh-CN" w:bidi="ar"/>
        </w:rPr>
        <w:t>进行审核，邮件名称为：投标项目+公司名称+在线资质文件，未按规定向招标人提供资格审查信息，为无效投标。</w:t>
      </w:r>
    </w:p>
    <w:p w14:paraId="3BBE7936">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bCs/>
          <w:color w:val="auto"/>
          <w:kern w:val="0"/>
          <w:sz w:val="24"/>
          <w:szCs w:val="24"/>
          <w:highlight w:val="none"/>
          <w:lang w:val="en-US" w:eastAsia="zh-CN" w:bidi="ar"/>
        </w:rPr>
      </w:pPr>
      <w:r>
        <w:rPr>
          <w:rFonts w:hint="eastAsia" w:asciiTheme="minorEastAsia" w:hAnsiTheme="minorEastAsia" w:cstheme="minorEastAsia"/>
          <w:color w:val="auto"/>
          <w:kern w:val="0"/>
          <w:sz w:val="24"/>
          <w:szCs w:val="24"/>
          <w:highlight w:val="none"/>
          <w:lang w:val="en-US" w:eastAsia="zh-CN" w:bidi="ar"/>
        </w:rPr>
        <w:t>项目</w:t>
      </w:r>
      <w:r>
        <w:rPr>
          <w:rFonts w:hint="eastAsia" w:asciiTheme="minorEastAsia" w:hAnsiTheme="minorEastAsia" w:eastAsiaTheme="minorEastAsia" w:cstheme="minorEastAsia"/>
          <w:color w:val="auto"/>
          <w:kern w:val="0"/>
          <w:sz w:val="24"/>
          <w:szCs w:val="24"/>
          <w:highlight w:val="none"/>
          <w:lang w:val="en-US" w:eastAsia="zh-CN" w:bidi="ar"/>
        </w:rPr>
        <w:t>联系人：</w:t>
      </w:r>
      <w:r>
        <w:rPr>
          <w:rFonts w:hint="eastAsia" w:ascii="宋体" w:hAnsi="宋体" w:eastAsia="宋体" w:cs="Times New Roman"/>
          <w:color w:val="auto"/>
          <w:kern w:val="2"/>
          <w:sz w:val="24"/>
          <w:szCs w:val="24"/>
          <w:lang w:val="en-US" w:eastAsia="zh-CN" w:bidi="ar-SA"/>
        </w:rPr>
        <w:t>陈</w:t>
      </w:r>
      <w:r>
        <w:rPr>
          <w:rFonts w:hint="eastAsia" w:hAnsi="宋体" w:cs="Times New Roman"/>
          <w:color w:val="auto"/>
          <w:kern w:val="2"/>
          <w:sz w:val="24"/>
          <w:szCs w:val="24"/>
          <w:lang w:val="en-US" w:eastAsia="zh-CN" w:bidi="ar-SA"/>
        </w:rPr>
        <w:t>国敏</w:t>
      </w:r>
      <w:r>
        <w:rPr>
          <w:rFonts w:hint="eastAsia" w:asciiTheme="minorEastAsia" w:hAnsiTheme="minorEastAsia" w:eastAsiaTheme="minorEastAsia" w:cstheme="minorEastAsia"/>
          <w:color w:val="auto"/>
          <w:kern w:val="0"/>
          <w:sz w:val="24"/>
          <w:szCs w:val="24"/>
          <w:highlight w:val="none"/>
          <w:lang w:val="en-US" w:eastAsia="zh-CN" w:bidi="ar"/>
        </w:rPr>
        <w:t xml:space="preserve">        联系电话：15881024508。</w:t>
      </w:r>
    </w:p>
    <w:p w14:paraId="7EDC46B2">
      <w:pPr>
        <w:pStyle w:val="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投标须知</w:t>
      </w:r>
    </w:p>
    <w:p w14:paraId="6D9A5845">
      <w:pPr>
        <w:pStyle w:val="4"/>
        <w:spacing w:line="360" w:lineRule="auto"/>
        <w:ind w:firstLine="482" w:firstLineChars="200"/>
        <w:rPr>
          <w:rFonts w:hint="eastAsia" w:ascii="宋体" w:hAnsi="宋体" w:eastAsiaTheme="minorEastAsia" w:cstheme="minorBidi"/>
          <w:b/>
          <w:bCs/>
          <w:color w:val="auto"/>
          <w:kern w:val="2"/>
          <w:sz w:val="24"/>
          <w:szCs w:val="24"/>
          <w:lang w:val="en-US" w:eastAsia="zh-CN" w:bidi="ar-SA"/>
        </w:rPr>
      </w:pPr>
      <w:r>
        <w:rPr>
          <w:rFonts w:hint="eastAsia" w:ascii="宋体" w:hAnsi="宋体" w:eastAsiaTheme="minorEastAsia" w:cstheme="minorBidi"/>
          <w:b/>
          <w:bCs/>
          <w:color w:val="auto"/>
          <w:kern w:val="2"/>
          <w:sz w:val="24"/>
          <w:szCs w:val="24"/>
          <w:lang w:val="en-US" w:eastAsia="zh-CN" w:bidi="ar-SA"/>
        </w:rPr>
        <w:t>1、合格投标人</w:t>
      </w:r>
    </w:p>
    <w:p w14:paraId="2A6ED9DB">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（1）投标人须遵守《中华人民共和国招标投标法》、《中华人民共和国民法典》及其它有关的法律和法规；为中华人民共和国境内注册的独立法人机构，具有独立承担民事责任能力。公司成立</w:t>
      </w:r>
      <w:r>
        <w:rPr>
          <w:rFonts w:hint="eastAsia" w:hAnsi="宋体" w:cstheme="minorBidi"/>
          <w:color w:val="auto"/>
          <w:kern w:val="2"/>
          <w:sz w:val="24"/>
          <w:szCs w:val="24"/>
          <w:lang w:val="en-US" w:eastAsia="zh-CN" w:bidi="ar-SA"/>
        </w:rPr>
        <w:t>三</w:t>
      </w:r>
      <w:r>
        <w:rPr>
          <w:rFonts w:hint="eastAsia" w:ascii="宋体" w:hAnsi="宋体" w:eastAsiaTheme="minorEastAsia" w:cstheme="minorBidi"/>
          <w:color w:val="auto"/>
          <w:kern w:val="2"/>
          <w:sz w:val="24"/>
          <w:szCs w:val="24"/>
          <w:lang w:val="en-US" w:eastAsia="zh-CN" w:bidi="ar-SA"/>
        </w:rPr>
        <w:t>年以上（以营业执照成立日期到开标当日满</w:t>
      </w:r>
      <w:r>
        <w:rPr>
          <w:rFonts w:hint="eastAsia" w:hAnsi="宋体" w:cstheme="minorBidi"/>
          <w:color w:val="auto"/>
          <w:kern w:val="2"/>
          <w:sz w:val="24"/>
          <w:szCs w:val="24"/>
          <w:lang w:val="en-US" w:eastAsia="zh-CN" w:bidi="ar-SA"/>
        </w:rPr>
        <w:t>三</w:t>
      </w:r>
      <w:r>
        <w:rPr>
          <w:rFonts w:hint="eastAsia" w:ascii="宋体" w:hAnsi="宋体" w:eastAsiaTheme="minorEastAsia" w:cstheme="minorBidi"/>
          <w:color w:val="auto"/>
          <w:kern w:val="2"/>
          <w:sz w:val="24"/>
          <w:szCs w:val="24"/>
          <w:lang w:val="en-US" w:eastAsia="zh-CN" w:bidi="ar-SA"/>
        </w:rPr>
        <w:t>年为准）；投标企业注册资金不少于</w:t>
      </w:r>
      <w:r>
        <w:rPr>
          <w:rFonts w:hint="eastAsia" w:hAnsi="宋体" w:cstheme="minorBidi"/>
          <w:color w:val="auto"/>
          <w:kern w:val="2"/>
          <w:sz w:val="24"/>
          <w:szCs w:val="24"/>
          <w:lang w:val="en-US" w:eastAsia="zh-CN" w:bidi="ar-SA"/>
        </w:rPr>
        <w:t>2</w:t>
      </w:r>
      <w:r>
        <w:rPr>
          <w:rFonts w:hint="eastAsia" w:ascii="宋体" w:hAnsi="宋体" w:eastAsiaTheme="minorEastAsia" w:cstheme="minorBidi"/>
          <w:color w:val="auto"/>
          <w:kern w:val="2"/>
          <w:sz w:val="24"/>
          <w:szCs w:val="24"/>
          <w:lang w:val="en-US" w:eastAsia="zh-CN" w:bidi="ar-SA"/>
        </w:rPr>
        <w:t>00万元人民币，经营范围满足招标项目需求；投标人须提供具有统一社会信用代码的三证合一的营业执照副本原件及复印件（加盖公章）。</w:t>
      </w:r>
    </w:p>
    <w:p w14:paraId="56BA5437">
      <w:pPr>
        <w:pStyle w:val="16"/>
        <w:keepNext w:val="0"/>
        <w:keepLines w:val="0"/>
        <w:pageBreakBefore w:val="0"/>
        <w:kinsoku/>
        <w:wordWrap/>
        <w:overflowPunct/>
        <w:topLinePunct w:val="0"/>
        <w:bidi w:val="0"/>
        <w:snapToGrid/>
        <w:spacing w:line="440" w:lineRule="exact"/>
        <w:ind w:firstLine="560"/>
        <w:textAlignment w:val="auto"/>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ascii="宋体" w:hAnsi="宋体" w:cstheme="minorBidi"/>
          <w:color w:val="auto"/>
          <w:kern w:val="2"/>
          <w:sz w:val="24"/>
          <w:szCs w:val="24"/>
          <w:lang w:val="en-US" w:eastAsia="zh-CN" w:bidi="ar-SA"/>
        </w:rPr>
        <w:t>2</w:t>
      </w:r>
      <w:r>
        <w:rPr>
          <w:rFonts w:hint="eastAsia" w:ascii="宋体" w:hAnsi="宋体" w:eastAsiaTheme="minorEastAsia" w:cstheme="minorBidi"/>
          <w:color w:val="auto"/>
          <w:kern w:val="2"/>
          <w:sz w:val="24"/>
          <w:szCs w:val="24"/>
          <w:lang w:val="en-US" w:eastAsia="zh-CN" w:bidi="ar-SA"/>
        </w:rPr>
        <w:t>）</w:t>
      </w:r>
      <w:r>
        <w:rPr>
          <w:rFonts w:hint="eastAsia" w:asciiTheme="minorEastAsia" w:hAnsiTheme="minorEastAsia" w:eastAsiaTheme="minorEastAsia" w:cstheme="minorEastAsia"/>
          <w:color w:val="auto"/>
          <w:kern w:val="0"/>
          <w:sz w:val="24"/>
          <w:szCs w:val="24"/>
          <w:highlight w:val="none"/>
        </w:rPr>
        <w:t>具有良好的</w:t>
      </w:r>
      <w:r>
        <w:rPr>
          <w:rFonts w:hint="eastAsia" w:asciiTheme="minorEastAsia" w:hAnsiTheme="minorEastAsia" w:eastAsiaTheme="minorEastAsia" w:cstheme="minorEastAsia"/>
          <w:color w:val="auto"/>
          <w:kern w:val="0"/>
          <w:sz w:val="24"/>
          <w:szCs w:val="24"/>
          <w:highlight w:val="none"/>
          <w:lang w:eastAsia="zh-CN"/>
        </w:rPr>
        <w:t>商业</w:t>
      </w:r>
      <w:r>
        <w:rPr>
          <w:rFonts w:hint="eastAsia" w:asciiTheme="minorEastAsia" w:hAnsiTheme="minorEastAsia" w:eastAsiaTheme="minorEastAsia" w:cstheme="minorEastAsia"/>
          <w:color w:val="auto"/>
          <w:kern w:val="0"/>
          <w:sz w:val="24"/>
          <w:szCs w:val="24"/>
          <w:highlight w:val="none"/>
        </w:rPr>
        <w:t>信誉</w:t>
      </w:r>
      <w:r>
        <w:rPr>
          <w:rFonts w:hint="eastAsia" w:asciiTheme="minorEastAsia" w:hAnsiTheme="minorEastAsia" w:eastAsiaTheme="minorEastAsia" w:cstheme="minorEastAsia"/>
          <w:color w:val="auto"/>
          <w:kern w:val="0"/>
          <w:sz w:val="24"/>
          <w:szCs w:val="24"/>
          <w:highlight w:val="none"/>
          <w:lang w:eastAsia="zh-CN"/>
        </w:rPr>
        <w:t>和</w:t>
      </w:r>
      <w:r>
        <w:rPr>
          <w:rFonts w:hint="eastAsia" w:asciiTheme="minorEastAsia" w:hAnsiTheme="minorEastAsia" w:eastAsiaTheme="minorEastAsia" w:cstheme="minorEastAsia"/>
          <w:color w:val="auto"/>
          <w:kern w:val="0"/>
          <w:sz w:val="24"/>
          <w:szCs w:val="24"/>
          <w:highlight w:val="none"/>
        </w:rPr>
        <w:t>健全的财务会计制度，财务状况和市场行为良好</w:t>
      </w:r>
      <w:r>
        <w:rPr>
          <w:rFonts w:hint="eastAsia" w:asciiTheme="minorEastAsia" w:hAnsiTheme="minorEastAsia" w:eastAsiaTheme="minorEastAsia" w:cstheme="minorEastAsia"/>
          <w:color w:val="auto"/>
          <w:kern w:val="0"/>
          <w:sz w:val="24"/>
          <w:szCs w:val="24"/>
          <w:highlight w:val="none"/>
          <w:lang w:eastAsia="zh-CN"/>
        </w:rPr>
        <w:t>，有依法缴纳税收和社会保障资金的良好记录，</w:t>
      </w:r>
      <w:r>
        <w:rPr>
          <w:rFonts w:hint="eastAsia" w:asciiTheme="minorEastAsia" w:hAnsiTheme="minorEastAsia" w:eastAsiaTheme="minorEastAsia" w:cstheme="minorEastAsia"/>
          <w:color w:val="auto"/>
          <w:sz w:val="24"/>
          <w:szCs w:val="24"/>
          <w:highlight w:val="none"/>
        </w:rPr>
        <w:t>并具有一定的垫资能力，能切实履行合同。</w:t>
      </w:r>
      <w:r>
        <w:rPr>
          <w:rFonts w:hint="eastAsia" w:ascii="宋体" w:hAnsi="宋体" w:eastAsiaTheme="minorEastAsia" w:cstheme="minorBidi"/>
          <w:color w:val="auto"/>
          <w:kern w:val="2"/>
          <w:sz w:val="24"/>
          <w:szCs w:val="24"/>
          <w:lang w:val="en-US" w:eastAsia="zh-CN" w:bidi="ar-SA"/>
        </w:rPr>
        <w:t>没有处于被有权机关吊销营业执照、吊销资质、停业整顿、取消投标资格以及财产被接管、冻结或进入破产程序等。</w:t>
      </w:r>
    </w:p>
    <w:p w14:paraId="29A6B8B4">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3</w:t>
      </w:r>
      <w:r>
        <w:rPr>
          <w:rFonts w:hint="eastAsia" w:ascii="宋体" w:hAnsi="宋体" w:eastAsiaTheme="minorEastAsia" w:cstheme="minorBidi"/>
          <w:color w:val="auto"/>
          <w:kern w:val="2"/>
          <w:sz w:val="24"/>
          <w:szCs w:val="24"/>
          <w:lang w:val="en-US" w:eastAsia="zh-CN" w:bidi="ar-SA"/>
        </w:rPr>
        <w:t>）投标人没有被列入招标人处《黑名单》（《黑名单》指投标人与招标人在以往或正在进行的合作中，存在招标人认为的违反合同约定或违反法律法规等的失信行为）的证明原件。</w:t>
      </w:r>
    </w:p>
    <w:p w14:paraId="094E50C0">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4</w:t>
      </w:r>
      <w:r>
        <w:rPr>
          <w:rFonts w:hint="eastAsia" w:ascii="宋体" w:hAnsi="宋体" w:eastAsiaTheme="minorEastAsia" w:cstheme="minorBidi"/>
          <w:color w:val="auto"/>
          <w:kern w:val="2"/>
          <w:sz w:val="24"/>
          <w:szCs w:val="24"/>
          <w:lang w:val="en-US" w:eastAsia="zh-CN" w:bidi="ar-SA"/>
        </w:rPr>
        <w:t>）投标人近三年的公司财务报表（资产负债表、损益表、现金流量表）未显示异常的证明原件</w:t>
      </w:r>
      <w:r>
        <w:rPr>
          <w:rFonts w:hint="eastAsia" w:ascii="宋体" w:hAnsi="宋体" w:cstheme="minorBidi"/>
          <w:color w:val="auto"/>
          <w:kern w:val="2"/>
          <w:sz w:val="24"/>
          <w:szCs w:val="24"/>
          <w:lang w:val="en-US" w:eastAsia="zh-CN" w:bidi="ar-SA"/>
        </w:rPr>
        <w:t>。</w:t>
      </w:r>
    </w:p>
    <w:p w14:paraId="7963DBE8">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5</w:t>
      </w:r>
      <w:r>
        <w:rPr>
          <w:rFonts w:hint="eastAsia" w:ascii="宋体" w:hAnsi="宋体" w:eastAsiaTheme="minorEastAsia" w:cstheme="minorBidi"/>
          <w:color w:val="auto"/>
          <w:kern w:val="2"/>
          <w:sz w:val="24"/>
          <w:szCs w:val="24"/>
          <w:lang w:val="en-US" w:eastAsia="zh-CN" w:bidi="ar-SA"/>
        </w:rPr>
        <w:t>）投标人须提供法人授权委托书原件（在投标文件副本中可用复印件）及投标单位的法定代表人或授权代表的身份证原件及复印件（加盖公章），法人到场的，出具法定代表人资格证明文件。</w:t>
      </w:r>
    </w:p>
    <w:p w14:paraId="3E7CDE47">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6</w:t>
      </w:r>
      <w:r>
        <w:rPr>
          <w:rFonts w:hint="eastAsia" w:ascii="宋体" w:hAnsi="宋体" w:eastAsiaTheme="minorEastAsia" w:cstheme="minorBidi"/>
          <w:color w:val="auto"/>
          <w:kern w:val="2"/>
          <w:sz w:val="24"/>
          <w:szCs w:val="24"/>
          <w:lang w:val="en-US" w:eastAsia="zh-CN" w:bidi="ar-SA"/>
        </w:rPr>
        <w:t>）中标的投标人严禁弃标，弃标单位将进入中国重汽集团《违约单位名录》,禁止其参加中国重汽集团系统内所有单位招标。</w:t>
      </w:r>
    </w:p>
    <w:p w14:paraId="1698BBEA">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7</w:t>
      </w:r>
      <w:r>
        <w:rPr>
          <w:rFonts w:hint="eastAsia" w:ascii="宋体" w:hAnsi="宋体" w:eastAsiaTheme="minorEastAsia" w:cstheme="minorBidi"/>
          <w:color w:val="auto"/>
          <w:kern w:val="2"/>
          <w:sz w:val="24"/>
          <w:szCs w:val="24"/>
          <w:lang w:val="en-US" w:eastAsia="zh-CN" w:bidi="ar-SA"/>
        </w:rPr>
        <w:t>）</w:t>
      </w:r>
      <w:r>
        <w:rPr>
          <w:rFonts w:hint="eastAsia" w:asciiTheme="minorEastAsia" w:hAnsiTheme="minorEastAsia" w:eastAsiaTheme="minorEastAsia" w:cstheme="minorEastAsia"/>
          <w:color w:val="auto"/>
          <w:sz w:val="24"/>
          <w:szCs w:val="24"/>
          <w:highlight w:val="none"/>
        </w:rPr>
        <w:t>投标人应</w:t>
      </w:r>
      <w:r>
        <w:rPr>
          <w:rFonts w:hint="eastAsia" w:asciiTheme="minorEastAsia" w:hAnsiTheme="minorEastAsia" w:eastAsiaTheme="minorEastAsia" w:cstheme="minorEastAsia"/>
          <w:color w:val="auto"/>
          <w:kern w:val="0"/>
          <w:sz w:val="24"/>
          <w:szCs w:val="24"/>
          <w:highlight w:val="none"/>
          <w:lang w:val="en-US" w:eastAsia="zh-CN"/>
        </w:rPr>
        <w:t>具</w:t>
      </w:r>
      <w:r>
        <w:rPr>
          <w:rFonts w:hint="eastAsia" w:asciiTheme="minorEastAsia" w:hAnsiTheme="minorEastAsia" w:eastAsiaTheme="minorEastAsia" w:cstheme="minorEastAsia"/>
          <w:color w:val="auto"/>
          <w:sz w:val="24"/>
          <w:szCs w:val="24"/>
          <w:highlight w:val="none"/>
        </w:rPr>
        <w:t>有策划执行大型项目的经验,具有良好的风险应对能力，能够认可招标人的工作指令，包括节、假日能正常开展工作等要求</w:t>
      </w:r>
      <w:r>
        <w:rPr>
          <w:rFonts w:hint="eastAsia" w:ascii="宋体" w:hAnsi="宋体" w:eastAsiaTheme="minorEastAsia" w:cstheme="minorBidi"/>
          <w:color w:val="auto"/>
          <w:kern w:val="2"/>
          <w:sz w:val="24"/>
          <w:szCs w:val="24"/>
          <w:lang w:val="en-US" w:eastAsia="zh-CN" w:bidi="ar-SA"/>
        </w:rPr>
        <w:t>。</w:t>
      </w:r>
    </w:p>
    <w:p w14:paraId="03D4AA65">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8</w:t>
      </w:r>
      <w:r>
        <w:rPr>
          <w:rFonts w:hint="eastAsia" w:ascii="宋体" w:hAnsi="宋体" w:eastAsiaTheme="minorEastAsia" w:cstheme="minorBidi"/>
          <w:color w:val="auto"/>
          <w:kern w:val="2"/>
          <w:sz w:val="24"/>
          <w:szCs w:val="24"/>
          <w:lang w:val="en-US" w:eastAsia="zh-CN" w:bidi="ar-SA"/>
        </w:rPr>
        <w:t>）本次招标项目不接受联合体投标。</w:t>
      </w:r>
    </w:p>
    <w:p w14:paraId="38C612B1">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w:t>
      </w:r>
      <w:r>
        <w:rPr>
          <w:rFonts w:hint="eastAsia" w:hAnsi="宋体" w:cstheme="minorBidi"/>
          <w:color w:val="auto"/>
          <w:kern w:val="2"/>
          <w:sz w:val="24"/>
          <w:szCs w:val="24"/>
          <w:lang w:val="en-US" w:eastAsia="zh-CN" w:bidi="ar-SA"/>
        </w:rPr>
        <w:t>9</w:t>
      </w:r>
      <w:r>
        <w:rPr>
          <w:rFonts w:hint="eastAsia" w:ascii="宋体" w:hAnsi="宋体" w:eastAsiaTheme="minorEastAsia" w:cstheme="minorBidi"/>
          <w:color w:val="auto"/>
          <w:kern w:val="2"/>
          <w:sz w:val="24"/>
          <w:szCs w:val="24"/>
          <w:lang w:val="en-US" w:eastAsia="zh-CN" w:bidi="ar-SA"/>
        </w:rPr>
        <w:t>）逾期的投标文件招标人不予受理。</w:t>
      </w:r>
    </w:p>
    <w:p w14:paraId="61BB68DC">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（1</w:t>
      </w:r>
      <w:r>
        <w:rPr>
          <w:rFonts w:hint="eastAsia" w:hAnsi="宋体" w:cstheme="minorBidi"/>
          <w:color w:val="auto"/>
          <w:kern w:val="2"/>
          <w:sz w:val="24"/>
          <w:szCs w:val="24"/>
          <w:lang w:val="en-US" w:eastAsia="zh-CN" w:bidi="ar-SA"/>
        </w:rPr>
        <w:t>0</w:t>
      </w:r>
      <w:r>
        <w:rPr>
          <w:rFonts w:hint="eastAsia" w:ascii="宋体" w:hAnsi="宋体" w:eastAsiaTheme="minorEastAsia" w:cstheme="minorBidi"/>
          <w:color w:val="auto"/>
          <w:kern w:val="2"/>
          <w:sz w:val="24"/>
          <w:szCs w:val="24"/>
          <w:lang w:val="en-US" w:eastAsia="zh-CN" w:bidi="ar-SA"/>
        </w:rPr>
        <w:t>）无与本项目有关的违法及违规行为。</w:t>
      </w:r>
    </w:p>
    <w:p w14:paraId="2B15693F">
      <w:pPr>
        <w:pStyle w:val="4"/>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宋体" w:hAnsi="宋体" w:eastAsiaTheme="minorEastAsia" w:cstheme="minorBidi"/>
          <w:color w:val="auto"/>
          <w:kern w:val="2"/>
          <w:sz w:val="24"/>
          <w:szCs w:val="24"/>
          <w:lang w:val="en-US" w:eastAsia="zh-CN" w:bidi="ar-SA"/>
        </w:rPr>
        <w:t>（1</w:t>
      </w:r>
      <w:r>
        <w:rPr>
          <w:rFonts w:hint="eastAsia" w:hAnsi="宋体" w:cstheme="minorBidi"/>
          <w:color w:val="auto"/>
          <w:kern w:val="2"/>
          <w:sz w:val="24"/>
          <w:szCs w:val="24"/>
          <w:lang w:val="en-US" w:eastAsia="zh-CN" w:bidi="ar-SA"/>
        </w:rPr>
        <w:t>1</w:t>
      </w:r>
      <w:r>
        <w:rPr>
          <w:rFonts w:hint="eastAsia" w:ascii="宋体" w:hAnsi="宋体" w:eastAsiaTheme="minorEastAsia" w:cstheme="minorBidi"/>
          <w:color w:val="auto"/>
          <w:kern w:val="2"/>
          <w:sz w:val="24"/>
          <w:szCs w:val="24"/>
          <w:lang w:val="en-US" w:eastAsia="zh-CN" w:bidi="ar-SA"/>
        </w:rPr>
        <w:t>）投标人的直接或间接股东、法定代表人、董事、监事、高管非重汽员工及其亲属。</w:t>
      </w:r>
    </w:p>
    <w:p w14:paraId="5661FAC7">
      <w:pPr>
        <w:spacing w:line="360" w:lineRule="auto"/>
        <w:jc w:val="left"/>
        <w:rPr>
          <w:rFonts w:hint="eastAsia" w:ascii="黑体" w:hAnsi="黑体" w:eastAsia="黑体"/>
          <w:color w:val="auto"/>
          <w:sz w:val="28"/>
          <w:szCs w:val="24"/>
          <w:lang w:val="en-US" w:eastAsia="zh-CN"/>
        </w:rPr>
      </w:pPr>
      <w:r>
        <w:rPr>
          <w:rFonts w:hint="eastAsia" w:ascii="黑体" w:hAnsi="黑体" w:eastAsia="黑体"/>
          <w:color w:val="auto"/>
          <w:sz w:val="28"/>
          <w:szCs w:val="24"/>
          <w:lang w:val="en-US" w:eastAsia="zh-CN"/>
        </w:rPr>
        <w:t>六、投标人有下列情况之一，即视为废标，招标人将严格按照《中华人民共和国招标投标法》及相关法律、法规及规章制度的规定行使权利。投标人给招标人造成损失的，招标人有索赔的权利，投标人应予以赔偿：</w:t>
      </w:r>
    </w:p>
    <w:p w14:paraId="2C48DC70">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hAnsi="宋体" w:cstheme="minorBidi"/>
          <w:color w:val="auto"/>
          <w:kern w:val="2"/>
          <w:sz w:val="24"/>
          <w:szCs w:val="24"/>
          <w:lang w:val="en-US" w:eastAsia="zh-CN" w:bidi="ar-SA"/>
        </w:rPr>
        <w:t>1、</w:t>
      </w:r>
      <w:r>
        <w:rPr>
          <w:rFonts w:hint="eastAsia" w:ascii="宋体" w:hAnsi="宋体" w:eastAsiaTheme="minorEastAsia" w:cstheme="minorBidi"/>
          <w:color w:val="auto"/>
          <w:kern w:val="2"/>
          <w:sz w:val="24"/>
          <w:szCs w:val="24"/>
          <w:lang w:val="en-US" w:eastAsia="zh-CN" w:bidi="ar-SA"/>
        </w:rPr>
        <w:t>投标人提供的有关资格、资质证明文件不合格、不真实或提供虚假投标材料；</w:t>
      </w:r>
    </w:p>
    <w:p w14:paraId="62D52E29">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2</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投标人在报价有效期内撤回投标；</w:t>
      </w:r>
    </w:p>
    <w:p w14:paraId="3C14C63B">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3</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在整个评标过程中，投标人有企图影响评标结果公正性的任何活动；</w:t>
      </w:r>
    </w:p>
    <w:p w14:paraId="6FA44561">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4</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投标人以任何方式诋毁其他投标人；</w:t>
      </w:r>
    </w:p>
    <w:p w14:paraId="7C0012BF">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5</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投标人串通投标；</w:t>
      </w:r>
    </w:p>
    <w:p w14:paraId="3C5A1B36">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6</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以他人名义投标或者以其他方式弄虚作假，骗取中标的；</w:t>
      </w:r>
    </w:p>
    <w:p w14:paraId="71F2FD47">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7</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投标人负责人为同一人或者存在控股、管理关系的不同单位；</w:t>
      </w:r>
    </w:p>
    <w:p w14:paraId="51F55DF5">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8</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被其他投标人举报经查实属实的；</w:t>
      </w:r>
    </w:p>
    <w:p w14:paraId="4CA8C508">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9</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法律、法规规定的其他情况。</w:t>
      </w:r>
    </w:p>
    <w:p w14:paraId="6EEEC41D">
      <w:pPr>
        <w:pStyle w:val="4"/>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黑体" w:hAnsi="黑体" w:eastAsia="黑体" w:cs="Times New Roman"/>
          <w:color w:val="auto"/>
          <w:kern w:val="2"/>
          <w:sz w:val="28"/>
          <w:szCs w:val="24"/>
          <w:lang w:val="en-US" w:eastAsia="zh-CN" w:bidi="ar-SA"/>
        </w:rPr>
      </w:pPr>
      <w:r>
        <w:rPr>
          <w:rFonts w:hint="eastAsia" w:ascii="黑体" w:hAnsi="黑体" w:eastAsia="黑体" w:cs="Times New Roman"/>
          <w:color w:val="auto"/>
          <w:kern w:val="2"/>
          <w:sz w:val="28"/>
          <w:szCs w:val="24"/>
          <w:lang w:val="en-US" w:eastAsia="zh-CN" w:bidi="ar-SA"/>
        </w:rPr>
        <w:t>七、出现下列情形之一，招标人有权否决所有投标人的投标，并终止招标。</w:t>
      </w:r>
    </w:p>
    <w:p w14:paraId="067C0CA0">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1</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出现影响采购公正的违法、违规行为的；</w:t>
      </w:r>
    </w:p>
    <w:p w14:paraId="5F1E8ED0">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2</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评标委员会经评审，认为所有投标都不符合招标文件要求的；</w:t>
      </w:r>
    </w:p>
    <w:p w14:paraId="4CD26D3F">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3</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因重大变故，采购任务取消的；</w:t>
      </w:r>
    </w:p>
    <w:p w14:paraId="438B595E">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4</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评标委员会认为应当终止招标的其他情形；</w:t>
      </w:r>
    </w:p>
    <w:p w14:paraId="373C321B">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5</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符合投标条件的投标人或者对招标文件做实质响应的投标人不足三家的；</w:t>
      </w:r>
    </w:p>
    <w:p w14:paraId="2F5E14FD">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6</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招标人认为其他应终止招标的情形；</w:t>
      </w:r>
    </w:p>
    <w:p w14:paraId="420A7D68">
      <w:pPr>
        <w:pStyle w:val="4"/>
        <w:spacing w:line="360" w:lineRule="auto"/>
        <w:ind w:firstLine="480" w:firstLineChars="200"/>
        <w:rPr>
          <w:rFonts w:hint="eastAsia" w:ascii="黑体" w:hAnsi="黑体" w:eastAsia="黑体" w:cs="Times New Roman"/>
          <w:color w:val="auto"/>
          <w:kern w:val="2"/>
          <w:sz w:val="28"/>
          <w:szCs w:val="24"/>
          <w:lang w:val="en-US" w:eastAsia="zh-CN" w:bidi="ar-SA"/>
        </w:rPr>
      </w:pPr>
      <w:r>
        <w:rPr>
          <w:rFonts w:hint="eastAsia" w:ascii="宋体" w:hAnsi="宋体" w:eastAsiaTheme="minorEastAsia" w:cstheme="minorBidi"/>
          <w:color w:val="auto"/>
          <w:kern w:val="2"/>
          <w:sz w:val="24"/>
          <w:szCs w:val="24"/>
          <w:lang w:val="en-US" w:eastAsia="zh-CN" w:bidi="ar-SA"/>
        </w:rPr>
        <w:t>7</w:t>
      </w:r>
      <w:r>
        <w:rPr>
          <w:rFonts w:hint="eastAsia"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投标人承诺同意由于招标人公司政策变化引起的随时终止项目的要求并承担由此带来的一切损失。</w:t>
      </w:r>
    </w:p>
    <w:p w14:paraId="5626C653">
      <w:pPr>
        <w:spacing w:line="360" w:lineRule="auto"/>
        <w:jc w:val="left"/>
        <w:rPr>
          <w:rFonts w:hint="eastAsia" w:ascii="黑体" w:hAnsi="黑体" w:eastAsia="黑体"/>
          <w:color w:val="auto"/>
          <w:sz w:val="28"/>
          <w:szCs w:val="24"/>
        </w:rPr>
      </w:pPr>
      <w:r>
        <w:rPr>
          <w:rFonts w:hint="eastAsia" w:ascii="黑体" w:hAnsi="黑体" w:eastAsia="黑体"/>
          <w:color w:val="auto"/>
          <w:sz w:val="28"/>
          <w:szCs w:val="24"/>
        </w:rPr>
        <w:t>八、中标人瑕疵滞后发现的处理原则</w:t>
      </w:r>
    </w:p>
    <w:p w14:paraId="5AA5453A">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AC8B6C2">
      <w:pPr>
        <w:spacing w:line="360" w:lineRule="auto"/>
        <w:jc w:val="left"/>
        <w:rPr>
          <w:rFonts w:ascii="黑体" w:hAnsi="黑体" w:eastAsia="黑体"/>
          <w:color w:val="auto"/>
          <w:sz w:val="28"/>
          <w:szCs w:val="24"/>
        </w:rPr>
      </w:pPr>
      <w:r>
        <w:rPr>
          <w:rFonts w:hint="eastAsia" w:ascii="黑体" w:hAnsi="黑体" w:eastAsia="黑体" w:cs="黑体"/>
          <w:b w:val="0"/>
          <w:bCs w:val="0"/>
          <w:color w:val="auto"/>
          <w:kern w:val="0"/>
          <w:sz w:val="28"/>
          <w:szCs w:val="28"/>
          <w:highlight w:val="none"/>
          <w:lang w:val="en-US" w:eastAsia="zh-CN" w:bidi="ar"/>
        </w:rPr>
        <w:t>九、</w:t>
      </w:r>
      <w:r>
        <w:rPr>
          <w:rFonts w:hint="eastAsia" w:ascii="黑体" w:hAnsi="黑体" w:eastAsia="黑体"/>
          <w:color w:val="auto"/>
          <w:sz w:val="28"/>
          <w:szCs w:val="24"/>
        </w:rPr>
        <w:t>验收及违约责任交货期</w:t>
      </w:r>
    </w:p>
    <w:p w14:paraId="21F8EA2C">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rPr>
        <w:t>以最终签署版合同为准</w:t>
      </w:r>
      <w:r>
        <w:rPr>
          <w:rFonts w:hint="eastAsia" w:ascii="宋体" w:hAnsi="宋体" w:cstheme="minorBidi"/>
          <w:color w:val="auto"/>
          <w:sz w:val="24"/>
          <w:szCs w:val="24"/>
          <w:lang w:eastAsia="zh-CN"/>
        </w:rPr>
        <w:t>，</w:t>
      </w:r>
      <w:r>
        <w:rPr>
          <w:rFonts w:hint="eastAsia" w:ascii="宋体" w:hAnsi="宋体" w:cstheme="minorBidi"/>
          <w:color w:val="auto"/>
          <w:sz w:val="24"/>
          <w:szCs w:val="24"/>
        </w:rPr>
        <w:t>按照合同约定执行。</w:t>
      </w:r>
    </w:p>
    <w:p w14:paraId="370C7EA2">
      <w:pPr>
        <w:keepNext w:val="0"/>
        <w:keepLines w:val="0"/>
        <w:pageBreakBefore w:val="0"/>
        <w:widowControl/>
        <w:numPr>
          <w:ilvl w:val="0"/>
          <w:numId w:val="0"/>
        </w:numPr>
        <w:suppressLineNumbers w:val="0"/>
        <w:kinsoku/>
        <w:wordWrap/>
        <w:overflowPunct/>
        <w:topLinePunct w:val="0"/>
        <w:bidi w:val="0"/>
        <w:snapToGrid/>
        <w:spacing w:line="440" w:lineRule="exact"/>
        <w:jc w:val="left"/>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olor w:val="auto"/>
          <w:sz w:val="28"/>
          <w:szCs w:val="24"/>
        </w:rPr>
        <w:t>十、</w:t>
      </w:r>
      <w:r>
        <w:rPr>
          <w:rFonts w:hint="eastAsia" w:ascii="黑体" w:hAnsi="黑体" w:eastAsia="黑体" w:cs="黑体"/>
          <w:b w:val="0"/>
          <w:bCs w:val="0"/>
          <w:color w:val="auto"/>
          <w:kern w:val="0"/>
          <w:sz w:val="28"/>
          <w:szCs w:val="28"/>
          <w:highlight w:val="none"/>
          <w:lang w:val="en-US" w:eastAsia="zh-CN" w:bidi="ar"/>
        </w:rPr>
        <w:t>付款条件及付款方式</w:t>
      </w:r>
    </w:p>
    <w:p w14:paraId="59B21C7B">
      <w:pPr>
        <w:keepNext w:val="0"/>
        <w:keepLines w:val="0"/>
        <w:pageBreakBefore w:val="0"/>
        <w:kinsoku/>
        <w:wordWrap/>
        <w:overflowPunct/>
        <w:topLinePunct w:val="0"/>
        <w:autoSpaceDE w:val="0"/>
        <w:autoSpaceDN w:val="0"/>
        <w:bidi w:val="0"/>
        <w:adjustRightInd w:val="0"/>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原则上每月度以实际执行场次进行结算。招标人（甲方）与中标人（乙方）签订</w:t>
      </w:r>
      <w:r>
        <w:rPr>
          <w:rFonts w:hint="eastAsia" w:asciiTheme="minorEastAsia" w:hAnsiTheme="minorEastAsia" w:eastAsiaTheme="minorEastAsia" w:cstheme="minorEastAsia"/>
          <w:color w:val="auto"/>
          <w:sz w:val="24"/>
          <w:szCs w:val="24"/>
          <w:highlight w:val="none"/>
          <w:lang w:val="en-US" w:eastAsia="zh-CN"/>
        </w:rPr>
        <w:t>年度</w:t>
      </w:r>
      <w:r>
        <w:rPr>
          <w:rFonts w:hint="eastAsia" w:asciiTheme="minorEastAsia" w:hAnsiTheme="minorEastAsia" w:eastAsiaTheme="minorEastAsia" w:cstheme="minorEastAsia"/>
          <w:color w:val="auto"/>
          <w:sz w:val="24"/>
          <w:szCs w:val="24"/>
          <w:highlight w:val="none"/>
        </w:rPr>
        <w:t>服务合同后，乙方出具符合甲方要求的设计服务方案并完成执行。按照每月度进行统计，活动进行单场次约定，按实际执行</w:t>
      </w:r>
      <w:r>
        <w:rPr>
          <w:rFonts w:hint="eastAsia" w:asciiTheme="minorEastAsia" w:hAnsiTheme="minorEastAsia" w:cstheme="minorEastAsia"/>
          <w:color w:val="auto"/>
          <w:sz w:val="24"/>
          <w:szCs w:val="24"/>
          <w:highlight w:val="none"/>
          <w:lang w:val="en-US" w:eastAsia="zh-CN"/>
        </w:rPr>
        <w:t>清单</w:t>
      </w:r>
      <w:r>
        <w:rPr>
          <w:rFonts w:hint="eastAsia" w:asciiTheme="minorEastAsia" w:hAnsiTheme="minorEastAsia" w:eastAsiaTheme="minorEastAsia" w:cstheme="minorEastAsia"/>
          <w:color w:val="auto"/>
          <w:sz w:val="24"/>
          <w:szCs w:val="24"/>
          <w:highlight w:val="none"/>
        </w:rPr>
        <w:t>据实付款。</w:t>
      </w:r>
    </w:p>
    <w:p w14:paraId="13C64066">
      <w:pPr>
        <w:spacing w:line="360" w:lineRule="auto"/>
        <w:ind w:firstLine="480" w:firstLineChars="200"/>
        <w:jc w:val="left"/>
        <w:rPr>
          <w:rFonts w:hint="eastAsia" w:ascii="黑体" w:hAnsi="黑体" w:eastAsia="黑体" w:cs="黑体"/>
          <w:b w:val="0"/>
          <w:bCs w:val="0"/>
          <w:color w:val="auto"/>
          <w:kern w:val="0"/>
          <w:sz w:val="28"/>
          <w:szCs w:val="28"/>
          <w:highlight w:val="none"/>
          <w:lang w:val="en-US" w:eastAsia="zh-CN" w:bidi="ar"/>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付款方式：活动验收合格后，乙方开具符合甲方要求的增值税专用发票，甲方以银行</w:t>
      </w:r>
      <w:r>
        <w:rPr>
          <w:rFonts w:hint="eastAsia" w:asciiTheme="minorEastAsia" w:hAnsiTheme="minorEastAsia" w:eastAsiaTheme="minorEastAsia" w:cstheme="minorEastAsia"/>
          <w:color w:val="auto"/>
          <w:sz w:val="24"/>
          <w:szCs w:val="24"/>
          <w:highlight w:val="none"/>
          <w:lang w:val="en-US" w:eastAsia="zh-CN"/>
        </w:rPr>
        <w:t>转账</w:t>
      </w:r>
      <w:r>
        <w:rPr>
          <w:rFonts w:hint="eastAsia" w:asciiTheme="minorEastAsia" w:hAnsiTheme="minorEastAsia" w:eastAsiaTheme="minorEastAsia" w:cstheme="minorEastAsia"/>
          <w:color w:val="auto"/>
          <w:sz w:val="24"/>
          <w:szCs w:val="24"/>
          <w:highlight w:val="none"/>
        </w:rPr>
        <w:t>支付给乙方费用。具体付款时间及方式，以双方签订的合同约定为准。</w:t>
      </w:r>
    </w:p>
    <w:p w14:paraId="43C23C74">
      <w:pPr>
        <w:keepNext w:val="0"/>
        <w:keepLines w:val="0"/>
        <w:pageBreakBefore w:val="0"/>
        <w:widowControl/>
        <w:numPr>
          <w:ilvl w:val="0"/>
          <w:numId w:val="0"/>
        </w:numPr>
        <w:suppressLineNumbers w:val="0"/>
        <w:kinsoku/>
        <w:wordWrap/>
        <w:overflowPunct/>
        <w:topLinePunct w:val="0"/>
        <w:bidi w:val="0"/>
        <w:snapToGrid/>
        <w:spacing w:line="440" w:lineRule="exact"/>
        <w:jc w:val="left"/>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十一、投标费用及报价</w:t>
      </w:r>
    </w:p>
    <w:p w14:paraId="256E10F4">
      <w:pPr>
        <w:keepNext w:val="0"/>
        <w:keepLines w:val="0"/>
        <w:pageBreakBefore w:val="0"/>
        <w:widowControl/>
        <w:numPr>
          <w:ilvl w:val="0"/>
          <w:numId w:val="7"/>
        </w:numPr>
        <w:suppressLineNumbers w:val="0"/>
        <w:kinsoku/>
        <w:wordWrap/>
        <w:overflowPunct/>
        <w:topLinePunct w:val="0"/>
        <w:bidi w:val="0"/>
        <w:snapToGrid/>
        <w:spacing w:line="440" w:lineRule="exact"/>
        <w:ind w:left="420" w:leftChars="0" w:firstLineChars="0"/>
        <w:jc w:val="left"/>
        <w:textAlignment w:val="auto"/>
        <w:rPr>
          <w:rFonts w:hint="eastAsia" w:asciiTheme="minorEastAsia" w:hAnsiTheme="minorEastAsia" w:eastAsiaTheme="minorEastAsia" w:cstheme="minorEastAsia"/>
          <w:b w:val="0"/>
          <w:bCs w:val="0"/>
          <w:color w:val="auto"/>
          <w:kern w:val="0"/>
          <w:sz w:val="24"/>
          <w:szCs w:val="24"/>
          <w:highlight w:val="none"/>
          <w:lang w:val="en-US" w:eastAsia="zh-CN" w:bidi="ar"/>
        </w:rPr>
      </w:pPr>
      <w:r>
        <w:rPr>
          <w:rFonts w:hint="eastAsia" w:asciiTheme="minorEastAsia" w:hAnsiTheme="minorEastAsia" w:eastAsiaTheme="minorEastAsia" w:cstheme="minorEastAsia"/>
          <w:b w:val="0"/>
          <w:bCs w:val="0"/>
          <w:color w:val="auto"/>
          <w:kern w:val="0"/>
          <w:sz w:val="24"/>
          <w:szCs w:val="24"/>
          <w:highlight w:val="none"/>
          <w:lang w:val="en-US" w:eastAsia="zh-CN" w:bidi="ar"/>
        </w:rPr>
        <w:t>投标费用</w:t>
      </w:r>
    </w:p>
    <w:p w14:paraId="5EFBB75C">
      <w:pPr>
        <w:pStyle w:val="4"/>
        <w:keepNext w:val="0"/>
        <w:keepLines w:val="0"/>
        <w:pageBreakBefore w:val="0"/>
        <w:numPr>
          <w:ilvl w:val="0"/>
          <w:numId w:val="8"/>
        </w:numPr>
        <w:kinsoku/>
        <w:wordWrap/>
        <w:overflowPunct/>
        <w:topLinePunct w:val="0"/>
        <w:bidi w:val="0"/>
        <w:snapToGrid/>
        <w:spacing w:line="440" w:lineRule="exact"/>
        <w:ind w:left="-140" w:leftChars="0" w:firstLine="560" w:firstLineChars="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投标人在投标过程中发生的一切费用，无论中标与否，均由投标人自负。</w:t>
      </w:r>
    </w:p>
    <w:p w14:paraId="312E26FF">
      <w:pPr>
        <w:pStyle w:val="4"/>
        <w:keepNext w:val="0"/>
        <w:keepLines w:val="0"/>
        <w:pageBreakBefore w:val="0"/>
        <w:numPr>
          <w:ilvl w:val="0"/>
          <w:numId w:val="8"/>
        </w:numPr>
        <w:kinsoku/>
        <w:wordWrap/>
        <w:overflowPunct/>
        <w:topLinePunct w:val="0"/>
        <w:bidi w:val="0"/>
        <w:snapToGrid/>
        <w:spacing w:line="440" w:lineRule="exact"/>
        <w:ind w:left="-140" w:leftChars="0" w:firstLine="560" w:firstLineChars="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投标人如需要了解项目情况，可到现场进行踏勘，获得有关编制投标文件所必需的现场资料，所需费用由投标人自理。踏勘现场过程中，投标人及其代表可能会对其自身或对第三方造成的人身伤害、财产损失或损坏，以及其他任何原因造成的损失、损坏或费用，须由投标人及其代表自行承担。</w:t>
      </w:r>
    </w:p>
    <w:p w14:paraId="4E5691D2">
      <w:pPr>
        <w:pStyle w:val="4"/>
        <w:keepNext w:val="0"/>
        <w:keepLines w:val="0"/>
        <w:pageBreakBefore w:val="0"/>
        <w:numPr>
          <w:ilvl w:val="0"/>
          <w:numId w:val="8"/>
        </w:numPr>
        <w:kinsoku/>
        <w:wordWrap/>
        <w:overflowPunct/>
        <w:topLinePunct w:val="0"/>
        <w:bidi w:val="0"/>
        <w:snapToGrid/>
        <w:spacing w:line="440" w:lineRule="exact"/>
        <w:ind w:left="-140" w:leftChars="0" w:firstLine="560" w:firstLineChars="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投标人应充分了解自己中标后有可能承担的风险、责任和义务。</w:t>
      </w:r>
    </w:p>
    <w:p w14:paraId="640A3ACA">
      <w:pPr>
        <w:keepNext w:val="0"/>
        <w:keepLines w:val="0"/>
        <w:pageBreakBefore w:val="0"/>
        <w:widowControl/>
        <w:numPr>
          <w:ilvl w:val="0"/>
          <w:numId w:val="7"/>
        </w:numPr>
        <w:suppressLineNumbers w:val="0"/>
        <w:kinsoku/>
        <w:wordWrap/>
        <w:overflowPunct/>
        <w:topLinePunct w:val="0"/>
        <w:bidi w:val="0"/>
        <w:snapToGrid/>
        <w:spacing w:line="440" w:lineRule="exact"/>
        <w:ind w:left="420" w:leftChars="0" w:firstLineChars="0"/>
        <w:jc w:val="left"/>
        <w:textAlignment w:val="auto"/>
        <w:rPr>
          <w:rFonts w:hint="eastAsia" w:asciiTheme="minorEastAsia" w:hAnsiTheme="minorEastAsia" w:eastAsiaTheme="minorEastAsia" w:cstheme="minorEastAsia"/>
          <w:b w:val="0"/>
          <w:bCs w:val="0"/>
          <w:color w:val="auto"/>
          <w:kern w:val="0"/>
          <w:sz w:val="24"/>
          <w:szCs w:val="24"/>
          <w:highlight w:val="none"/>
          <w:lang w:val="en-US" w:eastAsia="zh-CN" w:bidi="ar"/>
        </w:rPr>
      </w:pPr>
      <w:r>
        <w:rPr>
          <w:rFonts w:hint="eastAsia" w:asciiTheme="minorEastAsia" w:hAnsiTheme="minorEastAsia" w:eastAsiaTheme="minorEastAsia" w:cstheme="minorEastAsia"/>
          <w:b w:val="0"/>
          <w:bCs w:val="0"/>
          <w:color w:val="auto"/>
          <w:sz w:val="24"/>
          <w:szCs w:val="24"/>
          <w:highlight w:val="none"/>
          <w:lang w:val="en-US" w:eastAsia="zh-CN"/>
        </w:rPr>
        <w:t>投标</w:t>
      </w:r>
      <w:r>
        <w:rPr>
          <w:rFonts w:hint="eastAsia" w:asciiTheme="minorEastAsia" w:hAnsiTheme="minorEastAsia" w:eastAsiaTheme="minorEastAsia" w:cstheme="minorEastAsia"/>
          <w:b w:val="0"/>
          <w:bCs w:val="0"/>
          <w:color w:val="auto"/>
          <w:sz w:val="24"/>
          <w:szCs w:val="24"/>
          <w:highlight w:val="none"/>
        </w:rPr>
        <w:t>报价</w:t>
      </w:r>
    </w:p>
    <w:p w14:paraId="357BF58B">
      <w:pPr>
        <w:pStyle w:val="16"/>
        <w:keepNext w:val="0"/>
        <w:keepLines w:val="0"/>
        <w:pageBreakBefore w:val="0"/>
        <w:numPr>
          <w:ilvl w:val="0"/>
          <w:numId w:val="9"/>
        </w:numPr>
        <w:kinsoku/>
        <w:wordWrap/>
        <w:overflowPunct/>
        <w:topLinePunct w:val="0"/>
        <w:bidi w:val="0"/>
        <w:snapToGrid/>
        <w:spacing w:line="440" w:lineRule="exact"/>
        <w:ind w:left="0" w:leftChars="0" w:firstLine="240" w:firstLineChars="1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报价单位：</w:t>
      </w:r>
      <w:r>
        <w:rPr>
          <w:rFonts w:hint="eastAsia" w:asciiTheme="minorEastAsia" w:hAnsiTheme="minorEastAsia" w:eastAsiaTheme="minorEastAsia" w:cstheme="minorEastAsia"/>
          <w:color w:val="auto"/>
          <w:sz w:val="24"/>
          <w:szCs w:val="24"/>
          <w:highlight w:val="none"/>
        </w:rPr>
        <w:t>人民币元</w:t>
      </w:r>
      <w:r>
        <w:rPr>
          <w:rFonts w:hint="eastAsia" w:asciiTheme="minorEastAsia" w:hAnsiTheme="minorEastAsia" w:eastAsiaTheme="minorEastAsia" w:cstheme="minorEastAsia"/>
          <w:color w:val="auto"/>
          <w:sz w:val="24"/>
          <w:szCs w:val="24"/>
          <w:highlight w:val="none"/>
          <w:lang w:eastAsia="zh-CN"/>
        </w:rPr>
        <w:t>。</w:t>
      </w:r>
    </w:p>
    <w:p w14:paraId="17347BD6">
      <w:pPr>
        <w:pStyle w:val="16"/>
        <w:keepNext w:val="0"/>
        <w:keepLines w:val="0"/>
        <w:pageBreakBefore w:val="0"/>
        <w:numPr>
          <w:ilvl w:val="0"/>
          <w:numId w:val="9"/>
        </w:numPr>
        <w:kinsoku/>
        <w:wordWrap/>
        <w:overflowPunct/>
        <w:topLinePunct w:val="0"/>
        <w:bidi w:val="0"/>
        <w:snapToGrid/>
        <w:spacing w:line="440" w:lineRule="exact"/>
        <w:ind w:left="0" w:leftChars="0" w:firstLine="240" w:firstLineChars="10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投标人需充分了解招标项目服务工作范围、内容、承包方式及服务标准的要求，按照企业自身实力和实施经验进行报价，同时要充分考虑本项目的具体情况、市场竞争因素及各种风险。报价应包括合同签订到交付验收、执行过程中所包含的所有费用（包含但不限于：方案设计策划和物料制作的执行成本，以及工商、税务、利润及人工等全部费用）</w:t>
      </w:r>
      <w:r>
        <w:rPr>
          <w:rFonts w:hint="eastAsia" w:asciiTheme="minorEastAsia" w:hAnsiTheme="minorEastAsia" w:cstheme="minorEastAsia"/>
          <w:color w:val="auto"/>
          <w:kern w:val="2"/>
          <w:sz w:val="24"/>
          <w:szCs w:val="24"/>
          <w:highlight w:val="none"/>
          <w:lang w:val="en-US" w:eastAsia="zh-CN" w:bidi="ar-SA"/>
        </w:rPr>
        <w:t>，</w:t>
      </w:r>
      <w:r>
        <w:rPr>
          <w:rFonts w:hint="eastAsia" w:asciiTheme="minorEastAsia" w:hAnsiTheme="minorEastAsia" w:cstheme="minorEastAsia"/>
          <w:color w:val="auto"/>
          <w:kern w:val="0"/>
          <w:sz w:val="24"/>
          <w:szCs w:val="24"/>
          <w:highlight w:val="none"/>
          <w:lang w:val="en-US" w:eastAsia="zh-CN" w:bidi="ar"/>
        </w:rPr>
        <w:t>投标单位报价必须涵盖所有类目，否则为无效投标。</w:t>
      </w:r>
    </w:p>
    <w:p w14:paraId="660AF89B">
      <w:pPr>
        <w:pStyle w:val="16"/>
        <w:keepNext w:val="0"/>
        <w:keepLines w:val="0"/>
        <w:pageBreakBefore w:val="0"/>
        <w:numPr>
          <w:ilvl w:val="0"/>
          <w:numId w:val="9"/>
        </w:numPr>
        <w:kinsoku/>
        <w:wordWrap/>
        <w:overflowPunct/>
        <w:topLinePunct w:val="0"/>
        <w:bidi w:val="0"/>
        <w:snapToGrid/>
        <w:spacing w:line="440" w:lineRule="exact"/>
        <w:ind w:left="0" w:leftChars="0" w:firstLine="240" w:firstLineChars="10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投标人必须按照招标文件规定的格式和内容进行报价，报价格式可以扩展，但不得少于招标文件中规定的报价内容。对于投标人在投标报价中没有列出相应内容的服务项目，招标人将视为该项目的价格已包含在投标总价中。</w:t>
      </w:r>
    </w:p>
    <w:p w14:paraId="5B64A91C">
      <w:pPr>
        <w:pStyle w:val="16"/>
        <w:keepNext w:val="0"/>
        <w:keepLines w:val="0"/>
        <w:pageBreakBefore w:val="0"/>
        <w:numPr>
          <w:ilvl w:val="0"/>
          <w:numId w:val="9"/>
        </w:numPr>
        <w:kinsoku/>
        <w:wordWrap/>
        <w:overflowPunct/>
        <w:topLinePunct w:val="0"/>
        <w:bidi w:val="0"/>
        <w:snapToGrid/>
        <w:spacing w:line="440" w:lineRule="exact"/>
        <w:ind w:left="0" w:leftChars="0" w:firstLine="240" w:firstLineChars="100"/>
        <w:textAlignment w:val="auto"/>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SA"/>
        </w:rPr>
        <w:t>如本项目在实施过程中发现，投标方未根据招标文件要求报价，但确属完成本项目所必需的工序，投标方应免费完成该项目。若因需求变化产生新增项目，可由双方共同协商确定。</w:t>
      </w:r>
    </w:p>
    <w:p w14:paraId="13923FB6">
      <w:pPr>
        <w:pStyle w:val="4"/>
        <w:spacing w:line="360" w:lineRule="auto"/>
        <w:rPr>
          <w:rFonts w:hint="eastAsia" w:ascii="黑体" w:hAnsi="黑体" w:eastAsia="黑体" w:cs="Times New Roman"/>
          <w:color w:val="auto"/>
          <w:kern w:val="2"/>
          <w:sz w:val="28"/>
          <w:szCs w:val="24"/>
          <w:lang w:val="en-US" w:eastAsia="zh-CN" w:bidi="ar-SA"/>
        </w:rPr>
      </w:pPr>
      <w:r>
        <w:rPr>
          <w:rFonts w:hint="eastAsia" w:ascii="黑体" w:hAnsi="黑体" w:eastAsia="黑体" w:cs="Times New Roman"/>
          <w:color w:val="auto"/>
          <w:kern w:val="2"/>
          <w:sz w:val="28"/>
          <w:szCs w:val="24"/>
          <w:lang w:val="en-US" w:eastAsia="zh-CN" w:bidi="ar-SA"/>
        </w:rPr>
        <w:t>十二、最终解释权</w:t>
      </w:r>
    </w:p>
    <w:p w14:paraId="723E402E">
      <w:pPr>
        <w:pStyle w:val="4"/>
        <w:spacing w:line="360" w:lineRule="auto"/>
        <w:ind w:firstLine="480" w:firstLineChars="200"/>
        <w:rPr>
          <w:rFonts w:hint="eastAsia" w:ascii="宋体" w:hAnsi="宋体" w:eastAsia="宋体" w:cstheme="minorBidi"/>
          <w:color w:val="auto"/>
          <w:kern w:val="2"/>
          <w:sz w:val="24"/>
          <w:szCs w:val="24"/>
          <w:lang w:val="en-US" w:eastAsia="zh-CN" w:bidi="ar-SA"/>
        </w:rPr>
      </w:pPr>
      <w:r>
        <w:rPr>
          <w:rFonts w:hint="eastAsia" w:ascii="宋体" w:hAnsi="宋体" w:eastAsia="宋体" w:cstheme="minorBidi"/>
          <w:color w:val="auto"/>
          <w:kern w:val="2"/>
          <w:sz w:val="24"/>
          <w:szCs w:val="24"/>
          <w:lang w:val="en-US" w:eastAsia="zh-CN" w:bidi="ar-SA"/>
        </w:rPr>
        <w:t>本次招标最终解释权归中国重汽集团成都王牌商用车有限公司所有。</w:t>
      </w:r>
    </w:p>
    <w:p w14:paraId="6624D5BD">
      <w:pPr>
        <w:rPr>
          <w:rFonts w:hint="eastAsia"/>
          <w:color w:val="auto"/>
          <w:lang w:val="en-US" w:eastAsia="zh-CN"/>
        </w:rPr>
      </w:pPr>
    </w:p>
    <w:p w14:paraId="1427DC16">
      <w:pPr>
        <w:rPr>
          <w:rFonts w:hint="eastAsia"/>
          <w:color w:val="auto"/>
          <w:lang w:val="en-US" w:eastAsia="zh-CN"/>
        </w:rPr>
      </w:pPr>
    </w:p>
    <w:p w14:paraId="63343CA5">
      <w:pPr>
        <w:rPr>
          <w:rFonts w:hint="eastAsia"/>
          <w:color w:val="auto"/>
          <w:lang w:val="en-US" w:eastAsia="zh-CN"/>
        </w:rPr>
      </w:pPr>
    </w:p>
    <w:p w14:paraId="0D8DE330">
      <w:pPr>
        <w:spacing w:line="360" w:lineRule="auto"/>
        <w:jc w:val="center"/>
        <w:rPr>
          <w:rFonts w:ascii="黑体" w:hAnsi="黑体" w:eastAsia="黑体"/>
          <w:color w:val="auto"/>
          <w:sz w:val="36"/>
          <w:szCs w:val="24"/>
        </w:rPr>
      </w:pPr>
      <w:r>
        <w:rPr>
          <w:rFonts w:hint="eastAsia" w:ascii="黑体" w:hAnsi="黑体" w:eastAsia="黑体"/>
          <w:color w:val="auto"/>
          <w:sz w:val="36"/>
          <w:szCs w:val="24"/>
        </w:rPr>
        <w:t>第二章</w:t>
      </w:r>
      <w:r>
        <w:rPr>
          <w:rFonts w:hint="eastAsia" w:ascii="黑体" w:hAnsi="黑体" w:eastAsia="黑体"/>
          <w:color w:val="auto"/>
          <w:sz w:val="36"/>
          <w:szCs w:val="24"/>
          <w:lang w:val="en-US" w:eastAsia="zh-CN"/>
        </w:rPr>
        <w:t xml:space="preserve"> </w:t>
      </w:r>
      <w:r>
        <w:rPr>
          <w:rFonts w:hint="eastAsia" w:ascii="黑体" w:hAnsi="黑体" w:eastAsia="黑体"/>
          <w:color w:val="auto"/>
          <w:sz w:val="36"/>
          <w:szCs w:val="24"/>
        </w:rPr>
        <w:t>技术规范与评标</w:t>
      </w:r>
    </w:p>
    <w:p w14:paraId="03F22F3F">
      <w:pPr>
        <w:keepNext w:val="0"/>
        <w:keepLines w:val="0"/>
        <w:pageBreakBefore w:val="0"/>
        <w:widowControl/>
        <w:numPr>
          <w:ilvl w:val="0"/>
          <w:numId w:val="0"/>
        </w:numPr>
        <w:suppressLineNumbers w:val="0"/>
        <w:kinsoku/>
        <w:wordWrap/>
        <w:overflowPunct/>
        <w:topLinePunct w:val="0"/>
        <w:bidi w:val="0"/>
        <w:snapToGrid/>
        <w:spacing w:line="440" w:lineRule="exact"/>
        <w:jc w:val="left"/>
        <w:textAlignment w:val="auto"/>
        <w:rPr>
          <w:rFonts w:hint="eastAsia" w:ascii="黑体" w:hAnsi="黑体" w:eastAsia="黑体" w:cs="黑体"/>
          <w:b w:val="0"/>
          <w:bCs w:val="0"/>
          <w:color w:val="auto"/>
          <w:kern w:val="0"/>
          <w:sz w:val="28"/>
          <w:szCs w:val="28"/>
          <w:highlight w:val="none"/>
          <w:lang w:val="en-US" w:eastAsia="zh-CN" w:bidi="ar"/>
        </w:rPr>
      </w:pPr>
    </w:p>
    <w:p w14:paraId="2FDBE181">
      <w:pPr>
        <w:keepNext w:val="0"/>
        <w:keepLines w:val="0"/>
        <w:pageBreakBefore w:val="0"/>
        <w:widowControl/>
        <w:numPr>
          <w:ilvl w:val="0"/>
          <w:numId w:val="10"/>
        </w:numPr>
        <w:suppressLineNumbers w:val="0"/>
        <w:kinsoku/>
        <w:wordWrap/>
        <w:overflowPunct/>
        <w:topLinePunct w:val="0"/>
        <w:bidi w:val="0"/>
        <w:snapToGrid/>
        <w:spacing w:line="440" w:lineRule="exact"/>
        <w:jc w:val="left"/>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技术标准</w:t>
      </w:r>
    </w:p>
    <w:p w14:paraId="09C03596">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default" w:asciiTheme="minorEastAsia" w:hAnsi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lang w:val="en-US" w:eastAsia="zh-CN"/>
        </w:rPr>
        <w:t>投标人应与招标人指派的答疑人员充分沟通，</w:t>
      </w:r>
      <w:r>
        <w:rPr>
          <w:rFonts w:hint="eastAsia" w:asciiTheme="minorEastAsia" w:hAnsiTheme="minorEastAsia" w:cstheme="minorEastAsia"/>
          <w:color w:val="auto"/>
          <w:sz w:val="24"/>
          <w:szCs w:val="24"/>
          <w:highlight w:val="none"/>
          <w:lang w:val="en-US" w:eastAsia="zh-CN"/>
        </w:rPr>
        <w:t>充分</w:t>
      </w:r>
      <w:r>
        <w:rPr>
          <w:rFonts w:hint="eastAsia" w:asciiTheme="minorEastAsia" w:hAnsiTheme="minorEastAsia" w:eastAsiaTheme="minorEastAsia" w:cstheme="minorEastAsia"/>
          <w:color w:val="auto"/>
          <w:sz w:val="24"/>
          <w:szCs w:val="24"/>
          <w:highlight w:val="none"/>
          <w:lang w:val="en-US" w:eastAsia="zh-CN"/>
        </w:rPr>
        <w:t>理解并接受相关技术规范及服务要求</w:t>
      </w:r>
      <w:r>
        <w:rPr>
          <w:rFonts w:hint="eastAsia" w:ascii="宋体" w:hAnsi="宋体" w:eastAsia="宋体" w:cstheme="minorBidi"/>
          <w:color w:val="auto"/>
          <w:kern w:val="2"/>
          <w:sz w:val="24"/>
          <w:szCs w:val="24"/>
          <w:lang w:val="en-US" w:eastAsia="zh-CN" w:bidi="ar-SA"/>
        </w:rPr>
        <w:t>，投标时需响应所含类目</w:t>
      </w:r>
      <w:r>
        <w:rPr>
          <w:rFonts w:hint="eastAsia" w:asciiTheme="minorEastAsia" w:hAnsiTheme="minorEastAsia" w:eastAsiaTheme="minorEastAsia" w:cstheme="minorEastAsia"/>
          <w:color w:val="auto"/>
          <w:sz w:val="24"/>
          <w:szCs w:val="24"/>
          <w:highlight w:val="none"/>
          <w:lang w:val="en-US" w:eastAsia="zh-CN"/>
        </w:rPr>
        <w:t>。</w:t>
      </w:r>
    </w:p>
    <w:p w14:paraId="2E5C7099">
      <w:pPr>
        <w:pStyle w:val="16"/>
        <w:keepNext w:val="0"/>
        <w:keepLines w:val="0"/>
        <w:pageBreakBefore w:val="0"/>
        <w:kinsoku/>
        <w:wordWrap/>
        <w:overflowPunct/>
        <w:topLinePunct w:val="0"/>
        <w:bidi w:val="0"/>
        <w:snapToGrid/>
        <w:spacing w:line="440" w:lineRule="exact"/>
        <w:ind w:left="0" w:leftChars="0" w:firstLine="480" w:firstLineChars="200"/>
        <w:textAlignment w:val="auto"/>
        <w:rPr>
          <w:rFonts w:hint="eastAsia" w:asciiTheme="minorEastAsia" w:hAnsiTheme="minorEastAsia" w:eastAsiaTheme="minorEastAsia" w:cstheme="minorEastAsia"/>
          <w:b w:val="0"/>
          <w:bCs w:val="0"/>
          <w:color w:val="auto"/>
          <w:kern w:val="0"/>
          <w:sz w:val="24"/>
          <w:szCs w:val="24"/>
          <w:highlight w:val="none"/>
          <w:lang w:val="en-US" w:eastAsia="zh-CN" w:bidi="ar"/>
        </w:rPr>
      </w:pPr>
      <w:r>
        <w:rPr>
          <w:rFonts w:hint="eastAsia" w:asciiTheme="minorEastAsia" w:hAnsiTheme="minorEastAsia" w:cstheme="minorEastAsia"/>
          <w:b w:val="0"/>
          <w:bCs w:val="0"/>
          <w:color w:val="auto"/>
          <w:kern w:val="0"/>
          <w:sz w:val="24"/>
          <w:szCs w:val="24"/>
          <w:highlight w:val="none"/>
          <w:lang w:val="en-US" w:eastAsia="zh-CN" w:bidi="ar"/>
        </w:rPr>
        <w:t>2</w:t>
      </w:r>
      <w:r>
        <w:rPr>
          <w:rFonts w:hint="eastAsia" w:asciiTheme="minorEastAsia" w:hAnsiTheme="minorEastAsia" w:eastAsiaTheme="minorEastAsia" w:cstheme="minorEastAsia"/>
          <w:b w:val="0"/>
          <w:bCs w:val="0"/>
          <w:color w:val="auto"/>
          <w:kern w:val="0"/>
          <w:sz w:val="24"/>
          <w:szCs w:val="24"/>
          <w:highlight w:val="none"/>
          <w:lang w:val="en-US" w:eastAsia="zh-CN" w:bidi="ar"/>
        </w:rPr>
        <w:t>、项目服务内容</w:t>
      </w:r>
    </w:p>
    <w:p w14:paraId="32910CA9">
      <w:pPr>
        <w:pStyle w:val="1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（1）活动策划与执行：</w:t>
      </w:r>
    </w:p>
    <w:p w14:paraId="7ED0E770">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品牌发布会、新品上市会、全国巡回路演、线上营销活动、及其它临时性活动等的创意策划、流程设计、场地布置、嘉宾邀约、活动执行、媒体宣传等全流程服务。</w:t>
      </w:r>
    </w:p>
    <w:p w14:paraId="3A614F31">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（2）物料制作与供应：</w:t>
      </w:r>
    </w:p>
    <w:p w14:paraId="4289A157">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宣传物料：视觉设计、配套延展、视频制作、H5页面、电子邀请函、活动手册等。</w:t>
      </w:r>
    </w:p>
    <w:p w14:paraId="08795028">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文稿编写</w:t>
      </w:r>
      <w:r>
        <w:rPr>
          <w:rFonts w:hint="eastAsia" w:asciiTheme="minorEastAsia" w:hAnsi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lang w:val="en-US" w:eastAsia="zh-CN"/>
        </w:rPr>
        <w:t>发言稿、Q&amp;A、PPT、台本、串词、宣传稿件等</w:t>
      </w:r>
      <w:r>
        <w:rPr>
          <w:rFonts w:hint="eastAsia" w:asciiTheme="minorEastAsia" w:hAnsiTheme="minorEastAsia" w:cstheme="minorEastAsia"/>
          <w:color w:val="auto"/>
          <w:sz w:val="24"/>
          <w:szCs w:val="24"/>
          <w:highlight w:val="none"/>
          <w:lang w:val="en-US" w:eastAsia="zh-CN"/>
        </w:rPr>
        <w:t>。</w:t>
      </w:r>
    </w:p>
    <w:p w14:paraId="7058A0F8">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现场物料：舞美设备、背景板、导视系统、礼品定制、互动装置</w:t>
      </w:r>
      <w:r>
        <w:rPr>
          <w:rFonts w:hint="eastAsia" w:asciiTheme="minorEastAsia" w:hAnsiTheme="minorEastAsia" w:cstheme="minorEastAsia"/>
          <w:color w:val="auto"/>
          <w:sz w:val="24"/>
          <w:szCs w:val="24"/>
          <w:highlight w:val="none"/>
          <w:lang w:val="en-US" w:eastAsia="zh-CN"/>
        </w:rPr>
        <w:t>以及相应人员支持、技术保障</w:t>
      </w:r>
      <w:r>
        <w:rPr>
          <w:rFonts w:hint="eastAsia" w:asciiTheme="minorEastAsia" w:hAnsiTheme="minorEastAsia" w:eastAsiaTheme="minorEastAsia" w:cstheme="minorEastAsia"/>
          <w:color w:val="auto"/>
          <w:sz w:val="24"/>
          <w:szCs w:val="24"/>
          <w:highlight w:val="none"/>
          <w:lang w:val="en-US" w:eastAsia="zh-CN"/>
        </w:rPr>
        <w:t>等。</w:t>
      </w:r>
    </w:p>
    <w:p w14:paraId="1D67498B">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3、项目</w:t>
      </w:r>
      <w:r>
        <w:rPr>
          <w:rFonts w:hint="eastAsia" w:asciiTheme="minorEastAsia" w:hAnsiTheme="minorEastAsia" w:eastAsiaTheme="minorEastAsia" w:cstheme="minorEastAsia"/>
          <w:color w:val="auto"/>
          <w:sz w:val="24"/>
          <w:szCs w:val="24"/>
          <w:highlight w:val="none"/>
          <w:lang w:val="en-US" w:eastAsia="zh-CN"/>
        </w:rPr>
        <w:t>服务要求</w:t>
      </w:r>
    </w:p>
    <w:p w14:paraId="3E8785BA">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cstheme="minorEastAsia"/>
          <w:color w:val="auto"/>
          <w:sz w:val="24"/>
          <w:szCs w:val="24"/>
          <w:highlight w:val="none"/>
          <w:lang w:val="en-US" w:eastAsia="zh-CN"/>
        </w:rPr>
        <w:t>策划创意及执行落地</w:t>
      </w:r>
      <w:r>
        <w:rPr>
          <w:rFonts w:hint="eastAsia" w:asciiTheme="minorEastAsia" w:hAnsiTheme="minorEastAsia" w:eastAsiaTheme="minorEastAsia" w:cstheme="minorEastAsia"/>
          <w:color w:val="auto"/>
          <w:sz w:val="24"/>
          <w:szCs w:val="24"/>
          <w:highlight w:val="none"/>
          <w:lang w:val="en-US" w:eastAsia="zh-CN"/>
        </w:rPr>
        <w:t>符合中国重汽</w:t>
      </w:r>
      <w:r>
        <w:rPr>
          <w:rFonts w:hint="eastAsia" w:asciiTheme="minorEastAsia" w:hAnsiTheme="minorEastAsia" w:cstheme="minorEastAsia"/>
          <w:color w:val="auto"/>
          <w:sz w:val="24"/>
          <w:szCs w:val="24"/>
          <w:highlight w:val="none"/>
          <w:lang w:val="en-US" w:eastAsia="zh-CN"/>
        </w:rPr>
        <w:t>成都王牌</w:t>
      </w:r>
      <w:r>
        <w:rPr>
          <w:rFonts w:hint="eastAsia" w:asciiTheme="minorEastAsia" w:hAnsiTheme="minorEastAsia" w:eastAsiaTheme="minorEastAsia" w:cstheme="minorEastAsia"/>
          <w:b w:val="0"/>
          <w:bCs w:val="0"/>
          <w:color w:val="auto"/>
          <w:sz w:val="24"/>
          <w:szCs w:val="24"/>
          <w:highlight w:val="none"/>
        </w:rPr>
        <w:t>企业形象</w:t>
      </w:r>
      <w:r>
        <w:rPr>
          <w:rFonts w:hint="eastAsia" w:asciiTheme="minorEastAsia" w:hAnsi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品牌宣传调性、</w:t>
      </w:r>
      <w:r>
        <w:rPr>
          <w:rFonts w:hint="eastAsia" w:asciiTheme="minorEastAsia" w:hAnsiTheme="minorEastAsia" w:cstheme="minorEastAsia"/>
          <w:color w:val="auto"/>
          <w:sz w:val="24"/>
          <w:szCs w:val="24"/>
          <w:highlight w:val="none"/>
          <w:lang w:val="en-US" w:eastAsia="zh-CN"/>
        </w:rPr>
        <w:t>产品</w:t>
      </w:r>
      <w:r>
        <w:rPr>
          <w:rFonts w:hint="eastAsia" w:asciiTheme="minorEastAsia" w:hAnsiTheme="minorEastAsia" w:eastAsiaTheme="minorEastAsia" w:cstheme="minorEastAsia"/>
          <w:color w:val="auto"/>
          <w:sz w:val="24"/>
          <w:szCs w:val="24"/>
          <w:highlight w:val="none"/>
          <w:lang w:val="en-US" w:eastAsia="zh-CN"/>
        </w:rPr>
        <w:t>定位，</w:t>
      </w:r>
      <w:r>
        <w:rPr>
          <w:rFonts w:hint="eastAsia" w:asciiTheme="minorEastAsia" w:hAnsiTheme="minorEastAsia" w:eastAsiaTheme="minorEastAsia" w:cstheme="minorEastAsia"/>
          <w:b w:val="0"/>
          <w:bCs w:val="0"/>
          <w:color w:val="auto"/>
          <w:sz w:val="24"/>
          <w:szCs w:val="24"/>
          <w:highlight w:val="none"/>
        </w:rPr>
        <w:t>有效凸显产品特色，具有较好的视觉吸引力、感染力，具有较强的互动性和可操作性，能够给</w:t>
      </w:r>
      <w:r>
        <w:rPr>
          <w:rFonts w:hint="eastAsia" w:asciiTheme="minorEastAsia" w:hAnsiTheme="minorEastAsia" w:cstheme="minorEastAsia"/>
          <w:b w:val="0"/>
          <w:bCs w:val="0"/>
          <w:color w:val="auto"/>
          <w:sz w:val="24"/>
          <w:szCs w:val="24"/>
          <w:highlight w:val="none"/>
          <w:lang w:val="en-US" w:eastAsia="zh-CN"/>
        </w:rPr>
        <w:t>客户</w:t>
      </w:r>
      <w:r>
        <w:rPr>
          <w:rFonts w:hint="eastAsia" w:asciiTheme="minorEastAsia" w:hAnsiTheme="minorEastAsia" w:eastAsiaTheme="minorEastAsia" w:cstheme="minorEastAsia"/>
          <w:b w:val="0"/>
          <w:bCs w:val="0"/>
          <w:color w:val="auto"/>
          <w:sz w:val="24"/>
          <w:szCs w:val="24"/>
          <w:highlight w:val="none"/>
        </w:rPr>
        <w:t>留下深刻的视觉印象；出具详实的策划</w:t>
      </w:r>
      <w:r>
        <w:rPr>
          <w:rFonts w:hint="eastAsia" w:asciiTheme="minorEastAsia" w:hAnsiTheme="minorEastAsia" w:cstheme="minorEastAsia"/>
          <w:b w:val="0"/>
          <w:bCs w:val="0"/>
          <w:color w:val="auto"/>
          <w:sz w:val="24"/>
          <w:szCs w:val="24"/>
          <w:highlight w:val="none"/>
          <w:lang w:val="en-US" w:eastAsia="zh-CN"/>
        </w:rPr>
        <w:t>策划</w:t>
      </w:r>
      <w:r>
        <w:rPr>
          <w:rFonts w:hint="eastAsia" w:asciiTheme="minorEastAsia" w:hAnsiTheme="minorEastAsia" w:eastAsiaTheme="minorEastAsia" w:cstheme="minorEastAsia"/>
          <w:b w:val="0"/>
          <w:bCs w:val="0"/>
          <w:color w:val="auto"/>
          <w:sz w:val="24"/>
          <w:szCs w:val="24"/>
          <w:highlight w:val="none"/>
        </w:rPr>
        <w:t>方案</w:t>
      </w:r>
      <w:r>
        <w:rPr>
          <w:rFonts w:hint="eastAsia" w:asciiTheme="minorEastAsia" w:hAnsiTheme="minorEastAsia" w:cstheme="minorEastAsia"/>
          <w:b w:val="0"/>
          <w:bCs w:val="0"/>
          <w:color w:val="auto"/>
          <w:sz w:val="24"/>
          <w:szCs w:val="24"/>
          <w:highlight w:val="none"/>
          <w:lang w:val="en-US" w:eastAsia="zh-CN"/>
        </w:rPr>
        <w:t>和</w:t>
      </w:r>
      <w:r>
        <w:rPr>
          <w:rFonts w:hint="eastAsia" w:asciiTheme="minorEastAsia" w:hAnsiTheme="minorEastAsia" w:eastAsiaTheme="minorEastAsia" w:cstheme="minorEastAsia"/>
          <w:b w:val="0"/>
          <w:bCs w:val="0"/>
          <w:color w:val="auto"/>
          <w:sz w:val="24"/>
          <w:szCs w:val="24"/>
          <w:highlight w:val="none"/>
        </w:rPr>
        <w:t>活动报告，编制项目推进周期。</w:t>
      </w:r>
    </w:p>
    <w:p w14:paraId="7F128D16">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（2）具备全国多城市活动同步执行能力，提供应急备选方案。</w:t>
      </w:r>
    </w:p>
    <w:p w14:paraId="56219747">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val="en-US" w:eastAsia="zh-CN"/>
        </w:rPr>
        <w:t>项目执行阶段的其它协调事项，策划和设计内容涉及到侵权行为，由</w:t>
      </w:r>
      <w:r>
        <w:rPr>
          <w:rFonts w:hint="eastAsia" w:asciiTheme="minorEastAsia" w:hAnsiTheme="minorEastAsia" w:cstheme="minorEastAsia"/>
          <w:color w:val="auto"/>
          <w:sz w:val="24"/>
          <w:szCs w:val="24"/>
          <w:highlight w:val="none"/>
          <w:lang w:val="en-US" w:eastAsia="zh-CN"/>
        </w:rPr>
        <w:t>中标方</w:t>
      </w:r>
      <w:r>
        <w:rPr>
          <w:rFonts w:hint="eastAsia" w:asciiTheme="minorEastAsia" w:hAnsiTheme="minorEastAsia" w:eastAsiaTheme="minorEastAsia" w:cstheme="minorEastAsia"/>
          <w:color w:val="auto"/>
          <w:sz w:val="24"/>
          <w:szCs w:val="24"/>
          <w:highlight w:val="none"/>
          <w:lang w:val="en-US" w:eastAsia="zh-CN"/>
        </w:rPr>
        <w:t>一并承担。</w:t>
      </w:r>
    </w:p>
    <w:p w14:paraId="15F3D58D">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lang w:val="en-US" w:eastAsia="zh-CN"/>
        </w:rPr>
        <w:t>项目实施与响应要求及违约责任条款</w:t>
      </w:r>
    </w:p>
    <w:p w14:paraId="42ECF7EA">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val="en-US" w:eastAsia="zh-CN"/>
        </w:rPr>
        <w:t>项目启动时间：投标</w:t>
      </w:r>
      <w:r>
        <w:rPr>
          <w:rFonts w:hint="eastAsia" w:asciiTheme="minorEastAsia" w:hAnsiTheme="minorEastAsia" w:cstheme="minorEastAsia"/>
          <w:color w:val="auto"/>
          <w:sz w:val="24"/>
          <w:szCs w:val="24"/>
          <w:highlight w:val="none"/>
          <w:lang w:val="en-US" w:eastAsia="zh-CN"/>
        </w:rPr>
        <w:t>方接收项目启动指令后</w:t>
      </w:r>
      <w:r>
        <w:rPr>
          <w:rFonts w:hint="eastAsia" w:asciiTheme="minorEastAsia" w:hAnsiTheme="minorEastAsia" w:eastAsiaTheme="minorEastAsia" w:cstheme="minorEastAsia"/>
          <w:color w:val="auto"/>
          <w:sz w:val="24"/>
          <w:szCs w:val="24"/>
          <w:highlight w:val="none"/>
          <w:lang w:val="en-US" w:eastAsia="zh-CN"/>
        </w:rPr>
        <w:t>，需在24小时内正式启动项目，组建项目团队并提交项目启动计划，明确各阶段关键节点和责任人，确保项目按计划推进。若投标方未在规定时间内启动项目，招标方有权解除合同，并要求投标方返还已支付款项，同时承担因此给招标方造成的全部损失。</w:t>
      </w:r>
    </w:p>
    <w:p w14:paraId="68D4FE0F">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val="en-US" w:eastAsia="zh-CN"/>
        </w:rPr>
        <w:t>紧急情况响应：在项目执行期间，如遇紧急情况，投标方需在接到通知后2小时内做出响应，采取有效措施解决问题，避免影响项目进度和质量。若投标方未能在规定时间内响应，导致项目进度延误或出现其他损失，投标方应承担招标方因此遭受的直接经济损失，单次赔偿金额不低于5万元。</w:t>
      </w:r>
    </w:p>
    <w:p w14:paraId="758C4934">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val="en-US" w:eastAsia="zh-CN"/>
        </w:rPr>
        <w:t>节假日响应：对于突发项目，即使遇到法定节假日、周末等非工作日，投标方仍需保持响应能力，确保项目需求得到及时处理。投标方应提前制定节假日应急响应预案，明确应急联系人及联系方式，并在合同签订后提交给招标方备案。若投标方在节假日未按要求响应，导致项目停滞或产生额外费用，投标方应承担全部责任，包括但不限于支付额外的人力成本、设备租赁费用等，同时按照每次5万元向招标方支付违约金。</w:t>
      </w:r>
    </w:p>
    <w:p w14:paraId="3AFFA56F">
      <w:pPr>
        <w:pStyle w:val="16"/>
        <w:keepNext w:val="0"/>
        <w:keepLines w:val="0"/>
        <w:pageBreakBefore w:val="0"/>
        <w:numPr>
          <w:ilvl w:val="0"/>
          <w:numId w:val="0"/>
        </w:numPr>
        <w:kinsoku/>
        <w:wordWrap/>
        <w:overflowPunct/>
        <w:topLinePunct w:val="0"/>
        <w:bidi w:val="0"/>
        <w:snapToGrid/>
        <w:spacing w:line="440" w:lineRule="exact"/>
        <w:ind w:leftChars="0"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lang w:val="en-US" w:eastAsia="zh-CN"/>
        </w:rPr>
        <w:t>价格稳定性：投标方在投标文件中所报价格为项目执行期间的固定价格，不因项目实施时间（包括节假日、紧急情况等）而发生变化。除合同另有约定外，投标方不得因任何理由要求调整价格。若投标方擅自变更价格，招标方有权拒绝支付变更部分款项，并要求投标方按照合同约定价格继续履行合同；若投标方拒绝履行，招标方有权解除合同，并要求投标方按照合同总金额的50%支付违约金，同时赔偿招标方因此遭受的全部损失。</w:t>
      </w:r>
    </w:p>
    <w:p w14:paraId="351A417E">
      <w:pPr>
        <w:pStyle w:val="1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b w:val="0"/>
          <w:bCs w:val="0"/>
          <w:color w:val="auto"/>
          <w:sz w:val="24"/>
          <w:szCs w:val="24"/>
          <w:highlight w:val="none"/>
          <w:lang w:val="en-US" w:eastAsia="zh-CN"/>
        </w:rPr>
        <w:t>5、</w:t>
      </w:r>
      <w:r>
        <w:rPr>
          <w:rFonts w:hint="eastAsia" w:asciiTheme="minorEastAsia" w:hAnsiTheme="minorEastAsia" w:eastAsiaTheme="minorEastAsia" w:cstheme="minorEastAsia"/>
          <w:b w:val="0"/>
          <w:bCs w:val="0"/>
          <w:color w:val="auto"/>
          <w:sz w:val="24"/>
          <w:szCs w:val="24"/>
          <w:highlight w:val="none"/>
        </w:rPr>
        <w:t>项目验收</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rPr>
        <w:t>能</w:t>
      </w:r>
      <w:r>
        <w:rPr>
          <w:rFonts w:hint="eastAsia" w:asciiTheme="minorEastAsia" w:hAnsiTheme="minorEastAsia" w:eastAsiaTheme="minorEastAsia" w:cstheme="minorEastAsia"/>
          <w:color w:val="auto"/>
          <w:sz w:val="24"/>
          <w:szCs w:val="24"/>
          <w:highlight w:val="none"/>
        </w:rPr>
        <w:t>够按照中国重汽</w:t>
      </w:r>
      <w:r>
        <w:rPr>
          <w:rFonts w:hint="eastAsia" w:asciiTheme="minorEastAsia" w:hAnsiTheme="minorEastAsia" w:eastAsiaTheme="minorEastAsia" w:cstheme="minorEastAsia"/>
          <w:color w:val="auto"/>
          <w:sz w:val="24"/>
          <w:szCs w:val="24"/>
          <w:highlight w:val="none"/>
          <w:lang w:val="en-US" w:eastAsia="zh-CN"/>
        </w:rPr>
        <w:t>成都</w:t>
      </w:r>
      <w:r>
        <w:rPr>
          <w:rFonts w:hint="eastAsia" w:asciiTheme="minorEastAsia" w:hAnsiTheme="minorEastAsia" w:cstheme="minorEastAsia"/>
          <w:color w:val="auto"/>
          <w:sz w:val="24"/>
          <w:szCs w:val="24"/>
          <w:highlight w:val="none"/>
          <w:lang w:eastAsia="zh-CN"/>
        </w:rPr>
        <w:t>王牌</w:t>
      </w:r>
      <w:r>
        <w:rPr>
          <w:rFonts w:hint="eastAsia" w:asciiTheme="minorEastAsia" w:hAnsiTheme="minorEastAsia" w:eastAsiaTheme="minorEastAsia" w:cstheme="minorEastAsia"/>
          <w:color w:val="auto"/>
          <w:sz w:val="24"/>
          <w:szCs w:val="24"/>
          <w:highlight w:val="none"/>
        </w:rPr>
        <w:t>的要求，完成项目内容</w:t>
      </w:r>
      <w:r>
        <w:rPr>
          <w:rFonts w:hint="eastAsia" w:asciiTheme="minorEastAsia" w:hAnsi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涉及的所有数据文件、图文</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照片、视频</w:t>
      </w:r>
      <w:r>
        <w:rPr>
          <w:rFonts w:hint="eastAsia" w:asciiTheme="minorEastAsia" w:hAnsiTheme="minorEastAsia" w:eastAsiaTheme="minorEastAsia" w:cstheme="minorEastAsia"/>
          <w:color w:val="auto"/>
          <w:sz w:val="24"/>
          <w:szCs w:val="24"/>
          <w:highlight w:val="none"/>
        </w:rPr>
        <w:t>等过程素材，一并交付。</w:t>
      </w:r>
    </w:p>
    <w:p w14:paraId="7049F7CA">
      <w:pPr>
        <w:pStyle w:val="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color w:val="auto"/>
          <w:sz w:val="24"/>
          <w:szCs w:val="24"/>
          <w:highlight w:val="none"/>
          <w:lang w:val="en-US" w:eastAsia="zh-CN"/>
        </w:rPr>
        <w:t>6、</w:t>
      </w:r>
      <w:r>
        <w:rPr>
          <w:rFonts w:hint="eastAsia" w:ascii="宋体" w:hAnsi="宋体" w:eastAsia="宋体" w:cs="Times New Roman"/>
          <w:color w:val="auto"/>
          <w:kern w:val="2"/>
          <w:sz w:val="24"/>
          <w:szCs w:val="24"/>
          <w:lang w:val="en-US" w:eastAsia="zh-CN" w:bidi="ar-SA"/>
        </w:rPr>
        <w:t>招标人保留从所有投标文件中选择的权利，不保证最低价中标。</w:t>
      </w:r>
      <w:r>
        <w:rPr>
          <w:rFonts w:hint="eastAsia" w:asciiTheme="minorEastAsia" w:hAnsiTheme="minorEastAsia" w:eastAsiaTheme="minorEastAsia" w:cstheme="minorEastAsia"/>
          <w:color w:val="auto"/>
          <w:kern w:val="0"/>
          <w:sz w:val="24"/>
          <w:szCs w:val="24"/>
          <w:highlight w:val="none"/>
          <w:lang w:val="en-US" w:eastAsia="zh-CN" w:bidi="ar"/>
        </w:rPr>
        <w:t>投标人一旦中标后，所涉及相关的知识产权均属招标人所有。</w:t>
      </w:r>
    </w:p>
    <w:p w14:paraId="53A649FB">
      <w:pPr>
        <w:keepNext w:val="0"/>
        <w:keepLines w:val="0"/>
        <w:pageBreakBefore w:val="0"/>
        <w:widowControl/>
        <w:numPr>
          <w:ilvl w:val="0"/>
          <w:numId w:val="0"/>
        </w:numPr>
        <w:suppressLineNumbers w:val="0"/>
        <w:kinsoku/>
        <w:wordWrap/>
        <w:overflowPunct/>
        <w:topLinePunct w:val="0"/>
        <w:bidi w:val="0"/>
        <w:snapToGrid/>
        <w:spacing w:line="440" w:lineRule="exact"/>
        <w:jc w:val="left"/>
        <w:textAlignment w:val="auto"/>
        <w:rPr>
          <w:rFonts w:hint="eastAsia" w:ascii="黑体" w:hAnsi="黑体" w:eastAsia="黑体" w:cs="黑体"/>
          <w:b w:val="0"/>
          <w:bCs w:val="0"/>
          <w:color w:val="auto"/>
          <w:kern w:val="0"/>
          <w:sz w:val="28"/>
          <w:szCs w:val="28"/>
          <w:highlight w:val="none"/>
          <w:lang w:val="en-US" w:eastAsia="zh-CN" w:bidi="ar"/>
        </w:rPr>
      </w:pPr>
      <w:r>
        <w:rPr>
          <w:rFonts w:hint="eastAsia" w:ascii="黑体" w:hAnsi="黑体" w:eastAsia="黑体" w:cs="黑体"/>
          <w:b w:val="0"/>
          <w:bCs w:val="0"/>
          <w:color w:val="auto"/>
          <w:kern w:val="0"/>
          <w:sz w:val="28"/>
          <w:szCs w:val="28"/>
          <w:highlight w:val="none"/>
          <w:lang w:val="en-US" w:eastAsia="zh-CN" w:bidi="ar"/>
        </w:rPr>
        <w:t>二、评分标准</w:t>
      </w:r>
    </w:p>
    <w:p w14:paraId="6D8B1F92">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rPr>
        <w:t>1</w:t>
      </w:r>
      <w:r>
        <w:rPr>
          <w:rFonts w:hint="eastAsia" w:ascii="宋体" w:hAnsi="宋体" w:cstheme="minorBidi"/>
          <w:color w:val="auto"/>
          <w:sz w:val="24"/>
          <w:szCs w:val="24"/>
          <w:lang w:eastAsia="zh-CN"/>
        </w:rPr>
        <w:t>、</w:t>
      </w:r>
      <w:r>
        <w:rPr>
          <w:rFonts w:hint="eastAsia" w:ascii="宋体" w:hAnsi="宋体" w:cstheme="minorBidi"/>
          <w:color w:val="auto"/>
          <w:sz w:val="24"/>
          <w:szCs w:val="24"/>
        </w:rPr>
        <w:t>招标人将坚持“公开、公平、公正”原则，严格按照国家法律法规及公司规章制度要求，设立专家评审小组进行招标评审。</w:t>
      </w:r>
    </w:p>
    <w:p w14:paraId="336611CE">
      <w:pPr>
        <w:pStyle w:val="4"/>
        <w:spacing w:line="360" w:lineRule="auto"/>
        <w:ind w:firstLine="480" w:firstLineChars="200"/>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2</w:t>
      </w:r>
      <w:r>
        <w:rPr>
          <w:rFonts w:hint="eastAsia" w:ascii="宋体"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评标开始前，招标方对投标</w:t>
      </w:r>
      <w:r>
        <w:rPr>
          <w:rFonts w:hint="eastAsia" w:ascii="宋体" w:hAnsi="宋体" w:cstheme="minorBidi"/>
          <w:color w:val="auto"/>
          <w:kern w:val="2"/>
          <w:sz w:val="24"/>
          <w:szCs w:val="24"/>
          <w:lang w:val="en-US" w:eastAsia="zh-CN" w:bidi="ar-SA"/>
        </w:rPr>
        <w:t>单位</w:t>
      </w:r>
      <w:r>
        <w:rPr>
          <w:rFonts w:hint="eastAsia" w:ascii="宋体" w:hAnsi="宋体" w:eastAsiaTheme="minorEastAsia" w:cstheme="minorBidi"/>
          <w:color w:val="auto"/>
          <w:kern w:val="2"/>
          <w:sz w:val="24"/>
          <w:szCs w:val="24"/>
          <w:lang w:val="en-US" w:eastAsia="zh-CN" w:bidi="ar-SA"/>
        </w:rPr>
        <w:t>进行在线资质文件预审（时间：开标前3个自然日前），开标当日评审小组对投标</w:t>
      </w:r>
      <w:r>
        <w:rPr>
          <w:rFonts w:hint="eastAsia" w:ascii="宋体" w:hAnsi="宋体" w:cstheme="minorBidi"/>
          <w:color w:val="auto"/>
          <w:kern w:val="2"/>
          <w:sz w:val="24"/>
          <w:szCs w:val="24"/>
          <w:lang w:val="en-US" w:eastAsia="zh-CN" w:bidi="ar-SA"/>
        </w:rPr>
        <w:t>单位</w:t>
      </w:r>
      <w:r>
        <w:rPr>
          <w:rFonts w:hint="eastAsia" w:ascii="宋体" w:hAnsi="宋体" w:eastAsiaTheme="minorEastAsia" w:cstheme="minorBidi"/>
          <w:color w:val="auto"/>
          <w:kern w:val="2"/>
          <w:sz w:val="24"/>
          <w:szCs w:val="24"/>
          <w:lang w:val="en-US" w:eastAsia="zh-CN" w:bidi="ar-SA"/>
        </w:rPr>
        <w:t>进行现场资格复核，资格审查内容符合招标要求的合格</w:t>
      </w:r>
      <w:r>
        <w:rPr>
          <w:rFonts w:hint="eastAsia" w:ascii="宋体" w:hAnsi="宋体" w:cstheme="minorBidi"/>
          <w:color w:val="auto"/>
          <w:kern w:val="2"/>
          <w:sz w:val="24"/>
          <w:szCs w:val="24"/>
          <w:lang w:val="en-US" w:eastAsia="zh-CN" w:bidi="ar-SA"/>
        </w:rPr>
        <w:t>投标人</w:t>
      </w:r>
      <w:r>
        <w:rPr>
          <w:rFonts w:hint="eastAsia" w:ascii="宋体" w:hAnsi="宋体" w:eastAsiaTheme="minorEastAsia" w:cstheme="minorBidi"/>
          <w:color w:val="auto"/>
          <w:kern w:val="2"/>
          <w:sz w:val="24"/>
          <w:szCs w:val="24"/>
          <w:lang w:val="en-US" w:eastAsia="zh-CN" w:bidi="ar-SA"/>
        </w:rPr>
        <w:t>进入技术评审。</w:t>
      </w:r>
    </w:p>
    <w:p w14:paraId="4B93C98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3</w:t>
      </w:r>
      <w:r>
        <w:rPr>
          <w:rFonts w:hint="eastAsia" w:ascii="宋体"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评审小组专家成员先进行技术标</w:t>
      </w:r>
      <w:r>
        <w:rPr>
          <w:rFonts w:hint="eastAsia" w:ascii="宋体" w:hAnsi="宋体" w:cstheme="minorBidi"/>
          <w:color w:val="auto"/>
          <w:kern w:val="2"/>
          <w:sz w:val="24"/>
          <w:szCs w:val="24"/>
          <w:lang w:val="en-US" w:eastAsia="zh-CN" w:bidi="ar-SA"/>
        </w:rPr>
        <w:t>评议</w:t>
      </w:r>
      <w:r>
        <w:rPr>
          <w:rFonts w:hint="eastAsia" w:ascii="宋体" w:hAnsi="宋体" w:eastAsiaTheme="minorEastAsia" w:cstheme="minorBidi"/>
          <w:color w:val="auto"/>
          <w:kern w:val="2"/>
          <w:sz w:val="24"/>
          <w:szCs w:val="24"/>
          <w:lang w:val="en-US" w:eastAsia="zh-CN" w:bidi="ar-SA"/>
        </w:rPr>
        <w:t>、后进行商务标</w:t>
      </w:r>
      <w:r>
        <w:rPr>
          <w:rFonts w:hint="eastAsia" w:ascii="宋体" w:hAnsi="宋体" w:cstheme="minorBidi"/>
          <w:color w:val="auto"/>
          <w:kern w:val="2"/>
          <w:sz w:val="24"/>
          <w:szCs w:val="24"/>
          <w:lang w:val="en-US" w:eastAsia="zh-CN" w:bidi="ar-SA"/>
        </w:rPr>
        <w:t>评议</w:t>
      </w:r>
      <w:r>
        <w:rPr>
          <w:rFonts w:hint="eastAsia" w:ascii="宋体" w:hAnsi="宋体" w:eastAsiaTheme="minorEastAsia" w:cstheme="minorBidi"/>
          <w:color w:val="auto"/>
          <w:kern w:val="2"/>
          <w:sz w:val="24"/>
          <w:szCs w:val="24"/>
          <w:lang w:val="en-US" w:eastAsia="zh-CN" w:bidi="ar-SA"/>
        </w:rPr>
        <w:t>。本次招标的评标方式为综合评标法，其中技术标占比40%，商务标占比60%。技术标总分100分，得分</w:t>
      </w:r>
      <w:r>
        <w:rPr>
          <w:rFonts w:hint="eastAsia" w:ascii="宋体" w:hAnsi="宋体" w:cstheme="minorBidi"/>
          <w:color w:val="auto"/>
          <w:kern w:val="2"/>
          <w:sz w:val="24"/>
          <w:szCs w:val="24"/>
          <w:lang w:val="en-US" w:eastAsia="zh-CN" w:bidi="ar-SA"/>
        </w:rPr>
        <w:t>达</w:t>
      </w:r>
      <w:r>
        <w:rPr>
          <w:rFonts w:hint="eastAsia" w:ascii="宋体" w:hAnsi="宋体" w:eastAsiaTheme="minorEastAsia" w:cstheme="minorBidi"/>
          <w:color w:val="auto"/>
          <w:kern w:val="2"/>
          <w:sz w:val="24"/>
          <w:szCs w:val="24"/>
          <w:lang w:val="en-US" w:eastAsia="zh-CN" w:bidi="ar-SA"/>
        </w:rPr>
        <w:t>80分及以上入围商务标</w:t>
      </w:r>
      <w:r>
        <w:rPr>
          <w:rFonts w:hint="eastAsia" w:ascii="宋体"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商务标总分100分</w:t>
      </w:r>
      <w:r>
        <w:rPr>
          <w:rFonts w:hint="eastAsia" w:ascii="宋体" w:hAnsi="宋体" w:cstheme="minorBidi"/>
          <w:color w:val="auto"/>
          <w:kern w:val="2"/>
          <w:sz w:val="24"/>
          <w:szCs w:val="24"/>
          <w:lang w:val="en-US" w:eastAsia="zh-CN" w:bidi="ar-SA"/>
        </w:rPr>
        <w:t>，</w:t>
      </w:r>
      <w:r>
        <w:rPr>
          <w:rFonts w:hint="eastAsia" w:asciiTheme="minorEastAsia" w:hAnsiTheme="minorEastAsia" w:eastAsiaTheme="minorEastAsia" w:cstheme="minorEastAsia"/>
          <w:color w:val="auto"/>
          <w:kern w:val="0"/>
          <w:sz w:val="24"/>
          <w:szCs w:val="24"/>
          <w:highlight w:val="none"/>
        </w:rPr>
        <w:t>按</w:t>
      </w:r>
      <w:r>
        <w:rPr>
          <w:rFonts w:hint="eastAsia" w:asciiTheme="minorEastAsia" w:hAnsiTheme="minorEastAsia" w:cstheme="minorEastAsia"/>
          <w:color w:val="auto"/>
          <w:kern w:val="0"/>
          <w:sz w:val="24"/>
          <w:szCs w:val="24"/>
          <w:highlight w:val="none"/>
          <w:lang w:val="en-US" w:eastAsia="zh-CN"/>
        </w:rPr>
        <w:t>预估</w:t>
      </w:r>
      <w:r>
        <w:rPr>
          <w:rFonts w:hint="eastAsia" w:asciiTheme="minorEastAsia" w:hAnsiTheme="minorEastAsia" w:eastAsiaTheme="minorEastAsia" w:cstheme="minorEastAsia"/>
          <w:color w:val="auto"/>
          <w:kern w:val="0"/>
          <w:sz w:val="24"/>
          <w:szCs w:val="24"/>
          <w:highlight w:val="none"/>
        </w:rPr>
        <w:t>项目</w:t>
      </w:r>
      <w:r>
        <w:rPr>
          <w:rFonts w:hint="eastAsia" w:asciiTheme="minorEastAsia" w:hAnsiTheme="minorEastAsia" w:cstheme="minorEastAsia"/>
          <w:color w:val="auto"/>
          <w:kern w:val="0"/>
          <w:sz w:val="24"/>
          <w:szCs w:val="24"/>
          <w:highlight w:val="none"/>
          <w:lang w:val="en-US" w:eastAsia="zh-CN"/>
        </w:rPr>
        <w:t>规模</w:t>
      </w:r>
      <w:r>
        <w:rPr>
          <w:rFonts w:hint="eastAsia" w:asciiTheme="minorEastAsia" w:hAnsiTheme="minorEastAsia" w:eastAsiaTheme="minorEastAsia" w:cstheme="minorEastAsia"/>
          <w:color w:val="auto"/>
          <w:kern w:val="0"/>
          <w:sz w:val="24"/>
          <w:szCs w:val="24"/>
          <w:highlight w:val="none"/>
        </w:rPr>
        <w:t>进行</w:t>
      </w:r>
      <w:r>
        <w:rPr>
          <w:rFonts w:hint="eastAsia" w:asciiTheme="minorEastAsia" w:hAnsiTheme="minorEastAsia" w:cstheme="minorEastAsia"/>
          <w:color w:val="auto"/>
          <w:kern w:val="0"/>
          <w:sz w:val="24"/>
          <w:szCs w:val="24"/>
          <w:highlight w:val="none"/>
          <w:lang w:val="en-US" w:eastAsia="zh-CN"/>
        </w:rPr>
        <w:t>单场次</w:t>
      </w:r>
      <w:r>
        <w:rPr>
          <w:rFonts w:hint="eastAsia" w:asciiTheme="minorEastAsia" w:hAnsiTheme="minorEastAsia" w:eastAsiaTheme="minorEastAsia" w:cstheme="minorEastAsia"/>
          <w:color w:val="auto"/>
          <w:kern w:val="0"/>
          <w:sz w:val="24"/>
          <w:szCs w:val="24"/>
          <w:highlight w:val="none"/>
        </w:rPr>
        <w:t>报价</w:t>
      </w:r>
      <w:r>
        <w:rPr>
          <w:rFonts w:hint="eastAsia" w:asciiTheme="minorEastAsia" w:hAnsiTheme="minorEastAsia" w:cstheme="minorEastAsia"/>
          <w:color w:val="auto"/>
          <w:kern w:val="0"/>
          <w:sz w:val="24"/>
          <w:szCs w:val="24"/>
          <w:highlight w:val="none"/>
          <w:lang w:eastAsia="zh-CN"/>
        </w:rPr>
        <w:t>，</w:t>
      </w:r>
      <w:r>
        <w:rPr>
          <w:rFonts w:hint="eastAsia" w:asciiTheme="minorEastAsia" w:hAnsiTheme="minorEastAsia" w:cstheme="minorEastAsia"/>
          <w:color w:val="auto"/>
          <w:kern w:val="0"/>
          <w:sz w:val="24"/>
          <w:szCs w:val="24"/>
          <w:highlight w:val="none"/>
          <w:lang w:val="en-US" w:eastAsia="zh-CN"/>
        </w:rPr>
        <w:t>按预估场次计算总报价</w:t>
      </w:r>
      <w:r>
        <w:rPr>
          <w:rFonts w:hint="eastAsia" w:asciiTheme="minorEastAsia" w:hAnsiTheme="minorEastAsia" w:eastAsiaTheme="minorEastAsia" w:cstheme="minorEastAsia"/>
          <w:color w:val="auto"/>
          <w:kern w:val="0"/>
          <w:sz w:val="24"/>
          <w:szCs w:val="24"/>
          <w:highlight w:val="none"/>
        </w:rPr>
        <w:t>。报价采用低价优先法计算，以满足招标文件要求且报价最低的投标报价为评标基准价，</w:t>
      </w:r>
      <w:r>
        <w:rPr>
          <w:rFonts w:hint="eastAsia" w:asciiTheme="minorEastAsia" w:hAnsiTheme="minorEastAsia" w:cstheme="minorEastAsia"/>
          <w:color w:val="auto"/>
          <w:kern w:val="0"/>
          <w:sz w:val="24"/>
          <w:szCs w:val="24"/>
          <w:highlight w:val="none"/>
          <w:lang w:val="en-US" w:eastAsia="zh-CN"/>
        </w:rPr>
        <w:t>商务标</w:t>
      </w:r>
      <w:r>
        <w:rPr>
          <w:rFonts w:hint="eastAsia" w:asciiTheme="minorEastAsia" w:hAnsiTheme="minorEastAsia" w:eastAsiaTheme="minorEastAsia" w:cstheme="minorEastAsia"/>
          <w:color w:val="auto"/>
          <w:kern w:val="0"/>
          <w:sz w:val="24"/>
          <w:szCs w:val="24"/>
          <w:highlight w:val="none"/>
        </w:rPr>
        <w:t>投标报价得分=（评标基准价/投标报价）×100。</w:t>
      </w:r>
      <w:r>
        <w:rPr>
          <w:rFonts w:hint="eastAsia" w:ascii="宋体" w:hAnsi="宋体" w:cstheme="minorBidi"/>
          <w:color w:val="auto"/>
          <w:kern w:val="2"/>
          <w:sz w:val="24"/>
          <w:szCs w:val="24"/>
          <w:lang w:val="en-US" w:eastAsia="zh-CN" w:bidi="ar-SA"/>
        </w:rPr>
        <w:t>综合得分=技术标得分</w:t>
      </w:r>
      <w:r>
        <w:rPr>
          <w:rFonts w:hint="eastAsia" w:ascii="宋体" w:hAnsi="宋体" w:eastAsiaTheme="minorEastAsia" w:cstheme="minorBidi"/>
          <w:color w:val="auto"/>
          <w:kern w:val="2"/>
          <w:sz w:val="24"/>
          <w:szCs w:val="24"/>
          <w:lang w:val="en-US" w:eastAsia="zh-CN" w:bidi="ar-SA"/>
        </w:rPr>
        <w:t>×</w:t>
      </w:r>
      <w:r>
        <w:rPr>
          <w:rFonts w:hint="eastAsia" w:ascii="宋体" w:hAnsi="宋体" w:cstheme="minorBidi"/>
          <w:color w:val="auto"/>
          <w:kern w:val="2"/>
          <w:sz w:val="24"/>
          <w:szCs w:val="24"/>
          <w:lang w:val="en-US" w:eastAsia="zh-CN" w:bidi="ar-SA"/>
        </w:rPr>
        <w:t>40%+商务标得分</w:t>
      </w:r>
      <w:r>
        <w:rPr>
          <w:rFonts w:hint="eastAsia" w:ascii="宋体" w:hAnsi="宋体" w:eastAsiaTheme="minorEastAsia" w:cstheme="minorBidi"/>
          <w:color w:val="auto"/>
          <w:kern w:val="2"/>
          <w:sz w:val="24"/>
          <w:szCs w:val="24"/>
          <w:lang w:val="en-US" w:eastAsia="zh-CN" w:bidi="ar-SA"/>
        </w:rPr>
        <w:t>×</w:t>
      </w:r>
      <w:r>
        <w:rPr>
          <w:rFonts w:hint="eastAsia" w:ascii="宋体" w:hAnsi="宋体" w:cstheme="minorBidi"/>
          <w:color w:val="auto"/>
          <w:kern w:val="2"/>
          <w:sz w:val="24"/>
          <w:szCs w:val="24"/>
          <w:lang w:val="en-US" w:eastAsia="zh-CN" w:bidi="ar-SA"/>
        </w:rPr>
        <w:t>60%，</w:t>
      </w:r>
      <w:r>
        <w:rPr>
          <w:rFonts w:hint="eastAsia" w:asciiTheme="minorEastAsia" w:hAnsiTheme="minorEastAsia" w:eastAsiaTheme="minorEastAsia" w:cstheme="minorEastAsia"/>
          <w:color w:val="auto"/>
          <w:sz w:val="24"/>
          <w:szCs w:val="24"/>
          <w:highlight w:val="none"/>
          <w:lang w:val="en-US" w:eastAsia="zh-CN"/>
        </w:rPr>
        <w:t>将</w:t>
      </w:r>
      <w:r>
        <w:rPr>
          <w:rFonts w:hint="eastAsia" w:asciiTheme="minorEastAsia" w:hAnsiTheme="minorEastAsia" w:eastAsiaTheme="minorEastAsia" w:cstheme="minorEastAsia"/>
          <w:color w:val="auto"/>
          <w:sz w:val="24"/>
          <w:szCs w:val="24"/>
          <w:highlight w:val="none"/>
        </w:rPr>
        <w:t>评审小组专家</w:t>
      </w:r>
      <w:r>
        <w:rPr>
          <w:rFonts w:hint="eastAsia" w:asciiTheme="minorEastAsia" w:hAnsiTheme="minorEastAsia" w:eastAsiaTheme="minorEastAsia" w:cstheme="minorEastAsia"/>
          <w:color w:val="auto"/>
          <w:sz w:val="24"/>
          <w:szCs w:val="24"/>
          <w:highlight w:val="none"/>
          <w:lang w:val="en-US" w:eastAsia="zh-CN"/>
        </w:rPr>
        <w:t>评分计算后进行</w:t>
      </w:r>
      <w:r>
        <w:rPr>
          <w:rFonts w:hint="eastAsia" w:asciiTheme="minorEastAsia" w:hAnsiTheme="minorEastAsia" w:eastAsiaTheme="minorEastAsia" w:cstheme="minorEastAsia"/>
          <w:color w:val="auto"/>
          <w:sz w:val="24"/>
          <w:szCs w:val="24"/>
          <w:highlight w:val="none"/>
        </w:rPr>
        <w:t>综合排序，编写评标报告。按照招标文件的规定，按综合得分由高到低</w:t>
      </w:r>
      <w:r>
        <w:rPr>
          <w:rFonts w:hint="eastAsia" w:asciiTheme="minorEastAsia" w:hAnsiTheme="minorEastAsia" w:eastAsiaTheme="minorEastAsia" w:cstheme="minorEastAsia"/>
          <w:color w:val="auto"/>
          <w:sz w:val="24"/>
          <w:szCs w:val="24"/>
          <w:highlight w:val="none"/>
          <w:lang w:val="en-US" w:eastAsia="zh-CN"/>
        </w:rPr>
        <w:t>排名确定</w:t>
      </w:r>
      <w:r>
        <w:rPr>
          <w:rFonts w:hint="eastAsia" w:asciiTheme="minorEastAsia" w:hAnsi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val="en-US" w:eastAsia="zh-CN"/>
        </w:rPr>
        <w:t>名</w:t>
      </w:r>
      <w:r>
        <w:rPr>
          <w:rFonts w:hint="eastAsia" w:asciiTheme="minorEastAsia" w:hAnsiTheme="minorEastAsia" w:eastAsiaTheme="minorEastAsia" w:cstheme="minorEastAsia"/>
          <w:color w:val="auto"/>
          <w:sz w:val="24"/>
          <w:szCs w:val="24"/>
          <w:highlight w:val="none"/>
        </w:rPr>
        <w:t>中标候选人。</w:t>
      </w:r>
    </w:p>
    <w:p w14:paraId="2E91D960">
      <w:pPr>
        <w:pStyle w:val="4"/>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cstheme="minorEastAsia"/>
          <w:color w:val="auto"/>
          <w:kern w:val="2"/>
          <w:sz w:val="24"/>
          <w:szCs w:val="24"/>
          <w:highlight w:val="none"/>
          <w:lang w:val="en-US" w:eastAsia="zh-CN" w:bidi="ar-SA"/>
        </w:rPr>
        <w:t>4</w:t>
      </w:r>
      <w:r>
        <w:rPr>
          <w:rFonts w:hint="eastAsia" w:asciiTheme="minorEastAsia" w:hAnsiTheme="minorEastAsia" w:eastAsiaTheme="minorEastAsia" w:cstheme="minorEastAsia"/>
          <w:color w:val="auto"/>
          <w:kern w:val="2"/>
          <w:sz w:val="24"/>
          <w:szCs w:val="24"/>
          <w:highlight w:val="none"/>
          <w:lang w:val="en-US" w:eastAsia="zh-CN" w:bidi="ar-SA"/>
        </w:rPr>
        <w:t>、技术</w:t>
      </w:r>
      <w:r>
        <w:rPr>
          <w:rFonts w:hint="eastAsia" w:asciiTheme="minorEastAsia" w:hAnsiTheme="minorEastAsia" w:cstheme="minorEastAsia"/>
          <w:color w:val="auto"/>
          <w:kern w:val="2"/>
          <w:sz w:val="24"/>
          <w:szCs w:val="24"/>
          <w:highlight w:val="none"/>
          <w:lang w:val="en-US" w:eastAsia="zh-CN" w:bidi="ar-SA"/>
        </w:rPr>
        <w:t>标</w:t>
      </w:r>
      <w:r>
        <w:rPr>
          <w:rFonts w:hint="eastAsia" w:asciiTheme="minorEastAsia" w:hAnsiTheme="minorEastAsia" w:eastAsiaTheme="minorEastAsia" w:cstheme="minorEastAsia"/>
          <w:color w:val="auto"/>
          <w:kern w:val="2"/>
          <w:sz w:val="24"/>
          <w:szCs w:val="24"/>
          <w:highlight w:val="none"/>
          <w:lang w:val="en-US" w:eastAsia="zh-CN" w:bidi="ar-SA"/>
        </w:rPr>
        <w:t>评</w:t>
      </w:r>
      <w:r>
        <w:rPr>
          <w:rFonts w:hint="eastAsia" w:asciiTheme="minorEastAsia" w:hAnsiTheme="minorEastAsia" w:cstheme="minorEastAsia"/>
          <w:color w:val="auto"/>
          <w:kern w:val="2"/>
          <w:sz w:val="24"/>
          <w:szCs w:val="24"/>
          <w:highlight w:val="none"/>
          <w:lang w:val="en-US" w:eastAsia="zh-CN" w:bidi="ar-SA"/>
        </w:rPr>
        <w:t>分标准</w:t>
      </w:r>
      <w:r>
        <w:rPr>
          <w:rFonts w:hint="eastAsia" w:ascii="宋体" w:hAnsi="宋体" w:cstheme="minorBidi"/>
          <w:color w:val="auto"/>
          <w:sz w:val="24"/>
          <w:szCs w:val="24"/>
          <w:lang w:eastAsia="zh-CN"/>
        </w:rPr>
        <w:t>如下</w:t>
      </w:r>
      <w:r>
        <w:rPr>
          <w:rFonts w:hint="eastAsia" w:asciiTheme="minorEastAsia" w:hAnsiTheme="minorEastAsia" w:eastAsiaTheme="minorEastAsia" w:cstheme="minorEastAsia"/>
          <w:color w:val="auto"/>
          <w:kern w:val="2"/>
          <w:sz w:val="24"/>
          <w:szCs w:val="24"/>
          <w:highlight w:val="none"/>
          <w:lang w:val="en-US" w:eastAsia="zh-CN" w:bidi="ar-SA"/>
        </w:rPr>
        <w:t>：</w:t>
      </w:r>
    </w:p>
    <w:tbl>
      <w:tblPr>
        <w:tblStyle w:val="9"/>
        <w:tblW w:w="97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8229"/>
      </w:tblGrid>
      <w:tr w14:paraId="69EC1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1560" w:type="dxa"/>
            <w:shd w:val="clear" w:color="auto" w:fill="auto"/>
            <w:vAlign w:val="center"/>
          </w:tcPr>
          <w:p w14:paraId="5F5262B6">
            <w:pPr>
              <w:widowControl/>
              <w:jc w:val="center"/>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项目</w:t>
            </w:r>
          </w:p>
        </w:tc>
        <w:tc>
          <w:tcPr>
            <w:tcW w:w="8229" w:type="dxa"/>
            <w:shd w:val="clear" w:color="auto" w:fill="auto"/>
            <w:vAlign w:val="center"/>
          </w:tcPr>
          <w:p w14:paraId="50FAD852">
            <w:pPr>
              <w:widowControl/>
              <w:jc w:val="center"/>
              <w:rPr>
                <w:rFonts w:hint="default" w:asciiTheme="minorEastAsia" w:hAnsiTheme="minorEastAsia" w:eastAsiaTheme="minorEastAsia" w:cstheme="minorEastAsia"/>
                <w:b/>
                <w:bCs/>
                <w:color w:val="auto"/>
                <w:sz w:val="24"/>
                <w:szCs w:val="24"/>
                <w:lang w:val="en-US" w:eastAsia="zh-CN"/>
              </w:rPr>
            </w:pPr>
            <w:r>
              <w:rPr>
                <w:rFonts w:hint="eastAsia" w:asciiTheme="minorEastAsia" w:hAnsiTheme="minorEastAsia" w:cstheme="minorEastAsia"/>
                <w:b/>
                <w:bCs/>
                <w:color w:val="auto"/>
                <w:sz w:val="24"/>
                <w:szCs w:val="24"/>
                <w:lang w:val="en-US" w:eastAsia="zh-CN"/>
              </w:rPr>
              <w:t>评分内容</w:t>
            </w:r>
          </w:p>
        </w:tc>
      </w:tr>
      <w:tr w14:paraId="45124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560" w:type="dxa"/>
            <w:shd w:val="clear" w:color="auto" w:fill="auto"/>
            <w:vAlign w:val="center"/>
          </w:tcPr>
          <w:p w14:paraId="6ED0F9F0">
            <w:pPr>
              <w:widowControl/>
              <w:spacing w:line="240" w:lineRule="auto"/>
              <w:jc w:val="center"/>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rPr>
              <w:t>策划及执行方案</w:t>
            </w:r>
            <w:r>
              <w:rPr>
                <w:rFonts w:hint="eastAsia" w:asciiTheme="minorEastAsia" w:hAnsiTheme="minorEastAsia" w:cstheme="minorEastAsia"/>
                <w:color w:val="auto"/>
                <w:kern w:val="0"/>
                <w:sz w:val="24"/>
                <w:szCs w:val="24"/>
                <w:highlight w:val="none"/>
                <w:lang w:eastAsia="zh-CN"/>
              </w:rPr>
              <w:t>（</w:t>
            </w:r>
            <w:r>
              <w:rPr>
                <w:rFonts w:hint="eastAsia" w:asciiTheme="minorEastAsia" w:hAnsiTheme="minorEastAsia" w:cstheme="minorEastAsia"/>
                <w:color w:val="auto"/>
                <w:kern w:val="0"/>
                <w:sz w:val="24"/>
                <w:szCs w:val="24"/>
                <w:highlight w:val="none"/>
                <w:lang w:val="en-US" w:eastAsia="zh-CN"/>
              </w:rPr>
              <w:t>50分</w:t>
            </w:r>
            <w:r>
              <w:rPr>
                <w:rFonts w:hint="eastAsia" w:asciiTheme="minorEastAsia" w:hAnsiTheme="minorEastAsia" w:cstheme="minorEastAsia"/>
                <w:color w:val="auto"/>
                <w:kern w:val="0"/>
                <w:sz w:val="24"/>
                <w:szCs w:val="24"/>
                <w:highlight w:val="none"/>
                <w:lang w:eastAsia="zh-CN"/>
              </w:rPr>
              <w:t>）</w:t>
            </w:r>
          </w:p>
        </w:tc>
        <w:tc>
          <w:tcPr>
            <w:tcW w:w="8229" w:type="dxa"/>
            <w:shd w:val="clear" w:color="auto" w:fill="auto"/>
            <w:vAlign w:val="center"/>
          </w:tcPr>
          <w:p w14:paraId="51B14774">
            <w:pPr>
              <w:widowControl/>
              <w:spacing w:line="240" w:lineRule="auto"/>
              <w:jc w:val="left"/>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rPr>
              <w:t>能够出具详细策划方案，内容丰富，</w:t>
            </w:r>
            <w:r>
              <w:rPr>
                <w:rFonts w:hint="eastAsia" w:asciiTheme="minorEastAsia" w:hAnsiTheme="minorEastAsia" w:cstheme="minorEastAsia"/>
                <w:color w:val="auto"/>
                <w:kern w:val="0"/>
                <w:sz w:val="24"/>
                <w:szCs w:val="24"/>
                <w:highlight w:val="none"/>
                <w:lang w:val="en-US" w:eastAsia="zh-CN"/>
              </w:rPr>
              <w:t>并</w:t>
            </w:r>
            <w:r>
              <w:rPr>
                <w:rFonts w:hint="eastAsia" w:asciiTheme="minorEastAsia" w:hAnsiTheme="minorEastAsia" w:eastAsiaTheme="minorEastAsia" w:cstheme="minorEastAsia"/>
                <w:color w:val="auto"/>
                <w:kern w:val="0"/>
                <w:sz w:val="24"/>
                <w:szCs w:val="24"/>
                <w:highlight w:val="none"/>
              </w:rPr>
              <w:t>尽可能还原执行效果、满足</w:t>
            </w:r>
            <w:r>
              <w:rPr>
                <w:rFonts w:hint="eastAsia" w:asciiTheme="minorEastAsia" w:hAnsiTheme="minorEastAsia" w:eastAsiaTheme="minorEastAsia" w:cstheme="minorEastAsia"/>
                <w:color w:val="auto"/>
                <w:kern w:val="0"/>
                <w:sz w:val="24"/>
                <w:szCs w:val="24"/>
                <w:highlight w:val="none"/>
                <w:lang w:val="en-US" w:eastAsia="zh-CN"/>
              </w:rPr>
              <w:t>公司</w:t>
            </w:r>
            <w:r>
              <w:rPr>
                <w:rFonts w:hint="eastAsia" w:asciiTheme="minorEastAsia" w:hAnsiTheme="minorEastAsia" w:eastAsiaTheme="minorEastAsia" w:cstheme="minorEastAsia"/>
                <w:color w:val="auto"/>
                <w:kern w:val="0"/>
                <w:sz w:val="24"/>
                <w:szCs w:val="24"/>
                <w:highlight w:val="none"/>
              </w:rPr>
              <w:t>产品宣传推广需求</w:t>
            </w:r>
            <w:r>
              <w:rPr>
                <w:rFonts w:hint="eastAsia" w:asciiTheme="minorEastAsia" w:hAnsi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创作思路新颖，符合行业发展需要，视觉及体验效果突出，具有较好的公信力与说服力</w:t>
            </w:r>
            <w:r>
              <w:rPr>
                <w:rFonts w:hint="eastAsia" w:asciiTheme="minorEastAsia" w:hAnsi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能够引导用户、行业观看及关注</w:t>
            </w:r>
            <w:r>
              <w:rPr>
                <w:rFonts w:hint="eastAsia" w:asciiTheme="minorEastAsia" w:hAnsi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实施方案具有针对性、可操作性且完整具体，包括责任分工、项目推进周期、配合协调事项、应急方案解决方法及补救措施等</w:t>
            </w:r>
            <w:r>
              <w:rPr>
                <w:rFonts w:hint="eastAsia" w:asciiTheme="minorEastAsia" w:hAnsiTheme="minorEastAsia" w:eastAsiaTheme="minorEastAsia" w:cstheme="minorEastAsia"/>
                <w:color w:val="auto"/>
                <w:kern w:val="0"/>
                <w:sz w:val="24"/>
                <w:szCs w:val="24"/>
                <w:highlight w:val="none"/>
                <w:lang w:eastAsia="zh-CN"/>
              </w:rPr>
              <w:t>。</w:t>
            </w:r>
          </w:p>
          <w:p w14:paraId="687E870F">
            <w:pPr>
              <w:widowControl/>
              <w:spacing w:line="24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cstheme="minorEastAsia"/>
                <w:color w:val="auto"/>
                <w:kern w:val="0"/>
                <w:sz w:val="24"/>
                <w:szCs w:val="24"/>
                <w:highlight w:val="none"/>
                <w:lang w:val="en-US" w:eastAsia="zh-CN"/>
              </w:rPr>
              <w:t>经</w:t>
            </w:r>
            <w:r>
              <w:rPr>
                <w:rFonts w:hint="eastAsia" w:asciiTheme="minorEastAsia" w:hAnsiTheme="minorEastAsia" w:eastAsiaTheme="minorEastAsia" w:cstheme="minorEastAsia"/>
                <w:color w:val="auto"/>
                <w:kern w:val="0"/>
                <w:sz w:val="24"/>
                <w:szCs w:val="24"/>
                <w:highlight w:val="none"/>
              </w:rPr>
              <w:t>综合评定为“优”的，赋</w:t>
            </w: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0分；情况为“良”的，赋</w:t>
            </w: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分；情况为“一般”的，赋</w:t>
            </w: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分及以下，最少0分。</w:t>
            </w:r>
          </w:p>
        </w:tc>
      </w:tr>
      <w:tr w14:paraId="5D89A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1560" w:type="dxa"/>
            <w:shd w:val="clear" w:color="auto" w:fill="auto"/>
            <w:vAlign w:val="center"/>
          </w:tcPr>
          <w:p w14:paraId="4D77787A">
            <w:pPr>
              <w:widowControl/>
              <w:spacing w:line="240" w:lineRule="auto"/>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企业资质及服务业绩</w:t>
            </w:r>
          </w:p>
          <w:p w14:paraId="2053F60B">
            <w:pPr>
              <w:widowControl/>
              <w:spacing w:line="240" w:lineRule="auto"/>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lang w:val="en-US" w:eastAsia="zh-CN"/>
              </w:rPr>
              <w:t>0分）</w:t>
            </w:r>
          </w:p>
        </w:tc>
        <w:tc>
          <w:tcPr>
            <w:tcW w:w="8229" w:type="dxa"/>
            <w:shd w:val="clear" w:color="auto" w:fill="auto"/>
            <w:vAlign w:val="top"/>
          </w:tcPr>
          <w:p w14:paraId="2ADA2B5E">
            <w:pPr>
              <w:widowControl/>
              <w:spacing w:line="24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投标人</w:t>
            </w:r>
            <w:r>
              <w:rPr>
                <w:rFonts w:hint="eastAsia" w:asciiTheme="minorEastAsia" w:hAnsiTheme="minorEastAsia" w:eastAsiaTheme="minorEastAsia" w:cstheme="minorEastAsia"/>
                <w:color w:val="auto"/>
                <w:kern w:val="0"/>
                <w:sz w:val="24"/>
                <w:szCs w:val="24"/>
                <w:highlight w:val="none"/>
                <w:lang w:val="en-US" w:eastAsia="zh-CN"/>
              </w:rPr>
              <w:t>具</w:t>
            </w:r>
            <w:r>
              <w:rPr>
                <w:rFonts w:hint="eastAsia" w:asciiTheme="minorEastAsia" w:hAnsiTheme="minorEastAsia" w:cstheme="minorEastAsia"/>
                <w:color w:val="auto"/>
                <w:kern w:val="0"/>
                <w:sz w:val="24"/>
                <w:szCs w:val="24"/>
                <w:highlight w:val="none"/>
                <w:lang w:val="en-US" w:eastAsia="zh-CN"/>
              </w:rPr>
              <w:t>有大型品牌活动策划案例或</w:t>
            </w:r>
            <w:r>
              <w:rPr>
                <w:rFonts w:hint="eastAsia" w:asciiTheme="minorEastAsia" w:hAnsiTheme="minorEastAsia" w:eastAsiaTheme="minorEastAsia" w:cstheme="minorEastAsia"/>
                <w:color w:val="auto"/>
                <w:kern w:val="0"/>
                <w:sz w:val="24"/>
                <w:szCs w:val="24"/>
                <w:highlight w:val="none"/>
                <w:lang w:val="en-US" w:eastAsia="zh-CN"/>
              </w:rPr>
              <w:t>行业</w:t>
            </w:r>
            <w:r>
              <w:rPr>
                <w:rFonts w:hint="eastAsia" w:asciiTheme="minorEastAsia" w:hAnsiTheme="minorEastAsia" w:eastAsiaTheme="minorEastAsia" w:cstheme="minorEastAsia"/>
                <w:color w:val="auto"/>
                <w:kern w:val="0"/>
                <w:sz w:val="24"/>
                <w:szCs w:val="24"/>
                <w:highlight w:val="none"/>
              </w:rPr>
              <w:t>相关执行经验</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提供类似项目服务业绩，以合同复印件为准，每提供一份得1分，最高得</w:t>
            </w:r>
            <w:r>
              <w:rPr>
                <w:rFonts w:hint="eastAsia" w:asciiTheme="minorEastAsia" w:hAnsiTheme="minorEastAsia" w:cstheme="minorEastAsia"/>
                <w:color w:val="auto"/>
                <w:kern w:val="0"/>
                <w:sz w:val="24"/>
                <w:szCs w:val="24"/>
                <w:highlight w:val="none"/>
                <w:lang w:val="en-US" w:eastAsia="zh-CN"/>
              </w:rPr>
              <w:t>10</w:t>
            </w:r>
            <w:r>
              <w:rPr>
                <w:rFonts w:hint="eastAsia" w:asciiTheme="minorEastAsia" w:hAnsiTheme="minorEastAsia" w:eastAsiaTheme="minorEastAsia" w:cstheme="minorEastAsia"/>
                <w:color w:val="auto"/>
                <w:kern w:val="0"/>
                <w:sz w:val="24"/>
                <w:szCs w:val="24"/>
                <w:highlight w:val="none"/>
              </w:rPr>
              <w:t>分。</w:t>
            </w:r>
          </w:p>
          <w:p w14:paraId="0F2BE0A3">
            <w:pPr>
              <w:widowControl/>
              <w:spacing w:line="24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投标人每获得1项行业内相关荣誉得1分，最高得</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lang w:val="en-US" w:eastAsia="zh-CN"/>
              </w:rPr>
              <w:t>分。</w:t>
            </w:r>
          </w:p>
          <w:p w14:paraId="042BC11E">
            <w:pPr>
              <w:widowControl/>
              <w:spacing w:line="24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（3）投标人成立时间三年以上，或注册资金500万以上，</w:t>
            </w:r>
            <w:r>
              <w:rPr>
                <w:rFonts w:hint="eastAsia" w:asciiTheme="minorEastAsia" w:hAnsiTheme="minorEastAsia" w:cstheme="minorEastAsia"/>
                <w:color w:val="auto"/>
                <w:kern w:val="0"/>
                <w:sz w:val="24"/>
                <w:szCs w:val="24"/>
                <w:highlight w:val="none"/>
                <w:lang w:val="en-US" w:eastAsia="zh-CN"/>
              </w:rPr>
              <w:t>得3分，成立时间每增加1年或注册资金每增加100万，得分+1，</w:t>
            </w:r>
            <w:r>
              <w:rPr>
                <w:rFonts w:hint="eastAsia" w:asciiTheme="minorEastAsia" w:hAnsiTheme="minorEastAsia" w:eastAsiaTheme="minorEastAsia" w:cstheme="minorEastAsia"/>
                <w:color w:val="auto"/>
                <w:kern w:val="0"/>
                <w:sz w:val="24"/>
                <w:szCs w:val="24"/>
                <w:highlight w:val="none"/>
                <w:lang w:val="en-US" w:eastAsia="zh-CN"/>
              </w:rPr>
              <w:t>最高得</w:t>
            </w:r>
            <w:r>
              <w:rPr>
                <w:rFonts w:hint="eastAsia" w:asciiTheme="minorEastAsia" w:hAnsi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lang w:val="en-US" w:eastAsia="zh-CN"/>
              </w:rPr>
              <w:t>分。</w:t>
            </w:r>
          </w:p>
        </w:tc>
      </w:tr>
      <w:tr w14:paraId="3143D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1560" w:type="dxa"/>
            <w:shd w:val="clear" w:color="auto" w:fill="auto"/>
            <w:vAlign w:val="center"/>
          </w:tcPr>
          <w:p w14:paraId="54151258">
            <w:pPr>
              <w:pStyle w:val="4"/>
              <w:jc w:val="center"/>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rPr>
              <w:t>履约能力</w:t>
            </w:r>
            <w:r>
              <w:rPr>
                <w:rFonts w:hint="eastAsia" w:ascii="宋体" w:hAnsi="宋体" w:eastAsia="宋体" w:cs="宋体"/>
                <w:bCs/>
                <w:sz w:val="24"/>
                <w:szCs w:val="24"/>
                <w:highlight w:val="none"/>
                <w:lang w:val="en-US" w:eastAsia="zh-CN"/>
              </w:rPr>
              <w:t>及响应程度</w:t>
            </w:r>
          </w:p>
          <w:p w14:paraId="7E20A7CB">
            <w:pPr>
              <w:pStyle w:val="4"/>
              <w:jc w:val="center"/>
              <w:rPr>
                <w:rFonts w:hint="eastAsia" w:ascii="宋体" w:hAnsi="宋体" w:eastAsia="宋体" w:cs="宋体"/>
                <w:bCs/>
                <w:kern w:val="2"/>
                <w:sz w:val="24"/>
                <w:szCs w:val="24"/>
                <w:highlight w:val="none"/>
                <w:lang w:val="en-US" w:eastAsia="zh-CN" w:bidi="ar-SA"/>
              </w:rPr>
            </w:pPr>
            <w:r>
              <w:rPr>
                <w:rFonts w:hint="eastAsia" w:ascii="宋体" w:hAnsi="宋体" w:eastAsia="宋体" w:cs="宋体"/>
                <w:bCs/>
                <w:sz w:val="24"/>
                <w:szCs w:val="24"/>
                <w:highlight w:val="none"/>
              </w:rPr>
              <w:t>（</w:t>
            </w:r>
            <w:r>
              <w:rPr>
                <w:rFonts w:hint="eastAsia" w:ascii="宋体" w:hAnsi="宋体" w:eastAsia="宋体" w:cs="宋体"/>
                <w:bCs/>
                <w:sz w:val="24"/>
                <w:szCs w:val="24"/>
                <w:highlight w:val="none"/>
                <w:lang w:val="en-US" w:eastAsia="zh-CN"/>
              </w:rPr>
              <w:t>30</w:t>
            </w:r>
            <w:r>
              <w:rPr>
                <w:rFonts w:hint="eastAsia" w:ascii="宋体" w:hAnsi="宋体" w:eastAsia="宋体" w:cs="宋体"/>
                <w:bCs/>
                <w:sz w:val="24"/>
                <w:szCs w:val="24"/>
                <w:highlight w:val="none"/>
              </w:rPr>
              <w:t>分）</w:t>
            </w:r>
          </w:p>
        </w:tc>
        <w:tc>
          <w:tcPr>
            <w:tcW w:w="8229" w:type="dxa"/>
            <w:shd w:val="clear" w:color="auto" w:fill="auto"/>
            <w:vAlign w:val="top"/>
          </w:tcPr>
          <w:p w14:paraId="36C7815E">
            <w:pPr>
              <w:numPr>
                <w:ilvl w:val="0"/>
                <w:numId w:val="11"/>
              </w:numPr>
              <w:jc w:val="left"/>
              <w:textAlignment w:val="center"/>
              <w:rPr>
                <w:rFonts w:hint="eastAsia" w:ascii="宋体" w:hAnsi="宋体" w:eastAsia="宋体" w:cs="宋体"/>
                <w:color w:val="000000" w:themeColor="text1"/>
                <w:kern w:val="0"/>
                <w:sz w:val="24"/>
                <w:szCs w:val="24"/>
                <w:lang w:eastAsia="zh-CN" w:bidi="ar"/>
                <w14:textFill>
                  <w14:solidFill>
                    <w14:schemeClr w14:val="tx1"/>
                  </w14:solidFill>
                </w14:textFill>
              </w:rPr>
            </w:pPr>
            <w:r>
              <w:rPr>
                <w:rFonts w:hint="eastAsia" w:ascii="宋体" w:hAnsi="宋体" w:eastAsia="宋体" w:cs="宋体"/>
                <w:b/>
                <w:bCs/>
                <w:color w:val="000000" w:themeColor="text1"/>
                <w:kern w:val="0"/>
                <w:sz w:val="24"/>
                <w:szCs w:val="24"/>
                <w:lang w:val="en-US" w:eastAsia="zh-CN" w:bidi="ar"/>
                <w14:textFill>
                  <w14:solidFill>
                    <w14:schemeClr w14:val="tx1"/>
                  </w14:solidFill>
                </w14:textFill>
              </w:rPr>
              <w:t>团队经验：</w:t>
            </w:r>
            <w:r>
              <w:rPr>
                <w:rFonts w:hint="eastAsia" w:ascii="宋体" w:hAnsi="宋体" w:eastAsia="宋体" w:cs="宋体"/>
                <w:i w:val="0"/>
                <w:iCs w:val="0"/>
                <w:color w:val="000000"/>
                <w:kern w:val="0"/>
                <w:sz w:val="24"/>
                <w:szCs w:val="24"/>
                <w:u w:val="none"/>
                <w:lang w:val="en-US" w:eastAsia="zh-CN" w:bidi="ar"/>
              </w:rPr>
              <w:t>具有类似汽车行业项目服务经验，能够全面掌控整体项目运营，本项最高得10分。</w:t>
            </w:r>
          </w:p>
          <w:p w14:paraId="2C0DF111">
            <w:pPr>
              <w:numPr>
                <w:ilvl w:val="0"/>
                <w:numId w:val="11"/>
              </w:numPr>
              <w:jc w:val="left"/>
              <w:textAlignment w:val="center"/>
              <w:rPr>
                <w:rFonts w:hint="eastAsia" w:ascii="宋体" w:hAnsi="宋体" w:eastAsia="宋体" w:cs="宋体"/>
                <w:bCs/>
                <w:sz w:val="24"/>
                <w:szCs w:val="24"/>
                <w:highlight w:val="none"/>
              </w:rPr>
            </w:pPr>
            <w:r>
              <w:rPr>
                <w:rFonts w:hint="eastAsia" w:ascii="宋体" w:hAnsi="宋体" w:eastAsia="宋体" w:cs="宋体"/>
                <w:b/>
                <w:bCs/>
                <w:color w:val="000000" w:themeColor="text1"/>
                <w:kern w:val="0"/>
                <w:sz w:val="24"/>
                <w:szCs w:val="24"/>
                <w:lang w:val="en-US" w:eastAsia="zh-CN" w:bidi="ar"/>
                <w14:textFill>
                  <w14:solidFill>
                    <w14:schemeClr w14:val="tx1"/>
                  </w14:solidFill>
                </w14:textFill>
              </w:rPr>
              <w:t>团队保障：</w:t>
            </w:r>
            <w:r>
              <w:rPr>
                <w:rFonts w:hint="eastAsia" w:ascii="宋体" w:hAnsi="宋体" w:eastAsia="宋体" w:cs="宋体"/>
                <w:color w:val="000000" w:themeColor="text1"/>
                <w:kern w:val="0"/>
                <w:sz w:val="24"/>
                <w:szCs w:val="24"/>
                <w:lang w:bidi="ar"/>
                <w14:textFill>
                  <w14:solidFill>
                    <w14:schemeClr w14:val="tx1"/>
                  </w14:solidFill>
                </w14:textFill>
              </w:rPr>
              <w:t>提供完备的服务保障方案，团队人员</w:t>
            </w:r>
            <w:r>
              <w:rPr>
                <w:rFonts w:hint="eastAsia" w:ascii="宋体" w:hAnsi="宋体" w:eastAsia="宋体" w:cs="宋体"/>
                <w:color w:val="000000" w:themeColor="text1"/>
                <w:kern w:val="0"/>
                <w:sz w:val="24"/>
                <w:szCs w:val="24"/>
                <w:lang w:val="en-US" w:eastAsia="zh-CN" w:bidi="ar"/>
                <w14:textFill>
                  <w14:solidFill>
                    <w14:schemeClr w14:val="tx1"/>
                  </w14:solidFill>
                </w14:textFill>
              </w:rPr>
              <w:t>稳定，</w:t>
            </w:r>
            <w:r>
              <w:rPr>
                <w:rFonts w:hint="eastAsia" w:ascii="宋体" w:hAnsi="宋体" w:eastAsia="宋体" w:cs="宋体"/>
                <w:color w:val="000000" w:themeColor="text1"/>
                <w:kern w:val="0"/>
                <w:sz w:val="24"/>
                <w:szCs w:val="24"/>
                <w:lang w:bidi="ar"/>
                <w14:textFill>
                  <w14:solidFill>
                    <w14:schemeClr w14:val="tx1"/>
                  </w14:solidFill>
                </w14:textFill>
              </w:rPr>
              <w:t>具备相应的专业经验，责任分工明确且合理，能够响应项目需求</w:t>
            </w:r>
            <w:r>
              <w:rPr>
                <w:rFonts w:hint="eastAsia" w:ascii="宋体" w:hAnsi="宋体" w:eastAsia="宋体" w:cs="宋体"/>
                <w:color w:val="000000" w:themeColor="text1"/>
                <w:kern w:val="0"/>
                <w:sz w:val="24"/>
                <w:szCs w:val="24"/>
                <w:lang w:eastAsia="zh-CN" w:bidi="ar"/>
                <w14:textFill>
                  <w14:solidFill>
                    <w14:schemeClr w14:val="tx1"/>
                  </w14:solidFill>
                </w14:textFill>
              </w:rPr>
              <w:t>。</w:t>
            </w:r>
            <w:r>
              <w:rPr>
                <w:rFonts w:hint="eastAsia" w:ascii="宋体" w:hAnsi="宋体" w:eastAsia="宋体" w:cs="宋体"/>
                <w:i w:val="0"/>
                <w:iCs w:val="0"/>
                <w:color w:val="000000"/>
                <w:kern w:val="0"/>
                <w:sz w:val="24"/>
                <w:szCs w:val="24"/>
                <w:u w:val="none"/>
                <w:lang w:val="en-US" w:eastAsia="zh-CN" w:bidi="ar"/>
              </w:rPr>
              <w:t>团队人员分工不合理或分工不明确，无法响应项目需求每有一项扣3分，本项最高得10分。</w:t>
            </w:r>
          </w:p>
          <w:p w14:paraId="15566FBB">
            <w:pPr>
              <w:numPr>
                <w:ilvl w:val="0"/>
                <w:numId w:val="11"/>
              </w:numPr>
              <w:jc w:val="left"/>
              <w:textAlignment w:val="center"/>
              <w:rPr>
                <w:rFonts w:hint="eastAsia" w:ascii="宋体" w:hAnsi="宋体" w:eastAsia="宋体" w:cs="宋体"/>
                <w:bCs/>
                <w:sz w:val="24"/>
                <w:szCs w:val="24"/>
                <w:highlight w:val="none"/>
              </w:rPr>
            </w:pPr>
            <w:r>
              <w:rPr>
                <w:rFonts w:hint="eastAsia" w:ascii="宋体" w:hAnsi="宋体" w:eastAsia="宋体" w:cs="宋体"/>
                <w:b/>
                <w:bCs w:val="0"/>
                <w:sz w:val="24"/>
                <w:szCs w:val="24"/>
                <w:highlight w:val="none"/>
              </w:rPr>
              <w:t>响应能力</w:t>
            </w:r>
            <w:r>
              <w:rPr>
                <w:rFonts w:hint="eastAsia" w:ascii="宋体" w:hAnsi="宋体" w:eastAsia="宋体" w:cs="宋体"/>
                <w:b/>
                <w:bCs w:val="0"/>
                <w:sz w:val="24"/>
                <w:szCs w:val="24"/>
                <w:highlight w:val="none"/>
                <w:lang w:eastAsia="zh-CN"/>
              </w:rPr>
              <w:t>：</w:t>
            </w:r>
            <w:r>
              <w:rPr>
                <w:rFonts w:hint="eastAsia" w:ascii="宋体" w:hAnsi="宋体" w:eastAsia="宋体" w:cs="宋体"/>
                <w:bCs/>
                <w:sz w:val="24"/>
                <w:szCs w:val="24"/>
                <w:highlight w:val="none"/>
              </w:rPr>
              <w:t>投标人为保证服务及时到位所能提供的服务内容及响应程度，包含服务承诺、售后承诺、响应承诺等，格式自拟</w:t>
            </w:r>
            <w:r>
              <w:rPr>
                <w:rFonts w:hint="eastAsia" w:ascii="宋体" w:hAnsi="宋体" w:eastAsia="宋体" w:cs="宋体"/>
                <w:i w:val="0"/>
                <w:iCs w:val="0"/>
                <w:color w:val="000000"/>
                <w:kern w:val="0"/>
                <w:sz w:val="24"/>
                <w:szCs w:val="24"/>
                <w:u w:val="none"/>
                <w:lang w:val="en-US" w:eastAsia="zh-CN" w:bidi="ar"/>
              </w:rPr>
              <w:t>，本项最高得10分</w:t>
            </w:r>
            <w:r>
              <w:rPr>
                <w:rFonts w:hint="eastAsia" w:ascii="宋体" w:hAnsi="宋体" w:eastAsia="宋体" w:cs="宋体"/>
                <w:bCs/>
                <w:sz w:val="24"/>
                <w:szCs w:val="24"/>
                <w:highlight w:val="none"/>
              </w:rPr>
              <w:t>。</w:t>
            </w:r>
          </w:p>
          <w:p w14:paraId="39848001">
            <w:pPr>
              <w:pStyle w:val="4"/>
              <w:jc w:val="left"/>
              <w:rPr>
                <w:rFonts w:hint="eastAsia" w:ascii="宋体" w:hAnsi="宋体" w:eastAsia="宋体" w:cs="宋体"/>
                <w:bCs/>
                <w:kern w:val="2"/>
                <w:sz w:val="24"/>
                <w:szCs w:val="24"/>
                <w:highlight w:val="none"/>
                <w:lang w:val="en-US" w:eastAsia="zh-CN" w:bidi="ar-SA"/>
              </w:rPr>
            </w:pPr>
            <w:r>
              <w:rPr>
                <w:rFonts w:hint="eastAsia" w:ascii="宋体" w:hAnsi="宋体" w:eastAsia="宋体" w:cs="宋体"/>
                <w:bCs/>
                <w:sz w:val="24"/>
                <w:szCs w:val="24"/>
                <w:highlight w:val="none"/>
              </w:rPr>
              <w:t>经综合评定，综合实力为“优”的，赋</w:t>
            </w:r>
            <w:r>
              <w:rPr>
                <w:rFonts w:hint="eastAsia" w:ascii="宋体" w:hAnsi="宋体" w:eastAsia="宋体" w:cs="宋体"/>
                <w:bCs/>
                <w:sz w:val="24"/>
                <w:szCs w:val="24"/>
                <w:highlight w:val="none"/>
                <w:lang w:val="en-US" w:eastAsia="zh-CN"/>
              </w:rPr>
              <w:t>20-30</w:t>
            </w:r>
            <w:r>
              <w:rPr>
                <w:rFonts w:hint="eastAsia" w:ascii="宋体" w:hAnsi="宋体" w:eastAsia="宋体" w:cs="宋体"/>
                <w:bCs/>
                <w:sz w:val="24"/>
                <w:szCs w:val="24"/>
                <w:highlight w:val="none"/>
              </w:rPr>
              <w:t>分；情况为“良”的，赋</w:t>
            </w:r>
            <w:r>
              <w:rPr>
                <w:rFonts w:hint="eastAsia" w:ascii="宋体" w:hAnsi="宋体" w:eastAsia="宋体" w:cs="宋体"/>
                <w:bCs/>
                <w:sz w:val="24"/>
                <w:szCs w:val="24"/>
                <w:highlight w:val="none"/>
                <w:lang w:val="en-US" w:eastAsia="zh-CN"/>
              </w:rPr>
              <w:t>10-20</w:t>
            </w:r>
            <w:r>
              <w:rPr>
                <w:rFonts w:hint="eastAsia" w:ascii="宋体" w:hAnsi="宋体" w:eastAsia="宋体" w:cs="宋体"/>
                <w:bCs/>
                <w:sz w:val="24"/>
                <w:szCs w:val="24"/>
                <w:highlight w:val="none"/>
              </w:rPr>
              <w:t>分；情况为“一般”的，赋</w:t>
            </w:r>
            <w:r>
              <w:rPr>
                <w:rFonts w:hint="eastAsia" w:ascii="宋体" w:hAnsi="宋体" w:eastAsia="宋体" w:cs="宋体"/>
                <w:bCs/>
                <w:sz w:val="24"/>
                <w:szCs w:val="24"/>
                <w:highlight w:val="none"/>
                <w:lang w:val="en-US" w:eastAsia="zh-CN"/>
              </w:rPr>
              <w:t>10</w:t>
            </w:r>
            <w:r>
              <w:rPr>
                <w:rFonts w:hint="eastAsia" w:ascii="宋体" w:hAnsi="宋体" w:eastAsia="宋体" w:cs="宋体"/>
                <w:bCs/>
                <w:sz w:val="24"/>
                <w:szCs w:val="24"/>
                <w:highlight w:val="none"/>
              </w:rPr>
              <w:t>分及以下，最少0分。</w:t>
            </w:r>
          </w:p>
        </w:tc>
      </w:tr>
    </w:tbl>
    <w:p w14:paraId="390DC3BD">
      <w:pPr>
        <w:pStyle w:val="4"/>
        <w:spacing w:line="360" w:lineRule="auto"/>
        <w:ind w:firstLine="480" w:firstLineChars="20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宋体" w:hAnsi="宋体" w:eastAsiaTheme="minorEastAsia" w:cstheme="minorBidi"/>
          <w:color w:val="auto"/>
          <w:kern w:val="2"/>
          <w:sz w:val="24"/>
          <w:szCs w:val="24"/>
          <w:lang w:val="en-US" w:eastAsia="zh-CN" w:bidi="ar-SA"/>
        </w:rPr>
        <w:t>策划案内容需包含：项目策略分析、项目主题策划、主视觉策划、活动流程策划、互动体验策划、展车展品布展策划、展车亮点信息展示形式策划等</w:t>
      </w:r>
      <w:r>
        <w:rPr>
          <w:rFonts w:hint="eastAsia" w:ascii="宋体" w:hAnsi="宋体" w:cstheme="minorBidi"/>
          <w:color w:val="auto"/>
          <w:kern w:val="2"/>
          <w:sz w:val="24"/>
          <w:szCs w:val="24"/>
          <w:lang w:val="en-US" w:eastAsia="zh-CN" w:bidi="ar-SA"/>
        </w:rPr>
        <w:t>，</w:t>
      </w:r>
      <w:r>
        <w:rPr>
          <w:rFonts w:hint="eastAsia" w:ascii="宋体" w:hAnsi="宋体" w:eastAsiaTheme="minorEastAsia" w:cstheme="minorBidi"/>
          <w:color w:val="auto"/>
          <w:kern w:val="2"/>
          <w:sz w:val="24"/>
          <w:szCs w:val="24"/>
          <w:lang w:val="en-US" w:eastAsia="zh-CN" w:bidi="ar-SA"/>
        </w:rPr>
        <w:t>以“PPT”形式呈现，活动策划方案、活动服务案例展示需要进行现场讲解，时间不超过20分钟。</w:t>
      </w:r>
    </w:p>
    <w:p w14:paraId="4793738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5、</w:t>
      </w:r>
      <w:r>
        <w:rPr>
          <w:rFonts w:hint="eastAsia" w:asciiTheme="minorEastAsia" w:hAnsiTheme="minorEastAsia" w:eastAsiaTheme="minorEastAsia" w:cstheme="minorEastAsia"/>
          <w:color w:val="auto"/>
          <w:sz w:val="24"/>
          <w:szCs w:val="24"/>
          <w:highlight w:val="none"/>
        </w:rPr>
        <w:t>价格评议原则</w:t>
      </w:r>
    </w:p>
    <w:p w14:paraId="3D81F0C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投标报价错误的处理原则</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投标文件的大写金额和小写金额不一致的，以大写金额为准</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总价金额与按单价汇总金额不一致的，以单价金额计算结果为准</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 xml:space="preserve">单价金额小数点有明显错位的，应以总价为准，并修改单价。 </w:t>
      </w:r>
    </w:p>
    <w:p w14:paraId="145FBC5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投标报价的缺项、单列项的处理原则: 对投标服务的关键、主要内容，投标人报价漏项的，作非实质性响应投标处理</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对投标服务的非关键、非主要内容，投标人报价漏项的，评标时将要求漏项的投标人予以澄清，但该澄清不作为评标的依据</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评标委员会将以其它投标人对应项的最高投标报价补充计入其评标价</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对非关键、非主要内容的费用，如果投标人是另行单独报价的，评标时也相应另行计入其评标价</w:t>
      </w:r>
      <w:r>
        <w:rPr>
          <w:rFonts w:hint="eastAsia" w:asciiTheme="minorEastAsia" w:hAnsiTheme="minorEastAsia" w:eastAsiaTheme="minorEastAsia" w:cstheme="minorEastAsia"/>
          <w:color w:val="auto"/>
          <w:sz w:val="24"/>
          <w:szCs w:val="24"/>
          <w:highlight w:val="none"/>
          <w:lang w:eastAsia="zh-CN"/>
        </w:rPr>
        <w:t>。</w:t>
      </w:r>
    </w:p>
    <w:p w14:paraId="0CE2E75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eastAsia="zh-CN"/>
        </w:rPr>
        <w:t>评</w:t>
      </w:r>
      <w:r>
        <w:rPr>
          <w:rFonts w:hint="eastAsia" w:asciiTheme="minorEastAsia" w:hAnsiTheme="minorEastAsia" w:eastAsiaTheme="minorEastAsia" w:cstheme="minorEastAsia"/>
          <w:color w:val="auto"/>
          <w:sz w:val="24"/>
          <w:szCs w:val="24"/>
          <w:highlight w:val="none"/>
        </w:rPr>
        <w:t>标价的确定:按上述条款的原则校核修正后的价格为评标价。如果出现多种处理原则所产生的结果不一致的情况，以最高的修正价作为评标价</w:t>
      </w:r>
      <w:r>
        <w:rPr>
          <w:rFonts w:hint="eastAsia" w:asciiTheme="minorEastAsia" w:hAnsiTheme="minorEastAsia" w:eastAsiaTheme="minorEastAsia" w:cstheme="minorEastAsia"/>
          <w:color w:val="auto"/>
          <w:sz w:val="24"/>
          <w:szCs w:val="24"/>
          <w:highlight w:val="none"/>
          <w:lang w:eastAsia="zh-CN"/>
        </w:rPr>
        <w:t>。</w:t>
      </w:r>
    </w:p>
    <w:p w14:paraId="680C33DF">
      <w:pPr>
        <w:keepNext w:val="0"/>
        <w:keepLines w:val="0"/>
        <w:pageBreakBefore w:val="0"/>
        <w:widowControl/>
        <w:numPr>
          <w:ilvl w:val="0"/>
          <w:numId w:val="0"/>
        </w:numPr>
        <w:suppressLineNumbers w:val="0"/>
        <w:kinsoku/>
        <w:wordWrap/>
        <w:overflowPunct/>
        <w:topLinePunct w:val="0"/>
        <w:bidi w:val="0"/>
        <w:snapToGrid/>
        <w:spacing w:line="440" w:lineRule="exact"/>
        <w:jc w:val="left"/>
        <w:textAlignment w:val="auto"/>
        <w:rPr>
          <w:rFonts w:hint="eastAsia" w:ascii="黑体" w:hAnsi="黑体" w:eastAsia="黑体" w:cs="黑体"/>
          <w:b w:val="0"/>
          <w:bCs/>
          <w:color w:val="auto"/>
          <w:sz w:val="28"/>
          <w:szCs w:val="28"/>
          <w:highlight w:val="none"/>
          <w:lang w:eastAsia="zh-CN"/>
        </w:rPr>
      </w:pPr>
      <w:r>
        <w:rPr>
          <w:rFonts w:hint="eastAsia" w:ascii="黑体" w:hAnsi="黑体" w:eastAsia="黑体" w:cs="黑体"/>
          <w:b w:val="0"/>
          <w:bCs/>
          <w:color w:val="auto"/>
          <w:sz w:val="28"/>
          <w:szCs w:val="28"/>
          <w:highlight w:val="none"/>
          <w:lang w:eastAsia="zh-CN"/>
        </w:rPr>
        <w:t>三、</w:t>
      </w:r>
      <w:r>
        <w:rPr>
          <w:rFonts w:hint="eastAsia" w:ascii="黑体" w:hAnsi="黑体" w:eastAsia="黑体" w:cs="黑体"/>
          <w:b w:val="0"/>
          <w:bCs/>
          <w:color w:val="auto"/>
          <w:sz w:val="28"/>
          <w:szCs w:val="28"/>
          <w:highlight w:val="none"/>
        </w:rPr>
        <w:t>合同</w:t>
      </w:r>
      <w:r>
        <w:rPr>
          <w:rFonts w:hint="eastAsia" w:ascii="黑体" w:hAnsi="黑体" w:eastAsia="黑体" w:cs="黑体"/>
          <w:b w:val="0"/>
          <w:bCs/>
          <w:color w:val="auto"/>
          <w:sz w:val="28"/>
          <w:szCs w:val="28"/>
          <w:highlight w:val="none"/>
          <w:lang w:eastAsia="zh-CN"/>
        </w:rPr>
        <w:t>签订</w:t>
      </w:r>
    </w:p>
    <w:p w14:paraId="222835A7">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rPr>
        <w:t>1</w:t>
      </w:r>
      <w:r>
        <w:rPr>
          <w:rFonts w:hint="eastAsia" w:ascii="宋体" w:hAnsi="宋体" w:cstheme="minorBidi"/>
          <w:color w:val="auto"/>
          <w:sz w:val="24"/>
          <w:szCs w:val="24"/>
          <w:lang w:eastAsia="zh-CN"/>
        </w:rPr>
        <w:t>、</w:t>
      </w:r>
      <w:r>
        <w:rPr>
          <w:rFonts w:hint="eastAsia" w:ascii="宋体" w:hAnsi="宋体" w:cstheme="minorBidi"/>
          <w:color w:val="auto"/>
          <w:sz w:val="24"/>
          <w:szCs w:val="24"/>
        </w:rPr>
        <w:t>招标人根据评标工作小组的评标结果按相关法律法规的规定及公司相关制度要求，确定中标人。中标人承诺无条件服从招标人针对该项目的后续所有安排。</w:t>
      </w:r>
    </w:p>
    <w:p w14:paraId="3E0789B4">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rPr>
        <w:t>2</w:t>
      </w:r>
      <w:r>
        <w:rPr>
          <w:rFonts w:hint="eastAsia" w:ascii="宋体" w:hAnsi="宋体" w:cstheme="minorBidi"/>
          <w:color w:val="auto"/>
          <w:sz w:val="24"/>
          <w:szCs w:val="24"/>
          <w:lang w:eastAsia="zh-CN"/>
        </w:rPr>
        <w:t>、</w:t>
      </w:r>
      <w:r>
        <w:rPr>
          <w:rFonts w:hint="eastAsia" w:ascii="宋体" w:hAnsi="宋体" w:cstheme="minorBidi"/>
          <w:color w:val="auto"/>
          <w:sz w:val="24"/>
          <w:szCs w:val="24"/>
        </w:rPr>
        <w:t>招标人发送《中标通知书》给中标人，中标人应及时与招标人联系，在规定的时间内（一般为接到通知后3个工作日内）到招标单位对《中标人推荐表》进行签字确认并签订合同，如果中标人接到《中标通知书》后，无不正当理由拒签合同、在签订合同时向招标人提出无理附加条件的，取消该投标人的中标资格，该企业进入中国重汽集团《违约单位名录》,禁止其参加中国重汽集团系统内所有单位招标。</w:t>
      </w:r>
    </w:p>
    <w:p w14:paraId="1F1B5F4C">
      <w:pPr>
        <w:spacing w:line="360" w:lineRule="auto"/>
        <w:ind w:firstLine="480" w:firstLineChars="200"/>
        <w:jc w:val="left"/>
        <w:rPr>
          <w:rFonts w:ascii="宋体" w:hAnsi="宋体" w:cstheme="minorBidi"/>
          <w:color w:val="auto"/>
          <w:sz w:val="24"/>
          <w:szCs w:val="24"/>
        </w:rPr>
      </w:pPr>
      <w:r>
        <w:rPr>
          <w:rFonts w:hint="eastAsia" w:ascii="宋体" w:hAnsi="宋体" w:cstheme="minorBidi"/>
          <w:color w:val="auto"/>
          <w:sz w:val="24"/>
          <w:szCs w:val="24"/>
          <w:lang w:val="en-US" w:eastAsia="zh-CN"/>
        </w:rPr>
        <w:t>3、</w:t>
      </w:r>
      <w:r>
        <w:rPr>
          <w:rFonts w:hint="eastAsia" w:ascii="宋体" w:hAnsi="宋体" w:cstheme="minorBidi"/>
          <w:color w:val="auto"/>
          <w:sz w:val="24"/>
          <w:szCs w:val="24"/>
        </w:rPr>
        <w:t>中标人应在保证质量的前提下完成中标项目，不得将中标项目转包或分包给他人，否则视为违约，招标人或相关单位有权解除合同。</w:t>
      </w:r>
    </w:p>
    <w:p w14:paraId="57BA513C">
      <w:pPr>
        <w:spacing w:line="360" w:lineRule="auto"/>
        <w:ind w:firstLine="480" w:firstLineChars="200"/>
        <w:jc w:val="left"/>
        <w:rPr>
          <w:rFonts w:hint="eastAsia" w:ascii="宋体" w:hAnsi="宋体" w:cstheme="minorBidi"/>
          <w:color w:val="auto"/>
          <w:sz w:val="24"/>
          <w:szCs w:val="24"/>
        </w:rPr>
      </w:pPr>
      <w:r>
        <w:rPr>
          <w:rFonts w:hint="eastAsia" w:ascii="宋体" w:hAnsi="宋体" w:cstheme="minorBidi"/>
          <w:color w:val="auto"/>
          <w:sz w:val="24"/>
          <w:szCs w:val="24"/>
          <w:lang w:val="en-US" w:eastAsia="zh-CN"/>
        </w:rPr>
        <w:t>4</w:t>
      </w:r>
      <w:r>
        <w:rPr>
          <w:rFonts w:hint="eastAsia" w:ascii="宋体" w:hAnsi="宋体" w:cstheme="minorBidi"/>
          <w:color w:val="auto"/>
          <w:sz w:val="24"/>
          <w:szCs w:val="24"/>
          <w:lang w:eastAsia="zh-CN"/>
        </w:rPr>
        <w:t>、</w:t>
      </w:r>
      <w:r>
        <w:rPr>
          <w:rFonts w:hint="eastAsia" w:ascii="宋体" w:hAnsi="宋体" w:cstheme="minorBidi"/>
          <w:color w:val="auto"/>
          <w:sz w:val="24"/>
          <w:szCs w:val="24"/>
        </w:rPr>
        <w:t>在履行合同过程中，中标人由于履行义务的能力或信用有严重缺陷，招标人有权解除合同并取消其中标资格，招标人将从剩余投标人中依序重新确定中标人，或重新组织招标。</w:t>
      </w:r>
    </w:p>
    <w:p w14:paraId="50A5CA02">
      <w:pPr>
        <w:spacing w:line="360" w:lineRule="auto"/>
        <w:jc w:val="left"/>
        <w:rPr>
          <w:rFonts w:hint="eastAsia" w:ascii="黑体" w:hAnsi="黑体" w:eastAsia="黑体"/>
          <w:color w:val="auto"/>
          <w:sz w:val="28"/>
          <w:szCs w:val="24"/>
        </w:rPr>
      </w:pPr>
      <w:r>
        <w:rPr>
          <w:rFonts w:hint="eastAsia" w:ascii="黑体" w:hAnsi="黑体" w:eastAsia="黑体"/>
          <w:color w:val="auto"/>
          <w:sz w:val="28"/>
          <w:szCs w:val="24"/>
          <w:lang w:eastAsia="zh-CN"/>
        </w:rPr>
        <w:t>四</w:t>
      </w:r>
      <w:r>
        <w:rPr>
          <w:rFonts w:hint="eastAsia" w:ascii="黑体" w:hAnsi="黑体" w:eastAsia="黑体"/>
          <w:color w:val="auto"/>
          <w:sz w:val="28"/>
          <w:szCs w:val="24"/>
        </w:rPr>
        <w:t>、验收</w:t>
      </w:r>
    </w:p>
    <w:p w14:paraId="4EF020BB">
      <w:pPr>
        <w:spacing w:line="360" w:lineRule="auto"/>
        <w:ind w:firstLine="480" w:firstLineChars="200"/>
        <w:jc w:val="left"/>
        <w:rPr>
          <w:rFonts w:ascii="宋体" w:hAnsi="宋体" w:cstheme="minorBidi"/>
          <w:color w:val="auto"/>
          <w:sz w:val="24"/>
          <w:szCs w:val="24"/>
        </w:rPr>
      </w:pPr>
      <w:r>
        <w:rPr>
          <w:rFonts w:hint="eastAsia" w:ascii="宋体" w:hAnsi="宋体" w:cstheme="minorBidi"/>
          <w:color w:val="auto"/>
          <w:sz w:val="24"/>
          <w:szCs w:val="24"/>
        </w:rPr>
        <w:t>中标人不得以任何非正当理由拒绝该项目执行，招标人有权根据项目执行情况、服务及时性及态度对中标人每月度进行评分，评分标准细则详见合同，低于80 分甲方有权采取包括但不限于罚款及单方面终止合同等措施进行处罚。合同期内，乙方必须服从管理，如严重违规，给甲方造成重大损失的，甲方有权单方面无条件终止协议,合同约定以最终签署版本为准。</w:t>
      </w:r>
    </w:p>
    <w:p w14:paraId="78BCDA42">
      <w:pPr>
        <w:pStyle w:val="3"/>
        <w:rPr>
          <w:color w:val="auto"/>
        </w:rPr>
      </w:pPr>
    </w:p>
    <w:p w14:paraId="69747D3E">
      <w:pPr>
        <w:rPr>
          <w:color w:val="auto"/>
        </w:rPr>
      </w:pPr>
    </w:p>
    <w:p w14:paraId="39325463">
      <w:pPr>
        <w:jc w:val="center"/>
        <w:rPr>
          <w:rFonts w:ascii="黑体" w:hAnsi="黑体" w:eastAsia="黑体"/>
          <w:color w:val="auto"/>
          <w:sz w:val="36"/>
          <w:szCs w:val="24"/>
        </w:rPr>
      </w:pPr>
      <w:r>
        <w:rPr>
          <w:rFonts w:hint="eastAsia" w:ascii="黑体" w:hAnsi="黑体" w:eastAsia="黑体"/>
          <w:color w:val="auto"/>
          <w:sz w:val="36"/>
          <w:szCs w:val="24"/>
        </w:rPr>
        <w:t>第三章</w:t>
      </w:r>
      <w:r>
        <w:rPr>
          <w:rFonts w:hint="eastAsia" w:ascii="黑体" w:hAnsi="黑体" w:eastAsia="黑体"/>
          <w:color w:val="auto"/>
          <w:sz w:val="36"/>
          <w:szCs w:val="24"/>
          <w:lang w:val="en-US" w:eastAsia="zh-CN"/>
        </w:rPr>
        <w:t xml:space="preserve"> </w:t>
      </w:r>
      <w:r>
        <w:rPr>
          <w:rFonts w:hint="eastAsia" w:ascii="黑体" w:hAnsi="黑体" w:eastAsia="黑体"/>
          <w:color w:val="auto"/>
          <w:sz w:val="36"/>
          <w:szCs w:val="24"/>
        </w:rPr>
        <w:t>投标文件编制</w:t>
      </w:r>
    </w:p>
    <w:p w14:paraId="10160C43">
      <w:pPr>
        <w:rPr>
          <w:color w:val="auto"/>
        </w:rPr>
      </w:pPr>
    </w:p>
    <w:p w14:paraId="6596B706">
      <w:pPr>
        <w:spacing w:line="360" w:lineRule="auto"/>
        <w:jc w:val="left"/>
        <w:rPr>
          <w:rFonts w:ascii="黑体" w:hAnsi="黑体" w:eastAsia="黑体"/>
          <w:color w:val="auto"/>
          <w:sz w:val="28"/>
          <w:szCs w:val="24"/>
        </w:rPr>
      </w:pPr>
      <w:r>
        <w:rPr>
          <w:rFonts w:hint="eastAsia" w:ascii="黑体" w:hAnsi="黑体" w:eastAsia="黑体"/>
          <w:color w:val="auto"/>
          <w:sz w:val="28"/>
          <w:szCs w:val="24"/>
        </w:rPr>
        <w:t>一、投标文件签署</w:t>
      </w:r>
    </w:p>
    <w:p w14:paraId="278EBE44">
      <w:pPr>
        <w:spacing w:line="360" w:lineRule="auto"/>
        <w:ind w:firstLine="480" w:firstLineChars="200"/>
        <w:jc w:val="left"/>
        <w:rPr>
          <w:rFonts w:ascii="宋体" w:hAnsi="宋体" w:cstheme="minorBidi"/>
          <w:color w:val="auto"/>
          <w:sz w:val="24"/>
          <w:szCs w:val="24"/>
        </w:rPr>
      </w:pPr>
      <w:r>
        <w:rPr>
          <w:rFonts w:hint="eastAsia" w:ascii="宋体" w:hAnsi="宋体" w:cstheme="minorBidi"/>
          <w:color w:val="auto"/>
          <w:sz w:val="24"/>
          <w:szCs w:val="24"/>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54563507">
      <w:pPr>
        <w:spacing w:line="360" w:lineRule="auto"/>
        <w:jc w:val="left"/>
        <w:rPr>
          <w:rFonts w:ascii="黑体" w:hAnsi="黑体" w:eastAsia="黑体"/>
          <w:color w:val="auto"/>
          <w:sz w:val="28"/>
          <w:szCs w:val="24"/>
        </w:rPr>
      </w:pPr>
      <w:r>
        <w:rPr>
          <w:rFonts w:hint="eastAsia" w:ascii="黑体" w:hAnsi="黑体" w:eastAsia="黑体"/>
          <w:color w:val="auto"/>
          <w:sz w:val="28"/>
          <w:szCs w:val="24"/>
        </w:rPr>
        <w:t>二、投标文件的密封和标记</w:t>
      </w:r>
    </w:p>
    <w:p w14:paraId="6B873BB3">
      <w:pPr>
        <w:spacing w:line="360" w:lineRule="auto"/>
        <w:ind w:firstLine="480" w:firstLineChars="200"/>
        <w:jc w:val="left"/>
        <w:rPr>
          <w:rFonts w:hint="eastAsia" w:ascii="宋体" w:hAnsi="宋体" w:cstheme="minorBidi"/>
          <w:color w:val="auto"/>
          <w:sz w:val="24"/>
          <w:szCs w:val="24"/>
          <w:lang w:eastAsia="zh-CN"/>
        </w:rPr>
      </w:pPr>
      <w:r>
        <w:rPr>
          <w:rFonts w:hint="eastAsia" w:ascii="宋体" w:hAnsi="宋体" w:cstheme="minorBidi"/>
          <w:color w:val="auto"/>
          <w:sz w:val="24"/>
          <w:szCs w:val="24"/>
        </w:rPr>
        <w:t>1</w:t>
      </w:r>
      <w:r>
        <w:rPr>
          <w:rFonts w:hint="eastAsia" w:ascii="宋体" w:hAnsi="宋体" w:cstheme="minorBidi"/>
          <w:color w:val="auto"/>
          <w:sz w:val="24"/>
          <w:szCs w:val="24"/>
          <w:lang w:eastAsia="zh-CN"/>
        </w:rPr>
        <w:t>、</w:t>
      </w:r>
      <w:r>
        <w:rPr>
          <w:rFonts w:hint="eastAsia" w:ascii="宋体" w:hAnsi="宋体" w:cstheme="minorBidi"/>
          <w:color w:val="auto"/>
          <w:sz w:val="24"/>
          <w:szCs w:val="24"/>
        </w:rPr>
        <w:t>投标文件分三个密封包，即《投标文件（资质文件）》、《投标文件（技术标）》、《投标文件（商务标）》</w:t>
      </w:r>
      <w:r>
        <w:rPr>
          <w:rFonts w:hint="eastAsia" w:ascii="宋体" w:hAnsi="宋体" w:cstheme="minorBidi"/>
          <w:color w:val="auto"/>
          <w:sz w:val="24"/>
          <w:szCs w:val="24"/>
          <w:lang w:eastAsia="zh-CN"/>
        </w:rPr>
        <w:t>。</w:t>
      </w:r>
    </w:p>
    <w:p w14:paraId="44533A56">
      <w:pPr>
        <w:spacing w:line="360" w:lineRule="auto"/>
        <w:ind w:firstLine="480" w:firstLineChars="200"/>
        <w:jc w:val="left"/>
        <w:rPr>
          <w:rFonts w:hint="eastAsia" w:ascii="宋体" w:hAnsi="宋体" w:eastAsia="宋体" w:cstheme="minorBidi"/>
          <w:color w:val="auto"/>
          <w:kern w:val="2"/>
          <w:sz w:val="24"/>
          <w:szCs w:val="24"/>
          <w:lang w:val="en-US" w:eastAsia="zh-CN" w:bidi="ar-SA"/>
        </w:rPr>
      </w:pPr>
      <w:r>
        <w:rPr>
          <w:rFonts w:hint="eastAsia" w:ascii="宋体" w:hAnsi="宋体" w:cstheme="minorBidi"/>
          <w:color w:val="auto"/>
          <w:sz w:val="24"/>
          <w:szCs w:val="24"/>
          <w:lang w:val="en-US" w:eastAsia="zh-CN"/>
        </w:rPr>
        <w:t>2、</w:t>
      </w:r>
      <w:r>
        <w:rPr>
          <w:rFonts w:hint="eastAsia" w:ascii="宋体" w:hAnsi="宋体" w:cstheme="minorBidi"/>
          <w:color w:val="auto"/>
          <w:sz w:val="24"/>
          <w:szCs w:val="24"/>
        </w:rPr>
        <w:t>投标文件（资质文件）</w:t>
      </w:r>
      <w:r>
        <w:rPr>
          <w:rFonts w:hint="eastAsia" w:ascii="宋体" w:hAnsi="宋体" w:eastAsia="宋体" w:cstheme="minorBidi"/>
          <w:color w:val="auto"/>
          <w:kern w:val="2"/>
          <w:sz w:val="24"/>
          <w:szCs w:val="24"/>
          <w:lang w:val="en-US" w:eastAsia="zh-CN" w:bidi="ar-SA"/>
        </w:rPr>
        <w:t>：单独封装1份并加盖鲜章，在投标人投标的同时将“资质证明文件”交监督员审查、备案，接受投标报名不代表资格审查通过。</w:t>
      </w:r>
    </w:p>
    <w:p w14:paraId="7C6BA1A1">
      <w:pPr>
        <w:spacing w:line="360" w:lineRule="auto"/>
        <w:ind w:firstLine="480" w:firstLineChars="200"/>
        <w:jc w:val="left"/>
        <w:rPr>
          <w:rFonts w:hint="eastAsia" w:ascii="宋体" w:hAnsi="宋体" w:eastAsia="宋体" w:cstheme="minorBidi"/>
          <w:color w:val="auto"/>
          <w:kern w:val="2"/>
          <w:sz w:val="24"/>
          <w:szCs w:val="24"/>
          <w:lang w:val="en-US" w:eastAsia="zh-CN" w:bidi="ar-SA"/>
        </w:rPr>
      </w:pPr>
      <w:r>
        <w:rPr>
          <w:rFonts w:hint="eastAsia" w:ascii="宋体" w:hAnsi="宋体" w:cstheme="minorBidi"/>
          <w:color w:val="auto"/>
          <w:kern w:val="2"/>
          <w:sz w:val="24"/>
          <w:szCs w:val="24"/>
          <w:lang w:val="en-US" w:eastAsia="zh-CN" w:bidi="ar-SA"/>
        </w:rPr>
        <w:t>3、</w:t>
      </w:r>
      <w:r>
        <w:rPr>
          <w:rFonts w:hint="eastAsia" w:ascii="宋体" w:hAnsi="宋体" w:cstheme="minorBidi"/>
          <w:color w:val="auto"/>
          <w:sz w:val="24"/>
          <w:szCs w:val="24"/>
        </w:rPr>
        <w:t>投标文件（技术标）</w:t>
      </w:r>
      <w:r>
        <w:rPr>
          <w:rFonts w:hint="eastAsia" w:ascii="宋体" w:hAnsi="宋体" w:eastAsia="宋体" w:cstheme="minorBidi"/>
          <w:color w:val="auto"/>
          <w:kern w:val="2"/>
          <w:sz w:val="24"/>
          <w:szCs w:val="24"/>
          <w:lang w:val="en-US" w:eastAsia="zh-CN" w:bidi="ar-SA"/>
        </w:rPr>
        <w:t>：</w:t>
      </w:r>
      <w:r>
        <w:rPr>
          <w:rFonts w:hint="eastAsia" w:ascii="宋体" w:hAnsi="宋体" w:cstheme="minorBidi"/>
          <w:color w:val="auto"/>
          <w:kern w:val="2"/>
          <w:sz w:val="24"/>
          <w:szCs w:val="24"/>
          <w:lang w:val="en-US" w:eastAsia="zh-CN" w:bidi="ar-SA"/>
        </w:rPr>
        <w:t>3</w:t>
      </w:r>
      <w:r>
        <w:rPr>
          <w:rFonts w:hint="eastAsia" w:ascii="宋体" w:hAnsi="宋体" w:eastAsia="宋体" w:cstheme="minorBidi"/>
          <w:color w:val="auto"/>
          <w:kern w:val="2"/>
          <w:sz w:val="24"/>
          <w:szCs w:val="24"/>
          <w:lang w:val="en-US" w:eastAsia="zh-CN" w:bidi="ar-SA"/>
        </w:rPr>
        <w:t>份，纸质版正本1份、副本</w:t>
      </w:r>
      <w:r>
        <w:rPr>
          <w:rFonts w:hint="eastAsia" w:ascii="宋体" w:hAnsi="宋体" w:cstheme="minorBidi"/>
          <w:color w:val="auto"/>
          <w:kern w:val="2"/>
          <w:sz w:val="24"/>
          <w:szCs w:val="24"/>
          <w:lang w:val="en-US" w:eastAsia="zh-CN" w:bidi="ar-SA"/>
        </w:rPr>
        <w:t>2</w:t>
      </w:r>
      <w:r>
        <w:rPr>
          <w:rFonts w:hint="eastAsia" w:ascii="宋体" w:hAnsi="宋体" w:eastAsia="宋体" w:cstheme="minorBidi"/>
          <w:color w:val="auto"/>
          <w:kern w:val="2"/>
          <w:sz w:val="24"/>
          <w:szCs w:val="24"/>
          <w:lang w:val="en-US" w:eastAsia="zh-CN" w:bidi="ar-SA"/>
        </w:rPr>
        <w:t>份，若正本和副本有差异，以正本为准。</w:t>
      </w:r>
    </w:p>
    <w:p w14:paraId="7CED7D36">
      <w:pPr>
        <w:spacing w:line="360" w:lineRule="auto"/>
        <w:ind w:firstLine="480" w:firstLineChars="200"/>
        <w:jc w:val="left"/>
        <w:rPr>
          <w:rFonts w:hint="eastAsia"/>
          <w:color w:val="auto"/>
          <w:lang w:val="en-US" w:eastAsia="zh-CN"/>
        </w:rPr>
      </w:pPr>
      <w:r>
        <w:rPr>
          <w:rFonts w:hint="eastAsia" w:ascii="宋体" w:hAnsi="宋体" w:cstheme="minorBidi"/>
          <w:color w:val="auto"/>
          <w:kern w:val="2"/>
          <w:sz w:val="24"/>
          <w:szCs w:val="24"/>
          <w:lang w:val="en-US" w:eastAsia="zh-CN" w:bidi="ar-SA"/>
        </w:rPr>
        <w:t>4、</w:t>
      </w:r>
      <w:r>
        <w:rPr>
          <w:rFonts w:hint="eastAsia" w:ascii="宋体" w:hAnsi="宋体" w:cstheme="minorBidi"/>
          <w:color w:val="auto"/>
          <w:sz w:val="24"/>
          <w:szCs w:val="24"/>
        </w:rPr>
        <w:t>投标文件（商务标）</w:t>
      </w:r>
      <w:r>
        <w:rPr>
          <w:rFonts w:hint="eastAsia" w:ascii="宋体" w:hAnsi="宋体" w:eastAsia="宋体" w:cstheme="minorBidi"/>
          <w:color w:val="auto"/>
          <w:kern w:val="2"/>
          <w:sz w:val="24"/>
          <w:szCs w:val="24"/>
          <w:lang w:val="en-US" w:eastAsia="zh-CN" w:bidi="ar-SA"/>
        </w:rPr>
        <w:t>:单独封装1份并加盖鲜章。</w:t>
      </w:r>
    </w:p>
    <w:p w14:paraId="7602BF3C">
      <w:pPr>
        <w:pStyle w:val="4"/>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hAnsi="宋体" w:cstheme="minorBidi"/>
          <w:color w:val="auto"/>
          <w:kern w:val="2"/>
          <w:sz w:val="24"/>
          <w:szCs w:val="24"/>
          <w:lang w:val="en-US" w:eastAsia="zh-CN" w:bidi="ar-SA"/>
        </w:rPr>
        <w:t>5、</w:t>
      </w:r>
      <w:r>
        <w:rPr>
          <w:rFonts w:hint="eastAsia" w:asciiTheme="minorEastAsia" w:hAnsiTheme="minorEastAsia" w:eastAsiaTheme="minorEastAsia" w:cstheme="minorEastAsia"/>
          <w:color w:val="auto"/>
          <w:kern w:val="2"/>
          <w:sz w:val="24"/>
          <w:szCs w:val="24"/>
          <w:highlight w:val="none"/>
          <w:lang w:val="en-US" w:eastAsia="zh-CN" w:bidi="ar-SA"/>
        </w:rPr>
        <w:t>电子版文件：</w:t>
      </w:r>
      <w:r>
        <w:rPr>
          <w:rFonts w:hint="eastAsia" w:asciiTheme="minorEastAsia" w:hAnsiTheme="minorEastAsia" w:cstheme="minorEastAsia"/>
          <w:color w:val="auto"/>
          <w:kern w:val="2"/>
          <w:sz w:val="24"/>
          <w:szCs w:val="24"/>
          <w:highlight w:val="none"/>
          <w:lang w:val="en-US" w:eastAsia="zh-CN" w:bidi="ar-SA"/>
        </w:rPr>
        <w:t>U盘</w:t>
      </w:r>
      <w:r>
        <w:rPr>
          <w:rFonts w:hint="eastAsia" w:asciiTheme="minorEastAsia" w:hAnsiTheme="minorEastAsia" w:eastAsiaTheme="minorEastAsia" w:cstheme="minorEastAsia"/>
          <w:color w:val="auto"/>
          <w:kern w:val="2"/>
          <w:sz w:val="24"/>
          <w:szCs w:val="24"/>
          <w:highlight w:val="none"/>
          <w:lang w:val="en-US" w:eastAsia="zh-CN" w:bidi="ar-SA"/>
        </w:rPr>
        <w:t>1份，应包含资质文件、</w:t>
      </w:r>
      <w:r>
        <w:rPr>
          <w:rFonts w:hint="eastAsia" w:asciiTheme="minorEastAsia" w:hAnsiTheme="minorEastAsia" w:cstheme="minorEastAsia"/>
          <w:color w:val="auto"/>
          <w:kern w:val="2"/>
          <w:sz w:val="24"/>
          <w:szCs w:val="24"/>
          <w:highlight w:val="none"/>
          <w:lang w:val="en-US" w:eastAsia="zh-CN" w:bidi="ar-SA"/>
        </w:rPr>
        <w:t>技术标文件、商务标文件</w:t>
      </w:r>
      <w:r>
        <w:rPr>
          <w:rFonts w:hint="eastAsia" w:asciiTheme="minorEastAsia" w:hAnsiTheme="minorEastAsia" w:eastAsiaTheme="minorEastAsia" w:cstheme="minorEastAsia"/>
          <w:color w:val="auto"/>
          <w:kern w:val="2"/>
          <w:sz w:val="24"/>
          <w:szCs w:val="24"/>
          <w:highlight w:val="none"/>
          <w:lang w:val="en-US" w:eastAsia="zh-CN" w:bidi="ar-SA"/>
        </w:rPr>
        <w:t>，U盘需上交存档，不返还。</w:t>
      </w:r>
    </w:p>
    <w:p w14:paraId="14A3ECD5">
      <w:pPr>
        <w:pStyle w:val="4"/>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heme="minorBidi"/>
          <w:color w:val="auto"/>
          <w:kern w:val="2"/>
          <w:sz w:val="24"/>
          <w:szCs w:val="24"/>
          <w:lang w:val="en-US" w:eastAsia="zh-CN" w:bidi="ar-SA"/>
        </w:rPr>
      </w:pPr>
      <w:r>
        <w:rPr>
          <w:rFonts w:hint="eastAsia" w:asciiTheme="minorEastAsia" w:hAnsiTheme="minorEastAsia" w:cstheme="minorEastAsia"/>
          <w:color w:val="auto"/>
          <w:kern w:val="2"/>
          <w:sz w:val="24"/>
          <w:szCs w:val="24"/>
          <w:highlight w:val="none"/>
          <w:lang w:val="en-US" w:eastAsia="zh-CN" w:bidi="ar-SA"/>
        </w:rPr>
        <w:t>6、</w:t>
      </w:r>
      <w:r>
        <w:rPr>
          <w:rFonts w:hint="eastAsia" w:ascii="宋体" w:hAnsi="宋体" w:eastAsia="宋体" w:cstheme="minorBidi"/>
          <w:color w:val="auto"/>
          <w:kern w:val="2"/>
          <w:sz w:val="24"/>
          <w:szCs w:val="24"/>
          <w:lang w:val="en-US" w:eastAsia="zh-CN" w:bidi="ar-SA"/>
        </w:rPr>
        <w:t>资质文件、</w:t>
      </w:r>
      <w:r>
        <w:rPr>
          <w:rFonts w:hint="eastAsia" w:hAnsi="宋体" w:eastAsia="宋体" w:cstheme="minorBidi"/>
          <w:color w:val="auto"/>
          <w:kern w:val="2"/>
          <w:sz w:val="24"/>
          <w:szCs w:val="24"/>
          <w:lang w:val="en-US" w:eastAsia="zh-CN" w:bidi="ar-SA"/>
        </w:rPr>
        <w:t>技术标文件、商务标文件</w:t>
      </w:r>
      <w:r>
        <w:rPr>
          <w:rFonts w:hint="eastAsia" w:ascii="宋体" w:hAnsi="宋体" w:eastAsia="宋体" w:cstheme="minorBidi"/>
          <w:color w:val="auto"/>
          <w:kern w:val="2"/>
          <w:sz w:val="24"/>
          <w:szCs w:val="24"/>
          <w:lang w:val="en-US" w:eastAsia="zh-CN" w:bidi="ar-SA"/>
        </w:rPr>
        <w:t>均需分别密封，密封封面注明：文件名称、项目编号、项目名称、投标人名称（加盖公章）、地址、联系人、电话、邮编、传真。每一密封文件在封口处加盖投标人公章并注明“于202*年**月**日上午**时之前不准启封”字样。</w:t>
      </w:r>
    </w:p>
    <w:p w14:paraId="00039805">
      <w:pPr>
        <w:spacing w:line="360" w:lineRule="auto"/>
        <w:jc w:val="left"/>
        <w:rPr>
          <w:rFonts w:ascii="黑体" w:hAnsi="黑体" w:eastAsia="黑体"/>
          <w:color w:val="auto"/>
          <w:sz w:val="28"/>
          <w:szCs w:val="24"/>
        </w:rPr>
      </w:pPr>
      <w:r>
        <w:rPr>
          <w:rFonts w:hint="eastAsia" w:ascii="黑体" w:hAnsi="黑体" w:eastAsia="黑体"/>
          <w:color w:val="auto"/>
          <w:sz w:val="28"/>
          <w:szCs w:val="24"/>
        </w:rPr>
        <w:t>三、开标时需提交的材料</w:t>
      </w:r>
    </w:p>
    <w:p w14:paraId="7C5DA957">
      <w:pPr>
        <w:spacing w:line="360" w:lineRule="auto"/>
        <w:ind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1</w:t>
      </w:r>
      <w:r>
        <w:rPr>
          <w:rFonts w:hint="eastAsia" w:ascii="宋体" w:hAnsi="宋体" w:cstheme="minorBidi"/>
          <w:color w:val="auto"/>
          <w:sz w:val="24"/>
          <w:szCs w:val="24"/>
          <w:lang w:eastAsia="zh-CN"/>
        </w:rPr>
        <w:t>、</w:t>
      </w:r>
      <w:r>
        <w:rPr>
          <w:rFonts w:hint="eastAsia" w:ascii="宋体" w:hAnsi="宋体" w:cstheme="minorBidi"/>
          <w:color w:val="auto"/>
          <w:sz w:val="24"/>
          <w:szCs w:val="24"/>
          <w:lang w:val="en-US" w:eastAsia="zh-CN"/>
        </w:rPr>
        <w:t>资质文件：（纸质版）</w:t>
      </w:r>
    </w:p>
    <w:p w14:paraId="466D39F8">
      <w:pPr>
        <w:spacing w:line="360" w:lineRule="auto"/>
        <w:ind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① 提供原件备查：三证合一营业执照副本；法人代表授权书；身份证；</w:t>
      </w:r>
    </w:p>
    <w:p w14:paraId="52A9A154">
      <w:pPr>
        <w:spacing w:line="360" w:lineRule="auto"/>
        <w:ind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② 提供复印件，并在复印件上盖鲜章：三证合一营业执照副本；法人代表授权书；法人及被授权人身份证（正反面）；在以往的招投标活动中无违法、违规、违纪、违约行为的说明。</w:t>
      </w:r>
    </w:p>
    <w:p w14:paraId="2357DBB0">
      <w:pPr>
        <w:spacing w:line="360" w:lineRule="auto"/>
        <w:ind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2、技术标文件：（纸质版）</w:t>
      </w:r>
    </w:p>
    <w:p w14:paraId="397A9C2F">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投标函（附件一）；</w:t>
      </w:r>
    </w:p>
    <w:p w14:paraId="6538019C">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法定代表人授权委托书（附件二，参与投标人不是法定代表人的，应出具由法定代表人签署并加盖公章的授权书）；</w:t>
      </w:r>
    </w:p>
    <w:p w14:paraId="16F70799">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企业情况一览表（附件三），后附投标单位正式在职人员证明及工作经历、缴纳社保证明等；</w:t>
      </w:r>
    </w:p>
    <w:p w14:paraId="1E80FCD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企业业绩一览表（附件四），投标人在近两年为企业提供单个合同3万元以上的业绩证明材料；</w:t>
      </w:r>
    </w:p>
    <w:p w14:paraId="1ECCFE5F">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投标企业近年内重点合作项目的优秀活动案例；</w:t>
      </w:r>
    </w:p>
    <w:p w14:paraId="54CA3AE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响应承诺书：包含服务承诺、响应承诺、售后及质保期承诺、交付期承诺等四项内容，均需说明，格式自拟，加盖公章。</w:t>
      </w:r>
    </w:p>
    <w:p w14:paraId="089B840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投标人近三年的公司财务报表复印件加盖公章；</w:t>
      </w:r>
    </w:p>
    <w:p w14:paraId="7C391CFC">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具有统一社会信用代码的三证合一的营业执照副本原件及复印件加盖公章；</w:t>
      </w:r>
    </w:p>
    <w:p w14:paraId="311A5C5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p>
    <w:p w14:paraId="47009B4F">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企业最近半年完税证明、年度纳税信用评价信息（可从电子税务局查询截图，需加盖公章）；</w:t>
      </w:r>
    </w:p>
    <w:p w14:paraId="4645C14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投标人技术说明材料（格式自拟）：包含投标人基本情况及实力介绍，创意设计能力简述；投标人针对本项目服务范围及要求编制的策划方案，内容包括但不限于：策划创意、布展搭建、会务服务、安全保证措施、组织措施（包括为本项目配备的组织机构、人员结构、人员数量）、现场管理措施、后勤保障措施等；</w:t>
      </w:r>
    </w:p>
    <w:p w14:paraId="0778DEE4">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保证金缴纳凭证；</w:t>
      </w:r>
    </w:p>
    <w:p w14:paraId="6669B28C">
      <w:pPr>
        <w:numPr>
          <w:ilvl w:val="0"/>
          <w:numId w:val="12"/>
        </w:numPr>
        <w:spacing w:line="360" w:lineRule="auto"/>
        <w:ind w:left="0" w:leftChars="0" w:firstLine="480" w:firstLineChars="20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评分表中提到的相关证明材料以及投标人认为有必要提交的其它文件。</w:t>
      </w:r>
    </w:p>
    <w:p w14:paraId="2D85CA8C">
      <w:pPr>
        <w:numPr>
          <w:ilvl w:val="0"/>
          <w:numId w:val="7"/>
        </w:numPr>
        <w:spacing w:line="360" w:lineRule="auto"/>
        <w:ind w:left="420" w:leftChars="0" w:firstLine="0" w:firstLineChars="0"/>
        <w:jc w:val="left"/>
        <w:rPr>
          <w:rFonts w:hint="eastAsia" w:ascii="宋体" w:hAnsi="宋体" w:cstheme="minorBidi"/>
          <w:color w:val="auto"/>
          <w:sz w:val="24"/>
          <w:szCs w:val="24"/>
          <w:lang w:val="en-US" w:eastAsia="zh-CN"/>
        </w:rPr>
      </w:pPr>
      <w:r>
        <w:rPr>
          <w:rFonts w:hint="eastAsia" w:ascii="宋体" w:hAnsi="宋体" w:cstheme="minorBidi"/>
          <w:color w:val="auto"/>
          <w:sz w:val="24"/>
          <w:szCs w:val="24"/>
          <w:lang w:val="en-US" w:eastAsia="zh-CN"/>
        </w:rPr>
        <w:t>商务标文件：（纸质版）</w:t>
      </w:r>
    </w:p>
    <w:p w14:paraId="3752FF92">
      <w:pPr>
        <w:numPr>
          <w:ilvl w:val="0"/>
          <w:numId w:val="0"/>
        </w:numPr>
        <w:spacing w:line="360" w:lineRule="auto"/>
        <w:ind w:left="420" w:leftChars="0" w:firstLine="480" w:firstLineChars="200"/>
        <w:jc w:val="left"/>
        <w:rPr>
          <w:rFonts w:ascii="宋体" w:hAnsi="宋体" w:cstheme="minorBidi"/>
          <w:color w:val="auto"/>
          <w:sz w:val="24"/>
          <w:szCs w:val="24"/>
        </w:rPr>
      </w:pPr>
      <w:r>
        <w:rPr>
          <w:rFonts w:hint="eastAsia" w:ascii="宋体" w:hAnsi="宋体" w:cstheme="minorBidi"/>
          <w:color w:val="auto"/>
          <w:sz w:val="24"/>
          <w:szCs w:val="24"/>
        </w:rPr>
        <w:t>《</w:t>
      </w:r>
      <w:r>
        <w:rPr>
          <w:rFonts w:hint="eastAsia" w:ascii="宋体" w:hAnsi="宋体" w:cstheme="minorBidi"/>
          <w:color w:val="auto"/>
          <w:sz w:val="24"/>
          <w:szCs w:val="24"/>
          <w:lang w:val="en-US" w:eastAsia="zh-CN"/>
        </w:rPr>
        <w:t>XXXX</w:t>
      </w:r>
      <w:r>
        <w:rPr>
          <w:rFonts w:hint="eastAsia" w:ascii="宋体" w:hAnsi="宋体" w:cstheme="minorBidi"/>
          <w:color w:val="auto"/>
          <w:sz w:val="24"/>
          <w:szCs w:val="24"/>
        </w:rPr>
        <w:t>项目</w:t>
      </w:r>
      <w:r>
        <w:rPr>
          <w:rFonts w:hint="eastAsia" w:ascii="宋体" w:hAnsi="宋体" w:cstheme="minorBidi"/>
          <w:color w:val="auto"/>
          <w:sz w:val="24"/>
          <w:szCs w:val="24"/>
          <w:lang w:eastAsia="zh-CN"/>
        </w:rPr>
        <w:t>报价一览表</w:t>
      </w:r>
      <w:r>
        <w:rPr>
          <w:rFonts w:hint="eastAsia" w:ascii="宋体" w:hAnsi="宋体" w:cstheme="minorBidi"/>
          <w:color w:val="auto"/>
          <w:sz w:val="24"/>
          <w:szCs w:val="24"/>
        </w:rPr>
        <w:t>》（以下简称“《</w:t>
      </w:r>
      <w:r>
        <w:rPr>
          <w:rFonts w:hint="eastAsia" w:ascii="宋体" w:hAnsi="宋体" w:cstheme="minorBidi"/>
          <w:color w:val="auto"/>
          <w:sz w:val="24"/>
          <w:szCs w:val="24"/>
          <w:lang w:eastAsia="zh-CN"/>
        </w:rPr>
        <w:t>报价一览表</w:t>
      </w:r>
      <w:r>
        <w:rPr>
          <w:rFonts w:hint="eastAsia" w:ascii="宋体" w:hAnsi="宋体" w:cstheme="minorBidi"/>
          <w:color w:val="auto"/>
          <w:sz w:val="24"/>
          <w:szCs w:val="24"/>
        </w:rPr>
        <w:t>》”），开标现场录入供应商报价电子版信息。《</w:t>
      </w:r>
      <w:r>
        <w:rPr>
          <w:rFonts w:hint="eastAsia" w:ascii="宋体" w:hAnsi="宋体" w:cstheme="minorBidi"/>
          <w:color w:val="auto"/>
          <w:sz w:val="24"/>
          <w:szCs w:val="24"/>
          <w:lang w:eastAsia="zh-CN"/>
        </w:rPr>
        <w:t>报价一览表</w:t>
      </w:r>
      <w:r>
        <w:rPr>
          <w:rFonts w:hint="eastAsia" w:ascii="宋体" w:hAnsi="宋体" w:cstheme="minorBidi"/>
          <w:color w:val="auto"/>
          <w:sz w:val="24"/>
          <w:szCs w:val="24"/>
        </w:rPr>
        <w:t>》文件格式均为Excel 表格，且不允许修改格式，若不按此格式进行报价，则视为无效报价；《</w:t>
      </w:r>
      <w:r>
        <w:rPr>
          <w:rFonts w:hint="eastAsia" w:ascii="宋体" w:hAnsi="宋体" w:cstheme="minorBidi"/>
          <w:color w:val="auto"/>
          <w:sz w:val="24"/>
          <w:szCs w:val="24"/>
          <w:lang w:eastAsia="zh-CN"/>
        </w:rPr>
        <w:t>报价一览表</w:t>
      </w:r>
      <w:r>
        <w:rPr>
          <w:rFonts w:hint="eastAsia" w:ascii="宋体" w:hAnsi="宋体" w:cstheme="minorBidi"/>
          <w:color w:val="auto"/>
          <w:sz w:val="24"/>
          <w:szCs w:val="24"/>
        </w:rPr>
        <w:t>》中条目不允许增删、改动、筛选、隐藏，尤其是“序号”列，若有则视为无效报价；《</w:t>
      </w:r>
      <w:r>
        <w:rPr>
          <w:rFonts w:hint="eastAsia" w:ascii="宋体" w:hAnsi="宋体" w:cstheme="minorBidi"/>
          <w:color w:val="auto"/>
          <w:sz w:val="24"/>
          <w:szCs w:val="24"/>
          <w:lang w:eastAsia="zh-CN"/>
        </w:rPr>
        <w:t>报价一览表</w:t>
      </w:r>
      <w:r>
        <w:rPr>
          <w:rFonts w:hint="eastAsia" w:ascii="宋体" w:hAnsi="宋体" w:cstheme="minorBidi"/>
          <w:color w:val="auto"/>
          <w:sz w:val="24"/>
          <w:szCs w:val="24"/>
        </w:rPr>
        <w:t>》表格不能存在数据引用、链接、运算、样式、合并单元格等相关内容。</w:t>
      </w:r>
    </w:p>
    <w:p w14:paraId="6EF14411">
      <w:pPr>
        <w:jc w:val="both"/>
        <w:rPr>
          <w:rFonts w:hint="eastAsia" w:ascii="黑体" w:hAnsi="黑体" w:eastAsia="黑体"/>
          <w:color w:val="auto"/>
          <w:sz w:val="36"/>
          <w:szCs w:val="24"/>
        </w:rPr>
      </w:pPr>
    </w:p>
    <w:p w14:paraId="660F56BE">
      <w:pPr>
        <w:pStyle w:val="3"/>
        <w:rPr>
          <w:color w:val="auto"/>
        </w:rPr>
      </w:pPr>
    </w:p>
    <w:p w14:paraId="2E30E0DB">
      <w:pPr>
        <w:rPr>
          <w:color w:val="auto"/>
        </w:rPr>
      </w:pPr>
    </w:p>
    <w:p w14:paraId="62815B02">
      <w:pPr>
        <w:rPr>
          <w:color w:val="auto"/>
        </w:rPr>
      </w:pPr>
    </w:p>
    <w:p w14:paraId="571B8F00">
      <w:pPr>
        <w:pStyle w:val="3"/>
        <w:rPr>
          <w:color w:val="auto"/>
        </w:rPr>
      </w:pPr>
    </w:p>
    <w:p w14:paraId="7FA889F2">
      <w:pPr>
        <w:rPr>
          <w:color w:val="auto"/>
        </w:rPr>
      </w:pPr>
    </w:p>
    <w:p w14:paraId="7ABB8356">
      <w:pPr>
        <w:rPr>
          <w:color w:val="auto"/>
        </w:rPr>
      </w:pPr>
    </w:p>
    <w:p w14:paraId="3EF47CDA">
      <w:pPr>
        <w:rPr>
          <w:color w:val="auto"/>
        </w:rPr>
      </w:pPr>
    </w:p>
    <w:p w14:paraId="4A16DD60">
      <w:pPr>
        <w:rPr>
          <w:color w:val="auto"/>
        </w:rPr>
      </w:pPr>
    </w:p>
    <w:p w14:paraId="5F171030">
      <w:pPr>
        <w:rPr>
          <w:color w:val="auto"/>
        </w:rPr>
      </w:pPr>
    </w:p>
    <w:p w14:paraId="6FD8B7C4">
      <w:pPr>
        <w:rPr>
          <w:color w:val="auto"/>
        </w:rPr>
      </w:pPr>
    </w:p>
    <w:p w14:paraId="69CF0BDE">
      <w:pPr>
        <w:rPr>
          <w:color w:val="auto"/>
        </w:rPr>
      </w:pPr>
    </w:p>
    <w:p w14:paraId="33F6B46C">
      <w:pPr>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附件一：投标函</w:t>
      </w:r>
    </w:p>
    <w:p w14:paraId="3BAD6264">
      <w:pPr>
        <w:pStyle w:val="3"/>
        <w:rPr>
          <w:rFonts w:hint="eastAsia"/>
          <w:color w:val="auto"/>
          <w:lang w:val="en-US" w:eastAsia="zh-CN"/>
        </w:rPr>
      </w:pPr>
    </w:p>
    <w:p w14:paraId="636436C9">
      <w:pPr>
        <w:spacing w:line="240" w:lineRule="auto"/>
        <w:jc w:val="center"/>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rPr>
        <w:t>投标</w:t>
      </w:r>
      <w:r>
        <w:rPr>
          <w:rFonts w:hint="eastAsia" w:asciiTheme="minorEastAsia" w:hAnsiTheme="minorEastAsia" w:eastAsiaTheme="minorEastAsia" w:cstheme="minorEastAsia"/>
          <w:b/>
          <w:bCs/>
          <w:color w:val="auto"/>
          <w:sz w:val="24"/>
          <w:szCs w:val="24"/>
          <w:highlight w:val="none"/>
          <w:lang w:eastAsia="zh-CN"/>
        </w:rPr>
        <w:t>函</w:t>
      </w:r>
    </w:p>
    <w:p w14:paraId="4360E8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致</w:t>
      </w:r>
      <w:r>
        <w:rPr>
          <w:rFonts w:hint="eastAsia" w:asciiTheme="minorEastAsia" w:hAnsiTheme="minorEastAsia" w:eastAsiaTheme="minorEastAsia" w:cstheme="minorEastAsia"/>
          <w:color w:val="auto"/>
          <w:sz w:val="24"/>
          <w:szCs w:val="24"/>
          <w:highlight w:val="none"/>
          <w:u w:val="single"/>
        </w:rPr>
        <w:t>（招标人名称）                            ：</w:t>
      </w:r>
    </w:p>
    <w:p w14:paraId="0A3B0106">
      <w:pPr>
        <w:keepNext w:val="0"/>
        <w:keepLines w:val="0"/>
        <w:pageBreakBefore w:val="0"/>
        <w:widowControl w:val="0"/>
        <w:kinsoku/>
        <w:wordWrap/>
        <w:overflowPunct/>
        <w:topLinePunct w:val="0"/>
        <w:autoSpaceDE/>
        <w:autoSpaceDN/>
        <w:bidi w:val="0"/>
        <w:adjustRightInd/>
        <w:snapToGrid/>
        <w:spacing w:line="360" w:lineRule="auto"/>
        <w:ind w:firstLine="64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根据贵方为</w:t>
      </w:r>
      <w:r>
        <w:rPr>
          <w:rFonts w:hint="eastAsia" w:asciiTheme="minorEastAsia" w:hAnsiTheme="minorEastAsia" w:eastAsiaTheme="minorEastAsia" w:cstheme="minorEastAsia"/>
          <w:color w:val="auto"/>
          <w:sz w:val="24"/>
          <w:szCs w:val="24"/>
          <w:highlight w:val="none"/>
          <w:u w:val="single"/>
          <w:lang w:val="en-US" w:eastAsia="zh-CN"/>
        </w:rPr>
        <w:t xml:space="preserve">                                                        （项目名称）  </w:t>
      </w:r>
      <w:r>
        <w:rPr>
          <w:rFonts w:hint="eastAsia" w:asciiTheme="minorEastAsia" w:hAnsiTheme="minorEastAsia" w:eastAsiaTheme="minorEastAsia" w:cstheme="minorEastAsia"/>
          <w:color w:val="auto"/>
          <w:sz w:val="24"/>
          <w:szCs w:val="24"/>
          <w:highlight w:val="none"/>
        </w:rPr>
        <w:t>招标</w:t>
      </w:r>
      <w:r>
        <w:rPr>
          <w:rFonts w:hint="eastAsia" w:asciiTheme="minorEastAsia" w:hAnsiTheme="minorEastAsia" w:eastAsiaTheme="minorEastAsia" w:cstheme="minorEastAsia"/>
          <w:color w:val="auto"/>
          <w:sz w:val="24"/>
          <w:szCs w:val="24"/>
          <w:highlight w:val="none"/>
          <w:lang w:eastAsia="zh-CN"/>
        </w:rPr>
        <w:t>文件</w:t>
      </w:r>
      <w:r>
        <w:rPr>
          <w:rFonts w:hint="eastAsia" w:asciiTheme="minorEastAsia" w:hAnsiTheme="minorEastAsia" w:eastAsiaTheme="minorEastAsia" w:cstheme="minorEastAsia"/>
          <w:color w:val="auto"/>
          <w:sz w:val="24"/>
          <w:szCs w:val="24"/>
          <w:highlight w:val="none"/>
        </w:rPr>
        <w:t>，签字代表</w:t>
      </w:r>
      <w:r>
        <w:rPr>
          <w:rFonts w:hint="eastAsia" w:asciiTheme="minorEastAsia" w:hAnsiTheme="minorEastAsia" w:eastAsiaTheme="minorEastAsia" w:cstheme="minorEastAsia"/>
          <w:color w:val="auto"/>
          <w:sz w:val="24"/>
          <w:szCs w:val="24"/>
          <w:highlight w:val="none"/>
          <w:u w:val="single"/>
        </w:rPr>
        <w:t xml:space="preserve">（全名、职务）           </w:t>
      </w:r>
      <w:r>
        <w:rPr>
          <w:rFonts w:hint="eastAsia" w:asciiTheme="minorEastAsia" w:hAnsiTheme="minorEastAsia" w:eastAsiaTheme="minorEastAsia" w:cstheme="minorEastAsia"/>
          <w:color w:val="auto"/>
          <w:sz w:val="24"/>
          <w:szCs w:val="24"/>
          <w:highlight w:val="none"/>
        </w:rPr>
        <w:t>经正式授权并代表投标人</w:t>
      </w:r>
      <w:r>
        <w:rPr>
          <w:rFonts w:hint="eastAsia" w:asciiTheme="minorEastAsia" w:hAnsiTheme="minorEastAsia" w:eastAsiaTheme="minorEastAsia" w:cstheme="minorEastAsia"/>
          <w:color w:val="auto"/>
          <w:sz w:val="24"/>
          <w:szCs w:val="24"/>
          <w:highlight w:val="none"/>
          <w:u w:val="single"/>
        </w:rPr>
        <w:t xml:space="preserve">（投标人名称、地址）              </w:t>
      </w:r>
      <w:r>
        <w:rPr>
          <w:rFonts w:hint="eastAsia" w:asciiTheme="minorEastAsia" w:hAnsiTheme="minorEastAsia" w:eastAsiaTheme="minorEastAsia" w:cstheme="minorEastAsia"/>
          <w:color w:val="auto"/>
          <w:sz w:val="24"/>
          <w:szCs w:val="24"/>
          <w:highlight w:val="none"/>
        </w:rPr>
        <w:t>提交下述文件：</w:t>
      </w:r>
    </w:p>
    <w:p w14:paraId="47C58C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据此，签字代表宣布同意如下：</w:t>
      </w:r>
    </w:p>
    <w:p w14:paraId="050FAA5A">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投标人将按招标文件的规定履行合同责任和义务。</w:t>
      </w:r>
    </w:p>
    <w:p w14:paraId="5334A9BF">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投标人已详细审查全部招标文件，包括修改文件（如有的话）以及全部参考资料和有关附件，我们完全理解并同意放弃对这方面有不明及误解的权利。</w:t>
      </w:r>
    </w:p>
    <w:p w14:paraId="021418DC">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投标有效期：自投标截止之日起至合同签署日一直有效。</w:t>
      </w:r>
    </w:p>
    <w:p w14:paraId="34C71610">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投标人同意提供贵方要求的可能与投标有关的一切数据和资料，完全理解贵方不一定要接受最低价的投标或收到的任何投标。</w:t>
      </w:r>
    </w:p>
    <w:p w14:paraId="3ACDB99A">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投标人承诺所提供的所有数据和资料均真实有效，如存在虚报情况，投标人愿为此承担一切法律责任，并主动退出本项目竞标。</w:t>
      </w:r>
    </w:p>
    <w:p w14:paraId="09AFBEE8">
      <w:pPr>
        <w:keepNext w:val="0"/>
        <w:keepLines w:val="0"/>
        <w:pageBreakBefore w:val="0"/>
        <w:widowControl w:val="0"/>
        <w:numPr>
          <w:ilvl w:val="0"/>
          <w:numId w:val="13"/>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与本投标有关的一切正式往来通讯请寄：</w:t>
      </w:r>
    </w:p>
    <w:p w14:paraId="2B2764ED">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地址：                                   邮编：</w:t>
      </w:r>
    </w:p>
    <w:p w14:paraId="1BC39370">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电话：                                   传真：</w:t>
      </w:r>
    </w:p>
    <w:p w14:paraId="6D7299DC">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p>
    <w:p w14:paraId="570F777B">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p>
    <w:p w14:paraId="1FF00A07">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投标人授权代表签字：     </w:t>
      </w:r>
      <w:r>
        <w:rPr>
          <w:rFonts w:hint="eastAsia" w:asciiTheme="minorEastAsia" w:hAnsiTheme="minorEastAsia" w:eastAsiaTheme="minorEastAsia" w:cstheme="minorEastAsia"/>
          <w:color w:val="auto"/>
          <w:sz w:val="24"/>
          <w:szCs w:val="24"/>
          <w:highlight w:val="none"/>
          <w:lang w:val="en-US" w:eastAsia="zh-CN"/>
        </w:rPr>
        <w:t xml:space="preserve">                </w:t>
      </w:r>
      <w:r>
        <w:rPr>
          <w:rFonts w:hint="eastAsia" w:asciiTheme="minorEastAsia" w:hAnsiTheme="minorEastAsia" w:eastAsiaTheme="minorEastAsia" w:cstheme="minorEastAsia"/>
          <w:color w:val="auto"/>
          <w:sz w:val="24"/>
          <w:szCs w:val="24"/>
          <w:highlight w:val="none"/>
        </w:rPr>
        <w:t xml:space="preserve">           </w:t>
      </w:r>
    </w:p>
    <w:p w14:paraId="256AAE36">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 xml:space="preserve">职务：                 </w:t>
      </w:r>
      <w:r>
        <w:rPr>
          <w:rFonts w:hint="eastAsia" w:asciiTheme="minorEastAsia" w:hAnsiTheme="minorEastAsia" w:eastAsiaTheme="minorEastAsia" w:cstheme="minorEastAsia"/>
          <w:color w:val="auto"/>
          <w:sz w:val="24"/>
          <w:szCs w:val="24"/>
          <w:highlight w:val="none"/>
          <w:lang w:val="en-US" w:eastAsia="zh-CN"/>
        </w:rPr>
        <w:t xml:space="preserve">                   </w:t>
      </w:r>
    </w:p>
    <w:p w14:paraId="42D68C16">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投标人名称（及公章）：</w:t>
      </w:r>
    </w:p>
    <w:p w14:paraId="1301E3E8">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日期：       </w:t>
      </w:r>
    </w:p>
    <w:p w14:paraId="3A2AB6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14:paraId="7D36E85A">
      <w:pPr>
        <w:spacing w:line="240" w:lineRule="auto"/>
        <w:rPr>
          <w:rFonts w:hint="eastAsia" w:asciiTheme="minorEastAsia" w:hAnsiTheme="minorEastAsia" w:eastAsiaTheme="minorEastAsia" w:cstheme="minorEastAsia"/>
          <w:color w:val="auto"/>
          <w:sz w:val="24"/>
          <w:szCs w:val="24"/>
          <w:highlight w:val="none"/>
        </w:rPr>
      </w:pPr>
    </w:p>
    <w:p w14:paraId="201D1CAA">
      <w:pPr>
        <w:spacing w:line="240" w:lineRule="auto"/>
        <w:rPr>
          <w:rFonts w:hint="eastAsia" w:asciiTheme="minorEastAsia" w:hAnsiTheme="minorEastAsia" w:eastAsiaTheme="minorEastAsia" w:cstheme="minorEastAsia"/>
          <w:color w:val="auto"/>
          <w:sz w:val="24"/>
          <w:szCs w:val="24"/>
          <w:highlight w:val="none"/>
        </w:rPr>
      </w:pPr>
    </w:p>
    <w:p w14:paraId="70CC767C">
      <w:pPr>
        <w:pStyle w:val="3"/>
        <w:rPr>
          <w:rFonts w:hint="eastAsia" w:asciiTheme="minorEastAsia" w:hAnsiTheme="minorEastAsia" w:eastAsiaTheme="minorEastAsia" w:cstheme="minorEastAsia"/>
          <w:color w:val="auto"/>
          <w:sz w:val="24"/>
          <w:szCs w:val="24"/>
          <w:highlight w:val="none"/>
        </w:rPr>
      </w:pPr>
    </w:p>
    <w:p w14:paraId="7BA2F6BC">
      <w:pPr>
        <w:rPr>
          <w:rFonts w:hint="eastAsia"/>
        </w:rPr>
      </w:pPr>
    </w:p>
    <w:p w14:paraId="69BA381E">
      <w:pPr>
        <w:spacing w:line="240" w:lineRule="auto"/>
        <w:rPr>
          <w:rFonts w:hint="eastAsia" w:asciiTheme="minorEastAsia" w:hAnsiTheme="minorEastAsia" w:eastAsiaTheme="minorEastAsia" w:cstheme="minorEastAsia"/>
          <w:color w:val="auto"/>
          <w:sz w:val="24"/>
          <w:szCs w:val="24"/>
          <w:highlight w:val="none"/>
        </w:rPr>
      </w:pPr>
    </w:p>
    <w:p w14:paraId="36BDA44E">
      <w:pPr>
        <w:spacing w:line="240" w:lineRule="auto"/>
        <w:rPr>
          <w:rFonts w:hint="eastAsia" w:asciiTheme="minorEastAsia" w:hAnsiTheme="minorEastAsia" w:eastAsiaTheme="minorEastAsia" w:cstheme="minorEastAsia"/>
          <w:color w:val="auto"/>
          <w:sz w:val="24"/>
          <w:szCs w:val="24"/>
          <w:highlight w:val="none"/>
        </w:rPr>
      </w:pPr>
    </w:p>
    <w:p w14:paraId="7E4AA3B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附件二：授权委托书</w:t>
      </w:r>
    </w:p>
    <w:p w14:paraId="6EE19F0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 </w:t>
      </w:r>
      <w:r>
        <w:rPr>
          <w:rFonts w:hint="eastAsia" w:asciiTheme="minorEastAsia" w:hAnsiTheme="minorEastAsia" w:eastAsiaTheme="minorEastAsia" w:cstheme="minorEastAsia"/>
          <w:color w:val="auto"/>
          <w:sz w:val="24"/>
          <w:szCs w:val="24"/>
          <w:highlight w:val="none"/>
          <w:lang w:val="en-US" w:eastAsia="zh-CN"/>
        </w:rPr>
        <w:t xml:space="preserve">    </w:t>
      </w:r>
    </w:p>
    <w:p w14:paraId="48F4EB63">
      <w:pPr>
        <w:spacing w:line="240" w:lineRule="auto"/>
        <w:jc w:val="center"/>
        <w:rPr>
          <w:rFonts w:hint="eastAsia" w:ascii="黑体" w:hAnsi="黑体" w:eastAsia="黑体"/>
          <w:b/>
          <w:bCs/>
          <w:color w:val="auto"/>
          <w:sz w:val="36"/>
          <w:szCs w:val="36"/>
          <w:highlight w:val="none"/>
        </w:rPr>
      </w:pPr>
      <w:r>
        <w:rPr>
          <w:rFonts w:hint="eastAsia" w:ascii="黑体" w:hAnsi="黑体" w:eastAsia="黑体"/>
          <w:b/>
          <w:bCs/>
          <w:color w:val="auto"/>
          <w:sz w:val="36"/>
          <w:szCs w:val="36"/>
          <w:highlight w:val="none"/>
        </w:rPr>
        <w:t>法人授权委托书</w:t>
      </w:r>
    </w:p>
    <w:p w14:paraId="09731390">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致</w:t>
      </w:r>
      <w:r>
        <w:rPr>
          <w:rFonts w:hint="eastAsia" w:asciiTheme="minorEastAsia" w:hAnsiTheme="minorEastAsia" w:eastAsiaTheme="minorEastAsia" w:cstheme="minorEastAsia"/>
          <w:color w:val="auto"/>
          <w:sz w:val="24"/>
          <w:szCs w:val="24"/>
          <w:highlight w:val="none"/>
          <w:u w:val="single"/>
        </w:rPr>
        <w:t>（招标人名称）                            ：</w:t>
      </w:r>
      <w:r>
        <w:rPr>
          <w:rFonts w:hint="eastAsia" w:asciiTheme="minorEastAsia" w:hAnsiTheme="minorEastAsia" w:eastAsiaTheme="minorEastAsia" w:cstheme="minorEastAsia"/>
          <w:color w:val="auto"/>
          <w:sz w:val="24"/>
          <w:szCs w:val="24"/>
          <w:highlight w:val="none"/>
        </w:rPr>
        <w:t xml:space="preserve"> </w:t>
      </w:r>
    </w:p>
    <w:p w14:paraId="5270AE22">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本授权委托书声明：我</w:t>
      </w:r>
      <w:r>
        <w:rPr>
          <w:rFonts w:hint="eastAsia" w:asciiTheme="minorEastAsia" w:hAnsiTheme="minorEastAsia" w:eastAsiaTheme="minorEastAsia" w:cstheme="minorEastAsia"/>
          <w:color w:val="auto"/>
          <w:sz w:val="24"/>
          <w:szCs w:val="24"/>
          <w:highlight w:val="none"/>
          <w:u w:val="single"/>
        </w:rPr>
        <w:t xml:space="preserve">（法人姓名）       </w:t>
      </w:r>
      <w:r>
        <w:rPr>
          <w:rFonts w:hint="eastAsia" w:asciiTheme="minorEastAsia" w:hAnsiTheme="minorEastAsia" w:eastAsiaTheme="minorEastAsia" w:cstheme="minorEastAsia"/>
          <w:color w:val="auto"/>
          <w:sz w:val="24"/>
          <w:szCs w:val="24"/>
          <w:highlight w:val="none"/>
        </w:rPr>
        <w:t>系</w:t>
      </w:r>
      <w:r>
        <w:rPr>
          <w:rFonts w:hint="eastAsia" w:asciiTheme="minorEastAsia" w:hAnsiTheme="minorEastAsia" w:eastAsiaTheme="minorEastAsia" w:cstheme="minorEastAsia"/>
          <w:color w:val="auto"/>
          <w:sz w:val="24"/>
          <w:szCs w:val="24"/>
          <w:highlight w:val="none"/>
          <w:u w:val="single"/>
        </w:rPr>
        <w:t xml:space="preserve">（投标人名称）                   </w:t>
      </w:r>
      <w:r>
        <w:rPr>
          <w:rFonts w:hint="eastAsia" w:asciiTheme="minorEastAsia" w:hAnsiTheme="minorEastAsia" w:eastAsiaTheme="minorEastAsia" w:cstheme="minorEastAsia"/>
          <w:color w:val="auto"/>
          <w:sz w:val="24"/>
          <w:szCs w:val="24"/>
          <w:highlight w:val="none"/>
        </w:rPr>
        <w:t>的法定代</w:t>
      </w:r>
    </w:p>
    <w:p w14:paraId="23FE7D3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表人，现授权委托</w:t>
      </w:r>
      <w:r>
        <w:rPr>
          <w:rFonts w:hint="eastAsia" w:asciiTheme="minorEastAsia" w:hAnsiTheme="minorEastAsia" w:eastAsiaTheme="minorEastAsia" w:cstheme="minorEastAsia"/>
          <w:color w:val="auto"/>
          <w:sz w:val="24"/>
          <w:szCs w:val="24"/>
          <w:highlight w:val="none"/>
          <w:u w:val="single"/>
        </w:rPr>
        <w:t xml:space="preserve">（投标人名称）                    </w:t>
      </w:r>
      <w:r>
        <w:rPr>
          <w:rFonts w:hint="eastAsia" w:asciiTheme="minorEastAsia" w:hAnsiTheme="minorEastAsia" w:eastAsiaTheme="minorEastAsia" w:cstheme="minorEastAsia"/>
          <w:color w:val="auto"/>
          <w:sz w:val="24"/>
          <w:szCs w:val="24"/>
          <w:highlight w:val="none"/>
        </w:rPr>
        <w:t>的</w:t>
      </w:r>
      <w:r>
        <w:rPr>
          <w:rFonts w:hint="eastAsia" w:asciiTheme="minorEastAsia" w:hAnsiTheme="minorEastAsia" w:eastAsiaTheme="minorEastAsia" w:cstheme="minorEastAsia"/>
          <w:color w:val="auto"/>
          <w:sz w:val="24"/>
          <w:szCs w:val="24"/>
          <w:highlight w:val="none"/>
          <w:u w:val="single"/>
        </w:rPr>
        <w:t xml:space="preserve"> （授权委托代理人姓名）        </w:t>
      </w:r>
      <w:r>
        <w:rPr>
          <w:rFonts w:hint="eastAsia" w:asciiTheme="minorEastAsia" w:hAnsiTheme="minorEastAsia" w:eastAsiaTheme="minorEastAsia" w:cstheme="minorEastAsia"/>
          <w:color w:val="auto"/>
          <w:sz w:val="24"/>
          <w:szCs w:val="24"/>
          <w:highlight w:val="none"/>
        </w:rPr>
        <w:t>为我公司参加贵方组织的</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z w:val="24"/>
          <w:szCs w:val="24"/>
          <w:highlight w:val="none"/>
          <w:u w:val="single"/>
          <w:lang w:eastAsia="zh-CN"/>
        </w:rPr>
        <w:t>（</w:t>
      </w:r>
      <w:r>
        <w:rPr>
          <w:rFonts w:hint="eastAsia" w:asciiTheme="minorEastAsia" w:hAnsiTheme="minorEastAsia" w:eastAsiaTheme="minorEastAsia" w:cstheme="minorEastAsia"/>
          <w:color w:val="auto"/>
          <w:sz w:val="24"/>
          <w:szCs w:val="24"/>
          <w:highlight w:val="none"/>
          <w:u w:val="single"/>
          <w:lang w:val="en-US" w:eastAsia="zh-CN"/>
        </w:rPr>
        <w:t xml:space="preserve">项目名称）  </w:t>
      </w:r>
      <w:r>
        <w:rPr>
          <w:rFonts w:hint="eastAsia" w:asciiTheme="minorEastAsia" w:hAnsiTheme="minorEastAsia" w:eastAsiaTheme="minorEastAsia" w:cstheme="minorEastAsia"/>
          <w:color w:val="auto"/>
          <w:sz w:val="24"/>
          <w:szCs w:val="24"/>
          <w:highlight w:val="none"/>
        </w:rPr>
        <w:t>的法定代表人授权委托代理人，全权代表本公司处理投标过程的一切事宜，包括：投标、参与开标、谈判、签约等。</w:t>
      </w:r>
    </w:p>
    <w:p w14:paraId="03F562A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投标人授权代表在投标过程中所签署的一切文件和处理与之有关的一切事务，我公司均予认可并对此承担全部责任。 </w:t>
      </w:r>
    </w:p>
    <w:p w14:paraId="5609C645">
      <w:pPr>
        <w:spacing w:line="360" w:lineRule="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委托期限：</w:t>
      </w:r>
      <w:r>
        <w:rPr>
          <w:rFonts w:hint="eastAsia" w:asciiTheme="minorEastAsia" w:hAnsiTheme="minorEastAsia" w:eastAsiaTheme="minorEastAsia" w:cstheme="minorEastAsia"/>
          <w:color w:val="auto"/>
          <w:sz w:val="24"/>
          <w:szCs w:val="24"/>
          <w:highlight w:val="none"/>
          <w:u w:val="single"/>
        </w:rPr>
        <w:t>202X 年 XX 月 XX 日至 202X 年 X 月</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z w:val="24"/>
          <w:szCs w:val="24"/>
          <w:highlight w:val="none"/>
          <w:u w:val="single"/>
        </w:rPr>
        <w:t>XX 日</w:t>
      </w:r>
    </w:p>
    <w:p w14:paraId="0C03C0EF">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全权代表无转委权。特此委托。</w:t>
      </w:r>
    </w:p>
    <w:tbl>
      <w:tblPr>
        <w:tblStyle w:val="9"/>
        <w:tblpPr w:leftFromText="180" w:rightFromText="180" w:vertAnchor="text" w:horzAnchor="page" w:tblpX="6146" w:tblpY="30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0"/>
      </w:tblGrid>
      <w:tr w14:paraId="3473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trPr>
        <w:tc>
          <w:tcPr>
            <w:tcW w:w="3980" w:type="dxa"/>
            <w:noWrap w:val="0"/>
            <w:vAlign w:val="top"/>
          </w:tcPr>
          <w:p w14:paraId="40338BE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softHyphen/>
            </w:r>
            <w:r>
              <w:rPr>
                <w:rFonts w:hint="eastAsia" w:asciiTheme="minorEastAsia" w:hAnsiTheme="minorEastAsia" w:eastAsiaTheme="minorEastAsia" w:cstheme="minorEastAsia"/>
                <w:color w:val="auto"/>
                <w:sz w:val="24"/>
                <w:szCs w:val="24"/>
                <w:highlight w:val="none"/>
              </w:rPr>
              <w:softHyphen/>
            </w:r>
            <w:r>
              <w:rPr>
                <w:rFonts w:hint="eastAsia" w:asciiTheme="minorEastAsia" w:hAnsiTheme="minorEastAsia" w:eastAsiaTheme="minorEastAsia" w:cstheme="minorEastAsia"/>
                <w:color w:val="auto"/>
                <w:sz w:val="24"/>
                <w:szCs w:val="24"/>
                <w:highlight w:val="none"/>
              </w:rPr>
              <w:softHyphen/>
            </w:r>
            <w:r>
              <w:rPr>
                <w:rFonts w:hint="eastAsia" w:asciiTheme="minorEastAsia" w:hAnsiTheme="minorEastAsia" w:eastAsiaTheme="minorEastAsia" w:cstheme="minorEastAsia"/>
                <w:color w:val="auto"/>
                <w:sz w:val="24"/>
                <w:szCs w:val="24"/>
                <w:highlight w:val="none"/>
              </w:rPr>
              <w:softHyphen/>
            </w:r>
            <w:r>
              <w:rPr>
                <w:rFonts w:hint="eastAsia" w:asciiTheme="minorEastAsia" w:hAnsiTheme="minorEastAsia" w:eastAsiaTheme="minorEastAsia" w:cstheme="minorEastAsia"/>
                <w:color w:val="auto"/>
                <w:sz w:val="24"/>
                <w:szCs w:val="24"/>
                <w:highlight w:val="none"/>
              </w:rPr>
              <w:t>法定代表人身份证复印件（反面）</w:t>
            </w:r>
          </w:p>
        </w:tc>
      </w:tr>
    </w:tbl>
    <w:p w14:paraId="5E099963">
      <w:pPr>
        <w:spacing w:line="240" w:lineRule="auto"/>
        <w:rPr>
          <w:rFonts w:hint="eastAsia" w:asciiTheme="minorEastAsia" w:hAnsiTheme="minorEastAsia" w:eastAsiaTheme="minorEastAsia" w:cstheme="minorEastAsia"/>
          <w:color w:val="auto"/>
          <w:sz w:val="24"/>
          <w:szCs w:val="24"/>
          <w:highlight w:val="none"/>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027C0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noWrap w:val="0"/>
            <w:vAlign w:val="top"/>
          </w:tcPr>
          <w:p w14:paraId="32D4B3FC">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法定代表人身份证复印件（正面）</w:t>
            </w:r>
          </w:p>
        </w:tc>
      </w:tr>
    </w:tbl>
    <w:p w14:paraId="5F35BC35">
      <w:pPr>
        <w:spacing w:line="240" w:lineRule="auto"/>
        <w:rPr>
          <w:rFonts w:hint="eastAsia" w:asciiTheme="minorEastAsia" w:hAnsiTheme="minorEastAsia" w:eastAsiaTheme="minorEastAsia" w:cstheme="minorEastAsia"/>
          <w:vanish/>
          <w:color w:val="auto"/>
          <w:sz w:val="24"/>
          <w:szCs w:val="24"/>
          <w:highlight w:val="none"/>
        </w:rPr>
      </w:pPr>
    </w:p>
    <w:p w14:paraId="27CC9F71">
      <w:pPr>
        <w:spacing w:line="240" w:lineRule="auto"/>
        <w:rPr>
          <w:rFonts w:hint="eastAsia" w:asciiTheme="minorEastAsia" w:hAnsiTheme="minorEastAsia" w:eastAsiaTheme="minorEastAsia" w:cstheme="minorEastAsia"/>
          <w:vanish/>
          <w:color w:val="auto"/>
          <w:sz w:val="24"/>
          <w:szCs w:val="24"/>
          <w:highlight w:val="none"/>
        </w:rPr>
      </w:pPr>
    </w:p>
    <w:tbl>
      <w:tblPr>
        <w:tblStyle w:val="9"/>
        <w:tblpPr w:leftFromText="180" w:rightFromText="180" w:vertAnchor="text" w:horzAnchor="page" w:tblpX="6141"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90"/>
      </w:tblGrid>
      <w:tr w14:paraId="5A80F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3" w:hRule="atLeast"/>
        </w:trPr>
        <w:tc>
          <w:tcPr>
            <w:tcW w:w="3990" w:type="dxa"/>
            <w:noWrap w:val="0"/>
            <w:vAlign w:val="top"/>
          </w:tcPr>
          <w:p w14:paraId="33B58F5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授权代理人身份证复印件（反面）</w:t>
            </w:r>
          </w:p>
        </w:tc>
      </w:tr>
    </w:tbl>
    <w:p w14:paraId="40FD6FE1">
      <w:pPr>
        <w:spacing w:line="240" w:lineRule="auto"/>
        <w:rPr>
          <w:rFonts w:hint="eastAsia" w:asciiTheme="minorEastAsia" w:hAnsiTheme="minorEastAsia" w:eastAsiaTheme="minorEastAsia" w:cstheme="minorEastAsia"/>
          <w:color w:val="auto"/>
          <w:sz w:val="24"/>
          <w:szCs w:val="24"/>
          <w:highlight w:val="none"/>
        </w:rPr>
      </w:pPr>
    </w:p>
    <w:p w14:paraId="2105EC3B">
      <w:pPr>
        <w:spacing w:line="240" w:lineRule="auto"/>
        <w:rPr>
          <w:rFonts w:hint="eastAsia" w:asciiTheme="minorEastAsia" w:hAnsiTheme="minorEastAsia" w:eastAsiaTheme="minorEastAsia" w:cstheme="minorEastAsia"/>
          <w:color w:val="auto"/>
          <w:sz w:val="24"/>
          <w:szCs w:val="24"/>
          <w:highlight w:val="none"/>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444B3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6" w:hRule="atLeast"/>
        </w:trPr>
        <w:tc>
          <w:tcPr>
            <w:tcW w:w="4077" w:type="dxa"/>
            <w:noWrap w:val="0"/>
            <w:vAlign w:val="top"/>
          </w:tcPr>
          <w:p w14:paraId="524AA7A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授权代理人身份证复印件（正面）</w:t>
            </w:r>
          </w:p>
        </w:tc>
      </w:tr>
    </w:tbl>
    <w:p w14:paraId="3FC507A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                                </w:t>
      </w:r>
    </w:p>
    <w:p w14:paraId="6A3E1EE8">
      <w:pPr>
        <w:spacing w:line="360" w:lineRule="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单位名称（公章）：</w:t>
      </w:r>
      <w:r>
        <w:rPr>
          <w:rFonts w:hint="eastAsia" w:asciiTheme="minorEastAsia" w:hAnsiTheme="minorEastAsia" w:eastAsiaTheme="minorEastAsia" w:cstheme="minorEastAsia"/>
          <w:color w:val="auto"/>
          <w:sz w:val="24"/>
          <w:szCs w:val="24"/>
          <w:highlight w:val="none"/>
          <w:u w:val="single"/>
        </w:rPr>
        <w:t xml:space="preserve">                  </w:t>
      </w:r>
    </w:p>
    <w:p w14:paraId="620C1C74">
      <w:pPr>
        <w:spacing w:line="360" w:lineRule="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 xml:space="preserve">法定代表人签字： </w:t>
      </w:r>
      <w:r>
        <w:rPr>
          <w:rFonts w:hint="eastAsia" w:asciiTheme="minorEastAsia" w:hAnsiTheme="minorEastAsia" w:eastAsiaTheme="minorEastAsia" w:cstheme="minorEastAsia"/>
          <w:color w:val="auto"/>
          <w:sz w:val="24"/>
          <w:szCs w:val="24"/>
          <w:highlight w:val="none"/>
          <w:u w:val="single"/>
        </w:rPr>
        <w:t xml:space="preserve">          </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z w:val="24"/>
          <w:szCs w:val="24"/>
          <w:highlight w:val="none"/>
          <w:u w:val="single"/>
        </w:rPr>
        <w:t xml:space="preserve">        </w:t>
      </w:r>
    </w:p>
    <w:p w14:paraId="11E39033">
      <w:pPr>
        <w:spacing w:line="360" w:lineRule="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 xml:space="preserve">授权代理人签字： </w:t>
      </w:r>
      <w:r>
        <w:rPr>
          <w:rFonts w:hint="eastAsia" w:asciiTheme="minorEastAsia" w:hAnsiTheme="minorEastAsia" w:eastAsiaTheme="minorEastAsia" w:cstheme="minorEastAsia"/>
          <w:color w:val="auto"/>
          <w:sz w:val="24"/>
          <w:szCs w:val="24"/>
          <w:highlight w:val="none"/>
          <w:u w:val="single"/>
        </w:rPr>
        <w:t xml:space="preserve">           </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z w:val="24"/>
          <w:szCs w:val="24"/>
          <w:highlight w:val="none"/>
          <w:u w:val="single"/>
        </w:rPr>
        <w:t xml:space="preserve">       </w:t>
      </w:r>
    </w:p>
    <w:p w14:paraId="2F566C12">
      <w:pPr>
        <w:spacing w:line="240" w:lineRule="auto"/>
        <w:rPr>
          <w:rFonts w:hint="eastAsia" w:asciiTheme="minorEastAsia" w:hAnsiTheme="minorEastAsia" w:eastAsiaTheme="minorEastAsia" w:cstheme="minorEastAsia"/>
          <w:color w:val="auto"/>
          <w:sz w:val="24"/>
          <w:szCs w:val="24"/>
          <w:highlight w:val="none"/>
          <w:lang w:val="en-US" w:eastAsia="zh-CN"/>
        </w:rPr>
      </w:pPr>
    </w:p>
    <w:p w14:paraId="7F17157A">
      <w:pPr>
        <w:spacing w:line="240" w:lineRule="auto"/>
        <w:rPr>
          <w:rFonts w:hint="eastAsia" w:asciiTheme="minorEastAsia" w:hAnsiTheme="minorEastAsia" w:eastAsiaTheme="minorEastAsia" w:cstheme="minorEastAsia"/>
          <w:color w:val="auto"/>
          <w:sz w:val="24"/>
          <w:szCs w:val="24"/>
          <w:highlight w:val="none"/>
          <w:lang w:val="en-US" w:eastAsia="zh-CN"/>
        </w:rPr>
      </w:pPr>
    </w:p>
    <w:p w14:paraId="507E5118">
      <w:pPr>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附件三：</w:t>
      </w:r>
      <w:r>
        <w:rPr>
          <w:rFonts w:hint="eastAsia" w:ascii="宋体" w:hAnsi="宋体" w:cs="宋体"/>
          <w:b w:val="0"/>
          <w:bCs w:val="0"/>
          <w:color w:val="auto"/>
          <w:sz w:val="24"/>
          <w:szCs w:val="24"/>
        </w:rPr>
        <w:t>投标人基本情况表</w:t>
      </w:r>
    </w:p>
    <w:p w14:paraId="78DABE9D">
      <w:pPr>
        <w:spacing w:line="240" w:lineRule="auto"/>
        <w:rPr>
          <w:rFonts w:hint="eastAsia" w:asciiTheme="minorEastAsia" w:hAnsiTheme="minorEastAsia" w:eastAsiaTheme="minorEastAsia" w:cstheme="minorEastAsia"/>
          <w:color w:val="auto"/>
          <w:sz w:val="24"/>
          <w:szCs w:val="24"/>
          <w:highlight w:val="none"/>
        </w:rPr>
      </w:pPr>
    </w:p>
    <w:p w14:paraId="0141AE37">
      <w:pPr>
        <w:spacing w:line="240" w:lineRule="auto"/>
        <w:jc w:val="center"/>
        <w:rPr>
          <w:rFonts w:hint="eastAsia" w:ascii="黑体" w:eastAsia="黑体"/>
          <w:color w:val="auto"/>
          <w:sz w:val="36"/>
          <w:szCs w:val="22"/>
          <w:highlight w:val="none"/>
        </w:rPr>
      </w:pPr>
      <w:r>
        <w:rPr>
          <w:rFonts w:hint="eastAsia" w:eastAsia="黑体"/>
          <w:b/>
          <w:bCs/>
          <w:color w:val="auto"/>
          <w:sz w:val="36"/>
          <w:szCs w:val="22"/>
          <w:highlight w:val="none"/>
        </w:rPr>
        <w:t>企业情况一览表</w:t>
      </w:r>
    </w:p>
    <w:tbl>
      <w:tblPr>
        <w:tblStyle w:val="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2269"/>
        <w:gridCol w:w="1276"/>
        <w:gridCol w:w="1400"/>
        <w:gridCol w:w="1293"/>
        <w:gridCol w:w="2263"/>
      </w:tblGrid>
      <w:tr w14:paraId="5DDD6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397C0949">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公司名称</w:t>
            </w:r>
          </w:p>
        </w:tc>
        <w:tc>
          <w:tcPr>
            <w:tcW w:w="2269" w:type="dxa"/>
            <w:noWrap w:val="0"/>
            <w:vAlign w:val="center"/>
          </w:tcPr>
          <w:p w14:paraId="6691AB47">
            <w:pPr>
              <w:spacing w:line="240" w:lineRule="auto"/>
              <w:jc w:val="center"/>
              <w:rPr>
                <w:rFonts w:hint="eastAsia" w:asciiTheme="minorEastAsia" w:hAnsiTheme="minorEastAsia" w:eastAsiaTheme="minorEastAsia" w:cstheme="minorEastAsia"/>
                <w:color w:val="auto"/>
                <w:sz w:val="24"/>
                <w:szCs w:val="24"/>
                <w:highlight w:val="none"/>
              </w:rPr>
            </w:pPr>
          </w:p>
        </w:tc>
        <w:tc>
          <w:tcPr>
            <w:tcW w:w="1276" w:type="dxa"/>
            <w:noWrap w:val="0"/>
            <w:vAlign w:val="center"/>
          </w:tcPr>
          <w:p w14:paraId="6DA72F1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成立时间</w:t>
            </w:r>
          </w:p>
        </w:tc>
        <w:tc>
          <w:tcPr>
            <w:tcW w:w="1400" w:type="dxa"/>
            <w:noWrap w:val="0"/>
            <w:vAlign w:val="center"/>
          </w:tcPr>
          <w:p w14:paraId="2543638A">
            <w:pPr>
              <w:spacing w:line="240" w:lineRule="auto"/>
              <w:rPr>
                <w:rFonts w:hint="eastAsia" w:asciiTheme="minorEastAsia" w:hAnsiTheme="minorEastAsia" w:eastAsiaTheme="minorEastAsia" w:cstheme="minorEastAsia"/>
                <w:color w:val="auto"/>
                <w:sz w:val="24"/>
                <w:szCs w:val="24"/>
                <w:highlight w:val="none"/>
              </w:rPr>
            </w:pPr>
          </w:p>
        </w:tc>
        <w:tc>
          <w:tcPr>
            <w:tcW w:w="1293" w:type="dxa"/>
            <w:noWrap w:val="0"/>
            <w:vAlign w:val="center"/>
          </w:tcPr>
          <w:p w14:paraId="77EDE0E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注册资本</w:t>
            </w:r>
          </w:p>
        </w:tc>
        <w:tc>
          <w:tcPr>
            <w:tcW w:w="2263" w:type="dxa"/>
            <w:noWrap w:val="0"/>
            <w:vAlign w:val="center"/>
          </w:tcPr>
          <w:p w14:paraId="1A3DE2AD">
            <w:pPr>
              <w:spacing w:line="240" w:lineRule="auto"/>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万元</w:t>
            </w:r>
          </w:p>
        </w:tc>
      </w:tr>
      <w:tr w14:paraId="7F34B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110BC885">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公司在册员工人数</w:t>
            </w:r>
          </w:p>
        </w:tc>
        <w:tc>
          <w:tcPr>
            <w:tcW w:w="3545" w:type="dxa"/>
            <w:gridSpan w:val="2"/>
            <w:noWrap w:val="0"/>
            <w:vAlign w:val="center"/>
          </w:tcPr>
          <w:p w14:paraId="7FED5B8C">
            <w:pPr>
              <w:spacing w:line="240" w:lineRule="auto"/>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人</w:t>
            </w:r>
          </w:p>
        </w:tc>
        <w:tc>
          <w:tcPr>
            <w:tcW w:w="2693" w:type="dxa"/>
            <w:gridSpan w:val="2"/>
            <w:noWrap w:val="0"/>
            <w:vAlign w:val="center"/>
          </w:tcPr>
          <w:p w14:paraId="2A10A4E7">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专业员工人数</w:t>
            </w:r>
          </w:p>
        </w:tc>
        <w:tc>
          <w:tcPr>
            <w:tcW w:w="2263" w:type="dxa"/>
            <w:noWrap w:val="0"/>
            <w:vAlign w:val="center"/>
          </w:tcPr>
          <w:p w14:paraId="2792A796">
            <w:pPr>
              <w:spacing w:line="240" w:lineRule="auto"/>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人</w:t>
            </w:r>
          </w:p>
        </w:tc>
      </w:tr>
      <w:tr w14:paraId="643D1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9" w:hRule="atLeast"/>
          <w:jc w:val="center"/>
        </w:trPr>
        <w:tc>
          <w:tcPr>
            <w:tcW w:w="1415" w:type="dxa"/>
            <w:noWrap w:val="0"/>
            <w:vAlign w:val="center"/>
          </w:tcPr>
          <w:p w14:paraId="2916A0E4">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宋体" w:hAnsi="宋体" w:eastAsia="宋体" w:cs="宋体"/>
                <w:color w:val="auto"/>
                <w:sz w:val="21"/>
                <w:szCs w:val="21"/>
                <w:highlight w:val="none"/>
              </w:rPr>
              <w:t>公司主要业务</w:t>
            </w:r>
            <w:r>
              <w:rPr>
                <w:rFonts w:hint="eastAsia" w:ascii="宋体" w:hAnsi="宋体" w:cs="宋体"/>
                <w:color w:val="auto"/>
                <w:sz w:val="21"/>
                <w:szCs w:val="21"/>
                <w:highlight w:val="none"/>
                <w:lang w:val="en-US" w:eastAsia="zh-CN"/>
              </w:rPr>
              <w:t>及实力介绍</w:t>
            </w:r>
          </w:p>
        </w:tc>
        <w:tc>
          <w:tcPr>
            <w:tcW w:w="8501" w:type="dxa"/>
            <w:gridSpan w:val="5"/>
            <w:noWrap w:val="0"/>
            <w:vAlign w:val="top"/>
          </w:tcPr>
          <w:p w14:paraId="26CE5D53">
            <w:pPr>
              <w:jc w:val="both"/>
              <w:rPr>
                <w:rFonts w:hint="default" w:ascii="宋体" w:hAnsi="宋体" w:eastAsiaTheme="minorEastAsia"/>
                <w:color w:val="auto"/>
                <w:sz w:val="24"/>
                <w:lang w:val="en-US" w:eastAsia="zh-CN"/>
              </w:rPr>
            </w:pPr>
            <w:r>
              <w:rPr>
                <w:rFonts w:hint="eastAsia" w:ascii="宋体" w:hAnsi="宋体"/>
                <w:color w:val="auto"/>
                <w:sz w:val="24"/>
                <w:lang w:val="en-US" w:eastAsia="zh-CN"/>
              </w:rPr>
              <w:t>包含：</w:t>
            </w:r>
            <w:r>
              <w:rPr>
                <w:rFonts w:hint="eastAsia" w:ascii="宋体" w:hAnsi="宋体"/>
                <w:color w:val="auto"/>
                <w:sz w:val="24"/>
              </w:rPr>
              <w:t>专业从</w:t>
            </w:r>
            <w:r>
              <w:rPr>
                <w:rFonts w:hint="eastAsia" w:ascii="宋体" w:hAnsi="宋体"/>
                <w:color w:val="auto"/>
                <w:sz w:val="24"/>
                <w:lang w:val="en-US" w:eastAsia="zh-CN"/>
              </w:rPr>
              <w:t>活动策划</w:t>
            </w:r>
            <w:r>
              <w:rPr>
                <w:rFonts w:hint="eastAsia" w:ascii="宋体" w:hAnsi="宋体"/>
                <w:color w:val="auto"/>
                <w:sz w:val="24"/>
              </w:rPr>
              <w:t>类工作人员及工作经历</w:t>
            </w:r>
            <w:r>
              <w:rPr>
                <w:rFonts w:hint="eastAsia" w:ascii="宋体" w:hAnsi="宋体"/>
                <w:color w:val="auto"/>
                <w:sz w:val="24"/>
                <w:lang w:eastAsia="zh-CN"/>
              </w:rPr>
              <w:t>、</w:t>
            </w:r>
            <w:r>
              <w:rPr>
                <w:rFonts w:hint="eastAsia" w:ascii="宋体" w:hAnsi="宋体"/>
                <w:color w:val="auto"/>
                <w:sz w:val="24"/>
              </w:rPr>
              <w:t>公司在册员工人数（缴纳社保人员）</w:t>
            </w:r>
            <w:r>
              <w:rPr>
                <w:rFonts w:hint="eastAsia" w:ascii="宋体" w:hAnsi="宋体"/>
                <w:color w:val="auto"/>
                <w:sz w:val="24"/>
                <w:lang w:val="en-US" w:eastAsia="zh-CN"/>
              </w:rPr>
              <w:t>等内容</w:t>
            </w:r>
          </w:p>
          <w:p w14:paraId="07EEE25F">
            <w:pPr>
              <w:spacing w:line="240" w:lineRule="auto"/>
              <w:jc w:val="both"/>
              <w:rPr>
                <w:rFonts w:hint="eastAsia" w:asciiTheme="minorEastAsia" w:hAnsiTheme="minorEastAsia" w:eastAsiaTheme="minorEastAsia" w:cstheme="minorEastAsia"/>
                <w:color w:val="auto"/>
                <w:sz w:val="24"/>
                <w:szCs w:val="24"/>
                <w:highlight w:val="none"/>
              </w:rPr>
            </w:pPr>
          </w:p>
        </w:tc>
      </w:tr>
    </w:tbl>
    <w:p w14:paraId="50A72C20">
      <w:pPr>
        <w:pStyle w:val="4"/>
        <w:spacing w:line="240" w:lineRule="auto"/>
        <w:ind w:firstLine="240" w:firstLineChars="100"/>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投标人名称（盖章）：             </w:t>
      </w:r>
      <w:r>
        <w:rPr>
          <w:rFonts w:hint="eastAsia" w:asciiTheme="minorEastAsia" w:hAnsiTheme="minorEastAsia" w:eastAsiaTheme="minorEastAsia" w:cstheme="minorEastAsia"/>
          <w:color w:val="auto"/>
          <w:sz w:val="24"/>
          <w:szCs w:val="24"/>
          <w:highlight w:val="none"/>
          <w:lang w:val="en-US" w:eastAsia="zh-CN"/>
        </w:rPr>
        <w:t xml:space="preserve">              </w:t>
      </w:r>
      <w:r>
        <w:rPr>
          <w:rFonts w:hint="eastAsia" w:asciiTheme="minorEastAsia" w:hAnsiTheme="minorEastAsia" w:eastAsiaTheme="minorEastAsia" w:cstheme="minorEastAsia"/>
          <w:color w:val="auto"/>
          <w:sz w:val="24"/>
          <w:szCs w:val="24"/>
          <w:highlight w:val="none"/>
        </w:rPr>
        <w:t>法定代表人或授权代表签字：</w:t>
      </w:r>
    </w:p>
    <w:p w14:paraId="2CBB275F">
      <w:pPr>
        <w:pStyle w:val="4"/>
        <w:spacing w:line="240" w:lineRule="auto"/>
        <w:rPr>
          <w:rFonts w:hint="eastAsia" w:asciiTheme="minorEastAsia" w:hAnsiTheme="minorEastAsia" w:eastAsiaTheme="minorEastAsia" w:cstheme="minorEastAsia"/>
          <w:b/>
          <w:color w:val="auto"/>
          <w:sz w:val="24"/>
          <w:szCs w:val="24"/>
          <w:highlight w:val="none"/>
        </w:rPr>
      </w:pPr>
    </w:p>
    <w:p w14:paraId="0283D5C8">
      <w:pPr>
        <w:pStyle w:val="4"/>
        <w:spacing w:line="240" w:lineRule="auto"/>
        <w:rPr>
          <w:rFonts w:hint="eastAsia" w:asciiTheme="minorEastAsia" w:hAnsiTheme="minorEastAsia" w:eastAsiaTheme="minorEastAsia" w:cstheme="minorEastAsia"/>
          <w:b/>
          <w:color w:val="auto"/>
          <w:sz w:val="24"/>
          <w:szCs w:val="24"/>
          <w:highlight w:val="none"/>
        </w:rPr>
      </w:pPr>
    </w:p>
    <w:p w14:paraId="3F6B5288">
      <w:pPr>
        <w:pStyle w:val="4"/>
        <w:spacing w:line="240" w:lineRule="auto"/>
        <w:ind w:left="708" w:leftChars="115" w:hanging="467" w:hangingChars="194"/>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color w:val="auto"/>
          <w:sz w:val="24"/>
          <w:szCs w:val="24"/>
          <w:highlight w:val="none"/>
        </w:rPr>
        <w:t>注：</w:t>
      </w:r>
      <w:r>
        <w:rPr>
          <w:rFonts w:hint="eastAsia" w:asciiTheme="minorEastAsia" w:hAnsiTheme="minorEastAsia" w:eastAsiaTheme="minorEastAsia" w:cstheme="minorEastAsia"/>
          <w:color w:val="auto"/>
          <w:sz w:val="24"/>
          <w:szCs w:val="24"/>
          <w:highlight w:val="none"/>
        </w:rPr>
        <w:t>1.投标人为满足本招标项目之需，需实际配置的、包含但不限于上述设备、人员及其他条目；</w:t>
      </w:r>
    </w:p>
    <w:p w14:paraId="009080DA">
      <w:pPr>
        <w:pStyle w:val="4"/>
        <w:spacing w:line="240" w:lineRule="auto"/>
        <w:ind w:left="661" w:leftChars="315"/>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2.投标人可在上表内容基础上，酌情自行增加相关条目，以便更好的满足项目开展之需要。</w:t>
      </w:r>
    </w:p>
    <w:p w14:paraId="5C086D72">
      <w:pPr>
        <w:spacing w:line="240" w:lineRule="auto"/>
        <w:rPr>
          <w:rFonts w:hint="eastAsia" w:asciiTheme="minorEastAsia" w:hAnsiTheme="minorEastAsia" w:eastAsiaTheme="minorEastAsia" w:cstheme="minorEastAsia"/>
          <w:color w:val="auto"/>
          <w:sz w:val="24"/>
          <w:szCs w:val="24"/>
          <w:highlight w:val="none"/>
          <w:lang w:val="en-US" w:eastAsia="zh-CN"/>
        </w:rPr>
      </w:pPr>
    </w:p>
    <w:p w14:paraId="49133BBE">
      <w:pPr>
        <w:spacing w:line="240" w:lineRule="auto"/>
        <w:rPr>
          <w:rFonts w:hint="eastAsia" w:asciiTheme="minorEastAsia" w:hAnsiTheme="minorEastAsia" w:eastAsiaTheme="minorEastAsia" w:cstheme="minorEastAsia"/>
          <w:color w:val="auto"/>
          <w:sz w:val="24"/>
          <w:szCs w:val="24"/>
          <w:highlight w:val="none"/>
          <w:lang w:val="en-US" w:eastAsia="zh-CN"/>
        </w:rPr>
      </w:pPr>
    </w:p>
    <w:p w14:paraId="565E0D0B">
      <w:pPr>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附件四：</w:t>
      </w:r>
    </w:p>
    <w:p w14:paraId="24655371">
      <w:pPr>
        <w:jc w:val="center"/>
        <w:rPr>
          <w:rFonts w:hint="eastAsia" w:eastAsia="黑体"/>
          <w:b/>
          <w:bCs/>
          <w:color w:val="auto"/>
          <w:sz w:val="36"/>
          <w:szCs w:val="22"/>
          <w:highlight w:val="none"/>
        </w:rPr>
      </w:pPr>
      <w:r>
        <w:rPr>
          <w:rFonts w:hint="eastAsia" w:eastAsia="黑体"/>
          <w:b/>
          <w:bCs/>
          <w:color w:val="auto"/>
          <w:sz w:val="36"/>
          <w:szCs w:val="22"/>
          <w:highlight w:val="none"/>
        </w:rPr>
        <w:t>企业业绩一览表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14:paraId="6A5AE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78684E36">
            <w:pPr>
              <w:jc w:val="center"/>
              <w:rPr>
                <w:rFonts w:ascii="黑体" w:eastAsia="黑体"/>
                <w:color w:val="auto"/>
                <w:sz w:val="28"/>
              </w:rPr>
            </w:pPr>
            <w:r>
              <w:rPr>
                <w:rFonts w:hint="eastAsia" w:ascii="黑体" w:eastAsia="黑体"/>
                <w:color w:val="auto"/>
                <w:sz w:val="28"/>
              </w:rPr>
              <w:t>序号</w:t>
            </w:r>
          </w:p>
        </w:tc>
        <w:tc>
          <w:tcPr>
            <w:tcW w:w="1822" w:type="dxa"/>
            <w:shd w:val="clear" w:color="auto" w:fill="auto"/>
          </w:tcPr>
          <w:p w14:paraId="28764D57">
            <w:pPr>
              <w:jc w:val="center"/>
              <w:rPr>
                <w:rFonts w:ascii="黑体" w:eastAsia="黑体"/>
                <w:color w:val="auto"/>
                <w:sz w:val="28"/>
              </w:rPr>
            </w:pPr>
            <w:r>
              <w:rPr>
                <w:rFonts w:hint="eastAsia" w:ascii="黑体" w:eastAsia="黑体"/>
                <w:color w:val="auto"/>
                <w:sz w:val="28"/>
              </w:rPr>
              <w:t>采购单位</w:t>
            </w:r>
          </w:p>
        </w:tc>
        <w:tc>
          <w:tcPr>
            <w:tcW w:w="2268" w:type="dxa"/>
            <w:shd w:val="clear" w:color="auto" w:fill="auto"/>
          </w:tcPr>
          <w:p w14:paraId="79C45436">
            <w:pPr>
              <w:jc w:val="center"/>
              <w:rPr>
                <w:rFonts w:ascii="黑体" w:eastAsia="黑体"/>
                <w:color w:val="auto"/>
                <w:sz w:val="28"/>
              </w:rPr>
            </w:pPr>
            <w:r>
              <w:rPr>
                <w:rFonts w:hint="eastAsia" w:ascii="黑体" w:eastAsia="黑体"/>
                <w:color w:val="auto"/>
                <w:sz w:val="28"/>
              </w:rPr>
              <w:t>采购内容</w:t>
            </w:r>
          </w:p>
        </w:tc>
        <w:tc>
          <w:tcPr>
            <w:tcW w:w="1842" w:type="dxa"/>
            <w:shd w:val="clear" w:color="auto" w:fill="auto"/>
          </w:tcPr>
          <w:p w14:paraId="4BD5199C">
            <w:pPr>
              <w:jc w:val="center"/>
              <w:rPr>
                <w:rFonts w:ascii="黑体" w:eastAsia="黑体"/>
                <w:color w:val="auto"/>
                <w:sz w:val="28"/>
              </w:rPr>
            </w:pPr>
            <w:r>
              <w:rPr>
                <w:rFonts w:hint="eastAsia" w:ascii="黑体" w:eastAsia="黑体"/>
                <w:color w:val="auto"/>
                <w:sz w:val="28"/>
              </w:rPr>
              <w:t>采购时间</w:t>
            </w:r>
          </w:p>
        </w:tc>
        <w:tc>
          <w:tcPr>
            <w:tcW w:w="1560" w:type="dxa"/>
            <w:shd w:val="clear" w:color="auto" w:fill="auto"/>
          </w:tcPr>
          <w:p w14:paraId="2395A956">
            <w:pPr>
              <w:jc w:val="center"/>
              <w:rPr>
                <w:rFonts w:ascii="黑体" w:eastAsia="黑体"/>
                <w:color w:val="auto"/>
                <w:sz w:val="28"/>
              </w:rPr>
            </w:pPr>
            <w:r>
              <w:rPr>
                <w:rFonts w:hint="eastAsia" w:ascii="黑体" w:eastAsia="黑体"/>
                <w:color w:val="auto"/>
                <w:sz w:val="28"/>
              </w:rPr>
              <w:t>合同金额</w:t>
            </w:r>
          </w:p>
        </w:tc>
      </w:tr>
      <w:tr w14:paraId="31449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7C6B299C">
            <w:pPr>
              <w:jc w:val="center"/>
              <w:rPr>
                <w:rFonts w:ascii="黑体" w:eastAsia="黑体"/>
                <w:color w:val="auto"/>
                <w:sz w:val="28"/>
              </w:rPr>
            </w:pPr>
            <w:r>
              <w:rPr>
                <w:rFonts w:hint="eastAsia" w:ascii="黑体" w:eastAsia="黑体"/>
                <w:color w:val="auto"/>
                <w:sz w:val="28"/>
              </w:rPr>
              <w:t>1</w:t>
            </w:r>
          </w:p>
        </w:tc>
        <w:tc>
          <w:tcPr>
            <w:tcW w:w="1822" w:type="dxa"/>
            <w:shd w:val="clear" w:color="auto" w:fill="auto"/>
          </w:tcPr>
          <w:p w14:paraId="35000F48">
            <w:pPr>
              <w:jc w:val="center"/>
              <w:rPr>
                <w:rFonts w:ascii="黑体" w:eastAsia="黑体"/>
                <w:color w:val="auto"/>
                <w:sz w:val="28"/>
              </w:rPr>
            </w:pPr>
          </w:p>
        </w:tc>
        <w:tc>
          <w:tcPr>
            <w:tcW w:w="2268" w:type="dxa"/>
            <w:shd w:val="clear" w:color="auto" w:fill="auto"/>
          </w:tcPr>
          <w:p w14:paraId="4CB3C433">
            <w:pPr>
              <w:jc w:val="center"/>
              <w:rPr>
                <w:rFonts w:ascii="黑体" w:eastAsia="黑体"/>
                <w:color w:val="auto"/>
                <w:sz w:val="28"/>
              </w:rPr>
            </w:pPr>
          </w:p>
        </w:tc>
        <w:tc>
          <w:tcPr>
            <w:tcW w:w="1842" w:type="dxa"/>
            <w:shd w:val="clear" w:color="auto" w:fill="auto"/>
          </w:tcPr>
          <w:p w14:paraId="0FAEAFC5">
            <w:pPr>
              <w:jc w:val="center"/>
              <w:rPr>
                <w:rFonts w:ascii="黑体" w:eastAsia="黑体"/>
                <w:color w:val="auto"/>
                <w:sz w:val="28"/>
              </w:rPr>
            </w:pPr>
          </w:p>
        </w:tc>
        <w:tc>
          <w:tcPr>
            <w:tcW w:w="1560" w:type="dxa"/>
            <w:shd w:val="clear" w:color="auto" w:fill="auto"/>
          </w:tcPr>
          <w:p w14:paraId="7D508BF7">
            <w:pPr>
              <w:jc w:val="center"/>
              <w:rPr>
                <w:rFonts w:ascii="黑体" w:eastAsia="黑体"/>
                <w:color w:val="auto"/>
                <w:sz w:val="28"/>
              </w:rPr>
            </w:pPr>
          </w:p>
        </w:tc>
      </w:tr>
      <w:tr w14:paraId="14E4B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2868B428">
            <w:pPr>
              <w:jc w:val="center"/>
              <w:rPr>
                <w:rFonts w:ascii="黑体" w:eastAsia="黑体"/>
                <w:color w:val="auto"/>
                <w:sz w:val="28"/>
              </w:rPr>
            </w:pPr>
            <w:r>
              <w:rPr>
                <w:rFonts w:hint="eastAsia" w:ascii="黑体" w:eastAsia="黑体"/>
                <w:color w:val="auto"/>
                <w:sz w:val="28"/>
              </w:rPr>
              <w:t>2</w:t>
            </w:r>
          </w:p>
        </w:tc>
        <w:tc>
          <w:tcPr>
            <w:tcW w:w="1822" w:type="dxa"/>
            <w:shd w:val="clear" w:color="auto" w:fill="auto"/>
          </w:tcPr>
          <w:p w14:paraId="6C1E785D">
            <w:pPr>
              <w:jc w:val="center"/>
              <w:rPr>
                <w:rFonts w:ascii="黑体" w:eastAsia="黑体"/>
                <w:color w:val="auto"/>
                <w:sz w:val="28"/>
              </w:rPr>
            </w:pPr>
          </w:p>
        </w:tc>
        <w:tc>
          <w:tcPr>
            <w:tcW w:w="2268" w:type="dxa"/>
            <w:shd w:val="clear" w:color="auto" w:fill="auto"/>
          </w:tcPr>
          <w:p w14:paraId="0AF2088D">
            <w:pPr>
              <w:jc w:val="center"/>
              <w:rPr>
                <w:rFonts w:ascii="黑体" w:eastAsia="黑体"/>
                <w:color w:val="auto"/>
                <w:sz w:val="28"/>
              </w:rPr>
            </w:pPr>
          </w:p>
        </w:tc>
        <w:tc>
          <w:tcPr>
            <w:tcW w:w="1842" w:type="dxa"/>
            <w:shd w:val="clear" w:color="auto" w:fill="auto"/>
          </w:tcPr>
          <w:p w14:paraId="42C21ACA">
            <w:pPr>
              <w:jc w:val="center"/>
              <w:rPr>
                <w:rFonts w:ascii="黑体" w:eastAsia="黑体"/>
                <w:color w:val="auto"/>
                <w:sz w:val="28"/>
              </w:rPr>
            </w:pPr>
          </w:p>
        </w:tc>
        <w:tc>
          <w:tcPr>
            <w:tcW w:w="1560" w:type="dxa"/>
            <w:shd w:val="clear" w:color="auto" w:fill="auto"/>
          </w:tcPr>
          <w:p w14:paraId="36980E85">
            <w:pPr>
              <w:jc w:val="center"/>
              <w:rPr>
                <w:rFonts w:ascii="黑体" w:eastAsia="黑体"/>
                <w:color w:val="auto"/>
                <w:sz w:val="28"/>
              </w:rPr>
            </w:pPr>
          </w:p>
        </w:tc>
      </w:tr>
      <w:tr w14:paraId="2B4E6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21B08523">
            <w:pPr>
              <w:jc w:val="center"/>
              <w:rPr>
                <w:rFonts w:ascii="黑体" w:eastAsia="黑体"/>
                <w:color w:val="auto"/>
                <w:sz w:val="28"/>
              </w:rPr>
            </w:pPr>
            <w:r>
              <w:rPr>
                <w:rFonts w:hint="eastAsia" w:ascii="黑体" w:eastAsia="黑体"/>
                <w:color w:val="auto"/>
                <w:sz w:val="28"/>
              </w:rPr>
              <w:t>3</w:t>
            </w:r>
          </w:p>
        </w:tc>
        <w:tc>
          <w:tcPr>
            <w:tcW w:w="1822" w:type="dxa"/>
            <w:shd w:val="clear" w:color="auto" w:fill="auto"/>
          </w:tcPr>
          <w:p w14:paraId="0D788B42">
            <w:pPr>
              <w:jc w:val="center"/>
              <w:rPr>
                <w:rFonts w:ascii="黑体" w:eastAsia="黑体"/>
                <w:color w:val="auto"/>
                <w:sz w:val="28"/>
              </w:rPr>
            </w:pPr>
          </w:p>
        </w:tc>
        <w:tc>
          <w:tcPr>
            <w:tcW w:w="2268" w:type="dxa"/>
            <w:shd w:val="clear" w:color="auto" w:fill="auto"/>
          </w:tcPr>
          <w:p w14:paraId="5FDCAFBD">
            <w:pPr>
              <w:jc w:val="center"/>
              <w:rPr>
                <w:rFonts w:ascii="黑体" w:eastAsia="黑体"/>
                <w:color w:val="auto"/>
                <w:sz w:val="28"/>
              </w:rPr>
            </w:pPr>
          </w:p>
        </w:tc>
        <w:tc>
          <w:tcPr>
            <w:tcW w:w="1842" w:type="dxa"/>
            <w:shd w:val="clear" w:color="auto" w:fill="auto"/>
          </w:tcPr>
          <w:p w14:paraId="5D7A9B45">
            <w:pPr>
              <w:jc w:val="center"/>
              <w:rPr>
                <w:rFonts w:ascii="黑体" w:eastAsia="黑体"/>
                <w:color w:val="auto"/>
                <w:sz w:val="28"/>
              </w:rPr>
            </w:pPr>
          </w:p>
        </w:tc>
        <w:tc>
          <w:tcPr>
            <w:tcW w:w="1560" w:type="dxa"/>
            <w:shd w:val="clear" w:color="auto" w:fill="auto"/>
          </w:tcPr>
          <w:p w14:paraId="40920E3E">
            <w:pPr>
              <w:jc w:val="center"/>
              <w:rPr>
                <w:rFonts w:ascii="黑体" w:eastAsia="黑体"/>
                <w:color w:val="auto"/>
                <w:sz w:val="28"/>
              </w:rPr>
            </w:pPr>
          </w:p>
        </w:tc>
      </w:tr>
      <w:tr w14:paraId="793E3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59126983">
            <w:pPr>
              <w:jc w:val="center"/>
              <w:rPr>
                <w:rFonts w:ascii="黑体" w:eastAsia="黑体"/>
                <w:color w:val="auto"/>
                <w:sz w:val="28"/>
              </w:rPr>
            </w:pPr>
            <w:r>
              <w:rPr>
                <w:rFonts w:hint="eastAsia" w:ascii="黑体" w:eastAsia="黑体"/>
                <w:color w:val="auto"/>
                <w:sz w:val="28"/>
              </w:rPr>
              <w:t>4</w:t>
            </w:r>
          </w:p>
        </w:tc>
        <w:tc>
          <w:tcPr>
            <w:tcW w:w="1822" w:type="dxa"/>
            <w:shd w:val="clear" w:color="auto" w:fill="auto"/>
          </w:tcPr>
          <w:p w14:paraId="4231CC14">
            <w:pPr>
              <w:jc w:val="center"/>
              <w:rPr>
                <w:rFonts w:ascii="黑体" w:eastAsia="黑体"/>
                <w:color w:val="auto"/>
                <w:sz w:val="28"/>
              </w:rPr>
            </w:pPr>
          </w:p>
        </w:tc>
        <w:tc>
          <w:tcPr>
            <w:tcW w:w="2268" w:type="dxa"/>
            <w:shd w:val="clear" w:color="auto" w:fill="auto"/>
          </w:tcPr>
          <w:p w14:paraId="5ABB652A">
            <w:pPr>
              <w:jc w:val="center"/>
              <w:rPr>
                <w:rFonts w:ascii="黑体" w:eastAsia="黑体"/>
                <w:color w:val="auto"/>
                <w:sz w:val="28"/>
              </w:rPr>
            </w:pPr>
          </w:p>
        </w:tc>
        <w:tc>
          <w:tcPr>
            <w:tcW w:w="1842" w:type="dxa"/>
            <w:shd w:val="clear" w:color="auto" w:fill="auto"/>
          </w:tcPr>
          <w:p w14:paraId="0A8E72C4">
            <w:pPr>
              <w:jc w:val="center"/>
              <w:rPr>
                <w:rFonts w:ascii="黑体" w:eastAsia="黑体"/>
                <w:color w:val="auto"/>
                <w:sz w:val="28"/>
              </w:rPr>
            </w:pPr>
          </w:p>
        </w:tc>
        <w:tc>
          <w:tcPr>
            <w:tcW w:w="1560" w:type="dxa"/>
            <w:shd w:val="clear" w:color="auto" w:fill="auto"/>
          </w:tcPr>
          <w:p w14:paraId="083304C8">
            <w:pPr>
              <w:jc w:val="center"/>
              <w:rPr>
                <w:rFonts w:ascii="黑体" w:eastAsia="黑体"/>
                <w:color w:val="auto"/>
                <w:sz w:val="28"/>
              </w:rPr>
            </w:pPr>
          </w:p>
        </w:tc>
      </w:tr>
      <w:tr w14:paraId="3BF1E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749C54A1">
            <w:pPr>
              <w:jc w:val="center"/>
              <w:rPr>
                <w:rFonts w:ascii="黑体" w:eastAsia="黑体"/>
                <w:color w:val="auto"/>
                <w:sz w:val="28"/>
              </w:rPr>
            </w:pPr>
            <w:r>
              <w:rPr>
                <w:rFonts w:hint="eastAsia" w:ascii="黑体" w:eastAsia="黑体"/>
                <w:color w:val="auto"/>
                <w:sz w:val="28"/>
              </w:rPr>
              <w:t>5</w:t>
            </w:r>
          </w:p>
        </w:tc>
        <w:tc>
          <w:tcPr>
            <w:tcW w:w="1822" w:type="dxa"/>
            <w:shd w:val="clear" w:color="auto" w:fill="auto"/>
          </w:tcPr>
          <w:p w14:paraId="701F4630">
            <w:pPr>
              <w:jc w:val="center"/>
              <w:rPr>
                <w:rFonts w:ascii="黑体" w:eastAsia="黑体"/>
                <w:color w:val="auto"/>
                <w:sz w:val="28"/>
              </w:rPr>
            </w:pPr>
          </w:p>
        </w:tc>
        <w:tc>
          <w:tcPr>
            <w:tcW w:w="2268" w:type="dxa"/>
            <w:shd w:val="clear" w:color="auto" w:fill="auto"/>
          </w:tcPr>
          <w:p w14:paraId="473BF860">
            <w:pPr>
              <w:jc w:val="center"/>
              <w:rPr>
                <w:rFonts w:ascii="黑体" w:eastAsia="黑体"/>
                <w:color w:val="auto"/>
                <w:sz w:val="28"/>
              </w:rPr>
            </w:pPr>
          </w:p>
        </w:tc>
        <w:tc>
          <w:tcPr>
            <w:tcW w:w="1842" w:type="dxa"/>
            <w:shd w:val="clear" w:color="auto" w:fill="auto"/>
          </w:tcPr>
          <w:p w14:paraId="15F62D4D">
            <w:pPr>
              <w:jc w:val="center"/>
              <w:rPr>
                <w:rFonts w:ascii="黑体" w:eastAsia="黑体"/>
                <w:color w:val="auto"/>
                <w:sz w:val="28"/>
              </w:rPr>
            </w:pPr>
          </w:p>
        </w:tc>
        <w:tc>
          <w:tcPr>
            <w:tcW w:w="1560" w:type="dxa"/>
            <w:shd w:val="clear" w:color="auto" w:fill="auto"/>
          </w:tcPr>
          <w:p w14:paraId="642EEDC6">
            <w:pPr>
              <w:jc w:val="center"/>
              <w:rPr>
                <w:rFonts w:ascii="黑体" w:eastAsia="黑体"/>
                <w:color w:val="auto"/>
                <w:sz w:val="28"/>
              </w:rPr>
            </w:pPr>
          </w:p>
        </w:tc>
      </w:tr>
      <w:tr w14:paraId="1CC85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10EBD981">
            <w:pPr>
              <w:jc w:val="center"/>
              <w:rPr>
                <w:rFonts w:ascii="黑体" w:eastAsia="黑体"/>
                <w:color w:val="auto"/>
                <w:sz w:val="28"/>
              </w:rPr>
            </w:pPr>
            <w:r>
              <w:rPr>
                <w:rFonts w:hint="eastAsia" w:ascii="黑体" w:eastAsia="黑体"/>
                <w:color w:val="auto"/>
                <w:sz w:val="28"/>
              </w:rPr>
              <w:t>6</w:t>
            </w:r>
          </w:p>
        </w:tc>
        <w:tc>
          <w:tcPr>
            <w:tcW w:w="1822" w:type="dxa"/>
            <w:shd w:val="clear" w:color="auto" w:fill="auto"/>
          </w:tcPr>
          <w:p w14:paraId="316FE891">
            <w:pPr>
              <w:jc w:val="center"/>
              <w:rPr>
                <w:rFonts w:ascii="黑体" w:eastAsia="黑体"/>
                <w:color w:val="auto"/>
                <w:sz w:val="28"/>
              </w:rPr>
            </w:pPr>
          </w:p>
        </w:tc>
        <w:tc>
          <w:tcPr>
            <w:tcW w:w="2268" w:type="dxa"/>
            <w:shd w:val="clear" w:color="auto" w:fill="auto"/>
          </w:tcPr>
          <w:p w14:paraId="74F6264D">
            <w:pPr>
              <w:jc w:val="center"/>
              <w:rPr>
                <w:rFonts w:ascii="黑体" w:eastAsia="黑体"/>
                <w:color w:val="auto"/>
                <w:sz w:val="28"/>
              </w:rPr>
            </w:pPr>
          </w:p>
        </w:tc>
        <w:tc>
          <w:tcPr>
            <w:tcW w:w="1842" w:type="dxa"/>
            <w:shd w:val="clear" w:color="auto" w:fill="auto"/>
          </w:tcPr>
          <w:p w14:paraId="40F499DC">
            <w:pPr>
              <w:jc w:val="center"/>
              <w:rPr>
                <w:rFonts w:ascii="黑体" w:eastAsia="黑体"/>
                <w:color w:val="auto"/>
                <w:sz w:val="28"/>
              </w:rPr>
            </w:pPr>
          </w:p>
        </w:tc>
        <w:tc>
          <w:tcPr>
            <w:tcW w:w="1560" w:type="dxa"/>
            <w:shd w:val="clear" w:color="auto" w:fill="auto"/>
          </w:tcPr>
          <w:p w14:paraId="6A714449">
            <w:pPr>
              <w:jc w:val="center"/>
              <w:rPr>
                <w:rFonts w:ascii="黑体" w:eastAsia="黑体"/>
                <w:color w:val="auto"/>
                <w:sz w:val="28"/>
              </w:rPr>
            </w:pPr>
          </w:p>
        </w:tc>
      </w:tr>
      <w:tr w14:paraId="616E2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6BE0EA31">
            <w:pPr>
              <w:jc w:val="center"/>
              <w:rPr>
                <w:rFonts w:ascii="黑体" w:eastAsia="黑体"/>
                <w:color w:val="auto"/>
                <w:sz w:val="28"/>
              </w:rPr>
            </w:pPr>
            <w:r>
              <w:rPr>
                <w:rFonts w:hint="eastAsia" w:ascii="黑体" w:eastAsia="黑体"/>
                <w:color w:val="auto"/>
                <w:sz w:val="28"/>
              </w:rPr>
              <w:t>7</w:t>
            </w:r>
          </w:p>
        </w:tc>
        <w:tc>
          <w:tcPr>
            <w:tcW w:w="1822" w:type="dxa"/>
            <w:shd w:val="clear" w:color="auto" w:fill="auto"/>
          </w:tcPr>
          <w:p w14:paraId="3742403B">
            <w:pPr>
              <w:jc w:val="center"/>
              <w:rPr>
                <w:rFonts w:ascii="黑体" w:eastAsia="黑体"/>
                <w:color w:val="auto"/>
                <w:sz w:val="28"/>
              </w:rPr>
            </w:pPr>
          </w:p>
        </w:tc>
        <w:tc>
          <w:tcPr>
            <w:tcW w:w="2268" w:type="dxa"/>
            <w:shd w:val="clear" w:color="auto" w:fill="auto"/>
          </w:tcPr>
          <w:p w14:paraId="19C710F9">
            <w:pPr>
              <w:jc w:val="center"/>
              <w:rPr>
                <w:rFonts w:ascii="黑体" w:eastAsia="黑体"/>
                <w:color w:val="auto"/>
                <w:sz w:val="28"/>
              </w:rPr>
            </w:pPr>
          </w:p>
        </w:tc>
        <w:tc>
          <w:tcPr>
            <w:tcW w:w="1842" w:type="dxa"/>
            <w:shd w:val="clear" w:color="auto" w:fill="auto"/>
          </w:tcPr>
          <w:p w14:paraId="41DB9A3B">
            <w:pPr>
              <w:jc w:val="center"/>
              <w:rPr>
                <w:rFonts w:ascii="黑体" w:eastAsia="黑体"/>
                <w:color w:val="auto"/>
                <w:sz w:val="28"/>
              </w:rPr>
            </w:pPr>
          </w:p>
        </w:tc>
        <w:tc>
          <w:tcPr>
            <w:tcW w:w="1560" w:type="dxa"/>
            <w:shd w:val="clear" w:color="auto" w:fill="auto"/>
          </w:tcPr>
          <w:p w14:paraId="1A31164F">
            <w:pPr>
              <w:jc w:val="center"/>
              <w:rPr>
                <w:rFonts w:ascii="黑体" w:eastAsia="黑体"/>
                <w:color w:val="auto"/>
                <w:sz w:val="28"/>
              </w:rPr>
            </w:pPr>
          </w:p>
        </w:tc>
      </w:tr>
    </w:tbl>
    <w:p w14:paraId="1F8F0D4F">
      <w:pPr>
        <w:pStyle w:val="4"/>
        <w:spacing w:line="360" w:lineRule="auto"/>
        <w:ind w:firstLine="240" w:firstLineChars="100"/>
        <w:rPr>
          <w:rFonts w:ascii="仿宋_GB2312" w:hAnsi="宋体" w:eastAsia="仿宋_GB2312"/>
          <w:color w:val="auto"/>
          <w:sz w:val="24"/>
        </w:rPr>
      </w:pPr>
    </w:p>
    <w:p w14:paraId="2C8902BE">
      <w:pPr>
        <w:pStyle w:val="4"/>
        <w:spacing w:line="360" w:lineRule="auto"/>
        <w:ind w:firstLine="240" w:firstLineChars="100"/>
        <w:rPr>
          <w:rFonts w:hAnsi="宋体"/>
          <w:b/>
          <w:color w:val="auto"/>
          <w:sz w:val="24"/>
          <w:szCs w:val="24"/>
        </w:rPr>
      </w:pPr>
      <w:r>
        <w:rPr>
          <w:rFonts w:hint="eastAsia" w:ascii="仿宋_GB2312" w:hAnsi="宋体" w:eastAsia="仿宋_GB2312"/>
          <w:color w:val="auto"/>
          <w:sz w:val="24"/>
        </w:rPr>
        <w:t>投标人名称（盖章）：              法定代表人或授权代表签字：</w:t>
      </w:r>
    </w:p>
    <w:p w14:paraId="230C9A2B">
      <w:pPr>
        <w:jc w:val="center"/>
        <w:rPr>
          <w:rFonts w:ascii="黑体" w:eastAsia="黑体"/>
          <w:color w:val="auto"/>
          <w:sz w:val="30"/>
        </w:rPr>
      </w:pPr>
    </w:p>
    <w:p w14:paraId="2287DD66">
      <w:pPr>
        <w:pStyle w:val="4"/>
        <w:spacing w:line="360" w:lineRule="auto"/>
        <w:ind w:left="708" w:leftChars="115" w:hanging="467" w:hangingChars="194"/>
        <w:rPr>
          <w:rFonts w:hAnsi="宋体"/>
          <w:color w:val="auto"/>
          <w:sz w:val="24"/>
        </w:rPr>
      </w:pPr>
      <w:r>
        <w:rPr>
          <w:rFonts w:hint="eastAsia" w:hAnsi="宋体"/>
          <w:b/>
          <w:color w:val="auto"/>
          <w:sz w:val="24"/>
        </w:rPr>
        <w:t>注：</w:t>
      </w:r>
      <w:r>
        <w:rPr>
          <w:rFonts w:hint="eastAsia" w:hAnsi="宋体"/>
          <w:color w:val="auto"/>
          <w:sz w:val="24"/>
        </w:rPr>
        <w:t>附件提供有效业绩合同复印件，原件请带到现场</w:t>
      </w:r>
      <w:r>
        <w:rPr>
          <w:rFonts w:hint="eastAsia" w:hAnsi="宋体"/>
          <w:color w:val="auto"/>
          <w:sz w:val="24"/>
          <w:lang w:val="en-US" w:eastAsia="zh-CN"/>
        </w:rPr>
        <w:t>以</w:t>
      </w:r>
      <w:r>
        <w:rPr>
          <w:rFonts w:hint="eastAsia" w:hAnsi="宋体"/>
          <w:color w:val="auto"/>
          <w:sz w:val="24"/>
        </w:rPr>
        <w:t>备复核。</w:t>
      </w:r>
    </w:p>
    <w:p w14:paraId="3C3D2EE6">
      <w:pPr>
        <w:pStyle w:val="4"/>
        <w:spacing w:line="360" w:lineRule="auto"/>
        <w:ind w:left="661" w:leftChars="315"/>
        <w:rPr>
          <w:rFonts w:hAnsi="宋体"/>
          <w:color w:val="auto"/>
          <w:sz w:val="24"/>
        </w:rPr>
      </w:pPr>
    </w:p>
    <w:p w14:paraId="41988753">
      <w:pPr>
        <w:pStyle w:val="4"/>
        <w:spacing w:line="360" w:lineRule="auto"/>
        <w:ind w:left="661" w:leftChars="315"/>
        <w:rPr>
          <w:rFonts w:hAnsi="宋体"/>
          <w:color w:val="auto"/>
          <w:sz w:val="24"/>
        </w:rPr>
      </w:pPr>
    </w:p>
    <w:p w14:paraId="78793B0C">
      <w:pPr>
        <w:pStyle w:val="4"/>
        <w:spacing w:line="360" w:lineRule="auto"/>
        <w:ind w:left="661" w:leftChars="315"/>
        <w:rPr>
          <w:rFonts w:hAnsi="宋体"/>
          <w:color w:val="auto"/>
          <w:sz w:val="24"/>
        </w:rPr>
      </w:pPr>
    </w:p>
    <w:p w14:paraId="11CA28D3">
      <w:pPr>
        <w:pStyle w:val="4"/>
        <w:spacing w:line="360" w:lineRule="auto"/>
        <w:ind w:left="661" w:leftChars="315"/>
        <w:rPr>
          <w:rFonts w:hAnsi="宋体"/>
          <w:color w:val="auto"/>
          <w:sz w:val="24"/>
        </w:rPr>
      </w:pPr>
    </w:p>
    <w:p w14:paraId="457999FB">
      <w:pPr>
        <w:pStyle w:val="4"/>
        <w:spacing w:line="360" w:lineRule="auto"/>
        <w:ind w:left="661" w:leftChars="315"/>
        <w:rPr>
          <w:rFonts w:hAnsi="宋体"/>
          <w:color w:val="auto"/>
          <w:sz w:val="24"/>
        </w:rPr>
      </w:pPr>
    </w:p>
    <w:p w14:paraId="512CFFCB">
      <w:pPr>
        <w:pStyle w:val="4"/>
        <w:spacing w:line="360" w:lineRule="auto"/>
        <w:ind w:left="661" w:leftChars="315"/>
        <w:rPr>
          <w:rFonts w:hAnsi="宋体"/>
          <w:color w:val="auto"/>
          <w:sz w:val="24"/>
        </w:rPr>
      </w:pPr>
    </w:p>
    <w:p w14:paraId="3E1E8595">
      <w:pPr>
        <w:pStyle w:val="4"/>
        <w:spacing w:line="360" w:lineRule="auto"/>
        <w:ind w:left="661" w:leftChars="315"/>
        <w:rPr>
          <w:rFonts w:hAnsi="宋体"/>
          <w:color w:val="auto"/>
          <w:sz w:val="24"/>
        </w:rPr>
      </w:pPr>
    </w:p>
    <w:p w14:paraId="296F4F3B">
      <w:pPr>
        <w:pStyle w:val="4"/>
        <w:spacing w:line="360" w:lineRule="auto"/>
        <w:ind w:left="661" w:leftChars="315"/>
        <w:rPr>
          <w:rFonts w:hAnsi="宋体"/>
          <w:color w:val="auto"/>
          <w:sz w:val="24"/>
        </w:rPr>
      </w:pPr>
    </w:p>
    <w:p w14:paraId="6B2C3881">
      <w:pPr>
        <w:pStyle w:val="4"/>
        <w:spacing w:line="360" w:lineRule="auto"/>
        <w:ind w:left="661" w:leftChars="315"/>
        <w:rPr>
          <w:rFonts w:hAnsi="宋体"/>
          <w:color w:val="auto"/>
          <w:sz w:val="24"/>
        </w:rPr>
      </w:pPr>
    </w:p>
    <w:p w14:paraId="4C257BD0">
      <w:pPr>
        <w:pStyle w:val="4"/>
        <w:spacing w:line="360" w:lineRule="auto"/>
        <w:ind w:left="661" w:leftChars="315"/>
        <w:rPr>
          <w:rFonts w:hAnsi="宋体"/>
          <w:color w:val="auto"/>
          <w:sz w:val="24"/>
        </w:rPr>
      </w:pPr>
    </w:p>
    <w:p w14:paraId="17360C55">
      <w:pPr>
        <w:pStyle w:val="4"/>
        <w:spacing w:line="360" w:lineRule="auto"/>
        <w:ind w:left="661" w:leftChars="315"/>
        <w:rPr>
          <w:rFonts w:hAnsi="宋体"/>
          <w:color w:val="auto"/>
          <w:sz w:val="24"/>
        </w:rPr>
      </w:pPr>
    </w:p>
    <w:p w14:paraId="26E1B853">
      <w:pPr>
        <w:pStyle w:val="3"/>
        <w:rPr>
          <w:rFonts w:hint="eastAsia"/>
          <w:color w:val="auto"/>
          <w:lang w:val="en-US" w:eastAsia="zh-CN"/>
        </w:rPr>
      </w:pPr>
    </w:p>
    <w:p w14:paraId="57C2AAB3">
      <w:pPr>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附件五：</w:t>
      </w:r>
    </w:p>
    <w:p w14:paraId="27B2DA75">
      <w:pPr>
        <w:jc w:val="center"/>
        <w:rPr>
          <w:rFonts w:eastAsia="黑体"/>
          <w:b/>
          <w:bCs/>
          <w:color w:val="auto"/>
          <w:sz w:val="36"/>
        </w:rPr>
      </w:pPr>
      <w:r>
        <w:rPr>
          <w:rFonts w:hint="eastAsia" w:eastAsia="黑体"/>
          <w:b/>
          <w:bCs/>
          <w:color w:val="auto"/>
          <w:sz w:val="36"/>
        </w:rPr>
        <w:t>在线资质文件预审目录</w:t>
      </w:r>
    </w:p>
    <w:p w14:paraId="20D317F9">
      <w:pPr>
        <w:jc w:val="left"/>
        <w:rPr>
          <w:rFonts w:eastAsia="黑体"/>
          <w:b/>
          <w:bCs/>
          <w:color w:val="auto"/>
          <w:sz w:val="24"/>
        </w:rPr>
      </w:pPr>
      <w:r>
        <w:rPr>
          <w:rFonts w:hint="eastAsia" w:eastAsia="黑体"/>
          <w:b/>
          <w:bCs/>
          <w:color w:val="auto"/>
          <w:sz w:val="24"/>
        </w:rPr>
        <w:t>投标人名称（盖章）：</w:t>
      </w:r>
    </w:p>
    <w:tbl>
      <w:tblPr>
        <w:tblStyle w:val="9"/>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14:paraId="66A6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14:paraId="154FDBF6">
            <w:pPr>
              <w:jc w:val="center"/>
              <w:rPr>
                <w:rFonts w:eastAsia="黑体"/>
                <w:b/>
                <w:bCs/>
                <w:color w:val="auto"/>
                <w:sz w:val="28"/>
              </w:rPr>
            </w:pPr>
            <w:r>
              <w:rPr>
                <w:rFonts w:hint="eastAsia" w:eastAsia="黑体"/>
                <w:b/>
                <w:bCs/>
                <w:color w:val="auto"/>
                <w:sz w:val="28"/>
              </w:rPr>
              <w:t>序号</w:t>
            </w:r>
          </w:p>
        </w:tc>
        <w:tc>
          <w:tcPr>
            <w:tcW w:w="6378" w:type="dxa"/>
          </w:tcPr>
          <w:p w14:paraId="2319BE98">
            <w:pPr>
              <w:jc w:val="center"/>
              <w:rPr>
                <w:rFonts w:eastAsia="黑体"/>
                <w:b/>
                <w:bCs/>
                <w:color w:val="auto"/>
                <w:sz w:val="28"/>
              </w:rPr>
            </w:pPr>
            <w:r>
              <w:rPr>
                <w:rFonts w:hint="eastAsia" w:eastAsia="黑体"/>
                <w:b/>
                <w:bCs/>
                <w:color w:val="auto"/>
                <w:sz w:val="28"/>
              </w:rPr>
              <w:t>文件名称</w:t>
            </w:r>
          </w:p>
        </w:tc>
        <w:tc>
          <w:tcPr>
            <w:tcW w:w="1843" w:type="dxa"/>
          </w:tcPr>
          <w:p w14:paraId="72C5B63A">
            <w:pPr>
              <w:jc w:val="center"/>
              <w:rPr>
                <w:rFonts w:eastAsia="黑体"/>
                <w:b/>
                <w:bCs/>
                <w:color w:val="auto"/>
                <w:sz w:val="28"/>
              </w:rPr>
            </w:pPr>
            <w:r>
              <w:rPr>
                <w:rFonts w:hint="eastAsia" w:eastAsia="黑体"/>
                <w:b/>
                <w:bCs/>
                <w:color w:val="auto"/>
                <w:sz w:val="28"/>
              </w:rPr>
              <w:t>备注</w:t>
            </w:r>
          </w:p>
        </w:tc>
      </w:tr>
      <w:tr w14:paraId="5F5B5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3AA3BC8B">
            <w:pPr>
              <w:jc w:val="center"/>
              <w:rPr>
                <w:rFonts w:ascii="黑体" w:hAnsi="黑体" w:eastAsia="黑体"/>
                <w:bCs/>
                <w:color w:val="auto"/>
                <w:szCs w:val="21"/>
              </w:rPr>
            </w:pPr>
            <w:r>
              <w:rPr>
                <w:rFonts w:hint="eastAsia" w:ascii="黑体" w:hAnsi="黑体" w:eastAsia="黑体"/>
                <w:bCs/>
                <w:color w:val="auto"/>
                <w:szCs w:val="21"/>
              </w:rPr>
              <w:t>1</w:t>
            </w:r>
          </w:p>
        </w:tc>
        <w:tc>
          <w:tcPr>
            <w:tcW w:w="6378" w:type="dxa"/>
            <w:vAlign w:val="center"/>
          </w:tcPr>
          <w:p w14:paraId="3C3566B4">
            <w:pPr>
              <w:jc w:val="left"/>
              <w:rPr>
                <w:rFonts w:ascii="黑体" w:hAnsi="黑体" w:eastAsia="黑体"/>
                <w:bCs/>
                <w:color w:val="auto"/>
                <w:szCs w:val="21"/>
              </w:rPr>
            </w:pPr>
            <w:r>
              <w:rPr>
                <w:rFonts w:hint="eastAsia" w:ascii="黑体" w:hAnsi="黑体" w:eastAsia="黑体"/>
                <w:color w:val="auto"/>
                <w:szCs w:val="21"/>
              </w:rPr>
              <w:t>统一社会信用代码的三证合一的营业执照副本</w:t>
            </w:r>
          </w:p>
        </w:tc>
        <w:tc>
          <w:tcPr>
            <w:tcW w:w="1843" w:type="dxa"/>
          </w:tcPr>
          <w:p w14:paraId="2493818C">
            <w:pPr>
              <w:jc w:val="center"/>
              <w:rPr>
                <w:rFonts w:eastAsia="黑体"/>
                <w:b/>
                <w:bCs/>
                <w:color w:val="auto"/>
                <w:sz w:val="28"/>
              </w:rPr>
            </w:pPr>
          </w:p>
        </w:tc>
      </w:tr>
      <w:tr w14:paraId="5B7CA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00688A9C">
            <w:pPr>
              <w:jc w:val="center"/>
              <w:rPr>
                <w:rFonts w:ascii="黑体" w:hAnsi="黑体" w:eastAsia="黑体"/>
                <w:bCs/>
                <w:color w:val="auto"/>
                <w:szCs w:val="21"/>
              </w:rPr>
            </w:pPr>
            <w:r>
              <w:rPr>
                <w:rFonts w:ascii="黑体" w:hAnsi="黑体" w:eastAsia="黑体"/>
                <w:bCs/>
                <w:color w:val="auto"/>
                <w:szCs w:val="21"/>
              </w:rPr>
              <w:t>2</w:t>
            </w:r>
          </w:p>
        </w:tc>
        <w:tc>
          <w:tcPr>
            <w:tcW w:w="6378" w:type="dxa"/>
            <w:vAlign w:val="center"/>
          </w:tcPr>
          <w:p w14:paraId="3AC8F814">
            <w:pPr>
              <w:jc w:val="left"/>
              <w:rPr>
                <w:rFonts w:ascii="黑体" w:hAnsi="黑体" w:eastAsia="黑体"/>
                <w:bCs/>
                <w:color w:val="auto"/>
                <w:szCs w:val="21"/>
              </w:rPr>
            </w:pPr>
            <w:r>
              <w:rPr>
                <w:rFonts w:hint="eastAsia" w:ascii="黑体" w:hAnsi="黑体" w:eastAsia="黑体"/>
                <w:color w:val="auto"/>
                <w:szCs w:val="21"/>
              </w:rPr>
              <w:t>信用证明：银行资信证明、信用中国/信用山东无违法记录证明</w:t>
            </w:r>
          </w:p>
        </w:tc>
        <w:tc>
          <w:tcPr>
            <w:tcW w:w="1843" w:type="dxa"/>
          </w:tcPr>
          <w:p w14:paraId="322FF70E">
            <w:pPr>
              <w:jc w:val="center"/>
              <w:rPr>
                <w:rFonts w:eastAsia="黑体"/>
                <w:b/>
                <w:bCs/>
                <w:color w:val="auto"/>
                <w:sz w:val="28"/>
              </w:rPr>
            </w:pPr>
          </w:p>
        </w:tc>
      </w:tr>
      <w:tr w14:paraId="534A6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38529438">
            <w:pPr>
              <w:jc w:val="center"/>
              <w:rPr>
                <w:rFonts w:ascii="黑体" w:hAnsi="黑体" w:eastAsia="黑体"/>
                <w:bCs/>
                <w:color w:val="auto"/>
                <w:szCs w:val="21"/>
              </w:rPr>
            </w:pPr>
            <w:r>
              <w:rPr>
                <w:rFonts w:hint="eastAsia" w:ascii="黑体" w:hAnsi="黑体" w:eastAsia="黑体"/>
                <w:bCs/>
                <w:color w:val="auto"/>
                <w:szCs w:val="21"/>
              </w:rPr>
              <w:t>3</w:t>
            </w:r>
          </w:p>
        </w:tc>
        <w:tc>
          <w:tcPr>
            <w:tcW w:w="6378" w:type="dxa"/>
            <w:vAlign w:val="center"/>
          </w:tcPr>
          <w:p w14:paraId="0A558D8F">
            <w:pPr>
              <w:jc w:val="left"/>
              <w:rPr>
                <w:rFonts w:ascii="黑体" w:hAnsi="黑体" w:eastAsia="黑体"/>
                <w:color w:val="auto"/>
                <w:szCs w:val="21"/>
              </w:rPr>
            </w:pPr>
            <w:r>
              <w:rPr>
                <w:rFonts w:hint="eastAsia" w:ascii="黑体" w:hAnsi="黑体" w:eastAsia="黑体"/>
                <w:color w:val="auto"/>
                <w:szCs w:val="21"/>
              </w:rPr>
              <w:t>企业对外担保说明（写明贵单位对外有无对外担保和质押业务，需加盖公章）</w:t>
            </w:r>
          </w:p>
        </w:tc>
        <w:tc>
          <w:tcPr>
            <w:tcW w:w="1843" w:type="dxa"/>
          </w:tcPr>
          <w:p w14:paraId="18338F2B">
            <w:pPr>
              <w:jc w:val="center"/>
              <w:rPr>
                <w:rFonts w:eastAsia="黑体"/>
                <w:b/>
                <w:bCs/>
                <w:color w:val="auto"/>
                <w:sz w:val="28"/>
              </w:rPr>
            </w:pPr>
          </w:p>
        </w:tc>
      </w:tr>
      <w:tr w14:paraId="7AE8C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1C40973A">
            <w:pPr>
              <w:jc w:val="center"/>
              <w:rPr>
                <w:rFonts w:ascii="黑体" w:hAnsi="黑体" w:eastAsia="黑体"/>
                <w:bCs/>
                <w:color w:val="auto"/>
                <w:szCs w:val="21"/>
              </w:rPr>
            </w:pPr>
            <w:r>
              <w:rPr>
                <w:rFonts w:hint="eastAsia" w:ascii="黑体" w:hAnsi="黑体" w:eastAsia="黑体"/>
                <w:bCs/>
                <w:color w:val="auto"/>
                <w:szCs w:val="21"/>
              </w:rPr>
              <w:t>4</w:t>
            </w:r>
          </w:p>
        </w:tc>
        <w:tc>
          <w:tcPr>
            <w:tcW w:w="6378" w:type="dxa"/>
            <w:vAlign w:val="center"/>
          </w:tcPr>
          <w:p w14:paraId="141A4FF5">
            <w:pPr>
              <w:jc w:val="left"/>
              <w:rPr>
                <w:rFonts w:ascii="黑体" w:hAnsi="黑体" w:eastAsia="黑体"/>
                <w:bCs/>
                <w:color w:val="auto"/>
                <w:szCs w:val="21"/>
              </w:rPr>
            </w:pPr>
            <w:r>
              <w:rPr>
                <w:rFonts w:hint="eastAsia" w:ascii="黑体" w:hAnsi="黑体" w:eastAsia="黑体"/>
                <w:bCs/>
                <w:color w:val="auto"/>
                <w:szCs w:val="21"/>
              </w:rPr>
              <w:t>法人授权委托书及身份证</w:t>
            </w:r>
          </w:p>
        </w:tc>
        <w:tc>
          <w:tcPr>
            <w:tcW w:w="1843" w:type="dxa"/>
          </w:tcPr>
          <w:p w14:paraId="74A4E46B">
            <w:pPr>
              <w:jc w:val="center"/>
              <w:rPr>
                <w:rFonts w:eastAsia="黑体"/>
                <w:b/>
                <w:bCs/>
                <w:color w:val="auto"/>
                <w:sz w:val="28"/>
              </w:rPr>
            </w:pPr>
          </w:p>
        </w:tc>
      </w:tr>
      <w:tr w14:paraId="3CA84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31FF087A">
            <w:pPr>
              <w:jc w:val="center"/>
              <w:rPr>
                <w:rFonts w:ascii="黑体" w:hAnsi="黑体" w:eastAsia="黑体"/>
                <w:bCs/>
                <w:color w:val="auto"/>
                <w:szCs w:val="21"/>
              </w:rPr>
            </w:pPr>
            <w:r>
              <w:rPr>
                <w:rFonts w:hint="eastAsia" w:ascii="黑体" w:hAnsi="黑体" w:eastAsia="黑体"/>
                <w:bCs/>
                <w:color w:val="auto"/>
                <w:szCs w:val="21"/>
              </w:rPr>
              <w:t>5</w:t>
            </w:r>
          </w:p>
        </w:tc>
        <w:tc>
          <w:tcPr>
            <w:tcW w:w="6378" w:type="dxa"/>
            <w:vAlign w:val="center"/>
          </w:tcPr>
          <w:p w14:paraId="56B603A0">
            <w:pPr>
              <w:jc w:val="left"/>
              <w:rPr>
                <w:rFonts w:ascii="黑体" w:hAnsi="黑体" w:eastAsia="黑体"/>
                <w:bCs/>
                <w:color w:val="auto"/>
                <w:szCs w:val="21"/>
              </w:rPr>
            </w:pPr>
            <w:r>
              <w:rPr>
                <w:rFonts w:hint="eastAsia" w:ascii="黑体" w:hAnsi="黑体" w:eastAsia="黑体"/>
                <w:bCs/>
                <w:color w:val="auto"/>
                <w:szCs w:val="21"/>
              </w:rPr>
              <w:t>近三年的公司财务报表</w:t>
            </w:r>
          </w:p>
        </w:tc>
        <w:tc>
          <w:tcPr>
            <w:tcW w:w="1843" w:type="dxa"/>
          </w:tcPr>
          <w:p w14:paraId="31D97C18">
            <w:pPr>
              <w:jc w:val="center"/>
              <w:rPr>
                <w:rFonts w:eastAsia="黑体"/>
                <w:b/>
                <w:bCs/>
                <w:color w:val="auto"/>
                <w:sz w:val="28"/>
              </w:rPr>
            </w:pPr>
          </w:p>
        </w:tc>
      </w:tr>
      <w:tr w14:paraId="6C441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D7D5ABD">
            <w:pPr>
              <w:jc w:val="center"/>
              <w:rPr>
                <w:rFonts w:ascii="黑体" w:hAnsi="黑体" w:eastAsia="黑体"/>
                <w:bCs/>
                <w:color w:val="auto"/>
                <w:szCs w:val="21"/>
              </w:rPr>
            </w:pPr>
            <w:r>
              <w:rPr>
                <w:rFonts w:hint="eastAsia" w:ascii="黑体" w:hAnsi="黑体" w:eastAsia="黑体"/>
                <w:bCs/>
                <w:color w:val="auto"/>
                <w:szCs w:val="21"/>
              </w:rPr>
              <w:t>6</w:t>
            </w:r>
          </w:p>
        </w:tc>
        <w:tc>
          <w:tcPr>
            <w:tcW w:w="6378" w:type="dxa"/>
            <w:vAlign w:val="center"/>
          </w:tcPr>
          <w:p w14:paraId="48A77318">
            <w:pPr>
              <w:jc w:val="left"/>
              <w:rPr>
                <w:rFonts w:ascii="黑体" w:hAnsi="黑体" w:eastAsia="黑体"/>
                <w:bCs/>
                <w:color w:val="auto"/>
                <w:szCs w:val="21"/>
              </w:rPr>
            </w:pPr>
            <w:r>
              <w:rPr>
                <w:rFonts w:hint="eastAsia" w:ascii="黑体" w:hAnsi="黑体" w:eastAsia="黑体"/>
                <w:bCs/>
                <w:color w:val="auto"/>
                <w:szCs w:val="21"/>
              </w:rPr>
              <w:t>保证金缴纳凭证</w:t>
            </w:r>
          </w:p>
        </w:tc>
        <w:tc>
          <w:tcPr>
            <w:tcW w:w="1843" w:type="dxa"/>
          </w:tcPr>
          <w:p w14:paraId="3270F294">
            <w:pPr>
              <w:jc w:val="center"/>
              <w:rPr>
                <w:rFonts w:eastAsia="黑体"/>
                <w:b/>
                <w:bCs/>
                <w:color w:val="auto"/>
                <w:sz w:val="28"/>
              </w:rPr>
            </w:pPr>
          </w:p>
        </w:tc>
      </w:tr>
      <w:tr w14:paraId="7C20F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4088245">
            <w:pPr>
              <w:jc w:val="center"/>
              <w:rPr>
                <w:rFonts w:ascii="黑体" w:hAnsi="黑体" w:eastAsia="黑体"/>
                <w:bCs/>
                <w:color w:val="auto"/>
                <w:szCs w:val="21"/>
              </w:rPr>
            </w:pPr>
            <w:r>
              <w:rPr>
                <w:rFonts w:hint="eastAsia" w:ascii="黑体" w:hAnsi="黑体" w:eastAsia="黑体"/>
                <w:bCs/>
                <w:color w:val="auto"/>
                <w:szCs w:val="21"/>
              </w:rPr>
              <w:t>7</w:t>
            </w:r>
          </w:p>
        </w:tc>
        <w:tc>
          <w:tcPr>
            <w:tcW w:w="6378" w:type="dxa"/>
            <w:vAlign w:val="center"/>
          </w:tcPr>
          <w:p w14:paraId="4E9C42DB">
            <w:pPr>
              <w:jc w:val="left"/>
              <w:rPr>
                <w:rFonts w:ascii="黑体" w:hAnsi="黑体" w:eastAsia="黑体"/>
                <w:bCs/>
                <w:color w:val="auto"/>
                <w:szCs w:val="21"/>
              </w:rPr>
            </w:pPr>
            <w:r>
              <w:rPr>
                <w:rFonts w:hint="eastAsia" w:ascii="黑体" w:hAnsi="黑体" w:eastAsia="黑体"/>
                <w:bCs/>
                <w:color w:val="auto"/>
                <w:szCs w:val="21"/>
              </w:rPr>
              <w:t>企业情况一览表（加盖公章；后附投标</w:t>
            </w:r>
            <w:r>
              <w:rPr>
                <w:rFonts w:hint="eastAsia" w:ascii="黑体" w:hAnsi="黑体" w:eastAsia="黑体"/>
                <w:bCs/>
                <w:color w:val="auto"/>
                <w:szCs w:val="21"/>
                <w:lang w:val="en-US" w:eastAsia="zh-CN"/>
              </w:rPr>
              <w:t>单位</w:t>
            </w:r>
            <w:r>
              <w:rPr>
                <w:rFonts w:hint="eastAsia" w:ascii="黑体" w:hAnsi="黑体" w:eastAsia="黑体"/>
                <w:bCs/>
                <w:color w:val="auto"/>
                <w:szCs w:val="21"/>
              </w:rPr>
              <w:t>正式在职人员证明及工作经历</w:t>
            </w:r>
            <w:r>
              <w:rPr>
                <w:rFonts w:hint="eastAsia" w:ascii="黑体" w:hAnsi="黑体" w:eastAsia="黑体"/>
                <w:bCs/>
                <w:color w:val="auto"/>
                <w:szCs w:val="21"/>
                <w:lang w:eastAsia="zh-CN"/>
              </w:rPr>
              <w:t>、</w:t>
            </w:r>
            <w:r>
              <w:rPr>
                <w:rFonts w:hint="eastAsia" w:ascii="黑体" w:hAnsi="黑体" w:eastAsia="黑体"/>
                <w:bCs/>
                <w:color w:val="auto"/>
                <w:szCs w:val="21"/>
              </w:rPr>
              <w:t>缴纳社保证明等。）</w:t>
            </w:r>
          </w:p>
        </w:tc>
        <w:tc>
          <w:tcPr>
            <w:tcW w:w="1843" w:type="dxa"/>
          </w:tcPr>
          <w:p w14:paraId="016155DB">
            <w:pPr>
              <w:jc w:val="center"/>
              <w:rPr>
                <w:rFonts w:eastAsia="黑体"/>
                <w:b/>
                <w:bCs/>
                <w:color w:val="auto"/>
                <w:sz w:val="28"/>
              </w:rPr>
            </w:pPr>
          </w:p>
        </w:tc>
      </w:tr>
      <w:tr w14:paraId="2B50E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36471355">
            <w:pPr>
              <w:jc w:val="center"/>
              <w:rPr>
                <w:rFonts w:ascii="黑体" w:hAnsi="黑体" w:eastAsia="黑体"/>
                <w:bCs/>
                <w:color w:val="auto"/>
                <w:szCs w:val="21"/>
              </w:rPr>
            </w:pPr>
            <w:r>
              <w:rPr>
                <w:rFonts w:hint="eastAsia" w:ascii="黑体" w:hAnsi="黑体" w:eastAsia="黑体"/>
                <w:bCs/>
                <w:color w:val="auto"/>
                <w:szCs w:val="21"/>
              </w:rPr>
              <w:t>8</w:t>
            </w:r>
          </w:p>
        </w:tc>
        <w:tc>
          <w:tcPr>
            <w:tcW w:w="6378" w:type="dxa"/>
            <w:vAlign w:val="center"/>
          </w:tcPr>
          <w:p w14:paraId="40A542A6">
            <w:pPr>
              <w:jc w:val="left"/>
              <w:rPr>
                <w:rFonts w:ascii="黑体" w:hAnsi="黑体" w:eastAsia="黑体"/>
                <w:bCs/>
                <w:color w:val="auto"/>
                <w:szCs w:val="21"/>
              </w:rPr>
            </w:pPr>
            <w:r>
              <w:rPr>
                <w:rFonts w:hint="eastAsia" w:ascii="黑体" w:hAnsi="黑体" w:eastAsia="黑体"/>
                <w:bCs/>
                <w:color w:val="auto"/>
                <w:szCs w:val="21"/>
              </w:rPr>
              <w:t>企业业绩一览表（投标人在近两年为企业提供单个合同3万元以上的业绩证明材料）</w:t>
            </w:r>
          </w:p>
        </w:tc>
        <w:tc>
          <w:tcPr>
            <w:tcW w:w="1843" w:type="dxa"/>
          </w:tcPr>
          <w:p w14:paraId="71B416B4">
            <w:pPr>
              <w:jc w:val="center"/>
              <w:rPr>
                <w:rFonts w:eastAsia="黑体"/>
                <w:b/>
                <w:bCs/>
                <w:color w:val="auto"/>
                <w:sz w:val="28"/>
              </w:rPr>
            </w:pPr>
          </w:p>
        </w:tc>
      </w:tr>
      <w:tr w14:paraId="11F7D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0957B433">
            <w:pPr>
              <w:jc w:val="center"/>
              <w:rPr>
                <w:rFonts w:ascii="黑体" w:hAnsi="黑体" w:eastAsia="黑体"/>
                <w:bCs/>
                <w:color w:val="auto"/>
                <w:szCs w:val="21"/>
              </w:rPr>
            </w:pPr>
            <w:r>
              <w:rPr>
                <w:rFonts w:hint="eastAsia" w:ascii="黑体" w:hAnsi="黑体" w:eastAsia="黑体"/>
                <w:bCs/>
                <w:color w:val="auto"/>
                <w:szCs w:val="21"/>
              </w:rPr>
              <w:t>9</w:t>
            </w:r>
          </w:p>
        </w:tc>
        <w:tc>
          <w:tcPr>
            <w:tcW w:w="6378" w:type="dxa"/>
            <w:vAlign w:val="center"/>
          </w:tcPr>
          <w:p w14:paraId="34F3845B">
            <w:pPr>
              <w:jc w:val="left"/>
              <w:rPr>
                <w:rFonts w:ascii="黑体" w:hAnsi="黑体" w:eastAsia="黑体"/>
                <w:bCs/>
                <w:color w:val="auto"/>
                <w:szCs w:val="21"/>
              </w:rPr>
            </w:pPr>
            <w:r>
              <w:rPr>
                <w:rFonts w:hint="eastAsia" w:ascii="黑体" w:hAnsi="黑体" w:eastAsia="黑体"/>
                <w:bCs/>
                <w:color w:val="auto"/>
                <w:szCs w:val="21"/>
              </w:rPr>
              <w:t>企业最近半年完税证明、年度纳税信用评价信息</w:t>
            </w:r>
          </w:p>
        </w:tc>
        <w:tc>
          <w:tcPr>
            <w:tcW w:w="1843" w:type="dxa"/>
          </w:tcPr>
          <w:p w14:paraId="1B29B146">
            <w:pPr>
              <w:jc w:val="center"/>
              <w:rPr>
                <w:rFonts w:eastAsia="黑体"/>
                <w:b/>
                <w:bCs/>
                <w:color w:val="auto"/>
                <w:sz w:val="28"/>
              </w:rPr>
            </w:pPr>
          </w:p>
        </w:tc>
      </w:tr>
      <w:tr w14:paraId="1BA0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9EEA9DD">
            <w:pPr>
              <w:jc w:val="center"/>
              <w:rPr>
                <w:rFonts w:hint="default" w:ascii="黑体" w:hAnsi="黑体" w:eastAsia="黑体"/>
                <w:bCs/>
                <w:color w:val="auto"/>
                <w:szCs w:val="21"/>
                <w:lang w:val="en-US" w:eastAsia="zh-CN"/>
              </w:rPr>
            </w:pPr>
            <w:r>
              <w:rPr>
                <w:rFonts w:hint="eastAsia" w:ascii="黑体" w:hAnsi="黑体" w:eastAsia="黑体"/>
                <w:bCs/>
                <w:color w:val="auto"/>
                <w:szCs w:val="21"/>
                <w:lang w:val="en-US" w:eastAsia="zh-CN"/>
              </w:rPr>
              <w:t>10</w:t>
            </w:r>
          </w:p>
        </w:tc>
        <w:tc>
          <w:tcPr>
            <w:tcW w:w="6378" w:type="dxa"/>
            <w:vAlign w:val="center"/>
          </w:tcPr>
          <w:p w14:paraId="4DCAD1FD">
            <w:pPr>
              <w:jc w:val="left"/>
              <w:rPr>
                <w:rFonts w:hint="default" w:ascii="黑体" w:hAnsi="黑体" w:eastAsia="黑体"/>
                <w:bCs/>
                <w:color w:val="auto"/>
                <w:szCs w:val="21"/>
                <w:lang w:val="en-US" w:eastAsia="zh-CN"/>
              </w:rPr>
            </w:pPr>
            <w:r>
              <w:rPr>
                <w:rFonts w:hint="eastAsia" w:ascii="黑体" w:hAnsi="黑体" w:eastAsia="黑体"/>
                <w:bCs/>
                <w:color w:val="auto"/>
                <w:szCs w:val="21"/>
                <w:lang w:val="en-US" w:eastAsia="zh-CN"/>
              </w:rPr>
              <w:t>客商信息表</w:t>
            </w:r>
          </w:p>
        </w:tc>
        <w:tc>
          <w:tcPr>
            <w:tcW w:w="1843" w:type="dxa"/>
          </w:tcPr>
          <w:p w14:paraId="4D885EE2">
            <w:pPr>
              <w:jc w:val="center"/>
              <w:rPr>
                <w:rFonts w:eastAsia="黑体"/>
                <w:b/>
                <w:bCs/>
                <w:color w:val="auto"/>
                <w:sz w:val="28"/>
              </w:rPr>
            </w:pPr>
          </w:p>
        </w:tc>
      </w:tr>
    </w:tbl>
    <w:p w14:paraId="6344C698">
      <w:pPr>
        <w:rPr>
          <w:rFonts w:eastAsia="黑体"/>
          <w:b/>
          <w:bCs/>
          <w:color w:val="auto"/>
          <w:sz w:val="28"/>
        </w:rPr>
      </w:pPr>
    </w:p>
    <w:p w14:paraId="1FE46D13">
      <w:pPr>
        <w:jc w:val="center"/>
        <w:rPr>
          <w:rFonts w:eastAsia="黑体"/>
          <w:b/>
          <w:bCs/>
          <w:color w:val="auto"/>
          <w:sz w:val="28"/>
        </w:rPr>
      </w:pPr>
      <w:r>
        <w:rPr>
          <w:rFonts w:hint="eastAsia" w:eastAsia="黑体"/>
          <w:b/>
          <w:bCs/>
          <w:color w:val="auto"/>
          <w:sz w:val="28"/>
        </w:rPr>
        <w:t xml:space="preserve"> </w:t>
      </w:r>
      <w:r>
        <w:rPr>
          <w:rFonts w:eastAsia="黑体"/>
          <w:b/>
          <w:bCs/>
          <w:color w:val="auto"/>
          <w:sz w:val="28"/>
        </w:rPr>
        <w:t xml:space="preserve">                        </w:t>
      </w:r>
    </w:p>
    <w:p w14:paraId="09796A26">
      <w:pPr>
        <w:pStyle w:val="4"/>
        <w:spacing w:line="360" w:lineRule="auto"/>
        <w:rPr>
          <w:rFonts w:hint="eastAsia" w:hAnsi="宋体"/>
          <w:color w:val="auto"/>
          <w:sz w:val="24"/>
          <w:szCs w:val="24"/>
        </w:rPr>
      </w:pPr>
      <w:r>
        <w:rPr>
          <w:rFonts w:hint="eastAsia" w:hAnsi="宋体"/>
          <w:bCs/>
          <w:color w:val="auto"/>
          <w:sz w:val="24"/>
          <w:szCs w:val="24"/>
        </w:rPr>
        <w:t>注：</w:t>
      </w:r>
      <w:r>
        <w:rPr>
          <w:rFonts w:hint="eastAsia" w:hAnsi="宋体"/>
          <w:color w:val="auto"/>
          <w:sz w:val="24"/>
          <w:szCs w:val="24"/>
        </w:rPr>
        <w:t>以上资料缺一不可，投标方需提供高清扫描文件，未能提供或资料不全的投标单位为无效投标，认定无效投标的招标方将不再提供</w:t>
      </w:r>
      <w:r>
        <w:rPr>
          <w:rFonts w:hint="eastAsia" w:hAnsi="宋体"/>
          <w:color w:val="auto"/>
          <w:sz w:val="24"/>
          <w:szCs w:val="24"/>
          <w:lang w:val="en-US" w:eastAsia="zh-CN"/>
        </w:rPr>
        <w:t>报价</w:t>
      </w:r>
      <w:r>
        <w:rPr>
          <w:rFonts w:hint="eastAsia" w:hAnsi="宋体"/>
          <w:color w:val="auto"/>
          <w:sz w:val="24"/>
          <w:szCs w:val="24"/>
        </w:rPr>
        <w:t>清单，开标时现场将核验原件，如有弄虚作假行为一经发现，扣除履约保证金，并纳入供应商黑名单。</w:t>
      </w:r>
    </w:p>
    <w:p w14:paraId="682A29A9">
      <w:pPr>
        <w:pStyle w:val="4"/>
        <w:spacing w:line="360" w:lineRule="auto"/>
        <w:rPr>
          <w:rFonts w:hint="eastAsia" w:hAnsi="宋体"/>
          <w:color w:val="auto"/>
          <w:sz w:val="24"/>
          <w:szCs w:val="24"/>
        </w:rPr>
      </w:pPr>
    </w:p>
    <w:p w14:paraId="5C8B1DB5">
      <w:pPr>
        <w:pStyle w:val="4"/>
        <w:spacing w:line="360" w:lineRule="auto"/>
        <w:rPr>
          <w:rFonts w:hint="eastAsia" w:hAnsi="宋体"/>
          <w:color w:val="auto"/>
          <w:sz w:val="24"/>
          <w:szCs w:val="24"/>
        </w:rPr>
      </w:pPr>
    </w:p>
    <w:p w14:paraId="3614224F">
      <w:pPr>
        <w:pStyle w:val="4"/>
        <w:spacing w:line="360" w:lineRule="auto"/>
        <w:rPr>
          <w:rFonts w:hint="eastAsia" w:hAnsi="宋体"/>
          <w:color w:val="auto"/>
          <w:sz w:val="24"/>
          <w:szCs w:val="24"/>
        </w:rPr>
      </w:pPr>
    </w:p>
    <w:p w14:paraId="58D83DAE">
      <w:pPr>
        <w:pStyle w:val="4"/>
        <w:spacing w:line="360" w:lineRule="auto"/>
        <w:rPr>
          <w:rFonts w:hint="eastAsia" w:hAnsi="宋体"/>
          <w:color w:val="auto"/>
          <w:sz w:val="24"/>
          <w:szCs w:val="24"/>
        </w:rPr>
      </w:pPr>
    </w:p>
    <w:p w14:paraId="12C83443">
      <w:pPr>
        <w:pStyle w:val="4"/>
        <w:spacing w:line="360" w:lineRule="auto"/>
        <w:rPr>
          <w:rFonts w:hint="eastAsia" w:hAnsi="宋体"/>
          <w:color w:val="auto"/>
          <w:sz w:val="24"/>
          <w:szCs w:val="24"/>
        </w:rPr>
      </w:pPr>
    </w:p>
    <w:p w14:paraId="5A1EC31E">
      <w:pPr>
        <w:pStyle w:val="4"/>
        <w:spacing w:line="360" w:lineRule="auto"/>
        <w:rPr>
          <w:rFonts w:hint="eastAsia" w:hAnsi="宋体"/>
          <w:color w:val="auto"/>
          <w:sz w:val="24"/>
          <w:szCs w:val="24"/>
        </w:rPr>
      </w:pPr>
    </w:p>
    <w:p w14:paraId="6741C4CF">
      <w:pPr>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合同模板</w:t>
      </w:r>
      <w:r>
        <w:rPr>
          <w:rFonts w:hint="eastAsia" w:asciiTheme="minorEastAsia" w:hAnsiTheme="minorEastAsia" w:cstheme="minorEastAsia"/>
          <w:color w:val="auto"/>
          <w:sz w:val="24"/>
          <w:szCs w:val="24"/>
          <w:highlight w:val="none"/>
          <w:lang w:val="en-US" w:eastAsia="zh-CN"/>
        </w:rPr>
        <w:t>：</w:t>
      </w:r>
    </w:p>
    <w:p w14:paraId="5B3A709E">
      <w:pPr>
        <w:widowControl/>
        <w:wordWrap w:val="0"/>
        <w:jc w:val="center"/>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cstheme="minorEastAsia"/>
          <w:i w:val="0"/>
          <w:color w:val="auto"/>
          <w:kern w:val="0"/>
          <w:sz w:val="24"/>
          <w:szCs w:val="24"/>
          <w:highlight w:val="none"/>
          <w:u w:val="none"/>
          <w:lang w:val="en-US" w:eastAsia="zh-CN" w:bidi="ar"/>
        </w:rPr>
        <w:t xml:space="preserve">                                                    </w:t>
      </w:r>
      <w:r>
        <w:rPr>
          <w:rFonts w:hint="eastAsia" w:asciiTheme="minorEastAsia" w:hAnsiTheme="minorEastAsia" w:eastAsiaTheme="minorEastAsia" w:cstheme="minorEastAsia"/>
          <w:b/>
          <w:bCs/>
          <w:i w:val="0"/>
          <w:color w:val="auto"/>
          <w:kern w:val="0"/>
          <w:sz w:val="24"/>
          <w:szCs w:val="24"/>
          <w:highlight w:val="none"/>
          <w:u w:val="none"/>
          <w:lang w:val="en-US" w:eastAsia="zh-CN" w:bidi="ar"/>
        </w:rPr>
        <w:t xml:space="preserve">编号: </w:t>
      </w:r>
      <w:r>
        <w:rPr>
          <w:rFonts w:ascii="宋体" w:hAnsi="宋体"/>
          <w:b/>
          <w:color w:val="auto"/>
          <w:sz w:val="28"/>
          <w:szCs w:val="28"/>
          <w:highlight w:val="none"/>
          <w:u w:val="thick"/>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p>
    <w:p w14:paraId="52CC4D9B">
      <w:pPr>
        <w:widowControl/>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7D36F966">
      <w:pPr>
        <w:widowControl/>
        <w:jc w:val="center"/>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05C9F95F">
      <w:pPr>
        <w:pStyle w:val="3"/>
        <w:rPr>
          <w:rFonts w:hint="eastAsia"/>
          <w:color w:val="auto"/>
          <w:lang w:val="en-US" w:eastAsia="zh-CN"/>
        </w:rPr>
      </w:pPr>
    </w:p>
    <w:p w14:paraId="3DECBCD3">
      <w:pPr>
        <w:widowControl/>
        <w:jc w:val="center"/>
        <w:textAlignment w:val="center"/>
        <w:rPr>
          <w:rFonts w:hint="eastAsia" w:ascii="宋体" w:hAnsi="宋体" w:eastAsia="宋体" w:cs="宋体"/>
          <w:i w:val="0"/>
          <w:color w:val="auto"/>
          <w:kern w:val="0"/>
          <w:sz w:val="36"/>
          <w:szCs w:val="36"/>
          <w:highlight w:val="none"/>
          <w:u w:val="none"/>
          <w:lang w:val="en-US" w:eastAsia="zh-CN" w:bidi="ar"/>
        </w:rPr>
      </w:pPr>
      <w:r>
        <w:rPr>
          <w:rFonts w:hint="eastAsia" w:ascii="宋体" w:hAnsi="宋体" w:eastAsia="宋体" w:cs="宋体"/>
          <w:i w:val="0"/>
          <w:color w:val="auto"/>
          <w:kern w:val="0"/>
          <w:sz w:val="36"/>
          <w:szCs w:val="36"/>
          <w:highlight w:val="none"/>
          <w:u w:val="none"/>
          <w:lang w:val="en-US" w:eastAsia="zh-CN" w:bidi="ar"/>
        </w:rPr>
        <w:t>中国重汽集团成都王牌商用车有限公司</w:t>
      </w:r>
    </w:p>
    <w:p w14:paraId="412D7516">
      <w:pPr>
        <w:widowControl/>
        <w:jc w:val="center"/>
        <w:textAlignment w:val="center"/>
        <w:rPr>
          <w:rFonts w:hint="default" w:ascii="宋体" w:hAnsi="宋体" w:eastAsia="宋体" w:cs="宋体"/>
          <w:i w:val="0"/>
          <w:color w:val="auto"/>
          <w:kern w:val="0"/>
          <w:sz w:val="36"/>
          <w:szCs w:val="36"/>
          <w:highlight w:val="none"/>
          <w:u w:val="none"/>
          <w:lang w:val="en-US" w:eastAsia="zh-CN" w:bidi="ar"/>
        </w:rPr>
      </w:pPr>
      <w:r>
        <w:rPr>
          <w:rFonts w:hint="eastAsia" w:ascii="宋体" w:hAnsi="宋体" w:eastAsia="宋体" w:cs="宋体"/>
          <w:i w:val="0"/>
          <w:color w:val="auto"/>
          <w:kern w:val="0"/>
          <w:sz w:val="36"/>
          <w:szCs w:val="36"/>
          <w:highlight w:val="none"/>
          <w:u w:val="none"/>
          <w:lang w:val="en-US" w:eastAsia="zh-CN" w:bidi="ar"/>
        </w:rPr>
        <w:t>市场推广</w:t>
      </w:r>
      <w:r>
        <w:rPr>
          <w:rFonts w:hint="default" w:ascii="宋体" w:hAnsi="宋体" w:eastAsia="宋体" w:cs="宋体"/>
          <w:i w:val="0"/>
          <w:color w:val="auto"/>
          <w:kern w:val="0"/>
          <w:sz w:val="36"/>
          <w:szCs w:val="36"/>
          <w:highlight w:val="none"/>
          <w:u w:val="none"/>
          <w:lang w:val="en-US" w:eastAsia="zh-CN" w:bidi="ar"/>
        </w:rPr>
        <w:t>活动合同</w:t>
      </w:r>
    </w:p>
    <w:p w14:paraId="686152B2">
      <w:pPr>
        <w:pStyle w:val="3"/>
        <w:rPr>
          <w:rFonts w:hint="eastAsia"/>
          <w:color w:val="auto"/>
          <w:lang w:val="en-US" w:eastAsia="zh-CN"/>
        </w:rPr>
      </w:pPr>
    </w:p>
    <w:p w14:paraId="37540AF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甲方:中国重汽集团成都王牌商用车有限公司(以下简称甲方)</w:t>
      </w:r>
    </w:p>
    <w:p w14:paraId="7D727C74">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乙方:</w:t>
      </w:r>
      <w:r>
        <w:rPr>
          <w:rFonts w:hint="eastAsia" w:asciiTheme="minorEastAsia" w:hAnsiTheme="minorEastAsia" w:eastAsia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(以下简称乙方)</w:t>
      </w:r>
    </w:p>
    <w:p w14:paraId="410840C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5A43ABF7">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甲乙双方根据《中华人民共和国民法典》、《中华人民共和国广告法》的相关规定，本着平等互利、诚实守信的原则，就甲方委托乙方策划执行市场推广活动签订本合同，并共同遵守。</w:t>
      </w:r>
    </w:p>
    <w:p w14:paraId="68FFCF29">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一、服务内容</w:t>
      </w:r>
    </w:p>
    <w:p w14:paraId="30B89B85">
      <w:pPr>
        <w:pStyle w:val="8"/>
        <w:keepNext w:val="0"/>
        <w:keepLines w:val="0"/>
        <w:pageBreakBefore w:val="0"/>
        <w:widowControl/>
        <w:kinsoku/>
        <w:wordWrap/>
        <w:overflowPunct/>
        <w:topLinePunct w:val="0"/>
        <w:bidi w:val="0"/>
        <w:snapToGrid/>
        <w:spacing w:line="440" w:lineRule="exact"/>
        <w:ind w:firstLine="480" w:firstLineChars="200"/>
        <w:jc w:val="both"/>
        <w:textAlignment w:val="auto"/>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乙方按照甲方需求完成年度推广活动的</w:t>
      </w:r>
      <w:r>
        <w:rPr>
          <w:rFonts w:hint="eastAsia" w:asciiTheme="minorEastAsia" w:hAnsiTheme="minorEastAsia" w:eastAsiaTheme="minorEastAsia" w:cstheme="minorEastAsia"/>
          <w:color w:val="auto"/>
          <w:sz w:val="24"/>
          <w:szCs w:val="24"/>
        </w:rPr>
        <w:t>总体创意、策划及统筹</w:t>
      </w:r>
      <w:r>
        <w:rPr>
          <w:rFonts w:hint="eastAsia" w:asciiTheme="minorEastAsia" w:hAnsiTheme="minorEastAsia" w:eastAsiaTheme="minorEastAsia" w:cstheme="minorEastAsia"/>
          <w:i w:val="0"/>
          <w:color w:val="auto"/>
          <w:kern w:val="0"/>
          <w:sz w:val="24"/>
          <w:szCs w:val="24"/>
          <w:highlight w:val="none"/>
          <w:u w:val="none"/>
          <w:lang w:val="en-US" w:eastAsia="zh-CN" w:bidi="ar"/>
        </w:rPr>
        <w:t>，包含但不限于主题策划、主视觉设计、流程设计、延展物料、图文、视频、稿件等文案的设计制作，以及布展搭建、活动执行、影像拍摄、设备及人员的管理等内容。</w:t>
      </w:r>
    </w:p>
    <w:p w14:paraId="5E20E911">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二、合同时间</w:t>
      </w:r>
      <w:r>
        <w:rPr>
          <w:rFonts w:hint="eastAsia" w:asciiTheme="minorEastAsia" w:hAnsiTheme="minorEastAsia" w:eastAsiaTheme="minorEastAsia" w:cstheme="minorEastAsia"/>
          <w:i w:val="0"/>
          <w:color w:val="auto"/>
          <w:kern w:val="0"/>
          <w:sz w:val="24"/>
          <w:szCs w:val="24"/>
          <w:highlight w:val="none"/>
          <w:u w:val="none"/>
          <w:lang w:val="en-US" w:eastAsia="zh-CN" w:bidi="ar"/>
        </w:rPr>
        <w:t>:</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年</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月</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日-</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年</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月</w:t>
      </w:r>
      <w:r>
        <w:rPr>
          <w:rFonts w:hint="eastAsia" w:asciiTheme="minorEastAsia" w:hAnsiTheme="minorEastAsia" w:cstheme="minorEastAsia"/>
          <w:i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日</w:t>
      </w:r>
    </w:p>
    <w:p w14:paraId="37EEC1AD">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三、付款标准</w:t>
      </w:r>
    </w:p>
    <w:p w14:paraId="2EA73437">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default" w:ascii="宋体" w:hAnsi="宋体" w:eastAsia="宋体" w:cs="宋体"/>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1、单场次费用：</w:t>
      </w:r>
      <w:r>
        <w:rPr>
          <w:rFonts w:hint="default" w:ascii="宋体" w:hAnsi="宋体" w:eastAsia="宋体" w:cs="宋体"/>
          <w:i w:val="0"/>
          <w:color w:val="auto"/>
          <w:kern w:val="0"/>
          <w:sz w:val="24"/>
          <w:szCs w:val="24"/>
          <w:highlight w:val="none"/>
          <w:u w:val="none"/>
          <w:lang w:val="en-US" w:eastAsia="zh-CN" w:bidi="ar"/>
        </w:rPr>
        <w:t>不含税总价为人民币¥</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元(大写：</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整)，增值税税率</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 xml:space="preserve"> ，税额</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元，含税总价</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元人民币（大写：</w:t>
      </w:r>
      <w:r>
        <w:rPr>
          <w:rFonts w:hint="default" w:ascii="宋体" w:hAnsi="宋体" w:eastAsia="宋体" w:cs="宋体"/>
          <w:i w:val="0"/>
          <w:color w:val="auto"/>
          <w:kern w:val="0"/>
          <w:sz w:val="24"/>
          <w:szCs w:val="24"/>
          <w:highlight w:val="none"/>
          <w:u w:val="single"/>
          <w:lang w:val="en-US" w:eastAsia="zh-CN" w:bidi="ar"/>
        </w:rPr>
        <w:t xml:space="preserve"> </w:t>
      </w:r>
      <w:r>
        <w:rPr>
          <w:rFonts w:hint="eastAsia" w:ascii="宋体" w:hAnsi="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singl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乙方根据具体发生金额向甲方提供相应的发票，因发票违规给甲方造成的增值税、所得税等损失，由乙方承担相关责任，包括但不限于税款、滞纳金、罚款及其它相关损失。如国家出台新政策对增值税率进行了调整，则不含税价款不变，本合同含税总价在不含税价基础上根据国家最新税法进行相应的调整。单场报价明细详见附件一:《</w:t>
      </w:r>
      <w:r>
        <w:rPr>
          <w:rFonts w:hint="eastAsia" w:ascii="宋体" w:hAnsi="宋体" w:eastAsia="宋体" w:cs="宋体"/>
          <w:i w:val="0"/>
          <w:color w:val="auto"/>
          <w:kern w:val="0"/>
          <w:sz w:val="24"/>
          <w:szCs w:val="24"/>
          <w:highlight w:val="none"/>
          <w:u w:val="none"/>
          <w:lang w:val="en-US" w:eastAsia="zh-CN" w:bidi="ar"/>
        </w:rPr>
        <w:t>市场推广活动报价一览表</w:t>
      </w:r>
      <w:r>
        <w:rPr>
          <w:rFonts w:hint="default" w:ascii="宋体" w:hAnsi="宋体" w:eastAsia="宋体" w:cs="宋体"/>
          <w:i w:val="0"/>
          <w:color w:val="auto"/>
          <w:kern w:val="0"/>
          <w:sz w:val="24"/>
          <w:szCs w:val="24"/>
          <w:highlight w:val="none"/>
          <w:u w:val="none"/>
          <w:lang w:val="en-US" w:eastAsia="zh-CN" w:bidi="ar"/>
        </w:rPr>
        <w:t>》。如项目增减造成费用变动，需经双方书面认可，以双方确认的</w:t>
      </w:r>
      <w:r>
        <w:rPr>
          <w:rFonts w:hint="eastAsia" w:ascii="宋体" w:hAnsi="宋体" w:eastAsia="宋体" w:cs="宋体"/>
          <w:i w:val="0"/>
          <w:color w:val="auto"/>
          <w:kern w:val="0"/>
          <w:sz w:val="24"/>
          <w:szCs w:val="24"/>
          <w:highlight w:val="none"/>
          <w:u w:val="none"/>
          <w:lang w:val="en-US" w:eastAsia="zh-CN" w:bidi="ar"/>
        </w:rPr>
        <w:t>项目及</w:t>
      </w:r>
      <w:r>
        <w:rPr>
          <w:rFonts w:hint="default" w:ascii="宋体" w:hAnsi="宋体" w:eastAsia="宋体" w:cs="宋体"/>
          <w:i w:val="0"/>
          <w:color w:val="auto"/>
          <w:kern w:val="0"/>
          <w:sz w:val="24"/>
          <w:szCs w:val="24"/>
          <w:highlight w:val="none"/>
          <w:u w:val="none"/>
          <w:lang w:val="en-US" w:eastAsia="zh-CN" w:bidi="ar"/>
        </w:rPr>
        <w:t>价格</w:t>
      </w:r>
      <w:r>
        <w:rPr>
          <w:rFonts w:hint="eastAsia" w:ascii="宋体" w:hAnsi="宋体" w:eastAsia="宋体" w:cs="宋体"/>
          <w:i w:val="0"/>
          <w:color w:val="auto"/>
          <w:kern w:val="0"/>
          <w:sz w:val="24"/>
          <w:szCs w:val="24"/>
          <w:highlight w:val="none"/>
          <w:u w:val="none"/>
          <w:lang w:val="en-US" w:eastAsia="zh-CN" w:bidi="ar"/>
        </w:rPr>
        <w:t>进行</w:t>
      </w:r>
      <w:r>
        <w:rPr>
          <w:rFonts w:hint="default" w:ascii="宋体" w:hAnsi="宋体" w:eastAsia="宋体" w:cs="宋体"/>
          <w:i w:val="0"/>
          <w:color w:val="auto"/>
          <w:kern w:val="0"/>
          <w:sz w:val="24"/>
          <w:szCs w:val="24"/>
          <w:highlight w:val="none"/>
          <w:u w:val="none"/>
          <w:lang w:val="en-US" w:eastAsia="zh-CN" w:bidi="ar"/>
        </w:rPr>
        <w:t>结算。</w:t>
      </w:r>
    </w:p>
    <w:p w14:paraId="478C1D5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2、活动总费用：按照甲方确认的、由乙方实际执行的总场次计算。</w:t>
      </w:r>
    </w:p>
    <w:p w14:paraId="3AC20E74">
      <w:pPr>
        <w:pStyle w:val="3"/>
        <w:ind w:firstLine="480" w:firstLineChars="200"/>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3、因工作时间的不可预定性及乙方为甲方特殊服务性，休息时间加班不另加工资。乙方自己负责活动执行过程中的人身安全，并由乙方购买相应的保险。 </w:t>
      </w:r>
    </w:p>
    <w:p w14:paraId="52DB887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四、付款方式</w:t>
      </w:r>
    </w:p>
    <w:p w14:paraId="6D7D6B96">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1、活动结束后7个工作日内，乙方向甲方开具增值税专用发票；甲方确定在收到乙方开具增值税专用发票后30个工作日内以银行转账方式支付给乙方。</w:t>
      </w:r>
    </w:p>
    <w:p w14:paraId="69EC70EA">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2、甲方开票信息如下：</w:t>
      </w:r>
    </w:p>
    <w:p w14:paraId="04465DDA">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单位名称：中国重汽集团成都王牌商用车有限公司</w:t>
      </w:r>
    </w:p>
    <w:p w14:paraId="115AD93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开户银行：中国农业银行股份有限公司成都市青白江弥牟支行</w:t>
      </w:r>
    </w:p>
    <w:p w14:paraId="1FF40BD8">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银行账号：844401040000572</w:t>
      </w:r>
    </w:p>
    <w:p w14:paraId="671DCB59">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税    号：91510113660488048Q</w:t>
      </w:r>
    </w:p>
    <w:p w14:paraId="52C0224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地    址：成都市青白江区弥牟镇长城路8号</w:t>
      </w:r>
    </w:p>
    <w:p w14:paraId="09F29428">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3、乙方汇款信息如下：</w:t>
      </w:r>
    </w:p>
    <w:p w14:paraId="21ECCBC7">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单位名称：</w:t>
      </w:r>
    </w:p>
    <w:p w14:paraId="41DB418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开户银行：</w:t>
      </w:r>
    </w:p>
    <w:p w14:paraId="4B8B5E69">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银行账号：</w:t>
      </w:r>
    </w:p>
    <w:p w14:paraId="7CA120FA">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行   </w:t>
      </w:r>
      <w:r>
        <w:rPr>
          <w:rFonts w:hint="eastAsia" w:asciiTheme="minorEastAsia" w:hAnsiTheme="minorEastAsia" w:cstheme="minorEastAsia"/>
          <w:i w:val="0"/>
          <w:color w:val="auto"/>
          <w:kern w:val="0"/>
          <w:sz w:val="24"/>
          <w:szCs w:val="24"/>
          <w:highlight w:val="none"/>
          <w:u w:val="non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号：</w:t>
      </w:r>
    </w:p>
    <w:p w14:paraId="10928F8F">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五、甲方权责</w:t>
      </w:r>
    </w:p>
    <w:p w14:paraId="5E35F9B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1、定期沟通，审核乙方前一阶段的工作，确认下一阶段的工作计划。</w:t>
      </w:r>
    </w:p>
    <w:p w14:paraId="3E26795E">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2、根据乙方对公关活动工作的有关要求和建议，及时提供市场策略、产品及技术信息、行业概况等有关资料。</w:t>
      </w:r>
    </w:p>
    <w:p w14:paraId="2D7DC980">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3、负责实施方案、费用预算、设计稿件等内容的确认、监督实施，如出现不符合要求的情况，甲方有权要求乙方整改。</w:t>
      </w:r>
    </w:p>
    <w:p w14:paraId="6D8A59CC">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4、如果甲方需变更或调整方案，需在项目启动前10个工作日书面通知乙方。</w:t>
      </w:r>
    </w:p>
    <w:p w14:paraId="69AD6668">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5、甲方负责活动产生住宿费用、餐费、场地费及活动所需礼品。</w:t>
      </w:r>
    </w:p>
    <w:p w14:paraId="2519F71A">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六、乙方权责</w:t>
      </w:r>
    </w:p>
    <w:p w14:paraId="23F4325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1、乙方应委派具有丰富公关经验和专业知识的工作人员组成项目团队，依据本合同服务条款及经甲方认可的方案内容，向甲方提供各项公关传播服务。</w:t>
      </w:r>
    </w:p>
    <w:p w14:paraId="52D85AE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2、乙方应严格按照甲方的要求（包括甲方自有设计方案和乙方就该项目自行设计的方案）按时完成设计、制作和执行等工作，并确保工作进度和质量。</w:t>
      </w:r>
    </w:p>
    <w:p w14:paraId="59B2BC43">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3、设立专人与甲方进行日常沟通，并对所提供的服务、质量和合法性负责。</w:t>
      </w:r>
    </w:p>
    <w:p w14:paraId="0022497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4、在未经甲方授权许可的情况下，乙方不得将与甲方有关的任何资料提供给任何第三方。该等资料的知识产权归甲方所有，未经书面许可，乙方不得用作他用。</w:t>
      </w:r>
    </w:p>
    <w:p w14:paraId="4419A2AC">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5、乙方对于甲方在设计阶段提出的合理的、可实施的方案更改，在合同履行时间充足的情况下应积极配合完成。</w:t>
      </w:r>
    </w:p>
    <w:p w14:paraId="664BEE01">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6、乙方对于甲方的现场监督应该积极配合，确保方案符合甲方要求。</w:t>
      </w:r>
    </w:p>
    <w:p w14:paraId="4DB86D4E">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7、乙方按照双方约定的时间节点交付工作成果。</w:t>
      </w:r>
    </w:p>
    <w:p w14:paraId="4DA9E65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i w:val="0"/>
          <w:color w:val="auto"/>
          <w:kern w:val="0"/>
          <w:sz w:val="24"/>
          <w:szCs w:val="24"/>
          <w:highlight w:val="none"/>
          <w:u w:val="none"/>
          <w:lang w:val="en-US" w:eastAsia="zh-CN" w:bidi="ar"/>
        </w:rPr>
        <w:t>8、遵守安全施工规则；由乙方在活动执行过程中不当引发的事故和损失，造成双方及第三人人身损害或财产损失的，由乙方自行承担一切责任。</w:t>
      </w:r>
    </w:p>
    <w:p w14:paraId="7DD1CAEF">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七、保密及知识产权条款</w:t>
      </w:r>
    </w:p>
    <w:p w14:paraId="2038C75D">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1、甲乙双方在签订合同过程中获得的商业秘密，无论合同是否成立，不得泄露或不正当使用。泄露或不正当使用该商业秘密给对方造成损失，应当承担损害赔偿责任。</w:t>
      </w:r>
    </w:p>
    <w:p w14:paraId="1567E95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2、乙方有责任在未经甲方书面许可的情况下不得向第三方泄露合同内容，其中包括自为甲方服务后所得到的任何保密信息。</w:t>
      </w:r>
    </w:p>
    <w:p w14:paraId="2CFC4460">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3、乙方同意在合同期间及之后，乙方为甲方提供服务所准备的资料，例如:策划方案、平面设计稿、制作视频等，合同已交付执行部分，知识产权属甲方所有，乙方享有署名权。交付执行后，若第三人侵犯该知识产权，由甲方负责处理，乙方协助。若因乙方提供作品出现侵犯第三方知识产权问题，相关的纠纷由乙方负责处理。</w:t>
      </w:r>
    </w:p>
    <w:p w14:paraId="7843D997">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八、违约责任及合同解除</w:t>
      </w:r>
    </w:p>
    <w:p w14:paraId="7802D720">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1、任何一方违反其在本合同中的义务，另一方有权要求对方依据本合同的有关条款和中华人民共和国的相关法律进行赔偿。</w:t>
      </w:r>
    </w:p>
    <w:p w14:paraId="1E169FB7">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合同签订后，若因不可抗力事件，导致合同不能继续履行的，双方协商解决合同后续履行问题；若因非不可抗力因素解除合同，需至少提前30个工作日向对方发出书面通知，协商解决，协商不成，违约方应向对方承担未履行合同部分价款30%的违约金。</w:t>
      </w:r>
    </w:p>
    <w:p w14:paraId="69FB75AE">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3、乙方执行过程中如出现失误，按物料本身价值双倍赔偿且视给甲方造成的权益影响程度进行赔偿损失。</w:t>
      </w:r>
    </w:p>
    <w:p w14:paraId="309C590C">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九、其他条款</w:t>
      </w:r>
    </w:p>
    <w:p w14:paraId="15EDA986">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w:t>
      </w:r>
      <w:r>
        <w:rPr>
          <w:rFonts w:hint="eastAsia" w:asciiTheme="minorEastAsia" w:hAnsiTheme="minorEastAsia" w:cstheme="minorEastAsia"/>
          <w:i w:val="0"/>
          <w:color w:val="auto"/>
          <w:kern w:val="0"/>
          <w:sz w:val="24"/>
          <w:szCs w:val="24"/>
          <w:highlight w:val="none"/>
          <w:u w:val="none"/>
          <w:lang w:val="en-US" w:eastAsia="zh-CN" w:bidi="ar"/>
        </w:rPr>
        <w:t>市场推广活动报价一览表</w:t>
      </w:r>
      <w:r>
        <w:rPr>
          <w:rFonts w:hint="eastAsia" w:asciiTheme="minorEastAsia" w:hAnsiTheme="minorEastAsia" w:eastAsiaTheme="minorEastAsia" w:cstheme="minorEastAsia"/>
          <w:i w:val="0"/>
          <w:color w:val="auto"/>
          <w:kern w:val="0"/>
          <w:sz w:val="24"/>
          <w:szCs w:val="24"/>
          <w:highlight w:val="none"/>
          <w:u w:val="none"/>
          <w:lang w:val="en-US" w:eastAsia="zh-CN" w:bidi="ar"/>
        </w:rPr>
        <w:t>》，作为本合同附件，合同附件与合同正本具有同等法律效力。</w:t>
      </w:r>
    </w:p>
    <w:p w14:paraId="16254BB0">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2、本合同未尽事项，甲乙双方可签订补充协议，补充协议与本合同具有同等法律效力。</w:t>
      </w:r>
    </w:p>
    <w:p w14:paraId="5C6B1A6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十、法律的适用及争议的解决</w:t>
      </w:r>
    </w:p>
    <w:p w14:paraId="5045CCB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甲、乙双方在履行本合同中出现的争议首先通过友好协商的方式解决。协商不成，向甲方所在地有管辖权的人民法院诉讼解决。</w:t>
      </w:r>
    </w:p>
    <w:p w14:paraId="0E3FFB3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b/>
          <w:bCs/>
          <w:i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color w:val="auto"/>
          <w:kern w:val="0"/>
          <w:sz w:val="24"/>
          <w:szCs w:val="24"/>
          <w:highlight w:val="none"/>
          <w:u w:val="none"/>
          <w:lang w:val="en-US" w:eastAsia="zh-CN" w:bidi="ar"/>
        </w:rPr>
        <w:t>十一、合同生效</w:t>
      </w:r>
    </w:p>
    <w:p w14:paraId="73C1481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1、本合同壹式肆份，甲乙双方各执贰份，由双方代表签字并盖章后生效。</w:t>
      </w:r>
    </w:p>
    <w:p w14:paraId="4929D203">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2、附件一:《</w:t>
      </w:r>
      <w:r>
        <w:rPr>
          <w:rFonts w:hint="eastAsia" w:asciiTheme="minorEastAsia" w:hAnsiTheme="minorEastAsia" w:cstheme="minorEastAsia"/>
          <w:i w:val="0"/>
          <w:color w:val="auto"/>
          <w:kern w:val="0"/>
          <w:sz w:val="24"/>
          <w:szCs w:val="24"/>
          <w:highlight w:val="none"/>
          <w:u w:val="none"/>
          <w:lang w:val="en-US" w:eastAsia="zh-CN" w:bidi="ar"/>
        </w:rPr>
        <w:t>市场推广活动报价一览表</w:t>
      </w:r>
      <w:r>
        <w:rPr>
          <w:rFonts w:hint="eastAsia" w:asciiTheme="minorEastAsia" w:hAnsiTheme="minorEastAsia" w:eastAsiaTheme="minorEastAsia" w:cstheme="minorEastAsia"/>
          <w:i w:val="0"/>
          <w:color w:val="auto"/>
          <w:kern w:val="0"/>
          <w:sz w:val="24"/>
          <w:szCs w:val="24"/>
          <w:highlight w:val="none"/>
          <w:u w:val="none"/>
          <w:lang w:val="en-US" w:eastAsia="zh-CN" w:bidi="ar"/>
        </w:rPr>
        <w:t>》</w:t>
      </w:r>
    </w:p>
    <w:p w14:paraId="4DA569C3">
      <w:pPr>
        <w:tabs>
          <w:tab w:val="left" w:pos="615"/>
        </w:tabs>
        <w:spacing w:line="360" w:lineRule="auto"/>
        <w:ind w:firstLine="361" w:firstLineChars="200"/>
        <w:rPr>
          <w:rFonts w:hint="eastAsia" w:ascii="仿宋" w:hAnsi="仿宋" w:eastAsia="仿宋" w:cs="仿宋"/>
          <w:b/>
          <w:bCs/>
          <w:color w:val="auto"/>
          <w:sz w:val="18"/>
          <w:szCs w:val="18"/>
        </w:rPr>
      </w:pPr>
    </w:p>
    <w:p w14:paraId="16BEA9AD">
      <w:pPr>
        <w:tabs>
          <w:tab w:val="left" w:pos="615"/>
        </w:tabs>
        <w:spacing w:line="360" w:lineRule="auto"/>
        <w:ind w:firstLine="361" w:firstLineChars="200"/>
        <w:rPr>
          <w:rFonts w:hint="eastAsia" w:ascii="仿宋" w:hAnsi="仿宋" w:eastAsia="仿宋" w:cs="仿宋"/>
          <w:b/>
          <w:bCs/>
          <w:color w:val="auto"/>
          <w:sz w:val="18"/>
          <w:szCs w:val="18"/>
        </w:rPr>
      </w:pPr>
      <w:r>
        <w:rPr>
          <w:rFonts w:hint="eastAsia" w:ascii="仿宋" w:hAnsi="仿宋" w:eastAsia="仿宋" w:cs="仿宋"/>
          <w:b/>
          <w:bCs/>
          <w:color w:val="auto"/>
          <w:sz w:val="18"/>
          <w:szCs w:val="18"/>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仿宋" w:hAnsi="仿宋" w:eastAsia="仿宋" w:cs="仿宋"/>
          <w:b/>
          <w:bCs/>
          <w:color w:val="auto"/>
          <w:sz w:val="18"/>
          <w:szCs w:val="18"/>
        </w:rPr>
        <w:br w:type="textWrapping"/>
      </w:r>
      <w:r>
        <w:rPr>
          <w:rFonts w:hint="eastAsia" w:ascii="仿宋" w:hAnsi="仿宋" w:eastAsia="仿宋" w:cs="仿宋"/>
          <w:b/>
          <w:bCs/>
          <w:color w:val="auto"/>
          <w:sz w:val="18"/>
          <w:szCs w:val="18"/>
          <w:lang w:val="en-US" w:eastAsia="zh-CN"/>
        </w:rPr>
        <w:t xml:space="preserve">    </w:t>
      </w:r>
      <w:r>
        <w:rPr>
          <w:rFonts w:hint="eastAsia" w:ascii="仿宋" w:hAnsi="仿宋" w:eastAsia="仿宋" w:cs="仿宋"/>
          <w:b/>
          <w:bCs/>
          <w:color w:val="auto"/>
          <w:sz w:val="18"/>
          <w:szCs w:val="1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5D5C0E4">
      <w:pPr>
        <w:pStyle w:val="3"/>
        <w:rPr>
          <w:rFonts w:hint="eastAsia"/>
          <w:color w:val="auto"/>
          <w:lang w:val="en-US" w:eastAsia="zh-CN"/>
        </w:rPr>
      </w:pPr>
    </w:p>
    <w:p w14:paraId="0D54EE9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204A79C6">
      <w:pPr>
        <w:pStyle w:val="3"/>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77DE8721">
      <w:pPr>
        <w:rPr>
          <w:rFonts w:hint="eastAsia"/>
          <w:color w:val="auto"/>
          <w:lang w:val="en-US" w:eastAsia="zh-CN"/>
        </w:rPr>
      </w:pPr>
    </w:p>
    <w:p w14:paraId="16E86C3D">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p>
    <w:p w14:paraId="7A959B0C">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甲方(盖章):                                乙方(盖章):</w:t>
      </w:r>
    </w:p>
    <w:p w14:paraId="3911ECFA">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default" w:ascii="宋体" w:hAnsi="宋体" w:eastAsia="宋体" w:cs="宋体"/>
          <w:i w:val="0"/>
          <w:color w:val="auto"/>
          <w:kern w:val="0"/>
          <w:sz w:val="24"/>
          <w:szCs w:val="24"/>
          <w:highlight w:val="none"/>
          <w:u w:val="none"/>
          <w:lang w:val="en-US" w:eastAsia="zh-CN" w:bidi="ar"/>
        </w:rPr>
        <w:t>法定代表人或代理人（签字）</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r>
        <w:rPr>
          <w:rFonts w:hint="default" w:ascii="宋体" w:hAnsi="宋体" w:eastAsia="宋体" w:cs="宋体"/>
          <w:i w:val="0"/>
          <w:color w:val="auto"/>
          <w:kern w:val="0"/>
          <w:sz w:val="24"/>
          <w:szCs w:val="24"/>
          <w:highlight w:val="none"/>
          <w:u w:val="none"/>
          <w:lang w:val="en-US" w:eastAsia="zh-CN" w:bidi="ar"/>
        </w:rPr>
        <w:t>法定代表人或代理人（签字）</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p>
    <w:p w14:paraId="77100791">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cstheme="minorEastAsia"/>
          <w:i w:val="0"/>
          <w:color w:val="auto"/>
          <w:kern w:val="0"/>
          <w:sz w:val="24"/>
          <w:szCs w:val="24"/>
          <w:highlight w:val="none"/>
          <w:u w:val="none"/>
          <w:lang w:val="en-US" w:eastAsia="zh-CN" w:bidi="ar"/>
        </w:rPr>
        <w:t>地址：</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r>
        <w:rPr>
          <w:rFonts w:hint="eastAsia" w:asciiTheme="minorEastAsia" w:hAnsiTheme="minorEastAsia" w:cstheme="minorEastAsia"/>
          <w:i w:val="0"/>
          <w:color w:val="auto"/>
          <w:kern w:val="0"/>
          <w:sz w:val="24"/>
          <w:szCs w:val="24"/>
          <w:highlight w:val="none"/>
          <w:u w:val="none"/>
          <w:lang w:val="en-US" w:eastAsia="zh-CN" w:bidi="ar"/>
        </w:rPr>
        <w:t xml:space="preserve">         </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r>
        <w:rPr>
          <w:rFonts w:hint="eastAsia" w:asciiTheme="minorEastAsia" w:hAnsiTheme="minorEastAsia" w:cstheme="minorEastAsia"/>
          <w:i w:val="0"/>
          <w:color w:val="auto"/>
          <w:kern w:val="0"/>
          <w:sz w:val="24"/>
          <w:szCs w:val="24"/>
          <w:highlight w:val="none"/>
          <w:u w:val="none"/>
          <w:lang w:val="en-US" w:eastAsia="zh-CN" w:bidi="ar"/>
        </w:rPr>
        <w:t>地址</w:t>
      </w: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p>
    <w:p w14:paraId="0ED2B296">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default"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cstheme="minorEastAsia"/>
          <w:i w:val="0"/>
          <w:color w:val="auto"/>
          <w:kern w:val="0"/>
          <w:sz w:val="24"/>
          <w:szCs w:val="24"/>
          <w:highlight w:val="none"/>
          <w:u w:val="none"/>
          <w:lang w:val="en-US" w:eastAsia="zh-CN" w:bidi="ar"/>
        </w:rPr>
        <w:t>电话</w:t>
      </w:r>
      <w:r>
        <w:rPr>
          <w:rFonts w:hint="eastAsia" w:asciiTheme="minorEastAsia" w:hAnsiTheme="minorEastAsia" w:eastAsiaTheme="minorEastAsia" w:cstheme="minorEastAsia"/>
          <w:i w:val="0"/>
          <w:color w:val="auto"/>
          <w:kern w:val="0"/>
          <w:sz w:val="24"/>
          <w:szCs w:val="24"/>
          <w:highlight w:val="none"/>
          <w:u w:val="none"/>
          <w:lang w:val="en-US" w:eastAsia="zh-CN" w:bidi="ar"/>
        </w:rPr>
        <w:t>:</w:t>
      </w:r>
      <w:r>
        <w:rPr>
          <w:rFonts w:hint="eastAsia" w:asciiTheme="minorEastAsia" w:hAnsiTheme="minorEastAsia" w:cstheme="minorEastAsia"/>
          <w:i w:val="0"/>
          <w:color w:val="auto"/>
          <w:kern w:val="0"/>
          <w:sz w:val="24"/>
          <w:szCs w:val="24"/>
          <w:highlight w:val="none"/>
          <w:u w:val="none"/>
          <w:lang w:val="en-US" w:eastAsia="zh-CN" w:bidi="ar"/>
        </w:rPr>
        <w:t xml:space="preserve">                                      电话：</w:t>
      </w:r>
    </w:p>
    <w:p w14:paraId="468D47A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default" w:ascii="宋体" w:hAnsi="宋体" w:eastAsia="宋体" w:cs="宋体"/>
          <w:i w:val="0"/>
          <w:color w:val="auto"/>
          <w:kern w:val="0"/>
          <w:sz w:val="24"/>
          <w:szCs w:val="24"/>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签约日期：                                 签约日期：</w:t>
      </w:r>
    </w:p>
    <w:p w14:paraId="32C5CE4D">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color w:val="auto"/>
          <w:kern w:val="0"/>
          <w:sz w:val="24"/>
          <w:szCs w:val="24"/>
          <w:highlight w:val="none"/>
          <w:u w:val="none"/>
          <w:lang w:val="en-US" w:eastAsia="zh-CN" w:bidi="ar"/>
        </w:rPr>
      </w:pPr>
      <w:r>
        <w:rPr>
          <w:rFonts w:hint="eastAsia" w:asciiTheme="minorEastAsia" w:hAnsiTheme="minorEastAsia" w:eastAsiaTheme="minorEastAsia" w:cstheme="minorEastAsia"/>
          <w:i w:val="0"/>
          <w:color w:val="auto"/>
          <w:kern w:val="0"/>
          <w:sz w:val="24"/>
          <w:szCs w:val="24"/>
          <w:highlight w:val="none"/>
          <w:u w:val="none"/>
          <w:lang w:val="en-US" w:eastAsia="zh-CN" w:bidi="ar"/>
        </w:rPr>
        <w:t xml:space="preserve">                                </w:t>
      </w:r>
    </w:p>
    <w:sectPr>
      <w:pgSz w:w="11906" w:h="16838"/>
      <w:pgMar w:top="1440" w:right="1077" w:bottom="1440" w:left="107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F6DBD8"/>
    <w:multiLevelType w:val="singleLevel"/>
    <w:tmpl w:val="85F6DBD8"/>
    <w:lvl w:ilvl="0" w:tentative="0">
      <w:start w:val="1"/>
      <w:numFmt w:val="chineseCounting"/>
      <w:suff w:val="space"/>
      <w:lvlText w:val="第%1章"/>
      <w:lvlJc w:val="left"/>
      <w:rPr>
        <w:rFonts w:hint="eastAsia"/>
      </w:rPr>
    </w:lvl>
  </w:abstractNum>
  <w:abstractNum w:abstractNumId="1">
    <w:nsid w:val="A72B37BB"/>
    <w:multiLevelType w:val="singleLevel"/>
    <w:tmpl w:val="A72B37BB"/>
    <w:lvl w:ilvl="0" w:tentative="0">
      <w:start w:val="1"/>
      <w:numFmt w:val="decimal"/>
      <w:suff w:val="nothing"/>
      <w:lvlText w:val="（%1）"/>
      <w:lvlJc w:val="left"/>
      <w:rPr>
        <w:rFonts w:hint="default" w:ascii="宋体" w:hAnsi="宋体" w:eastAsia="宋体" w:cs="宋体"/>
      </w:rPr>
    </w:lvl>
  </w:abstractNum>
  <w:abstractNum w:abstractNumId="2">
    <w:nsid w:val="B126B827"/>
    <w:multiLevelType w:val="singleLevel"/>
    <w:tmpl w:val="B126B827"/>
    <w:lvl w:ilvl="0" w:tentative="0">
      <w:start w:val="1"/>
      <w:numFmt w:val="decimal"/>
      <w:suff w:val="nothing"/>
      <w:lvlText w:val="%1、"/>
      <w:lvlJc w:val="left"/>
      <w:pPr>
        <w:ind w:left="420"/>
      </w:pPr>
    </w:lvl>
  </w:abstractNum>
  <w:abstractNum w:abstractNumId="3">
    <w:nsid w:val="B44B626D"/>
    <w:multiLevelType w:val="singleLevel"/>
    <w:tmpl w:val="B44B626D"/>
    <w:lvl w:ilvl="0" w:tentative="0">
      <w:start w:val="1"/>
      <w:numFmt w:val="decimal"/>
      <w:suff w:val="nothing"/>
      <w:lvlText w:val="（%1）"/>
      <w:lvlJc w:val="left"/>
      <w:pPr>
        <w:ind w:left="-140"/>
      </w:pPr>
    </w:lvl>
  </w:abstractNum>
  <w:abstractNum w:abstractNumId="4">
    <w:nsid w:val="DD39E8A5"/>
    <w:multiLevelType w:val="singleLevel"/>
    <w:tmpl w:val="DD39E8A5"/>
    <w:lvl w:ilvl="0" w:tentative="0">
      <w:start w:val="1"/>
      <w:numFmt w:val="decimal"/>
      <w:suff w:val="nothing"/>
      <w:lvlText w:val="%1、"/>
      <w:lvlJc w:val="left"/>
      <w:rPr>
        <w:rFonts w:hint="default"/>
        <w:b w:val="0"/>
        <w:bCs w:val="0"/>
        <w:sz w:val="24"/>
        <w:szCs w:val="24"/>
      </w:rPr>
    </w:lvl>
  </w:abstractNum>
  <w:abstractNum w:abstractNumId="5">
    <w:nsid w:val="F4583BDB"/>
    <w:multiLevelType w:val="singleLevel"/>
    <w:tmpl w:val="F4583BDB"/>
    <w:lvl w:ilvl="0" w:tentative="0">
      <w:start w:val="1"/>
      <w:numFmt w:val="chineseCounting"/>
      <w:suff w:val="nothing"/>
      <w:lvlText w:val="%1、"/>
      <w:lvlJc w:val="left"/>
      <w:rPr>
        <w:rFonts w:hint="eastAsia"/>
      </w:rPr>
    </w:lvl>
  </w:abstractNum>
  <w:abstractNum w:abstractNumId="6">
    <w:nsid w:val="00000008"/>
    <w:multiLevelType w:val="multilevel"/>
    <w:tmpl w:val="00000008"/>
    <w:lvl w:ilvl="0" w:tentative="0">
      <w:start w:val="1"/>
      <w:numFmt w:val="decimal"/>
      <w:pStyle w:val="21"/>
      <w:lvlText w:val="%1)"/>
      <w:lvlJc w:val="left"/>
      <w:pPr>
        <w:ind w:left="838" w:hanging="420"/>
      </w:pPr>
    </w:lvl>
    <w:lvl w:ilvl="1" w:tentative="0">
      <w:start w:val="1"/>
      <w:numFmt w:val="decimal"/>
      <w:lvlText w:val="%2)"/>
      <w:lvlJc w:val="left"/>
      <w:pPr>
        <w:tabs>
          <w:tab w:val="left" w:pos="1113"/>
        </w:tabs>
        <w:ind w:left="1113" w:hanging="420"/>
      </w:pPr>
      <w:rPr>
        <w:rFonts w:hint="eastAsia"/>
      </w:r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7">
    <w:nsid w:val="05DE6447"/>
    <w:multiLevelType w:val="singleLevel"/>
    <w:tmpl w:val="05DE6447"/>
    <w:lvl w:ilvl="0" w:tentative="0">
      <w:start w:val="1"/>
      <w:numFmt w:val="decimal"/>
      <w:suff w:val="nothing"/>
      <w:lvlText w:val="（%1）"/>
      <w:lvlJc w:val="left"/>
    </w:lvl>
  </w:abstractNum>
  <w:abstractNum w:abstractNumId="8">
    <w:nsid w:val="15EC23E1"/>
    <w:multiLevelType w:val="singleLevel"/>
    <w:tmpl w:val="15EC23E1"/>
    <w:lvl w:ilvl="0" w:tentative="0">
      <w:start w:val="1"/>
      <w:numFmt w:val="chineseCounting"/>
      <w:suff w:val="nothing"/>
      <w:lvlText w:val="%1、"/>
      <w:lvlJc w:val="left"/>
      <w:rPr>
        <w:rFonts w:hint="eastAsia"/>
      </w:rPr>
    </w:lvl>
  </w:abstractNum>
  <w:abstractNum w:abstractNumId="9">
    <w:nsid w:val="2A98676C"/>
    <w:multiLevelType w:val="singleLevel"/>
    <w:tmpl w:val="2A98676C"/>
    <w:lvl w:ilvl="0" w:tentative="0">
      <w:start w:val="1"/>
      <w:numFmt w:val="decimal"/>
      <w:suff w:val="nothing"/>
      <w:lvlText w:val="（%1）"/>
      <w:lvlJc w:val="left"/>
    </w:lvl>
  </w:abstractNum>
  <w:abstractNum w:abstractNumId="1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1">
    <w:nsid w:val="4E8A7EB5"/>
    <w:multiLevelType w:val="singleLevel"/>
    <w:tmpl w:val="4E8A7EB5"/>
    <w:lvl w:ilvl="0" w:tentative="0">
      <w:start w:val="1"/>
      <w:numFmt w:val="decimalEnclosedCircleChinese"/>
      <w:suff w:val="nothing"/>
      <w:lvlText w:val="%1　"/>
      <w:lvlJc w:val="left"/>
      <w:pPr>
        <w:ind w:left="0" w:firstLine="400"/>
      </w:pPr>
      <w:rPr>
        <w:rFonts w:hint="eastAsia"/>
      </w:rPr>
    </w:lvl>
  </w:abstractNum>
  <w:abstractNum w:abstractNumId="12">
    <w:nsid w:val="7546087A"/>
    <w:multiLevelType w:val="singleLevel"/>
    <w:tmpl w:val="7546087A"/>
    <w:lvl w:ilvl="0" w:tentative="0">
      <w:start w:val="1"/>
      <w:numFmt w:val="decimalEnclosedCircleChinese"/>
      <w:suff w:val="nothing"/>
      <w:lvlText w:val="%1　"/>
      <w:lvlJc w:val="left"/>
      <w:pPr>
        <w:ind w:left="0" w:firstLine="400"/>
      </w:pPr>
      <w:rPr>
        <w:rFonts w:hint="eastAsia"/>
      </w:rPr>
    </w:lvl>
  </w:abstractNum>
  <w:num w:numId="1">
    <w:abstractNumId w:val="6"/>
  </w:num>
  <w:num w:numId="2">
    <w:abstractNumId w:val="0"/>
  </w:num>
  <w:num w:numId="3">
    <w:abstractNumId w:val="8"/>
  </w:num>
  <w:num w:numId="4">
    <w:abstractNumId w:val="4"/>
  </w:num>
  <w:num w:numId="5">
    <w:abstractNumId w:val="7"/>
  </w:num>
  <w:num w:numId="6">
    <w:abstractNumId w:val="12"/>
  </w:num>
  <w:num w:numId="7">
    <w:abstractNumId w:val="2"/>
  </w:num>
  <w:num w:numId="8">
    <w:abstractNumId w:val="3"/>
  </w:num>
  <w:num w:numId="9">
    <w:abstractNumId w:val="9"/>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zZDdlNTg3NjVkMTE1MzRjZTMxNDNkNzRlM2EwNjkifQ=="/>
  </w:docVars>
  <w:rsids>
    <w:rsidRoot w:val="0032456D"/>
    <w:rsid w:val="00037B8E"/>
    <w:rsid w:val="00042F4D"/>
    <w:rsid w:val="00045DCA"/>
    <w:rsid w:val="00055980"/>
    <w:rsid w:val="00055F99"/>
    <w:rsid w:val="00066680"/>
    <w:rsid w:val="0007348B"/>
    <w:rsid w:val="000A0C1D"/>
    <w:rsid w:val="000C33D6"/>
    <w:rsid w:val="000F5332"/>
    <w:rsid w:val="00115C41"/>
    <w:rsid w:val="00127337"/>
    <w:rsid w:val="00135233"/>
    <w:rsid w:val="001A0E26"/>
    <w:rsid w:val="001B0E88"/>
    <w:rsid w:val="00274109"/>
    <w:rsid w:val="002822FC"/>
    <w:rsid w:val="00287DCA"/>
    <w:rsid w:val="00290D83"/>
    <w:rsid w:val="002C4A81"/>
    <w:rsid w:val="002D2C95"/>
    <w:rsid w:val="002D6B1E"/>
    <w:rsid w:val="002E19BA"/>
    <w:rsid w:val="0030447F"/>
    <w:rsid w:val="0032456D"/>
    <w:rsid w:val="00337161"/>
    <w:rsid w:val="00341604"/>
    <w:rsid w:val="00343F2F"/>
    <w:rsid w:val="003554B7"/>
    <w:rsid w:val="00362A82"/>
    <w:rsid w:val="00363275"/>
    <w:rsid w:val="00385892"/>
    <w:rsid w:val="00387C32"/>
    <w:rsid w:val="003950B2"/>
    <w:rsid w:val="003B1784"/>
    <w:rsid w:val="003B6174"/>
    <w:rsid w:val="003C0B2B"/>
    <w:rsid w:val="003C6134"/>
    <w:rsid w:val="00425B50"/>
    <w:rsid w:val="00431F43"/>
    <w:rsid w:val="0043797E"/>
    <w:rsid w:val="00452C08"/>
    <w:rsid w:val="00456887"/>
    <w:rsid w:val="00487EC5"/>
    <w:rsid w:val="0049599E"/>
    <w:rsid w:val="004A255A"/>
    <w:rsid w:val="004B1133"/>
    <w:rsid w:val="004C649B"/>
    <w:rsid w:val="00507A1B"/>
    <w:rsid w:val="00522005"/>
    <w:rsid w:val="00536215"/>
    <w:rsid w:val="00551061"/>
    <w:rsid w:val="005A0DF4"/>
    <w:rsid w:val="005A653A"/>
    <w:rsid w:val="005C21A9"/>
    <w:rsid w:val="005D41FB"/>
    <w:rsid w:val="00603290"/>
    <w:rsid w:val="00607ADB"/>
    <w:rsid w:val="00637FE1"/>
    <w:rsid w:val="00640351"/>
    <w:rsid w:val="00642EE1"/>
    <w:rsid w:val="00665E7E"/>
    <w:rsid w:val="00681719"/>
    <w:rsid w:val="006C765C"/>
    <w:rsid w:val="006D5D99"/>
    <w:rsid w:val="006D6D5B"/>
    <w:rsid w:val="006E06E0"/>
    <w:rsid w:val="006E0CCC"/>
    <w:rsid w:val="006E589A"/>
    <w:rsid w:val="006F40E8"/>
    <w:rsid w:val="00703DDD"/>
    <w:rsid w:val="00704811"/>
    <w:rsid w:val="0070613C"/>
    <w:rsid w:val="00710DCD"/>
    <w:rsid w:val="007317A3"/>
    <w:rsid w:val="00741A24"/>
    <w:rsid w:val="0075262E"/>
    <w:rsid w:val="00753A11"/>
    <w:rsid w:val="00765761"/>
    <w:rsid w:val="007A511A"/>
    <w:rsid w:val="007C0B7B"/>
    <w:rsid w:val="007E64C8"/>
    <w:rsid w:val="00802B4D"/>
    <w:rsid w:val="00803A22"/>
    <w:rsid w:val="008079C5"/>
    <w:rsid w:val="00813E38"/>
    <w:rsid w:val="008174F9"/>
    <w:rsid w:val="00822BE9"/>
    <w:rsid w:val="0087299F"/>
    <w:rsid w:val="00883887"/>
    <w:rsid w:val="00883956"/>
    <w:rsid w:val="008900AC"/>
    <w:rsid w:val="008949F7"/>
    <w:rsid w:val="00897668"/>
    <w:rsid w:val="008A5F07"/>
    <w:rsid w:val="008C7065"/>
    <w:rsid w:val="008D18A0"/>
    <w:rsid w:val="008D18A4"/>
    <w:rsid w:val="008E0E18"/>
    <w:rsid w:val="00900243"/>
    <w:rsid w:val="0093643E"/>
    <w:rsid w:val="00940163"/>
    <w:rsid w:val="0094243C"/>
    <w:rsid w:val="00952855"/>
    <w:rsid w:val="009B308E"/>
    <w:rsid w:val="009B5262"/>
    <w:rsid w:val="009C2AC0"/>
    <w:rsid w:val="009C4C05"/>
    <w:rsid w:val="009D5B7C"/>
    <w:rsid w:val="009D7973"/>
    <w:rsid w:val="00A162DE"/>
    <w:rsid w:val="00A261B9"/>
    <w:rsid w:val="00A55C68"/>
    <w:rsid w:val="00A6013B"/>
    <w:rsid w:val="00A6559B"/>
    <w:rsid w:val="00A74966"/>
    <w:rsid w:val="00AB0292"/>
    <w:rsid w:val="00AB5FA7"/>
    <w:rsid w:val="00AC376C"/>
    <w:rsid w:val="00AE23A7"/>
    <w:rsid w:val="00B022B6"/>
    <w:rsid w:val="00B10BA2"/>
    <w:rsid w:val="00B23077"/>
    <w:rsid w:val="00B47CD2"/>
    <w:rsid w:val="00B566D7"/>
    <w:rsid w:val="00B63110"/>
    <w:rsid w:val="00B658D0"/>
    <w:rsid w:val="00B97DA0"/>
    <w:rsid w:val="00BA59FB"/>
    <w:rsid w:val="00BC7661"/>
    <w:rsid w:val="00BE2FA3"/>
    <w:rsid w:val="00C05568"/>
    <w:rsid w:val="00C07BB1"/>
    <w:rsid w:val="00C30C41"/>
    <w:rsid w:val="00C645FA"/>
    <w:rsid w:val="00C67D9C"/>
    <w:rsid w:val="00C74246"/>
    <w:rsid w:val="00CA54FD"/>
    <w:rsid w:val="00CD079B"/>
    <w:rsid w:val="00CF618F"/>
    <w:rsid w:val="00D131D9"/>
    <w:rsid w:val="00D5417D"/>
    <w:rsid w:val="00D67329"/>
    <w:rsid w:val="00D81B9D"/>
    <w:rsid w:val="00DA2604"/>
    <w:rsid w:val="00DC3B53"/>
    <w:rsid w:val="00DD02BE"/>
    <w:rsid w:val="00E067DB"/>
    <w:rsid w:val="00E171CC"/>
    <w:rsid w:val="00E366BF"/>
    <w:rsid w:val="00E40DCF"/>
    <w:rsid w:val="00E42DA5"/>
    <w:rsid w:val="00E4476D"/>
    <w:rsid w:val="00E55A95"/>
    <w:rsid w:val="00E80D89"/>
    <w:rsid w:val="00EB1266"/>
    <w:rsid w:val="00EB2C7D"/>
    <w:rsid w:val="00ED0646"/>
    <w:rsid w:val="00ED09EA"/>
    <w:rsid w:val="00EE0B5F"/>
    <w:rsid w:val="00EE3E50"/>
    <w:rsid w:val="00EF2F70"/>
    <w:rsid w:val="00EF718F"/>
    <w:rsid w:val="00F24399"/>
    <w:rsid w:val="00F270D0"/>
    <w:rsid w:val="00F37832"/>
    <w:rsid w:val="00F41704"/>
    <w:rsid w:val="00F466BD"/>
    <w:rsid w:val="00F50FF0"/>
    <w:rsid w:val="00F53571"/>
    <w:rsid w:val="00FD034E"/>
    <w:rsid w:val="00FE0014"/>
    <w:rsid w:val="014E7B14"/>
    <w:rsid w:val="02CA3CA8"/>
    <w:rsid w:val="02F12CE4"/>
    <w:rsid w:val="03ED05FD"/>
    <w:rsid w:val="0440568B"/>
    <w:rsid w:val="05215177"/>
    <w:rsid w:val="0663677F"/>
    <w:rsid w:val="068E19FD"/>
    <w:rsid w:val="06C70D2A"/>
    <w:rsid w:val="08676482"/>
    <w:rsid w:val="09193D89"/>
    <w:rsid w:val="0A8B7532"/>
    <w:rsid w:val="0A8E078F"/>
    <w:rsid w:val="0AF80536"/>
    <w:rsid w:val="0B2113CF"/>
    <w:rsid w:val="0C165A64"/>
    <w:rsid w:val="0C7637F4"/>
    <w:rsid w:val="0CFC09F0"/>
    <w:rsid w:val="0D2F0B75"/>
    <w:rsid w:val="0DAC2398"/>
    <w:rsid w:val="0DBE02EF"/>
    <w:rsid w:val="0DDC58B7"/>
    <w:rsid w:val="0E6270C7"/>
    <w:rsid w:val="0E65504E"/>
    <w:rsid w:val="0FF92FFA"/>
    <w:rsid w:val="102351BA"/>
    <w:rsid w:val="11A55AA9"/>
    <w:rsid w:val="12BF484E"/>
    <w:rsid w:val="146575A6"/>
    <w:rsid w:val="15573B1C"/>
    <w:rsid w:val="156B7CCE"/>
    <w:rsid w:val="15907EEF"/>
    <w:rsid w:val="167E5906"/>
    <w:rsid w:val="1893718E"/>
    <w:rsid w:val="19035B51"/>
    <w:rsid w:val="198A0A74"/>
    <w:rsid w:val="1C112ED9"/>
    <w:rsid w:val="1C46559E"/>
    <w:rsid w:val="1C837C6F"/>
    <w:rsid w:val="1CFF1567"/>
    <w:rsid w:val="1DCF2EE6"/>
    <w:rsid w:val="1DE06110"/>
    <w:rsid w:val="1F563263"/>
    <w:rsid w:val="1F841F36"/>
    <w:rsid w:val="1FDC0CAD"/>
    <w:rsid w:val="21E5709B"/>
    <w:rsid w:val="225C17EC"/>
    <w:rsid w:val="22FB28BD"/>
    <w:rsid w:val="230576F2"/>
    <w:rsid w:val="23076029"/>
    <w:rsid w:val="25AC31DE"/>
    <w:rsid w:val="27E50E00"/>
    <w:rsid w:val="28342109"/>
    <w:rsid w:val="28927A05"/>
    <w:rsid w:val="28A94DC4"/>
    <w:rsid w:val="29271066"/>
    <w:rsid w:val="298734E1"/>
    <w:rsid w:val="2A0D54B3"/>
    <w:rsid w:val="2A8B74D8"/>
    <w:rsid w:val="2AAC20AC"/>
    <w:rsid w:val="2B3861EA"/>
    <w:rsid w:val="2B8A6D4E"/>
    <w:rsid w:val="2DEC6BE5"/>
    <w:rsid w:val="2ED7271D"/>
    <w:rsid w:val="2EED59B3"/>
    <w:rsid w:val="2F7E3ACA"/>
    <w:rsid w:val="30766BAA"/>
    <w:rsid w:val="30A35E59"/>
    <w:rsid w:val="30AD1CC1"/>
    <w:rsid w:val="30EC1405"/>
    <w:rsid w:val="323671F0"/>
    <w:rsid w:val="334E1991"/>
    <w:rsid w:val="33C12E53"/>
    <w:rsid w:val="34ED2B7D"/>
    <w:rsid w:val="352E3D4F"/>
    <w:rsid w:val="3571240C"/>
    <w:rsid w:val="38B22A8A"/>
    <w:rsid w:val="390360E4"/>
    <w:rsid w:val="3A156EAA"/>
    <w:rsid w:val="3A5245A4"/>
    <w:rsid w:val="3AC83310"/>
    <w:rsid w:val="3C1B2328"/>
    <w:rsid w:val="3C3641D7"/>
    <w:rsid w:val="3D4E1819"/>
    <w:rsid w:val="3D7824A0"/>
    <w:rsid w:val="3DD90FD5"/>
    <w:rsid w:val="3DFA334F"/>
    <w:rsid w:val="3E5F1744"/>
    <w:rsid w:val="41AA204A"/>
    <w:rsid w:val="42975061"/>
    <w:rsid w:val="429D17C3"/>
    <w:rsid w:val="43D20C6D"/>
    <w:rsid w:val="44FD333B"/>
    <w:rsid w:val="467227C3"/>
    <w:rsid w:val="48900C98"/>
    <w:rsid w:val="492D7C1D"/>
    <w:rsid w:val="4A9D74AF"/>
    <w:rsid w:val="4EB32BBC"/>
    <w:rsid w:val="50D949D1"/>
    <w:rsid w:val="51551E82"/>
    <w:rsid w:val="528C6644"/>
    <w:rsid w:val="52DA7305"/>
    <w:rsid w:val="53156DD9"/>
    <w:rsid w:val="5435197F"/>
    <w:rsid w:val="543D7E8D"/>
    <w:rsid w:val="54ED5B16"/>
    <w:rsid w:val="553C7AE3"/>
    <w:rsid w:val="56226ADC"/>
    <w:rsid w:val="564D411A"/>
    <w:rsid w:val="57D83DFB"/>
    <w:rsid w:val="57FB6A8F"/>
    <w:rsid w:val="58FFF3D3"/>
    <w:rsid w:val="59635CB4"/>
    <w:rsid w:val="5A205752"/>
    <w:rsid w:val="5B8637E6"/>
    <w:rsid w:val="5C1761A2"/>
    <w:rsid w:val="5C467A75"/>
    <w:rsid w:val="5C635E30"/>
    <w:rsid w:val="5D372FDE"/>
    <w:rsid w:val="5D8D3664"/>
    <w:rsid w:val="5DDE3802"/>
    <w:rsid w:val="5E3840BB"/>
    <w:rsid w:val="5E4C19C5"/>
    <w:rsid w:val="5F023B27"/>
    <w:rsid w:val="5F7A0B1F"/>
    <w:rsid w:val="5F8911C3"/>
    <w:rsid w:val="607B1BA8"/>
    <w:rsid w:val="610778CE"/>
    <w:rsid w:val="626616D3"/>
    <w:rsid w:val="62C60519"/>
    <w:rsid w:val="64236FA1"/>
    <w:rsid w:val="64A31301"/>
    <w:rsid w:val="652D0F68"/>
    <w:rsid w:val="66A35BCC"/>
    <w:rsid w:val="66AB4F6E"/>
    <w:rsid w:val="67C22C41"/>
    <w:rsid w:val="696E52E2"/>
    <w:rsid w:val="6ADA6FE4"/>
    <w:rsid w:val="6AFD2993"/>
    <w:rsid w:val="6B2D43FA"/>
    <w:rsid w:val="6B4D0156"/>
    <w:rsid w:val="6CAF118B"/>
    <w:rsid w:val="6DE835FD"/>
    <w:rsid w:val="6E68189E"/>
    <w:rsid w:val="6F1859D0"/>
    <w:rsid w:val="6F1C418A"/>
    <w:rsid w:val="6F4F27B2"/>
    <w:rsid w:val="6F991EAF"/>
    <w:rsid w:val="701F7900"/>
    <w:rsid w:val="712A62BB"/>
    <w:rsid w:val="73235862"/>
    <w:rsid w:val="74052E79"/>
    <w:rsid w:val="74D45E5A"/>
    <w:rsid w:val="75814B4C"/>
    <w:rsid w:val="763F3FDA"/>
    <w:rsid w:val="779C04A9"/>
    <w:rsid w:val="77FE280A"/>
    <w:rsid w:val="7804502C"/>
    <w:rsid w:val="788D659F"/>
    <w:rsid w:val="78B72619"/>
    <w:rsid w:val="793331D2"/>
    <w:rsid w:val="79B56378"/>
    <w:rsid w:val="7A212553"/>
    <w:rsid w:val="7A73373C"/>
    <w:rsid w:val="7A754B63"/>
    <w:rsid w:val="7A7B3AAB"/>
    <w:rsid w:val="7BC87B0C"/>
    <w:rsid w:val="7D1E00BA"/>
    <w:rsid w:val="7D443D41"/>
    <w:rsid w:val="7FDA3EB2"/>
    <w:rsid w:val="D6ED0AC6"/>
    <w:rsid w:val="E4FA0CCC"/>
    <w:rsid w:val="F7ED0E50"/>
    <w:rsid w:val="FEEB9204"/>
    <w:rsid w:val="FF66229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semiHidden/>
    <w:unhideWhenUsed/>
    <w:qFormat/>
    <w:uiPriority w:val="99"/>
    <w:pPr>
      <w:jc w:val="left"/>
    </w:pPr>
  </w:style>
  <w:style w:type="paragraph" w:styleId="3">
    <w:name w:val="Body Text"/>
    <w:basedOn w:val="1"/>
    <w:next w:val="1"/>
    <w:qFormat/>
    <w:uiPriority w:val="0"/>
    <w:pPr>
      <w:spacing w:line="360" w:lineRule="auto"/>
    </w:pPr>
    <w:rPr>
      <w:color w:val="0000FF"/>
      <w:kern w:val="2"/>
      <w:sz w:val="24"/>
      <w:szCs w:val="24"/>
    </w:rPr>
  </w:style>
  <w:style w:type="paragraph" w:styleId="4">
    <w:name w:val="Plain Text"/>
    <w:basedOn w:val="1"/>
    <w:qFormat/>
    <w:uiPriority w:val="0"/>
    <w:rPr>
      <w:rFonts w:ascii="宋体" w:hAnsi="Courier New"/>
      <w:sz w:val="19"/>
      <w:szCs w:val="20"/>
    </w:rPr>
  </w:style>
  <w:style w:type="paragraph" w:styleId="5">
    <w:name w:val="Balloon Text"/>
    <w:basedOn w:val="1"/>
    <w:link w:val="18"/>
    <w:semiHidden/>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jc w:val="left"/>
    </w:pPr>
    <w:rPr>
      <w:rFonts w:eastAsia="宋体" w:cs="Times New Roman"/>
      <w:kern w:val="0"/>
      <w:sz w:val="24"/>
      <w:szCs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qFormat/>
    <w:uiPriority w:val="0"/>
    <w:rPr>
      <w:color w:val="0000FF"/>
      <w:u w:val="single"/>
    </w:rPr>
  </w:style>
  <w:style w:type="character" w:styleId="13">
    <w:name w:val="annotation reference"/>
    <w:basedOn w:val="11"/>
    <w:semiHidden/>
    <w:unhideWhenUsed/>
    <w:qFormat/>
    <w:uiPriority w:val="99"/>
    <w:rPr>
      <w:sz w:val="21"/>
      <w:szCs w:val="21"/>
    </w:rPr>
  </w:style>
  <w:style w:type="character" w:customStyle="1" w:styleId="14">
    <w:name w:val="页眉 字符"/>
    <w:basedOn w:val="11"/>
    <w:link w:val="7"/>
    <w:qFormat/>
    <w:uiPriority w:val="99"/>
    <w:rPr>
      <w:sz w:val="18"/>
      <w:szCs w:val="18"/>
    </w:rPr>
  </w:style>
  <w:style w:type="character" w:customStyle="1" w:styleId="15">
    <w:name w:val="页脚 字符"/>
    <w:basedOn w:val="11"/>
    <w:link w:val="6"/>
    <w:qFormat/>
    <w:uiPriority w:val="99"/>
    <w:rPr>
      <w:sz w:val="18"/>
      <w:szCs w:val="18"/>
    </w:rPr>
  </w:style>
  <w:style w:type="paragraph" w:customStyle="1" w:styleId="16">
    <w:name w:val="列出段落1"/>
    <w:basedOn w:val="1"/>
    <w:qFormat/>
    <w:uiPriority w:val="0"/>
    <w:pPr>
      <w:ind w:firstLine="420" w:firstLineChars="200"/>
    </w:pPr>
  </w:style>
  <w:style w:type="character" w:customStyle="1" w:styleId="17">
    <w:name w:val="批注文字 字符"/>
    <w:basedOn w:val="11"/>
    <w:link w:val="2"/>
    <w:semiHidden/>
    <w:qFormat/>
    <w:uiPriority w:val="99"/>
    <w:rPr>
      <w:rFonts w:ascii="Calibri" w:hAnsi="Calibri"/>
    </w:rPr>
  </w:style>
  <w:style w:type="character" w:customStyle="1" w:styleId="18">
    <w:name w:val="批注框文本 字符"/>
    <w:basedOn w:val="11"/>
    <w:link w:val="5"/>
    <w:semiHidden/>
    <w:qFormat/>
    <w:uiPriority w:val="99"/>
    <w:rPr>
      <w:rFonts w:eastAsiaTheme="minorEastAsia" w:cstheme="minorBidi"/>
      <w:kern w:val="2"/>
      <w:sz w:val="18"/>
      <w:szCs w:val="18"/>
    </w:rPr>
  </w:style>
  <w:style w:type="character" w:customStyle="1" w:styleId="19">
    <w:name w:val="font51"/>
    <w:basedOn w:val="11"/>
    <w:qFormat/>
    <w:uiPriority w:val="0"/>
    <w:rPr>
      <w:rFonts w:hint="eastAsia" w:ascii="仿宋" w:hAnsi="仿宋" w:eastAsia="仿宋" w:cs="仿宋"/>
      <w:color w:val="000000"/>
      <w:sz w:val="24"/>
      <w:szCs w:val="24"/>
      <w:u w:val="none"/>
    </w:rPr>
  </w:style>
  <w:style w:type="paragraph" w:styleId="20">
    <w:name w:val="List Paragraph"/>
    <w:basedOn w:val="1"/>
    <w:unhideWhenUsed/>
    <w:qFormat/>
    <w:uiPriority w:val="99"/>
    <w:pPr>
      <w:ind w:firstLine="420" w:firstLineChars="200"/>
    </w:pPr>
  </w:style>
  <w:style w:type="paragraph" w:customStyle="1" w:styleId="21">
    <w:name w:val="重汽文档正文一级标题"/>
    <w:basedOn w:val="22"/>
    <w:qFormat/>
    <w:uiPriority w:val="0"/>
    <w:pPr>
      <w:numPr>
        <w:ilvl w:val="0"/>
        <w:numId w:val="1"/>
      </w:numPr>
      <w:ind w:firstLine="0" w:firstLineChars="0"/>
    </w:pPr>
  </w:style>
  <w:style w:type="paragraph" w:customStyle="1" w:styleId="22">
    <w:name w:val="重汽文档正文"/>
    <w:basedOn w:val="1"/>
    <w:qFormat/>
    <w:uiPriority w:val="0"/>
    <w:pPr>
      <w:spacing w:line="360" w:lineRule="auto"/>
      <w:ind w:firstLine="200" w:firstLineChars="200"/>
    </w:pPr>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E7930-92CD-48A2-AC13-23F41EF92D83}">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20</Pages>
  <Words>7680</Words>
  <Characters>7866</Characters>
  <Lines>35</Lines>
  <Paragraphs>9</Paragraphs>
  <TotalTime>10</TotalTime>
  <ScaleCrop>false</ScaleCrop>
  <LinksUpToDate>false</LinksUpToDate>
  <CharactersWithSpaces>7902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2018-07-21T00:42:00Z</dcterms:created>
  <dc:creator>jn</dc:creator>
  <cp:lastModifiedBy>WPS_1703486930</cp:lastModifiedBy>
  <cp:lastPrinted>2022-03-17T15:22:00Z</cp:lastPrinted>
  <dcterms:modified xsi:type="dcterms:W3CDTF">2026-03-09T11:06:12Z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6AEE2EE84E8F480CAEDC5430D4AA1143</vt:lpwstr>
  </property>
  <property fmtid="{D5CDD505-2E9C-101B-9397-08002B2CF9AE}" pid="4" name="KSOTemplateDocerSaveRecord">
    <vt:lpwstr>eyJoZGlkIjoiMDM3N2IyOWEyM2M5ZGUwZmQ1YTg3YzY4YjM3YWI5YzkiLCJ1c2VySWQiOiIxNTcxMTk4MTcwIn0=</vt:lpwstr>
  </property>
</Properties>
</file>