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293008">
      <w:pPr>
        <w:spacing w:line="360" w:lineRule="auto"/>
        <w:ind w:left="2079" w:leftChars="228" w:hanging="1600" w:hangingChars="500"/>
        <w:jc w:val="center"/>
        <w:rPr>
          <w:i w:val="0"/>
          <w:iCs/>
          <w:sz w:val="32"/>
          <w:szCs w:val="32"/>
          <w:lang w:val="en-US"/>
        </w:rPr>
      </w:pPr>
      <w:bookmarkStart w:id="0" w:name="_Toc12866"/>
      <w:r>
        <w:rPr>
          <w:rFonts w:hint="eastAsia" w:cs="宋体"/>
          <w:i w:val="0"/>
          <w:iCs/>
          <w:sz w:val="32"/>
          <w:szCs w:val="32"/>
          <w:lang w:val="en-US" w:eastAsia="zh-CN"/>
        </w:rPr>
        <w:t>工程人员租赁项目项目招标公告</w:t>
      </w:r>
      <w:bookmarkEnd w:id="0"/>
    </w:p>
    <w:p w14:paraId="69B47D4D">
      <w:pPr>
        <w:pStyle w:val="3"/>
        <w:widowControl/>
        <w:jc w:val="center"/>
        <w:rPr>
          <w:rFonts w:hint="eastAsia" w:ascii="Cambria" w:hAnsi="Cambria" w:eastAsia="宋体" w:cs="宋体"/>
          <w:b/>
          <w:bCs/>
          <w:i w:val="0"/>
          <w:iCs/>
          <w:sz w:val="22"/>
          <w:szCs w:val="22"/>
          <w:highlight w:val="none"/>
          <w:lang w:eastAsia="zh-CN"/>
        </w:rPr>
      </w:pPr>
      <w:bookmarkStart w:id="1" w:name="_Toc27465"/>
      <w:r>
        <w:rPr>
          <w:rFonts w:hint="eastAsia" w:ascii="Cambria" w:hAnsi="Cambria" w:eastAsia="宋体" w:cs="宋体"/>
          <w:b/>
          <w:bCs/>
          <w:i w:val="0"/>
          <w:iCs/>
          <w:sz w:val="22"/>
          <w:szCs w:val="22"/>
          <w:highlight w:val="none"/>
          <w:lang w:eastAsia="zh-CN"/>
        </w:rPr>
        <w:t>招标编号：（ZBGL2026030061）</w:t>
      </w:r>
      <w:bookmarkEnd w:id="1"/>
    </w:p>
    <w:p w14:paraId="525C2481"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p w14:paraId="19AEADC9"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tbl>
      <w:tblPr>
        <w:tblStyle w:val="7"/>
        <w:tblW w:w="9287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199"/>
        <w:gridCol w:w="2444"/>
        <w:gridCol w:w="2200"/>
        <w:gridCol w:w="2444"/>
      </w:tblGrid>
      <w:tr w14:paraId="7CFF60F3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199" w:type="dxa"/>
            <w:shd w:val="clear" w:color="auto" w:fill="DEDEDE"/>
            <w:vAlign w:val="center"/>
          </w:tcPr>
          <w:p w14:paraId="0A8F58BD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300" w:lineRule="atLeast"/>
              <w:ind w:left="0" w:right="0"/>
              <w:jc w:val="center"/>
              <w:rPr>
                <w:rFonts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 xml:space="preserve">有效起始日期 </w:t>
            </w:r>
          </w:p>
        </w:tc>
        <w:tc>
          <w:tcPr>
            <w:tcW w:w="2444" w:type="dxa"/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 w14:paraId="3C49B13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left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>2026-03-10</w:t>
            </w:r>
          </w:p>
        </w:tc>
        <w:tc>
          <w:tcPr>
            <w:tcW w:w="2200" w:type="dxa"/>
            <w:shd w:val="clear" w:color="auto" w:fill="DEDEDE"/>
            <w:vAlign w:val="center"/>
          </w:tcPr>
          <w:p w14:paraId="5EF8668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 xml:space="preserve">有效截止日期 </w:t>
            </w:r>
          </w:p>
        </w:tc>
        <w:tc>
          <w:tcPr>
            <w:tcW w:w="2444" w:type="dxa"/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 w14:paraId="1584CE9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left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>2026-03-18</w:t>
            </w:r>
          </w:p>
        </w:tc>
      </w:tr>
    </w:tbl>
    <w:p w14:paraId="612212AE"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p w14:paraId="2400F10C"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一、项目概况  </w:t>
      </w:r>
    </w:p>
    <w:p w14:paraId="38EF78B5"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对历史AC数模进行规范化整顿修改，是PLM项目顺利开展以及实现整车DMU的基础。鉴于历史数模数量庞大，且研发部门设计任务繁多、工作量巨大，为确保PLM项目能够顺利落地，需尽快完成数模整改工作。通过与专业设计公司签订三维数模设计人员租赁服务框架协议（协议有效期为一年），约定人员租赁工时单价，后期根据工作开展情况进行人员租赁，以解决用人需求，从而保证三维数模设计任务能够按时、高质量完成。</w:t>
      </w:r>
    </w:p>
    <w:p w14:paraId="0283DF34"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二、项目基本情况  </w:t>
      </w:r>
    </w:p>
    <w:p w14:paraId="54CE4138">
      <w:pPr>
        <w:spacing w:line="360" w:lineRule="auto"/>
        <w:ind w:left="1679" w:leftChars="228" w:hanging="1200" w:hangingChars="500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1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项目名称：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工程人员租赁项目</w:t>
      </w:r>
    </w:p>
    <w:p w14:paraId="389539DB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2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项目类别：非固定资产服务</w:t>
      </w:r>
    </w:p>
    <w:p w14:paraId="02D753CC">
      <w:pPr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3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采购方式：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公开招标</w:t>
      </w:r>
    </w:p>
    <w:p w14:paraId="0077A52C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4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采购内容：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对历史AC数模进行规范化整顿修改，是PLM项目顺利开展以及实现整车DMU的基础。鉴于历史数模数量庞大，且研发部门设计任务繁多、工作量巨大，为确保PLM项目能够顺利落地，需尽快完成数模整改工作。通过与专业设计公司签订三维数模设计人员租赁服务框架协议（协议有效期为一年），约定人员租赁工时单价，后期根据工作开展情况进行人员租赁，以解决用人需求，从而保证三维数模设计任务能够按时、高质量完成。</w:t>
      </w:r>
    </w:p>
    <w:p w14:paraId="732C730E"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三、供应商资格条件  </w:t>
      </w:r>
    </w:p>
    <w:p w14:paraId="56DD3697">
      <w:pPr>
        <w:pStyle w:val="2"/>
        <w:spacing w:line="360" w:lineRule="auto"/>
        <w:ind w:firstLine="235" w:firstLineChars="98"/>
        <w:rPr>
          <w:rFonts w:hAnsi="宋体"/>
          <w:b/>
          <w:sz w:val="24"/>
          <w:szCs w:val="24"/>
        </w:rPr>
      </w:pPr>
      <w:r>
        <w:rPr>
          <w:rFonts w:hint="eastAsia" w:hAnsi="宋体"/>
          <w:sz w:val="24"/>
          <w:szCs w:val="24"/>
        </w:rPr>
        <w:t>（1）拟标投人必须是在中华人民共和国境内注册的独立法人机构，具有独立承担民事责任能力，注册资金不少于</w:t>
      </w:r>
      <w:r>
        <w:rPr>
          <w:rFonts w:hint="eastAsia" w:hAnsi="宋体"/>
          <w:i/>
          <w:sz w:val="24"/>
          <w:szCs w:val="24"/>
          <w:lang w:val="en-US" w:eastAsia="zh-CN"/>
        </w:rPr>
        <w:t>10</w:t>
      </w:r>
      <w:r>
        <w:rPr>
          <w:rFonts w:hint="eastAsia" w:hAnsi="宋体"/>
          <w:i/>
          <w:sz w:val="24"/>
          <w:szCs w:val="24"/>
        </w:rPr>
        <w:t>00万</w:t>
      </w:r>
      <w:r>
        <w:rPr>
          <w:rFonts w:hint="eastAsia" w:hAnsi="宋体"/>
          <w:sz w:val="24"/>
          <w:szCs w:val="24"/>
        </w:rPr>
        <w:t>人民币；公司成立三年以上（以营业执照成立日期到开标当日满三年为准）；且经营范围满足</w:t>
      </w:r>
      <w:r>
        <w:rPr>
          <w:rFonts w:hint="eastAsia" w:hAnsi="宋体"/>
          <w:sz w:val="24"/>
          <w:szCs w:val="24"/>
          <w:lang w:val="en-US" w:eastAsia="zh-CN"/>
        </w:rPr>
        <w:t>招标人需求</w:t>
      </w:r>
      <w:r>
        <w:rPr>
          <w:rFonts w:hint="eastAsia" w:hAnsi="宋体"/>
          <w:sz w:val="24"/>
          <w:szCs w:val="24"/>
        </w:rPr>
        <w:t>；并在人员、管理</w:t>
      </w:r>
      <w:r>
        <w:rPr>
          <w:rFonts w:hAnsi="宋体"/>
          <w:sz w:val="24"/>
          <w:szCs w:val="24"/>
        </w:rPr>
        <w:t>、资金等方面具有承担本</w:t>
      </w:r>
      <w:r>
        <w:rPr>
          <w:rFonts w:hint="eastAsia" w:hAnsi="宋体"/>
          <w:sz w:val="24"/>
          <w:szCs w:val="24"/>
        </w:rPr>
        <w:t>项目</w:t>
      </w:r>
      <w:r>
        <w:rPr>
          <w:rFonts w:hAnsi="宋体"/>
          <w:sz w:val="24"/>
          <w:szCs w:val="24"/>
        </w:rPr>
        <w:t>的能力</w:t>
      </w:r>
      <w:r>
        <w:rPr>
          <w:rFonts w:hint="eastAsia" w:hAnsi="宋体"/>
          <w:sz w:val="24"/>
          <w:szCs w:val="24"/>
        </w:rPr>
        <w:t>。</w:t>
      </w:r>
    </w:p>
    <w:p w14:paraId="3E743F2F">
      <w:pPr>
        <w:pStyle w:val="2"/>
        <w:spacing w:line="360" w:lineRule="auto"/>
        <w:ind w:firstLine="240" w:firstLineChars="100"/>
        <w:rPr>
          <w:rFonts w:hAnsi="宋体"/>
          <w:sz w:val="24"/>
          <w:szCs w:val="24"/>
        </w:rPr>
      </w:pPr>
      <w:r>
        <w:rPr>
          <w:rFonts w:hint="eastAsia" w:hAnsi="宋体"/>
          <w:sz w:val="24"/>
          <w:szCs w:val="24"/>
        </w:rPr>
        <w:t>（</w:t>
      </w:r>
      <w:r>
        <w:rPr>
          <w:rFonts w:hAnsi="宋体"/>
          <w:sz w:val="24"/>
          <w:szCs w:val="24"/>
        </w:rPr>
        <w:t>2</w:t>
      </w:r>
      <w:r>
        <w:rPr>
          <w:rFonts w:hint="eastAsia" w:hAnsi="宋体"/>
          <w:sz w:val="24"/>
          <w:szCs w:val="24"/>
        </w:rPr>
        <w:t>）拟投标人应提供三证合一的营业执照副本原件和复印件（需盖章）。</w:t>
      </w:r>
    </w:p>
    <w:p w14:paraId="08CFB361">
      <w:pPr>
        <w:pStyle w:val="2"/>
        <w:spacing w:line="360" w:lineRule="auto"/>
        <w:ind w:firstLine="240" w:firstLineChars="100"/>
        <w:rPr>
          <w:rFonts w:hAnsi="宋体"/>
          <w:sz w:val="24"/>
          <w:szCs w:val="24"/>
        </w:rPr>
      </w:pPr>
      <w:r>
        <w:rPr>
          <w:rFonts w:hint="eastAsia" w:hAnsi="宋体"/>
          <w:sz w:val="24"/>
          <w:szCs w:val="24"/>
        </w:rPr>
        <w:t>（</w:t>
      </w:r>
      <w:r>
        <w:rPr>
          <w:rFonts w:hAnsi="宋体"/>
          <w:sz w:val="24"/>
          <w:szCs w:val="24"/>
        </w:rPr>
        <w:t>3</w:t>
      </w:r>
      <w:r>
        <w:rPr>
          <w:rFonts w:hint="eastAsia" w:hAnsi="宋体"/>
          <w:sz w:val="24"/>
          <w:szCs w:val="24"/>
        </w:rPr>
        <w:t>）拟投标人应提供法定代表人资格证明文件。</w:t>
      </w:r>
    </w:p>
    <w:p w14:paraId="64348966">
      <w:pPr>
        <w:pStyle w:val="2"/>
        <w:spacing w:line="360" w:lineRule="auto"/>
        <w:ind w:firstLine="235" w:firstLineChars="98"/>
        <w:rPr>
          <w:rFonts w:hAnsi="宋体"/>
          <w:sz w:val="24"/>
          <w:szCs w:val="24"/>
        </w:rPr>
      </w:pPr>
      <w:r>
        <w:rPr>
          <w:rFonts w:hint="eastAsia" w:hAnsi="宋体"/>
          <w:sz w:val="24"/>
          <w:szCs w:val="24"/>
        </w:rPr>
        <w:t>（</w:t>
      </w:r>
      <w:r>
        <w:rPr>
          <w:rFonts w:hAnsi="宋体"/>
          <w:sz w:val="24"/>
          <w:szCs w:val="24"/>
        </w:rPr>
        <w:t>4</w:t>
      </w:r>
      <w:r>
        <w:rPr>
          <w:rFonts w:hint="eastAsia" w:hAnsi="宋体"/>
          <w:sz w:val="24"/>
          <w:szCs w:val="24"/>
        </w:rPr>
        <w:t>）</w:t>
      </w:r>
      <w:r>
        <w:rPr>
          <w:rStyle w:val="23"/>
          <w:rFonts w:hint="eastAsia"/>
          <w:color w:val="auto"/>
        </w:rPr>
        <w:t>拟投标人在国家市场监督管理总局的《国家企业信用信息公示系统》</w:t>
      </w:r>
      <w:r>
        <w:rPr>
          <w:rFonts w:hint="eastAsia" w:ascii="仿宋" w:hAnsi="仿宋" w:cs="仿宋"/>
        </w:rPr>
        <w:t>（https://www.creditchina.gov.cn/）</w:t>
      </w:r>
      <w:r>
        <w:rPr>
          <w:rStyle w:val="23"/>
          <w:rFonts w:hint="eastAsia"/>
          <w:color w:val="auto"/>
        </w:rPr>
        <w:t>中查询不存在不良记录；或同等效力的法律文件</w:t>
      </w:r>
      <w:r>
        <w:rPr>
          <w:rFonts w:hint="eastAsia" w:hAnsi="宋体"/>
          <w:sz w:val="24"/>
          <w:szCs w:val="24"/>
        </w:rPr>
        <w:t>。</w:t>
      </w:r>
    </w:p>
    <w:p w14:paraId="7054A7CA">
      <w:pPr>
        <w:pStyle w:val="2"/>
        <w:spacing w:line="360" w:lineRule="auto"/>
        <w:ind w:firstLine="235" w:firstLineChars="98"/>
        <w:rPr>
          <w:rFonts w:hAnsi="宋体"/>
          <w:sz w:val="24"/>
          <w:szCs w:val="24"/>
        </w:rPr>
      </w:pPr>
      <w:r>
        <w:rPr>
          <w:rFonts w:hint="eastAsia" w:hAnsi="宋体"/>
          <w:sz w:val="24"/>
          <w:szCs w:val="24"/>
        </w:rPr>
        <w:t>（</w:t>
      </w:r>
      <w:r>
        <w:rPr>
          <w:rFonts w:hAnsi="宋体"/>
          <w:sz w:val="24"/>
          <w:szCs w:val="24"/>
        </w:rPr>
        <w:t>5</w:t>
      </w:r>
      <w:r>
        <w:rPr>
          <w:rFonts w:hint="eastAsia" w:hAnsi="宋体"/>
          <w:sz w:val="24"/>
          <w:szCs w:val="24"/>
        </w:rPr>
        <w:t>）拟投标人不存在严重违规或被列入招标人“黑名单”的声明。</w:t>
      </w:r>
    </w:p>
    <w:p w14:paraId="1B7AA434">
      <w:pPr>
        <w:pStyle w:val="21"/>
        <w:ind w:firstLine="240" w:firstLineChars="100"/>
        <w:jc w:val="left"/>
        <w:rPr>
          <w:rStyle w:val="23"/>
          <w:color w:val="auto"/>
        </w:rPr>
      </w:pPr>
      <w:r>
        <w:rPr>
          <w:rFonts w:hint="eastAsia"/>
          <w:color w:val="auto"/>
        </w:rPr>
        <w:t>（</w:t>
      </w:r>
      <w:r>
        <w:rPr>
          <w:color w:val="auto"/>
        </w:rPr>
        <w:t>6</w:t>
      </w:r>
      <w:r>
        <w:rPr>
          <w:rFonts w:hint="eastAsia"/>
          <w:color w:val="auto"/>
        </w:rPr>
        <w:t>）</w:t>
      </w:r>
      <w:r>
        <w:rPr>
          <w:rStyle w:val="23"/>
          <w:rFonts w:hint="eastAsia"/>
          <w:color w:val="auto"/>
        </w:rPr>
        <w:t>拟投标人经审计的近三年的公司财务报表（资产负债表、损益表、现金流量表）未显示异常。若没有财务审计报告，需提供资产负债表、利润表、现金流量表（加盖公章版）无明显异常。</w:t>
      </w:r>
    </w:p>
    <w:p w14:paraId="26CA680B">
      <w:pPr>
        <w:pStyle w:val="2"/>
        <w:spacing w:line="360" w:lineRule="auto"/>
        <w:ind w:firstLine="235" w:firstLineChars="98"/>
        <w:jc w:val="left"/>
        <w:rPr>
          <w:rFonts w:hAnsi="宋体"/>
          <w:sz w:val="24"/>
          <w:szCs w:val="24"/>
        </w:rPr>
      </w:pPr>
      <w:r>
        <w:rPr>
          <w:rFonts w:hint="eastAsia" w:hAnsi="宋体"/>
          <w:sz w:val="24"/>
          <w:szCs w:val="24"/>
        </w:rPr>
        <w:t>（</w:t>
      </w:r>
      <w:r>
        <w:rPr>
          <w:rFonts w:hAnsi="宋体"/>
          <w:sz w:val="24"/>
          <w:szCs w:val="24"/>
        </w:rPr>
        <w:t>7</w:t>
      </w:r>
      <w:r>
        <w:rPr>
          <w:rFonts w:hint="eastAsia" w:hAnsi="宋体"/>
          <w:sz w:val="24"/>
          <w:szCs w:val="24"/>
        </w:rPr>
        <w:t>）近3年内无因服务不当而造成重大事故。三年内无与本项目有关的违法及重大违规情况。</w:t>
      </w:r>
    </w:p>
    <w:p w14:paraId="0CC01A7C">
      <w:pPr>
        <w:pStyle w:val="2"/>
        <w:spacing w:line="360" w:lineRule="auto"/>
        <w:ind w:firstLine="235" w:firstLineChars="98"/>
        <w:rPr>
          <w:rFonts w:hAnsi="宋体"/>
          <w:sz w:val="24"/>
          <w:szCs w:val="24"/>
        </w:rPr>
      </w:pPr>
      <w:r>
        <w:rPr>
          <w:rFonts w:hint="eastAsia" w:hAnsi="宋体"/>
          <w:sz w:val="24"/>
          <w:szCs w:val="24"/>
        </w:rPr>
        <w:t>（</w:t>
      </w:r>
      <w:r>
        <w:rPr>
          <w:rFonts w:hAnsi="宋体"/>
          <w:sz w:val="24"/>
          <w:szCs w:val="24"/>
        </w:rPr>
        <w:t>8</w:t>
      </w:r>
      <w:r>
        <w:rPr>
          <w:rFonts w:hint="eastAsia" w:hAnsi="宋体"/>
          <w:sz w:val="24"/>
          <w:szCs w:val="24"/>
        </w:rPr>
        <w:t>）</w:t>
      </w:r>
      <w:r>
        <w:rPr>
          <w:rFonts w:hAnsi="宋体"/>
          <w:sz w:val="24"/>
          <w:szCs w:val="24"/>
        </w:rPr>
        <w:t>各投标人的法定代表人或负责人为同一人，以及存在控股、管理关系的不同投标人，不得参加同一包次的投标。</w:t>
      </w:r>
    </w:p>
    <w:p w14:paraId="336C9918">
      <w:pPr>
        <w:pStyle w:val="2"/>
        <w:spacing w:line="360" w:lineRule="auto"/>
        <w:ind w:firstLine="235" w:firstLineChars="98"/>
        <w:rPr>
          <w:rFonts w:hAnsi="宋体"/>
          <w:sz w:val="24"/>
          <w:szCs w:val="24"/>
        </w:rPr>
      </w:pPr>
      <w:r>
        <w:rPr>
          <w:rFonts w:hint="eastAsia" w:hAnsi="宋体"/>
          <w:sz w:val="24"/>
          <w:szCs w:val="24"/>
        </w:rPr>
        <w:t>（</w:t>
      </w:r>
      <w:r>
        <w:rPr>
          <w:rFonts w:hAnsi="宋体"/>
          <w:sz w:val="24"/>
          <w:szCs w:val="24"/>
        </w:rPr>
        <w:t>9</w:t>
      </w:r>
      <w:r>
        <w:rPr>
          <w:rFonts w:hint="eastAsia" w:hAnsi="宋体"/>
          <w:sz w:val="24"/>
          <w:szCs w:val="24"/>
        </w:rPr>
        <w:t>）</w:t>
      </w:r>
      <w:r>
        <w:rPr>
          <w:rFonts w:hAnsi="宋体"/>
          <w:sz w:val="24"/>
          <w:szCs w:val="24"/>
        </w:rPr>
        <w:t>投标人须认可招标人的工作指令，包括节、假日能正常开展工作的要求</w:t>
      </w:r>
      <w:r>
        <w:rPr>
          <w:rFonts w:hint="eastAsia" w:hAnsi="宋体"/>
          <w:sz w:val="24"/>
          <w:szCs w:val="24"/>
        </w:rPr>
        <w:t>。</w:t>
      </w:r>
    </w:p>
    <w:p w14:paraId="4D189967">
      <w:pPr>
        <w:pStyle w:val="2"/>
        <w:spacing w:line="360" w:lineRule="auto"/>
        <w:ind w:firstLine="235" w:firstLineChars="98"/>
        <w:rPr>
          <w:rFonts w:hAnsi="宋体"/>
          <w:sz w:val="24"/>
          <w:szCs w:val="24"/>
        </w:rPr>
      </w:pPr>
      <w:r>
        <w:rPr>
          <w:rFonts w:hint="eastAsia" w:hAnsi="宋体"/>
          <w:sz w:val="24"/>
          <w:szCs w:val="24"/>
        </w:rPr>
        <w:t>（1</w:t>
      </w:r>
      <w:r>
        <w:rPr>
          <w:rFonts w:hAnsi="宋体"/>
          <w:sz w:val="24"/>
          <w:szCs w:val="24"/>
        </w:rPr>
        <w:t>0</w:t>
      </w:r>
      <w:r>
        <w:rPr>
          <w:rFonts w:hint="eastAsia" w:hAnsi="宋体"/>
          <w:sz w:val="24"/>
          <w:szCs w:val="24"/>
        </w:rPr>
        <w:t>）拟投标人有与本次招标项目同类的项目经验，有营运资质和丰富的用车经验；投标时需提供同类项目用户清单，同时需提供用户合同复印件或验收报告复印件即可。</w:t>
      </w:r>
    </w:p>
    <w:p w14:paraId="35C2731C">
      <w:pPr>
        <w:pStyle w:val="2"/>
        <w:spacing w:line="360" w:lineRule="auto"/>
        <w:ind w:firstLine="235" w:firstLineChars="98"/>
        <w:rPr>
          <w:rFonts w:hAnsi="宋体"/>
          <w:sz w:val="24"/>
          <w:szCs w:val="24"/>
        </w:rPr>
      </w:pPr>
      <w:r>
        <w:rPr>
          <w:rFonts w:hint="eastAsia" w:hAnsi="宋体"/>
          <w:sz w:val="24"/>
          <w:szCs w:val="24"/>
        </w:rPr>
        <w:t>（11）拟投标人的直接或间接股东、法定代表人、董事、监事、高管非重汽员工及其亲属。</w:t>
      </w:r>
    </w:p>
    <w:p w14:paraId="3970180C">
      <w:pPr>
        <w:pStyle w:val="2"/>
        <w:spacing w:line="360" w:lineRule="auto"/>
        <w:ind w:firstLine="240" w:firstLineChars="100"/>
        <w:rPr>
          <w:rFonts w:hAnsi="宋体"/>
          <w:sz w:val="24"/>
          <w:szCs w:val="24"/>
        </w:rPr>
      </w:pPr>
      <w:r>
        <w:rPr>
          <w:rFonts w:hint="eastAsia" w:hAnsi="宋体"/>
          <w:sz w:val="24"/>
          <w:szCs w:val="24"/>
        </w:rPr>
        <w:t>（12）投标人必须是最终投、签订合同单位，不得以任何理由将已中标项目以任何形式分包或转包给其他单位。</w:t>
      </w:r>
    </w:p>
    <w:p w14:paraId="5A65CBDB">
      <w:pPr>
        <w:pStyle w:val="2"/>
        <w:spacing w:line="360" w:lineRule="auto"/>
        <w:ind w:firstLine="240" w:firstLineChars="100"/>
        <w:rPr>
          <w:rFonts w:hAnsi="宋体"/>
          <w:sz w:val="24"/>
          <w:szCs w:val="24"/>
        </w:rPr>
      </w:pPr>
      <w:r>
        <w:rPr>
          <w:rFonts w:hint="eastAsia" w:hAnsi="宋体"/>
          <w:sz w:val="24"/>
          <w:szCs w:val="24"/>
        </w:rPr>
        <w:t>（13）本项目不接受联合体投标</w:t>
      </w:r>
      <w:r>
        <w:rPr>
          <w:rFonts w:hint="eastAsia" w:hAnsi="宋体"/>
          <w:sz w:val="24"/>
          <w:szCs w:val="24"/>
          <w:lang w:eastAsia="zh-CN"/>
        </w:rPr>
        <w:t>，</w:t>
      </w:r>
      <w:r>
        <w:rPr>
          <w:rFonts w:hint="eastAsia" w:hAnsi="宋体"/>
          <w:sz w:val="24"/>
          <w:szCs w:val="24"/>
          <w:lang w:val="en-US" w:eastAsia="zh-CN"/>
        </w:rPr>
        <w:t>不</w:t>
      </w:r>
      <w:r>
        <w:rPr>
          <w:rFonts w:hint="eastAsia" w:hAnsi="宋体"/>
          <w:sz w:val="24"/>
          <w:szCs w:val="24"/>
        </w:rPr>
        <w:t>接受代理商投标。</w:t>
      </w:r>
    </w:p>
    <w:p w14:paraId="1C8AE336">
      <w:pPr>
        <w:spacing w:line="360" w:lineRule="auto"/>
        <w:ind w:firstLine="480" w:firstLineChars="200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* 注：</w:t>
      </w:r>
    </w:p>
    <w:p w14:paraId="35ACD117">
      <w:pPr>
        <w:numPr>
          <w:ilvl w:val="0"/>
          <w:numId w:val="2"/>
        </w:numPr>
        <w:spacing w:line="360" w:lineRule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b/>
          <w:sz w:val="24"/>
          <w:szCs w:val="24"/>
        </w:rPr>
        <w:t>如果是授权委托人投标，</w:t>
      </w:r>
      <w:r>
        <w:rPr>
          <w:rFonts w:hint="eastAsia" w:ascii="宋体" w:hAnsi="宋体" w:cs="宋体"/>
          <w:sz w:val="24"/>
          <w:szCs w:val="24"/>
        </w:rPr>
        <w:t>要携带三证合一的营业执照副本原件和复印件、法人授权委托书、身份证原件参加开标会议，否则视为弃标；</w:t>
      </w:r>
    </w:p>
    <w:p w14:paraId="571E36D8">
      <w:pPr>
        <w:numPr>
          <w:ilvl w:val="0"/>
          <w:numId w:val="2"/>
        </w:numPr>
        <w:spacing w:line="360" w:lineRule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b/>
          <w:sz w:val="24"/>
          <w:szCs w:val="24"/>
        </w:rPr>
        <w:t>如果是法人参加投标</w:t>
      </w:r>
      <w:r>
        <w:rPr>
          <w:rFonts w:hint="eastAsia" w:ascii="宋体" w:hAnsi="宋体" w:cs="宋体"/>
          <w:sz w:val="24"/>
          <w:szCs w:val="24"/>
        </w:rPr>
        <w:t>，要携带要携带三证合一的营业执照副本原件和复印件、法人代表证明原件、身份证原件参加开标会议，否则视为弃标；</w:t>
      </w:r>
    </w:p>
    <w:p w14:paraId="47D54CC4">
      <w:pPr>
        <w:numPr>
          <w:ilvl w:val="0"/>
          <w:numId w:val="2"/>
        </w:numPr>
        <w:spacing w:line="360" w:lineRule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境外投标人可提供与上述文件相当的证明文件（如有）。</w:t>
      </w:r>
    </w:p>
    <w:p w14:paraId="0DCFA017"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p w14:paraId="5F6069A1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四、采购文件领取 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 w14:paraId="50F043C3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采购文件领取方式：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线下 </w:t>
      </w:r>
    </w:p>
    <w:p w14:paraId="52A9027B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2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采购文件领取截止时间：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2026-0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-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18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17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:00:00 </w:t>
      </w:r>
    </w:p>
    <w:p w14:paraId="6E996CD6">
      <w:pPr>
        <w:rPr>
          <w:rFonts w:hint="default" w:asciiTheme="majorEastAsia" w:hAnsiTheme="majorEastAsia" w:eastAsiaTheme="majorEastAsia" w:cstheme="majorEastAsia"/>
          <w:sz w:val="24"/>
          <w:szCs w:val="24"/>
          <w:lang w:val="en-US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3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采购文件领取地点：山东省济南市历城区华奥路777号重汽科技大厦1307 </w:t>
      </w:r>
    </w:p>
    <w:p w14:paraId="7E8428C7">
      <w:pPr>
        <w:jc w:val="left"/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五、响应文件提交 </w:t>
      </w:r>
    </w:p>
    <w:p w14:paraId="4C18FF2C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递交方式：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线下 </w:t>
      </w:r>
    </w:p>
    <w:p w14:paraId="0CCC99E1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2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递交截止时间：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2026-0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-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26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09:00:00 </w:t>
      </w:r>
    </w:p>
    <w:p w14:paraId="135B47B7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3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递交地点：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山东省济南市历城区华奥路777号重汽科技大厦1307 </w:t>
      </w:r>
    </w:p>
    <w:p w14:paraId="49F03F49"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六、开标时间和地点 </w:t>
      </w:r>
    </w:p>
    <w:p w14:paraId="3C35521B">
      <w:pP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开标时间：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2026-0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-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26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09:00:00 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  <w:t>（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暂定，具体时间地点另行通知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  <w:t>）</w:t>
      </w:r>
    </w:p>
    <w:p w14:paraId="1B92B1F1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2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开标地点：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山东省济南市高新区华奥路777号重汽科技大厦三楼会议室 </w:t>
      </w:r>
    </w:p>
    <w:p w14:paraId="17836EE4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七、发布公告的媒介  </w:t>
      </w:r>
    </w:p>
    <w:p w14:paraId="3BAB9AF5">
      <w:pPr>
        <w:rPr>
          <w:rFonts w:hint="default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阳光采购服务平台（www.ygcgfw.com） 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  <w:t>中国重汽</w:t>
      </w:r>
      <w:r>
        <w:rPr>
          <w:rFonts w:hint="default" w:asciiTheme="majorEastAsia" w:hAnsiTheme="majorEastAsia" w:eastAsiaTheme="majorEastAsia" w:cstheme="majorEastAsia"/>
          <w:sz w:val="24"/>
          <w:szCs w:val="24"/>
          <w:highlight w:val="yellow"/>
          <w:lang w:eastAsia="zh-CN"/>
        </w:rPr>
        <w:t>集团官网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  <w:t>（ww.cnhtc.com.cn）</w:t>
      </w:r>
    </w:p>
    <w:p w14:paraId="0FAF3768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八、联系方式 </w:t>
      </w:r>
    </w:p>
    <w:p w14:paraId="6F4FC9B2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采购人信息：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 w14:paraId="206C3618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名称：</w:t>
      </w:r>
      <w:r>
        <w:rPr>
          <w:rFonts w:ascii="宋体" w:hAnsi="宋体" w:eastAsia="宋体" w:cs="宋体"/>
          <w:sz w:val="24"/>
          <w:szCs w:val="24"/>
        </w:rPr>
        <w:t>中国重汽集团济南动力有限公司</w:t>
      </w:r>
    </w:p>
    <w:p w14:paraId="28CD573E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地址：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山东省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济南市历城区华奥路777号重汽科技大厦</w:t>
      </w:r>
    </w:p>
    <w:p w14:paraId="5ADF14CB">
      <w:pPr>
        <w:pStyle w:val="21"/>
        <w:ind w:firstLine="480"/>
        <w:rPr>
          <w:rFonts w:hint="default" w:eastAsia="宋体" w:asciiTheme="majorEastAsia" w:hAnsi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技术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联系人：</w:t>
      </w:r>
      <w:r>
        <w:rPr>
          <w:rFonts w:hint="eastAsia" w:eastAsia="宋体" w:cs="宋体"/>
          <w:lang w:val="en-US" w:eastAsia="zh-CN"/>
        </w:rPr>
        <w:t xml:space="preserve">任瑞  </w:t>
      </w:r>
      <w:r>
        <w:rPr>
          <w:rFonts w:hint="eastAsia" w:hAnsi="Courier New" w:eastAsia="宋体"/>
          <w:lang w:val="en-US" w:eastAsia="zh-CN"/>
        </w:rPr>
        <w:t>15866618620</w:t>
      </w:r>
    </w:p>
    <w:p w14:paraId="3ED9792C">
      <w:pPr>
        <w:ind w:firstLine="480" w:firstLineChars="200"/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商务联系人：王瑄 17860605786</w:t>
      </w:r>
    </w:p>
    <w:p w14:paraId="172E0E1D">
      <w:pPr>
        <w:ind w:firstLine="1319" w:firstLineChars="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</w:p>
    <w:p w14:paraId="59824F65">
      <w:pPr>
        <w:ind w:firstLine="480"/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九、其他说明  </w:t>
      </w:r>
    </w:p>
    <w:p w14:paraId="045F74A2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供应商需在阳光采购服务平台进行注册，注册后搜索该项目并进行报名。</w:t>
      </w:r>
    </w:p>
    <w:p w14:paraId="60890223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2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供应商需在重汽官网搜索本项目招标公告，根据要求准备报名资料。</w:t>
      </w:r>
    </w:p>
    <w:p w14:paraId="0AF0DA24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419A17EB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6E9CAD98">
      <w:pPr>
        <w:pStyle w:val="2"/>
        <w:outlineLvl w:val="2"/>
        <w:rPr>
          <w:rFonts w:hint="eastAsia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 xml:space="preserve"> </w:t>
      </w:r>
      <w:r>
        <w:rPr>
          <w:rFonts w:hint="eastAsia" w:hAnsi="宋体" w:eastAsia="宋体" w:cs="宋体"/>
          <w:b/>
          <w:bCs/>
          <w:color w:val="000000"/>
          <w:sz w:val="24"/>
          <w:szCs w:val="24"/>
          <w:lang w:val="en-US" w:eastAsia="zh-CN"/>
        </w:rPr>
        <w:t>附件1：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SRM非生产供应商注册操作手册</w:t>
      </w:r>
    </w:p>
    <w:p w14:paraId="70B9AD35">
      <w:pPr>
        <w:pStyle w:val="2"/>
        <w:rPr>
          <w:rFonts w:eastAsia="宋体"/>
        </w:rPr>
      </w:pPr>
    </w:p>
    <w:p w14:paraId="17A1031A"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浏览器中输入地址;</w:t>
      </w:r>
    </w:p>
    <w:p w14:paraId="6BE0569F"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fldChar w:fldCharType="begin"/>
      </w:r>
      <w:r>
        <w:instrText xml:space="preserve"> HYPERLINK "http://ecaitong.sinotruk.com:8012/" \l "/login" \t "dlt" </w:instrText>
      </w:r>
      <w:r>
        <w:fldChar w:fldCharType="separate"/>
      </w:r>
      <w:r>
        <w:rPr>
          <w:rFonts w:ascii="宋体" w:hAnsi="宋体" w:eastAsia="宋体" w:cs="宋体"/>
          <w:sz w:val="24"/>
          <w:szCs w:val="24"/>
        </w:rPr>
        <w:t>http</w:t>
      </w:r>
      <w:r>
        <w:rPr>
          <w:rFonts w:hint="eastAsia" w:ascii="宋体" w:hAnsi="宋体" w:eastAsia="宋体" w:cs="宋体"/>
          <w:sz w:val="24"/>
          <w:szCs w:val="24"/>
        </w:rPr>
        <w:t>s</w:t>
      </w:r>
      <w:r>
        <w:rPr>
          <w:rFonts w:ascii="宋体" w:hAnsi="宋体" w:eastAsia="宋体" w:cs="宋体"/>
          <w:sz w:val="24"/>
          <w:szCs w:val="24"/>
        </w:rPr>
        <w:t>://ecaitong.sinotruk.com:8012/#/login</w:t>
      </w:r>
      <w:r>
        <w:rPr>
          <w:rFonts w:ascii="宋体" w:hAnsi="宋体" w:eastAsia="宋体" w:cs="宋体"/>
          <w:sz w:val="24"/>
          <w:szCs w:val="24"/>
        </w:rPr>
        <w:fldChar w:fldCharType="end"/>
      </w:r>
    </w:p>
    <w:p w14:paraId="2DCEFB9C"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1.点击立即注册</w:t>
      </w:r>
    </w:p>
    <w:p w14:paraId="3FF17F70"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933065"/>
            <wp:effectExtent l="0" t="0" r="12065" b="635"/>
            <wp:docPr id="19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" descr="descript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333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013B82"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2.</w:t>
      </w:r>
      <w:r>
        <w:rPr>
          <w:rFonts w:ascii="宋体" w:hAnsi="宋体" w:eastAsia="宋体" w:cs="宋体"/>
          <w:color w:val="000000"/>
          <w:sz w:val="24"/>
          <w:szCs w:val="28"/>
        </w:rPr>
        <w:t>填写手机号码（没有注册过的）</w:t>
      </w:r>
    </w:p>
    <w:p w14:paraId="56684D4C"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766695"/>
            <wp:effectExtent l="0" t="0" r="12065" b="14605"/>
            <wp:docPr id="2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" descr="descript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7667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313813"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3.</w:t>
      </w:r>
      <w:r>
        <w:rPr>
          <w:rFonts w:ascii="宋体" w:hAnsi="宋体" w:eastAsia="宋体" w:cs="宋体"/>
          <w:color w:val="000000"/>
          <w:sz w:val="24"/>
          <w:szCs w:val="28"/>
        </w:rPr>
        <w:t>注册成功登录这个手机号码的账号进入系统，点击供应商注册</w:t>
      </w:r>
    </w:p>
    <w:p w14:paraId="59257A2B"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869565"/>
            <wp:effectExtent l="0" t="0" r="12065" b="6985"/>
            <wp:docPr id="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" descr="descript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70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6FDBD5"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4.</w:t>
      </w:r>
      <w:r>
        <w:rPr>
          <w:rFonts w:ascii="宋体" w:hAnsi="宋体" w:eastAsia="宋体" w:cs="宋体"/>
          <w:color w:val="000000"/>
          <w:sz w:val="24"/>
          <w:szCs w:val="28"/>
        </w:rPr>
        <w:t>点击新增</w:t>
      </w:r>
    </w:p>
    <w:p w14:paraId="7BFDD5CE"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853055"/>
            <wp:effectExtent l="0" t="0" r="12065" b="4445"/>
            <wp:docPr id="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" descr="descript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5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C68DEB"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5</w:t>
      </w:r>
      <w:r>
        <w:rPr>
          <w:rFonts w:hint="eastAsia" w:ascii="宋体" w:hAnsi="宋体" w:eastAsia="宋体" w:cs="宋体"/>
          <w:color w:val="000000"/>
          <w:sz w:val="24"/>
          <w:szCs w:val="28"/>
        </w:rPr>
        <w:t>.</w:t>
      </w:r>
      <w:r>
        <w:rPr>
          <w:rFonts w:ascii="宋体" w:hAnsi="宋体" w:eastAsia="宋体" w:cs="宋体"/>
          <w:color w:val="000000"/>
          <w:sz w:val="24"/>
          <w:szCs w:val="28"/>
        </w:rPr>
        <w:t>按要求填写所有信息，注意非生产类要填写合作单位，最后提交审批</w:t>
      </w:r>
    </w:p>
    <w:p w14:paraId="5111A0F6">
      <w:pPr>
        <w:pStyle w:val="2"/>
      </w:pPr>
    </w:p>
    <w:p w14:paraId="646795A1">
      <w:pPr>
        <w:rPr>
          <w:rFonts w:hint="eastAsia"/>
        </w:rPr>
      </w:pPr>
      <w:r>
        <w:drawing>
          <wp:inline distT="0" distB="0" distL="0" distR="0">
            <wp:extent cx="5760085" cy="2809875"/>
            <wp:effectExtent l="0" t="0" r="12065" b="9525"/>
            <wp:docPr id="12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" descr="descript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10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3EE951">
      <w:pPr>
        <w:pStyle w:val="2"/>
      </w:pPr>
      <w:r>
        <w:drawing>
          <wp:inline distT="0" distB="0" distL="0" distR="0">
            <wp:extent cx="5760085" cy="2820035"/>
            <wp:effectExtent l="0" t="0" r="12065" b="18415"/>
            <wp:docPr id="24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" descr="descript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200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42F687">
      <w:pPr>
        <w:pStyle w:val="2"/>
      </w:pPr>
    </w:p>
    <w:p w14:paraId="6C1146A3">
      <w:pP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  <w:t>注：</w:t>
      </w:r>
    </w:p>
    <w:p w14:paraId="1FCAE343">
      <w:pP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  <w:t>1.“项目名称”和“采购形式编号”见投标须知前附表1.1；</w:t>
      </w:r>
    </w:p>
    <w:p w14:paraId="0B67B126">
      <w:pPr>
        <w:pStyle w:val="2"/>
      </w:pP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</w:rPr>
        <w:t>2.配套能力“供货类别”填“服务 / 技术合作开发”，业务主管部门选择“战略规划部”。</w:t>
      </w:r>
    </w:p>
    <w:p w14:paraId="2F7E55B5">
      <w:pPr>
        <w:pStyle w:val="2"/>
        <w:sectPr>
          <w:pgSz w:w="11906" w:h="16838"/>
          <w:pgMar w:top="1588" w:right="1418" w:bottom="1134" w:left="1418" w:header="851" w:footer="992" w:gutter="0"/>
          <w:cols w:space="720" w:num="1"/>
          <w:titlePg/>
          <w:docGrid w:type="lines" w:linePitch="312" w:charSpace="0"/>
        </w:sectPr>
      </w:pPr>
      <w:bookmarkStart w:id="2" w:name="_GoBack"/>
      <w:bookmarkEnd w:id="2"/>
    </w:p>
    <w:p w14:paraId="7625DFE1">
      <w:pPr>
        <w:pStyle w:val="2"/>
        <w:outlineLvl w:val="2"/>
        <w:rPr>
          <w:rFonts w:hint="eastAsia" w:hAnsi="宋体" w:eastAsia="宋体" w:cs="Times New Roman"/>
          <w:b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附件</w:t>
      </w:r>
      <w:r>
        <w:rPr>
          <w:rFonts w:hint="eastAsia" w:hAnsi="宋体" w:eastAsia="宋体" w:cs="宋体"/>
          <w:b/>
          <w:bCs/>
          <w:color w:val="000000"/>
          <w:sz w:val="24"/>
          <w:szCs w:val="24"/>
          <w:lang w:val="en-US" w:eastAsia="zh-CN"/>
        </w:rPr>
        <w:t>7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 xml:space="preserve"> </w:t>
      </w:r>
      <w:r>
        <w:rPr>
          <w:rFonts w:hint="eastAsia" w:hAnsi="宋体" w:eastAsia="宋体" w:cs="Times New Roman"/>
          <w:b/>
          <w:color w:val="000000"/>
          <w:sz w:val="24"/>
          <w:szCs w:val="24"/>
        </w:rPr>
        <w:t>SRM系统供应商用户手册</w:t>
      </w:r>
    </w:p>
    <w:p w14:paraId="7E386906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系统网址：</w:t>
      </w:r>
      <w:r>
        <w:fldChar w:fldCharType="begin"/>
      </w:r>
      <w:r>
        <w:instrText xml:space="preserve"> HYPERLINK "http://ecaitong.sinotruk.com:8012/" \t "dlt" </w:instrText>
      </w:r>
      <w:r>
        <w:fldChar w:fldCharType="separate"/>
      </w:r>
      <w:r>
        <w:rPr>
          <w:rStyle w:val="15"/>
          <w:rFonts w:hint="eastAsia" w:ascii="宋体" w:hAnsi="宋体" w:eastAsia="宋体" w:cs="宋体"/>
          <w:sz w:val="24"/>
          <w:szCs w:val="24"/>
        </w:rPr>
        <w:t>https://ecaitong.sinotruk.com:8012/</w:t>
      </w:r>
      <w:r>
        <w:rPr>
          <w:rStyle w:val="15"/>
          <w:rFonts w:hint="eastAsia" w:ascii="宋体" w:hAnsi="宋体" w:eastAsia="宋体" w:cs="宋体"/>
          <w:sz w:val="24"/>
          <w:szCs w:val="24"/>
        </w:rPr>
        <w:fldChar w:fldCharType="end"/>
      </w:r>
    </w:p>
    <w:p w14:paraId="2D13958C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用 户 名：gys+供应商代码（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>注意：注册完毕后，用户名不要用手机号登录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）</w:t>
      </w:r>
    </w:p>
    <w:p w14:paraId="3ABF179B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初始密码：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yellow"/>
        </w:rPr>
        <w:t>scm@2022</w:t>
      </w:r>
    </w:p>
    <w:p w14:paraId="5FC6171E"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1.供应商应标</w:t>
      </w:r>
    </w:p>
    <w:p w14:paraId="067843A6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供应商应标</w:t>
      </w:r>
    </w:p>
    <w:p w14:paraId="61FA9AEF">
      <w:pPr>
        <w:spacing w:line="360" w:lineRule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点击应标，上传文件之后点击提交。</w:t>
      </w:r>
    </w:p>
    <w:p w14:paraId="4BE43EFB">
      <w:pPr>
        <w:rPr>
          <w:rFonts w:hint="eastAsia"/>
        </w:rPr>
      </w:pPr>
      <w:r>
        <w:drawing>
          <wp:inline distT="0" distB="0" distL="0" distR="0">
            <wp:extent cx="5760085" cy="2269490"/>
            <wp:effectExtent l="0" t="0" r="12065" b="16510"/>
            <wp:docPr id="25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" descr="descript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269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D1CB10">
      <w:pPr>
        <w:rPr>
          <w:rFonts w:hint="eastAsia"/>
        </w:rPr>
      </w:pPr>
    </w:p>
    <w:p w14:paraId="45778858"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2.供应商投标</w:t>
      </w:r>
    </w:p>
    <w:p w14:paraId="0FB0BC4C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供应商投标</w:t>
      </w:r>
    </w:p>
    <w:p w14:paraId="7F2CF968">
      <w:pPr>
        <w:rPr>
          <w:rFonts w:hint="eastAsia" w:ascii="宋体" w:hAnsi="宋体" w:eastAsia="宋体" w:cs="宋体"/>
          <w:color w:val="000000"/>
        </w:rPr>
      </w:pPr>
      <w:r>
        <w:rPr>
          <w:rFonts w:ascii="宋体" w:hAnsi="宋体" w:eastAsia="宋体" w:cs="宋体"/>
          <w:color w:val="000000"/>
        </w:rPr>
        <w:drawing>
          <wp:inline distT="0" distB="0" distL="0" distR="0">
            <wp:extent cx="5760085" cy="2125345"/>
            <wp:effectExtent l="0" t="0" r="12065" b="8255"/>
            <wp:docPr id="2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" descr="descript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125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707A94">
      <w:pPr>
        <w:spacing w:line="360" w:lineRule="auto"/>
        <w:rPr>
          <w:rFonts w:hint="eastAsia" w:ascii="宋体" w:hAnsi="宋体" w:eastAsia="宋体" w:cs="宋体"/>
          <w:color w:val="000000"/>
          <w:sz w:val="24"/>
          <w:szCs w:val="28"/>
        </w:rPr>
      </w:pPr>
      <w:r>
        <w:rPr>
          <w:rFonts w:ascii="宋体" w:hAnsi="宋体" w:eastAsia="宋体" w:cs="宋体"/>
          <w:color w:val="000000"/>
          <w:sz w:val="24"/>
          <w:szCs w:val="28"/>
        </w:rPr>
        <w:t>点击投标按钮，进入详情页，输入投标报价并上传相应的附件。</w:t>
      </w:r>
    </w:p>
    <w:p w14:paraId="5255F22B">
      <w:pPr>
        <w:pStyle w:val="2"/>
      </w:pPr>
      <w:r>
        <w:rPr>
          <w:rFonts w:hint="eastAsia" w:hAnsi="宋体" w:eastAsia="宋体" w:cs="宋体"/>
          <w:color w:val="000000"/>
          <w:sz w:val="24"/>
          <w:szCs w:val="28"/>
          <w:highlight w:val="yellow"/>
        </w:rPr>
        <w:t>注意：系统内的投标报价单位为“万元”，如开标现场发现填错报价，即直接淘汰。</w:t>
      </w:r>
    </w:p>
    <w:p w14:paraId="6926B677">
      <w:pPr>
        <w:pStyle w:val="4"/>
        <w:ind w:left="425" w:hanging="425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  <w:drawing>
          <wp:inline distT="0" distB="0" distL="0" distR="0">
            <wp:extent cx="5490210" cy="2668905"/>
            <wp:effectExtent l="0" t="0" r="15240" b="17145"/>
            <wp:docPr id="2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" descr="descript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6694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2C1134"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3.供应商技术标澄清函</w:t>
      </w:r>
    </w:p>
    <w:p w14:paraId="79784518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供应商技术标澄清函</w:t>
      </w:r>
    </w:p>
    <w:p w14:paraId="6CDF08E3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点击编辑按钮进入系统，上传技术标澄清函。</w:t>
      </w:r>
    </w:p>
    <w:p w14:paraId="7E489748">
      <w:pPr>
        <w:spacing w:line="360" w:lineRule="auto"/>
        <w:rPr>
          <w:rFonts w:ascii="Arial" w:hAnsi="Arial" w:eastAsia="Arial" w:cs="Arial"/>
          <w:color w:val="000000"/>
          <w:sz w:val="28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开标之后所有投标的供应商都可编辑提交，技术标入围之后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 xml:space="preserve"> </w:t>
      </w:r>
      <w:r>
        <w:rPr>
          <w:rFonts w:ascii="宋体" w:hAnsi="宋体" w:eastAsia="宋体" w:cs="宋体"/>
          <w:color w:val="000000"/>
          <w:sz w:val="24"/>
          <w:szCs w:val="24"/>
        </w:rPr>
        <w:t>都不可编辑</w:t>
      </w:r>
      <w:r>
        <w:rPr>
          <w:rFonts w:ascii="Arial" w:hAnsi="Arial" w:eastAsia="Arial" w:cs="Arial"/>
          <w:color w:val="000000"/>
          <w:sz w:val="28"/>
        </w:rPr>
        <w:drawing>
          <wp:inline distT="0" distB="0" distL="0" distR="0">
            <wp:extent cx="5490210" cy="1992630"/>
            <wp:effectExtent l="0" t="0" r="15240" b="7620"/>
            <wp:docPr id="28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" descr="descript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19927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95D328"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4.供应商报价</w:t>
      </w:r>
    </w:p>
    <w:p w14:paraId="601B6065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供应商报价</w:t>
      </w:r>
    </w:p>
    <w:p w14:paraId="07FE31F6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点击报价按钮进入报价详情界面，请在此轮报价起止时间内报价，否则无法报价。</w:t>
      </w:r>
    </w:p>
    <w:p w14:paraId="26CDA441"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5.供应商澄清报价</w:t>
      </w:r>
    </w:p>
    <w:p w14:paraId="5184F375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供应商澄清报价</w:t>
      </w:r>
    </w:p>
    <w:p w14:paraId="1A70D6FA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招标发起人接收建议价的同时会给供应商发送澄清报价，供应商在此界面进行澄清报价，点击编辑按钮进入澄清报价详细界面，输入价格并上传澄清函，之后点击提交。</w:t>
      </w:r>
    </w:p>
    <w:p w14:paraId="2B9217D6">
      <w:pPr>
        <w:pStyle w:val="4"/>
        <w:ind w:left="425" w:hanging="425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  <w:drawing>
          <wp:inline distT="0" distB="0" distL="0" distR="0">
            <wp:extent cx="5490210" cy="2544445"/>
            <wp:effectExtent l="0" t="0" r="15240" b="8255"/>
            <wp:docPr id="29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" descr="descript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5446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1A92DA"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6.供应商查看中标通知</w:t>
      </w:r>
    </w:p>
    <w:p w14:paraId="15E32A78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中标项目</w:t>
      </w:r>
    </w:p>
    <w:p w14:paraId="743A6243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点击查看进入查看中标项目详情</w:t>
      </w:r>
    </w:p>
    <w:p w14:paraId="50477FAC">
      <w:pPr>
        <w:rPr>
          <w:rFonts w:hint="eastAsia"/>
        </w:rPr>
      </w:pPr>
      <w:r>
        <w:drawing>
          <wp:inline distT="0" distB="0" distL="0" distR="0">
            <wp:extent cx="5760085" cy="1956435"/>
            <wp:effectExtent l="0" t="0" r="12065" b="5715"/>
            <wp:docPr id="30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picture" descr="descript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195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D1A8AD">
      <w:pPr>
        <w:pStyle w:val="2"/>
        <w:rPr>
          <w:rFonts w:hint="eastAsia" w:hAnsi="宋体" w:eastAsia="宋体" w:cs="Times New Roman"/>
          <w:b/>
          <w:color w:val="000000"/>
          <w:sz w:val="24"/>
          <w:szCs w:val="24"/>
        </w:rPr>
      </w:pPr>
    </w:p>
    <w:p w14:paraId="794FEC33">
      <w:pPr>
        <w:pStyle w:val="2"/>
        <w:rPr>
          <w:rFonts w:hint="eastAsia" w:hAnsi="宋体" w:eastAsia="宋体" w:cs="Times New Roman"/>
          <w:b/>
          <w:color w:val="000000"/>
          <w:sz w:val="24"/>
          <w:szCs w:val="24"/>
        </w:rPr>
      </w:pPr>
    </w:p>
    <w:p w14:paraId="1AE30A85">
      <w:pPr>
        <w:pStyle w:val="2"/>
        <w:rPr>
          <w:rFonts w:hint="eastAsia" w:hAnsi="宋体" w:eastAsia="宋体" w:cs="Times New Roman"/>
          <w:b/>
          <w:color w:val="000000"/>
          <w:sz w:val="24"/>
          <w:szCs w:val="24"/>
        </w:rPr>
      </w:pPr>
    </w:p>
    <w:p w14:paraId="7FF559AA">
      <w:pPr>
        <w:jc w:val="both"/>
      </w:pPr>
    </w:p>
    <w:p w14:paraId="49EACD98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 w14:paraId="78AEE526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31326D9"/>
    <w:multiLevelType w:val="multilevel"/>
    <w:tmpl w:val="331326D9"/>
    <w:lvl w:ilvl="0" w:tentative="0">
      <w:start w:val="1"/>
      <w:numFmt w:val="decimal"/>
      <w:pStyle w:val="20"/>
      <w:lvlText w:val="(%1)"/>
      <w:lvlJc w:val="left"/>
      <w:pPr>
        <w:ind w:left="420" w:hanging="420"/>
      </w:pPr>
      <w:rPr>
        <w:rFonts w:hint="eastAsia"/>
        <w:b w:val="0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4F9A0CC3"/>
    <w:multiLevelType w:val="multilevel"/>
    <w:tmpl w:val="4F9A0CC3"/>
    <w:lvl w:ilvl="0" w:tentative="0">
      <w:start w:val="1"/>
      <w:numFmt w:val="lowerLetter"/>
      <w:lvlText w:val="%1)"/>
      <w:lvlJc w:val="left"/>
      <w:pPr>
        <w:ind w:left="987" w:hanging="420"/>
      </w:pPr>
    </w:lvl>
    <w:lvl w:ilvl="1" w:tentative="0">
      <w:start w:val="1"/>
      <w:numFmt w:val="lowerLetter"/>
      <w:lvlText w:val="%2)"/>
      <w:lvlJc w:val="left"/>
      <w:pPr>
        <w:ind w:left="1407" w:hanging="420"/>
      </w:pPr>
    </w:lvl>
    <w:lvl w:ilvl="2" w:tentative="0">
      <w:start w:val="1"/>
      <w:numFmt w:val="lowerRoman"/>
      <w:lvlText w:val="%3."/>
      <w:lvlJc w:val="right"/>
      <w:pPr>
        <w:ind w:left="1827" w:hanging="420"/>
      </w:pPr>
    </w:lvl>
    <w:lvl w:ilvl="3" w:tentative="0">
      <w:start w:val="1"/>
      <w:numFmt w:val="decimal"/>
      <w:lvlText w:val="%4."/>
      <w:lvlJc w:val="left"/>
      <w:pPr>
        <w:ind w:left="2247" w:hanging="420"/>
      </w:pPr>
    </w:lvl>
    <w:lvl w:ilvl="4" w:tentative="0">
      <w:start w:val="1"/>
      <w:numFmt w:val="lowerLetter"/>
      <w:lvlText w:val="%5)"/>
      <w:lvlJc w:val="left"/>
      <w:pPr>
        <w:ind w:left="2667" w:hanging="420"/>
      </w:pPr>
    </w:lvl>
    <w:lvl w:ilvl="5" w:tentative="0">
      <w:start w:val="1"/>
      <w:numFmt w:val="lowerRoman"/>
      <w:lvlText w:val="%6."/>
      <w:lvlJc w:val="right"/>
      <w:pPr>
        <w:ind w:left="3087" w:hanging="420"/>
      </w:pPr>
    </w:lvl>
    <w:lvl w:ilvl="6" w:tentative="0">
      <w:start w:val="1"/>
      <w:numFmt w:val="decimal"/>
      <w:lvlText w:val="%7."/>
      <w:lvlJc w:val="left"/>
      <w:pPr>
        <w:ind w:left="3507" w:hanging="420"/>
      </w:pPr>
    </w:lvl>
    <w:lvl w:ilvl="7" w:tentative="0">
      <w:start w:val="1"/>
      <w:numFmt w:val="lowerLetter"/>
      <w:lvlText w:val="%8)"/>
      <w:lvlJc w:val="left"/>
      <w:pPr>
        <w:ind w:left="3927" w:hanging="420"/>
      </w:pPr>
    </w:lvl>
    <w:lvl w:ilvl="8" w:tentative="0">
      <w:start w:val="1"/>
      <w:numFmt w:val="lowerRoman"/>
      <w:lvlText w:val="%9."/>
      <w:lvlJc w:val="right"/>
      <w:pPr>
        <w:ind w:left="4347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5329F7"/>
    <w:rsid w:val="04664AD9"/>
    <w:rsid w:val="07BE668A"/>
    <w:rsid w:val="08444A26"/>
    <w:rsid w:val="08F2644D"/>
    <w:rsid w:val="0A2F22F3"/>
    <w:rsid w:val="10E04285"/>
    <w:rsid w:val="17536547"/>
    <w:rsid w:val="181F4995"/>
    <w:rsid w:val="19E07AC3"/>
    <w:rsid w:val="1FC152B1"/>
    <w:rsid w:val="20323461"/>
    <w:rsid w:val="24CF6DDE"/>
    <w:rsid w:val="268853A2"/>
    <w:rsid w:val="26F45FD9"/>
    <w:rsid w:val="26F959FE"/>
    <w:rsid w:val="26FC6505"/>
    <w:rsid w:val="2A2E12DB"/>
    <w:rsid w:val="307A6AFD"/>
    <w:rsid w:val="33700F55"/>
    <w:rsid w:val="36B67FED"/>
    <w:rsid w:val="37B05FEC"/>
    <w:rsid w:val="37CB5D52"/>
    <w:rsid w:val="38E10073"/>
    <w:rsid w:val="3A71153D"/>
    <w:rsid w:val="3C995A70"/>
    <w:rsid w:val="3E4D6A01"/>
    <w:rsid w:val="441B0883"/>
    <w:rsid w:val="44907102"/>
    <w:rsid w:val="449A7319"/>
    <w:rsid w:val="48D62BF1"/>
    <w:rsid w:val="48EF075C"/>
    <w:rsid w:val="4A506CF6"/>
    <w:rsid w:val="4B1A6945"/>
    <w:rsid w:val="4BFC3364"/>
    <w:rsid w:val="4F1F5B27"/>
    <w:rsid w:val="4FE84FBE"/>
    <w:rsid w:val="50724AF7"/>
    <w:rsid w:val="527823C1"/>
    <w:rsid w:val="541301CA"/>
    <w:rsid w:val="54480F86"/>
    <w:rsid w:val="55463D19"/>
    <w:rsid w:val="55F80399"/>
    <w:rsid w:val="56D26C7F"/>
    <w:rsid w:val="5AB87F28"/>
    <w:rsid w:val="5BDF700D"/>
    <w:rsid w:val="5CC333F7"/>
    <w:rsid w:val="5E9E38C2"/>
    <w:rsid w:val="65071D4D"/>
    <w:rsid w:val="65B47211"/>
    <w:rsid w:val="665F7066"/>
    <w:rsid w:val="6AB10735"/>
    <w:rsid w:val="6BC40063"/>
    <w:rsid w:val="6C9F4AA4"/>
    <w:rsid w:val="6D9602FC"/>
    <w:rsid w:val="6DBE59DF"/>
    <w:rsid w:val="6EFC5CDF"/>
    <w:rsid w:val="6FAF361C"/>
    <w:rsid w:val="728E17FF"/>
    <w:rsid w:val="72C608C2"/>
    <w:rsid w:val="749D5D6D"/>
    <w:rsid w:val="7C590591"/>
    <w:rsid w:val="7CBD4A32"/>
    <w:rsid w:val="7DA44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qFormat/>
    <w:uiPriority w:val="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4"/>
    <w:basedOn w:val="1"/>
    <w:next w:val="1"/>
    <w:semiHidden/>
    <w:unhideWhenUsed/>
    <w:qFormat/>
    <w:uiPriority w:val="0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/>
      <w:szCs w:val="20"/>
    </w:rPr>
  </w:style>
  <w:style w:type="paragraph" w:styleId="5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FollowedHyperlink"/>
    <w:basedOn w:val="8"/>
    <w:qFormat/>
    <w:uiPriority w:val="0"/>
    <w:rPr>
      <w:color w:val="800080"/>
      <w:u w:val="none"/>
    </w:rPr>
  </w:style>
  <w:style w:type="character" w:styleId="11">
    <w:name w:val="HTML Definition"/>
    <w:basedOn w:val="8"/>
    <w:qFormat/>
    <w:uiPriority w:val="0"/>
  </w:style>
  <w:style w:type="character" w:styleId="12">
    <w:name w:val="HTML Typewriter"/>
    <w:basedOn w:val="8"/>
    <w:qFormat/>
    <w:uiPriority w:val="0"/>
    <w:rPr>
      <w:rFonts w:hint="default" w:ascii="monospace" w:hAnsi="monospace" w:eastAsia="monospace" w:cs="monospace"/>
      <w:sz w:val="20"/>
    </w:rPr>
  </w:style>
  <w:style w:type="character" w:styleId="13">
    <w:name w:val="HTML Acronym"/>
    <w:basedOn w:val="8"/>
    <w:qFormat/>
    <w:uiPriority w:val="0"/>
  </w:style>
  <w:style w:type="character" w:styleId="14">
    <w:name w:val="HTML Variable"/>
    <w:basedOn w:val="8"/>
    <w:qFormat/>
    <w:uiPriority w:val="0"/>
  </w:style>
  <w:style w:type="character" w:styleId="15">
    <w:name w:val="Hyperlink"/>
    <w:basedOn w:val="8"/>
    <w:qFormat/>
    <w:uiPriority w:val="0"/>
    <w:rPr>
      <w:color w:val="0000FF"/>
      <w:u w:val="none"/>
    </w:rPr>
  </w:style>
  <w:style w:type="character" w:styleId="16">
    <w:name w:val="HTML Code"/>
    <w:basedOn w:val="8"/>
    <w:qFormat/>
    <w:uiPriority w:val="0"/>
    <w:rPr>
      <w:rFonts w:hint="default" w:ascii="monospace" w:hAnsi="monospace" w:eastAsia="monospace" w:cs="monospace"/>
      <w:sz w:val="20"/>
    </w:rPr>
  </w:style>
  <w:style w:type="character" w:styleId="17">
    <w:name w:val="HTML Cite"/>
    <w:basedOn w:val="8"/>
    <w:qFormat/>
    <w:uiPriority w:val="0"/>
  </w:style>
  <w:style w:type="character" w:styleId="18">
    <w:name w:val="HTML Keyboard"/>
    <w:basedOn w:val="8"/>
    <w:qFormat/>
    <w:uiPriority w:val="0"/>
    <w:rPr>
      <w:rFonts w:ascii="monospace" w:hAnsi="monospace" w:eastAsia="monospace" w:cs="monospace"/>
      <w:sz w:val="20"/>
    </w:rPr>
  </w:style>
  <w:style w:type="character" w:styleId="19">
    <w:name w:val="HTML Sample"/>
    <w:basedOn w:val="8"/>
    <w:qFormat/>
    <w:uiPriority w:val="0"/>
    <w:rPr>
      <w:rFonts w:hint="default" w:ascii="monospace" w:hAnsi="monospace" w:eastAsia="monospace" w:cs="monospace"/>
    </w:rPr>
  </w:style>
  <w:style w:type="paragraph" w:styleId="20">
    <w:name w:val="List Paragraph"/>
    <w:basedOn w:val="1"/>
    <w:qFormat/>
    <w:uiPriority w:val="34"/>
    <w:pPr>
      <w:numPr>
        <w:ilvl w:val="0"/>
        <w:numId w:val="1"/>
      </w:numPr>
      <w:tabs>
        <w:tab w:val="left" w:pos="1050"/>
        <w:tab w:val="left" w:pos="1470"/>
      </w:tabs>
      <w:adjustRightInd w:val="0"/>
      <w:snapToGrid w:val="0"/>
      <w:spacing w:line="360" w:lineRule="auto"/>
      <w:jc w:val="left"/>
    </w:pPr>
  </w:style>
  <w:style w:type="paragraph" w:customStyle="1" w:styleId="21">
    <w:name w:val="标书正文格式"/>
    <w:basedOn w:val="2"/>
    <w:link w:val="23"/>
    <w:qFormat/>
    <w:uiPriority w:val="0"/>
    <w:pPr>
      <w:spacing w:line="360" w:lineRule="auto"/>
      <w:ind w:firstLine="200" w:firstLineChars="200"/>
    </w:pPr>
    <w:rPr>
      <w:rFonts w:hAnsi="宋体" w:eastAsiaTheme="minorEastAsia"/>
      <w:color w:val="000000"/>
      <w:sz w:val="24"/>
      <w:szCs w:val="24"/>
    </w:rPr>
  </w:style>
  <w:style w:type="paragraph" w:customStyle="1" w:styleId="22">
    <w:name w:val="标书正文"/>
    <w:basedOn w:val="2"/>
    <w:qFormat/>
    <w:uiPriority w:val="9"/>
    <w:pPr>
      <w:spacing w:line="360" w:lineRule="auto"/>
      <w:jc w:val="left"/>
    </w:pPr>
  </w:style>
  <w:style w:type="character" w:customStyle="1" w:styleId="23">
    <w:name w:val="标书正文格式 字符"/>
    <w:link w:val="21"/>
    <w:qFormat/>
    <w:uiPriority w:val="0"/>
    <w:rPr>
      <w:rFonts w:hAnsi="宋体" w:eastAsiaTheme="minorEastAsia"/>
      <w:color w:val="00000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numbering" Target="numbering.xml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2287</Words>
  <Characters>2520</Characters>
  <Lines>0</Lines>
  <Paragraphs>0</Paragraphs>
  <TotalTime>2</TotalTime>
  <ScaleCrop>false</ScaleCrop>
  <LinksUpToDate>false</LinksUpToDate>
  <CharactersWithSpaces>2628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2025-12-25T08:41:00Z</dcterms:created>
  <dc:creator>Administrator</dc:creator>
  <cp:lastModifiedBy>王瑄</cp:lastModifiedBy>
  <dcterms:modified xsi:type="dcterms:W3CDTF">2026-03-10T08:31:38Z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eyJoZGlkIjoiZWQxZjNmOWI4MjYxMjE3YWYxMWY4NzIzOWZkNTY1ZGEiLCJ1c2VySWQiOiIxNzY1MTE0NzEzIn0=</vt:lpwstr>
  </property>
  <property fmtid="{D5CDD505-2E9C-101B-9397-08002B2CF9AE}" pid="4" name="ICV">
    <vt:lpwstr>CCB0D6699F154DDB823901ED55FC39FE</vt:lpwstr>
  </property>
</Properties>
</file>