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93008">
      <w:pPr>
        <w:spacing w:line="360" w:lineRule="auto"/>
        <w:ind w:left="2079" w:leftChars="228" w:hanging="1600" w:hangingChars="500"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工程人员租赁项目项目招标公告</w:t>
      </w:r>
      <w:bookmarkEnd w:id="0"/>
    </w:p>
    <w:p w14:paraId="69B47D4D">
      <w:pPr>
        <w:pStyle w:val="3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招标编号：（ZBGL2026030061）</w:t>
      </w:r>
      <w:bookmarkEnd w:id="1"/>
    </w:p>
    <w:p w14:paraId="525C2481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19AEADC9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7CFF60F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0A8F58BD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49B1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2026-03-10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5EF8668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84CE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2026-03-18</w:t>
            </w:r>
          </w:p>
        </w:tc>
      </w:tr>
    </w:tbl>
    <w:p w14:paraId="612212AE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2400F10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38EF78B5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对历史AC数模进行规范化整顿修改，是PLM项目顺利开展以及实现整车DMU的基础。鉴于历史数模数量庞大，且研发部门设计任务繁多、工作量巨大，为确保PLM项目能够顺利落地，需尽快完成数模整改工作。通过与专业设计公司签订三维数模设计人员租赁服务框架协议（协议有效期为一年），约定人员租赁工时单价，后期根据工作开展情况进行人员租赁，以解决用人需求，从而保证三维数模设计任务能够按时、高质量完成。</w:t>
      </w:r>
    </w:p>
    <w:p w14:paraId="0283DF34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54CE4138">
      <w:pPr>
        <w:spacing w:line="360" w:lineRule="auto"/>
        <w:ind w:left="1679" w:leftChars="228" w:hanging="1200" w:hangingChars="5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工程人员租赁项目</w:t>
      </w:r>
    </w:p>
    <w:p w14:paraId="389539D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项目类别：非固定资产服务</w:t>
      </w:r>
    </w:p>
    <w:p w14:paraId="02D753CC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0077A5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对历史AC数模进行规范化整顿修改，是PLM项目顺利开展以及实现整车DMU的基础。鉴于历史数模数量庞大，且研发部门设计任务繁多、工作量巨大，为确保PLM项目能够顺利落地，需尽快完成数模整改工作。通过与专业设计公司签订三维数模设计人员租赁服务框架协议（协议有效期为一年），约定人员租赁工时单价，后期根据工作开展情况进行人员租赁，以解决用人需求，从而保证三维数模设计任务能够按时、高质量完成。</w:t>
      </w:r>
    </w:p>
    <w:p w14:paraId="732C730E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56DD3697">
      <w:pPr>
        <w:pStyle w:val="2"/>
        <w:spacing w:line="360" w:lineRule="auto"/>
        <w:ind w:firstLine="235" w:firstLineChars="98"/>
        <w:rPr>
          <w:rFonts w:hAnsi="宋体"/>
          <w:b/>
          <w:sz w:val="24"/>
          <w:szCs w:val="24"/>
        </w:rPr>
      </w:pPr>
      <w:r>
        <w:rPr>
          <w:rFonts w:hint="eastAsia" w:hAnsi="宋体"/>
          <w:sz w:val="24"/>
          <w:szCs w:val="24"/>
        </w:rPr>
        <w:t>（1）拟标投人必须是在中华人民共和国境内注册的独立法人机构，具有独立承担民事责任能力，注册资金不少于</w:t>
      </w:r>
      <w:r>
        <w:rPr>
          <w:rFonts w:hint="eastAsia" w:hAnsi="宋体"/>
          <w:i/>
          <w:sz w:val="24"/>
          <w:szCs w:val="24"/>
          <w:lang w:val="en-US" w:eastAsia="zh-CN"/>
        </w:rPr>
        <w:t>10</w:t>
      </w:r>
      <w:r>
        <w:rPr>
          <w:rFonts w:hint="eastAsia" w:hAnsi="宋体"/>
          <w:i/>
          <w:sz w:val="24"/>
          <w:szCs w:val="24"/>
        </w:rPr>
        <w:t>00万</w:t>
      </w:r>
      <w:r>
        <w:rPr>
          <w:rFonts w:hint="eastAsia" w:hAnsi="宋体"/>
          <w:sz w:val="24"/>
          <w:szCs w:val="24"/>
        </w:rPr>
        <w:t>人民币；公司成立三年以上（以营业执照成立日期到开标当日满三年为准）；且经营范围满足</w:t>
      </w:r>
      <w:r>
        <w:rPr>
          <w:rFonts w:hint="eastAsia" w:hAnsi="宋体"/>
          <w:sz w:val="24"/>
          <w:szCs w:val="24"/>
          <w:lang w:val="en-US" w:eastAsia="zh-CN"/>
        </w:rPr>
        <w:t>招标人需求</w:t>
      </w:r>
      <w:r>
        <w:rPr>
          <w:rFonts w:hint="eastAsia" w:hAnsi="宋体"/>
          <w:sz w:val="24"/>
          <w:szCs w:val="24"/>
        </w:rPr>
        <w:t>；并在人员、管理</w:t>
      </w:r>
      <w:r>
        <w:rPr>
          <w:rFonts w:hAnsi="宋体"/>
          <w:sz w:val="24"/>
          <w:szCs w:val="24"/>
        </w:rPr>
        <w:t>、资金等方面具有承担本</w:t>
      </w:r>
      <w:r>
        <w:rPr>
          <w:rFonts w:hint="eastAsia" w:hAnsi="宋体"/>
          <w:sz w:val="24"/>
          <w:szCs w:val="24"/>
        </w:rPr>
        <w:t>项目</w:t>
      </w:r>
      <w:r>
        <w:rPr>
          <w:rFonts w:hAnsi="宋体"/>
          <w:sz w:val="24"/>
          <w:szCs w:val="24"/>
        </w:rPr>
        <w:t>的能力</w:t>
      </w:r>
      <w:r>
        <w:rPr>
          <w:rFonts w:hint="eastAsia" w:hAnsi="宋体"/>
          <w:sz w:val="24"/>
          <w:szCs w:val="24"/>
        </w:rPr>
        <w:t>。</w:t>
      </w:r>
    </w:p>
    <w:p w14:paraId="3E743F2F"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2</w:t>
      </w:r>
      <w:r>
        <w:rPr>
          <w:rFonts w:hint="eastAsia" w:hAnsi="宋体"/>
          <w:sz w:val="24"/>
          <w:szCs w:val="24"/>
        </w:rPr>
        <w:t>）拟投标人应提供三证合一的营业执照副本原件和复印件（需盖章）。</w:t>
      </w:r>
    </w:p>
    <w:p w14:paraId="08CFB361"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3</w:t>
      </w:r>
      <w:r>
        <w:rPr>
          <w:rFonts w:hint="eastAsia" w:hAnsi="宋体"/>
          <w:sz w:val="24"/>
          <w:szCs w:val="24"/>
        </w:rPr>
        <w:t>）拟投标人应提供法定代表人资格证明文件。</w:t>
      </w:r>
    </w:p>
    <w:p w14:paraId="64348966"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4</w:t>
      </w:r>
      <w:r>
        <w:rPr>
          <w:rFonts w:hint="eastAsia" w:hAnsi="宋体"/>
          <w:sz w:val="24"/>
          <w:szCs w:val="24"/>
        </w:rPr>
        <w:t>）</w:t>
      </w:r>
      <w:r>
        <w:rPr>
          <w:rStyle w:val="23"/>
          <w:rFonts w:hint="eastAsia"/>
          <w:color w:val="auto"/>
        </w:rPr>
        <w:t>拟投标人在国家市场监督管理总局的《国家企业信用信息公示系统》</w:t>
      </w:r>
      <w:r>
        <w:rPr>
          <w:rFonts w:hint="eastAsia" w:ascii="仿宋" w:hAnsi="仿宋" w:cs="仿宋"/>
        </w:rPr>
        <w:t>（https://www.creditchina.gov.cn/）</w:t>
      </w:r>
      <w:r>
        <w:rPr>
          <w:rStyle w:val="23"/>
          <w:rFonts w:hint="eastAsia"/>
          <w:color w:val="auto"/>
        </w:rPr>
        <w:t>中查询不存在不良记录；或同等效力的法律文件</w:t>
      </w:r>
      <w:r>
        <w:rPr>
          <w:rFonts w:hint="eastAsia" w:hAnsi="宋体"/>
          <w:sz w:val="24"/>
          <w:szCs w:val="24"/>
        </w:rPr>
        <w:t>。</w:t>
      </w:r>
    </w:p>
    <w:p w14:paraId="7054A7CA"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5</w:t>
      </w:r>
      <w:r>
        <w:rPr>
          <w:rFonts w:hint="eastAsia" w:hAnsi="宋体"/>
          <w:sz w:val="24"/>
          <w:szCs w:val="24"/>
        </w:rPr>
        <w:t>）拟投标人不存在严重违规或被列入招标人“黑名单”的声明。</w:t>
      </w:r>
    </w:p>
    <w:p w14:paraId="1B7AA434">
      <w:pPr>
        <w:pStyle w:val="21"/>
        <w:ind w:firstLine="240" w:firstLineChars="100"/>
        <w:jc w:val="left"/>
        <w:rPr>
          <w:rStyle w:val="23"/>
          <w:color w:val="auto"/>
        </w:rPr>
      </w:pPr>
      <w:r>
        <w:rPr>
          <w:rFonts w:hint="eastAsia"/>
          <w:color w:val="auto"/>
        </w:rPr>
        <w:t>（</w:t>
      </w:r>
      <w:r>
        <w:rPr>
          <w:color w:val="auto"/>
        </w:rPr>
        <w:t>6</w:t>
      </w:r>
      <w:r>
        <w:rPr>
          <w:rFonts w:hint="eastAsia"/>
          <w:color w:val="auto"/>
        </w:rPr>
        <w:t>）</w:t>
      </w:r>
      <w:r>
        <w:rPr>
          <w:rStyle w:val="23"/>
          <w:rFonts w:hint="eastAsia"/>
          <w:color w:val="auto"/>
        </w:rPr>
        <w:t>拟投标人经审计的近三年的公司财务报表（资产负债表、损益表、现金流量表）未显示异常。若没有财务审计报告，需提供资产负债表、利润表、现金流量表（加盖公章版）无明显异常。</w:t>
      </w:r>
    </w:p>
    <w:p w14:paraId="26CA680B">
      <w:pPr>
        <w:pStyle w:val="2"/>
        <w:spacing w:line="360" w:lineRule="auto"/>
        <w:ind w:firstLine="235" w:firstLineChars="98"/>
        <w:jc w:val="left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7</w:t>
      </w:r>
      <w:r>
        <w:rPr>
          <w:rFonts w:hint="eastAsia" w:hAnsi="宋体"/>
          <w:sz w:val="24"/>
          <w:szCs w:val="24"/>
        </w:rPr>
        <w:t>）近3年内无因服务不当而造成重大事故。三年内无与本项目有关的违法及重大违规情况。</w:t>
      </w:r>
    </w:p>
    <w:p w14:paraId="0CC01A7C"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8</w:t>
      </w:r>
      <w:r>
        <w:rPr>
          <w:rFonts w:hint="eastAsia" w:hAnsi="宋体"/>
          <w:sz w:val="24"/>
          <w:szCs w:val="24"/>
        </w:rPr>
        <w:t>）</w:t>
      </w:r>
      <w:r>
        <w:rPr>
          <w:rFonts w:hAnsi="宋体"/>
          <w:sz w:val="24"/>
          <w:szCs w:val="24"/>
        </w:rPr>
        <w:t>各投标人的法定代表人或负责人为同一人，以及存在控股、管理关系的不同投标人，不得参加同一包次的投标。</w:t>
      </w:r>
    </w:p>
    <w:p w14:paraId="336C9918"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9</w:t>
      </w:r>
      <w:r>
        <w:rPr>
          <w:rFonts w:hint="eastAsia" w:hAnsi="宋体"/>
          <w:sz w:val="24"/>
          <w:szCs w:val="24"/>
        </w:rPr>
        <w:t>）</w:t>
      </w:r>
      <w:r>
        <w:rPr>
          <w:rFonts w:hAnsi="宋体"/>
          <w:sz w:val="24"/>
          <w:szCs w:val="24"/>
        </w:rPr>
        <w:t>投标人须认可招标人的工作指令，包括节、假日能正常开展工作的要求</w:t>
      </w:r>
      <w:r>
        <w:rPr>
          <w:rFonts w:hint="eastAsia" w:hAnsi="宋体"/>
          <w:sz w:val="24"/>
          <w:szCs w:val="24"/>
        </w:rPr>
        <w:t>。</w:t>
      </w:r>
    </w:p>
    <w:p w14:paraId="4D189967"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</w:t>
      </w:r>
      <w:r>
        <w:rPr>
          <w:rFonts w:hAnsi="宋体"/>
          <w:sz w:val="24"/>
          <w:szCs w:val="24"/>
        </w:rPr>
        <w:t>0</w:t>
      </w:r>
      <w:r>
        <w:rPr>
          <w:rFonts w:hint="eastAsia" w:hAnsi="宋体"/>
          <w:sz w:val="24"/>
          <w:szCs w:val="24"/>
        </w:rPr>
        <w:t>）拟投标人有与本次招标项目同类的项目经验，有营运资质和丰富的用车经验；投标时需提供同类项目用户清单，同时需提供用户合同复印件或验收报告复印件即可。</w:t>
      </w:r>
    </w:p>
    <w:p w14:paraId="35C2731C"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（11）拟投标人的直接或间接股东、法定代表人、董事、监事、高管非重汽员工及其亲属。</w:t>
      </w:r>
    </w:p>
    <w:p w14:paraId="3970180C"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（12）投标人必须是最终投、签订合同单位，不得以任何理由将已中标项目以任何形式分包或转包给其他单位。</w:t>
      </w:r>
    </w:p>
    <w:p w14:paraId="5A65CBDB"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（13）本项目不接受联合体投标</w:t>
      </w:r>
      <w:r>
        <w:rPr>
          <w:rFonts w:hint="eastAsia" w:hAnsi="宋体"/>
          <w:sz w:val="24"/>
          <w:szCs w:val="24"/>
          <w:lang w:eastAsia="zh-CN"/>
        </w:rPr>
        <w:t>，</w:t>
      </w:r>
      <w:r>
        <w:rPr>
          <w:rFonts w:hint="eastAsia" w:hAnsi="宋体"/>
          <w:sz w:val="24"/>
          <w:szCs w:val="24"/>
          <w:lang w:val="en-US" w:eastAsia="zh-CN"/>
        </w:rPr>
        <w:t>不</w:t>
      </w:r>
      <w:r>
        <w:rPr>
          <w:rFonts w:hint="eastAsia" w:hAnsi="宋体"/>
          <w:sz w:val="24"/>
          <w:szCs w:val="24"/>
        </w:rPr>
        <w:t>接受代理商投标。</w:t>
      </w:r>
    </w:p>
    <w:p w14:paraId="1C8AE336"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* 注：</w:t>
      </w:r>
    </w:p>
    <w:p w14:paraId="35ACD117"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如果是授权委托人投标，</w:t>
      </w:r>
      <w:r>
        <w:rPr>
          <w:rFonts w:hint="eastAsia" w:ascii="宋体" w:hAnsi="宋体" w:cs="宋体"/>
          <w:sz w:val="24"/>
          <w:szCs w:val="24"/>
        </w:rPr>
        <w:t>要携带三证合一的营业执照副本原件和复印件、法人授权委托书、身份证原件参加开标会议，否则视为弃标；</w:t>
      </w:r>
    </w:p>
    <w:p w14:paraId="571E36D8"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如果是法人参加投标</w:t>
      </w:r>
      <w:r>
        <w:rPr>
          <w:rFonts w:hint="eastAsia" w:ascii="宋体" w:hAnsi="宋体" w:cs="宋体"/>
          <w:sz w:val="24"/>
          <w:szCs w:val="24"/>
        </w:rPr>
        <w:t>，要携带要携带三证合一的营业执照副本原件和复印件、法人代表证明原件、身份证原件参加开标会议，否则视为弃标；</w:t>
      </w:r>
    </w:p>
    <w:p w14:paraId="47D54CC4"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境外投标人可提供与上述文件相当的证明文件（如有）。</w:t>
      </w:r>
    </w:p>
    <w:p w14:paraId="0DCFA017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5F6069A1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0F043C3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 w14:paraId="52A9027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 w14:paraId="6E996CD6">
      <w:pPr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采购文件领取地点：山东省济南市历城区华奥路777号重汽科技大厦1307 </w:t>
      </w:r>
    </w:p>
    <w:p w14:paraId="7E8428C7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 w14:paraId="4C18FF2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 w14:paraId="0CCC99E1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135B47B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 w14:paraId="49F03F49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 w14:paraId="3C35521B">
      <w:p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暂定，具体时间地点另行通知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</w:p>
    <w:p w14:paraId="1B92B1F1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山东省济南市高新区华奥路777号重汽科技大厦三楼会议室 </w:t>
      </w:r>
    </w:p>
    <w:p w14:paraId="17836EE4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 w14:paraId="3BAB9AF5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 w14:paraId="0FAF3768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 w14:paraId="6F4FC9B2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206C3618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</w:t>
      </w:r>
      <w:r>
        <w:rPr>
          <w:rFonts w:ascii="宋体" w:hAnsi="宋体" w:eastAsia="宋体" w:cs="宋体"/>
          <w:sz w:val="24"/>
          <w:szCs w:val="24"/>
        </w:rPr>
        <w:t>中国重汽集团济南动力有限公司</w:t>
      </w:r>
    </w:p>
    <w:p w14:paraId="28CD573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山东省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济南市历城区华奥路777号重汽科技大厦</w:t>
      </w:r>
    </w:p>
    <w:p w14:paraId="5ADF14CB">
      <w:pPr>
        <w:pStyle w:val="21"/>
        <w:ind w:firstLine="480"/>
        <w:rPr>
          <w:rFonts w:hint="default" w:eastAsia="宋体" w:asciiTheme="majorEastAsia" w:hAnsi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联系人：</w:t>
      </w:r>
      <w:r>
        <w:rPr>
          <w:rFonts w:hint="eastAsia" w:eastAsia="宋体" w:cs="宋体"/>
          <w:lang w:val="en-US" w:eastAsia="zh-CN"/>
        </w:rPr>
        <w:t xml:space="preserve">任瑞  </w:t>
      </w:r>
      <w:r>
        <w:rPr>
          <w:rFonts w:hint="eastAsia" w:hAnsi="Courier New" w:eastAsia="宋体"/>
          <w:lang w:val="en-US" w:eastAsia="zh-CN"/>
        </w:rPr>
        <w:t>15866618620</w:t>
      </w:r>
    </w:p>
    <w:p w14:paraId="3ED9792C">
      <w:p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商务联系人：王瑄 17860605786</w:t>
      </w:r>
    </w:p>
    <w:p w14:paraId="172E0E1D">
      <w:pPr>
        <w:ind w:firstLine="1319" w:firstLineChars="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59824F65"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045F74A2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 w14:paraId="60890223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0AF0DA2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19A17E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E9CAD98">
      <w:pPr>
        <w:pStyle w:val="2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70B9AD35">
      <w:pPr>
        <w:pStyle w:val="2"/>
        <w:rPr>
          <w:rFonts w:eastAsia="宋体"/>
        </w:rPr>
      </w:pPr>
    </w:p>
    <w:p w14:paraId="17A1031A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6BE0569F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DCEFB9C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3FF17F70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3B82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56684D4C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38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59257A2B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DBD5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7BFDD5CE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8DEB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5111A0F6">
      <w:pPr>
        <w:pStyle w:val="2"/>
      </w:pPr>
    </w:p>
    <w:p w14:paraId="646795A1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E951">
      <w:pPr>
        <w:pStyle w:val="2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F687">
      <w:pPr>
        <w:pStyle w:val="2"/>
      </w:pPr>
    </w:p>
    <w:p w14:paraId="6C1146A3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1FCAE343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0B67B126">
      <w:pPr>
        <w:pStyle w:val="2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2.配套能力“供货类别”填“服务 / 技术合作开发”，业务主管部门选择“战略规划部”。</w:t>
      </w:r>
    </w:p>
    <w:p w14:paraId="2F7E55B5">
      <w:pPr>
        <w:pStyle w:val="2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  <w:bookmarkStart w:id="2" w:name="_GoBack"/>
      <w:bookmarkEnd w:id="2"/>
    </w:p>
    <w:p w14:paraId="7625DFE1">
      <w:pPr>
        <w:pStyle w:val="2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7E38690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5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5"/>
          <w:rFonts w:hint="eastAsia" w:ascii="宋体" w:hAnsi="宋体" w:eastAsia="宋体" w:cs="宋体"/>
          <w:sz w:val="24"/>
          <w:szCs w:val="24"/>
        </w:rPr>
        <w:fldChar w:fldCharType="end"/>
      </w:r>
    </w:p>
    <w:p w14:paraId="2D13958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3ABF17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5FC6171E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067843A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61FA9AEF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4BE43EFB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CB10">
      <w:pPr>
        <w:rPr>
          <w:rFonts w:hint="eastAsia"/>
        </w:rPr>
      </w:pPr>
    </w:p>
    <w:p w14:paraId="4577885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0FB0BC4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7F2CF968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7A94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5255F22B">
      <w:pPr>
        <w:pStyle w:val="2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6926B677"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113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7978451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6CDF08E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7E48974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D32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601B606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07FE31F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26CDA441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5184F37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A70D6F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2B9217D6"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92DA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5E32A7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743A624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50477FAC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A8AD"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794FEC33"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AE30A85"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7FF559AA">
      <w:pPr>
        <w:jc w:val="both"/>
      </w:pPr>
    </w:p>
    <w:p w14:paraId="49EACD9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78AEE526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1326D9"/>
    <w:multiLevelType w:val="multilevel"/>
    <w:tmpl w:val="331326D9"/>
    <w:lvl w:ilvl="0" w:tentative="0">
      <w:start w:val="1"/>
      <w:numFmt w:val="decimal"/>
      <w:pStyle w:val="20"/>
      <w:lvlText w:val="(%1)"/>
      <w:lvlJc w:val="left"/>
      <w:pPr>
        <w:ind w:left="420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9A0CC3"/>
    <w:multiLevelType w:val="multilevel"/>
    <w:tmpl w:val="4F9A0CC3"/>
    <w:lvl w:ilvl="0" w:tentative="0">
      <w:start w:val="1"/>
      <w:numFmt w:val="lowerLetter"/>
      <w:lvlText w:val="%1)"/>
      <w:lvlJc w:val="left"/>
      <w:pPr>
        <w:ind w:left="987" w:hanging="420"/>
      </w:p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329F7"/>
    <w:rsid w:val="04664AD9"/>
    <w:rsid w:val="07BE668A"/>
    <w:rsid w:val="08444A26"/>
    <w:rsid w:val="08F2644D"/>
    <w:rsid w:val="0A2F22F3"/>
    <w:rsid w:val="10E04285"/>
    <w:rsid w:val="17536547"/>
    <w:rsid w:val="181F4995"/>
    <w:rsid w:val="19E07AC3"/>
    <w:rsid w:val="1FC152B1"/>
    <w:rsid w:val="20323461"/>
    <w:rsid w:val="24CF6DDE"/>
    <w:rsid w:val="268853A2"/>
    <w:rsid w:val="26F45FD9"/>
    <w:rsid w:val="26F959FE"/>
    <w:rsid w:val="26FC6505"/>
    <w:rsid w:val="2A2E12DB"/>
    <w:rsid w:val="307A6AFD"/>
    <w:rsid w:val="33700F55"/>
    <w:rsid w:val="36B67FED"/>
    <w:rsid w:val="37B05FEC"/>
    <w:rsid w:val="37CB5D52"/>
    <w:rsid w:val="38E10073"/>
    <w:rsid w:val="3A71153D"/>
    <w:rsid w:val="3C995A70"/>
    <w:rsid w:val="3E4D6A01"/>
    <w:rsid w:val="441B0883"/>
    <w:rsid w:val="44907102"/>
    <w:rsid w:val="449A7319"/>
    <w:rsid w:val="48D62BF1"/>
    <w:rsid w:val="48EF075C"/>
    <w:rsid w:val="4A506CF6"/>
    <w:rsid w:val="4B1A6945"/>
    <w:rsid w:val="4BFC3364"/>
    <w:rsid w:val="4F1F5B27"/>
    <w:rsid w:val="4FE84FBE"/>
    <w:rsid w:val="50724AF7"/>
    <w:rsid w:val="527823C1"/>
    <w:rsid w:val="541301CA"/>
    <w:rsid w:val="54480F86"/>
    <w:rsid w:val="55463D19"/>
    <w:rsid w:val="55F80399"/>
    <w:rsid w:val="56D26C7F"/>
    <w:rsid w:val="5AB87F28"/>
    <w:rsid w:val="5BDF700D"/>
    <w:rsid w:val="5CC333F7"/>
    <w:rsid w:val="5E9E38C2"/>
    <w:rsid w:val="65071D4D"/>
    <w:rsid w:val="65B47211"/>
    <w:rsid w:val="665F7066"/>
    <w:rsid w:val="6AB10735"/>
    <w:rsid w:val="6BC40063"/>
    <w:rsid w:val="6C9F4AA4"/>
    <w:rsid w:val="6D9602FC"/>
    <w:rsid w:val="6DBE59DF"/>
    <w:rsid w:val="6EFC5CDF"/>
    <w:rsid w:val="6FAF361C"/>
    <w:rsid w:val="728E17FF"/>
    <w:rsid w:val="72C608C2"/>
    <w:rsid w:val="749D5D6D"/>
    <w:rsid w:val="7C590591"/>
    <w:rsid w:val="7CBD4A32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none"/>
    </w:rPr>
  </w:style>
  <w:style w:type="character" w:styleId="11">
    <w:name w:val="HTML Definition"/>
    <w:basedOn w:val="8"/>
    <w:qFormat/>
    <w:uiPriority w:val="0"/>
  </w:style>
  <w:style w:type="character" w:styleId="12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Acronym"/>
    <w:basedOn w:val="8"/>
    <w:qFormat/>
    <w:uiPriority w:val="0"/>
  </w:style>
  <w:style w:type="character" w:styleId="14">
    <w:name w:val="HTML Variable"/>
    <w:basedOn w:val="8"/>
    <w:qFormat/>
    <w:uiPriority w:val="0"/>
  </w:style>
  <w:style w:type="character" w:styleId="15">
    <w:name w:val="Hyperlink"/>
    <w:basedOn w:val="8"/>
    <w:qFormat/>
    <w:uiPriority w:val="0"/>
    <w:rPr>
      <w:color w:val="0000FF"/>
      <w:u w:val="none"/>
    </w:rPr>
  </w:style>
  <w:style w:type="character" w:styleId="16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Cite"/>
    <w:basedOn w:val="8"/>
    <w:qFormat/>
    <w:uiPriority w:val="0"/>
  </w:style>
  <w:style w:type="character" w:styleId="18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Sample"/>
    <w:basedOn w:val="8"/>
    <w:qFormat/>
    <w:uiPriority w:val="0"/>
    <w:rPr>
      <w:rFonts w:hint="default" w:ascii="monospace" w:hAnsi="monospace" w:eastAsia="monospace" w:cs="monospace"/>
    </w:rPr>
  </w:style>
  <w:style w:type="paragraph" w:styleId="20">
    <w:name w:val="List Paragraph"/>
    <w:basedOn w:val="1"/>
    <w:qFormat/>
    <w:uiPriority w:val="34"/>
    <w:pPr>
      <w:numPr>
        <w:ilvl w:val="0"/>
        <w:numId w:val="1"/>
      </w:numPr>
      <w:tabs>
        <w:tab w:val="left" w:pos="1050"/>
        <w:tab w:val="left" w:pos="1470"/>
      </w:tabs>
      <w:adjustRightInd w:val="0"/>
      <w:snapToGrid w:val="0"/>
      <w:spacing w:line="360" w:lineRule="auto"/>
      <w:jc w:val="left"/>
    </w:pPr>
  </w:style>
  <w:style w:type="paragraph" w:customStyle="1" w:styleId="21">
    <w:name w:val="标书正文格式"/>
    <w:basedOn w:val="2"/>
    <w:link w:val="23"/>
    <w:qFormat/>
    <w:uiPriority w:val="0"/>
    <w:pPr>
      <w:spacing w:line="360" w:lineRule="auto"/>
      <w:ind w:firstLine="200" w:firstLineChars="200"/>
    </w:pPr>
    <w:rPr>
      <w:rFonts w:hAnsi="宋体" w:eastAsiaTheme="minorEastAsia"/>
      <w:color w:val="000000"/>
      <w:sz w:val="24"/>
      <w:szCs w:val="24"/>
    </w:rPr>
  </w:style>
  <w:style w:type="paragraph" w:customStyle="1" w:styleId="22">
    <w:name w:val="标书正文"/>
    <w:basedOn w:val="2"/>
    <w:qFormat/>
    <w:uiPriority w:val="9"/>
    <w:pPr>
      <w:spacing w:line="360" w:lineRule="auto"/>
      <w:jc w:val="left"/>
    </w:pPr>
  </w:style>
  <w:style w:type="character" w:customStyle="1" w:styleId="23">
    <w:name w:val="标书正文格式 字符"/>
    <w:link w:val="21"/>
    <w:qFormat/>
    <w:uiPriority w:val="0"/>
    <w:rPr>
      <w:rFonts w:hAnsi="宋体" w:eastAsiaTheme="minorEastAsia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2287</Words>
  <Characters>2520</Characters>
  <Lines>0</Lines>
  <Paragraphs>0</Paragraphs>
  <TotalTime>2</TotalTime>
  <ScaleCrop>false</ScaleCrop>
  <LinksUpToDate>false</LinksUpToDate>
  <CharactersWithSpaces>2628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王瑄</cp:lastModifiedBy>
  <dcterms:modified xsi:type="dcterms:W3CDTF">2026-03-10T08:31:38Z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eyJoZGlkIjoiZWQxZjNmOWI4MjYxMjE3YWYxMWY4NzIzOWZkNTY1ZGEiLCJ1c2VySWQiOiIxNzY1MTE0NzEzIn0=</vt:lpwstr>
  </property>
  <property fmtid="{D5CDD505-2E9C-101B-9397-08002B2CF9AE}" pid="4" name="ICV">
    <vt:lpwstr>CCB0D6699F154DDB823901ED55FC39FE</vt:lpwstr>
  </property>
</Properties>
</file>