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Calibri" w:eastAsia="宋体" w:cs="Times New Roman"/>
          <w:color w:val="000000"/>
          <w:sz w:val="30"/>
          <w:szCs w:val="30"/>
        </w:rPr>
      </w:pPr>
    </w:p>
    <w:p>
      <w:pPr>
        <w:spacing w:line="276" w:lineRule="auto"/>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spacing w:val="-8"/>
          <w:sz w:val="48"/>
          <w:szCs w:val="44"/>
        </w:rPr>
        <w:t>动力总成质量质心、转动惯量一体化测量试验台</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招标项目</w:t>
      </w:r>
      <w:r>
        <w:rPr>
          <w:rFonts w:ascii="Calibri" w:hAnsi="Calibri" w:eastAsia="宋体" w:cs="Times New Roman"/>
          <w:b/>
          <w:bCs/>
          <w:color w:val="000000"/>
          <w:spacing w:val="-8"/>
          <w:sz w:val="48"/>
          <w:szCs w:val="44"/>
        </w:rPr>
        <w:t xml:space="preserve"> </w:t>
      </w:r>
      <w:r>
        <w:rPr>
          <w:rFonts w:hint="eastAsia" w:ascii="Calibri" w:hAnsi="宋体" w:eastAsia="宋体" w:cs="Times New Roman"/>
          <w:b/>
          <w:bCs/>
          <w:color w:val="000000"/>
          <w:spacing w:val="-8"/>
          <w:sz w:val="48"/>
          <w:szCs w:val="44"/>
        </w:rPr>
        <w:t xml:space="preserve"> </w:t>
      </w:r>
      <w:r>
        <w:rPr>
          <w:rFonts w:ascii="Calibri" w:hAnsi="Calibri" w:eastAsia="宋体" w:cs="Times New Roman"/>
          <w:b/>
          <w:bCs/>
          <w:color w:val="000000"/>
          <w:spacing w:val="-8"/>
          <w:sz w:val="48"/>
          <w:szCs w:val="44"/>
        </w:rPr>
        <w:t xml:space="preserve"> </w:t>
      </w:r>
    </w:p>
    <w:p>
      <w:pPr>
        <w:jc w:val="right"/>
        <w:rPr>
          <w:rFonts w:ascii="Calibri" w:hAnsi="Calibri" w:eastAsia="宋体" w:cs="Times New Roman"/>
          <w:color w:val="000000"/>
          <w:sz w:val="28"/>
          <w:szCs w:val="28"/>
        </w:rPr>
      </w:pPr>
    </w:p>
    <w:p>
      <w:pPr>
        <w:wordWrap w:val="0"/>
        <w:jc w:val="right"/>
        <w:rPr>
          <w:rFonts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pPr>
        <w:wordWrap w:val="0"/>
        <w:rPr>
          <w:rFonts w:ascii="Calibri" w:hAnsi="Calibri" w:eastAsia="宋体" w:cs="Times New Roman"/>
          <w:color w:val="000000"/>
          <w:sz w:val="28"/>
          <w:szCs w:val="28"/>
        </w:rPr>
      </w:pPr>
      <w:r>
        <w:rPr>
          <w:rFonts w:ascii="Calibri" w:hAnsi="Calibri" w:eastAsia="宋体" w:cs="Times New Roman"/>
          <w:color w:val="000000"/>
          <w:sz w:val="28"/>
          <w:szCs w:val="28"/>
        </w:rPr>
        <w:t xml:space="preserve">       </w:t>
      </w:r>
    </w:p>
    <w:p>
      <w:pPr>
        <w:jc w:val="right"/>
        <w:rPr>
          <w:rFonts w:ascii="Calibri" w:hAnsi="Calibri" w:eastAsia="宋体" w:cs="Times New Roman"/>
          <w:color w:val="000000"/>
          <w:sz w:val="28"/>
          <w:szCs w:val="28"/>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ascii="华文仿宋" w:hAnsi="华文仿宋" w:eastAsia="华文仿宋"/>
          <w:sz w:val="32"/>
          <w:szCs w:val="28"/>
        </w:rPr>
      </w:pPr>
      <w:r>
        <w:rPr>
          <w:rFonts w:hint="eastAsia" w:ascii="华文仿宋" w:hAnsi="华文仿宋" w:eastAsia="华文仿宋"/>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pPr>
        <w:pStyle w:val="8"/>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人：中国重汽集团济南动力有限公司汽车研究总院</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rPr>
        <w:t>11月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11"/>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投标须知前附表</w:t>
          </w:r>
          <w:r>
            <w:rPr>
              <w:color w:val="auto"/>
              <w:sz w:val="32"/>
              <w:szCs w:val="32"/>
            </w:rPr>
            <w:tab/>
          </w:r>
          <w:r>
            <w:rPr>
              <w:color w:val="auto"/>
              <w:sz w:val="32"/>
              <w:szCs w:val="32"/>
            </w:rPr>
            <w:fldChar w:fldCharType="end"/>
          </w:r>
          <w:r>
            <w:rPr>
              <w:rFonts w:hint="eastAsia"/>
              <w:color w:val="auto"/>
              <w:sz w:val="32"/>
              <w:szCs w:val="32"/>
            </w:rPr>
            <w:t>3</w:t>
          </w:r>
        </w:p>
        <w:p>
          <w:pPr>
            <w:pStyle w:val="11"/>
            <w:tabs>
              <w:tab w:val="right" w:leader="dot" w:pos="9071"/>
            </w:tabs>
            <w:spacing w:line="480" w:lineRule="auto"/>
            <w:rPr>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投标须知</w:t>
          </w:r>
          <w:r>
            <w:rPr>
              <w:color w:val="auto"/>
              <w:sz w:val="32"/>
              <w:szCs w:val="32"/>
            </w:rPr>
            <w:tab/>
          </w:r>
          <w:r>
            <w:rPr>
              <w:color w:val="auto"/>
              <w:sz w:val="32"/>
              <w:szCs w:val="32"/>
            </w:rPr>
            <w:fldChar w:fldCharType="end"/>
          </w:r>
          <w:r>
            <w:rPr>
              <w:rFonts w:hint="eastAsia"/>
              <w:color w:val="auto"/>
              <w:sz w:val="32"/>
              <w:szCs w:val="32"/>
            </w:rPr>
            <w:t>7</w:t>
          </w:r>
        </w:p>
        <w:p>
          <w:pPr>
            <w:pStyle w:val="11"/>
            <w:tabs>
              <w:tab w:val="right" w:leader="dot" w:pos="9071"/>
            </w:tabs>
            <w:spacing w:line="480" w:lineRule="auto"/>
            <w:rPr>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11"/>
            <w:tabs>
              <w:tab w:val="right" w:leader="dot" w:pos="9071"/>
            </w:tabs>
            <w:spacing w:line="480" w:lineRule="auto"/>
            <w:rPr>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11"/>
            <w:tabs>
              <w:tab w:val="right" w:leader="dot" w:pos="9071"/>
            </w:tabs>
            <w:spacing w:line="480" w:lineRule="auto"/>
            <w:rPr>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40</w:t>
          </w:r>
        </w:p>
        <w:p>
          <w:pPr>
            <w:pStyle w:val="11"/>
            <w:tabs>
              <w:tab w:val="right" w:leader="dot" w:pos="9071"/>
            </w:tabs>
            <w:spacing w:line="480" w:lineRule="auto"/>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52</w:t>
          </w:r>
        </w:p>
        <w:p>
          <w:pPr>
            <w:pStyle w:val="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8"/>
        <w:numPr>
          <w:ilvl w:val="0"/>
          <w:numId w:val="3"/>
        </w:numPr>
        <w:jc w:val="center"/>
        <w:outlineLvl w:val="0"/>
        <w:rPr>
          <w:rFonts w:ascii="Calibri" w:hAnsi="Calibri" w:eastAsia="宋体" w:cs="Times New Roman"/>
          <w:b/>
          <w:bCs/>
          <w:kern w:val="44"/>
          <w:sz w:val="36"/>
          <w:szCs w:val="44"/>
        </w:rPr>
      </w:pPr>
      <w:bookmarkStart w:id="0" w:name="_Toc25915"/>
      <w:r>
        <w:rPr>
          <w:rFonts w:hint="eastAsia" w:ascii="Calibri" w:hAnsi="Calibri" w:eastAsia="宋体" w:cs="Times New Roman"/>
          <w:b/>
          <w:bCs/>
          <w:kern w:val="44"/>
          <w:sz w:val="36"/>
          <w:szCs w:val="44"/>
        </w:rPr>
        <w:t xml:space="preserve"> 投标须知前附表</w:t>
      </w:r>
      <w:bookmarkEnd w:id="0"/>
    </w:p>
    <w:p>
      <w:pPr>
        <w:pStyle w:val="8"/>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14"/>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9"/>
                <w:rFonts w:ascii="宋体" w:hAnsi="宋体" w:eastAsia="宋体" w:cs="宋体"/>
                <w:b/>
                <w:sz w:val="28"/>
                <w:szCs w:val="28"/>
              </w:rPr>
            </w:pPr>
            <w:r>
              <w:rPr>
                <w:rStyle w:val="19"/>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9"/>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spacing w:line="360" w:lineRule="auto"/>
              <w:ind w:left="-27"/>
              <w:jc w:val="center"/>
              <w:rPr>
                <w:rFonts w:ascii="宋体" w:hAnsi="宋体" w:eastAsia="宋体" w:cs="宋体"/>
                <w:b/>
                <w:bCs/>
                <w:sz w:val="24"/>
                <w:szCs w:val="24"/>
              </w:rPr>
            </w:pPr>
            <w:r>
              <w:rPr>
                <w:rFonts w:hint="eastAsia" w:ascii="宋体" w:hAnsi="宋体" w:eastAsia="宋体" w:cs="宋体"/>
                <w:b/>
                <w:bCs/>
                <w:sz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spacing w:line="276" w:lineRule="auto"/>
              <w:ind w:firstLine="482" w:firstLineChars="200"/>
              <w:jc w:val="left"/>
              <w:rPr>
                <w:rFonts w:ascii="宋体" w:hAnsi="宋体" w:eastAsia="宋体" w:cs="宋体"/>
                <w:sz w:val="24"/>
                <w:szCs w:val="24"/>
              </w:rPr>
            </w:pPr>
            <w:r>
              <w:rPr>
                <w:rFonts w:hint="eastAsia" w:ascii="宋体" w:hAnsi="宋体" w:eastAsia="宋体" w:cs="宋体"/>
                <w:b/>
                <w:bCs/>
                <w:sz w:val="24"/>
                <w:szCs w:val="24"/>
              </w:rPr>
              <w:t>项目名称：中国重汽集团济南动力有限公司动力总成质量质心、转动惯量一体化测量试验台招标项目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widowControl/>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u w:val="single"/>
              </w:rPr>
              <w:t xml:space="preserve"> FSCZB2025110441                       </w:t>
            </w:r>
            <w:r>
              <w:rPr>
                <w:rFonts w:hint="eastAsia" w:ascii="宋体" w:hAnsi="宋体" w:eastAsia="宋体" w:cs="宋体"/>
                <w:b/>
                <w:bCs/>
                <w:sz w:val="24"/>
                <w:szCs w:val="24"/>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招标内容：动力总成质量质心、转动惯量一体化测量试验台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b/>
                <w:bCs/>
                <w:sz w:val="24"/>
                <w:szCs w:val="24"/>
                <w:highlight w:val="yellow"/>
                <w:u w:val="single"/>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pPr>
              <w:ind w:firstLine="482" w:firstLineChars="200"/>
              <w:rPr>
                <w:rFonts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pPr>
              <w:ind w:firstLine="482" w:firstLineChars="200"/>
              <w:rPr>
                <w:rFonts w:hint="eastAsia" w:ascii="宋体" w:hAnsi="宋体" w:eastAsia="宋体" w:cs="宋体"/>
                <w:bCs/>
                <w:snapToGrid w:val="0"/>
                <w:kern w:val="0"/>
                <w:sz w:val="24"/>
                <w:szCs w:val="24"/>
                <w:highlight w:val="yellow"/>
                <w:lang w:eastAsia="zh-CN"/>
              </w:rPr>
            </w:pPr>
            <w:r>
              <w:rPr>
                <w:rFonts w:hint="eastAsia" w:ascii="宋体" w:hAnsi="宋体" w:eastAsia="宋体" w:cs="宋体"/>
                <w:b/>
                <w:snapToGrid w:val="0"/>
                <w:kern w:val="0"/>
                <w:sz w:val="24"/>
                <w:szCs w:val="24"/>
                <w:highlight w:val="yellow"/>
              </w:rPr>
              <w:t>商务联系人:</w:t>
            </w:r>
            <w:r>
              <w:rPr>
                <w:rFonts w:hint="eastAsia" w:ascii="宋体" w:hAnsi="宋体" w:eastAsia="宋体" w:cs="宋体"/>
                <w:bCs/>
                <w:snapToGrid w:val="0"/>
                <w:kern w:val="0"/>
                <w:sz w:val="24"/>
                <w:szCs w:val="24"/>
                <w:highlight w:val="yellow"/>
                <w:lang w:val="en-US" w:eastAsia="zh-CN"/>
              </w:rPr>
              <w:t>赵力</w:t>
            </w:r>
          </w:p>
          <w:p>
            <w:pPr>
              <w:pStyle w:val="8"/>
              <w:ind w:firstLine="482" w:firstLineChars="200"/>
              <w:rPr>
                <w:rFonts w:hint="default" w:eastAsia="宋体"/>
                <w:bCs/>
                <w:highlight w:val="yellow"/>
                <w:lang w:val="en-US" w:eastAsia="zh-CN"/>
              </w:rPr>
            </w:pPr>
            <w:r>
              <w:rPr>
                <w:rFonts w:hint="eastAsia" w:hAnsi="宋体" w:eastAsia="宋体" w:cs="宋体"/>
                <w:b/>
                <w:snapToGrid w:val="0"/>
                <w:kern w:val="0"/>
                <w:sz w:val="24"/>
                <w:szCs w:val="24"/>
                <w:highlight w:val="yellow"/>
              </w:rPr>
              <w:t>电话：</w:t>
            </w:r>
            <w:r>
              <w:rPr>
                <w:rFonts w:hint="eastAsia" w:hAnsi="宋体" w:eastAsia="宋体" w:cs="宋体"/>
                <w:snapToGrid w:val="0"/>
                <w:kern w:val="0"/>
                <w:sz w:val="24"/>
                <w:szCs w:val="24"/>
                <w:highlight w:val="yellow"/>
              </w:rPr>
              <w:t>1786060</w:t>
            </w:r>
            <w:r>
              <w:rPr>
                <w:rFonts w:hint="eastAsia" w:hAnsi="宋体" w:eastAsia="宋体" w:cs="宋体"/>
                <w:snapToGrid w:val="0"/>
                <w:kern w:val="0"/>
                <w:sz w:val="24"/>
                <w:szCs w:val="24"/>
                <w:highlight w:val="yellow"/>
                <w:lang w:val="en-US" w:eastAsia="zh-CN"/>
              </w:rPr>
              <w:t>6595</w:t>
            </w:r>
          </w:p>
          <w:p>
            <w:pPr>
              <w:ind w:firstLine="482" w:firstLineChars="200"/>
              <w:rPr>
                <w:rFonts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highlight w:val="yellow"/>
              </w:rPr>
              <w:t>邮箱：</w:t>
            </w:r>
            <w:r>
              <w:rPr>
                <w:rFonts w:hint="eastAsia" w:ascii="宋体" w:hAnsi="宋体" w:eastAsia="宋体" w:cs="宋体"/>
                <w:bCs/>
                <w:snapToGrid w:val="0"/>
                <w:kern w:val="0"/>
                <w:sz w:val="24"/>
                <w:szCs w:val="24"/>
                <w:highlight w:val="yellow"/>
              </w:rPr>
              <w:t>zhaoli@sinotruk.com</w:t>
            </w:r>
          </w:p>
          <w:p>
            <w:pPr>
              <w:ind w:firstLine="482" w:firstLineChars="200"/>
              <w:rPr>
                <w:rFonts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highlight w:val="yellow"/>
              </w:rPr>
              <w:t>技术联系人：</w:t>
            </w:r>
            <w:r>
              <w:rPr>
                <w:rFonts w:hint="eastAsia" w:ascii="宋体" w:hAnsi="宋体" w:eastAsia="宋体" w:cs="宋体"/>
                <w:bCs/>
                <w:snapToGrid w:val="0"/>
                <w:kern w:val="0"/>
                <w:sz w:val="24"/>
                <w:szCs w:val="24"/>
                <w:highlight w:val="yellow"/>
              </w:rPr>
              <w:t>张达</w:t>
            </w:r>
          </w:p>
          <w:p>
            <w:pPr>
              <w:ind w:firstLine="482" w:firstLineChars="200"/>
              <w:rPr>
                <w:rFonts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highlight w:val="yellow"/>
              </w:rPr>
              <w:t>电话：</w:t>
            </w:r>
            <w:r>
              <w:rPr>
                <w:rFonts w:hint="eastAsia" w:ascii="宋体" w:hAnsi="宋体" w:eastAsia="宋体" w:cs="宋体"/>
                <w:bCs/>
                <w:snapToGrid w:val="0"/>
                <w:kern w:val="0"/>
                <w:sz w:val="24"/>
                <w:szCs w:val="24"/>
                <w:highlight w:val="yellow"/>
              </w:rPr>
              <w:t>19588971955</w:t>
            </w:r>
          </w:p>
          <w:p>
            <w:pPr>
              <w:ind w:firstLine="482" w:firstLineChars="200"/>
              <w:rPr>
                <w:rFonts w:ascii="宋体" w:hAnsi="宋体" w:eastAsia="宋体" w:cs="宋体"/>
                <w:sz w:val="24"/>
                <w:szCs w:val="24"/>
              </w:rPr>
            </w:pPr>
            <w:r>
              <w:rPr>
                <w:rFonts w:hint="eastAsia" w:ascii="宋体" w:hAnsi="宋体" w:eastAsia="宋体" w:cs="宋体"/>
                <w:b/>
                <w:snapToGrid w:val="0"/>
                <w:kern w:val="0"/>
                <w:sz w:val="24"/>
                <w:szCs w:val="24"/>
                <w:highlight w:val="yellow"/>
              </w:rPr>
              <w:t>邮箱：</w:t>
            </w:r>
            <w:r>
              <w:rPr>
                <w:rFonts w:hint="eastAsia" w:ascii="宋体" w:hAnsi="宋体" w:eastAsia="宋体" w:cs="宋体"/>
                <w:bCs/>
                <w:snapToGrid w:val="0"/>
                <w:kern w:val="0"/>
                <w:sz w:val="24"/>
                <w:szCs w:val="24"/>
                <w:highlight w:val="yellow"/>
              </w:rPr>
              <w:t>zhangda@sinotruk.com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如需要，由投标人自行勘察现场，进行合理报价。投标总报价应包括设备费、原厂服务费及相关配件、随机资料、保险、税费、运杂、安装调试、与其他专业配合及可预见的风险以及其它不可预见等全部费用。</w:t>
            </w:r>
          </w:p>
          <w:p>
            <w:pPr>
              <w:ind w:firstLine="482" w:firstLineChars="200"/>
              <w:rPr>
                <w:rFonts w:ascii="宋体" w:hAnsi="宋体" w:eastAsia="宋体" w:cs="宋体"/>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：人民币（应同时报含税价和不含税价，写明税率）或外币。</w:t>
            </w:r>
          </w:p>
          <w:p>
            <w:pPr>
              <w:pStyle w:val="2"/>
              <w:rPr>
                <w:rFonts w:ascii="宋体" w:hAnsi="宋体" w:cs="宋体"/>
              </w:rPr>
            </w:pPr>
            <w:r>
              <w:rPr>
                <w:rFonts w:hint="eastAsia" w:ascii="宋体" w:hAnsi="宋体" w:cs="宋体"/>
                <w:color w:val="000000"/>
                <w:szCs w:val="24"/>
              </w:rPr>
              <w:t xml:space="preserve">    投标限价：</w:t>
            </w:r>
            <w:r>
              <w:rPr>
                <w:rFonts w:hint="eastAsia" w:ascii="宋体" w:hAnsi="宋体" w:cs="宋体"/>
                <w:color w:val="000000"/>
                <w:szCs w:val="24"/>
                <w:highlight w:val="yellow"/>
              </w:rPr>
              <w:t>人民币  万元（含税，税率13%）</w:t>
            </w:r>
            <w:r>
              <w:rPr>
                <w:rFonts w:hint="eastAsia" w:ascii="宋体" w:hAnsi="宋体" w:cs="宋体"/>
                <w:color w:val="000000"/>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8"/>
              <w:ind w:firstLine="482" w:firstLineChars="200"/>
              <w:rPr>
                <w:rFonts w:hAnsi="宋体" w:eastAsia="宋体" w:cs="宋体"/>
                <w:b/>
                <w:bCs/>
                <w:color w:val="000000"/>
                <w:sz w:val="24"/>
                <w:szCs w:val="24"/>
              </w:rPr>
            </w:pPr>
            <w:r>
              <w:rPr>
                <w:rFonts w:hint="eastAsia" w:hAnsi="宋体" w:eastAsia="宋体" w:cs="宋体"/>
                <w:b/>
                <w:bCs/>
                <w:sz w:val="24"/>
                <w:szCs w:val="24"/>
                <w:highlight w:val="yellow"/>
              </w:rPr>
              <w:t>Ⅰ.对于中国境内投标人，投标条件如下：</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1.拟投标人必须是在中华人民共和国境内注册的独立法人机构，具有独立承担民事责任能力；注册资金不少于500万人民币（或等值其他货币）；公司成立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投标人为该标的物的制造商或其在中国境内有完善的技术以及售后服务体系；投标人为代理商的须具有制造商出具的授权书或经销代理证明以及售后服务承诺；</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3.拟投标人应提供法定代表人资格证明文件；</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4.拟投标人在工商行政管理局的《国家企业信用信息公示系统》中查询不存在不良记录；</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highlight w:val="yellow"/>
              </w:rPr>
              <w:t>2022年1月1日</w:t>
            </w:r>
            <w:r>
              <w:rPr>
                <w:rFonts w:hint="eastAsia" w:hAnsi="宋体" w:eastAsia="宋体" w:cs="宋体"/>
                <w:sz w:val="24"/>
                <w:szCs w:val="24"/>
              </w:rPr>
              <w:t>至今</w:t>
            </w:r>
            <w:r>
              <w:rPr>
                <w:rFonts w:hint="eastAsia" w:hAnsi="宋体" w:eastAsia="宋体" w:cs="宋体"/>
                <w:color w:val="000000"/>
                <w:sz w:val="24"/>
                <w:szCs w:val="24"/>
                <w:highlight w:val="yellow"/>
              </w:rPr>
              <w:t>经</w:t>
            </w:r>
            <w:r>
              <w:rPr>
                <w:rFonts w:hint="eastAsia" w:hAnsi="宋体" w:eastAsia="宋体" w:cs="宋体"/>
                <w:b/>
                <w:bCs/>
                <w:color w:val="000000"/>
                <w:sz w:val="24"/>
                <w:szCs w:val="24"/>
                <w:highlight w:val="yellow"/>
              </w:rPr>
              <w:t>第三方</w:t>
            </w:r>
            <w:r>
              <w:rPr>
                <w:rFonts w:hint="eastAsia" w:hAnsi="宋体" w:eastAsia="宋体" w:cs="宋体"/>
                <w:color w:val="000000"/>
                <w:sz w:val="24"/>
                <w:szCs w:val="24"/>
                <w:highlight w:val="yellow"/>
              </w:rPr>
              <w:t>审计</w:t>
            </w:r>
            <w:r>
              <w:rPr>
                <w:rFonts w:hint="eastAsia" w:hAnsi="宋体" w:eastAsia="宋体" w:cs="宋体"/>
                <w:color w:val="000000"/>
                <w:sz w:val="24"/>
                <w:szCs w:val="24"/>
              </w:rPr>
              <w:t>的公司财务报表（资产负债表、损益表、现金流量表）未显示异常；</w:t>
            </w:r>
          </w:p>
          <w:p>
            <w:pPr>
              <w:pStyle w:val="8"/>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8.投标人三年内无违法及重大违规情况；</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9.投标人须认可招标人的工作指令，包括节、假日能正常开展工作的要求；</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10.投标人最近半年纳税正常；</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11.投标人信用证明材料（中国人民银行信用代码证+征信报告）未显示异常；</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12.供方的直接或间接股东、法定代表人、董事、监事、高管非重汽员工及其亲属；</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13.如为代理商投标，需获得生产厂家正式授权，提供授权书原件，保证提供原厂售后服务并提供原厂售后服务承诺书原件。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bookmarkStart w:id="1" w:name="_Toc346372875"/>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u w:val="single"/>
              </w:rPr>
              <w:t>1</w:t>
            </w:r>
            <w:r>
              <w:rPr>
                <w:rFonts w:hint="eastAsia" w:ascii="宋体" w:hAnsi="宋体" w:eastAsia="宋体" w:cs="宋体"/>
                <w:bCs/>
                <w:sz w:val="24"/>
                <w:szCs w:val="24"/>
                <w:highlight w:val="yellow"/>
                <w:u w:val="single"/>
                <w:lang w:val="en-US" w:eastAsia="zh-CN"/>
              </w:rPr>
              <w:t>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4</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rPr>
            </w:pPr>
            <w:r>
              <w:rPr>
                <w:rFonts w:hint="eastAsia" w:ascii="宋体" w:hAnsi="宋体" w:eastAsia="宋体" w:cs="宋体"/>
                <w:sz w:val="24"/>
                <w:szCs w:val="24"/>
              </w:rPr>
              <w:t>发标方式：中国重汽官网、山东省阳光采购服务平台、中国招标投标公共服务平台等公开媒体</w:t>
            </w:r>
            <w:r>
              <w:rPr>
                <w:rFonts w:hint="eastAsia" w:ascii="宋体" w:hAnsi="宋体" w:eastAsia="宋体" w:cs="宋体"/>
                <w:color w:val="000000"/>
                <w:sz w:val="24"/>
                <w:szCs w:val="24"/>
              </w:rPr>
              <w:t>公布。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175"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u w:val="single"/>
              </w:rPr>
              <w:t>1</w:t>
            </w:r>
            <w:r>
              <w:rPr>
                <w:rFonts w:hint="eastAsia" w:ascii="宋体" w:hAnsi="宋体" w:eastAsia="宋体" w:cs="宋体"/>
                <w:bCs/>
                <w:sz w:val="24"/>
                <w:szCs w:val="24"/>
                <w:highlight w:val="yellow"/>
                <w:u w:val="single"/>
                <w:lang w:val="en-US" w:eastAsia="zh-CN"/>
              </w:rPr>
              <w:t>2</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9</w:t>
            </w:r>
            <w:r>
              <w:rPr>
                <w:rFonts w:hint="eastAsia" w:ascii="宋体" w:hAnsi="宋体" w:eastAsia="宋体" w:cs="宋体"/>
                <w:sz w:val="24"/>
                <w:szCs w:val="24"/>
                <w:highlight w:val="yellow"/>
              </w:rPr>
              <w:t>日</w:t>
            </w:r>
            <w:r>
              <w:rPr>
                <w:rFonts w:hint="eastAsia" w:ascii="宋体" w:hAnsi="宋体" w:eastAsia="宋体" w:cs="宋体"/>
                <w:bCs/>
                <w:sz w:val="24"/>
                <w:szCs w:val="24"/>
                <w:highlight w:val="yellow"/>
              </w:rPr>
              <w:t>17:00前；</w:t>
            </w:r>
          </w:p>
          <w:p>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：将答疑问题以word文件格式发邮件至</w:t>
            </w:r>
            <w:r>
              <w:rPr>
                <w:rFonts w:hint="eastAsia" w:ascii="宋体" w:hAnsi="宋体" w:eastAsia="宋体" w:cs="宋体"/>
                <w:sz w:val="24"/>
                <w:szCs w:val="24"/>
                <w:highlight w:val="yellow"/>
              </w:rPr>
              <w:t>liujian1@sinotruk.com</w:t>
            </w:r>
            <w:r>
              <w:rPr>
                <w:rFonts w:hint="eastAsia" w:ascii="宋体" w:hAnsi="宋体" w:eastAsia="宋体" w:cs="宋体"/>
                <w:sz w:val="24"/>
                <w:szCs w:val="24"/>
              </w:rPr>
              <w:t>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同时须在邮件中以文字方式提供投标单位全称、投标授权人姓名、联系方式（固定电话、手机、电子邮箱）。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2025年</w:t>
            </w:r>
            <w:r>
              <w:rPr>
                <w:rFonts w:hint="eastAsia" w:ascii="宋体" w:hAnsi="宋体" w:eastAsia="宋体" w:cs="宋体"/>
                <w:bCs/>
                <w:sz w:val="24"/>
                <w:szCs w:val="24"/>
                <w:highlight w:val="yellow"/>
                <w:u w:val="single"/>
              </w:rPr>
              <w:t>1</w:t>
            </w:r>
            <w:r>
              <w:rPr>
                <w:rFonts w:hint="eastAsia" w:ascii="宋体" w:hAnsi="宋体" w:eastAsia="宋体" w:cs="宋体"/>
                <w:bCs/>
                <w:sz w:val="24"/>
                <w:szCs w:val="24"/>
                <w:highlight w:val="yellow"/>
                <w:u w:val="single"/>
                <w:lang w:val="en-US" w:eastAsia="zh-CN"/>
              </w:rPr>
              <w:t>2</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9</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拟投标人根据招标人在中国重汽官网等公开媒体上发布的招标信息，在“中国重汽e采通”平台报名。</w:t>
            </w:r>
            <w:r>
              <w:rPr>
                <w:rFonts w:hint="eastAsia" w:eastAsia="宋体" w:cs="宋体"/>
                <w:b/>
                <w:bCs/>
              </w:rPr>
              <w:t>按照中国重汽e采通“SRM非生产供应商注册手册”（附件15）进行注册</w:t>
            </w:r>
            <w:r>
              <w:rPr>
                <w:rFonts w:hint="eastAsia" w:eastAsia="宋体" w:cs="宋体"/>
              </w:rPr>
              <w:t>，登录后进入“供应商应标”，选择对应的项目，点击“</w:t>
            </w:r>
            <w:r>
              <w:rPr>
                <w:rFonts w:hint="eastAsia" w:eastAsia="宋体" w:cs="宋体"/>
                <w:b/>
                <w:bCs/>
              </w:rPr>
              <w:t>应标</w:t>
            </w:r>
            <w:r>
              <w:rPr>
                <w:rFonts w:hint="eastAsia" w:eastAsia="宋体" w:cs="宋体"/>
              </w:rPr>
              <w:t>”</w:t>
            </w:r>
            <w:r>
              <w:rPr>
                <w:rFonts w:hint="eastAsia" w:eastAsia="宋体" w:cs="宋体"/>
                <w:b/>
                <w:bCs/>
              </w:rPr>
              <w:t>后按照招标文件第三部分投标文件组成资格证明文件中的1.1-1.12准备资料并</w:t>
            </w:r>
            <w:r>
              <w:rPr>
                <w:rFonts w:hint="eastAsia" w:eastAsia="宋体" w:cs="宋体"/>
              </w:rPr>
              <w:t>上传，资质审查通过即为报名成功；公示期间请尽快报名。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20"/>
              <w:spacing w:line="240" w:lineRule="auto"/>
              <w:ind w:firstLine="482"/>
              <w:rPr>
                <w:rFonts w:eastAsia="宋体" w:cs="宋体"/>
              </w:rPr>
            </w:pPr>
            <w:r>
              <w:rPr>
                <w:rFonts w:hint="eastAsia" w:eastAsia="宋体" w:cs="宋体"/>
                <w:b/>
                <w:bCs/>
              </w:rPr>
              <w:t>应标截止时间：</w:t>
            </w:r>
            <w:r>
              <w:rPr>
                <w:rFonts w:hint="eastAsia" w:eastAsia="宋体" w:cs="宋体"/>
                <w:highlight w:val="yellow"/>
              </w:rPr>
              <w:t>2025年1</w:t>
            </w:r>
            <w:r>
              <w:rPr>
                <w:rFonts w:hint="eastAsia" w:eastAsia="宋体" w:cs="宋体"/>
                <w:highlight w:val="yellow"/>
                <w:lang w:val="en-US" w:eastAsia="zh-CN"/>
              </w:rPr>
              <w:t>2</w:t>
            </w:r>
            <w:r>
              <w:rPr>
                <w:rFonts w:hint="eastAsia" w:eastAsia="宋体" w:cs="宋体"/>
                <w:highlight w:val="yellow"/>
              </w:rPr>
              <w:t>月</w:t>
            </w:r>
            <w:r>
              <w:rPr>
                <w:rFonts w:hint="eastAsia" w:eastAsia="宋体" w:cs="宋体"/>
                <w:highlight w:val="yellow"/>
                <w:lang w:val="en-US" w:eastAsia="zh-CN"/>
              </w:rPr>
              <w:t>9</w:t>
            </w:r>
            <w:r>
              <w:rPr>
                <w:rFonts w:hint="eastAsia" w:eastAsia="宋体" w:cs="宋体"/>
                <w:highlight w:val="yellow"/>
              </w:rPr>
              <w:t>日17时00分00秒</w:t>
            </w:r>
          </w:p>
          <w:p>
            <w:pPr>
              <w:pStyle w:val="20"/>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rPr>
                <w:rFonts w:ascii="宋体" w:hAnsi="宋体" w:eastAsia="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spacing w:line="460" w:lineRule="exact"/>
              <w:ind w:firstLine="482" w:firstLineChars="200"/>
              <w:rPr>
                <w:rFonts w:ascii="宋体" w:hAnsi="宋体" w:eastAsia="宋体" w:cs="宋体"/>
                <w:color w:val="000000"/>
                <w:sz w:val="24"/>
                <w:szCs w:val="24"/>
                <w:highlight w:val="yellow"/>
              </w:rPr>
            </w:pPr>
            <w:r>
              <w:rPr>
                <w:rFonts w:hint="eastAsia" w:ascii="宋体" w:hAnsi="宋体" w:eastAsia="宋体" w:cs="宋体"/>
                <w:b/>
                <w:bCs/>
                <w:sz w:val="24"/>
              </w:rPr>
              <w:t>纸质版投标文件和电子版投标文件必须保证内容一致；如确实存在不一致的，以电子标书为准，同时要求投标方对纸版标书做出修正。</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6"/>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pPr>
              <w:pStyle w:val="8"/>
              <w:rPr>
                <w:rFonts w:hAnsi="宋体" w:eastAsia="宋体" w:cs="宋体"/>
                <w:b/>
                <w:sz w:val="24"/>
                <w:szCs w:val="24"/>
              </w:rPr>
            </w:pPr>
            <w:r>
              <w:rPr>
                <w:rFonts w:hint="eastAsia" w:hAnsi="宋体" w:eastAsia="宋体" w:cs="宋体"/>
                <w:b/>
                <w:bCs/>
                <w:sz w:val="24"/>
                <w:szCs w:val="24"/>
              </w:rPr>
              <w:t>技术标书和商务标书不单独装订的，投标文件做无效标处理。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8"/>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u w:val="single"/>
              </w:rPr>
              <w:t>1</w:t>
            </w:r>
            <w:r>
              <w:rPr>
                <w:rFonts w:hint="eastAsia" w:hAnsi="宋体" w:eastAsia="宋体" w:cs="宋体"/>
                <w:sz w:val="24"/>
                <w:szCs w:val="24"/>
                <w:highlight w:val="yellow"/>
                <w:u w:val="single"/>
                <w:lang w:val="en-US" w:eastAsia="zh-CN"/>
              </w:rPr>
              <w:t>2</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14</w:t>
            </w:r>
            <w:r>
              <w:rPr>
                <w:rFonts w:hint="eastAsia" w:hAnsi="宋体" w:eastAsia="宋体" w:cs="宋体"/>
                <w:sz w:val="24"/>
                <w:szCs w:val="24"/>
                <w:highlight w:val="yellow"/>
              </w:rPr>
              <w:t>日1</w:t>
            </w:r>
            <w:r>
              <w:rPr>
                <w:rFonts w:hint="eastAsia" w:hAnsi="宋体" w:eastAsia="宋体" w:cs="宋体"/>
                <w:sz w:val="24"/>
                <w:szCs w:val="24"/>
                <w:highlight w:val="yellow"/>
                <w:lang w:val="en-US" w:eastAsia="zh-CN"/>
              </w:rPr>
              <w:t>7</w:t>
            </w:r>
            <w:r>
              <w:rPr>
                <w:rFonts w:hint="eastAsia" w:hAnsi="宋体" w:eastAsia="宋体" w:cs="宋体"/>
                <w:sz w:val="24"/>
                <w:szCs w:val="24"/>
                <w:highlight w:val="yellow"/>
              </w:rPr>
              <w:t>:00</w:t>
            </w:r>
          </w:p>
          <w:p>
            <w:pPr>
              <w:pStyle w:val="8"/>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注：请务必在投标文件递交截止时间前完成投标操作，截止时间精确到秒，逾期将无法投标。请自行掌握时间安排，避免无法投标。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电汇（境内）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after="0" w:line="240" w:lineRule="auto"/>
              <w:ind w:left="0" w:leftChars="0" w:firstLine="480"/>
              <w:rPr>
                <w:rFonts w:ascii="宋体" w:hAnsi="宋体" w:cs="宋体"/>
                <w:sz w:val="24"/>
                <w:szCs w:val="24"/>
                <w:highlight w:val="none"/>
                <w:u w:val="single"/>
              </w:rPr>
            </w:pPr>
            <w:r>
              <w:rPr>
                <w:rFonts w:hint="eastAsia" w:ascii="宋体" w:hAnsi="宋体" w:cs="宋体"/>
                <w:sz w:val="24"/>
                <w:szCs w:val="24"/>
                <w:highlight w:val="none"/>
              </w:rPr>
              <w:t>Ⅰ.境内投标单位缴纳投标保证金信息：</w:t>
            </w:r>
          </w:p>
          <w:p>
            <w:pPr>
              <w:tabs>
                <w:tab w:val="left" w:pos="932"/>
              </w:tabs>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none"/>
              </w:rPr>
              <w:t>人民币5000.00元</w:t>
            </w:r>
          </w:p>
          <w:p>
            <w:pPr>
              <w:tabs>
                <w:tab w:val="left" w:pos="932"/>
              </w:tabs>
              <w:ind w:firstLine="482" w:firstLineChars="200"/>
              <w:rPr>
                <w:rFonts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开户名称：</w:t>
            </w:r>
            <w:r>
              <w:rPr>
                <w:rFonts w:hint="eastAsia" w:ascii="宋体" w:hAnsi="宋体" w:eastAsia="宋体" w:cs="宋体"/>
                <w:color w:val="000000"/>
                <w:kern w:val="0"/>
                <w:sz w:val="24"/>
                <w:szCs w:val="24"/>
                <w:highlight w:val="none"/>
              </w:rPr>
              <w:t>中国重汽集团济南动力有限公司</w:t>
            </w:r>
          </w:p>
          <w:p>
            <w:pPr>
              <w:tabs>
                <w:tab w:val="left" w:pos="932"/>
              </w:tabs>
              <w:ind w:firstLine="482" w:firstLineChars="200"/>
              <w:rPr>
                <w:rFonts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开户银行：</w:t>
            </w:r>
            <w:r>
              <w:rPr>
                <w:rFonts w:hint="eastAsia" w:ascii="宋体" w:hAnsi="宋体" w:eastAsia="宋体" w:cs="宋体"/>
                <w:color w:val="000000"/>
                <w:kern w:val="0"/>
                <w:sz w:val="24"/>
                <w:szCs w:val="24"/>
                <w:highlight w:val="none"/>
              </w:rPr>
              <w:t>中国建设银行股份有限公司济南天桥支行</w:t>
            </w:r>
          </w:p>
          <w:p>
            <w:pPr>
              <w:tabs>
                <w:tab w:val="left" w:pos="932"/>
              </w:tabs>
              <w:ind w:firstLine="482" w:firstLineChars="200"/>
              <w:rPr>
                <w:rFonts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银行帐号：</w:t>
            </w:r>
            <w:r>
              <w:rPr>
                <w:rFonts w:hint="eastAsia" w:ascii="宋体" w:hAnsi="宋体" w:eastAsia="宋体" w:cs="宋体"/>
                <w:color w:val="000000"/>
                <w:kern w:val="0"/>
                <w:sz w:val="24"/>
                <w:szCs w:val="24"/>
                <w:highlight w:val="none"/>
              </w:rPr>
              <w:t>37001616508050150300</w:t>
            </w:r>
          </w:p>
          <w:p>
            <w:pPr>
              <w:ind w:firstLine="482" w:firstLineChars="200"/>
              <w:rPr>
                <w:rFonts w:ascii="宋体" w:hAnsi="宋体" w:eastAsia="宋体" w:cs="宋体"/>
                <w:sz w:val="24"/>
                <w:szCs w:val="24"/>
                <w:highlight w:val="none"/>
              </w:rPr>
            </w:pPr>
            <w:r>
              <w:rPr>
                <w:rFonts w:hint="eastAsia" w:ascii="宋体" w:hAnsi="宋体" w:eastAsia="宋体" w:cs="宋体"/>
                <w:b/>
                <w:bCs/>
                <w:color w:val="000000"/>
                <w:kern w:val="0"/>
                <w:sz w:val="24"/>
                <w:szCs w:val="24"/>
                <w:highlight w:val="none"/>
              </w:rPr>
              <w:t>联行号：</w:t>
            </w:r>
            <w:r>
              <w:rPr>
                <w:rFonts w:hint="eastAsia" w:ascii="宋体" w:hAnsi="宋体" w:eastAsia="宋体" w:cs="宋体"/>
                <w:color w:val="000000"/>
                <w:kern w:val="0"/>
                <w:sz w:val="24"/>
                <w:szCs w:val="24"/>
                <w:highlight w:val="none"/>
              </w:rPr>
              <w:t>105451000362</w:t>
            </w:r>
          </w:p>
          <w:p>
            <w:pPr>
              <w:pStyle w:val="13"/>
              <w:spacing w:after="0" w:line="240" w:lineRule="auto"/>
              <w:ind w:left="0" w:leftChars="0" w:firstLine="480"/>
              <w:rPr>
                <w:rFonts w:ascii="宋体" w:hAnsi="宋体" w:cs="宋体"/>
                <w:sz w:val="24"/>
                <w:szCs w:val="24"/>
              </w:rPr>
            </w:pPr>
            <w:r>
              <w:rPr>
                <w:rFonts w:hint="eastAsia" w:ascii="宋体" w:hAnsi="宋体" w:cs="宋体"/>
                <w:sz w:val="24"/>
                <w:szCs w:val="24"/>
              </w:rPr>
              <w:t>投标保证金应从投标人基本账户转出至上述账户并到账，否则视为无效投标。</w:t>
            </w:r>
          </w:p>
          <w:p>
            <w:pPr>
              <w:pStyle w:val="13"/>
              <w:spacing w:after="0" w:line="240" w:lineRule="auto"/>
              <w:ind w:left="0" w:leftChars="0" w:firstLine="480"/>
              <w:rPr>
                <w:rFonts w:ascii="宋体" w:hAnsi="宋体" w:cs="宋体"/>
                <w:sz w:val="24"/>
                <w:szCs w:val="24"/>
              </w:rPr>
            </w:pPr>
            <w:r>
              <w:rPr>
                <w:rFonts w:hint="eastAsia" w:ascii="宋体" w:hAnsi="宋体" w:cs="宋体"/>
                <w:sz w:val="24"/>
                <w:szCs w:val="24"/>
              </w:rPr>
              <w:t>Ⅱ.</w:t>
            </w:r>
            <w:r>
              <w:rPr>
                <w:rFonts w:hint="eastAsia" w:ascii="宋体" w:hAnsi="宋体" w:cs="宋体"/>
                <w:sz w:val="24"/>
                <w:szCs w:val="24"/>
                <w:highlight w:val="yellow"/>
              </w:rPr>
              <w:t>转账附言：公司名称+项目名称+投标保证金（</w:t>
            </w:r>
            <w:r>
              <w:rPr>
                <w:rFonts w:hint="eastAsia" w:ascii="宋体" w:hAnsi="宋体" w:cs="宋体"/>
                <w:sz w:val="24"/>
                <w:szCs w:val="24"/>
                <w:highlight w:val="yellow"/>
                <w:lang w:val="en-US" w:eastAsia="zh-CN"/>
              </w:rPr>
              <w:t>不按照此格式备注，不保证保证金退还时间</w:t>
            </w:r>
            <w:r>
              <w:rPr>
                <w:rFonts w:hint="eastAsia" w:ascii="宋体" w:hAnsi="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2025年1</w:t>
            </w:r>
            <w:r>
              <w:rPr>
                <w:rFonts w:hint="eastAsia" w:ascii="宋体" w:hAnsi="宋体" w:cs="宋体"/>
                <w:sz w:val="24"/>
                <w:szCs w:val="24"/>
                <w:highlight w:val="yellow"/>
                <w:lang w:val="en-US" w:eastAsia="zh-CN"/>
              </w:rPr>
              <w:t>2</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14</w:t>
            </w:r>
            <w:r>
              <w:rPr>
                <w:rFonts w:hint="eastAsia" w:ascii="宋体" w:hAnsi="宋体" w:cs="宋体"/>
                <w:sz w:val="24"/>
                <w:szCs w:val="24"/>
                <w:highlight w:val="yellow"/>
              </w:rPr>
              <w:t>日17：00前</w:t>
            </w:r>
            <w:bookmarkStart w:id="169" w:name="_GoBack"/>
            <w:bookmarkEnd w:id="169"/>
          </w:p>
          <w:p>
            <w:pPr>
              <w:pStyle w:val="13"/>
              <w:spacing w:after="0" w:line="240" w:lineRule="auto"/>
              <w:ind w:left="0" w:leftChars="0" w:firstLine="480"/>
              <w:rPr>
                <w:rFonts w:ascii="宋体" w:hAnsi="宋体" w:cs="宋体"/>
                <w:sz w:val="24"/>
                <w:szCs w:val="24"/>
              </w:rPr>
            </w:pPr>
            <w:r>
              <w:rPr>
                <w:rFonts w:hint="eastAsia" w:ascii="宋体" w:hAnsi="宋体" w:cs="宋体"/>
                <w:sz w:val="24"/>
                <w:szCs w:val="24"/>
              </w:rPr>
              <w:t>投标人应充分考虑银行信息交换时间，由此带来的保证金不能按时到帐的责任由投标人自行承担。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after="0" w:line="240" w:lineRule="auto"/>
              <w:ind w:left="0" w:leftChars="0" w:firstLine="480"/>
              <w:rPr>
                <w:rFonts w:ascii="宋体" w:hAnsi="宋体" w:cs="宋体"/>
                <w:sz w:val="24"/>
                <w:szCs w:val="24"/>
              </w:rPr>
            </w:pPr>
            <w:r>
              <w:rPr>
                <w:rFonts w:hint="eastAsia" w:ascii="宋体" w:hAnsi="宋体" w:cs="宋体"/>
                <w:sz w:val="24"/>
                <w:szCs w:val="24"/>
              </w:rPr>
              <w:t>对于未中标的投标人，投标保证金将于招标人内部完成中标人评审并确认最终中标人后在30个工作日内予以原路返还（无息）；对于中标方，投标保证金将在签订合同后30个工作日内原路返还（无息）。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u w:val="single"/>
                <w:lang w:eastAsia="zh-CN"/>
              </w:rPr>
            </w:pPr>
            <w:r>
              <w:rPr>
                <w:rFonts w:hint="eastAsia" w:ascii="宋体" w:hAnsi="宋体" w:eastAsia="宋体" w:cs="宋体"/>
                <w:b/>
                <w:bCs/>
                <w:sz w:val="24"/>
                <w:szCs w:val="24"/>
              </w:rPr>
              <w:t>开标时间：</w:t>
            </w:r>
            <w:r>
              <w:rPr>
                <w:rFonts w:hint="eastAsia" w:ascii="宋体" w:hAnsi="宋体" w:eastAsia="宋体" w:cs="宋体"/>
                <w:sz w:val="24"/>
                <w:szCs w:val="24"/>
                <w:highlight w:val="yellow"/>
                <w:u w:val="single"/>
              </w:rPr>
              <w:t>2025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u w:val="single"/>
              </w:rPr>
              <w:t>1</w:t>
            </w:r>
            <w:r>
              <w:rPr>
                <w:rFonts w:hint="eastAsia" w:ascii="宋体" w:hAnsi="宋体" w:eastAsia="宋体" w:cs="宋体"/>
                <w:sz w:val="24"/>
                <w:szCs w:val="24"/>
                <w:highlight w:val="yellow"/>
                <w:u w:val="single"/>
                <w:lang w:val="en-US" w:eastAsia="zh-CN"/>
              </w:rPr>
              <w:t>2</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15</w:t>
            </w:r>
            <w:r>
              <w:rPr>
                <w:rFonts w:hint="eastAsia" w:ascii="宋体" w:hAnsi="宋体" w:eastAsia="宋体" w:cs="宋体"/>
                <w:sz w:val="24"/>
                <w:szCs w:val="24"/>
                <w:highlight w:val="yellow"/>
              </w:rPr>
              <w:t>日</w:t>
            </w:r>
            <w:r>
              <w:rPr>
                <w:rFonts w:hint="eastAsia" w:ascii="宋体" w:hAnsi="宋体" w:eastAsia="宋体" w:cs="宋体"/>
                <w:sz w:val="24"/>
                <w:szCs w:val="24"/>
                <w:highlight w:val="yellow"/>
                <w:lang w:val="en-US" w:eastAsia="zh-CN"/>
              </w:rPr>
              <w:t>09</w:t>
            </w:r>
            <w:r>
              <w:rPr>
                <w:rFonts w:hint="eastAsia" w:ascii="宋体" w:hAnsi="宋体" w:eastAsia="宋体" w:cs="宋体"/>
                <w:sz w:val="24"/>
                <w:szCs w:val="24"/>
                <w:highlight w:val="yellow"/>
              </w:rPr>
              <w:t>:00</w:t>
            </w:r>
            <w:r>
              <w:rPr>
                <w:rFonts w:hint="eastAsia" w:ascii="宋体" w:hAnsi="宋体" w:eastAsia="宋体" w:cs="宋体"/>
                <w:sz w:val="24"/>
                <w:szCs w:val="24"/>
                <w:highlight w:val="yellow"/>
                <w:lang w:eastAsia="zh-CN"/>
              </w:rPr>
              <w:t>（</w:t>
            </w:r>
            <w:r>
              <w:rPr>
                <w:rFonts w:hint="eastAsia" w:ascii="宋体" w:hAnsi="宋体" w:eastAsia="宋体" w:cs="宋体"/>
                <w:sz w:val="24"/>
                <w:szCs w:val="24"/>
                <w:highlight w:val="yellow"/>
                <w:lang w:val="en-US" w:eastAsia="zh-CN"/>
              </w:rPr>
              <w:t>具体时间地点另行通知</w:t>
            </w:r>
            <w:r>
              <w:rPr>
                <w:rFonts w:hint="eastAsia" w:ascii="宋体" w:hAnsi="宋体" w:eastAsia="宋体" w:cs="宋体"/>
                <w:sz w:val="24"/>
                <w:szCs w:val="24"/>
                <w:highlight w:val="yellow"/>
                <w:lang w:eastAsia="zh-CN"/>
              </w:rPr>
              <w:t>）</w:t>
            </w:r>
          </w:p>
          <w:p>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线上会议室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pStyle w:val="5"/>
              <w:ind w:firstLine="482" w:firstLineChars="200"/>
              <w:rPr>
                <w:rFonts w:ascii="宋体" w:hAnsi="宋体" w:eastAsia="宋体" w:cs="宋体"/>
                <w:sz w:val="24"/>
                <w:szCs w:val="24"/>
              </w:rPr>
            </w:pPr>
            <w:r>
              <w:rPr>
                <w:rFonts w:hint="eastAsia" w:ascii="宋体" w:hAnsi="宋体" w:eastAsia="宋体" w:cs="宋体"/>
                <w:b/>
                <w:bCs/>
                <w:sz w:val="24"/>
                <w:szCs w:val="24"/>
              </w:rPr>
              <w:t>评标方法：资质标审核→技术标评审→商务标评审。技术标入围后，原则上选取综合</w:t>
            </w:r>
            <w:r>
              <w:rPr>
                <w:rFonts w:hint="eastAsia" w:ascii="宋体" w:hAnsi="宋体" w:eastAsia="宋体" w:cs="宋体"/>
                <w:b/>
                <w:bCs/>
                <w:color w:val="000000"/>
                <w:sz w:val="24"/>
                <w:szCs w:val="24"/>
              </w:rPr>
              <w:t>低价中标</w:t>
            </w:r>
            <w:r>
              <w:rPr>
                <w:rFonts w:hint="eastAsia" w:ascii="宋体" w:hAnsi="宋体" w:eastAsia="宋体" w:cs="宋体"/>
                <w:sz w:val="24"/>
                <w:szCs w:val="24"/>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8"/>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highlight w:val="yellow"/>
                <w:u w:val="single"/>
              </w:rPr>
              <w:t>90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之内交货至供货地点。</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u w:val="single"/>
              </w:rPr>
              <w:t>90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之内安装调试完毕，并投入使用。</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u w:val="single"/>
              </w:rPr>
              <w:t>30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之内完成终验收。</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u w:val="single"/>
              </w:rPr>
              <w:t>20个日历日</w:t>
            </w:r>
            <w:r>
              <w:rPr>
                <w:rFonts w:hint="eastAsia" w:hAnsi="宋体" w:eastAsia="宋体" w:cs="宋体"/>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8"/>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pStyle w:val="8"/>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hAnsi="宋体" w:eastAsia="宋体" w:cs="宋体"/>
                <w:color w:val="000000"/>
                <w:sz w:val="24"/>
                <w:szCs w:val="24"/>
              </w:rPr>
              <w:t>济南市莱芜区中国重汽新能源产品试验检测中心。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5"/>
              <w:ind w:firstLine="482" w:firstLineChars="200"/>
              <w:rPr>
                <w:rFonts w:ascii="宋体" w:hAnsi="宋体" w:eastAsia="宋体" w:cs="宋体"/>
                <w:sz w:val="24"/>
                <w:szCs w:val="24"/>
              </w:rPr>
            </w:pPr>
            <w:r>
              <w:rPr>
                <w:rFonts w:hint="eastAsia" w:ascii="宋体" w:hAnsi="宋体" w:eastAsia="宋体" w:cs="宋体"/>
                <w:b/>
                <w:sz w:val="24"/>
                <w:szCs w:val="24"/>
              </w:rPr>
              <w:t>质保期：自设备终验收文件最终签署之日起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13"/>
              <w:spacing w:after="0" w:line="240" w:lineRule="auto"/>
              <w:ind w:left="0" w:leftChars="0" w:firstLine="482"/>
              <w:rPr>
                <w:rFonts w:ascii="宋体" w:hAnsi="宋体" w:cs="宋体"/>
                <w:sz w:val="24"/>
                <w:szCs w:val="24"/>
              </w:rPr>
            </w:pPr>
            <w:r>
              <w:rPr>
                <w:rFonts w:hint="eastAsia" w:ascii="宋体" w:hAnsi="宋体" w:cs="宋体"/>
                <w:b/>
                <w:bCs/>
                <w:sz w:val="24"/>
                <w:szCs w:val="24"/>
                <w:highlight w:val="yellow"/>
                <w:u w:val="single"/>
              </w:rPr>
              <w:t>Ⅰ.国内付款方式：半年期商业汇票（包括银行承兑汇票和商业承兑汇票）</w:t>
            </w:r>
          </w:p>
          <w:p>
            <w:pPr>
              <w:pStyle w:val="5"/>
              <w:ind w:firstLine="420" w:firstLineChars="200"/>
              <w:rPr>
                <w:rFonts w:ascii="宋体" w:hAnsi="宋体" w:eastAsia="宋体" w:cs="宋体"/>
                <w:sz w:val="24"/>
                <w:szCs w:val="24"/>
              </w:rPr>
            </w:pPr>
            <w:r>
              <w:rPr>
                <w:rFonts w:hint="eastAsia" w:ascii="宋体" w:hAnsi="宋体" w:eastAsia="宋体" w:cs="宋体"/>
              </w:rPr>
              <w:t>（</w:t>
            </w:r>
            <w:r>
              <w:rPr>
                <w:rFonts w:hint="eastAsia" w:ascii="宋体" w:hAnsi="宋体" w:eastAsia="宋体" w:cs="宋体"/>
                <w:sz w:val="24"/>
                <w:szCs w:val="24"/>
              </w:rPr>
              <w:t>1）合同生效设备全部到齐无质量问题通过买方初步验收后, 卖方提交金额为合同含税价款30%的收据及合同全额30%增值税专用发票（税率为13 %，正本一份，复印件二份），经买方依照财务制度审核无误后【30】日后支付。</w:t>
            </w:r>
          </w:p>
          <w:p>
            <w:pPr>
              <w:pStyle w:val="5"/>
              <w:ind w:firstLine="480" w:firstLineChars="200"/>
              <w:rPr>
                <w:rFonts w:ascii="宋体" w:hAnsi="宋体" w:eastAsia="宋体" w:cs="宋体"/>
                <w:sz w:val="24"/>
                <w:szCs w:val="24"/>
              </w:rPr>
            </w:pPr>
            <w:r>
              <w:rPr>
                <w:rFonts w:hint="eastAsia" w:ascii="宋体" w:hAnsi="宋体" w:eastAsia="宋体" w:cs="宋体"/>
                <w:sz w:val="24"/>
                <w:szCs w:val="24"/>
              </w:rPr>
              <w:t>（2）设备全部到齐无质量问题，经安装、调试最终验收合格后，卖方提交金额为合同含税价款60 %的收据及合同全额70%增值税专用发票（税率为13 %，正本一份，复印件二份）并附带该套合同设备最终验收报告的原件及其复印件两份，经买方依照财务制度审核无误后【30】日后支付。</w:t>
            </w:r>
          </w:p>
          <w:p>
            <w:pPr>
              <w:pStyle w:val="5"/>
              <w:ind w:firstLine="480" w:firstLineChars="200"/>
              <w:rPr>
                <w:rFonts w:ascii="宋体" w:hAnsi="宋体" w:eastAsia="宋体" w:cs="宋体"/>
                <w:sz w:val="24"/>
                <w:szCs w:val="24"/>
              </w:rPr>
            </w:pPr>
            <w:r>
              <w:rPr>
                <w:rFonts w:hint="eastAsia" w:ascii="宋体" w:hAnsi="宋体" w:eastAsia="宋体" w:cs="宋体"/>
                <w:sz w:val="24"/>
                <w:szCs w:val="24"/>
              </w:rPr>
              <w:t>（3）合同含税总价款的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30】日后支付。如有质量问题，质量保证金予以相应扣除。</w:t>
            </w:r>
          </w:p>
          <w:p>
            <w:pPr>
              <w:pStyle w:val="5"/>
              <w:ind w:firstLine="480" w:firstLineChars="200"/>
              <w:rPr>
                <w:rFonts w:ascii="宋体" w:hAnsi="宋体" w:eastAsia="宋体" w:cs="宋体"/>
                <w:sz w:val="24"/>
                <w:szCs w:val="24"/>
              </w:rPr>
            </w:pPr>
            <w:r>
              <w:rPr>
                <w:rFonts w:hint="eastAsia" w:ascii="宋体" w:hAnsi="宋体" w:eastAsia="宋体" w:cs="宋体"/>
                <w:sz w:val="24"/>
                <w:szCs w:val="24"/>
                <w:highlight w:val="yellow"/>
              </w:rPr>
              <w:t>*付款方式及付款比例不允许偏离。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pPr>
              <w:ind w:firstLine="480" w:firstLineChars="200"/>
              <w:rPr>
                <w:rFonts w:ascii="宋体" w:hAnsi="宋体" w:eastAsia="宋体" w:cs="宋体"/>
                <w:bCs/>
                <w:sz w:val="24"/>
                <w:szCs w:val="24"/>
              </w:rPr>
            </w:pPr>
            <w:r>
              <w:rPr>
                <w:rFonts w:hint="eastAsia" w:ascii="宋体" w:hAnsi="宋体" w:eastAsia="宋体" w:cs="宋体"/>
                <w:sz w:val="24"/>
                <w:szCs w:val="24"/>
                <w:lang w:bidi="ar"/>
              </w:rPr>
              <w:t>见最终合同签订信息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5"/>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5"/>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5"/>
              <w:ind w:firstLine="480" w:firstLineChars="200"/>
              <w:rPr>
                <w:rFonts w:ascii="宋体" w:hAnsi="宋体" w:eastAsia="宋体" w:cs="宋体"/>
                <w:sz w:val="24"/>
                <w:szCs w:val="24"/>
              </w:rPr>
            </w:pPr>
            <w:r>
              <w:rPr>
                <w:rFonts w:hint="eastAsia" w:ascii="宋体" w:hAnsi="宋体" w:eastAsia="宋体" w:cs="宋体"/>
                <w:sz w:val="24"/>
                <w:szCs w:val="24"/>
              </w:rPr>
              <w:t>中标人应在合同签订后</w:t>
            </w:r>
            <w:r>
              <w:rPr>
                <w:rFonts w:hint="eastAsia" w:ascii="宋体" w:hAnsi="宋体" w:eastAsia="宋体" w:cs="宋体"/>
                <w:sz w:val="24"/>
                <w:szCs w:val="24"/>
                <w:highlight w:val="yellow"/>
              </w:rPr>
              <w:t>30日</w:t>
            </w:r>
            <w:r>
              <w:rPr>
                <w:rFonts w:hint="eastAsia" w:ascii="宋体" w:hAnsi="宋体" w:eastAsia="宋体" w:cs="宋体"/>
                <w:sz w:val="24"/>
                <w:szCs w:val="24"/>
              </w:rPr>
              <w:t>内需根据设计</w:t>
            </w:r>
            <w:r>
              <w:rPr>
                <w:rStyle w:val="17"/>
                <w:rFonts w:hint="eastAsia" w:ascii="宋体" w:hAnsi="宋体" w:eastAsia="宋体" w:cs="宋体"/>
                <w:sz w:val="24"/>
                <w:szCs w:val="24"/>
              </w:rPr>
              <w:t>提资</w:t>
            </w:r>
            <w:r>
              <w:rPr>
                <w:rFonts w:hint="eastAsia" w:ascii="宋体" w:hAnsi="宋体" w:eastAsia="宋体" w:cs="宋体"/>
                <w:sz w:val="24"/>
                <w:szCs w:val="24"/>
              </w:rPr>
              <w:t>要求提供详细的</w:t>
            </w:r>
            <w:r>
              <w:rPr>
                <w:rStyle w:val="17"/>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17"/>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17"/>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1"/>
    </w:tbl>
    <w:p>
      <w:pPr>
        <w:rPr>
          <w:rFonts w:ascii="宋体" w:hAnsi="宋体" w:eastAsia="宋体" w:cs="宋体"/>
        </w:rPr>
        <w:sectPr>
          <w:headerReference r:id="rId7" w:type="default"/>
          <w:footerReference r:id="rId8" w:type="default"/>
          <w:pgSz w:w="11907" w:h="16840"/>
          <w:pgMar w:top="1304" w:right="1418" w:bottom="1304" w:left="1418" w:header="724" w:footer="851" w:gutter="0"/>
          <w:pgNumType w:start="3"/>
          <w:cols w:space="720" w:num="1"/>
          <w:docGrid w:linePitch="290" w:charSpace="-3931"/>
        </w:sectPr>
      </w:pPr>
      <w:bookmarkStart w:id="2" w:name="_Toc15609"/>
    </w:p>
    <w:p>
      <w:pPr>
        <w:pStyle w:val="8"/>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2"/>
    </w:p>
    <w:p>
      <w:pPr>
        <w:keepNext/>
        <w:keepLines/>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一、项目名称</w:t>
      </w:r>
    </w:p>
    <w:p>
      <w:pPr>
        <w:spacing w:line="360" w:lineRule="auto"/>
        <w:ind w:left="1679" w:leftChars="228" w:hanging="1200" w:hangingChars="500"/>
        <w:rPr>
          <w:rFonts w:ascii="Calibri" w:hAnsi="Calibri" w:eastAsia="宋体" w:cs="Times New Roman"/>
          <w:color w:val="000000"/>
          <w:sz w:val="24"/>
          <w:szCs w:val="24"/>
          <w:u w:val="single"/>
        </w:rPr>
      </w:pPr>
      <w:r>
        <w:rPr>
          <w:rFonts w:hint="eastAsia" w:ascii="Calibri" w:hAnsi="Calibri" w:eastAsia="宋体" w:cs="Times New Roman"/>
          <w:color w:val="000000"/>
          <w:sz w:val="24"/>
          <w:szCs w:val="24"/>
        </w:rPr>
        <w:t>项目名称：</w:t>
      </w:r>
      <w:bookmarkStart w:id="3" w:name="OLE_LINK1"/>
      <w:r>
        <w:rPr>
          <w:rFonts w:hint="eastAsia" w:ascii="宋体" w:hAnsi="宋体" w:eastAsia="宋体" w:cs="Times New Roman"/>
          <w:color w:val="000000"/>
          <w:sz w:val="24"/>
          <w:szCs w:val="24"/>
        </w:rPr>
        <w:t>见《投标须知前附表》。</w:t>
      </w:r>
    </w:p>
    <w:bookmarkEnd w:id="3"/>
    <w:p>
      <w:pPr>
        <w:keepNext/>
        <w:keepLines/>
        <w:numPr>
          <w:ilvl w:val="0"/>
          <w:numId w:val="4"/>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招标内容及形式</w:t>
      </w:r>
    </w:p>
    <w:p>
      <w:pPr>
        <w:pStyle w:val="8"/>
        <w:spacing w:line="360" w:lineRule="auto"/>
        <w:ind w:firstLine="480" w:firstLineChars="200"/>
      </w:pPr>
      <w:r>
        <w:rPr>
          <w:rFonts w:hint="eastAsia" w:hAnsi="宋体" w:eastAsia="宋体" w:cs="Times New Roman"/>
          <w:color w:val="000000"/>
          <w:sz w:val="24"/>
          <w:szCs w:val="24"/>
        </w:rPr>
        <w:t>见《投标须知前附表》。</w:t>
      </w:r>
    </w:p>
    <w:p>
      <w:pPr>
        <w:spacing w:line="360" w:lineRule="auto"/>
        <w:ind w:firstLine="482" w:firstLineChars="200"/>
        <w:rPr>
          <w:rFonts w:ascii="宋体" w:hAnsi="Courier New" w:eastAsia="宋体" w:cs="Times New Roman"/>
          <w:color w:val="000000"/>
          <w:sz w:val="24"/>
          <w:szCs w:val="24"/>
        </w:rPr>
      </w:pPr>
      <w:r>
        <w:rPr>
          <w:rFonts w:hint="eastAsia" w:ascii="宋体" w:hAnsi="Courier New" w:eastAsia="宋体" w:cs="Times New Roman"/>
          <w:b/>
          <w:color w:val="000000"/>
          <w:sz w:val="24"/>
          <w:szCs w:val="24"/>
        </w:rPr>
        <w:t>对于本项目需着重介绍的注意事项已通过以下带颜色文档进行标记。</w:t>
      </w:r>
    </w:p>
    <w:p>
      <w:pPr>
        <w:spacing w:line="360" w:lineRule="auto"/>
        <w:ind w:firstLine="482" w:firstLineChars="200"/>
        <w:rPr>
          <w:rFonts w:ascii="宋体" w:hAnsi="Courier New" w:eastAsia="宋体" w:cs="Times New Roman"/>
          <w:b/>
          <w:color w:val="000000"/>
          <w:sz w:val="24"/>
          <w:szCs w:val="24"/>
        </w:rPr>
      </w:pPr>
      <w:r>
        <w:rPr>
          <w:rFonts w:hint="eastAsia" w:ascii="宋体" w:hAnsi="Courier New" w:eastAsia="宋体" w:cs="Times New Roman"/>
          <w:b/>
          <w:color w:val="000000"/>
          <w:sz w:val="24"/>
          <w:szCs w:val="24"/>
        </w:rPr>
        <w:t>具体要求详见《技术标书》。</w:t>
      </w:r>
    </w:p>
    <w:p>
      <w:pPr>
        <w:keepNext/>
        <w:keepLines/>
        <w:numPr>
          <w:ilvl w:val="0"/>
          <w:numId w:val="4"/>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交货及付款</w:t>
      </w:r>
      <w:r>
        <w:rPr>
          <w:rFonts w:ascii="Arial" w:hAnsi="Arial" w:eastAsia="宋体" w:cs="Times New Roman"/>
          <w:b/>
          <w:bCs/>
          <w:sz w:val="28"/>
          <w:szCs w:val="36"/>
        </w:rPr>
        <w:tab/>
      </w:r>
    </w:p>
    <w:p>
      <w:pPr>
        <w:pStyle w:val="8"/>
        <w:ind w:firstLine="480" w:firstLineChars="200"/>
      </w:pPr>
      <w:r>
        <w:rPr>
          <w:rFonts w:hint="eastAsia" w:eastAsia="宋体" w:cs="Times New Roman"/>
          <w:color w:val="000000"/>
          <w:sz w:val="24"/>
          <w:szCs w:val="24"/>
        </w:rPr>
        <w:t>交货期、交货地点、交货方式、付款方式及比例</w:t>
      </w:r>
      <w:r>
        <w:rPr>
          <w:rFonts w:hint="eastAsia" w:hAnsi="宋体" w:eastAsia="宋体" w:cs="Times New Roman"/>
          <w:color w:val="000000"/>
          <w:sz w:val="24"/>
          <w:szCs w:val="24"/>
        </w:rPr>
        <w:t>见《投标须知前附表》第7条。</w:t>
      </w:r>
    </w:p>
    <w:p>
      <w:pPr>
        <w:keepNext/>
        <w:keepLines/>
        <w:outlineLvl w:val="1"/>
        <w:rPr>
          <w:rFonts w:ascii="Arial" w:hAnsi="Arial" w:eastAsia="宋体" w:cs="Times New Roman"/>
          <w:b/>
          <w:bCs/>
          <w:sz w:val="28"/>
          <w:szCs w:val="36"/>
        </w:rPr>
      </w:pPr>
      <w:r>
        <w:rPr>
          <w:rFonts w:hint="eastAsia" w:ascii="Arial" w:hAnsi="Arial" w:eastAsia="宋体" w:cs="Times New Roman"/>
          <w:b/>
          <w:bCs/>
          <w:sz w:val="28"/>
          <w:szCs w:val="36"/>
        </w:rPr>
        <w:t>四、投标说明</w:t>
      </w: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1.报名方式</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投标人根据招标人在中国重汽官网等公开媒体上发布的招标信息，在“中国重汽e采通”平台报名。按照中国重汽e采通“SRM非生产供应商注册手册（附件15）”进行注册，进入“供应商应标”，选择对应的项目，点击“应标”后按照招标文件第三部分投标文件组成资格证明文件中的1.1-1.12准备资料并上传，资质审查通过即为报名成功，公示期间请尽快报名。</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投标保证金缴纳时，</w:t>
      </w:r>
      <w:r>
        <w:rPr>
          <w:rFonts w:hint="eastAsia" w:ascii="宋体" w:hAnsi="Courier New" w:eastAsia="宋体" w:cs="Times New Roman"/>
          <w:b/>
          <w:bCs/>
          <w:color w:val="000000"/>
          <w:sz w:val="24"/>
          <w:szCs w:val="24"/>
        </w:rPr>
        <w:t>务必备注所投标的项目名称</w:t>
      </w:r>
      <w:r>
        <w:rPr>
          <w:rFonts w:hint="eastAsia" w:ascii="宋体" w:hAnsi="Courier New" w:eastAsia="宋体" w:cs="Times New Roman"/>
          <w:color w:val="000000"/>
          <w:sz w:val="24"/>
          <w:szCs w:val="24"/>
        </w:rPr>
        <w:t>。</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不按要求报名的，或因未提供相关信息导致后期无法退回保证金的，需投标人承担责任。</w:t>
      </w:r>
    </w:p>
    <w:p>
      <w:pPr>
        <w:pStyle w:val="8"/>
        <w:numPr>
          <w:ilvl w:val="0"/>
          <w:numId w:val="5"/>
        </w:numPr>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投标条件</w:t>
      </w:r>
    </w:p>
    <w:p>
      <w:pPr>
        <w:pStyle w:val="8"/>
        <w:ind w:firstLine="480"/>
        <w:rPr>
          <w:rFonts w:hAnsi="宋体" w:cs="宋体"/>
          <w:b/>
          <w:color w:val="000000"/>
          <w:sz w:val="24"/>
          <w:szCs w:val="24"/>
          <w:highlight w:val="yellow"/>
        </w:rPr>
      </w:pPr>
      <w:r>
        <w:rPr>
          <w:rFonts w:hint="eastAsia" w:eastAsia="宋体" w:cs="Times New Roman"/>
          <w:b/>
          <w:bCs/>
          <w:color w:val="000000"/>
          <w:sz w:val="24"/>
          <w:szCs w:val="24"/>
          <w:highlight w:val="yellow"/>
        </w:rPr>
        <w:t>对于中国境内投标人，投标条件详见招标文件“第一部分投标须知前附表1.6”。</w:t>
      </w:r>
    </w:p>
    <w:p>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3.报价</w:t>
      </w:r>
    </w:p>
    <w:p>
      <w:pPr>
        <w:pStyle w:val="8"/>
        <w:spacing w:line="360" w:lineRule="auto"/>
        <w:ind w:firstLine="480" w:firstLineChars="200"/>
        <w:rPr>
          <w:rFonts w:hAnsi="宋体" w:eastAsia="宋体" w:cs="Times New Roman"/>
          <w:color w:val="000000"/>
          <w:sz w:val="24"/>
          <w:szCs w:val="24"/>
        </w:rPr>
      </w:pPr>
      <w:r>
        <w:rPr>
          <w:rFonts w:hint="eastAsia" w:hAnsi="宋体" w:eastAsia="宋体" w:cs="Times New Roman"/>
          <w:color w:val="000000"/>
          <w:sz w:val="24"/>
          <w:szCs w:val="24"/>
        </w:rPr>
        <w:t>3.1</w:t>
      </w:r>
      <w:r>
        <w:rPr>
          <w:rFonts w:hint="eastAsia" w:hAnsi="宋体" w:eastAsia="宋体" w:cs="Times New Roman"/>
          <w:sz w:val="24"/>
          <w:szCs w:val="24"/>
        </w:rPr>
        <w:t>本次招投标为</w:t>
      </w:r>
      <w:r>
        <w:rPr>
          <w:rFonts w:hint="eastAsia" w:eastAsia="宋体" w:cs="Times New Roman"/>
          <w:color w:val="000000"/>
          <w:sz w:val="24"/>
          <w:szCs w:val="24"/>
          <w:highlight w:val="yellow"/>
        </w:rPr>
        <w:t>公开招标</w:t>
      </w:r>
      <w:r>
        <w:rPr>
          <w:rFonts w:hint="eastAsia" w:hAnsi="宋体" w:eastAsia="宋体" w:cs="Times New Roman"/>
          <w:b/>
          <w:sz w:val="24"/>
          <w:szCs w:val="24"/>
        </w:rPr>
        <w:t>；</w:t>
      </w:r>
      <w:r>
        <w:rPr>
          <w:rFonts w:hint="eastAsia" w:hAnsi="宋体" w:eastAsia="宋体" w:cs="Times New Roman"/>
          <w:color w:val="000000"/>
          <w:sz w:val="24"/>
          <w:szCs w:val="24"/>
        </w:rPr>
        <w:t>评标流程以及规则详见本部分第六条评标原则。</w:t>
      </w:r>
    </w:p>
    <w:p>
      <w:pPr>
        <w:spacing w:line="360" w:lineRule="auto"/>
        <w:ind w:firstLine="235" w:firstLineChars="98"/>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3.2</w:t>
      </w:r>
      <w:r>
        <w:rPr>
          <w:rFonts w:hint="eastAsia" w:ascii="宋体" w:hAnsi="宋体" w:eastAsia="宋体" w:cs="Times New Roman"/>
          <w:b/>
          <w:bCs/>
          <w:color w:val="000000"/>
          <w:sz w:val="24"/>
          <w:szCs w:val="24"/>
          <w:highlight w:val="yellow"/>
        </w:rPr>
        <w:t>所有设备的报价货币单位为：</w:t>
      </w:r>
      <w:r>
        <w:rPr>
          <w:rFonts w:hint="eastAsia" w:ascii="宋体" w:hAnsi="宋体" w:eastAsia="宋体" w:cs="Times New Roman"/>
          <w:b/>
          <w:bCs/>
          <w:color w:val="000000"/>
          <w:sz w:val="24"/>
          <w:szCs w:val="24"/>
          <w:highlight w:val="yellow"/>
          <w:u w:val="single"/>
        </w:rPr>
        <w:t xml:space="preserve">        </w:t>
      </w:r>
      <w:r>
        <w:rPr>
          <w:rFonts w:hint="eastAsia" w:ascii="宋体" w:hAnsi="宋体" w:eastAsia="宋体" w:cs="Times New Roman"/>
          <w:b/>
          <w:bCs/>
          <w:color w:val="000000"/>
          <w:sz w:val="24"/>
          <w:szCs w:val="24"/>
          <w:highlight w:val="yellow"/>
        </w:rPr>
        <w:t>元【人民币（应同时报含税价和不含税价并写明税率）】。</w:t>
      </w:r>
    </w:p>
    <w:p>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4.设备要求：</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4.1投标设备技术参数和总体要求按《技术标书》执行；</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4.2设备制造完毕经出厂检验合格后方能发货；</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4.3设备包装按国家或部颁标准执行；</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4.4设备交货要求直接发货至合同指定地点，否则买方有权拒绝接受货物；</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4.5投标人按技术规范书提报设备详细技术资料；</w:t>
      </w:r>
    </w:p>
    <w:p>
      <w:pPr>
        <w:pStyle w:val="8"/>
        <w:spacing w:line="360" w:lineRule="auto"/>
        <w:ind w:firstLine="480" w:firstLineChars="200"/>
        <w:rPr>
          <w:rFonts w:hAnsi="宋体" w:eastAsia="宋体"/>
          <w:color w:val="000000"/>
          <w:sz w:val="24"/>
          <w:szCs w:val="24"/>
        </w:rPr>
      </w:pPr>
      <w:r>
        <w:rPr>
          <w:rFonts w:hint="eastAsia" w:hAnsi="宋体" w:eastAsia="宋体"/>
          <w:color w:val="000000"/>
          <w:sz w:val="24"/>
          <w:szCs w:val="24"/>
        </w:rPr>
        <w:t>4.6</w:t>
      </w:r>
      <w:r>
        <w:rPr>
          <w:rFonts w:hAnsi="宋体" w:eastAsia="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hint="eastAsia" w:hAnsi="宋体" w:eastAsia="宋体"/>
          <w:color w:val="000000"/>
          <w:sz w:val="24"/>
          <w:szCs w:val="24"/>
        </w:rPr>
        <w:t>；</w:t>
      </w:r>
    </w:p>
    <w:p>
      <w:pPr>
        <w:pStyle w:val="8"/>
        <w:spacing w:line="360" w:lineRule="auto"/>
        <w:ind w:firstLine="480" w:firstLineChars="200"/>
        <w:rPr>
          <w:rFonts w:hAnsi="宋体" w:eastAsia="宋体"/>
          <w:color w:val="000000"/>
          <w:sz w:val="24"/>
          <w:szCs w:val="24"/>
        </w:rPr>
      </w:pPr>
      <w:r>
        <w:rPr>
          <w:rFonts w:hint="eastAsia" w:hAnsi="宋体" w:eastAsia="宋体"/>
          <w:color w:val="000000"/>
          <w:sz w:val="24"/>
          <w:szCs w:val="24"/>
        </w:rPr>
        <w:t>4.7</w:t>
      </w:r>
      <w:r>
        <w:rPr>
          <w:rFonts w:hAnsi="宋体" w:eastAsia="宋体"/>
          <w:color w:val="000000"/>
          <w:sz w:val="24"/>
          <w:szCs w:val="24"/>
        </w:rPr>
        <w:t>设备设施颜色严格执行我公司企业标准《设备设施颜色标识》（Q/ZZ30070</w:t>
      </w:r>
    </w:p>
    <w:p>
      <w:pPr>
        <w:pStyle w:val="8"/>
        <w:spacing w:line="360" w:lineRule="auto"/>
        <w:rPr>
          <w:rFonts w:hAnsi="宋体" w:eastAsia="宋体"/>
          <w:color w:val="000000"/>
          <w:sz w:val="24"/>
          <w:szCs w:val="24"/>
        </w:rPr>
      </w:pPr>
      <w:r>
        <w:rPr>
          <w:rFonts w:hAnsi="宋体" w:eastAsia="宋体"/>
          <w:color w:val="000000"/>
          <w:sz w:val="24"/>
          <w:szCs w:val="24"/>
        </w:rPr>
        <w:t>—2020）。</w:t>
      </w:r>
    </w:p>
    <w:p>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5.其他要求</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包装、运输、检验、交付、安装、调试、培训、结算、质保及售后服务等，按《技术标书》要求，在标书中列示说明，最终以合同约定为准。</w:t>
      </w: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6.询标</w:t>
      </w:r>
    </w:p>
    <w:p>
      <w:pPr>
        <w:keepNext/>
        <w:keepLines/>
        <w:spacing w:line="420" w:lineRule="exact"/>
        <w:ind w:firstLine="480" w:firstLineChars="200"/>
        <w:rPr>
          <w:rFonts w:ascii="Times New Roman" w:hAnsi="Times New Roman" w:eastAsia="宋体" w:cs="Times New Roman"/>
          <w:b/>
          <w:bCs/>
          <w:color w:val="000000"/>
          <w:sz w:val="24"/>
          <w:szCs w:val="24"/>
        </w:rPr>
      </w:pPr>
      <w:r>
        <w:rPr>
          <w:rFonts w:hint="eastAsia" w:ascii="宋体" w:hAnsi="宋体" w:eastAsia="宋体" w:cs="Times New Roman"/>
          <w:color w:val="000000"/>
          <w:sz w:val="24"/>
          <w:szCs w:val="24"/>
        </w:rPr>
        <w:t>凡对本次招标提出的询问，均以招标人的书面答复为准。</w:t>
      </w:r>
    </w:p>
    <w:p>
      <w:pPr>
        <w:keepNext/>
        <w:keepLines/>
        <w:spacing w:line="420" w:lineRule="exact"/>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五、议程安排</w:t>
      </w:r>
    </w:p>
    <w:p>
      <w:pPr>
        <w:keepNext/>
        <w:keepLines/>
        <w:spacing w:line="420" w:lineRule="exact"/>
        <w:ind w:firstLine="482" w:firstLineChars="200"/>
        <w:outlineLvl w:val="2"/>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1</w:t>
      </w:r>
      <w:r>
        <w:rPr>
          <w:rFonts w:hint="eastAsia" w:ascii="Times New Roman" w:hAnsi="Times New Roman" w:eastAsia="宋体" w:cs="Times New Roman"/>
          <w:b/>
          <w:bCs/>
          <w:color w:val="000000"/>
          <w:sz w:val="24"/>
          <w:szCs w:val="24"/>
        </w:rPr>
        <w:t>.发标时间</w:t>
      </w:r>
    </w:p>
    <w:p>
      <w:pPr>
        <w:spacing w:line="420" w:lineRule="exact"/>
        <w:ind w:firstLine="480" w:firstLineChars="200"/>
        <w:rPr>
          <w:rFonts w:ascii="宋体" w:hAnsi="宋体" w:eastAsia="宋体" w:cs="Times New Roman"/>
          <w:color w:val="000000"/>
          <w:sz w:val="24"/>
          <w:szCs w:val="24"/>
          <w:highlight w:val="yellow"/>
        </w:rPr>
      </w:pPr>
      <w:r>
        <w:rPr>
          <w:rFonts w:hint="eastAsia" w:ascii="宋体" w:hAnsi="宋体" w:eastAsia="宋体" w:cs="Times New Roman"/>
          <w:color w:val="000000"/>
          <w:sz w:val="24"/>
          <w:szCs w:val="24"/>
          <w:highlight w:val="yellow"/>
        </w:rPr>
        <w:t>见《投标须知前附表》2.1。</w:t>
      </w:r>
    </w:p>
    <w:p>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2.发标方式</w:t>
      </w:r>
    </w:p>
    <w:p>
      <w:pPr>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中国重汽官网→快讯中心→通知公告栏公布。</w:t>
      </w:r>
    </w:p>
    <w:p>
      <w:pPr>
        <w:keepNext/>
        <w:keepLines/>
        <w:spacing w:line="420" w:lineRule="exact"/>
        <w:ind w:firstLine="482" w:firstLineChars="200"/>
        <w:outlineLvl w:val="2"/>
        <w:rPr>
          <w:rFonts w:ascii="宋体" w:hAnsi="Times New Roman" w:eastAsia="宋体" w:cs="Times New Roman"/>
          <w:b/>
          <w:bCs/>
          <w:color w:val="000000"/>
          <w:sz w:val="24"/>
          <w:szCs w:val="24"/>
        </w:rPr>
      </w:pPr>
      <w:r>
        <w:rPr>
          <w:rFonts w:hint="eastAsia" w:ascii="宋体" w:hAnsi="宋体" w:eastAsia="宋体" w:cs="Times New Roman"/>
          <w:b/>
          <w:bCs/>
          <w:color w:val="000000"/>
          <w:sz w:val="24"/>
          <w:szCs w:val="24"/>
        </w:rPr>
        <w:t>3.答疑</w:t>
      </w:r>
    </w:p>
    <w:p>
      <w:pPr>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见《投标须知前附表》第二条，逾期不受理。</w:t>
      </w:r>
    </w:p>
    <w:p>
      <w:pPr>
        <w:keepNext/>
        <w:keepLines/>
        <w:spacing w:line="420" w:lineRule="exact"/>
        <w:ind w:firstLine="482" w:firstLineChars="200"/>
        <w:outlineLvl w:val="2"/>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4.投标报名</w:t>
      </w:r>
    </w:p>
    <w:p>
      <w:pPr>
        <w:keepNext/>
        <w:keepLines/>
        <w:spacing w:line="420" w:lineRule="exact"/>
        <w:ind w:firstLine="482"/>
        <w:rPr>
          <w:rFonts w:eastAsia="宋体" w:cs="Times New Roman"/>
          <w:sz w:val="24"/>
          <w:szCs w:val="24"/>
        </w:rPr>
      </w:pPr>
      <w:r>
        <w:rPr>
          <w:rFonts w:hint="eastAsia" w:hAnsi="Courier New" w:eastAsia="宋体" w:cs="Times New Roman"/>
          <w:sz w:val="24"/>
          <w:szCs w:val="24"/>
        </w:rPr>
        <w:t>4.1</w:t>
      </w:r>
      <w:r>
        <w:rPr>
          <w:rFonts w:hint="eastAsia" w:eastAsia="宋体" w:cs="Times New Roman"/>
          <w:sz w:val="24"/>
          <w:szCs w:val="24"/>
        </w:rPr>
        <w:t>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eastAsia="宋体" w:cs="Times New Roman"/>
          <w:sz w:val="24"/>
          <w:szCs w:val="24"/>
          <w:highlight w:val="yellow"/>
        </w:rPr>
        <w:t>（保证金具体金额及缴纳截止时间见《投标须知前附表》4.3）。</w:t>
      </w:r>
    </w:p>
    <w:p>
      <w:pPr>
        <w:pStyle w:val="20"/>
        <w:ind w:firstLine="480"/>
        <w:rPr>
          <w:rFonts w:eastAsia="宋体" w:cs="Times New Roman"/>
          <w:highlight w:val="green"/>
        </w:rPr>
      </w:pPr>
      <w:r>
        <w:rPr>
          <w:rFonts w:hint="eastAsia" w:eastAsia="宋体" w:cs="Times New Roman"/>
          <w:highlight w:val="yellow"/>
        </w:rPr>
        <w:t>4.2招标人银行账户信息如下：</w:t>
      </w:r>
      <w:r>
        <w:rPr>
          <w:rFonts w:hint="eastAsia" w:eastAsia="宋体" w:cs="宋体"/>
        </w:rPr>
        <w:t>见《投标须知前附表》4.2</w:t>
      </w:r>
    </w:p>
    <w:p>
      <w:pPr>
        <w:pStyle w:val="20"/>
        <w:ind w:firstLine="480"/>
        <w:rPr>
          <w:rFonts w:eastAsia="宋体" w:cs="Times New Roman"/>
        </w:rPr>
      </w:pPr>
      <w:r>
        <w:rPr>
          <w:rFonts w:hint="eastAsia" w:eastAsia="宋体" w:cs="Times New Roman"/>
        </w:rPr>
        <w:t>转账附言：公司名称+项目名称+投标保证金；</w:t>
      </w:r>
    </w:p>
    <w:p>
      <w:pPr>
        <w:pStyle w:val="20"/>
        <w:ind w:firstLine="480"/>
        <w:rPr>
          <w:rFonts w:eastAsia="宋体" w:cs="Times New Roman"/>
        </w:rPr>
      </w:pPr>
      <w:r>
        <w:rPr>
          <w:rFonts w:hint="eastAsia" w:eastAsia="宋体" w:cs="Times New Roman"/>
        </w:rPr>
        <w:t>对于没有中标的投标单位，投标保证金将于招标人内部完成中标人评审并确认最终中标人后在30工作日内予以原路返还（无息）；对于中标方，投标保证金将在签订合同后30工作日内返还。</w:t>
      </w:r>
    </w:p>
    <w:p>
      <w:pPr>
        <w:pStyle w:val="20"/>
        <w:ind w:firstLine="480"/>
        <w:rPr>
          <w:rFonts w:eastAsia="宋体" w:cs="Times New Roman"/>
        </w:rPr>
      </w:pPr>
      <w:r>
        <w:rPr>
          <w:rFonts w:hint="eastAsia" w:eastAsia="宋体" w:cs="Times New Roman"/>
        </w:rPr>
        <w:t>4.3说明</w:t>
      </w:r>
    </w:p>
    <w:p>
      <w:pPr>
        <w:pStyle w:val="20"/>
        <w:ind w:firstLine="480"/>
        <w:rPr>
          <w:rFonts w:eastAsia="宋体" w:cs="Times New Roman"/>
        </w:rPr>
      </w:pPr>
      <w:r>
        <w:rPr>
          <w:rFonts w:hint="eastAsia" w:eastAsia="宋体" w:cs="Times New Roman"/>
        </w:rPr>
        <w:t>4.3.1 投标人在向招标人出示《投标保证金缴纳凭证》后方可进行投标；</w:t>
      </w:r>
    </w:p>
    <w:p>
      <w:pPr>
        <w:pStyle w:val="20"/>
        <w:ind w:firstLine="480"/>
        <w:rPr>
          <w:rFonts w:eastAsia="宋体" w:cs="Times New Roman"/>
        </w:rPr>
      </w:pPr>
      <w:r>
        <w:rPr>
          <w:rFonts w:hint="eastAsia" w:eastAsia="宋体" w:cs="Times New Roman"/>
        </w:rPr>
        <w:t>4.3.2 发生以下情况时，招标人有权没收保证金：</w:t>
      </w:r>
    </w:p>
    <w:p>
      <w:pPr>
        <w:pStyle w:val="20"/>
        <w:ind w:firstLine="480"/>
        <w:rPr>
          <w:rFonts w:eastAsia="宋体" w:cs="Times New Roman"/>
        </w:rPr>
      </w:pPr>
      <w:r>
        <w:rPr>
          <w:rFonts w:hint="eastAsia" w:eastAsia="宋体" w:cs="Times New Roman"/>
        </w:rPr>
        <w:t>4.3.2.1 截至开标前3天，投标人无正当理由且未以书面形式递交说明而在投标截止日不来投标的；</w:t>
      </w:r>
    </w:p>
    <w:p>
      <w:pPr>
        <w:pStyle w:val="20"/>
        <w:ind w:firstLine="480"/>
        <w:rPr>
          <w:rFonts w:eastAsia="宋体" w:cs="Times New Roman"/>
        </w:rPr>
      </w:pPr>
      <w:r>
        <w:rPr>
          <w:rFonts w:hint="eastAsia" w:eastAsia="宋体" w:cs="Times New Roman"/>
        </w:rPr>
        <w:t>4.3.2.2 投标人递送投标文件后，无正当理由放弃投标的；</w:t>
      </w:r>
    </w:p>
    <w:p>
      <w:pPr>
        <w:pStyle w:val="20"/>
        <w:ind w:firstLine="480"/>
        <w:rPr>
          <w:rFonts w:eastAsia="宋体" w:cs="Times New Roman"/>
        </w:rPr>
      </w:pPr>
      <w:r>
        <w:rPr>
          <w:rFonts w:hint="eastAsia" w:eastAsia="宋体" w:cs="Times New Roman"/>
        </w:rPr>
        <w:t>4.3.2.3若为视频开标，招标过程中澄清函等资料原件未按要求提交的；</w:t>
      </w:r>
    </w:p>
    <w:p>
      <w:pPr>
        <w:pStyle w:val="20"/>
        <w:ind w:firstLine="480"/>
        <w:rPr>
          <w:rFonts w:eastAsia="宋体" w:cs="Times New Roman"/>
        </w:rPr>
      </w:pPr>
      <w:r>
        <w:rPr>
          <w:rFonts w:hint="eastAsia" w:eastAsia="宋体" w:cs="Times New Roman"/>
        </w:rPr>
        <w:t>4.3.2.4自中标通知书发出之日起30日内，中标人无正当理由不签订合同的；</w:t>
      </w:r>
    </w:p>
    <w:p>
      <w:pPr>
        <w:pStyle w:val="20"/>
        <w:ind w:firstLine="480"/>
        <w:rPr>
          <w:rFonts w:eastAsia="宋体" w:cs="Times New Roman"/>
        </w:rPr>
      </w:pPr>
      <w:r>
        <w:rPr>
          <w:rFonts w:hint="eastAsia" w:eastAsia="宋体" w:cs="Times New Roman"/>
        </w:rPr>
        <w:t>4.3.2.5投标人在投标过程中被查实有串标、围标、陪标等违规违纪行为的；</w:t>
      </w:r>
    </w:p>
    <w:p>
      <w:pPr>
        <w:spacing w:line="360" w:lineRule="auto"/>
        <w:ind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4.3.2.6投标人有违约违规行为或被投诉、举报的，在调查处理期间，保证金暂不退还，待调查处理结束后按有关规定处理。</w:t>
      </w:r>
    </w:p>
    <w:p>
      <w:pPr>
        <w:pStyle w:val="20"/>
        <w:ind w:firstLine="480"/>
        <w:rPr>
          <w:rFonts w:eastAsia="宋体" w:cs="Times New Roman"/>
        </w:rPr>
      </w:pPr>
      <w:r>
        <w:rPr>
          <w:rFonts w:hint="eastAsia" w:eastAsia="宋体" w:cs="Times New Roman"/>
        </w:rPr>
        <w:t>4.4投标报名截止时间</w:t>
      </w:r>
    </w:p>
    <w:p>
      <w:pPr>
        <w:pStyle w:val="20"/>
        <w:ind w:firstLine="480"/>
        <w:rPr>
          <w:rFonts w:eastAsia="宋体" w:cs="Times New Roman"/>
        </w:rPr>
      </w:pPr>
      <w:r>
        <w:rPr>
          <w:rFonts w:hint="eastAsia" w:eastAsia="宋体" w:cs="Times New Roman"/>
        </w:rPr>
        <w:t>报名方式：</w:t>
      </w:r>
      <w:r>
        <w:rPr>
          <w:rFonts w:hint="eastAsia" w:eastAsia="宋体" w:cs="Times New Roman"/>
          <w:highlight w:val="yellow"/>
        </w:rPr>
        <w:t>见《投标须知前附表》2.3。</w:t>
      </w:r>
    </w:p>
    <w:p>
      <w:pPr>
        <w:pStyle w:val="20"/>
        <w:ind w:firstLine="480"/>
        <w:rPr>
          <w:rFonts w:eastAsia="宋体" w:cs="Times New Roman"/>
        </w:rPr>
      </w:pPr>
      <w:r>
        <w:rPr>
          <w:rFonts w:hint="eastAsia" w:eastAsia="宋体" w:cs="Times New Roman"/>
        </w:rPr>
        <w:t>报名提交资料：均为盖章电子扫描版，用公司名称+文件名称命名。</w:t>
      </w:r>
    </w:p>
    <w:p>
      <w:pPr>
        <w:numPr>
          <w:ilvl w:val="0"/>
          <w:numId w:val="6"/>
        </w:numPr>
        <w:spacing w:line="420" w:lineRule="exact"/>
        <w:rPr>
          <w:rFonts w:ascii="宋体" w:hAnsi="宋体" w:eastAsia="宋体" w:cs="宋体"/>
          <w:color w:val="000000"/>
          <w:sz w:val="24"/>
          <w:szCs w:val="24"/>
        </w:rPr>
      </w:pPr>
      <w:r>
        <w:rPr>
          <w:rFonts w:hint="eastAsia" w:ascii="宋体" w:hAnsi="宋体" w:eastAsia="宋体" w:cs="Times New Roman"/>
          <w:b/>
          <w:color w:val="000000"/>
          <w:sz w:val="24"/>
          <w:szCs w:val="24"/>
        </w:rPr>
        <w:t>如果是授权委托人投标，</w:t>
      </w:r>
      <w:r>
        <w:rPr>
          <w:rFonts w:hint="eastAsia" w:ascii="宋体" w:hAnsi="宋体" w:eastAsia="宋体" w:cs="Times New Roman"/>
          <w:color w:val="000000"/>
          <w:sz w:val="24"/>
          <w:szCs w:val="24"/>
        </w:rPr>
        <w:t>要提交三证合一的营业执照副本、法人授权委托书（含法人及授权人身份信息证明、授权代表联系方式）。</w:t>
      </w:r>
    </w:p>
    <w:p>
      <w:pPr>
        <w:numPr>
          <w:ilvl w:val="0"/>
          <w:numId w:val="6"/>
        </w:numPr>
        <w:spacing w:line="420" w:lineRule="exact"/>
        <w:rPr>
          <w:rFonts w:ascii="宋体" w:hAnsi="宋体" w:eastAsia="宋体" w:cs="Times New Roman"/>
          <w:color w:val="000000"/>
          <w:sz w:val="24"/>
          <w:szCs w:val="24"/>
        </w:rPr>
      </w:pPr>
      <w:r>
        <w:rPr>
          <w:rFonts w:hint="eastAsia" w:ascii="宋体" w:hAnsi="宋体" w:eastAsia="宋体" w:cs="Times New Roman"/>
          <w:b/>
          <w:color w:val="000000"/>
          <w:sz w:val="24"/>
          <w:szCs w:val="24"/>
        </w:rPr>
        <w:t>如果是法人参加投标</w:t>
      </w:r>
      <w:r>
        <w:rPr>
          <w:rFonts w:hint="eastAsia" w:ascii="宋体" w:hAnsi="宋体" w:eastAsia="宋体" w:cs="Times New Roman"/>
          <w:color w:val="000000"/>
          <w:sz w:val="24"/>
          <w:szCs w:val="24"/>
        </w:rPr>
        <w:t>，要提交三证合一的营业执照副本、法人代表证明文件。</w:t>
      </w:r>
    </w:p>
    <w:p>
      <w:pPr>
        <w:numPr>
          <w:ilvl w:val="0"/>
          <w:numId w:val="6"/>
        </w:numPr>
        <w:spacing w:line="420" w:lineRule="exact"/>
        <w:rPr>
          <w:rFonts w:ascii="宋体" w:hAnsi="宋体" w:eastAsia="宋体" w:cs="Times New Roman"/>
          <w:color w:val="000000"/>
          <w:sz w:val="24"/>
          <w:szCs w:val="24"/>
        </w:rPr>
      </w:pPr>
      <w:r>
        <w:rPr>
          <w:rFonts w:hint="eastAsia" w:ascii="宋体" w:hAnsi="宋体" w:eastAsia="宋体" w:cs="Times New Roman"/>
          <w:b/>
          <w:color w:val="000000"/>
          <w:sz w:val="24"/>
          <w:szCs w:val="24"/>
        </w:rPr>
        <w:t>如果是代理商投标</w:t>
      </w:r>
      <w:r>
        <w:rPr>
          <w:rFonts w:hint="eastAsia" w:ascii="宋体" w:hAnsi="宋体" w:eastAsia="宋体" w:cs="Times New Roman"/>
          <w:color w:val="000000"/>
          <w:sz w:val="24"/>
          <w:szCs w:val="24"/>
        </w:rPr>
        <w:t>，除上述</w:t>
      </w:r>
      <w:r>
        <w:rPr>
          <w:rFonts w:ascii="宋体" w:hAnsi="宋体" w:eastAsia="宋体" w:cs="Times New Roman"/>
          <w:color w:val="000000"/>
          <w:sz w:val="24"/>
          <w:szCs w:val="24"/>
        </w:rPr>
        <w:t>a)b)</w:t>
      </w:r>
      <w:r>
        <w:rPr>
          <w:rFonts w:hint="eastAsia" w:ascii="宋体" w:hAnsi="宋体" w:eastAsia="宋体" w:cs="Times New Roman"/>
          <w:color w:val="000000"/>
          <w:sz w:val="24"/>
          <w:szCs w:val="24"/>
        </w:rPr>
        <w:t>中要求的资料，要另外携带生产商的授权书、原厂售后服务承诺书。</w:t>
      </w:r>
    </w:p>
    <w:p>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5.开标时间</w:t>
      </w:r>
    </w:p>
    <w:p>
      <w:pPr>
        <w:keepNext/>
        <w:keepLines/>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见《投标须知前附表》5.1，若有变动另行通知。</w:t>
      </w:r>
    </w:p>
    <w:p>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6.开标方式</w:t>
      </w:r>
    </w:p>
    <w:p>
      <w:pPr>
        <w:spacing w:line="420" w:lineRule="exact"/>
        <w:ind w:firstLine="480" w:firstLineChars="200"/>
        <w:rPr>
          <w:rFonts w:ascii="宋体" w:hAnsi="宋体" w:eastAsia="宋体" w:cs="宋体"/>
          <w:color w:val="000000"/>
          <w:sz w:val="24"/>
          <w:szCs w:val="24"/>
          <w:highlight w:val="yellow"/>
        </w:rPr>
      </w:pPr>
      <w:r>
        <w:rPr>
          <w:rFonts w:ascii="宋体" w:hAnsi="宋体" w:eastAsia="宋体" w:cs="宋体"/>
          <w:color w:val="000000"/>
          <w:sz w:val="24"/>
          <w:szCs w:val="24"/>
          <w:highlight w:val="yellow"/>
        </w:rPr>
        <w:t>其他情况请选择视频</w:t>
      </w:r>
      <w:r>
        <w:rPr>
          <w:rFonts w:hint="eastAsia" w:ascii="宋体" w:hAnsi="宋体" w:eastAsia="宋体" w:cs="宋体"/>
          <w:color w:val="000000"/>
          <w:sz w:val="24"/>
          <w:szCs w:val="24"/>
          <w:highlight w:val="yellow"/>
        </w:rPr>
        <w:t>参与开标，视频链接会在报名结束后统一通知。</w:t>
      </w:r>
    </w:p>
    <w:p>
      <w:pPr>
        <w:keepNext/>
        <w:keepLines/>
        <w:spacing w:line="420" w:lineRule="exact"/>
        <w:jc w:val="left"/>
        <w:outlineLvl w:val="1"/>
        <w:rPr>
          <w:rFonts w:ascii="Times New Roman" w:hAnsi="Times New Roman" w:eastAsia="宋体" w:cs="Times New Roman"/>
          <w:b/>
          <w:bCs/>
          <w:color w:val="000000"/>
          <w:sz w:val="28"/>
          <w:szCs w:val="28"/>
        </w:rPr>
      </w:pPr>
      <w:bookmarkStart w:id="4" w:name="_Toc33266914"/>
      <w:bookmarkStart w:id="5" w:name="_Toc33265653"/>
      <w:bookmarkStart w:id="6" w:name="_Toc33285487"/>
      <w:bookmarkStart w:id="7" w:name="_Toc33265752"/>
      <w:bookmarkStart w:id="8" w:name="_Toc33266627"/>
      <w:bookmarkStart w:id="9" w:name="_Toc33267001"/>
      <w:bookmarkStart w:id="10" w:name="_Toc33266950"/>
      <w:r>
        <w:rPr>
          <w:rFonts w:hint="eastAsia" w:ascii="Times New Roman" w:hAnsi="Times New Roman" w:eastAsia="宋体" w:cs="Times New Roman"/>
          <w:b/>
          <w:bCs/>
          <w:color w:val="000000"/>
          <w:sz w:val="28"/>
          <w:szCs w:val="28"/>
        </w:rPr>
        <w:t>六、评标原则</w:t>
      </w:r>
      <w:bookmarkEnd w:id="4"/>
      <w:bookmarkEnd w:id="5"/>
      <w:bookmarkEnd w:id="6"/>
      <w:bookmarkEnd w:id="7"/>
      <w:bookmarkEnd w:id="8"/>
      <w:bookmarkEnd w:id="9"/>
      <w:bookmarkEnd w:id="10"/>
      <w:bookmarkStart w:id="11" w:name="_Toc395116633"/>
    </w:p>
    <w:bookmarkEnd w:id="11"/>
    <w:p>
      <w:pPr>
        <w:spacing w:line="420" w:lineRule="exact"/>
        <w:ind w:firstLine="482" w:firstLineChars="200"/>
        <w:outlineLvl w:val="2"/>
        <w:rPr>
          <w:rFonts w:ascii="宋体" w:hAnsi="宋体" w:eastAsia="宋体" w:cs="Times New Roman"/>
          <w:b/>
          <w:bCs/>
          <w:color w:val="000000"/>
          <w:sz w:val="24"/>
          <w:szCs w:val="24"/>
        </w:rPr>
      </w:pPr>
      <w:r>
        <w:rPr>
          <w:rFonts w:ascii="宋体" w:hAnsi="宋体" w:eastAsia="宋体" w:cs="Times New Roman"/>
          <w:b/>
          <w:bCs/>
          <w:color w:val="000000"/>
          <w:sz w:val="24"/>
          <w:szCs w:val="24"/>
        </w:rPr>
        <w:t>1</w:t>
      </w:r>
      <w:r>
        <w:rPr>
          <w:rFonts w:hint="eastAsia" w:ascii="宋体" w:hAnsi="宋体" w:eastAsia="宋体" w:cs="Times New Roman"/>
          <w:b/>
          <w:bCs/>
          <w:color w:val="000000"/>
          <w:sz w:val="24"/>
          <w:szCs w:val="24"/>
        </w:rPr>
        <w:t>.评标</w:t>
      </w:r>
    </w:p>
    <w:p>
      <w:pPr>
        <w:adjustRightInd w:val="0"/>
        <w:snapToGrid w:val="0"/>
        <w:spacing w:line="420" w:lineRule="exact"/>
        <w:ind w:firstLine="482" w:firstLineChars="200"/>
        <w:rPr>
          <w:rFonts w:ascii="Calibri" w:hAnsi="Calibri" w:eastAsia="宋体" w:cs="Times New Roman"/>
          <w:b/>
          <w:color w:val="000000"/>
          <w:sz w:val="24"/>
          <w:szCs w:val="24"/>
        </w:rPr>
      </w:pPr>
      <w:r>
        <w:rPr>
          <w:rFonts w:hint="eastAsia" w:ascii="宋体" w:hAnsi="宋体" w:eastAsia="宋体" w:cs="Times New Roman"/>
          <w:b/>
          <w:sz w:val="24"/>
          <w:szCs w:val="24"/>
        </w:rPr>
        <w:t>本次招标</w:t>
      </w:r>
      <w:bookmarkStart w:id="12" w:name="_Toc33267002"/>
      <w:bookmarkStart w:id="13" w:name="_Toc33266628"/>
      <w:bookmarkStart w:id="14" w:name="_Toc33265654"/>
      <w:bookmarkStart w:id="15" w:name="_Toc33265753"/>
      <w:bookmarkStart w:id="16" w:name="_Toc395116634"/>
      <w:bookmarkStart w:id="17" w:name="_Toc33266915"/>
      <w:bookmarkStart w:id="18" w:name="_Toc33266951"/>
      <w:bookmarkStart w:id="19" w:name="_Toc33285489"/>
      <w:r>
        <w:rPr>
          <w:rFonts w:hint="eastAsia" w:ascii="宋体" w:hAnsi="宋体" w:eastAsia="宋体" w:cs="Times New Roman"/>
          <w:b/>
          <w:sz w:val="24"/>
          <w:szCs w:val="24"/>
        </w:rPr>
        <w:t>采用合理最低价评标法，无技术标环节。</w:t>
      </w:r>
      <w:r>
        <w:rPr>
          <w:rFonts w:hint="eastAsia" w:ascii="Calibri" w:hAnsi="宋体" w:eastAsia="宋体" w:cs="Times New Roman"/>
          <w:b/>
          <w:color w:val="000000"/>
          <w:sz w:val="24"/>
          <w:szCs w:val="24"/>
        </w:rPr>
        <w:t>对未中标方不做任何解释</w:t>
      </w:r>
      <w:r>
        <w:rPr>
          <w:rFonts w:hint="eastAsia" w:ascii="Calibri" w:hAnsi="Calibri" w:eastAsia="宋体" w:cs="Times New Roman"/>
          <w:b/>
          <w:color w:val="000000"/>
          <w:sz w:val="24"/>
          <w:szCs w:val="24"/>
        </w:rPr>
        <w:t>。</w:t>
      </w:r>
    </w:p>
    <w:bookmarkEnd w:id="12"/>
    <w:bookmarkEnd w:id="13"/>
    <w:bookmarkEnd w:id="14"/>
    <w:bookmarkEnd w:id="15"/>
    <w:bookmarkEnd w:id="16"/>
    <w:bookmarkEnd w:id="17"/>
    <w:bookmarkEnd w:id="18"/>
    <w:bookmarkEnd w:id="19"/>
    <w:p>
      <w:pPr>
        <w:spacing w:line="42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评标流程：</w:t>
      </w:r>
    </w:p>
    <w:p>
      <w:pPr>
        <w:pStyle w:val="8"/>
        <w:ind w:firstLine="482" w:firstLineChars="200"/>
        <w:rPr>
          <w:rFonts w:eastAsia="宋体"/>
        </w:rPr>
      </w:pPr>
      <w:r>
        <w:rPr>
          <w:rFonts w:hint="eastAsia" w:hAnsi="宋体" w:eastAsia="宋体" w:cs="Times New Roman"/>
          <w:b/>
          <w:color w:val="000000"/>
          <w:sz w:val="24"/>
          <w:szCs w:val="24"/>
        </w:rPr>
        <w:t>投标文件包含《投标文件（资质标）》、《投标文件（技术标）》、《投标文件（商务标）》（开标一览表），共计三个文件。</w:t>
      </w:r>
    </w:p>
    <w:p>
      <w:pPr>
        <w:numPr>
          <w:ilvl w:val="0"/>
          <w:numId w:val="7"/>
        </w:numPr>
        <w:spacing w:line="420" w:lineRule="exact"/>
        <w:rPr>
          <w:rFonts w:ascii="宋体" w:hAnsi="宋体" w:eastAsia="宋体" w:cs="Times New Roman"/>
          <w:b/>
          <w:color w:val="000000"/>
          <w:sz w:val="24"/>
          <w:szCs w:val="24"/>
        </w:rPr>
      </w:pPr>
      <w:r>
        <w:rPr>
          <w:rFonts w:hint="eastAsia" w:ascii="宋体" w:hAnsi="宋体" w:eastAsia="宋体" w:cs="Times New Roman"/>
          <w:b/>
          <w:color w:val="000000"/>
          <w:sz w:val="24"/>
          <w:szCs w:val="24"/>
        </w:rPr>
        <w:t>应标资格审查：在“中国重汽e采通”应标报名时，</w:t>
      </w:r>
      <w:r>
        <w:rPr>
          <w:rFonts w:hint="eastAsia" w:ascii="宋体" w:hAnsi="宋体" w:eastAsia="宋体" w:cs="Times New Roman"/>
          <w:b/>
          <w:bCs/>
          <w:color w:val="000000"/>
          <w:sz w:val="24"/>
          <w:szCs w:val="24"/>
        </w:rPr>
        <w:t>按照第三部分投标文件组成资格证明文件中的1.1</w:t>
      </w:r>
      <w:r>
        <w:rPr>
          <w:rFonts w:ascii="宋体" w:hAnsi="宋体" w:eastAsia="宋体" w:cs="Times New Roman"/>
          <w:b/>
          <w:bCs/>
          <w:color w:val="000000"/>
          <w:sz w:val="24"/>
          <w:szCs w:val="24"/>
        </w:rPr>
        <w:t>-</w:t>
      </w:r>
      <w:r>
        <w:rPr>
          <w:rFonts w:hint="eastAsia" w:ascii="宋体" w:hAnsi="宋体" w:eastAsia="宋体" w:cs="Times New Roman"/>
          <w:b/>
          <w:bCs/>
          <w:color w:val="000000"/>
          <w:sz w:val="24"/>
          <w:szCs w:val="24"/>
        </w:rPr>
        <w:t>1.12准备资料，上传完毕后，等待审核</w:t>
      </w:r>
      <w:r>
        <w:rPr>
          <w:rFonts w:hint="eastAsia" w:ascii="宋体" w:hAnsi="宋体" w:eastAsia="宋体" w:cs="Times New Roman"/>
          <w:b/>
          <w:color w:val="000000"/>
          <w:sz w:val="24"/>
          <w:szCs w:val="24"/>
        </w:rPr>
        <w:t>；</w:t>
      </w:r>
    </w:p>
    <w:p>
      <w:pPr>
        <w:numPr>
          <w:ilvl w:val="0"/>
          <w:numId w:val="8"/>
        </w:numPr>
        <w:spacing w:line="420" w:lineRule="exact"/>
        <w:rPr>
          <w:rFonts w:ascii="宋体" w:hAnsi="宋体" w:eastAsia="宋体" w:cs="Times New Roman"/>
          <w:b/>
          <w:color w:val="000000"/>
          <w:sz w:val="24"/>
          <w:szCs w:val="24"/>
        </w:rPr>
      </w:pPr>
      <w:r>
        <w:rPr>
          <w:rFonts w:hint="eastAsia" w:ascii="宋体" w:hAnsi="宋体" w:eastAsia="宋体" w:cs="Times New Roman"/>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pPr>
        <w:numPr>
          <w:ilvl w:val="0"/>
          <w:numId w:val="9"/>
        </w:numPr>
        <w:spacing w:line="420" w:lineRule="exact"/>
        <w:rPr>
          <w:rFonts w:ascii="宋体" w:hAnsi="宋体" w:eastAsia="宋体" w:cs="Times New Roman"/>
          <w:b/>
          <w:sz w:val="24"/>
          <w:szCs w:val="24"/>
        </w:rPr>
      </w:pPr>
      <w:r>
        <w:rPr>
          <w:rFonts w:hint="eastAsia" w:ascii="宋体" w:hAnsi="宋体" w:eastAsia="宋体" w:cs="Times New Roman"/>
          <w:b/>
          <w:sz w:val="24"/>
          <w:szCs w:val="24"/>
        </w:rPr>
        <w:t>资质标评审：资质标审核通过的单位，进入技术标评审；</w:t>
      </w:r>
    </w:p>
    <w:p>
      <w:pPr>
        <w:numPr>
          <w:ilvl w:val="0"/>
          <w:numId w:val="9"/>
        </w:numPr>
        <w:spacing w:line="420" w:lineRule="exact"/>
        <w:rPr>
          <w:rFonts w:ascii="宋体" w:hAnsi="宋体" w:eastAsia="宋体" w:cs="Times New Roman"/>
          <w:b/>
          <w:sz w:val="24"/>
          <w:szCs w:val="24"/>
          <w:highlight w:val="yellow"/>
        </w:rPr>
      </w:pPr>
      <w:r>
        <w:rPr>
          <w:rFonts w:hint="eastAsia" w:ascii="宋体" w:hAnsi="宋体" w:eastAsia="宋体" w:cs="Times New Roman"/>
          <w:b/>
          <w:color w:val="000000"/>
          <w:sz w:val="24"/>
          <w:szCs w:val="24"/>
        </w:rPr>
        <w:t>技术标评审</w:t>
      </w:r>
      <w:r>
        <w:rPr>
          <w:rFonts w:hint="eastAsia" w:ascii="宋体" w:hAnsi="宋体" w:eastAsia="宋体" w:cs="Times New Roman"/>
          <w:b/>
          <w:sz w:val="24"/>
          <w:szCs w:val="24"/>
        </w:rPr>
        <w:t>：技术标评标专家组，通过重汽e采通，对各投标人的</w:t>
      </w:r>
      <w:r>
        <w:rPr>
          <w:rFonts w:hint="eastAsia" w:hAnsi="宋体" w:eastAsia="宋体" w:cs="Times New Roman"/>
          <w:b/>
          <w:sz w:val="24"/>
          <w:szCs w:val="24"/>
        </w:rPr>
        <w:t>《投标文件（技术标）》进行综合评审；评审期间产生的</w:t>
      </w:r>
      <w:r>
        <w:rPr>
          <w:rFonts w:hint="eastAsia" w:ascii="宋体" w:hAnsi="宋体" w:eastAsia="宋体" w:cs="Times New Roman"/>
          <w:b/>
          <w:sz w:val="24"/>
          <w:szCs w:val="24"/>
        </w:rPr>
        <w:t>技术澄清均由投标人在重汽e采通平台内完成提交；评审合格的单位进入商务标评审环节，评审不合格的单位被淘汰；</w:t>
      </w:r>
    </w:p>
    <w:p>
      <w:pPr>
        <w:numPr>
          <w:ilvl w:val="255"/>
          <w:numId w:val="0"/>
        </w:numPr>
        <w:spacing w:line="420" w:lineRule="exact"/>
        <w:ind w:firstLine="482" w:firstLineChars="200"/>
        <w:rPr>
          <w:rFonts w:ascii="宋体" w:hAnsi="宋体" w:eastAsia="宋体" w:cs="Times New Roman"/>
          <w:b/>
          <w:sz w:val="24"/>
          <w:szCs w:val="24"/>
          <w:highlight w:val="yellow"/>
        </w:rPr>
      </w:pPr>
      <w:r>
        <w:rPr>
          <w:rFonts w:hint="eastAsia" w:ascii="宋体" w:hAnsi="宋体" w:eastAsia="宋体" w:cs="Times New Roman"/>
          <w:b/>
          <w:sz w:val="24"/>
          <w:szCs w:val="24"/>
          <w:highlight w:val="yellow"/>
        </w:rPr>
        <w:t>具体</w:t>
      </w:r>
      <w:r>
        <w:rPr>
          <w:rFonts w:hint="eastAsia" w:ascii="Times New Roman" w:hAnsi="Times New Roman" w:eastAsia="宋体" w:cs="Times New Roman"/>
          <w:b/>
          <w:bCs/>
          <w:color w:val="000000"/>
          <w:sz w:val="24"/>
          <w:szCs w:val="24"/>
          <w:highlight w:val="yellow"/>
        </w:rPr>
        <w:t>技术标评分标准见附件14。</w:t>
      </w:r>
    </w:p>
    <w:p>
      <w:pPr>
        <w:numPr>
          <w:ilvl w:val="0"/>
          <w:numId w:val="10"/>
        </w:numPr>
        <w:spacing w:line="420" w:lineRule="exact"/>
        <w:ind w:left="0" w:firstLine="0"/>
        <w:rPr>
          <w:rFonts w:ascii="宋体" w:hAnsi="宋体" w:cs="Times New Roman"/>
          <w:b/>
          <w:sz w:val="24"/>
          <w:szCs w:val="24"/>
        </w:rPr>
      </w:pPr>
      <w:r>
        <w:rPr>
          <w:rFonts w:hint="eastAsia" w:ascii="宋体" w:hAnsi="宋体" w:eastAsia="宋体" w:cs="Times New Roman"/>
          <w:b/>
          <w:sz w:val="24"/>
          <w:szCs w:val="24"/>
        </w:rPr>
        <w:t>商务标评审：公开唱标</w:t>
      </w:r>
      <w:r>
        <w:rPr>
          <w:rFonts w:hint="eastAsia" w:ascii="宋体" w:hAnsi="宋体" w:eastAsia="宋体" w:cs="Segoe UI Emoji"/>
          <w:b/>
          <w:sz w:val="24"/>
          <w:szCs w:val="24"/>
        </w:rPr>
        <w:t>→</w:t>
      </w:r>
      <w:r>
        <w:rPr>
          <w:rFonts w:hint="eastAsia" w:ascii="宋体" w:hAnsi="宋体" w:eastAsia="宋体" w:cs="Times New Roman"/>
          <w:b/>
          <w:sz w:val="24"/>
          <w:szCs w:val="24"/>
        </w:rPr>
        <w:t>商务条款相应确认</w:t>
      </w:r>
      <w:r>
        <w:rPr>
          <w:rFonts w:hint="eastAsia" w:ascii="宋体" w:hAnsi="宋体" w:eastAsia="宋体" w:cs="Segoe UI Emoji"/>
          <w:b/>
          <w:sz w:val="24"/>
          <w:szCs w:val="24"/>
        </w:rPr>
        <w:t>→价格澄清→</w:t>
      </w:r>
      <w:r>
        <w:rPr>
          <w:rFonts w:hint="eastAsia" w:ascii="宋体" w:hAnsi="宋体" w:eastAsia="宋体" w:cs="Times New Roman"/>
          <w:b/>
          <w:sz w:val="24"/>
          <w:szCs w:val="24"/>
        </w:rPr>
        <w:t>商务标评审；</w:t>
      </w:r>
      <w:r>
        <w:rPr>
          <w:rFonts w:hint="eastAsia" w:hAnsi="宋体" w:eastAsia="宋体" w:cs="Times New Roman"/>
          <w:b/>
          <w:sz w:val="24"/>
          <w:szCs w:val="24"/>
        </w:rPr>
        <w:t>评审期间产生的</w:t>
      </w:r>
      <w:r>
        <w:rPr>
          <w:rFonts w:hint="eastAsia" w:ascii="宋体" w:hAnsi="宋体" w:eastAsia="宋体" w:cs="Times New Roman"/>
          <w:b/>
          <w:sz w:val="24"/>
          <w:szCs w:val="24"/>
        </w:rPr>
        <w:t>商务价格澄清均由投标人在重汽e采通平台内限时完成提交；</w:t>
      </w:r>
    </w:p>
    <w:p>
      <w:pPr>
        <w:pStyle w:val="2"/>
        <w:ind w:firstLine="482" w:firstLineChars="200"/>
      </w:pPr>
      <w:r>
        <w:rPr>
          <w:rFonts w:hint="eastAsia" w:ascii="宋体" w:hAnsi="宋体"/>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szCs w:val="24"/>
        </w:rPr>
        <w:t xml:space="preserve">  </w:t>
      </w:r>
    </w:p>
    <w:p>
      <w:pPr>
        <w:numPr>
          <w:ilvl w:val="0"/>
          <w:numId w:val="10"/>
        </w:numPr>
        <w:spacing w:line="420" w:lineRule="exact"/>
        <w:rPr>
          <w:rFonts w:ascii="宋体" w:hAnsi="宋体" w:eastAsia="宋体" w:cs="Times New Roman"/>
          <w:b/>
          <w:sz w:val="24"/>
          <w:szCs w:val="24"/>
        </w:rPr>
      </w:pPr>
      <w:r>
        <w:rPr>
          <w:rFonts w:hint="eastAsia" w:ascii="宋体" w:hAnsi="宋体" w:eastAsia="宋体" w:cs="Times New Roman"/>
          <w:b/>
          <w:sz w:val="24"/>
          <w:szCs w:val="24"/>
        </w:rPr>
        <w:t>中标人确定：技术入围后，原则上合理最低价中标。</w:t>
      </w:r>
    </w:p>
    <w:p>
      <w:pPr>
        <w:widowControl/>
        <w:spacing w:line="360" w:lineRule="auto"/>
        <w:ind w:right="2" w:firstLine="480" w:firstLineChars="200"/>
        <w:jc w:val="left"/>
        <w:rPr>
          <w:rFonts w:ascii="Calibri" w:hAnsi="Calibri" w:eastAsia="宋体" w:cs="Times New Roman"/>
          <w:color w:val="000000"/>
          <w:sz w:val="24"/>
          <w:szCs w:val="24"/>
        </w:rPr>
      </w:pPr>
      <w:r>
        <w:rPr>
          <w:rFonts w:ascii="Calibri" w:hAnsi="Calibri" w:eastAsia="宋体"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否变更意向中标人</w:t>
      </w:r>
      <w:r>
        <w:rPr>
          <w:rFonts w:hint="eastAsia" w:ascii="Calibri" w:hAnsi="Calibri" w:eastAsia="宋体" w:cs="Times New Roman"/>
          <w:color w:val="000000"/>
          <w:sz w:val="24"/>
          <w:szCs w:val="24"/>
          <w:lang w:bidi="ar"/>
        </w:rPr>
        <w:t>。</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七、合同签订</w:t>
      </w:r>
    </w:p>
    <w:p>
      <w:pPr>
        <w:spacing w:line="360" w:lineRule="auto"/>
        <w:ind w:firstLine="480" w:firstLineChars="200"/>
        <w:rPr>
          <w:rFonts w:ascii="宋体" w:hAnsi="Courier New" w:eastAsia="宋体" w:cs="Times New Roman"/>
          <w:color w:val="000000"/>
          <w:sz w:val="24"/>
          <w:szCs w:val="24"/>
        </w:rPr>
      </w:pPr>
      <w:r>
        <w:rPr>
          <w:rFonts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.招标人根据评标工作小组的评标结果确定中标人，</w:t>
      </w:r>
      <w:r>
        <w:rPr>
          <w:rFonts w:hint="eastAsia" w:ascii="Times New Roman" w:hAnsi="Times New Roman" w:eastAsia="宋体" w:cs="Times New Roman"/>
          <w:color w:val="000000"/>
          <w:sz w:val="24"/>
          <w:szCs w:val="24"/>
        </w:rPr>
        <w:t>在中国</w:t>
      </w:r>
      <w:r>
        <w:rPr>
          <w:rFonts w:ascii="Times New Roman" w:hAnsi="Times New Roman" w:eastAsia="宋体" w:cs="Times New Roman"/>
          <w:color w:val="000000"/>
          <w:sz w:val="24"/>
          <w:szCs w:val="24"/>
        </w:rPr>
        <w:t>重汽e采通平台公布中标结果</w:t>
      </w:r>
      <w:r>
        <w:rPr>
          <w:rFonts w:hint="eastAsia" w:ascii="Times New Roman" w:hAnsi="Times New Roman" w:eastAsia="宋体" w:cs="Times New Roman"/>
          <w:color w:val="000000"/>
          <w:sz w:val="24"/>
          <w:szCs w:val="24"/>
        </w:rPr>
        <w:t>，</w:t>
      </w:r>
      <w:r>
        <w:rPr>
          <w:rFonts w:hint="eastAsia" w:ascii="宋体" w:hAnsi="Courier New" w:eastAsia="宋体" w:cs="Times New Roman"/>
          <w:color w:val="000000"/>
          <w:sz w:val="24"/>
          <w:szCs w:val="24"/>
        </w:rPr>
        <w:t>并发送中标通知。</w:t>
      </w:r>
    </w:p>
    <w:p>
      <w:pPr>
        <w:spacing w:line="360" w:lineRule="auto"/>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2.中标人应该在中标通知书规定的时间、地点与招标人签订采购合同，否则按照开标后撤回投标处理。</w:t>
      </w:r>
    </w:p>
    <w:p>
      <w:pPr>
        <w:spacing w:line="360" w:lineRule="auto"/>
        <w:ind w:firstLine="480" w:firstLineChars="200"/>
        <w:rPr>
          <w:rFonts w:ascii="宋体" w:hAnsi="宋体" w:eastAsia="宋体" w:cs="Times New Roman"/>
          <w:color w:val="000000"/>
          <w:sz w:val="24"/>
          <w:szCs w:val="24"/>
        </w:rPr>
      </w:pPr>
      <w:r>
        <w:rPr>
          <w:rFonts w:hint="eastAsia" w:ascii="Times New Roman" w:hAnsi="Times New Roman" w:eastAsia="宋体" w:cs="Times New Roman"/>
          <w:color w:val="000000"/>
          <w:sz w:val="24"/>
          <w:szCs w:val="24"/>
        </w:rPr>
        <w:t>3</w:t>
      </w:r>
      <w:r>
        <w:rPr>
          <w:rFonts w:hint="eastAsia" w:ascii="宋体" w:hAnsi="宋体" w:eastAsia="宋体" w:cs="Times New Roman"/>
          <w:color w:val="000000"/>
          <w:sz w:val="24"/>
          <w:szCs w:val="24"/>
        </w:rPr>
        <w:t>.中标人应当按照合同约定的履约责任，在保证质量的前提下完成中标项目，不得将中标项目转包或分包给他人，否则视为违约，招标人有权解除合同。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ascii="Arial" w:hAnsi="Arial" w:eastAsia="宋体" w:cs="Times New Roman"/>
          <w:b/>
          <w:bCs/>
          <w:sz w:val="24"/>
          <w:szCs w:val="24"/>
        </w:rPr>
      </w:pPr>
      <w:r>
        <w:rPr>
          <w:rFonts w:hint="eastAsia" w:ascii="宋体" w:hAnsi="Courier New" w:eastAsia="宋体" w:cs="Times New Roman"/>
          <w:b/>
          <w:sz w:val="24"/>
          <w:szCs w:val="20"/>
        </w:rPr>
        <w:t>4.中标人由于履行义务的能力或信用有严重缺陷，招标人有权取消其中标资格，招标人将从中标候选单位中依序重新确定中标人，或重新组织招标。</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八、废标及终止招标</w:t>
      </w:r>
    </w:p>
    <w:p>
      <w:pPr>
        <w:spacing w:line="360" w:lineRule="auto"/>
        <w:ind w:right="2" w:firstLine="480" w:firstLineChars="200"/>
        <w:rPr>
          <w:rFonts w:ascii="宋体" w:hAnsi="Courier New" w:eastAsia="宋体" w:cs="Times New Roman"/>
          <w:color w:val="000000"/>
          <w:sz w:val="24"/>
          <w:szCs w:val="24"/>
        </w:rPr>
      </w:pP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Courier New" w:eastAsia="宋体" w:cs="Times New Roman"/>
          <w:color w:val="000000"/>
          <w:sz w:val="24"/>
          <w:szCs w:val="24"/>
        </w:rPr>
      </w:pPr>
      <w:r>
        <w:rPr>
          <w:rFonts w:hint="eastAsia" w:ascii="宋体" w:hAnsi="Courier New" w:eastAsia="宋体" w:cs="Times New Roman"/>
          <w:color w:val="000000"/>
          <w:sz w:val="24"/>
          <w:szCs w:val="24"/>
        </w:rPr>
        <w:t xml:space="preserve">    （</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pPr>
        <w:pStyle w:val="8"/>
        <w:spacing w:line="360" w:lineRule="auto"/>
        <w:rPr>
          <w:rFonts w:eastAsia="宋体"/>
        </w:rPr>
      </w:pPr>
      <w:r>
        <w:rPr>
          <w:rFonts w:hint="eastAsia" w:eastAsia="宋体" w:cs="Times New Roman"/>
          <w:color w:val="000000"/>
          <w:sz w:val="24"/>
          <w:szCs w:val="24"/>
        </w:rPr>
        <w:t xml:space="preserve">    （</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）有效投标不足三家；</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（12）法律、法规规定的其他情况。</w:t>
      </w:r>
    </w:p>
    <w:p>
      <w:pPr>
        <w:spacing w:line="360" w:lineRule="auto"/>
        <w:ind w:right="2" w:firstLine="480" w:firstLineChars="200"/>
        <w:rPr>
          <w:rFonts w:ascii="宋体" w:hAnsi="Courier New" w:eastAsia="宋体" w:cs="Times New Roman"/>
          <w:sz w:val="24"/>
          <w:szCs w:val="24"/>
        </w:rPr>
      </w:pPr>
      <w:r>
        <w:rPr>
          <w:rFonts w:ascii="Calibri" w:hAnsi="Calibri" w:eastAsia="宋体" w:cs="Times New Roman"/>
          <w:sz w:val="24"/>
          <w:szCs w:val="24"/>
        </w:rPr>
        <w:t>2</w:t>
      </w:r>
      <w:r>
        <w:rPr>
          <w:rFonts w:hint="eastAsia" w:ascii="宋体" w:hAnsi="Courier New" w:eastAsia="宋体" w:cs="Times New Roman"/>
          <w:sz w:val="24"/>
          <w:szCs w:val="24"/>
        </w:rPr>
        <w:t>.出现下列情形之一，招标人有权否决所有投标人的投标，并终止招标。</w:t>
      </w:r>
    </w:p>
    <w:p>
      <w:pPr>
        <w:spacing w:line="360" w:lineRule="auto"/>
        <w:ind w:right="2" w:firstLine="480" w:firstLineChars="200"/>
        <w:rPr>
          <w:rFonts w:ascii="宋体" w:hAnsi="Courier New" w:eastAsia="宋体" w:cs="Times New Roman"/>
          <w:b/>
          <w:sz w:val="24"/>
          <w:szCs w:val="24"/>
        </w:rPr>
      </w:pPr>
      <w:r>
        <w:rPr>
          <w:rFonts w:hint="eastAsia" w:ascii="宋体" w:hAnsi="Courier New" w:eastAsia="宋体" w:cs="Times New Roman"/>
          <w:sz w:val="24"/>
          <w:szCs w:val="24"/>
        </w:rPr>
        <w:t>（</w:t>
      </w:r>
      <w:r>
        <w:rPr>
          <w:rFonts w:ascii="Calibri" w:hAnsi="Calibri" w:eastAsia="宋体" w:cs="Times New Roman"/>
          <w:sz w:val="24"/>
          <w:szCs w:val="24"/>
        </w:rPr>
        <w:t>1</w:t>
      </w:r>
      <w:r>
        <w:rPr>
          <w:rFonts w:hint="eastAsia" w:ascii="宋体" w:hAnsi="Courier New" w:eastAsia="宋体" w:cs="Times New Roman"/>
          <w:sz w:val="24"/>
          <w:szCs w:val="24"/>
        </w:rPr>
        <w:t>）符合条件的投标人或者对招标文件做实质响应的投标人不足三家的；</w:t>
      </w:r>
    </w:p>
    <w:p>
      <w:pPr>
        <w:spacing w:line="360" w:lineRule="auto"/>
        <w:ind w:right="2" w:firstLine="480" w:firstLineChars="200"/>
        <w:rPr>
          <w:rFonts w:ascii="宋体" w:hAnsi="Courier New" w:eastAsia="宋体" w:cs="Times New Roman"/>
          <w:sz w:val="24"/>
          <w:szCs w:val="24"/>
        </w:rPr>
      </w:pPr>
      <w:r>
        <w:rPr>
          <w:rFonts w:hint="eastAsia" w:ascii="Calibri" w:hAnsi="Calibri" w:eastAsia="宋体" w:cs="Times New Roman"/>
          <w:sz w:val="24"/>
          <w:szCs w:val="24"/>
        </w:rPr>
        <w:t>（</w:t>
      </w:r>
      <w:r>
        <w:rPr>
          <w:rFonts w:ascii="Calibri" w:hAnsi="Calibri" w:eastAsia="宋体" w:cs="Times New Roman"/>
          <w:sz w:val="24"/>
          <w:szCs w:val="24"/>
        </w:rPr>
        <w:t>2</w:t>
      </w:r>
      <w:r>
        <w:rPr>
          <w:rFonts w:hint="eastAsia" w:ascii="宋体" w:hAnsi="Courier New" w:eastAsia="宋体" w:cs="Times New Roman"/>
          <w:sz w:val="24"/>
          <w:szCs w:val="24"/>
        </w:rPr>
        <w:t>）出现影响采购公正的违法、违规行为的；</w:t>
      </w:r>
    </w:p>
    <w:p>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3</w:t>
      </w:r>
      <w:r>
        <w:rPr>
          <w:rFonts w:hint="eastAsia" w:ascii="Calibri" w:hAnsi="Calibri" w:eastAsia="宋体" w:cs="Times New Roman"/>
          <w:bCs/>
          <w:sz w:val="24"/>
          <w:szCs w:val="24"/>
        </w:rPr>
        <w:t>）评标委员会经评审，认为所有投标都不符合招标文件要求的</w:t>
      </w:r>
      <w:r>
        <w:rPr>
          <w:rFonts w:hint="eastAsia" w:ascii="宋体" w:hAnsi="Courier New" w:eastAsia="宋体" w:cs="Times New Roman"/>
          <w:bCs/>
          <w:sz w:val="24"/>
          <w:szCs w:val="24"/>
        </w:rPr>
        <w:t>；</w:t>
      </w:r>
    </w:p>
    <w:p>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4</w:t>
      </w:r>
      <w:r>
        <w:rPr>
          <w:rFonts w:hint="eastAsia" w:ascii="宋体" w:hAnsi="Courier New" w:eastAsia="宋体" w:cs="Times New Roman"/>
          <w:bCs/>
          <w:sz w:val="24"/>
          <w:szCs w:val="24"/>
        </w:rPr>
        <w:t>）因重大变故，采购任务取消的</w:t>
      </w:r>
      <w:bookmarkStart w:id="20" w:name="OLE_LINK29"/>
      <w:bookmarkStart w:id="21" w:name="OLE_LINK28"/>
      <w:bookmarkStart w:id="22" w:name="OLE_LINK27"/>
      <w:bookmarkStart w:id="23" w:name="OLE_LINK26"/>
      <w:bookmarkStart w:id="24" w:name="OLE_LINK25"/>
      <w:r>
        <w:rPr>
          <w:rFonts w:hint="eastAsia" w:ascii="宋体" w:hAnsi="Courier New" w:eastAsia="宋体" w:cs="Times New Roman"/>
          <w:bCs/>
          <w:sz w:val="24"/>
          <w:szCs w:val="24"/>
        </w:rPr>
        <w:t>；</w:t>
      </w:r>
      <w:bookmarkEnd w:id="20"/>
      <w:bookmarkEnd w:id="21"/>
      <w:bookmarkEnd w:id="22"/>
      <w:bookmarkEnd w:id="23"/>
      <w:bookmarkEnd w:id="24"/>
    </w:p>
    <w:p>
      <w:pPr>
        <w:spacing w:line="360" w:lineRule="auto"/>
        <w:ind w:right="2" w:firstLine="480" w:firstLineChars="200"/>
        <w:rPr>
          <w:rFonts w:ascii="宋体" w:hAnsi="Courier New" w:eastAsia="宋体" w:cs="Times New Roman"/>
          <w:bCs/>
          <w:sz w:val="24"/>
          <w:szCs w:val="24"/>
        </w:rPr>
      </w:pPr>
      <w:r>
        <w:rPr>
          <w:rFonts w:hint="eastAsia" w:ascii="宋体" w:hAnsi="Courier New" w:eastAsia="宋体" w:cs="Times New Roman"/>
          <w:bCs/>
          <w:sz w:val="24"/>
          <w:szCs w:val="24"/>
        </w:rPr>
        <w:t>（</w:t>
      </w:r>
      <w:r>
        <w:rPr>
          <w:rFonts w:ascii="宋体" w:hAnsi="Courier New" w:eastAsia="宋体" w:cs="Times New Roman"/>
          <w:bCs/>
          <w:sz w:val="24"/>
          <w:szCs w:val="24"/>
        </w:rPr>
        <w:t>5）投标人承诺同意由于招标人公司政策变化引起的随时终止项目的要求并承担由此带来的一切损失</w:t>
      </w:r>
      <w:r>
        <w:rPr>
          <w:rFonts w:hint="eastAsia" w:ascii="宋体" w:hAnsi="Courier New" w:eastAsia="宋体" w:cs="Times New Roman"/>
          <w:bCs/>
          <w:sz w:val="24"/>
          <w:szCs w:val="24"/>
        </w:rPr>
        <w:t>；</w:t>
      </w:r>
    </w:p>
    <w:p>
      <w:pPr>
        <w:pStyle w:val="8"/>
        <w:spacing w:line="360" w:lineRule="auto"/>
        <w:ind w:firstLine="480" w:firstLineChars="200"/>
        <w:rPr>
          <w:rFonts w:eastAsia="宋体" w:cs="Times New Roman"/>
          <w:bCs/>
          <w:sz w:val="24"/>
          <w:szCs w:val="24"/>
        </w:rPr>
      </w:pPr>
      <w:r>
        <w:rPr>
          <w:rFonts w:hint="eastAsia" w:eastAsia="宋体" w:cs="Times New Roman"/>
          <w:bCs/>
          <w:sz w:val="24"/>
          <w:szCs w:val="24"/>
        </w:rPr>
        <w:t>（6</w:t>
      </w:r>
      <w:r>
        <w:rPr>
          <w:rFonts w:eastAsia="宋体" w:cs="Times New Roman"/>
          <w:bCs/>
          <w:sz w:val="24"/>
          <w:szCs w:val="24"/>
        </w:rPr>
        <w:t>）招标人认为其他应终止招标的情形</w:t>
      </w:r>
      <w:r>
        <w:rPr>
          <w:rFonts w:hint="eastAsia" w:eastAsia="宋体" w:cs="Times New Roman"/>
          <w:bCs/>
          <w:sz w:val="24"/>
          <w:szCs w:val="24"/>
        </w:rPr>
        <w:t>。</w:t>
      </w:r>
    </w:p>
    <w:p>
      <w:pPr>
        <w:spacing w:line="360" w:lineRule="auto"/>
        <w:ind w:right="2"/>
        <w:rPr>
          <w:rFonts w:ascii="Arial" w:hAnsi="Arial" w:eastAsia="宋体" w:cs="Times New Roman"/>
          <w:b/>
          <w:bCs/>
          <w:sz w:val="24"/>
          <w:szCs w:val="32"/>
        </w:rPr>
      </w:pPr>
      <w:r>
        <w:rPr>
          <w:rFonts w:hint="eastAsia" w:ascii="Calibri" w:hAnsi="Calibri" w:eastAsia="宋体" w:cs="Times New Roman"/>
          <w:color w:val="000000"/>
          <w:sz w:val="24"/>
          <w:szCs w:val="24"/>
        </w:rPr>
        <w:t xml:space="preserve">    </w:t>
      </w:r>
      <w:r>
        <w:rPr>
          <w:rFonts w:ascii="Calibri" w:hAnsi="Calibri" w:eastAsia="宋体" w:cs="Times New Roman"/>
          <w:color w:val="000000"/>
          <w:sz w:val="24"/>
          <w:szCs w:val="24"/>
        </w:rPr>
        <w:t>3</w:t>
      </w:r>
      <w:r>
        <w:rPr>
          <w:rFonts w:hint="eastAsia" w:ascii="Calibri" w:hAnsi="Calibri" w:eastAsia="宋体" w:cs="Times New Roman"/>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rPr>
          <w:rFonts w:ascii="Calibri" w:hAnsi="Calibri" w:eastAsia="宋体" w:cs="Times New Roman"/>
          <w:b/>
          <w:color w:val="000000"/>
          <w:sz w:val="24"/>
          <w:szCs w:val="24"/>
        </w:rPr>
      </w:pPr>
      <w:r>
        <w:rPr>
          <w:rFonts w:hint="eastAsia" w:ascii="Arial" w:hAnsi="Arial" w:eastAsia="宋体" w:cs="Times New Roman"/>
          <w:b/>
          <w:bCs/>
          <w:sz w:val="24"/>
          <w:szCs w:val="32"/>
        </w:rPr>
        <w:t>九、本次招标最终解释权</w:t>
      </w:r>
      <w:r>
        <w:rPr>
          <w:rFonts w:hint="eastAsia" w:ascii="Calibri" w:hAnsi="Calibri" w:eastAsia="宋体" w:cs="Times New Roman"/>
          <w:b/>
          <w:color w:val="000000"/>
          <w:sz w:val="24"/>
          <w:szCs w:val="24"/>
        </w:rPr>
        <w:t>归中国重汽集团济南动力有限公司。</w:t>
      </w:r>
    </w:p>
    <w:p>
      <w:pPr>
        <w:pStyle w:val="8"/>
        <w:jc w:val="center"/>
        <w:rPr>
          <w:rFonts w:ascii="Calibri" w:hAnsi="Calibri" w:eastAsia="宋体" w:cs="Times New Roman"/>
          <w:b/>
          <w:bCs/>
          <w:kern w:val="44"/>
          <w:sz w:val="36"/>
          <w:szCs w:val="44"/>
        </w:rPr>
        <w:sectPr>
          <w:pgSz w:w="11907" w:h="16840"/>
          <w:pgMar w:top="1304" w:right="1418" w:bottom="1304" w:left="1418" w:header="724" w:footer="851" w:gutter="0"/>
          <w:pgNumType w:start="7"/>
          <w:cols w:space="720" w:num="1"/>
          <w:docGrid w:linePitch="290" w:charSpace="-3931"/>
        </w:sectPr>
      </w:pPr>
    </w:p>
    <w:p>
      <w:pPr>
        <w:pStyle w:val="8"/>
        <w:numPr>
          <w:ilvl w:val="255"/>
          <w:numId w:val="0"/>
        </w:numPr>
        <w:jc w:val="center"/>
        <w:outlineLvl w:val="0"/>
        <w:rPr>
          <w:rFonts w:ascii="Calibri" w:hAnsi="Calibri" w:eastAsia="宋体" w:cs="Times New Roman"/>
          <w:b/>
          <w:bCs/>
          <w:kern w:val="44"/>
          <w:sz w:val="36"/>
          <w:szCs w:val="44"/>
        </w:rPr>
      </w:pPr>
      <w:bookmarkStart w:id="25" w:name="_Toc22879"/>
      <w:r>
        <w:rPr>
          <w:rFonts w:hint="eastAsia" w:ascii="Calibri" w:hAnsi="Calibri" w:eastAsia="宋体" w:cs="Times New Roman"/>
          <w:b/>
          <w:bCs/>
          <w:kern w:val="44"/>
          <w:sz w:val="36"/>
          <w:szCs w:val="44"/>
        </w:rPr>
        <w:t>第三部分 投标文件编制</w:t>
      </w:r>
      <w:bookmarkEnd w:id="25"/>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一、投标文件的编制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1投标人须认真阅读招标文件的所有内容，按招标文件的要求提供投标文件，并保证提供的全部资料的真实性，以使其投标对招标文件作出实质性响应，否则，其投标将被拒绝。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2投标文件和与投标有关的所有文件均应使用中文。</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二、投标文件资料</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1投标人所投标设备详细技术资料清单，在投标文件中列示说明；</w:t>
      </w:r>
    </w:p>
    <w:p>
      <w:pPr>
        <w:spacing w:line="360" w:lineRule="auto"/>
        <w:ind w:firstLine="480" w:firstLineChars="200"/>
        <w:rPr>
          <w:rFonts w:ascii="宋体" w:hAnsi="Courier New" w:eastAsia="宋体" w:cs="Times New Roman"/>
          <w:color w:val="000000"/>
          <w:sz w:val="24"/>
          <w:szCs w:val="24"/>
        </w:rPr>
      </w:pPr>
      <w:r>
        <w:rPr>
          <w:rFonts w:hint="eastAsia" w:ascii="宋体" w:hAnsi="宋体" w:eastAsia="宋体" w:cs="Times New Roman"/>
          <w:color w:val="000000"/>
          <w:sz w:val="24"/>
          <w:szCs w:val="24"/>
        </w:rPr>
        <w:t>2投标人完整的技术支持与售后服务实施方案，在投标文件中列示说明，包含但不</w:t>
      </w:r>
      <w:r>
        <w:rPr>
          <w:rFonts w:hint="eastAsia" w:ascii="宋体" w:hAnsi="Courier New" w:eastAsia="宋体" w:cs="Times New Roman"/>
          <w:color w:val="000000"/>
          <w:sz w:val="24"/>
          <w:szCs w:val="24"/>
        </w:rPr>
        <w:t>限于以下内容：</w:t>
      </w:r>
    </w:p>
    <w:p>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A</w:t>
      </w:r>
      <w:r>
        <w:rPr>
          <w:rFonts w:hint="eastAsia" w:ascii="宋体" w:hAnsi="Courier New" w:eastAsia="宋体" w:cs="Times New Roman"/>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B</w:t>
      </w:r>
      <w:r>
        <w:rPr>
          <w:rFonts w:hint="eastAsia" w:ascii="宋体" w:hAnsi="Courier New" w:eastAsia="宋体" w:cs="Times New Roman"/>
          <w:color w:val="000000"/>
          <w:sz w:val="24"/>
          <w:szCs w:val="24"/>
        </w:rPr>
        <w:t>、售后服务机构或网点（名称、地址、联系人、电话）。</w:t>
      </w:r>
    </w:p>
    <w:p>
      <w:pPr>
        <w:spacing w:line="360" w:lineRule="auto"/>
        <w:ind w:firstLine="480" w:firstLineChars="200"/>
        <w:rPr>
          <w:rFonts w:ascii="宋体" w:hAnsi="Courier New" w:eastAsia="宋体" w:cs="Times New Roman"/>
          <w:bCs/>
          <w:color w:val="000000"/>
          <w:sz w:val="24"/>
          <w:szCs w:val="24"/>
        </w:rPr>
      </w:pPr>
      <w:r>
        <w:rPr>
          <w:rFonts w:ascii="宋体" w:hAnsi="Courier New" w:eastAsia="宋体" w:cs="Times New Roman"/>
          <w:bCs/>
          <w:color w:val="000000"/>
          <w:sz w:val="24"/>
          <w:szCs w:val="24"/>
        </w:rPr>
        <w:t>C</w:t>
      </w:r>
      <w:r>
        <w:rPr>
          <w:rFonts w:hint="eastAsia" w:ascii="宋体" w:hAnsi="Courier New" w:eastAsia="宋体" w:cs="Times New Roman"/>
          <w:bCs/>
          <w:color w:val="000000"/>
          <w:sz w:val="24"/>
          <w:szCs w:val="24"/>
        </w:rPr>
        <w:t>、针对本项目的技术服务团队情况（人员数量、姓名、电话、专业资质等）。</w:t>
      </w:r>
    </w:p>
    <w:p>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D</w:t>
      </w:r>
      <w:r>
        <w:rPr>
          <w:rFonts w:hint="eastAsia" w:ascii="宋体" w:hAnsi="Courier New" w:eastAsia="宋体" w:cs="Times New Roman"/>
          <w:color w:val="000000"/>
          <w:sz w:val="24"/>
          <w:szCs w:val="24"/>
        </w:rPr>
        <w:t>、日常维护保养及故障排除措施保证。</w:t>
      </w:r>
    </w:p>
    <w:p>
      <w:pPr>
        <w:spacing w:line="360" w:lineRule="auto"/>
        <w:ind w:firstLine="480" w:firstLineChars="200"/>
      </w:pPr>
      <w:r>
        <w:rPr>
          <w:rFonts w:hint="eastAsia" w:ascii="宋体" w:hAnsi="宋体" w:eastAsia="宋体" w:cs="Times New Roman"/>
          <w:color w:val="000000"/>
          <w:sz w:val="24"/>
          <w:szCs w:val="24"/>
        </w:rPr>
        <w:t>3投标人关于包装、运输、检验、交付、安装、调试、培训等方案，均需在投标文件</w:t>
      </w:r>
      <w:r>
        <w:rPr>
          <w:rFonts w:hint="eastAsia" w:ascii="宋体" w:hAnsi="Courier New" w:eastAsia="宋体" w:cs="Times New Roman"/>
          <w:color w:val="000000"/>
          <w:sz w:val="24"/>
          <w:szCs w:val="24"/>
        </w:rPr>
        <w:t>中列示说明。</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三、投标文件的组成</w:t>
      </w:r>
    </w:p>
    <w:p>
      <w:pPr>
        <w:spacing w:line="360" w:lineRule="auto"/>
        <w:ind w:firstLine="480" w:firstLineChars="200"/>
        <w:rPr>
          <w:rFonts w:ascii="宋体" w:hAnsi="Courier New" w:eastAsia="宋体" w:cs="Times New Roman"/>
          <w:bCs/>
          <w:color w:val="000000"/>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w:t>
      </w:r>
      <w:r>
        <w:rPr>
          <w:rFonts w:hint="eastAsia" w:ascii="宋体" w:hAnsi="宋体" w:eastAsia="宋体" w:cs="宋体"/>
          <w:bCs/>
          <w:sz w:val="24"/>
          <w:szCs w:val="24"/>
        </w:rPr>
        <w:t>3</w:t>
      </w:r>
      <w:r>
        <w:rPr>
          <w:rFonts w:hint="eastAsia" w:ascii="宋体" w:hAnsi="Courier New" w:eastAsia="宋体" w:cs="Times New Roman"/>
          <w:bCs/>
          <w:color w:val="000000"/>
          <w:sz w:val="24"/>
          <w:szCs w:val="24"/>
        </w:rPr>
        <w:t>个文件。</w:t>
      </w:r>
    </w:p>
    <w:p>
      <w:pPr>
        <w:spacing w:line="360" w:lineRule="auto"/>
        <w:ind w:firstLine="482" w:firstLineChars="200"/>
        <w:rPr>
          <w:rFonts w:ascii="宋体" w:hAnsi="Courier New" w:eastAsia="宋体" w:cs="Times New Roman"/>
          <w:bCs/>
          <w:color w:val="000000"/>
          <w:sz w:val="24"/>
          <w:szCs w:val="24"/>
        </w:rPr>
      </w:pPr>
      <w:r>
        <w:rPr>
          <w:rFonts w:hint="eastAsia" w:ascii="宋体" w:hAnsi="Courier New" w:eastAsia="宋体" w:cs="Times New Roman"/>
          <w:b/>
          <w:color w:val="000000"/>
          <w:sz w:val="24"/>
          <w:szCs w:val="24"/>
        </w:rPr>
        <w:t>投标文件的份数要求及投递方式</w:t>
      </w:r>
      <w:r>
        <w:rPr>
          <w:rFonts w:hint="eastAsia" w:ascii="宋体" w:hAnsi="Courier New" w:eastAsia="宋体" w:cs="Times New Roman"/>
          <w:bCs/>
          <w:color w:val="000000"/>
          <w:sz w:val="24"/>
          <w:szCs w:val="24"/>
        </w:rPr>
        <w:t>，见《投标须知前附表》第3条。</w:t>
      </w:r>
    </w:p>
    <w:p>
      <w:pPr>
        <w:spacing w:line="360" w:lineRule="auto"/>
        <w:ind w:firstLine="480" w:firstLineChars="200"/>
        <w:rPr>
          <w:rFonts w:ascii="宋体" w:hAnsi="Courier New" w:eastAsia="宋体" w:cs="Times New Roman"/>
          <w:bCs/>
          <w:color w:val="000000"/>
          <w:sz w:val="24"/>
          <w:szCs w:val="24"/>
        </w:rPr>
      </w:pPr>
      <w:r>
        <w:rPr>
          <w:rFonts w:hint="eastAsia" w:ascii="宋体" w:hAnsi="Courier New" w:eastAsia="宋体" w:cs="Times New Roman"/>
          <w:bCs/>
          <w:color w:val="000000"/>
          <w:sz w:val="24"/>
          <w:szCs w:val="24"/>
        </w:rPr>
        <w:t>详见附件格式1—14，其余未尽事宜请按各单位习惯制定即可。</w:t>
      </w:r>
    </w:p>
    <w:p>
      <w:pPr>
        <w:spacing w:line="360" w:lineRule="auto"/>
        <w:ind w:firstLine="482" w:firstLineChars="200"/>
        <w:rPr>
          <w:rFonts w:ascii="宋体" w:hAnsi="宋体" w:eastAsia="宋体" w:cs="Times New Roman"/>
          <w:color w:val="000000"/>
          <w:sz w:val="24"/>
          <w:szCs w:val="24"/>
        </w:rPr>
      </w:pPr>
      <w:r>
        <w:rPr>
          <w:rFonts w:ascii="宋体" w:hAnsi="宋体" w:eastAsia="宋体" w:cs="Times New Roman"/>
          <w:b/>
          <w:bCs/>
          <w:sz w:val="24"/>
          <w:szCs w:val="20"/>
        </w:rPr>
        <w:t xml:space="preserve">1 </w:t>
      </w:r>
      <w:r>
        <w:rPr>
          <w:rFonts w:hint="eastAsia" w:ascii="宋体" w:hAnsi="宋体" w:eastAsia="宋体" w:cs="Times New Roman"/>
          <w:b/>
          <w:bCs/>
          <w:sz w:val="24"/>
          <w:szCs w:val="20"/>
        </w:rPr>
        <w:t>《投标文件（资质标）》包括</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1.1营业执照副本复印件；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1.2投标函（附件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1.3法定代表人授权书（附件</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）；法定代表人参加投标的，提供法人身份证明文件即可；被授权人参加投标的，需提供法定代表人授权委托书</w:t>
      </w:r>
      <w:r>
        <w:rPr>
          <w:rFonts w:hint="eastAsia" w:ascii="宋体" w:hAnsi="宋体" w:eastAsia="宋体" w:cs="Times New Roman"/>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1.4近三年经第三方机构审计的财务报表（资产负债表、损益表、现金流量表）复印件，必须连续，同时填写投标人基本情况及资产情况汇总表（附件3）；</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1.5近三年内在经营活动中没有违法违纪行为的声明；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1.6投标单位在国家企业信用信息公示系统中无与本项目有关的行政处罚、经营异常和失信信息的声明；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1.7企业信用证明材料（</w:t>
      </w:r>
      <w:r>
        <w:rPr>
          <w:rFonts w:hint="eastAsia" w:ascii="宋体" w:hAnsi="宋体" w:eastAsia="宋体" w:cs="宋体"/>
          <w:color w:val="000000"/>
          <w:sz w:val="24"/>
          <w:szCs w:val="24"/>
        </w:rPr>
        <w:t>征信中心出具的信用报告</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1.8代理商投标要携带生产商的授权书、原厂售后服务承诺书，</w:t>
      </w:r>
      <w:r>
        <w:rPr>
          <w:rFonts w:hint="eastAsia" w:ascii="宋体" w:hAnsi="宋体" w:eastAsia="宋体" w:cs="Times New Roman"/>
          <w:b/>
          <w:color w:val="000000"/>
          <w:sz w:val="24"/>
          <w:szCs w:val="24"/>
        </w:rPr>
        <w:t>根据实际情况提供即可，无格式限制；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1.9企业最近半年的完税证明；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1.10保密承诺函（附件4）；</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1.11企业近三年同类项目业绩证明；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1.12投标保证金缴纳凭证。</w:t>
      </w:r>
    </w:p>
    <w:p>
      <w:pPr>
        <w:spacing w:line="360" w:lineRule="auto"/>
        <w:ind w:firstLine="482" w:firstLineChars="200"/>
        <w:rPr>
          <w:rFonts w:ascii="宋体" w:hAnsi="Calibri" w:eastAsia="宋体" w:cs="Times New Roman"/>
          <w:b/>
          <w:bCs/>
          <w:sz w:val="24"/>
          <w:szCs w:val="20"/>
        </w:rPr>
      </w:pPr>
      <w:bookmarkStart w:id="26" w:name="_Toc212369515"/>
      <w:r>
        <w:rPr>
          <w:rFonts w:ascii="宋体" w:hAnsi="宋体" w:eastAsia="宋体" w:cs="Times New Roman"/>
          <w:b/>
          <w:bCs/>
          <w:sz w:val="24"/>
          <w:szCs w:val="20"/>
        </w:rPr>
        <w:t xml:space="preserve">2 </w:t>
      </w:r>
      <w:r>
        <w:rPr>
          <w:rFonts w:hint="eastAsia" w:eastAsia="宋体" w:cs="宋体"/>
          <w:b/>
          <w:sz w:val="24"/>
          <w:szCs w:val="28"/>
        </w:rPr>
        <w:t>《投标文件（技术标）》</w:t>
      </w:r>
      <w:r>
        <w:rPr>
          <w:rFonts w:hint="eastAsia" w:ascii="宋体" w:hAnsi="宋体" w:eastAsia="宋体" w:cs="Times New Roman"/>
          <w:b/>
          <w:bCs/>
          <w:sz w:val="24"/>
          <w:szCs w:val="20"/>
        </w:rPr>
        <w:t>：</w:t>
      </w:r>
      <w:bookmarkEnd w:id="26"/>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2.1技术规格偏离表（附件5），</w:t>
      </w:r>
      <w:r>
        <w:rPr>
          <w:rFonts w:hint="eastAsia" w:ascii="宋体" w:hAnsi="宋体" w:eastAsia="宋体" w:cs="Times New Roman"/>
          <w:b/>
          <w:color w:val="000000"/>
          <w:sz w:val="24"/>
          <w:szCs w:val="24"/>
        </w:rPr>
        <w:t>必须先进行两列要求一一对照，不允许直接写无偏离；</w:t>
      </w:r>
    </w:p>
    <w:p>
      <w:pPr>
        <w:spacing w:line="360" w:lineRule="auto"/>
        <w:ind w:firstLine="480" w:firstLineChars="200"/>
        <w:rPr>
          <w:rFonts w:ascii="宋体" w:hAnsi="宋体" w:eastAsia="宋体" w:cs="Times New Roman"/>
          <w:b/>
          <w:color w:val="000000"/>
          <w:sz w:val="24"/>
          <w:szCs w:val="24"/>
          <w:highlight w:val="green"/>
        </w:rPr>
      </w:pPr>
      <w:r>
        <w:rPr>
          <w:rFonts w:hint="eastAsia" w:ascii="宋体" w:hAnsi="宋体" w:eastAsia="宋体" w:cs="Times New Roman"/>
          <w:bCs/>
          <w:color w:val="000000"/>
          <w:sz w:val="24"/>
          <w:szCs w:val="24"/>
        </w:rPr>
        <w:t>2.2</w:t>
      </w:r>
      <w:r>
        <w:rPr>
          <w:rFonts w:hint="eastAsia" w:ascii="宋体" w:hAnsi="宋体" w:eastAsia="宋体" w:cs="Times New Roman"/>
          <w:color w:val="000000"/>
          <w:sz w:val="24"/>
          <w:szCs w:val="24"/>
        </w:rPr>
        <w:t>近三年同类项目业绩一览表（附件6）及有效合同复印件，</w:t>
      </w:r>
      <w:r>
        <w:rPr>
          <w:rFonts w:hint="eastAsia" w:ascii="宋体" w:hAnsi="宋体" w:eastAsia="宋体" w:cs="Times New Roman"/>
          <w:b/>
          <w:color w:val="000000"/>
          <w:sz w:val="24"/>
          <w:szCs w:val="24"/>
        </w:rPr>
        <w:t>若未提供相应业绩证明，根据技术标评分规则，将影响现场评标专家组对投标单位业绩判定打分；</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2.3供货期及保证措施；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2.4产品的技术服务和售后服务内容及措施；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2.5交货进度及计划；</w:t>
      </w:r>
    </w:p>
    <w:p>
      <w:pPr>
        <w:spacing w:line="360" w:lineRule="auto"/>
        <w:ind w:firstLine="480" w:firstLineChars="200"/>
        <w:rPr>
          <w:rFonts w:ascii="宋体" w:hAnsi="宋体" w:eastAsia="宋体" w:cs="Times New Roman"/>
          <w:color w:val="000000"/>
          <w:sz w:val="24"/>
          <w:szCs w:val="24"/>
        </w:rPr>
      </w:pPr>
      <w:bookmarkStart w:id="27" w:name="_Toc536542319"/>
      <w:r>
        <w:rPr>
          <w:rFonts w:hint="eastAsia" w:ascii="宋体" w:hAnsi="宋体" w:eastAsia="宋体" w:cs="Times New Roman"/>
          <w:color w:val="000000"/>
          <w:sz w:val="24"/>
          <w:szCs w:val="24"/>
        </w:rPr>
        <w:t>2.6投标产品技术支持材料</w:t>
      </w:r>
      <w:bookmarkEnd w:id="27"/>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2.7设备质量承诺函（附件7）；</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2.8投标人需提交的其它资料。</w:t>
      </w:r>
    </w:p>
    <w:p>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3</w:t>
      </w:r>
      <w:r>
        <w:rPr>
          <w:rFonts w:hint="eastAsia" w:ascii="宋体" w:hAnsi="宋体" w:eastAsia="宋体" w:cs="Times New Roman"/>
          <w:b/>
          <w:bCs/>
          <w:sz w:val="24"/>
          <w:szCs w:val="20"/>
        </w:rPr>
        <w:t xml:space="preserve"> </w:t>
      </w:r>
      <w:r>
        <w:rPr>
          <w:rFonts w:hint="eastAsia" w:eastAsia="宋体" w:cs="宋体"/>
          <w:b/>
          <w:sz w:val="24"/>
          <w:szCs w:val="28"/>
        </w:rPr>
        <w:t>《投标文件（商务标）》（开标一览表）</w:t>
      </w:r>
      <w:r>
        <w:rPr>
          <w:rFonts w:hint="eastAsia" w:ascii="宋体" w:hAnsi="宋体" w:eastAsia="宋体" w:cs="Times New Roman"/>
          <w:b/>
          <w:bCs/>
          <w:sz w:val="24"/>
          <w:szCs w:val="20"/>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3.1开标一览表（附件8）；</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3.2投标报价明细表（附件9-1至9-5）</w:t>
      </w:r>
      <w:r>
        <w:rPr>
          <w:rFonts w:hint="eastAsia" w:ascii="宋体" w:hAnsi="宋体" w:eastAsia="宋体" w:cs="Times New Roman"/>
          <w:b/>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3.3商务条款偏离表（附件10）</w:t>
      </w:r>
      <w:bookmarkStart w:id="28" w:name="OLE_LINK18"/>
      <w:bookmarkStart w:id="29" w:name="OLE_LINK19"/>
      <w:r>
        <w:rPr>
          <w:rFonts w:hint="eastAsia" w:ascii="宋体" w:hAnsi="宋体" w:eastAsia="宋体" w:cs="Times New Roman"/>
          <w:b/>
          <w:color w:val="000000"/>
          <w:sz w:val="24"/>
          <w:szCs w:val="24"/>
        </w:rPr>
        <w:t>；</w:t>
      </w:r>
      <w:bookmarkEnd w:id="28"/>
      <w:bookmarkEnd w:id="29"/>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3.4</w:t>
      </w:r>
      <w:r>
        <w:rPr>
          <w:rFonts w:hint="eastAsia" w:ascii="Times New Roman" w:hAnsi="Times New Roman" w:eastAsia="宋体" w:cs="Times New Roman"/>
          <w:color w:val="000000"/>
          <w:sz w:val="24"/>
          <w:szCs w:val="24"/>
        </w:rPr>
        <w:t>投标人承诺（</w:t>
      </w:r>
      <w:r>
        <w:rPr>
          <w:rFonts w:hint="eastAsia" w:ascii="宋体" w:hAnsi="宋体" w:eastAsia="宋体" w:cs="Times New Roman"/>
          <w:color w:val="000000"/>
          <w:sz w:val="24"/>
          <w:szCs w:val="24"/>
        </w:rPr>
        <w:t>附件11</w:t>
      </w:r>
      <w:r>
        <w:rPr>
          <w:rFonts w:hint="eastAsia" w:ascii="Times New Roman" w:hAnsi="Times New Roman" w:eastAsia="宋体" w:cs="Times New Roman"/>
          <w:color w:val="000000"/>
          <w:sz w:val="24"/>
          <w:szCs w:val="24"/>
        </w:rPr>
        <w:t>）</w:t>
      </w:r>
      <w:r>
        <w:rPr>
          <w:rFonts w:hint="eastAsia" w:ascii="宋体" w:hAnsi="宋体" w:eastAsia="宋体" w:cs="Times New Roman"/>
          <w:color w:val="000000"/>
          <w:sz w:val="24"/>
          <w:szCs w:val="24"/>
        </w:rPr>
        <w:t>，</w:t>
      </w:r>
      <w:r>
        <w:rPr>
          <w:rFonts w:hint="eastAsia" w:ascii="宋体" w:hAnsi="宋体" w:eastAsia="宋体" w:cs="Times New Roman"/>
          <w:b/>
          <w:color w:val="000000"/>
          <w:sz w:val="24"/>
          <w:szCs w:val="24"/>
        </w:rPr>
        <w:t>需写明质保期以外服务费用情况；</w:t>
      </w:r>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3.5服务承诺函（附件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2）；</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3.6按招标文件投标人须知和技术规格书中要求提供的有关文件。</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四、投标文件格式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详见第六部分投标文件附件格式</w:t>
      </w:r>
      <w:r>
        <w:rPr>
          <w:rFonts w:ascii="Times New Roman" w:hAnsi="Times New Roman" w:eastAsia="宋体" w:cs="Times New Roman"/>
          <w:color w:val="000000"/>
          <w:sz w:val="24"/>
          <w:szCs w:val="24"/>
        </w:rPr>
        <w:t>1—1</w:t>
      </w:r>
      <w:r>
        <w:rPr>
          <w:rFonts w:hint="eastAsia" w:ascii="Times New Roman" w:hAnsi="Times New Roman" w:eastAsia="宋体" w:cs="Times New Roman"/>
          <w:color w:val="000000"/>
          <w:sz w:val="24"/>
          <w:szCs w:val="24"/>
        </w:rPr>
        <w:t>4</w:t>
      </w:r>
      <w:r>
        <w:rPr>
          <w:rFonts w:hint="eastAsia" w:ascii="宋体" w:hAnsi="宋体" w:eastAsia="宋体" w:cs="Times New Roman"/>
          <w:color w:val="000000"/>
          <w:sz w:val="24"/>
          <w:szCs w:val="24"/>
        </w:rPr>
        <w:t>，其余未尽事宜请按各投标人习惯制定即可。</w:t>
      </w: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rPr>
          <w:rFonts w:ascii="Calibri" w:hAnsi="Calibri" w:eastAsia="宋体" w:cs="Times New Roman"/>
          <w:b/>
          <w:bCs/>
          <w:kern w:val="44"/>
          <w:sz w:val="36"/>
          <w:szCs w:val="44"/>
        </w:rPr>
      </w:pPr>
    </w:p>
    <w:p>
      <w:pPr>
        <w:keepNext/>
        <w:keepLines/>
        <w:jc w:val="center"/>
        <w:outlineLvl w:val="0"/>
        <w:rPr>
          <w:rFonts w:ascii="Calibri" w:hAnsi="Calibri" w:eastAsia="宋体" w:cs="Times New Roman"/>
          <w:b/>
          <w:bCs/>
          <w:kern w:val="44"/>
          <w:sz w:val="36"/>
          <w:szCs w:val="44"/>
        </w:rPr>
      </w:pPr>
      <w:bookmarkStart w:id="30" w:name="_Toc20822"/>
      <w:r>
        <w:rPr>
          <w:rFonts w:hint="eastAsia" w:ascii="Calibri" w:hAnsi="Calibri" w:eastAsia="宋体" w:cs="Times New Roman"/>
          <w:b/>
          <w:bCs/>
          <w:kern w:val="44"/>
          <w:sz w:val="36"/>
          <w:szCs w:val="44"/>
        </w:rPr>
        <w:t>第四部分 技术标书</w:t>
      </w:r>
      <w:bookmarkEnd w:id="30"/>
    </w:p>
    <w:p>
      <w:pPr>
        <w:pStyle w:val="8"/>
      </w:pPr>
    </w:p>
    <w:p>
      <w:pPr>
        <w:keepNext/>
        <w:keepLines/>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spacing w:val="-8"/>
          <w:sz w:val="48"/>
          <w:szCs w:val="44"/>
        </w:rPr>
        <w:t>动力总成质量质心、转动惯量一体化测量试验台采购项目</w:t>
      </w:r>
    </w:p>
    <w:p>
      <w:pPr>
        <w:pStyle w:val="8"/>
      </w:pPr>
    </w:p>
    <w:p>
      <w:pPr>
        <w:pStyle w:val="8"/>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pPr>
        <w:pStyle w:val="2"/>
        <w:rPr>
          <w:rFonts w:ascii="黑体" w:hAnsi="宋体" w:eastAsia="黑体"/>
          <w:color w:val="000000"/>
          <w:sz w:val="72"/>
          <w:szCs w:val="72"/>
        </w:rPr>
      </w:pPr>
    </w:p>
    <w:p/>
    <w:p>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8"/>
      </w:pPr>
    </w:p>
    <w:p>
      <w:pPr>
        <w:jc w:val="center"/>
        <w:rPr>
          <w:rFonts w:ascii="宋体" w:hAnsi="宋体"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pStyle w:val="2"/>
      </w:pPr>
    </w:p>
    <w:p/>
    <w:p>
      <w:pPr>
        <w:jc w:val="center"/>
        <w:rPr>
          <w:rFonts w:ascii="Calibri"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 xml:space="preserve">5 </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rPr>
        <w:t>11 月</w:t>
      </w:r>
    </w:p>
    <w:p>
      <w:pPr>
        <w:keepNext/>
        <w:keepLines/>
        <w:spacing w:after="120" w:line="480" w:lineRule="exact"/>
        <w:jc w:val="center"/>
        <w:outlineLvl w:val="1"/>
        <w:rPr>
          <w:rFonts w:ascii="宋体" w:hAnsi="Calibri" w:eastAsia="宋体" w:cs="Times New Roman"/>
          <w:b/>
          <w:bCs/>
          <w:kern w:val="44"/>
          <w:sz w:val="28"/>
          <w:szCs w:val="28"/>
        </w:rPr>
      </w:pPr>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pPr>
        <w:keepNext/>
        <w:keepLines/>
        <w:spacing w:before="120" w:after="120" w:line="360" w:lineRule="auto"/>
        <w:jc w:val="center"/>
        <w:outlineLvl w:val="2"/>
        <w:rPr>
          <w:rFonts w:ascii="宋体" w:hAnsi="宋体" w:eastAsia="宋体" w:cs="宋体"/>
          <w:b/>
          <w:bCs/>
          <w:sz w:val="24"/>
          <w:szCs w:val="24"/>
        </w:rPr>
      </w:pPr>
      <w:r>
        <w:rPr>
          <w:rFonts w:hint="eastAsia" w:ascii="宋体" w:hAnsi="宋体" w:eastAsia="宋体" w:cs="宋体"/>
          <w:b/>
          <w:bCs/>
          <w:sz w:val="24"/>
          <w:szCs w:val="24"/>
        </w:rPr>
        <w:t>第一节  使用环境</w:t>
      </w:r>
    </w:p>
    <w:p>
      <w:pPr>
        <w:spacing w:line="360" w:lineRule="auto"/>
        <w:rPr>
          <w:rFonts w:ascii="宋体" w:hAnsi="宋体" w:eastAsia="宋体" w:cs="宋体"/>
          <w:sz w:val="24"/>
          <w:szCs w:val="24"/>
          <w:u w:val="single"/>
          <w:shd w:val="pct10" w:color="auto" w:fill="FFFFFF"/>
        </w:rPr>
      </w:pPr>
      <w:r>
        <w:rPr>
          <w:rFonts w:hint="eastAsia" w:ascii="宋体" w:hAnsi="宋体" w:eastAsia="宋体" w:cs="宋体"/>
          <w:sz w:val="24"/>
          <w:szCs w:val="24"/>
        </w:rPr>
        <w:t>一、项目名称：</w:t>
      </w:r>
      <w:r>
        <w:rPr>
          <w:rFonts w:hint="eastAsia" w:ascii="宋体" w:hAnsi="宋体" w:eastAsia="宋体" w:cs="宋体"/>
          <w:sz w:val="24"/>
          <w:szCs w:val="24"/>
          <w:u w:val="single"/>
        </w:rPr>
        <w:t>动力总成质量质心、转动惯量一体化测量试验台</w:t>
      </w:r>
    </w:p>
    <w:p>
      <w:pPr>
        <w:spacing w:line="360" w:lineRule="auto"/>
        <w:rPr>
          <w:rFonts w:ascii="宋体" w:hAnsi="宋体" w:eastAsia="宋体" w:cs="宋体"/>
          <w:sz w:val="24"/>
          <w:szCs w:val="24"/>
          <w:u w:val="single"/>
          <w:shd w:val="pct10" w:color="auto" w:fill="FFFFFF"/>
        </w:rPr>
      </w:pPr>
      <w:r>
        <w:rPr>
          <w:rFonts w:hint="eastAsia" w:ascii="宋体" w:hAnsi="宋体" w:eastAsia="宋体" w:cs="宋体"/>
          <w:sz w:val="24"/>
          <w:szCs w:val="24"/>
        </w:rPr>
        <w:t>二、建设地点：</w:t>
      </w:r>
      <w:r>
        <w:rPr>
          <w:rFonts w:hint="eastAsia" w:ascii="宋体" w:hAnsi="宋体" w:eastAsia="宋体" w:cs="宋体"/>
          <w:color w:val="000000"/>
          <w:sz w:val="24"/>
          <w:szCs w:val="24"/>
          <w:u w:val="single"/>
        </w:rPr>
        <w:t>济南市</w:t>
      </w:r>
      <w:r>
        <w:rPr>
          <w:rFonts w:hint="eastAsia" w:hAnsi="宋体" w:eastAsia="宋体" w:cs="宋体"/>
          <w:color w:val="000000"/>
          <w:sz w:val="24"/>
          <w:szCs w:val="24"/>
          <w:u w:val="single"/>
        </w:rPr>
        <w:t>莱芜区中国重汽新能源产品试验检测中心</w:t>
      </w:r>
    </w:p>
    <w:p>
      <w:pPr>
        <w:spacing w:line="360" w:lineRule="auto"/>
        <w:rPr>
          <w:rFonts w:ascii="宋体" w:hAnsi="宋体" w:eastAsia="宋体" w:cs="宋体"/>
          <w:sz w:val="24"/>
          <w:szCs w:val="24"/>
        </w:rPr>
      </w:pPr>
      <w:r>
        <w:rPr>
          <w:rFonts w:hint="eastAsia" w:ascii="宋体" w:hAnsi="宋体" w:eastAsia="宋体" w:cs="宋体"/>
          <w:sz w:val="24"/>
          <w:szCs w:val="24"/>
        </w:rPr>
        <w:t>三、使用地点：</w:t>
      </w:r>
      <w:r>
        <w:rPr>
          <w:rFonts w:hint="eastAsia" w:ascii="宋体" w:hAnsi="宋体" w:eastAsia="宋体" w:cs="宋体"/>
          <w:color w:val="000000"/>
          <w:sz w:val="24"/>
          <w:szCs w:val="24"/>
          <w:u w:val="single"/>
        </w:rPr>
        <w:t>济南市</w:t>
      </w:r>
      <w:r>
        <w:rPr>
          <w:rFonts w:hint="eastAsia" w:hAnsi="宋体" w:eastAsia="宋体" w:cs="宋体"/>
          <w:color w:val="000000"/>
          <w:sz w:val="24"/>
          <w:szCs w:val="24"/>
          <w:u w:val="single"/>
        </w:rPr>
        <w:t>莱芜区中国重汽新能源产品试验检测中心</w:t>
      </w:r>
    </w:p>
    <w:p>
      <w:pPr>
        <w:spacing w:line="360" w:lineRule="auto"/>
        <w:rPr>
          <w:rFonts w:ascii="宋体" w:hAnsi="宋体" w:eastAsia="宋体" w:cs="宋体"/>
          <w:sz w:val="24"/>
          <w:szCs w:val="24"/>
        </w:rPr>
      </w:pPr>
      <w:r>
        <w:rPr>
          <w:rFonts w:hint="eastAsia" w:ascii="宋体" w:hAnsi="宋体" w:eastAsia="宋体" w:cs="宋体"/>
          <w:sz w:val="24"/>
          <w:szCs w:val="24"/>
        </w:rPr>
        <w:t>四、工作制度：全年工作365天、一班制、设备年时基数292</w:t>
      </w:r>
      <w:r>
        <w:rPr>
          <w:rFonts w:ascii="宋体" w:hAnsi="宋体" w:eastAsia="宋体" w:cs="宋体"/>
          <w:sz w:val="24"/>
          <w:szCs w:val="24"/>
        </w:rPr>
        <w:t>0</w:t>
      </w:r>
      <w:r>
        <w:rPr>
          <w:rFonts w:hint="eastAsia" w:ascii="宋体" w:hAnsi="宋体" w:eastAsia="宋体" w:cs="宋体"/>
          <w:sz w:val="24"/>
          <w:szCs w:val="24"/>
        </w:rPr>
        <w:t>小时</w:t>
      </w:r>
    </w:p>
    <w:p>
      <w:pPr>
        <w:spacing w:line="360" w:lineRule="auto"/>
        <w:rPr>
          <w:rFonts w:ascii="宋体" w:hAnsi="宋体" w:eastAsia="宋体" w:cs="宋体"/>
          <w:sz w:val="24"/>
          <w:szCs w:val="24"/>
        </w:rPr>
      </w:pPr>
      <w:r>
        <w:rPr>
          <w:rFonts w:hint="eastAsia" w:ascii="宋体" w:hAnsi="宋体" w:eastAsia="宋体" w:cs="宋体"/>
          <w:sz w:val="24"/>
          <w:szCs w:val="24"/>
        </w:rPr>
        <w:t>五、使用地点区域自然环境：</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1.海拔高度：4000m以下。</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2.环境温度：室外极端最低温度-12℃、极端最高温度45℃。</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3.相对湿度：最大95%、最小15%。</w:t>
      </w:r>
    </w:p>
    <w:p>
      <w:pPr>
        <w:spacing w:line="360" w:lineRule="auto"/>
        <w:rPr>
          <w:rFonts w:ascii="宋体" w:hAnsi="宋体" w:eastAsia="宋体" w:cs="宋体"/>
          <w:bCs/>
          <w:sz w:val="24"/>
          <w:szCs w:val="24"/>
        </w:rPr>
      </w:pPr>
      <w:r>
        <w:rPr>
          <w:rFonts w:hint="eastAsia" w:ascii="宋体" w:hAnsi="宋体" w:eastAsia="宋体" w:cs="宋体"/>
          <w:bCs/>
          <w:sz w:val="24"/>
          <w:szCs w:val="24"/>
        </w:rPr>
        <w:t>六、使用试验室环境条件：</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电力：中国制式，供电电压380V±15%/220V±15%，供电频率50Hz±2%；</w:t>
      </w:r>
    </w:p>
    <w:p>
      <w:pPr>
        <w:keepNext/>
        <w:keepLines/>
        <w:spacing w:before="120" w:after="120" w:line="360" w:lineRule="auto"/>
        <w:jc w:val="center"/>
        <w:outlineLvl w:val="2"/>
        <w:rPr>
          <w:rFonts w:ascii="宋体" w:hAnsi="宋体" w:eastAsia="宋体" w:cs="宋体"/>
          <w:b/>
          <w:bCs/>
          <w:sz w:val="24"/>
          <w:szCs w:val="24"/>
        </w:rPr>
      </w:pPr>
      <w:r>
        <w:rPr>
          <w:rFonts w:hint="eastAsia" w:ascii="宋体" w:hAnsi="宋体" w:eastAsia="宋体" w:cs="宋体"/>
          <w:b/>
          <w:bCs/>
          <w:sz w:val="24"/>
          <w:szCs w:val="24"/>
        </w:rPr>
        <w:t>第二节  采购货物概况</w:t>
      </w:r>
    </w:p>
    <w:p>
      <w:pPr>
        <w:spacing w:line="360" w:lineRule="auto"/>
        <w:rPr>
          <w:rFonts w:ascii="宋体" w:hAnsi="宋体" w:eastAsia="宋体" w:cs="宋体"/>
          <w:sz w:val="24"/>
          <w:szCs w:val="24"/>
        </w:rPr>
      </w:pPr>
      <w:r>
        <w:rPr>
          <w:rFonts w:hint="eastAsia" w:ascii="宋体" w:hAnsi="宋体" w:eastAsia="宋体" w:cs="宋体"/>
          <w:b/>
          <w:sz w:val="24"/>
          <w:szCs w:val="24"/>
        </w:rPr>
        <w:t>一、货物名称：</w:t>
      </w:r>
      <w:r>
        <w:rPr>
          <w:rFonts w:hint="eastAsia" w:ascii="宋体" w:hAnsi="宋体" w:eastAsia="宋体" w:cs="宋体"/>
          <w:sz w:val="24"/>
          <w:szCs w:val="24"/>
          <w:u w:val="single"/>
        </w:rPr>
        <w:t>动力总成质量质心、转动惯量一体化测量试验台</w:t>
      </w:r>
      <w:r>
        <w:rPr>
          <w:rFonts w:hint="eastAsia" w:ascii="宋体" w:hAnsi="宋体" w:eastAsia="宋体" w:cs="宋体"/>
          <w:sz w:val="24"/>
          <w:szCs w:val="24"/>
        </w:rPr>
        <w:t>（详见下表）</w:t>
      </w:r>
    </w:p>
    <w:p>
      <w:pPr>
        <w:spacing w:line="360" w:lineRule="auto"/>
        <w:rPr>
          <w:rFonts w:ascii="宋体" w:hAnsi="宋体" w:eastAsia="宋体" w:cs="宋体"/>
          <w:sz w:val="24"/>
          <w:szCs w:val="24"/>
        </w:rPr>
      </w:pPr>
      <w:r>
        <w:rPr>
          <w:rFonts w:hint="eastAsia" w:ascii="宋体" w:hAnsi="宋体" w:eastAsia="宋体" w:cs="宋体"/>
          <w:b/>
          <w:sz w:val="24"/>
          <w:szCs w:val="24"/>
        </w:rPr>
        <w:t>二、货物数量：</w:t>
      </w:r>
      <w:r>
        <w:rPr>
          <w:rFonts w:hint="eastAsia" w:ascii="宋体" w:hAnsi="宋体" w:eastAsia="宋体" w:cs="宋体"/>
          <w:sz w:val="24"/>
          <w:szCs w:val="24"/>
          <w:u w:val="single"/>
        </w:rPr>
        <w:t>1套</w:t>
      </w:r>
      <w:r>
        <w:rPr>
          <w:rFonts w:hint="eastAsia" w:ascii="宋体" w:hAnsi="宋体" w:eastAsia="宋体" w:cs="宋体"/>
          <w:sz w:val="24"/>
          <w:szCs w:val="24"/>
        </w:rPr>
        <w:t>（详见下表）</w:t>
      </w:r>
    </w:p>
    <w:p>
      <w:pPr>
        <w:spacing w:line="360" w:lineRule="auto"/>
        <w:rPr>
          <w:rFonts w:ascii="宋体" w:hAnsi="宋体" w:eastAsia="宋体" w:cs="宋体"/>
          <w:b/>
          <w:sz w:val="24"/>
          <w:szCs w:val="24"/>
        </w:rPr>
      </w:pPr>
      <w:r>
        <w:rPr>
          <w:rFonts w:hint="eastAsia" w:ascii="宋体" w:hAnsi="宋体" w:eastAsia="宋体" w:cs="宋体"/>
          <w:b/>
          <w:sz w:val="24"/>
          <w:szCs w:val="24"/>
        </w:rPr>
        <w:t>三、分投分中：不允许</w:t>
      </w:r>
    </w:p>
    <w:p>
      <w:pPr>
        <w:spacing w:line="360" w:lineRule="auto"/>
        <w:jc w:val="center"/>
        <w:rPr>
          <w:rFonts w:ascii="宋体" w:hAnsi="宋体" w:eastAsia="宋体" w:cs="宋体"/>
          <w:b/>
          <w:bCs/>
          <w:sz w:val="24"/>
          <w:szCs w:val="24"/>
        </w:rPr>
      </w:pPr>
      <w:r>
        <w:rPr>
          <w:rFonts w:hint="eastAsia" w:ascii="宋体" w:hAnsi="宋体" w:eastAsia="宋体" w:cs="宋体"/>
          <w:b/>
          <w:bCs/>
          <w:sz w:val="24"/>
          <w:szCs w:val="24"/>
        </w:rPr>
        <w:t>采购货物主要构成一览表</w:t>
      </w:r>
    </w:p>
    <w:tbl>
      <w:tblPr>
        <w:tblStyle w:val="14"/>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3486"/>
        <w:gridCol w:w="2693"/>
        <w:gridCol w:w="812"/>
        <w:gridCol w:w="11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jc w:val="center"/>
              <w:rPr>
                <w:rFonts w:ascii="宋体" w:hAnsi="宋体" w:eastAsia="宋体" w:cs="宋体"/>
                <w:sz w:val="24"/>
                <w:szCs w:val="24"/>
              </w:rPr>
            </w:pPr>
            <w:r>
              <w:rPr>
                <w:rFonts w:hint="eastAsia" w:ascii="宋体" w:hAnsi="宋体" w:eastAsia="宋体" w:cs="宋体"/>
                <w:sz w:val="24"/>
                <w:szCs w:val="24"/>
              </w:rPr>
              <w:t>序号</w:t>
            </w:r>
          </w:p>
        </w:tc>
        <w:tc>
          <w:tcPr>
            <w:tcW w:w="3486" w:type="dxa"/>
            <w:vAlign w:val="center"/>
          </w:tcPr>
          <w:p>
            <w:pPr>
              <w:jc w:val="center"/>
              <w:rPr>
                <w:rFonts w:ascii="宋体" w:hAnsi="宋体" w:eastAsia="宋体" w:cs="宋体"/>
                <w:sz w:val="24"/>
                <w:szCs w:val="24"/>
              </w:rPr>
            </w:pPr>
            <w:r>
              <w:rPr>
                <w:rFonts w:hint="eastAsia" w:ascii="宋体" w:hAnsi="宋体" w:eastAsia="宋体" w:cs="宋体"/>
                <w:sz w:val="24"/>
                <w:szCs w:val="24"/>
              </w:rPr>
              <w:t>名称</w:t>
            </w:r>
          </w:p>
        </w:tc>
        <w:tc>
          <w:tcPr>
            <w:tcW w:w="2693" w:type="dxa"/>
            <w:vAlign w:val="center"/>
          </w:tcPr>
          <w:p>
            <w:pPr>
              <w:jc w:val="center"/>
              <w:rPr>
                <w:rFonts w:ascii="宋体" w:hAnsi="宋体" w:eastAsia="宋体" w:cs="宋体"/>
                <w:sz w:val="24"/>
                <w:szCs w:val="24"/>
              </w:rPr>
            </w:pPr>
            <w:r>
              <w:rPr>
                <w:rFonts w:hint="eastAsia" w:ascii="宋体" w:hAnsi="宋体" w:eastAsia="宋体" w:cs="宋体"/>
                <w:sz w:val="24"/>
                <w:szCs w:val="24"/>
              </w:rPr>
              <w:t>型号规格</w:t>
            </w:r>
          </w:p>
        </w:tc>
        <w:tc>
          <w:tcPr>
            <w:tcW w:w="812" w:type="dxa"/>
            <w:vAlign w:val="center"/>
          </w:tcPr>
          <w:p>
            <w:pPr>
              <w:jc w:val="center"/>
              <w:rPr>
                <w:rFonts w:ascii="宋体" w:hAnsi="宋体" w:eastAsia="宋体" w:cs="宋体"/>
                <w:sz w:val="24"/>
                <w:szCs w:val="24"/>
              </w:rPr>
            </w:pPr>
            <w:r>
              <w:rPr>
                <w:rFonts w:hint="eastAsia" w:ascii="宋体" w:hAnsi="宋体" w:eastAsia="宋体" w:cs="宋体"/>
                <w:sz w:val="24"/>
                <w:szCs w:val="24"/>
              </w:rPr>
              <w:t>单位</w:t>
            </w:r>
          </w:p>
        </w:tc>
        <w:tc>
          <w:tcPr>
            <w:tcW w:w="1105" w:type="dxa"/>
            <w:vAlign w:val="center"/>
          </w:tcPr>
          <w:p>
            <w:pPr>
              <w:jc w:val="center"/>
              <w:rPr>
                <w:rFonts w:ascii="宋体" w:hAnsi="宋体" w:eastAsia="宋体" w:cs="宋体"/>
                <w:sz w:val="24"/>
                <w:szCs w:val="24"/>
              </w:rPr>
            </w:pPr>
            <w:r>
              <w:rPr>
                <w:rFonts w:hint="eastAsia" w:ascii="宋体" w:hAnsi="宋体" w:eastAsia="宋体" w:cs="宋体"/>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jc w:val="center"/>
              <w:rPr>
                <w:rFonts w:ascii="宋体" w:hAnsi="宋体" w:eastAsia="宋体" w:cs="宋体"/>
                <w:sz w:val="24"/>
                <w:szCs w:val="24"/>
              </w:rPr>
            </w:pPr>
            <w:r>
              <w:rPr>
                <w:rFonts w:hint="eastAsia" w:ascii="宋体" w:hAnsi="宋体" w:eastAsia="宋体" w:cs="宋体"/>
                <w:sz w:val="24"/>
                <w:szCs w:val="24"/>
              </w:rPr>
              <w:t>1</w:t>
            </w:r>
          </w:p>
        </w:tc>
        <w:tc>
          <w:tcPr>
            <w:tcW w:w="3486" w:type="dxa"/>
            <w:vAlign w:val="center"/>
          </w:tcPr>
          <w:p>
            <w:pPr>
              <w:jc w:val="left"/>
              <w:rPr>
                <w:rFonts w:ascii="宋体" w:hAnsi="宋体" w:eastAsia="宋体" w:cs="宋体"/>
                <w:sz w:val="24"/>
                <w:szCs w:val="24"/>
              </w:rPr>
            </w:pPr>
            <w:r>
              <w:rPr>
                <w:rFonts w:hint="eastAsia" w:ascii="宋体" w:hAnsi="宋体" w:eastAsia="宋体" w:cs="宋体"/>
                <w:sz w:val="24"/>
                <w:szCs w:val="24"/>
              </w:rPr>
              <w:t>动力总成质量质心、转动惯量一体化测量试验台</w:t>
            </w:r>
          </w:p>
        </w:tc>
        <w:tc>
          <w:tcPr>
            <w:tcW w:w="2693" w:type="dxa"/>
            <w:vAlign w:val="center"/>
          </w:tcPr>
          <w:p>
            <w:pPr>
              <w:jc w:val="center"/>
              <w:rPr>
                <w:rFonts w:ascii="宋体" w:hAnsi="宋体" w:eastAsia="宋体" w:cs="宋体"/>
                <w:sz w:val="24"/>
                <w:szCs w:val="24"/>
              </w:rPr>
            </w:pPr>
            <w:r>
              <w:rPr>
                <w:rFonts w:hint="eastAsia" w:ascii="宋体" w:hAnsi="宋体" w:eastAsia="宋体" w:cs="宋体"/>
                <w:sz w:val="24"/>
                <w:szCs w:val="24"/>
              </w:rPr>
              <w:t>见第二章技术要求</w:t>
            </w:r>
          </w:p>
        </w:tc>
        <w:tc>
          <w:tcPr>
            <w:tcW w:w="812" w:type="dxa"/>
            <w:vAlign w:val="center"/>
          </w:tcPr>
          <w:p>
            <w:pPr>
              <w:jc w:val="center"/>
              <w:rPr>
                <w:rFonts w:ascii="宋体" w:hAnsi="宋体" w:eastAsia="宋体" w:cs="宋体"/>
                <w:sz w:val="24"/>
                <w:szCs w:val="24"/>
              </w:rPr>
            </w:pPr>
            <w:r>
              <w:rPr>
                <w:rFonts w:hint="eastAsia" w:ascii="宋体" w:hAnsi="宋体" w:eastAsia="宋体" w:cs="宋体"/>
                <w:sz w:val="24"/>
                <w:szCs w:val="24"/>
              </w:rPr>
              <w:t>套</w:t>
            </w:r>
          </w:p>
        </w:tc>
        <w:tc>
          <w:tcPr>
            <w:tcW w:w="1105" w:type="dxa"/>
            <w:vAlign w:val="center"/>
          </w:tcPr>
          <w:p>
            <w:pPr>
              <w:jc w:val="center"/>
              <w:rPr>
                <w:rFonts w:ascii="宋体" w:hAnsi="宋体" w:eastAsia="宋体" w:cs="宋体"/>
                <w:sz w:val="24"/>
                <w:szCs w:val="24"/>
              </w:rPr>
            </w:pPr>
            <w:r>
              <w:rPr>
                <w:rFonts w:hint="eastAsia" w:ascii="宋体" w:hAnsi="宋体" w:eastAsia="宋体" w:cs="宋体"/>
                <w:sz w:val="24"/>
                <w:szCs w:val="24"/>
              </w:rPr>
              <w:t>1</w:t>
            </w:r>
          </w:p>
        </w:tc>
      </w:tr>
    </w:tbl>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pPr>
        <w:spacing w:line="360" w:lineRule="auto"/>
        <w:rPr>
          <w:rFonts w:ascii="宋体" w:hAnsi="宋体" w:eastAsia="宋体" w:cs="宋体"/>
          <w:b/>
          <w:sz w:val="24"/>
          <w:szCs w:val="24"/>
        </w:rPr>
      </w:pPr>
      <w:r>
        <w:rPr>
          <w:rFonts w:hint="eastAsia" w:ascii="宋体" w:hAnsi="宋体" w:eastAsia="宋体" w:cs="宋体"/>
          <w:b/>
          <w:sz w:val="24"/>
          <w:szCs w:val="24"/>
        </w:rPr>
        <w:t>四、采购货物特别说明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p>
    <w:p>
      <w:pPr>
        <w:pStyle w:val="6"/>
        <w:spacing w:before="0" w:after="0" w:afterLines="0"/>
        <w:ind w:firstLine="480" w:firstLineChars="200"/>
        <w:rPr>
          <w:rFonts w:ascii="宋体" w:hAnsi="宋体" w:eastAsia="宋体" w:cs="宋体"/>
          <w:sz w:val="24"/>
          <w:szCs w:val="24"/>
        </w:rPr>
      </w:pPr>
      <w:r>
        <w:rPr>
          <w:rFonts w:hint="eastAsia" w:ascii="宋体" w:hAnsi="宋体" w:eastAsia="宋体" w:cs="宋体"/>
          <w:sz w:val="24"/>
          <w:szCs w:val="24"/>
        </w:rPr>
        <w:t>本项目涉及设备，需按甲方要求提供设备零部件明细，并进行价格拆解。</w:t>
      </w:r>
      <w:r>
        <w:br w:type="page"/>
      </w:r>
    </w:p>
    <w:p>
      <w:pPr>
        <w:keepNext/>
        <w:keepLines/>
        <w:spacing w:before="120" w:after="120" w:line="480" w:lineRule="exact"/>
        <w:jc w:val="center"/>
        <w:outlineLvl w:val="1"/>
        <w:rPr>
          <w:rFonts w:ascii="宋体" w:hAnsi="宋体" w:eastAsia="宋体" w:cs="宋体"/>
          <w:b/>
          <w:bCs/>
          <w:kern w:val="44"/>
          <w:sz w:val="28"/>
          <w:szCs w:val="28"/>
        </w:rPr>
      </w:pPr>
      <w:r>
        <w:rPr>
          <w:rFonts w:hint="eastAsia" w:ascii="宋体" w:hAnsi="宋体" w:eastAsia="宋体" w:cs="宋体"/>
          <w:b/>
          <w:bCs/>
          <w:kern w:val="44"/>
          <w:sz w:val="28"/>
          <w:szCs w:val="28"/>
        </w:rPr>
        <w:t>第二章  技术要求</w:t>
      </w:r>
    </w:p>
    <w:p>
      <w:pPr>
        <w:pStyle w:val="4"/>
        <w:ind w:firstLine="420"/>
        <w:rPr>
          <w:rFonts w:ascii="宋体" w:hAnsi="宋体" w:cs="宋体"/>
          <w:b w:val="0"/>
          <w:bCs w:val="0"/>
          <w:sz w:val="24"/>
          <w:szCs w:val="24"/>
        </w:rPr>
      </w:pPr>
      <w:r>
        <w:rPr>
          <w:rFonts w:hint="eastAsia" w:ascii="宋体" w:hAnsi="宋体" w:cs="宋体"/>
          <w:sz w:val="24"/>
          <w:szCs w:val="24"/>
        </w:rPr>
        <w:t>一、特别提示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1.本章技术要求，仅对功能、设计、结构、性能、安装和试验检验等方面，提出了最低和一般性的技术要求，并未对一切技术细节作出规定。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2.本技术要求所使用的标准、规范等，如与投标人所执行的标准、规范不一致时，应按高于本技术要求所列的标准、规范执行。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3.投标人认为所供货物必需由招标人配备、解决或提供的其它要求，如设备基础隔振和减振设施、软化水、洁净气源等，均应在投标文件“技术偏离”中予以充分说明。</w:t>
      </w:r>
    </w:p>
    <w:p>
      <w:pPr>
        <w:spacing w:line="360" w:lineRule="auto"/>
        <w:ind w:firstLine="480" w:firstLineChars="200"/>
        <w:rPr>
          <w:rFonts w:ascii="宋体" w:hAnsi="宋体" w:eastAsia="宋体" w:cs="宋体"/>
          <w:sz w:val="24"/>
          <w:szCs w:val="24"/>
        </w:rPr>
      </w:pPr>
      <w:r>
        <w:rPr>
          <w:rFonts w:hint="eastAsia" w:ascii="宋体" w:hAnsi="宋体" w:eastAsia="宋体" w:cs="宋体"/>
          <w:bCs/>
          <w:sz w:val="24"/>
          <w:szCs w:val="24"/>
        </w:rPr>
        <w:t>4.投标人应根据招投标货物具体要求，提出</w:t>
      </w:r>
      <w:r>
        <w:rPr>
          <w:rFonts w:hint="eastAsia" w:ascii="宋体" w:hAnsi="宋体" w:eastAsia="宋体" w:cs="宋体"/>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ind w:firstLine="420"/>
        <w:rPr>
          <w:rFonts w:ascii="宋体" w:hAnsi="宋体" w:eastAsia="宋体" w:cs="宋体"/>
          <w:sz w:val="24"/>
          <w:szCs w:val="24"/>
        </w:rPr>
      </w:pPr>
      <w:r>
        <w:rPr>
          <w:rFonts w:hint="eastAsia" w:ascii="宋体" w:hAnsi="宋体" w:eastAsia="宋体" w:cs="宋体"/>
          <w:sz w:val="24"/>
          <w:szCs w:val="24"/>
        </w:rPr>
        <w:t>5.无论是否有技术偏离，投标人均应在投标文件“技术偏离”中明确作出有无说明。若有异议，不管是多么微小，投标人必须予以明确和详细的说明或澄清。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6.为避免投标人优势在招标评审时漏项，质保期超出本技术标书要求的，应当在投标文件“技术偏离”中特别注明。</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7.投标文件中，针对“特别提示”条款所做的回应，将作为投标人能否中标的重要依据之一。</w:t>
      </w:r>
    </w:p>
    <w:p>
      <w:pPr>
        <w:pStyle w:val="4"/>
        <w:ind w:firstLine="420"/>
        <w:rPr>
          <w:rFonts w:ascii="宋体" w:hAnsi="宋体" w:cs="宋体"/>
          <w:b w:val="0"/>
          <w:bCs w:val="0"/>
          <w:sz w:val="24"/>
          <w:szCs w:val="24"/>
        </w:rPr>
      </w:pPr>
      <w:r>
        <w:rPr>
          <w:rFonts w:hint="eastAsia" w:ascii="宋体" w:hAnsi="宋体" w:cs="宋体"/>
          <w:sz w:val="24"/>
          <w:szCs w:val="24"/>
        </w:rPr>
        <w:t>二、基本要求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1.投标人所供的货物，必须符合中国最新版的法律、法规和相关标准、规范的要求，符合项目所在地政府有关特殊要求。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2.投标人所供货物涉及的专利权技术以及知识产权保护的其它技术等，应保证招标人不因此受到任何侵权指控以及实际损失。</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3.投标人应保证所供货物的先进性、可靠性、经济性和实用性，并为全新货物（或设备）。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4.投标人应满足招标人提出的各项技术要求，必要时应当免费提供技术承诺或担保。</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6.投标人应保证所供货物的完整性和成套性，能保证货物的正常运行、使用。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7.投标人应对招标人采购的货物所涉及的技术、产能等信息负有保密义务，招标人拥有追究投标人泄密责任的权利；招标人如有需要，投标人应无条件签署保密协议。</w:t>
      </w:r>
    </w:p>
    <w:p>
      <w:pPr>
        <w:pStyle w:val="4"/>
        <w:ind w:firstLine="420"/>
        <w:rPr>
          <w:rFonts w:ascii="宋体" w:hAnsi="宋体" w:cs="宋体"/>
          <w:sz w:val="24"/>
          <w:szCs w:val="24"/>
        </w:rPr>
      </w:pPr>
      <w:r>
        <w:rPr>
          <w:rFonts w:hint="eastAsia" w:ascii="宋体" w:hAnsi="宋体" w:cs="宋体"/>
          <w:sz w:val="24"/>
          <w:szCs w:val="24"/>
        </w:rPr>
        <w:t>三、技术要求</w:t>
      </w:r>
    </w:p>
    <w:p>
      <w:pPr>
        <w:spacing w:line="360" w:lineRule="auto"/>
        <w:outlineLvl w:val="3"/>
        <w:rPr>
          <w:rFonts w:ascii="宋体" w:hAnsi="宋体" w:eastAsia="宋体" w:cs="宋体"/>
          <w:sz w:val="24"/>
          <w:szCs w:val="24"/>
        </w:rPr>
      </w:pPr>
      <w:r>
        <w:rPr>
          <w:rFonts w:hint="eastAsia" w:ascii="宋体" w:hAnsi="宋体" w:eastAsia="宋体" w:cs="宋体"/>
          <w:sz w:val="24"/>
          <w:szCs w:val="24"/>
        </w:rPr>
        <w:t>1 设备用途</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动力总成质量质心、转动惯量一体化测量试验台基于扭摆法可在同一台仪器上实现发动机总成、变速箱、驾驶室的质量、三维质心、三轴转动惯量、惯性积测量，获取准确的动力总成等部件的精确质量特性参数，用于悬置系统的设计计算和优化。</w:t>
      </w:r>
    </w:p>
    <w:p>
      <w:pPr>
        <w:spacing w:line="360" w:lineRule="auto"/>
        <w:outlineLvl w:val="3"/>
        <w:rPr>
          <w:rFonts w:ascii="宋体" w:hAnsi="宋体" w:eastAsia="宋体" w:cs="宋体"/>
          <w:sz w:val="24"/>
          <w:szCs w:val="24"/>
        </w:rPr>
      </w:pPr>
      <w:r>
        <w:rPr>
          <w:rFonts w:hint="eastAsia" w:ascii="宋体" w:hAnsi="宋体" w:eastAsia="宋体" w:cs="宋体"/>
          <w:sz w:val="24"/>
          <w:szCs w:val="24"/>
        </w:rPr>
        <w:t>2 总体技术要求</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2.1测试项目</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1）待测试件质量的测量；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2）待测试件在X、Y、Z三个方向上质心位置的测量；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3）待测试件在X、Y、Z三个方向上转动惯量的测量；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4）待测试件三个方向惯性积的测量；</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2.2测试对象覆盖范围</w:t>
      </w:r>
    </w:p>
    <w:p>
      <w:pPr>
        <w:pStyle w:val="6"/>
        <w:tabs>
          <w:tab w:val="left" w:pos="360"/>
        </w:tabs>
        <w:snapToGrid w:val="0"/>
        <w:spacing w:after="156"/>
        <w:ind w:left="425"/>
        <w:jc w:val="left"/>
        <w:rPr>
          <w:rFonts w:ascii="宋体" w:hAnsi="宋体" w:eastAsia="宋体" w:cstheme="minorBidi"/>
          <w:sz w:val="24"/>
          <w:szCs w:val="24"/>
        </w:rPr>
      </w:pPr>
      <w:r>
        <w:rPr>
          <w:rFonts w:hint="eastAsia" w:ascii="宋体" w:hAnsi="宋体" w:eastAsia="宋体" w:cstheme="minorBidi"/>
          <w:sz w:val="24"/>
          <w:szCs w:val="24"/>
        </w:rPr>
        <w:t>发动机动力总成、驾驶室及其他零部件。</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2.3 主要技术参数</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1）测试对象覆盖范围：发动机动力总成、驾驶室及其他零部件；</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2）测试的最大质量：3000kg；</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3）测试最大尺寸：3000mmx2500mmx2000mm；</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4）质量测量精度：≤0.5%；</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5）X、Y、Z三个方向质心位置测量精度：≤±1mm；</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6）相对质心位置，X、Y、Z三个方向转动惯量测量精度：≤3%；</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7）相对质心位置的惯性积测量精度：≤5%。</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2.4 设备要求</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2.4.1设备主体</w:t>
      </w:r>
    </w:p>
    <w:p>
      <w:pPr>
        <w:spacing w:line="360" w:lineRule="auto"/>
        <w:ind w:firstLine="480" w:firstLineChars="200"/>
        <w:rPr>
          <w:rFonts w:ascii="宋体" w:hAnsi="宋体" w:eastAsia="宋体"/>
          <w:sz w:val="24"/>
          <w:szCs w:val="24"/>
        </w:rPr>
      </w:pPr>
      <w:r>
        <w:rPr>
          <w:rFonts w:hint="eastAsia" w:ascii="宋体" w:hAnsi="宋体" w:eastAsia="宋体"/>
          <w:sz w:val="24"/>
          <w:szCs w:val="24"/>
        </w:rPr>
        <w:t>设备主体要包括但不限于：主体机械装置、电器控制柜、工业计算机、数据采集仪器、测试软件、标定及校正标准体。</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1）主体机械装置应包括但不限于以下：基座，测试平台，作动机构。</w:t>
      </w:r>
    </w:p>
    <w:p>
      <w:pPr>
        <w:spacing w:line="360" w:lineRule="auto"/>
        <w:ind w:firstLine="480" w:firstLineChars="200"/>
        <w:rPr>
          <w:rFonts w:ascii="宋体" w:hAnsi="宋体" w:eastAsia="宋体"/>
          <w:sz w:val="24"/>
          <w:szCs w:val="24"/>
        </w:rPr>
      </w:pPr>
      <w:r>
        <w:rPr>
          <w:rFonts w:hint="eastAsia" w:ascii="宋体" w:hAnsi="宋体" w:eastAsia="宋体"/>
          <w:sz w:val="24"/>
          <w:szCs w:val="24"/>
        </w:rPr>
        <w:fldChar w:fldCharType="begin"/>
      </w:r>
      <w:r>
        <w:rPr>
          <w:rFonts w:hint="eastAsia" w:ascii="宋体" w:hAnsi="宋体" w:eastAsia="宋体"/>
          <w:sz w:val="24"/>
          <w:szCs w:val="24"/>
        </w:rPr>
        <w:instrText xml:space="preserve">= 1 \* GB3</w:instrText>
      </w:r>
      <w:r>
        <w:rPr>
          <w:rFonts w:hint="eastAsia" w:ascii="宋体" w:hAnsi="宋体" w:eastAsia="宋体"/>
          <w:sz w:val="24"/>
          <w:szCs w:val="24"/>
        </w:rPr>
        <w:fldChar w:fldCharType="separate"/>
      </w:r>
      <w:r>
        <w:rPr>
          <w:rFonts w:hint="eastAsia" w:ascii="宋体" w:hAnsi="宋体" w:eastAsia="宋体"/>
          <w:sz w:val="24"/>
          <w:szCs w:val="24"/>
        </w:rPr>
        <w:t>①</w:t>
      </w:r>
      <w:r>
        <w:rPr>
          <w:rFonts w:hint="eastAsia" w:ascii="宋体" w:hAnsi="宋体" w:eastAsia="宋体"/>
          <w:sz w:val="24"/>
          <w:szCs w:val="24"/>
        </w:rPr>
        <w:fldChar w:fldCharType="end"/>
      </w:r>
      <w:r>
        <w:rPr>
          <w:rFonts w:hint="eastAsia" w:ascii="宋体" w:hAnsi="宋体" w:eastAsia="宋体"/>
          <w:sz w:val="24"/>
          <w:szCs w:val="24"/>
        </w:rPr>
        <w:t>基座：应能够保证在大质量测试条件下试验设备及人员的安全性、稳定性，且不需要基座与地基进行固定，方便用户的安装运输及对环境的要求，并配有调平装置；</w:t>
      </w:r>
    </w:p>
    <w:p>
      <w:pPr>
        <w:spacing w:line="360" w:lineRule="auto"/>
        <w:ind w:firstLine="480" w:firstLineChars="200"/>
        <w:rPr>
          <w:rFonts w:ascii="宋体" w:hAnsi="宋体" w:eastAsia="宋体"/>
          <w:sz w:val="24"/>
          <w:szCs w:val="24"/>
        </w:rPr>
      </w:pPr>
      <w:r>
        <w:rPr>
          <w:rFonts w:hint="eastAsia" w:ascii="宋体" w:hAnsi="宋体" w:eastAsia="宋体"/>
          <w:sz w:val="24"/>
          <w:szCs w:val="24"/>
        </w:rPr>
        <w:fldChar w:fldCharType="begin"/>
      </w:r>
      <w:r>
        <w:rPr>
          <w:rFonts w:hint="eastAsia" w:ascii="宋体" w:hAnsi="宋体" w:eastAsia="宋体"/>
          <w:sz w:val="24"/>
          <w:szCs w:val="24"/>
        </w:rPr>
        <w:instrText xml:space="preserve">= 2 \* GB3</w:instrText>
      </w:r>
      <w:r>
        <w:rPr>
          <w:rFonts w:hint="eastAsia" w:ascii="宋体" w:hAnsi="宋体" w:eastAsia="宋体"/>
          <w:sz w:val="24"/>
          <w:szCs w:val="24"/>
        </w:rPr>
        <w:fldChar w:fldCharType="separate"/>
      </w:r>
      <w:r>
        <w:rPr>
          <w:rFonts w:hint="eastAsia" w:ascii="宋体" w:hAnsi="宋体" w:eastAsia="宋体"/>
          <w:sz w:val="24"/>
          <w:szCs w:val="24"/>
        </w:rPr>
        <w:t>②</w:t>
      </w:r>
      <w:r>
        <w:rPr>
          <w:rFonts w:hint="eastAsia" w:ascii="宋体" w:hAnsi="宋体" w:eastAsia="宋体"/>
          <w:sz w:val="24"/>
          <w:szCs w:val="24"/>
        </w:rPr>
        <w:fldChar w:fldCharType="end"/>
      </w:r>
      <w:r>
        <w:rPr>
          <w:rFonts w:hint="eastAsia" w:ascii="宋体" w:hAnsi="宋体" w:eastAsia="宋体"/>
          <w:sz w:val="24"/>
          <w:szCs w:val="24"/>
        </w:rPr>
        <w:t>测试平台：作为测试承载平台，必须有固定、调整被测试件的工装及标定位置的基准点，且工装可调装置应覆盖条款2.3中所述尺寸及对象范围；</w:t>
      </w:r>
    </w:p>
    <w:p>
      <w:pPr>
        <w:spacing w:line="360" w:lineRule="auto"/>
        <w:ind w:firstLine="480" w:firstLineChars="200"/>
        <w:rPr>
          <w:rFonts w:ascii="宋体" w:hAnsi="宋体" w:eastAsia="宋体"/>
          <w:sz w:val="24"/>
          <w:szCs w:val="24"/>
        </w:rPr>
      </w:pPr>
      <w:r>
        <w:rPr>
          <w:rFonts w:hint="eastAsia" w:ascii="宋体" w:hAnsi="宋体" w:eastAsia="宋体"/>
          <w:sz w:val="24"/>
          <w:szCs w:val="24"/>
        </w:rPr>
        <w:fldChar w:fldCharType="begin"/>
      </w:r>
      <w:r>
        <w:rPr>
          <w:rFonts w:hint="eastAsia" w:ascii="宋体" w:hAnsi="宋体" w:eastAsia="宋体"/>
          <w:sz w:val="24"/>
          <w:szCs w:val="24"/>
        </w:rPr>
        <w:instrText xml:space="preserve">= 3 \* GB3</w:instrText>
      </w:r>
      <w:r>
        <w:rPr>
          <w:rFonts w:hint="eastAsia" w:ascii="宋体" w:hAnsi="宋体" w:eastAsia="宋体"/>
          <w:sz w:val="24"/>
          <w:szCs w:val="24"/>
        </w:rPr>
        <w:fldChar w:fldCharType="separate"/>
      </w:r>
      <w:r>
        <w:rPr>
          <w:rFonts w:hint="eastAsia" w:ascii="宋体" w:hAnsi="宋体" w:eastAsia="宋体"/>
          <w:sz w:val="24"/>
          <w:szCs w:val="24"/>
        </w:rPr>
        <w:t>③</w:t>
      </w:r>
      <w:r>
        <w:rPr>
          <w:rFonts w:hint="eastAsia" w:ascii="宋体" w:hAnsi="宋体" w:eastAsia="宋体"/>
          <w:sz w:val="24"/>
          <w:szCs w:val="24"/>
        </w:rPr>
        <w:fldChar w:fldCharType="end"/>
      </w:r>
      <w:r>
        <w:rPr>
          <w:rFonts w:hint="eastAsia" w:ascii="宋体" w:hAnsi="宋体" w:eastAsia="宋体"/>
          <w:sz w:val="24"/>
          <w:szCs w:val="24"/>
        </w:rPr>
        <w:t>作动机构：能够完成实现试验台功能所需的运动要求，并配有锁死定位、急停、安全防护装置。</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2）电器控制柜及计算机</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电器控制柜为独立电控柜，计算机主机及采集系统应置入电控柜内；工业计算机要求内存≥16G，处理器I7以上，硬盘</w:t>
      </w:r>
      <w:bookmarkStart w:id="31" w:name="OLE_LINK2"/>
      <w:r>
        <w:rPr>
          <w:rFonts w:hint="eastAsia" w:ascii="宋体" w:hAnsi="宋体" w:eastAsia="宋体"/>
          <w:sz w:val="24"/>
          <w:szCs w:val="24"/>
        </w:rPr>
        <w:t>≥</w:t>
      </w:r>
      <w:bookmarkEnd w:id="31"/>
      <w:r>
        <w:rPr>
          <w:rFonts w:hint="eastAsia" w:ascii="宋体" w:hAnsi="宋体" w:eastAsia="宋体"/>
          <w:sz w:val="24"/>
          <w:szCs w:val="24"/>
        </w:rPr>
        <w:t>1T，配有USB接口，配置UPS电源，应设置应急处理单元，具有监控异常情况和故障、报警和自动保护功能，配置激光打印机。</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电器控制柜与试验台之间预留足够长的信号线（≥10m），方便用户进行二次调试安装。</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3）高性能移动笔记本电脑，CPU 酷睿I7及以上，核数24，主频5.8GHz，显存8G，内存32G，硬盘1T。</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4）标定及校正标准体</w:t>
      </w:r>
    </w:p>
    <w:p>
      <w:pPr>
        <w:spacing w:line="360" w:lineRule="auto"/>
        <w:ind w:firstLine="480" w:firstLineChars="200"/>
        <w:rPr>
          <w:rFonts w:ascii="宋体" w:hAnsi="宋体" w:eastAsia="宋体"/>
          <w:sz w:val="24"/>
          <w:szCs w:val="24"/>
        </w:rPr>
      </w:pPr>
      <w:r>
        <w:rPr>
          <w:rFonts w:hint="eastAsia" w:ascii="宋体" w:hAnsi="宋体" w:eastAsia="宋体"/>
          <w:sz w:val="24"/>
          <w:szCs w:val="24"/>
        </w:rPr>
        <w:t>设备包含两块标定及校正标准体，分别为测试质量量程的20%～30%和80%～100%。标准件表面镀锌（或镀铬）处理，防止生锈。</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5）测试软件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测试软件应具有良好的人机对话界面，所有的控制操作均可在测试软件中实现，所有测试数据可实现电脑实时显示、自动数据记录、处理和打印、异常及故障报警功能。支持定制中英文报告，买方可进行一定程度的二次开发。</w:t>
      </w:r>
    </w:p>
    <w:p>
      <w:pPr>
        <w:numPr>
          <w:ilvl w:val="0"/>
          <w:numId w:val="11"/>
        </w:numPr>
        <w:spacing w:line="360" w:lineRule="auto"/>
        <w:ind w:firstLine="480" w:firstLineChars="200"/>
        <w:rPr>
          <w:rFonts w:ascii="宋体" w:hAnsi="宋体" w:eastAsia="宋体"/>
          <w:sz w:val="24"/>
          <w:szCs w:val="24"/>
        </w:rPr>
      </w:pPr>
      <w:r>
        <w:rPr>
          <w:rFonts w:hint="eastAsia" w:ascii="宋体" w:hAnsi="宋体" w:eastAsia="宋体"/>
          <w:sz w:val="24"/>
          <w:szCs w:val="24"/>
        </w:rPr>
        <w:t>吊装设备需求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应根据建设场地需求，提供方案并建设一台2t室内龙门吊车。</w:t>
      </w:r>
    </w:p>
    <w:p>
      <w:pPr>
        <w:numPr>
          <w:ilvl w:val="0"/>
          <w:numId w:val="11"/>
        </w:numPr>
        <w:spacing w:line="360" w:lineRule="auto"/>
        <w:ind w:firstLine="480" w:firstLineChars="200"/>
        <w:rPr>
          <w:rFonts w:ascii="宋体" w:hAnsi="宋体" w:eastAsia="宋体"/>
          <w:sz w:val="24"/>
          <w:szCs w:val="24"/>
        </w:rPr>
      </w:pPr>
      <w:r>
        <w:rPr>
          <w:rFonts w:hint="eastAsia" w:ascii="宋体" w:hAnsi="宋体" w:eastAsia="宋体"/>
          <w:sz w:val="24"/>
          <w:szCs w:val="24"/>
        </w:rPr>
        <w:t>工装安装需求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台面连接工装左右、前后、上下连接位置可灵活调整，能适用于不同动力总成安装测试需求。</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2.4.2其他要求</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1）完成单次质量质心、转动惯量测试时间小于3小时；</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2）一次装夹即可完成测试质量质心、转动惯量的测量；</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3）设置安全与监控系统，实现试验台整体监控和关键部分监控，并能储存录像；</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4）设备应具有安全保护措施，在突发情况下，如断电等，保证试验数据不丢失，确保设备及人身安全。</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5）设备完成测试需求的所有辅附件及工作时必要的办公品，例如信号电缆、电源插接头、专用工具和工具箱、专用辅助装置等，在招标文件中提供清单。</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6）买方提供总配电柜和平坦的设备放置场地。试验台所用的其它任何设施均在本招标范围内。</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2.5工作环境及配电</w:t>
      </w:r>
    </w:p>
    <w:p>
      <w:pPr>
        <w:spacing w:line="360" w:lineRule="auto"/>
        <w:outlineLvl w:val="5"/>
        <w:rPr>
          <w:rFonts w:ascii="宋体" w:hAnsi="宋体" w:eastAsia="宋体" w:cs="宋体"/>
          <w:sz w:val="24"/>
          <w:szCs w:val="24"/>
        </w:rPr>
      </w:pPr>
      <w:bookmarkStart w:id="32" w:name="_Toc412787426"/>
      <w:bookmarkStart w:id="33" w:name="_Toc1623"/>
      <w:bookmarkStart w:id="34" w:name="_Toc356922271"/>
      <w:bookmarkStart w:id="35" w:name="_Toc353353483"/>
      <w:bookmarkStart w:id="36" w:name="_Toc419446544"/>
      <w:bookmarkStart w:id="37" w:name="_Toc278784783"/>
      <w:r>
        <w:rPr>
          <w:rFonts w:hint="eastAsia" w:ascii="宋体" w:hAnsi="宋体" w:eastAsia="宋体" w:cs="宋体"/>
          <w:sz w:val="24"/>
          <w:szCs w:val="24"/>
        </w:rPr>
        <w:t>2.5.1 自然条件</w:t>
      </w:r>
      <w:bookmarkEnd w:id="32"/>
      <w:bookmarkEnd w:id="33"/>
      <w:bookmarkEnd w:id="34"/>
      <w:bookmarkEnd w:id="35"/>
      <w:bookmarkEnd w:id="36"/>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1）工作温度：-10℃～40℃；</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2）相对湿度：＜90%；</w:t>
      </w:r>
    </w:p>
    <w:p>
      <w:pPr>
        <w:spacing w:line="360" w:lineRule="auto"/>
        <w:outlineLvl w:val="5"/>
        <w:rPr>
          <w:rFonts w:ascii="宋体" w:hAnsi="宋体" w:eastAsia="宋体" w:cs="宋体"/>
          <w:sz w:val="24"/>
          <w:szCs w:val="24"/>
        </w:rPr>
      </w:pPr>
      <w:bookmarkStart w:id="38" w:name="_Toc254879689"/>
      <w:bookmarkStart w:id="39" w:name="_Toc353353484"/>
      <w:bookmarkStart w:id="40" w:name="_Toc419446545"/>
      <w:bookmarkStart w:id="41" w:name="_Toc412787427"/>
      <w:bookmarkStart w:id="42" w:name="_Toc2514"/>
      <w:bookmarkStart w:id="43" w:name="_Toc356922272"/>
      <w:r>
        <w:rPr>
          <w:rFonts w:hint="eastAsia" w:ascii="宋体" w:hAnsi="宋体" w:eastAsia="宋体" w:cs="宋体"/>
          <w:sz w:val="24"/>
          <w:szCs w:val="24"/>
        </w:rPr>
        <w:t>2.5.2 工作电源</w:t>
      </w:r>
      <w:bookmarkEnd w:id="38"/>
      <w:bookmarkEnd w:id="39"/>
      <w:bookmarkEnd w:id="40"/>
      <w:bookmarkEnd w:id="41"/>
      <w:bookmarkEnd w:id="42"/>
      <w:bookmarkEnd w:id="43"/>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1）电压：380V±10%；</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2）频率：50Hz±1Hz；</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3) 功率：500W。</w:t>
      </w:r>
    </w:p>
    <w:p>
      <w:pPr>
        <w:spacing w:line="360" w:lineRule="auto"/>
        <w:outlineLvl w:val="5"/>
        <w:rPr>
          <w:rFonts w:ascii="宋体" w:hAnsi="宋体" w:eastAsia="宋体" w:cs="宋体"/>
          <w:sz w:val="24"/>
          <w:szCs w:val="24"/>
        </w:rPr>
      </w:pPr>
      <w:bookmarkStart w:id="44" w:name="_Toc356922273"/>
      <w:bookmarkStart w:id="45" w:name="_Toc419446546"/>
      <w:bookmarkStart w:id="46" w:name="_Toc412787428"/>
      <w:bookmarkStart w:id="47" w:name="_Toc8745"/>
      <w:bookmarkStart w:id="48" w:name="_Toc353353485"/>
      <w:r>
        <w:rPr>
          <w:rFonts w:hint="eastAsia" w:ascii="宋体" w:hAnsi="宋体" w:eastAsia="宋体" w:cs="宋体"/>
          <w:sz w:val="24"/>
          <w:szCs w:val="24"/>
        </w:rPr>
        <w:t>2.5.3 工作时间</w:t>
      </w:r>
      <w:bookmarkEnd w:id="44"/>
      <w:bookmarkEnd w:id="45"/>
      <w:bookmarkEnd w:id="46"/>
      <w:bookmarkEnd w:id="47"/>
      <w:bookmarkEnd w:id="48"/>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1）设备运行连续性时间：最长连续运行时间不小于5小时；</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2）可靠性MTBF：≥200h；</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3）维修性MTTR：≤0.5h；</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4）展开时间≤0.5h。</w:t>
      </w:r>
      <w:bookmarkEnd w:id="37"/>
      <w:bookmarkStart w:id="49" w:name="_Toc513514400"/>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投标人必须提供适应工作环境及试验要求的高、低压配电系统参数及推荐设备型号，并就性能、技术等要求进行详细说明。</w:t>
      </w:r>
    </w:p>
    <w:bookmarkEnd w:id="49"/>
    <w:p>
      <w:pPr>
        <w:spacing w:line="360" w:lineRule="auto"/>
        <w:outlineLvl w:val="3"/>
        <w:rPr>
          <w:rFonts w:ascii="宋体" w:hAnsi="宋体" w:eastAsia="宋体" w:cs="宋体"/>
          <w:sz w:val="24"/>
          <w:szCs w:val="24"/>
        </w:rPr>
      </w:pPr>
      <w:r>
        <w:rPr>
          <w:rFonts w:hint="eastAsia" w:ascii="宋体" w:hAnsi="宋体" w:eastAsia="宋体" w:cs="宋体"/>
          <w:sz w:val="24"/>
          <w:szCs w:val="24"/>
        </w:rPr>
        <w:t>3 项目时间节点</w:t>
      </w:r>
    </w:p>
    <w:tbl>
      <w:tblPr>
        <w:tblStyle w:val="15"/>
        <w:tblW w:w="79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0"/>
        <w:gridCol w:w="2204"/>
        <w:gridCol w:w="2791"/>
        <w:gridCol w:w="19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b/>
                <w:bCs/>
              </w:rPr>
            </w:pPr>
            <w:r>
              <w:rPr>
                <w:rFonts w:hint="eastAsia" w:ascii="宋体" w:hAnsi="宋体" w:eastAsia="宋体" w:cs="宋体"/>
              </w:rPr>
              <w:t>序号</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b/>
                <w:bCs/>
              </w:rPr>
            </w:pPr>
            <w:r>
              <w:rPr>
                <w:rFonts w:hint="eastAsia" w:ascii="宋体" w:hAnsi="宋体" w:eastAsia="宋体" w:cs="宋体"/>
                <w:b/>
                <w:bCs/>
              </w:rPr>
              <w:t>节点描述</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b/>
                <w:bCs/>
              </w:rPr>
            </w:pPr>
            <w:r>
              <w:rPr>
                <w:rFonts w:hint="eastAsia" w:ascii="宋体" w:hAnsi="宋体" w:eastAsia="宋体" w:cs="宋体"/>
                <w:b/>
                <w:bCs/>
              </w:rPr>
              <w:t>时间节点</w:t>
            </w:r>
          </w:p>
        </w:tc>
        <w:tc>
          <w:tcPr>
            <w:tcW w:w="1950" w:type="dxa"/>
            <w:vAlign w:val="bottom"/>
          </w:tcPr>
          <w:p>
            <w:pPr>
              <w:pStyle w:val="21"/>
              <w:numPr>
                <w:ilvl w:val="1"/>
                <w:numId w:val="0"/>
              </w:numPr>
              <w:spacing w:line="240" w:lineRule="atLeast"/>
              <w:jc w:val="center"/>
              <w:rPr>
                <w:rFonts w:ascii="宋体" w:hAnsi="宋体" w:eastAsia="宋体" w:cs="宋体"/>
                <w:b/>
                <w:bCs/>
                <w:highlight w:val="yellow"/>
              </w:rPr>
            </w:pPr>
            <w:r>
              <w:rPr>
                <w:rFonts w:hint="eastAsia" w:ascii="宋体" w:hAnsi="宋体" w:eastAsia="宋体" w:cs="宋体"/>
                <w:b/>
                <w:bCs/>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1</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项目启动</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合同签订后1个月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r>
              <w:rPr>
                <w:rFonts w:hint="eastAsia" w:ascii="宋体" w:hAnsi="宋体" w:eastAsia="宋体" w:cs="宋体"/>
              </w:rPr>
              <w:t>信息需求收集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2</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设备进厂</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合同签订后2个月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3</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安装调试</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合同签订后3个月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4</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投入使用</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合同签订后4个月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5</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验收完成</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合同签订后5个月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6</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质保期</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质保期2年</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bl>
    <w:p>
      <w:pPr>
        <w:spacing w:line="360" w:lineRule="auto"/>
        <w:outlineLvl w:val="3"/>
        <w:rPr>
          <w:rFonts w:ascii="宋体" w:hAnsi="宋体" w:eastAsia="宋体" w:cs="宋体"/>
          <w:color w:val="000000"/>
          <w:sz w:val="24"/>
          <w:szCs w:val="24"/>
        </w:rPr>
      </w:pPr>
      <w:bookmarkStart w:id="50" w:name="_Toc132629988"/>
      <w:bookmarkStart w:id="51" w:name="_Toc136372097"/>
      <w:bookmarkStart w:id="52" w:name="_Toc81748962"/>
      <w:bookmarkStart w:id="53" w:name="_Toc162365714"/>
      <w:r>
        <w:rPr>
          <w:rFonts w:hint="eastAsia" w:ascii="宋体" w:hAnsi="宋体" w:eastAsia="宋体" w:cs="宋体"/>
          <w:color w:val="000000"/>
          <w:sz w:val="24"/>
          <w:szCs w:val="24"/>
        </w:rPr>
        <w:t>3 项目验收</w:t>
      </w:r>
      <w:bookmarkEnd w:id="50"/>
      <w:bookmarkEnd w:id="51"/>
      <w:bookmarkEnd w:id="52"/>
      <w:bookmarkEnd w:id="53"/>
    </w:p>
    <w:p>
      <w:pPr>
        <w:pStyle w:val="22"/>
        <w:numPr>
          <w:ilvl w:val="0"/>
          <w:numId w:val="0"/>
        </w:numPr>
        <w:ind w:left="480"/>
        <w:rPr>
          <w:rFonts w:cs="宋体"/>
          <w:b w:val="0"/>
          <w:bCs w:val="0"/>
        </w:rPr>
      </w:pPr>
      <w:bookmarkStart w:id="54" w:name="_Toc92194035"/>
      <w:bookmarkStart w:id="55" w:name="_Toc162365715"/>
      <w:bookmarkStart w:id="56" w:name="_Toc81748967"/>
      <w:bookmarkStart w:id="57" w:name="_Toc136372099"/>
      <w:bookmarkStart w:id="58" w:name="_Toc132629990"/>
      <w:bookmarkStart w:id="59" w:name="_Hlk121165351"/>
      <w:r>
        <w:rPr>
          <w:rFonts w:hint="eastAsia" w:cs="宋体"/>
          <w:b w:val="0"/>
          <w:bCs w:val="0"/>
        </w:rPr>
        <w:t>3.1项目预验收及发货</w:t>
      </w:r>
      <w:bookmarkEnd w:id="54"/>
      <w:bookmarkEnd w:id="55"/>
      <w:bookmarkEnd w:id="56"/>
      <w:bookmarkEnd w:id="57"/>
      <w:bookmarkEnd w:id="58"/>
    </w:p>
    <w:p>
      <w:pPr>
        <w:spacing w:line="360" w:lineRule="auto"/>
        <w:ind w:firstLine="480" w:firstLineChars="200"/>
        <w:rPr>
          <w:rFonts w:ascii="宋体" w:hAnsi="宋体" w:eastAsia="宋体" w:cs="宋体"/>
          <w:snapToGrid w:val="0"/>
          <w:sz w:val="24"/>
          <w:szCs w:val="24"/>
        </w:rPr>
      </w:pPr>
      <w:bookmarkStart w:id="60" w:name="_Hlk143713607"/>
      <w:r>
        <w:rPr>
          <w:rFonts w:hint="eastAsia" w:ascii="宋体" w:hAnsi="宋体" w:eastAsia="宋体" w:cs="宋体"/>
          <w:snapToGrid w:val="0"/>
          <w:sz w:val="24"/>
          <w:szCs w:val="24"/>
        </w:rPr>
        <w:t>乙方完成设备生产及调试后，通知甲方进行预验收。买卖双方依据总体设计方案对试验台各项参数进行预验收，确定试验台完全符合设计方案的各项要求。完成预验收后双方签属预验收报告。</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设备的交付运输由乙方负责，打包并运输到协议约定的交付地点。</w:t>
      </w:r>
    </w:p>
    <w:p>
      <w:pPr>
        <w:spacing w:line="360" w:lineRule="auto"/>
        <w:ind w:firstLine="480" w:firstLineChars="200"/>
        <w:rPr>
          <w:rFonts w:ascii="宋体" w:hAnsi="宋体" w:eastAsia="宋体" w:cs="宋体"/>
          <w:snapToGrid w:val="0"/>
          <w:color w:val="000000"/>
          <w:sz w:val="24"/>
          <w:szCs w:val="24"/>
        </w:rPr>
      </w:pPr>
      <w:r>
        <w:rPr>
          <w:rFonts w:hint="eastAsia" w:ascii="宋体" w:hAnsi="宋体" w:eastAsia="宋体" w:cs="宋体"/>
          <w:snapToGrid w:val="0"/>
          <w:color w:val="000000"/>
          <w:sz w:val="24"/>
          <w:szCs w:val="24"/>
        </w:rPr>
        <w:t>设备到达甲方现场后，乙方应派人员到现场协助甲方进行拆箱和货物清点，甲方应在乙方在场的情况下进行拆箱和货物清点。</w:t>
      </w:r>
    </w:p>
    <w:bookmarkEnd w:id="60"/>
    <w:p>
      <w:pPr>
        <w:pStyle w:val="22"/>
        <w:numPr>
          <w:ilvl w:val="0"/>
          <w:numId w:val="0"/>
        </w:numPr>
        <w:ind w:left="480"/>
        <w:rPr>
          <w:rFonts w:cs="宋体"/>
          <w:b w:val="0"/>
          <w:bCs w:val="0"/>
        </w:rPr>
      </w:pPr>
      <w:bookmarkStart w:id="61" w:name="_Toc132629991"/>
      <w:bookmarkStart w:id="62" w:name="_Toc136372100"/>
      <w:bookmarkStart w:id="63" w:name="_Toc162365716"/>
      <w:r>
        <w:rPr>
          <w:rFonts w:hint="eastAsia" w:cs="宋体"/>
          <w:b w:val="0"/>
          <w:bCs w:val="0"/>
        </w:rPr>
        <w:t>3.2项目终验收</w:t>
      </w:r>
      <w:bookmarkEnd w:id="61"/>
      <w:bookmarkEnd w:id="62"/>
      <w:bookmarkEnd w:id="63"/>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乙方在甲方现场完成现场调试工作及相关培训后，双方进行项目终验收。</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由甲乙双方共同组织设备的终验收，验收内容及方法标准如下：</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1）设备数目清点，核对交付物清单内交付物数量。</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2）软硬件功能验证，对设备的软硬件功能进行实操验收，按照技术协议的内容，对设备的软硬件主要功能进行验证。</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3）针对标准件及动力总成完成一轮以上测试，结果需通过甲方审核确认。</w:t>
      </w:r>
    </w:p>
    <w:p>
      <w:pPr>
        <w:spacing w:line="360" w:lineRule="auto"/>
        <w:ind w:firstLine="480" w:firstLineChars="200"/>
        <w:rPr>
          <w:rFonts w:ascii="宋体" w:hAnsi="宋体" w:eastAsia="宋体" w:cs="宋体"/>
          <w:snapToGrid w:val="0"/>
          <w:sz w:val="24"/>
          <w:szCs w:val="24"/>
        </w:rPr>
      </w:pPr>
      <w:bookmarkStart w:id="64" w:name="_Toc4951"/>
      <w:r>
        <w:rPr>
          <w:rFonts w:hint="eastAsia" w:ascii="宋体" w:hAnsi="宋体" w:eastAsia="宋体" w:cs="宋体"/>
          <w:snapToGrid w:val="0"/>
          <w:sz w:val="24"/>
          <w:szCs w:val="24"/>
        </w:rPr>
        <w:t>4）对应提交的技术资料、培训内容及工程文件进行确认。</w:t>
      </w:r>
      <w:bookmarkEnd w:id="64"/>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5）结果必须符合投标文件、合同及招标文件中的规定，且经双方认可的各项技术指标，验收通过才算合格。</w:t>
      </w:r>
    </w:p>
    <w:p>
      <w:pPr>
        <w:spacing w:line="360" w:lineRule="auto"/>
        <w:outlineLvl w:val="3"/>
        <w:rPr>
          <w:rFonts w:ascii="宋体" w:hAnsi="宋体" w:eastAsia="宋体" w:cs="宋体"/>
          <w:color w:val="000000"/>
          <w:sz w:val="24"/>
          <w:szCs w:val="24"/>
        </w:rPr>
      </w:pPr>
      <w:r>
        <w:rPr>
          <w:rFonts w:hint="eastAsia" w:ascii="宋体" w:hAnsi="宋体" w:eastAsia="宋体" w:cs="宋体"/>
          <w:color w:val="000000"/>
          <w:sz w:val="24"/>
          <w:szCs w:val="24"/>
        </w:rPr>
        <w:t>4.卖方提供伴随服务的要求</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投标人应在投标文件中提供详细售后服务方案，它包括但不局限于以下内容：</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4.1安装和调试</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4.1.1由卖方安排指定资深的工程师到现场安装调试。</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4.1.2安装、调试及验收所需的专用仪器和工具、试验台电源线、信号线，由卖方自备。</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4.1.3卖方签合同前提出并且得到买方确认的一般仪器和工具，由买方负责准备。</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4.1.4卖方人员在买方服务的费用全部由卖方承担。</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4.2业务培训</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4.2.1卖方应对用户的操作及维修人员进行全面免费培训。培训服务包括试验台的测试原理、硬件操作、软件使用、维护、维修、保养、故障排除、标定等。</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4.2.2培训地点：买方安装现场。</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4.2.3另外在设备运行2年内，结合买方项目需求，提供买方两次高级培训，具体时间由买方正式通知卖方确定。</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4.2.4卖方在投标文件中应详细描述服务人员、培训人员资质、能力。</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4.3 卖方供给给买方的设备及卖方自己的施工用具，进入买方现场后有卖方负责保管；卖方在买方现场安装、调试、验收人员的安全、保险、食宿、交通由卖方负责。</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4.4质保期内的服务</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4.4.1设备自初验收合格之日起免费保修24个月。期限从初验收签字之日起计算，质保期内如有零件损坏，自更换该件起，再对该件重新计算质保期。保修期内在正常使用情况下出现故障，在买方无法排除故障时，卖方接到买方通知后应在48小时内到场服务。如需更换零件时，应免费更换并确保设备精度，可能影响仪器功能和精度的零部件故障维修后应免费提供校准及相关服务。</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4.4.2卖方在投标文件中应详细描述对所供货物售后服务的情况。</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4.4.3在质保期内卖方须到买方现场提供至少两次免费服务，时间由双方协商。</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4.5质保期满后的服务</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4.5.1卖方仍应提供优质的技术服务（如：定期巡回检测、保养、人员的培训等，不仅限于此）及技术支持（保修期外的设备修理及技术指导、配件供应等）。</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4.5.2质保期满后的服务时限，仍按期内的要求。</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4.5.3定期提供所供货物使用和维护方面的技术信息和资料。</w:t>
      </w:r>
    </w:p>
    <w:p>
      <w:pPr>
        <w:spacing w:line="360" w:lineRule="auto"/>
        <w:outlineLvl w:val="3"/>
        <w:rPr>
          <w:rFonts w:ascii="宋体" w:hAnsi="宋体" w:eastAsia="宋体" w:cs="宋体"/>
          <w:color w:val="000000"/>
          <w:sz w:val="24"/>
          <w:szCs w:val="24"/>
        </w:rPr>
      </w:pPr>
      <w:r>
        <w:rPr>
          <w:rFonts w:hint="eastAsia" w:ascii="宋体" w:hAnsi="宋体" w:eastAsia="宋体" w:cs="宋体"/>
          <w:color w:val="000000"/>
          <w:sz w:val="24"/>
          <w:szCs w:val="24"/>
        </w:rPr>
        <w:t>5.技术文件</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5.1由卖方向买方提供必要的电气接线图、设备规格性能以及相应的设备样本和结构示意图，同时随机提供标准技术文件一套，包括设备技术规格说明书、系统说明书、操作维修手册、易损件明细表及规格图纸、主要配件供应商名录表等。评标时将进行逐项核对，结合投标方提供的精度指标和性能特性，进行综合评定。</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5.2投标文件中技术描述应采用中、英文对照，或全中文；以中文为主。</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5.3制造厂家简介，投标产品在国际和中国境内的近3年内的用户清单（包括用户名称、销售年份、设备主要功能等），作为投标人实力水平参考。</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5.4投标人应在投标文件中提供投标设备详细的供货范围清单、主要部件、备品备件及专用工具、易损件信息，包括名称、品牌、型号规格、技术参数和性能、数量、价格、制造商、出厂日期等信息。</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5.5在质量保证期内的易损易耗件清单，内容包括名称、型号、规格、主要技术参数、制造厂商等。</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5.6投标人在投标文件中，应提供设备制造商的资质证明文件；如为代理商投标，除提供上述资料外，还应提供设备制造商或其在中国销售总代理的投标专项全权委托书，并明确承担一切售前、售后责任。</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5.7 投标人应在投标文件中提供操作、维护人员的培训方案及计划。</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5.8 投标人应在投标文件中提供，如果能中标的话，售后服务的承若。</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5.9 投标人应在投标文件中提供设备的制造、安装、验收方案及验收标准。其结果应符合投标文件/合同中的规定，且经买方认可的各项技术指标。</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5.10调试结束后，卖方应向买方提交设备安装调试报告以及按合同规定的各项参数。</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5.11 中标人在交货时，提供一式三份设备资料：设备操作手册、使用说明书、维修说明书、系统故障振动说明书、电气系统原理图等，并提供以上资料的电子版。</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6.其它要求</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6.1投标人应对本文件中对测试系统各组成部分所提要求逐条逐项予以答复、说明和解释，包括能否满足以及满足的程度等。</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6.2若需要，投标人应对设备工作所需辅助系统进行说明，并提供其详细规格、型号、性能等技术资料以供配置；包括电源、桌椅、环境等各方面，并对设备所占用空间大小进行说明。</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6.3本项目不允许分包和转包。</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6.4中标后，中标方应允许招标方对投标方案作小范围调整，并做出相应总价格调整。</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6.5投标方应提出完整的解决方案，不可遗漏，否则一旦中标将认为投标方认同遗漏部分并免费提供。</w:t>
      </w:r>
    </w:p>
    <w:bookmarkEnd w:id="59"/>
    <w:p/>
    <w:p>
      <w:pPr>
        <w:pStyle w:val="2"/>
      </w:pPr>
    </w:p>
    <w:p/>
    <w:p>
      <w:pPr>
        <w:outlineLvl w:val="1"/>
        <w:rPr>
          <w:rFonts w:ascii="Calibri" w:hAnsi="Calibri" w:eastAsia="宋体" w:cs="Times New Roman"/>
          <w:b/>
          <w:bCs/>
          <w:kern w:val="44"/>
          <w:sz w:val="28"/>
          <w:szCs w:val="28"/>
        </w:rPr>
      </w:pPr>
    </w:p>
    <w:p>
      <w:pPr>
        <w:jc w:val="center"/>
        <w:outlineLvl w:val="1"/>
        <w:rPr>
          <w:rFonts w:ascii="Calibri" w:hAnsi="Calibri" w:eastAsia="宋体" w:cs="Times New Roman"/>
          <w:b/>
          <w:bCs/>
          <w:kern w:val="44"/>
          <w:sz w:val="28"/>
          <w:szCs w:val="28"/>
        </w:rPr>
      </w:pPr>
    </w:p>
    <w:p>
      <w:pPr>
        <w:jc w:val="center"/>
        <w:outlineLvl w:val="1"/>
        <w:rPr>
          <w:rFonts w:ascii="Calibri" w:hAnsi="Calibri" w:eastAsia="宋体" w:cs="Times New Roman"/>
          <w:b/>
          <w:bCs/>
          <w:kern w:val="44"/>
          <w:sz w:val="28"/>
          <w:szCs w:val="28"/>
        </w:rPr>
      </w:pPr>
    </w:p>
    <w:p>
      <w:pPr>
        <w:outlineLvl w:val="1"/>
        <w:rPr>
          <w:rFonts w:ascii="Calibri" w:hAnsi="Calibri" w:eastAsia="宋体" w:cs="Times New Roman"/>
          <w:b/>
          <w:bCs/>
          <w:kern w:val="44"/>
          <w:sz w:val="28"/>
          <w:szCs w:val="28"/>
        </w:rPr>
      </w:pPr>
    </w:p>
    <w:p>
      <w:pPr>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第一节  供货范围</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一、供货范围</w:t>
      </w:r>
    </w:p>
    <w:tbl>
      <w:tblPr>
        <w:tblStyle w:val="14"/>
        <w:tblpPr w:leftFromText="180" w:rightFromText="180" w:vertAnchor="text" w:horzAnchor="page" w:tblpX="1797" w:tblpY="435"/>
        <w:tblOverlap w:val="never"/>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70" w:type="dxa"/>
          <w:bottom w:w="0" w:type="dxa"/>
          <w:right w:w="70" w:type="dxa"/>
        </w:tblCellMar>
      </w:tblPr>
      <w:tblGrid>
        <w:gridCol w:w="890"/>
        <w:gridCol w:w="2699"/>
        <w:gridCol w:w="866"/>
        <w:gridCol w:w="47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blHeader/>
        </w:trPr>
        <w:tc>
          <w:tcPr>
            <w:tcW w:w="483" w:type="pct"/>
            <w:shd w:val="pct10" w:color="auto" w:fill="FFFFFF"/>
            <w:vAlign w:val="center"/>
          </w:tcPr>
          <w:p>
            <w:pPr>
              <w:pStyle w:val="23"/>
              <w:jc w:val="center"/>
              <w:rPr>
                <w:rFonts w:cs="Times New Roman"/>
                <w:b/>
                <w:bCs/>
              </w:rPr>
            </w:pPr>
            <w:r>
              <w:rPr>
                <w:rFonts w:cs="Times New Roman"/>
                <w:b/>
                <w:bCs/>
              </w:rPr>
              <w:t>序号</w:t>
            </w:r>
          </w:p>
        </w:tc>
        <w:tc>
          <w:tcPr>
            <w:tcW w:w="1465" w:type="pct"/>
            <w:shd w:val="pct10" w:color="auto" w:fill="FFFFFF"/>
            <w:vAlign w:val="center"/>
          </w:tcPr>
          <w:p>
            <w:pPr>
              <w:pStyle w:val="23"/>
              <w:jc w:val="center"/>
              <w:rPr>
                <w:rFonts w:cs="Times New Roman"/>
                <w:b/>
                <w:bCs/>
              </w:rPr>
            </w:pPr>
            <w:r>
              <w:rPr>
                <w:rFonts w:cs="Times New Roman"/>
                <w:b/>
                <w:bCs/>
              </w:rPr>
              <w:t>名称</w:t>
            </w:r>
          </w:p>
        </w:tc>
        <w:tc>
          <w:tcPr>
            <w:tcW w:w="470" w:type="pct"/>
            <w:shd w:val="pct10" w:color="auto" w:fill="FFFFFF"/>
            <w:vAlign w:val="center"/>
          </w:tcPr>
          <w:p>
            <w:pPr>
              <w:pStyle w:val="23"/>
              <w:jc w:val="center"/>
              <w:rPr>
                <w:rFonts w:cs="Times New Roman"/>
                <w:b/>
                <w:bCs/>
              </w:rPr>
            </w:pPr>
            <w:r>
              <w:rPr>
                <w:rFonts w:cs="Times New Roman"/>
                <w:b/>
                <w:bCs/>
              </w:rPr>
              <w:t>数量</w:t>
            </w:r>
          </w:p>
        </w:tc>
        <w:tc>
          <w:tcPr>
            <w:tcW w:w="2581" w:type="pct"/>
            <w:shd w:val="pct10" w:color="auto" w:fill="FFFFFF"/>
            <w:vAlign w:val="center"/>
          </w:tcPr>
          <w:p>
            <w:pPr>
              <w:pStyle w:val="23"/>
              <w:jc w:val="center"/>
              <w:rPr>
                <w:rFonts w:cs="Times New Roman"/>
                <w:b/>
                <w:bCs/>
              </w:rPr>
            </w:pPr>
            <w:r>
              <w:rPr>
                <w:rFonts w:cs="Times New Roman"/>
                <w:b/>
                <w:bCs/>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bCs/>
              </w:rPr>
            </w:pPr>
            <w:r>
              <w:rPr>
                <w:rFonts w:cs="Times New Roman"/>
                <w:b/>
                <w:bCs/>
              </w:rPr>
              <w:t>1</w:t>
            </w:r>
          </w:p>
        </w:tc>
        <w:tc>
          <w:tcPr>
            <w:tcW w:w="1465" w:type="pct"/>
            <w:vAlign w:val="center"/>
          </w:tcPr>
          <w:p>
            <w:pPr>
              <w:pStyle w:val="23"/>
              <w:rPr>
                <w:rFonts w:cs="Times New Roman"/>
                <w:b/>
              </w:rPr>
            </w:pPr>
            <w:r>
              <w:rPr>
                <w:rFonts w:cs="Times New Roman"/>
                <w:b/>
              </w:rPr>
              <w:t>惯性参数试验台机械台体</w:t>
            </w:r>
          </w:p>
        </w:tc>
        <w:tc>
          <w:tcPr>
            <w:tcW w:w="470" w:type="pct"/>
            <w:vAlign w:val="center"/>
          </w:tcPr>
          <w:p>
            <w:pPr>
              <w:pStyle w:val="23"/>
              <w:jc w:val="center"/>
              <w:rPr>
                <w:rFonts w:cs="Times New Roman"/>
                <w:b/>
              </w:rPr>
            </w:pP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1.1</w:t>
            </w:r>
          </w:p>
        </w:tc>
        <w:tc>
          <w:tcPr>
            <w:tcW w:w="1465" w:type="pct"/>
            <w:vAlign w:val="center"/>
          </w:tcPr>
          <w:p>
            <w:pPr>
              <w:pStyle w:val="23"/>
              <w:rPr>
                <w:rFonts w:cs="Times New Roman"/>
              </w:rPr>
            </w:pPr>
            <w:r>
              <w:rPr>
                <w:rFonts w:cs="Times New Roman"/>
              </w:rPr>
              <w:t>底座</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1.2</w:t>
            </w:r>
          </w:p>
        </w:tc>
        <w:tc>
          <w:tcPr>
            <w:tcW w:w="1465" w:type="pct"/>
            <w:vAlign w:val="center"/>
          </w:tcPr>
          <w:p>
            <w:pPr>
              <w:pStyle w:val="23"/>
              <w:rPr>
                <w:rFonts w:cs="Times New Roman"/>
              </w:rPr>
            </w:pPr>
            <w:r>
              <w:rPr>
                <w:rFonts w:cs="Times New Roman"/>
              </w:rPr>
              <w:t>升降装置</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1.3</w:t>
            </w:r>
          </w:p>
        </w:tc>
        <w:tc>
          <w:tcPr>
            <w:tcW w:w="1465" w:type="pct"/>
            <w:vAlign w:val="center"/>
          </w:tcPr>
          <w:p>
            <w:pPr>
              <w:pStyle w:val="23"/>
              <w:rPr>
                <w:rFonts w:cs="Times New Roman"/>
              </w:rPr>
            </w:pPr>
            <w:r>
              <w:rPr>
                <w:rFonts w:cs="Times New Roman"/>
              </w:rPr>
              <w:t>横摆惯量测量装置</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1.4</w:t>
            </w:r>
          </w:p>
        </w:tc>
        <w:tc>
          <w:tcPr>
            <w:tcW w:w="1465" w:type="pct"/>
            <w:vAlign w:val="center"/>
          </w:tcPr>
          <w:p>
            <w:pPr>
              <w:pStyle w:val="23"/>
              <w:rPr>
                <w:rFonts w:cs="Times New Roman"/>
              </w:rPr>
            </w:pPr>
            <w:r>
              <w:rPr>
                <w:rFonts w:cs="Times New Roman"/>
              </w:rPr>
              <w:t>高精度称重传感器</w:t>
            </w:r>
          </w:p>
        </w:tc>
        <w:tc>
          <w:tcPr>
            <w:tcW w:w="470" w:type="pct"/>
            <w:vAlign w:val="center"/>
          </w:tcPr>
          <w:p>
            <w:pPr>
              <w:pStyle w:val="23"/>
              <w:jc w:val="center"/>
              <w:rPr>
                <w:rFonts w:cs="Times New Roman"/>
              </w:rPr>
            </w:pPr>
            <w:r>
              <w:rPr>
                <w:rFonts w:cs="Times New Roman"/>
              </w:rPr>
              <w:t>3套</w:t>
            </w:r>
          </w:p>
        </w:tc>
        <w:tc>
          <w:tcPr>
            <w:tcW w:w="2581" w:type="pct"/>
            <w:vAlign w:val="center"/>
          </w:tcPr>
          <w:p>
            <w:pPr>
              <w:pStyle w:val="23"/>
              <w:jc w:val="left"/>
              <w:rPr>
                <w:rFonts w:cs="Times New Roman"/>
              </w:rPr>
            </w:pPr>
            <w:r>
              <w:rPr>
                <w:rFonts w:cs="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1.5</w:t>
            </w:r>
          </w:p>
        </w:tc>
        <w:tc>
          <w:tcPr>
            <w:tcW w:w="1465" w:type="pct"/>
            <w:vAlign w:val="center"/>
          </w:tcPr>
          <w:p>
            <w:pPr>
              <w:pStyle w:val="23"/>
              <w:rPr>
                <w:rFonts w:cs="Times New Roman"/>
              </w:rPr>
            </w:pPr>
            <w:r>
              <w:rPr>
                <w:rFonts w:cs="Times New Roman"/>
              </w:rPr>
              <w:t>工作台面</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1.6</w:t>
            </w:r>
          </w:p>
        </w:tc>
        <w:tc>
          <w:tcPr>
            <w:tcW w:w="1465" w:type="pct"/>
            <w:vAlign w:val="center"/>
          </w:tcPr>
          <w:p>
            <w:pPr>
              <w:pStyle w:val="23"/>
              <w:rPr>
                <w:rFonts w:cs="Times New Roman"/>
              </w:rPr>
            </w:pPr>
            <w:r>
              <w:rPr>
                <w:rFonts w:cs="Times New Roman"/>
              </w:rPr>
              <w:t>自动倾斜测量装置</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1.7</w:t>
            </w:r>
          </w:p>
        </w:tc>
        <w:tc>
          <w:tcPr>
            <w:tcW w:w="1465" w:type="pct"/>
            <w:vAlign w:val="center"/>
          </w:tcPr>
          <w:p>
            <w:pPr>
              <w:pStyle w:val="23"/>
              <w:rPr>
                <w:rFonts w:cs="Times New Roman"/>
              </w:rPr>
            </w:pPr>
            <w:r>
              <w:rPr>
                <w:rFonts w:cs="Times New Roman"/>
              </w:rPr>
              <w:t>自动回转转盘装置</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hint="eastAsia" w:cs="Times New Roman"/>
              </w:rPr>
              <w:t>1.8</w:t>
            </w:r>
          </w:p>
        </w:tc>
        <w:tc>
          <w:tcPr>
            <w:tcW w:w="1465" w:type="pct"/>
            <w:vAlign w:val="center"/>
          </w:tcPr>
          <w:p>
            <w:pPr>
              <w:pStyle w:val="23"/>
              <w:rPr>
                <w:rFonts w:cs="Times New Roman"/>
              </w:rPr>
            </w:pPr>
            <w:r>
              <w:rPr>
                <w:rFonts w:hint="eastAsia" w:cs="Times New Roman"/>
              </w:rPr>
              <w:t>2t室内龙门吊</w:t>
            </w:r>
          </w:p>
        </w:tc>
        <w:tc>
          <w:tcPr>
            <w:tcW w:w="470" w:type="pct"/>
            <w:vAlign w:val="center"/>
          </w:tcPr>
          <w:p>
            <w:pPr>
              <w:pStyle w:val="23"/>
              <w:jc w:val="center"/>
              <w:rPr>
                <w:rFonts w:cs="Times New Roman"/>
              </w:rPr>
            </w:pPr>
            <w:r>
              <w:rPr>
                <w:rFonts w:hint="eastAsia" w:cs="Times New Roman"/>
              </w:rPr>
              <w:t>1台</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bCs/>
              </w:rPr>
            </w:pPr>
            <w:r>
              <w:rPr>
                <w:rFonts w:cs="Times New Roman"/>
                <w:b/>
              </w:rPr>
              <w:t>2</w:t>
            </w:r>
          </w:p>
        </w:tc>
        <w:tc>
          <w:tcPr>
            <w:tcW w:w="1465" w:type="pct"/>
            <w:vAlign w:val="center"/>
          </w:tcPr>
          <w:p>
            <w:pPr>
              <w:pStyle w:val="23"/>
              <w:rPr>
                <w:rFonts w:cs="Times New Roman"/>
              </w:rPr>
            </w:pPr>
            <w:r>
              <w:rPr>
                <w:rFonts w:cs="Times New Roman"/>
                <w:b/>
              </w:rPr>
              <w:t>控制系统</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ind w:firstLine="480"/>
              <w:rPr>
                <w:rFonts w:cs="Times New Roman"/>
              </w:rPr>
            </w:pPr>
            <w:r>
              <w:rPr>
                <w:rFonts w:cs="Times New Roman"/>
                <w:b/>
              </w:rPr>
              <w:t>投标方根据需求进行配置。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bCs/>
              </w:rPr>
              <w:t>2.1</w:t>
            </w:r>
          </w:p>
        </w:tc>
        <w:tc>
          <w:tcPr>
            <w:tcW w:w="1465" w:type="pct"/>
            <w:vAlign w:val="center"/>
          </w:tcPr>
          <w:p>
            <w:pPr>
              <w:pStyle w:val="23"/>
              <w:rPr>
                <w:rFonts w:cs="Times New Roman"/>
              </w:rPr>
            </w:pPr>
            <w:r>
              <w:rPr>
                <w:rFonts w:cs="Times New Roman"/>
              </w:rPr>
              <w:t>控制柜</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bCs/>
              </w:rPr>
              <w:t>2.2</w:t>
            </w:r>
          </w:p>
        </w:tc>
        <w:tc>
          <w:tcPr>
            <w:tcW w:w="1465" w:type="pct"/>
            <w:vAlign w:val="center"/>
          </w:tcPr>
          <w:p>
            <w:pPr>
              <w:pStyle w:val="23"/>
              <w:rPr>
                <w:rFonts w:cs="Times New Roman"/>
              </w:rPr>
            </w:pPr>
            <w:r>
              <w:rPr>
                <w:rFonts w:cs="Times New Roman"/>
              </w:rPr>
              <w:t>测控仪</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2.3</w:t>
            </w:r>
          </w:p>
        </w:tc>
        <w:tc>
          <w:tcPr>
            <w:tcW w:w="1465" w:type="pct"/>
            <w:vAlign w:val="center"/>
          </w:tcPr>
          <w:p>
            <w:pPr>
              <w:pStyle w:val="23"/>
              <w:rPr>
                <w:rFonts w:cs="Times New Roman"/>
              </w:rPr>
            </w:pPr>
            <w:r>
              <w:rPr>
                <w:rFonts w:cs="Times New Roman"/>
              </w:rPr>
              <w:t>称重传感器数据传输处理模块</w:t>
            </w:r>
          </w:p>
        </w:tc>
        <w:tc>
          <w:tcPr>
            <w:tcW w:w="470" w:type="pct"/>
            <w:vAlign w:val="center"/>
          </w:tcPr>
          <w:p>
            <w:pPr>
              <w:pStyle w:val="23"/>
              <w:jc w:val="center"/>
              <w:rPr>
                <w:rFonts w:cs="Times New Roman"/>
              </w:rPr>
            </w:pPr>
            <w:r>
              <w:rPr>
                <w:rFonts w:cs="Times New Roman"/>
              </w:rPr>
              <w:t>3套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2.4</w:t>
            </w:r>
          </w:p>
        </w:tc>
        <w:tc>
          <w:tcPr>
            <w:tcW w:w="1465" w:type="pct"/>
            <w:vAlign w:val="center"/>
          </w:tcPr>
          <w:p>
            <w:pPr>
              <w:pStyle w:val="23"/>
              <w:rPr>
                <w:rFonts w:cs="Times New Roman"/>
              </w:rPr>
            </w:pPr>
            <w:r>
              <w:rPr>
                <w:rFonts w:cs="Times New Roman"/>
              </w:rPr>
              <w:t>周期测量处理模块</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bCs/>
              </w:rPr>
              <w:t>2.5</w:t>
            </w:r>
          </w:p>
        </w:tc>
        <w:tc>
          <w:tcPr>
            <w:tcW w:w="1465" w:type="pct"/>
            <w:vAlign w:val="center"/>
          </w:tcPr>
          <w:p>
            <w:pPr>
              <w:pStyle w:val="23"/>
              <w:rPr>
                <w:rFonts w:cs="Times New Roman"/>
              </w:rPr>
            </w:pPr>
            <w:r>
              <w:rPr>
                <w:rFonts w:cs="Times New Roman"/>
              </w:rPr>
              <w:t>工控机</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bCs/>
              </w:rPr>
              <w:t>2.6</w:t>
            </w:r>
          </w:p>
        </w:tc>
        <w:tc>
          <w:tcPr>
            <w:tcW w:w="1465" w:type="pct"/>
            <w:vAlign w:val="center"/>
          </w:tcPr>
          <w:p>
            <w:pPr>
              <w:pStyle w:val="23"/>
              <w:rPr>
                <w:rFonts w:cs="Times New Roman"/>
              </w:rPr>
            </w:pPr>
            <w:r>
              <w:rPr>
                <w:rFonts w:cs="Times New Roman"/>
              </w:rPr>
              <w:t>PLC控制模块及扩展模块</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2.7</w:t>
            </w:r>
          </w:p>
        </w:tc>
        <w:tc>
          <w:tcPr>
            <w:tcW w:w="1465" w:type="pct"/>
            <w:vAlign w:val="center"/>
          </w:tcPr>
          <w:p>
            <w:pPr>
              <w:pStyle w:val="23"/>
              <w:rPr>
                <w:rFonts w:cs="Times New Roman"/>
              </w:rPr>
            </w:pPr>
            <w:r>
              <w:rPr>
                <w:rFonts w:cs="Times New Roman"/>
              </w:rPr>
              <w:t>高性能笔记本电脑</w:t>
            </w:r>
          </w:p>
        </w:tc>
        <w:tc>
          <w:tcPr>
            <w:tcW w:w="470" w:type="pct"/>
            <w:vAlign w:val="center"/>
          </w:tcPr>
          <w:p>
            <w:pPr>
              <w:pStyle w:val="23"/>
              <w:jc w:val="center"/>
              <w:rPr>
                <w:rFonts w:cs="Times New Roman"/>
              </w:rPr>
            </w:pPr>
            <w:r>
              <w:rPr>
                <w:rFonts w:cs="Times New Roman"/>
              </w:rPr>
              <w:t>1台</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rPr>
            </w:pPr>
            <w:r>
              <w:rPr>
                <w:rFonts w:cs="Times New Roman"/>
                <w:b/>
              </w:rPr>
              <w:t>3</w:t>
            </w:r>
          </w:p>
        </w:tc>
        <w:tc>
          <w:tcPr>
            <w:tcW w:w="1465" w:type="pct"/>
            <w:vAlign w:val="center"/>
          </w:tcPr>
          <w:p>
            <w:pPr>
              <w:pStyle w:val="23"/>
              <w:rPr>
                <w:rFonts w:cs="Times New Roman"/>
                <w:b/>
              </w:rPr>
            </w:pPr>
            <w:r>
              <w:rPr>
                <w:rFonts w:cs="Times New Roman"/>
                <w:b/>
              </w:rPr>
              <w:t>测试软件</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ind w:firstLine="482"/>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rPr>
            </w:pPr>
            <w:r>
              <w:rPr>
                <w:rFonts w:cs="Times New Roman"/>
                <w:b/>
              </w:rPr>
              <w:t>4</w:t>
            </w:r>
          </w:p>
        </w:tc>
        <w:tc>
          <w:tcPr>
            <w:tcW w:w="1465" w:type="pct"/>
            <w:vAlign w:val="center"/>
          </w:tcPr>
          <w:p>
            <w:pPr>
              <w:pStyle w:val="23"/>
              <w:rPr>
                <w:rFonts w:cs="Times New Roman"/>
                <w:bCs/>
                <w:highlight w:val="yellow"/>
              </w:rPr>
            </w:pPr>
            <w:r>
              <w:rPr>
                <w:rFonts w:cs="Times New Roman"/>
                <w:b/>
              </w:rPr>
              <w:t>标校体</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ind w:firstLine="480"/>
              <w:rPr>
                <w:rFonts w:cs="Times New Roman"/>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4.1</w:t>
            </w:r>
          </w:p>
        </w:tc>
        <w:tc>
          <w:tcPr>
            <w:tcW w:w="1465" w:type="pct"/>
            <w:vAlign w:val="center"/>
          </w:tcPr>
          <w:p>
            <w:pPr>
              <w:pStyle w:val="23"/>
              <w:rPr>
                <w:rFonts w:cs="Times New Roman"/>
                <w:bCs/>
              </w:rPr>
            </w:pPr>
            <w:r>
              <w:rPr>
                <w:rFonts w:cs="Times New Roman"/>
                <w:bCs/>
              </w:rPr>
              <w:t>标校体本体</w:t>
            </w:r>
          </w:p>
        </w:tc>
        <w:tc>
          <w:tcPr>
            <w:tcW w:w="470" w:type="pct"/>
            <w:vAlign w:val="center"/>
          </w:tcPr>
          <w:p>
            <w:pPr>
              <w:pStyle w:val="23"/>
              <w:jc w:val="center"/>
              <w:rPr>
                <w:rFonts w:cs="Times New Roman"/>
              </w:rPr>
            </w:pPr>
            <w:r>
              <w:rPr>
                <w:rFonts w:cs="Times New Roman"/>
              </w:rPr>
              <w:t>1台</w:t>
            </w:r>
          </w:p>
        </w:tc>
        <w:tc>
          <w:tcPr>
            <w:tcW w:w="2581" w:type="pct"/>
            <w:vAlign w:val="center"/>
          </w:tcPr>
          <w:p>
            <w:pPr>
              <w:pStyle w:val="23"/>
              <w:rPr>
                <w:rFonts w:cs="Times New Roman"/>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4.2</w:t>
            </w:r>
          </w:p>
        </w:tc>
        <w:tc>
          <w:tcPr>
            <w:tcW w:w="1465" w:type="pct"/>
            <w:vAlign w:val="center"/>
          </w:tcPr>
          <w:p>
            <w:pPr>
              <w:pStyle w:val="23"/>
              <w:rPr>
                <w:rFonts w:cs="Times New Roman"/>
                <w:bCs/>
              </w:rPr>
            </w:pPr>
            <w:r>
              <w:rPr>
                <w:rFonts w:cs="Times New Roman"/>
                <w:bCs/>
              </w:rPr>
              <w:t>标校体放置箱</w:t>
            </w:r>
          </w:p>
        </w:tc>
        <w:tc>
          <w:tcPr>
            <w:tcW w:w="470" w:type="pct"/>
            <w:vAlign w:val="center"/>
          </w:tcPr>
          <w:p>
            <w:pPr>
              <w:pStyle w:val="23"/>
              <w:jc w:val="center"/>
              <w:rPr>
                <w:rFonts w:cs="Times New Roman"/>
              </w:rPr>
            </w:pPr>
            <w:r>
              <w:rPr>
                <w:rFonts w:cs="Times New Roman"/>
              </w:rPr>
              <w:t>1台</w:t>
            </w:r>
          </w:p>
        </w:tc>
        <w:tc>
          <w:tcPr>
            <w:tcW w:w="2581" w:type="pct"/>
            <w:vAlign w:val="center"/>
          </w:tcPr>
          <w:p>
            <w:pPr>
              <w:pStyle w:val="23"/>
              <w:rPr>
                <w:rFonts w:cs="Times New Roman"/>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rPr>
            </w:pPr>
            <w:r>
              <w:rPr>
                <w:rFonts w:cs="Times New Roman"/>
                <w:b/>
              </w:rPr>
              <w:t>5</w:t>
            </w:r>
          </w:p>
        </w:tc>
        <w:tc>
          <w:tcPr>
            <w:tcW w:w="1465" w:type="pct"/>
            <w:vAlign w:val="center"/>
          </w:tcPr>
          <w:p>
            <w:pPr>
              <w:pStyle w:val="23"/>
              <w:rPr>
                <w:rFonts w:cs="Times New Roman"/>
                <w:b/>
              </w:rPr>
            </w:pPr>
            <w:r>
              <w:rPr>
                <w:rFonts w:cs="Times New Roman"/>
                <w:b/>
              </w:rPr>
              <w:t>交付资料</w:t>
            </w:r>
          </w:p>
        </w:tc>
        <w:tc>
          <w:tcPr>
            <w:tcW w:w="470" w:type="pct"/>
            <w:vAlign w:val="center"/>
          </w:tcPr>
          <w:p>
            <w:pPr>
              <w:pStyle w:val="23"/>
              <w:jc w:val="center"/>
              <w:rPr>
                <w:rFonts w:cs="Times New Roman"/>
                <w:b/>
              </w:rPr>
            </w:pPr>
            <w:r>
              <w:rPr>
                <w:rFonts w:cs="Times New Roman"/>
                <w:b/>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5.1</w:t>
            </w:r>
          </w:p>
        </w:tc>
        <w:tc>
          <w:tcPr>
            <w:tcW w:w="1465" w:type="pct"/>
            <w:vAlign w:val="center"/>
          </w:tcPr>
          <w:p>
            <w:pPr>
              <w:pStyle w:val="23"/>
              <w:rPr>
                <w:rFonts w:cs="Times New Roman"/>
                <w:bCs/>
              </w:rPr>
            </w:pPr>
            <w:r>
              <w:rPr>
                <w:rFonts w:cs="Times New Roman"/>
                <w:bCs/>
              </w:rPr>
              <w:t>设备使用维护说明书</w:t>
            </w:r>
          </w:p>
        </w:tc>
        <w:tc>
          <w:tcPr>
            <w:tcW w:w="470" w:type="pct"/>
            <w:vAlign w:val="center"/>
          </w:tcPr>
          <w:p>
            <w:pPr>
              <w:pStyle w:val="23"/>
              <w:jc w:val="center"/>
              <w:rPr>
                <w:rFonts w:cs="Times New Roman"/>
              </w:rPr>
            </w:pPr>
            <w:r>
              <w:rPr>
                <w:rFonts w:cs="Times New Roman"/>
              </w:rPr>
              <w:t>3套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5.2</w:t>
            </w:r>
          </w:p>
        </w:tc>
        <w:tc>
          <w:tcPr>
            <w:tcW w:w="1465" w:type="pct"/>
            <w:vAlign w:val="center"/>
          </w:tcPr>
          <w:p>
            <w:pPr>
              <w:pStyle w:val="23"/>
              <w:rPr>
                <w:rFonts w:cs="Times New Roman"/>
                <w:bCs/>
              </w:rPr>
            </w:pPr>
            <w:r>
              <w:rPr>
                <w:rFonts w:cs="Times New Roman"/>
                <w:bCs/>
              </w:rPr>
              <w:t>校准规程</w:t>
            </w:r>
          </w:p>
        </w:tc>
        <w:tc>
          <w:tcPr>
            <w:tcW w:w="470" w:type="pct"/>
            <w:vAlign w:val="center"/>
          </w:tcPr>
          <w:p>
            <w:pPr>
              <w:pStyle w:val="23"/>
              <w:jc w:val="center"/>
              <w:rPr>
                <w:rFonts w:cs="Times New Roman"/>
              </w:rPr>
            </w:pPr>
            <w:r>
              <w:rPr>
                <w:rFonts w:cs="Times New Roman"/>
              </w:rPr>
              <w:t>3套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bCs/>
              </w:rPr>
            </w:pPr>
            <w:r>
              <w:rPr>
                <w:rFonts w:cs="Times New Roman"/>
                <w:bCs/>
              </w:rPr>
              <w:t>5.3</w:t>
            </w:r>
          </w:p>
        </w:tc>
        <w:tc>
          <w:tcPr>
            <w:tcW w:w="1465" w:type="pct"/>
            <w:vAlign w:val="center"/>
          </w:tcPr>
          <w:p>
            <w:pPr>
              <w:pStyle w:val="23"/>
              <w:rPr>
                <w:rFonts w:cs="Times New Roman"/>
                <w:bCs/>
              </w:rPr>
            </w:pPr>
            <w:r>
              <w:rPr>
                <w:rFonts w:cs="Times New Roman"/>
                <w:bCs/>
              </w:rPr>
              <w:t>出厂测试报告</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5.4</w:t>
            </w:r>
          </w:p>
        </w:tc>
        <w:tc>
          <w:tcPr>
            <w:tcW w:w="1465" w:type="pct"/>
            <w:vAlign w:val="center"/>
          </w:tcPr>
          <w:p>
            <w:pPr>
              <w:pStyle w:val="23"/>
              <w:rPr>
                <w:rFonts w:cs="Times New Roman"/>
                <w:bCs/>
              </w:rPr>
            </w:pPr>
            <w:r>
              <w:rPr>
                <w:rFonts w:cs="Times New Roman"/>
                <w:bCs/>
              </w:rPr>
              <w:t>设备整机合格证</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5.5</w:t>
            </w:r>
          </w:p>
        </w:tc>
        <w:tc>
          <w:tcPr>
            <w:tcW w:w="1465" w:type="pct"/>
            <w:vAlign w:val="center"/>
          </w:tcPr>
          <w:p>
            <w:pPr>
              <w:pStyle w:val="23"/>
              <w:rPr>
                <w:rFonts w:cs="Times New Roman"/>
                <w:bCs/>
              </w:rPr>
            </w:pPr>
            <w:r>
              <w:rPr>
                <w:rFonts w:cs="Times New Roman"/>
                <w:bCs/>
              </w:rPr>
              <w:t>标校体计量检定报告</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rPr>
            </w:pPr>
            <w:r>
              <w:rPr>
                <w:rFonts w:cs="Times New Roman"/>
                <w:b/>
              </w:rPr>
              <w:t>6</w:t>
            </w:r>
          </w:p>
        </w:tc>
        <w:tc>
          <w:tcPr>
            <w:tcW w:w="1465" w:type="pct"/>
            <w:vAlign w:val="center"/>
          </w:tcPr>
          <w:p>
            <w:pPr>
              <w:pStyle w:val="23"/>
              <w:rPr>
                <w:rFonts w:cs="Times New Roman"/>
                <w:b/>
              </w:rPr>
            </w:pPr>
            <w:r>
              <w:rPr>
                <w:rFonts w:cs="Times New Roman"/>
                <w:b/>
                <w:bCs/>
              </w:rPr>
              <w:t>工程服务</w:t>
            </w:r>
          </w:p>
        </w:tc>
        <w:tc>
          <w:tcPr>
            <w:tcW w:w="470" w:type="pct"/>
            <w:vAlign w:val="center"/>
          </w:tcPr>
          <w:p>
            <w:pPr>
              <w:pStyle w:val="23"/>
              <w:jc w:val="center"/>
              <w:rPr>
                <w:rFonts w:cs="Times New Roman"/>
                <w:b/>
              </w:rPr>
            </w:pPr>
            <w:r>
              <w:rPr>
                <w:rFonts w:cs="Times New Roman"/>
                <w:b/>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6.1</w:t>
            </w:r>
          </w:p>
        </w:tc>
        <w:tc>
          <w:tcPr>
            <w:tcW w:w="1465" w:type="pct"/>
            <w:vAlign w:val="center"/>
          </w:tcPr>
          <w:p>
            <w:pPr>
              <w:pStyle w:val="23"/>
              <w:rPr>
                <w:rFonts w:cs="Times New Roman"/>
                <w:b/>
                <w:bCs/>
              </w:rPr>
            </w:pPr>
            <w:r>
              <w:rPr>
                <w:rFonts w:cs="Times New Roman"/>
              </w:rPr>
              <w:t>客户现场设备安装、调试</w:t>
            </w:r>
          </w:p>
        </w:tc>
        <w:tc>
          <w:tcPr>
            <w:tcW w:w="470" w:type="pct"/>
            <w:vAlign w:val="center"/>
          </w:tcPr>
          <w:p>
            <w:pPr>
              <w:pStyle w:val="23"/>
              <w:jc w:val="center"/>
              <w:rPr>
                <w:rFonts w:cs="Times New Roman"/>
                <w:b/>
              </w:rPr>
            </w:pPr>
            <w:r>
              <w:rPr>
                <w:rFonts w:cs="Times New Roman"/>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6.2</w:t>
            </w:r>
          </w:p>
        </w:tc>
        <w:tc>
          <w:tcPr>
            <w:tcW w:w="1465" w:type="pct"/>
            <w:vAlign w:val="center"/>
          </w:tcPr>
          <w:p>
            <w:pPr>
              <w:pStyle w:val="23"/>
              <w:rPr>
                <w:rFonts w:cs="Times New Roman"/>
              </w:rPr>
            </w:pPr>
            <w:r>
              <w:rPr>
                <w:rFonts w:cs="Times New Roman"/>
              </w:rPr>
              <w:t>技术培训</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b/>
              </w:rPr>
            </w:pPr>
          </w:p>
        </w:tc>
      </w:tr>
    </w:tbl>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（一）一般界定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r>
        <w:rPr>
          <w:rFonts w:hint="eastAsia" w:ascii="宋体" w:hAnsi="宋体" w:eastAsia="宋体" w:cs="宋体"/>
          <w:color w:val="000000"/>
          <w:sz w:val="24"/>
          <w:szCs w:val="24"/>
        </w:rPr>
        <w:t>。</w:t>
      </w:r>
    </w:p>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（二）供货范围边界界定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w:t>
      </w:r>
      <w:r>
        <w:rPr>
          <w:rFonts w:hint="eastAsia" w:ascii="宋体" w:hAnsi="宋体" w:eastAsia="宋体" w:cs="宋体"/>
          <w:color w:val="000000"/>
          <w:sz w:val="24"/>
          <w:szCs w:val="24"/>
        </w:rPr>
        <w:t>。</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1.备品备件、易损件和专用耗材是招标人为保证货物质保期之后正常运行一年所自备自用的备品备件、易损件和专用耗材。</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r>
        <w:rPr>
          <w:rFonts w:hint="eastAsia" w:ascii="宋体" w:hAnsi="宋体" w:eastAsia="宋体" w:cs="宋体"/>
          <w:color w:val="000000"/>
          <w:sz w:val="24"/>
          <w:szCs w:val="24"/>
        </w:rPr>
        <w:t>。</w:t>
      </w:r>
    </w:p>
    <w:p>
      <w:pPr>
        <w:spacing w:line="360" w:lineRule="auto"/>
        <w:ind w:firstLine="482" w:firstLineChars="200"/>
        <w:rPr>
          <w:rFonts w:ascii="宋体" w:hAnsi="宋体" w:eastAsia="宋体" w:cs="宋体"/>
          <w:b/>
          <w:bCs/>
          <w:color w:val="000000"/>
          <w:sz w:val="24"/>
          <w:szCs w:val="24"/>
        </w:rPr>
      </w:pPr>
      <w:r>
        <w:rPr>
          <w:rFonts w:hint="eastAsia" w:ascii="宋体" w:hAnsi="宋体" w:eastAsia="宋体" w:cs="宋体"/>
          <w:b/>
          <w:bCs/>
          <w:color w:val="000000"/>
          <w:sz w:val="24"/>
          <w:szCs w:val="24"/>
        </w:rPr>
        <w:t>三、技术资料供货范围</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供应商在合同签订后</w:t>
      </w:r>
      <w:r>
        <w:rPr>
          <w:rFonts w:ascii="宋体" w:hAnsi="宋体" w:eastAsia="宋体" w:cs="宋体"/>
          <w:color w:val="000000"/>
          <w:sz w:val="24"/>
          <w:szCs w:val="24"/>
        </w:rPr>
        <w:t>30 个日历日内应提供以下文件资料（进口项目提供中文及英文文件资料，</w:t>
      </w:r>
      <w:r>
        <w:rPr>
          <w:rFonts w:hint="eastAsia" w:ascii="宋体" w:hAnsi="宋体" w:eastAsia="宋体" w:cs="宋体"/>
          <w:color w:val="000000"/>
          <w:sz w:val="24"/>
          <w:szCs w:val="24"/>
        </w:rPr>
        <w:t>以中文版本的含义为准），其费用应包括在技术服务价格之内，技术文件应完整、清楚、足够保证现场安装、试运转以及正常安全运行和维修。</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1）合同设备的供货范围，并提供主要系统、部件和外购件的分项报价。</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a 主机清单。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b 附件及配套件清单。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c 随机的易损件及备件的清单及其价格。</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d 特殊、专用工具清单。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e 检测仪器及仪表清单。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f 软件清单。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g 标定及校准装置清单。</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2）随机提供详细的装箱清单（每箱/件一单）、质量合格证及检验记录等资料，在货物发运</w:t>
      </w:r>
      <w:r>
        <w:rPr>
          <w:rFonts w:hint="eastAsia" w:ascii="宋体" w:hAnsi="宋体" w:eastAsia="宋体" w:cs="宋体"/>
          <w:color w:val="000000"/>
          <w:sz w:val="24"/>
          <w:szCs w:val="24"/>
        </w:rPr>
        <w:t>前</w:t>
      </w:r>
      <w:r>
        <w:rPr>
          <w:rFonts w:ascii="宋体" w:hAnsi="宋体" w:eastAsia="宋体" w:cs="宋体"/>
          <w:color w:val="000000"/>
          <w:sz w:val="24"/>
          <w:szCs w:val="24"/>
        </w:rPr>
        <w:t>5 个工作日内供应商应将装箱单一式三份邮寄用户，产品中如有外购配件也一并列入装箱单中邮</w:t>
      </w:r>
      <w:r>
        <w:rPr>
          <w:rFonts w:hint="eastAsia" w:ascii="宋体" w:hAnsi="宋体" w:eastAsia="宋体" w:cs="宋体"/>
          <w:color w:val="000000"/>
          <w:sz w:val="24"/>
          <w:szCs w:val="24"/>
        </w:rPr>
        <w:t>寄用户。</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3）原产地证明书。</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4）合同设备的制造标准、检验项目及方法和校准方法。</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5）提供三套纸质和电子文档的系统及设备的安装使用手册和出厂验收文件。</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6）提供一份设备调试验收后的控制系统的备份硬盘或光盘。</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7）提供设备外购件使用维修说明书和制造厂家名称、地址及定货号。</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8）提供原厂出厂合格证书、NIST 证书、NVLAP 标定报告、NVLAP 标定校验报告。</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9）本条款所列要求，如招标方认为投标方提供的资料不能满足要求时，有权要求投标方免费</w:t>
      </w:r>
      <w:r>
        <w:rPr>
          <w:rFonts w:hint="eastAsia" w:ascii="宋体" w:hAnsi="宋体" w:eastAsia="宋体" w:cs="宋体"/>
          <w:color w:val="000000"/>
          <w:sz w:val="24"/>
          <w:szCs w:val="24"/>
        </w:rPr>
        <w:t>补充或增加。</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四、供货范围特别提示</w:t>
      </w:r>
    </w:p>
    <w:p>
      <w:pPr>
        <w:spacing w:line="360" w:lineRule="auto"/>
        <w:ind w:firstLine="480" w:firstLineChars="200"/>
        <w:rPr>
          <w:rFonts w:ascii="Times New Roman" w:hAnsi="Times New Roman" w:eastAsia="宋体" w:cs="Times New Roman"/>
          <w:color w:val="000000"/>
          <w:sz w:val="24"/>
          <w:szCs w:val="20"/>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r>
        <w:rPr>
          <w:rFonts w:hint="eastAsia" w:ascii="宋体" w:hAnsi="宋体" w:eastAsia="宋体" w:cs="宋体"/>
          <w:color w:val="000000"/>
          <w:sz w:val="24"/>
          <w:szCs w:val="24"/>
        </w:rPr>
        <w:t>。</w:t>
      </w:r>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p>
    <w:p>
      <w:p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一、供货方式</w:t>
      </w:r>
    </w:p>
    <w:p>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二、供货地点：</w:t>
      </w:r>
      <w:r>
        <w:rPr>
          <w:rFonts w:hint="eastAsia" w:ascii="宋体" w:hAnsi="宋体" w:eastAsia="宋体" w:cs="宋体"/>
          <w:color w:val="000000"/>
          <w:sz w:val="24"/>
          <w:szCs w:val="24"/>
        </w:rPr>
        <w:t>济南市</w:t>
      </w:r>
      <w:r>
        <w:rPr>
          <w:rFonts w:hint="eastAsia" w:hAnsi="宋体" w:eastAsia="宋体" w:cs="宋体"/>
          <w:color w:val="000000"/>
          <w:sz w:val="24"/>
          <w:szCs w:val="24"/>
        </w:rPr>
        <w:t>莱芜区中国重汽新能源产品试验检测中心</w:t>
      </w:r>
      <w:r>
        <w:rPr>
          <w:rFonts w:hint="eastAsia" w:ascii="宋体" w:hAnsi="宋体" w:eastAsia="宋体" w:cs="宋体"/>
          <w:b/>
          <w:sz w:val="24"/>
          <w:szCs w:val="24"/>
        </w:rPr>
        <w:t>。</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三、供货时间</w:t>
      </w:r>
    </w:p>
    <w:p>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1.自合同生效后</w:t>
      </w:r>
      <w:r>
        <w:rPr>
          <w:rFonts w:hint="eastAsia" w:ascii="宋体" w:hAnsi="宋体" w:eastAsia="宋体" w:cs="宋体"/>
          <w:sz w:val="24"/>
          <w:szCs w:val="24"/>
          <w:u w:val="single"/>
        </w:rPr>
        <w:t>90</w:t>
      </w:r>
      <w:r>
        <w:rPr>
          <w:rFonts w:hint="eastAsia" w:ascii="宋体" w:hAnsi="宋体" w:eastAsia="宋体" w:cs="宋体"/>
          <w:sz w:val="24"/>
          <w:szCs w:val="24"/>
        </w:rPr>
        <w:t>日内，中标人须交付设备到招标人指定的安装和使用的现场，并保证整套测试系统正常进入试运行状态。</w:t>
      </w:r>
    </w:p>
    <w:p>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2.接续</w:t>
      </w:r>
      <w:r>
        <w:rPr>
          <w:rFonts w:hint="eastAsia" w:ascii="宋体" w:hAnsi="宋体" w:eastAsia="宋体" w:cs="宋体"/>
          <w:sz w:val="24"/>
          <w:szCs w:val="24"/>
          <w:u w:val="single"/>
        </w:rPr>
        <w:t>30</w:t>
      </w:r>
      <w:r>
        <w:rPr>
          <w:rFonts w:hint="eastAsia" w:ascii="宋体" w:hAnsi="宋体" w:eastAsia="宋体" w:cs="宋体"/>
          <w:sz w:val="24"/>
          <w:szCs w:val="24"/>
        </w:rPr>
        <w:t>个日历日之内安装调试完毕。</w:t>
      </w:r>
    </w:p>
    <w:p>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3.接续</w:t>
      </w:r>
      <w:r>
        <w:rPr>
          <w:rFonts w:hint="eastAsia" w:ascii="宋体" w:hAnsi="宋体" w:eastAsia="宋体" w:cs="宋体"/>
          <w:sz w:val="24"/>
          <w:szCs w:val="24"/>
          <w:u w:val="single"/>
        </w:rPr>
        <w:t>30</w:t>
      </w:r>
      <w:r>
        <w:rPr>
          <w:rFonts w:hint="eastAsia" w:ascii="宋体" w:hAnsi="宋体" w:eastAsia="宋体" w:cs="宋体"/>
          <w:sz w:val="24"/>
          <w:szCs w:val="24"/>
        </w:rPr>
        <w:t>个日历日之内完成终验收。</w:t>
      </w:r>
    </w:p>
    <w:p>
      <w:pPr>
        <w:spacing w:line="360" w:lineRule="auto"/>
        <w:ind w:firstLine="480" w:firstLineChars="200"/>
        <w:jc w:val="left"/>
        <w:rPr>
          <w:rFonts w:ascii="宋体" w:hAnsi="宋体" w:eastAsia="宋体" w:cs="宋体"/>
          <w:color w:val="000000"/>
          <w:sz w:val="24"/>
          <w:szCs w:val="20"/>
        </w:rPr>
      </w:pPr>
      <w:r>
        <w:rPr>
          <w:rFonts w:hint="eastAsia" w:ascii="宋体" w:hAnsi="宋体" w:eastAsia="宋体" w:cs="宋体"/>
          <w:sz w:val="24"/>
          <w:szCs w:val="24"/>
        </w:rPr>
        <w:t>安装调试时间或终验收时间超过规定时间的，投标人应当随标书提供详细的工期计划</w:t>
      </w:r>
      <w:r>
        <w:rPr>
          <w:rFonts w:hint="eastAsia" w:ascii="宋体" w:hAnsi="宋体" w:eastAsia="宋体" w:cs="宋体"/>
          <w:color w:val="000000"/>
          <w:sz w:val="24"/>
          <w:szCs w:val="20"/>
        </w:rPr>
        <w:t>。</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四、包装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ascii="宋体" w:hAnsi="宋体" w:eastAsia="宋体" w:cs="宋体"/>
          <w:color w:val="000000"/>
          <w:sz w:val="24"/>
          <w:szCs w:val="20"/>
        </w:rPr>
      </w:pPr>
      <w:r>
        <w:rPr>
          <w:rFonts w:hint="eastAsia" w:ascii="宋体" w:hAnsi="宋体" w:eastAsia="宋体" w:cs="宋体"/>
          <w:sz w:val="24"/>
          <w:szCs w:val="24"/>
        </w:rPr>
        <w:t>9.在不受到外界破坏情况下，包装应保证自交货日起一年内货物（或设备）完好无损</w:t>
      </w:r>
      <w:r>
        <w:rPr>
          <w:rFonts w:hint="eastAsia" w:ascii="宋体" w:hAnsi="宋体" w:eastAsia="宋体" w:cs="宋体"/>
          <w:color w:val="000000"/>
          <w:sz w:val="24"/>
          <w:szCs w:val="20"/>
        </w:rPr>
        <w:t>。</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五、运输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ascii="宋体" w:hAnsi="宋体" w:eastAsia="宋体" w:cs="宋体"/>
          <w:color w:val="000000"/>
          <w:sz w:val="24"/>
          <w:szCs w:val="20"/>
        </w:rPr>
      </w:pPr>
      <w:r>
        <w:rPr>
          <w:rFonts w:hint="eastAsia" w:ascii="宋体" w:hAnsi="宋体" w:eastAsia="宋体" w:cs="宋体"/>
          <w:sz w:val="24"/>
          <w:szCs w:val="24"/>
        </w:rPr>
        <w:t>5.货物（或设备）运抵交货地点后，应负责货物（或设备）的卸货、搬运、保管等事宜，或按照合同约定</w:t>
      </w:r>
      <w:r>
        <w:rPr>
          <w:rFonts w:hint="eastAsia" w:ascii="宋体" w:hAnsi="宋体" w:eastAsia="宋体" w:cs="宋体"/>
          <w:color w:val="000000"/>
          <w:sz w:val="24"/>
          <w:szCs w:val="20"/>
        </w:rPr>
        <w:t>。</w:t>
      </w:r>
    </w:p>
    <w:p>
      <w:pPr>
        <w:adjustRightInd w:val="0"/>
        <w:snapToGrid w:val="0"/>
        <w:spacing w:line="420" w:lineRule="exact"/>
        <w:ind w:firstLine="480" w:firstLineChars="200"/>
        <w:rPr>
          <w:rFonts w:ascii="Times New Roman" w:hAnsi="Times New Roman" w:eastAsia="宋体" w:cs="Times New Roman"/>
          <w:color w:val="000000"/>
          <w:sz w:val="24"/>
          <w:szCs w:val="20"/>
        </w:rPr>
      </w:pPr>
    </w:p>
    <w:p>
      <w:pPr>
        <w:keepNext/>
        <w:keepLines/>
        <w:spacing w:line="360" w:lineRule="auto"/>
        <w:jc w:val="center"/>
        <w:outlineLvl w:val="1"/>
        <w:rPr>
          <w:rFonts w:ascii="宋体" w:hAnsi="宋体" w:eastAsia="宋体" w:cs="宋体"/>
          <w:b/>
          <w:bCs/>
          <w:kern w:val="44"/>
          <w:sz w:val="24"/>
          <w:szCs w:val="24"/>
        </w:rPr>
      </w:pPr>
      <w:r>
        <w:rPr>
          <w:rFonts w:eastAsia="黑体"/>
          <w:bCs/>
          <w:color w:val="000000"/>
          <w:kern w:val="44"/>
          <w:sz w:val="36"/>
          <w:szCs w:val="24"/>
        </w:rPr>
        <w:br w:type="page"/>
      </w:r>
      <w:r>
        <w:rPr>
          <w:rFonts w:hint="eastAsia" w:ascii="Calibri" w:hAnsi="Calibri" w:eastAsia="宋体" w:cs="Times New Roman"/>
          <w:b/>
          <w:bCs/>
          <w:kern w:val="44"/>
          <w:sz w:val="28"/>
          <w:szCs w:val="28"/>
        </w:rPr>
        <w:t>第四章  质保期及售后服务</w:t>
      </w:r>
    </w:p>
    <w:p>
      <w:pPr>
        <w:pStyle w:val="24"/>
        <w:spacing w:line="360" w:lineRule="auto"/>
        <w:rPr>
          <w:rFonts w:ascii="宋体" w:hAnsi="宋体" w:cs="宋体"/>
          <w:color w:val="auto"/>
        </w:rPr>
      </w:pPr>
      <w:r>
        <w:rPr>
          <w:rFonts w:hint="eastAsia" w:ascii="宋体" w:hAnsi="宋体" w:cs="宋体"/>
          <w:color w:val="auto"/>
        </w:rPr>
        <w:t>一、质保期及质保要求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1.全部供货范围内的设备、材料、零配件和工器具等，除合同特别约定外，其质保期均自终验收签字生效之日起</w:t>
      </w:r>
      <w:r>
        <w:rPr>
          <w:rFonts w:hint="eastAsia" w:ascii="宋体" w:hAnsi="宋体" w:eastAsia="宋体" w:cs="宋体"/>
          <w:sz w:val="24"/>
          <w:szCs w:val="24"/>
          <w:u w:val="single"/>
        </w:rPr>
        <w:t xml:space="preserve"> 24 </w:t>
      </w:r>
      <w:r>
        <w:rPr>
          <w:rFonts w:hint="eastAsia" w:ascii="宋体" w:hAnsi="宋体" w:eastAsia="宋体" w:cs="宋体"/>
          <w:sz w:val="24"/>
          <w:szCs w:val="24"/>
        </w:rPr>
        <w:t>个月。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3.质保期内免费提供零部件和及时有效的服务。质保期内因货物本身缺陷造成的各种故障，卖方应负责免费维修和服务。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4.质保期终止之日起一年内重复出现的质保期之内出现的故障，仍属质保范围而且应当免费。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w:t>
      </w:r>
      <w:r>
        <w:rPr>
          <w:rFonts w:ascii="宋体" w:hAnsi="宋体" w:eastAsia="宋体" w:cs="宋体"/>
          <w:sz w:val="24"/>
          <w:szCs w:val="24"/>
        </w:rPr>
        <w:t>.</w:t>
      </w:r>
      <w:r>
        <w:rPr>
          <w:rFonts w:hint="eastAsia" w:ascii="宋体" w:hAnsi="宋体" w:eastAsia="宋体" w:cs="宋体"/>
          <w:sz w:val="24"/>
          <w:szCs w:val="24"/>
        </w:rPr>
        <w:t>质保期内免费提供针对本技术条件要求内容范围内的测试脚本开发适配服务。</w:t>
      </w:r>
    </w:p>
    <w:p>
      <w:pPr>
        <w:pStyle w:val="24"/>
        <w:spacing w:line="360" w:lineRule="auto"/>
        <w:rPr>
          <w:rFonts w:ascii="宋体" w:hAnsi="宋体" w:cs="宋体"/>
        </w:rPr>
      </w:pPr>
      <w:r>
        <w:rPr>
          <w:rFonts w:hint="eastAsia" w:ascii="宋体" w:hAnsi="宋体" w:cs="宋体"/>
          <w:color w:val="auto"/>
        </w:rPr>
        <w:t>二、技术及培训服务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1.应负责在买方货物使用现场</w:t>
      </w:r>
      <w:r>
        <w:rPr>
          <w:rFonts w:hint="eastAsia" w:ascii="宋体" w:hAnsi="宋体" w:eastAsia="宋体" w:cs="宋体"/>
          <w:snapToGrid w:val="0"/>
          <w:sz w:val="24"/>
          <w:szCs w:val="24"/>
        </w:rPr>
        <w:t>进行不少于 5 个工作日的培训，</w:t>
      </w:r>
      <w:r>
        <w:rPr>
          <w:rFonts w:hint="eastAsia" w:ascii="宋体" w:hAnsi="宋体" w:eastAsia="宋体" w:cs="宋体"/>
          <w:sz w:val="24"/>
          <w:szCs w:val="24"/>
        </w:rPr>
        <w:t>对技术、维修和操作人员提供免费的理论、技术和操作、维修等方面的技术指导和培训，并接受买方有关人员的技术咨询。培训标准以招标方测试工程师具备根据中标方提供的测试执行手册独立进行测试及分析测试结果的能力、具备根据中标方提供的测试平台独立完成测试的能力为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2.应免费提供一定数量的培训资料，</w:t>
      </w:r>
      <w:r>
        <w:rPr>
          <w:rFonts w:hint="eastAsia" w:ascii="宋体" w:hAnsi="宋体" w:eastAsia="宋体" w:cs="宋体"/>
          <w:snapToGrid w:val="0"/>
          <w:sz w:val="24"/>
          <w:szCs w:val="24"/>
        </w:rPr>
        <w:t>另外在设备运行2年内，结合买方项目需求，提供买方2次高级培训，具体时间由买方正式通知卖方确定。</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3.应按要求免费积极协助和提供买方以及买方所委托的工程设计单位有关人员所需要的、与货物有关的工程设计资料、技术咨询等。</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4.若卖方提供货物涉及到外购外协货物、而且该货物的技术质量等较为关键时，卖方应能保证得到配套厂家的技术支持，并免费为买方提供技术服务。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pPr>
        <w:pStyle w:val="24"/>
        <w:spacing w:line="360" w:lineRule="auto"/>
        <w:rPr>
          <w:rFonts w:ascii="宋体" w:hAnsi="宋体" w:cs="宋体"/>
          <w:color w:val="auto"/>
        </w:rPr>
      </w:pPr>
      <w:r>
        <w:rPr>
          <w:rFonts w:hint="eastAsia" w:ascii="宋体" w:hAnsi="宋体" w:cs="宋体"/>
          <w:color w:val="auto"/>
        </w:rPr>
        <w:t>三、安装调试及验收服务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2.若卖方提供的货物涉及到外购外协货物、而且该货物的技术质量等较为关键时，应保证能得到供应商的技术支持，并免费为买方提供安装使用现场的指导与培训。</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5.卖方应当向买方提供货物试验、验收的有关标准、规范和方法，同时提供货物涉及并使用的软件合法性证明。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6.服务缺陷视同货物缺陷和履约延期。</w:t>
      </w:r>
    </w:p>
    <w:p>
      <w:pPr>
        <w:pStyle w:val="24"/>
        <w:spacing w:line="360" w:lineRule="auto"/>
        <w:rPr>
          <w:rFonts w:ascii="宋体" w:hAnsi="宋体" w:cs="宋体"/>
          <w:color w:val="auto"/>
        </w:rPr>
      </w:pPr>
      <w:r>
        <w:rPr>
          <w:rFonts w:hint="eastAsia" w:ascii="宋体" w:hAnsi="宋体" w:cs="宋体"/>
          <w:color w:val="auto"/>
        </w:rPr>
        <w:t>四、售后服务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1.卖方提供的货物涉及的所有售后服务均由卖方负责。如果发生问题并且收到通知，卖方应当在2小时内予以答复。</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2.如发现所提供的货物存在问题，需要卖方解决或配合解决时：在质保期之内，应在接到通知后</w:t>
      </w:r>
      <w:r>
        <w:rPr>
          <w:rFonts w:hint="eastAsia" w:ascii="宋体" w:hAnsi="宋体" w:eastAsia="宋体" w:cs="宋体"/>
          <w:sz w:val="24"/>
          <w:szCs w:val="24"/>
          <w:u w:val="single"/>
        </w:rPr>
        <w:t>24</w:t>
      </w:r>
      <w:r>
        <w:rPr>
          <w:rFonts w:hint="eastAsia" w:ascii="宋体" w:hAnsi="宋体" w:eastAsia="宋体" w:cs="宋体"/>
          <w:sz w:val="24"/>
          <w:szCs w:val="24"/>
        </w:rPr>
        <w:t>小时内派有关人员到达现场；在质保期之外，应在接到通知后</w:t>
      </w:r>
      <w:r>
        <w:rPr>
          <w:rFonts w:hint="eastAsia" w:ascii="宋体" w:hAnsi="宋体" w:eastAsia="宋体" w:cs="宋体"/>
          <w:sz w:val="24"/>
          <w:szCs w:val="24"/>
          <w:u w:val="single"/>
          <w:shd w:val="pct10" w:color="auto" w:fill="FFFFFF"/>
        </w:rPr>
        <w:t>72</w:t>
      </w:r>
      <w:r>
        <w:rPr>
          <w:rFonts w:hint="eastAsia" w:ascii="宋体" w:hAnsi="宋体" w:eastAsia="宋体" w:cs="宋体"/>
          <w:sz w:val="24"/>
          <w:szCs w:val="24"/>
        </w:rPr>
        <w:t>小时内派有关人员到达现场。</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3.卖方派往买方使用现场的人员，应具有较高的业务素质；现场解决问题时，不得无故拖延或推迟，应为买方提供最佳的服务。</w:t>
      </w:r>
    </w:p>
    <w:p>
      <w:pPr>
        <w:pStyle w:val="24"/>
        <w:spacing w:line="360" w:lineRule="auto"/>
        <w:rPr>
          <w:rFonts w:ascii="宋体" w:hAnsi="宋体" w:cs="宋体"/>
          <w:color w:val="auto"/>
        </w:rPr>
      </w:pPr>
      <w:r>
        <w:rPr>
          <w:rFonts w:hint="eastAsia" w:ascii="宋体" w:hAnsi="宋体" w:cs="宋体"/>
          <w:color w:val="auto"/>
        </w:rPr>
        <w:t>五、其它服务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1.若卖方所提供货物有需要进口的，卖方一般应自行、自费办理。</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2.除招标文件、投标文件、答疑文件、技术标书、合同等约定之外，卖方应免费负责必要的或强制性的货物的检验、试验、化验等直接费用。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3.本章节条款所列“免费”，并非指定不可收费，而是指招标文件、投标文件、答疑文件、技术交流文件、技术标书和合同等范围之外，投标人不可另行收取的费用。</w:t>
      </w:r>
    </w:p>
    <w:p>
      <w:pPr>
        <w:pStyle w:val="8"/>
      </w:pPr>
      <w:r>
        <w:rPr>
          <w:rFonts w:hint="eastAsia"/>
        </w:rPr>
        <w:br w:type="page"/>
      </w:r>
    </w:p>
    <w:p>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预验收和终验收</w:t>
      </w:r>
    </w:p>
    <w:p>
      <w:pPr>
        <w:pStyle w:val="24"/>
        <w:spacing w:line="360" w:lineRule="auto"/>
        <w:rPr>
          <w:rFonts w:ascii="宋体" w:hAnsi="宋体" w:cs="宋体"/>
          <w:color w:val="auto"/>
        </w:rPr>
      </w:pPr>
      <w:r>
        <w:rPr>
          <w:rFonts w:hint="eastAsia" w:ascii="宋体" w:hAnsi="宋体" w:cs="宋体"/>
          <w:color w:val="auto"/>
        </w:rPr>
        <w:t>一、验收依据和验收标准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1.验收标准一般以技术标书和合同规定验收。无论技术标书和合同，是否全部并准确列明验收所涉及的相关标准，均作为验收标准之一。</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2.如果验收过程中，发现招标文件、投标文件、答疑文件、技术交流文件等与技术标书、合同存在差异，原则上以涉及条款中对买方最有利条款为验收依据。</w:t>
      </w:r>
    </w:p>
    <w:p>
      <w:pPr>
        <w:pStyle w:val="24"/>
        <w:spacing w:line="360" w:lineRule="auto"/>
        <w:rPr>
          <w:rFonts w:ascii="宋体" w:hAnsi="宋体" w:cs="宋体"/>
          <w:color w:val="auto"/>
        </w:rPr>
      </w:pPr>
      <w:r>
        <w:rPr>
          <w:rFonts w:hint="eastAsia" w:ascii="宋体" w:hAnsi="宋体" w:cs="宋体"/>
          <w:color w:val="auto"/>
        </w:rPr>
        <w:t>二、检验</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1.国产货物的检验一般由买卖双方共同进行或按照合同要求进行。</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2.进口货物的检验，卖方需要按照下述要求进行：</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 应依据合同规定的要求，提供买卖双方达成一致的货物的验收标准和装箱单，作为买方检验的依据。</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pPr>
        <w:pStyle w:val="24"/>
        <w:spacing w:line="360" w:lineRule="auto"/>
        <w:rPr>
          <w:rFonts w:ascii="宋体" w:hAnsi="宋体" w:cs="宋体"/>
          <w:color w:val="auto"/>
        </w:rPr>
      </w:pPr>
      <w:r>
        <w:rPr>
          <w:rFonts w:hint="eastAsia" w:ascii="宋体" w:hAnsi="宋体" w:cs="宋体"/>
          <w:color w:val="auto"/>
        </w:rPr>
        <w:t>三、验收基本条件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验收一般分预验收和终验收两部分。买方在设备集成现场进行预验收，验收地交通（中国济南至验收地往返）、食宿由买方自理。终验收在安装调试完成及试运行后的买方现场进行。但是所有的项目，包括不能预验收的项目和预验收通过的项目都在终验收时重新检验，最终只以终验收为准。</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买卖双方按照合同约定执行了合同，同时货物完成了试运行并经检验合格，则具备验收条件。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1.预验收基本要求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预验收为买方到卖方场地，买卖双方依据总体设计方案对试验台各项参数进行预验收，确定试验台完全符合设计方案的各项要求。</w:t>
      </w: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 卖方已经按照“供货范围”要求提供了预验收资料，并且资料齐全、完整和有效。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 货物应完整且所有的零部件应该安装牢固，外观无损伤，所有的焊缝饱满、无残渣等缺陷。</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1.3 货物的油漆质量应饱满、有光泽，无掉漆、无色差、无“桔皮”等不良现象（特殊标志除外）。</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1.4 货物标牌完整、清晰、明确。</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1.5</w:t>
      </w:r>
      <w:r>
        <w:rPr>
          <w:rFonts w:ascii="宋体" w:hAnsi="宋体" w:eastAsia="宋体" w:cs="宋体"/>
          <w:sz w:val="24"/>
          <w:szCs w:val="24"/>
        </w:rPr>
        <w:t xml:space="preserve"> </w:t>
      </w:r>
      <w:r>
        <w:rPr>
          <w:rFonts w:hint="eastAsia" w:ascii="宋体" w:hAnsi="宋体" w:eastAsia="宋体" w:cs="宋体"/>
          <w:sz w:val="24"/>
          <w:szCs w:val="24"/>
        </w:rPr>
        <w:t>货物的安全要求符合中国最新的相关法律、法规、标准和规范以及合同要求。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 xml:space="preserve">.6 </w:t>
      </w:r>
      <w:r>
        <w:rPr>
          <w:rFonts w:hint="eastAsia" w:ascii="宋体" w:hAnsi="宋体" w:eastAsia="宋体" w:cs="宋体"/>
          <w:sz w:val="24"/>
          <w:szCs w:val="24"/>
        </w:rPr>
        <w:t>系统设备品牌、型号、数量与合同约定内容一致；各设备资料齐全，完整有效。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2.终验收一般条件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2.1 供应商在设备到达安装地点后，必须在 15 日内开始设备的安装、调试等工作。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2.2 设备在用户现场的安装、调试和技术指导工作由供应商派技术熟练的机械、电气及自动化控制方面的专家进行，安装调试按确定的安装调试方案进行，用户配合供应商的调试工作。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2.3设备在用户现场的卸货、就位、安装、调试由供应商负责。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2.4供应商应严格按照项目管理方案，并采用先进科学的手段进行安装和调试，确保验收工作正常进行。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2.5用户提供的公用动力接口界面如下： 电：用户提供的设备用电接驳至指定的配电箱，配电箱空开下口至设备间所需的所有管路管线由供应商负责提供并安装。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2.6供应商应提供安装调试用介质、工具等安装调试条件。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2.7供应商应承担设备安装调试过程中由供应商原因造成的现场地面损坏或污染等所产生的修复费用。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2.8设备安装调试完成后，供应商负责现场的清洁工作。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2.9供应商所提供的图纸和文件应按最终调试结果进行更新。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2.10设备到货 1 个月内完成安装调试工作</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终验收技术要求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3.1设备安装调试完成后，由用户和供应商共同组织设备的终验收，验收内容及方法标准如下：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3.1.1 验收内容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1）设备交货范围满足合同和技术的要求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2）设备技术参数满足技术要求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 设备培训内容满足培训要求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3.1.2 验收方法及标准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1) 逐一点验交付物清单，确认交付物满足交货范围要求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 通过检查设备标定报告或者通过实车验证设备性能满足技术要求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 由用户和供应商共同协商验收技术方案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3.2 终验收时，供应商应提供设备的操作规程、系统巡检及保养细则、管理规章制度、应急故障、处理办法等完善的维保体系文件。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3.3 设备终验收完成后，由用户和供应商共同编制验收报告并签字确认。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3.4 最终验收工作应在设备安装调试完成后 30 工作日内完成。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3.5 在终验收期间，供应商自负机票、住宿、保险等费用。</w:t>
      </w: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rPr>
          <w:rFonts w:ascii="宋体" w:hAnsi="宋体" w:eastAsia="宋体" w:cs="宋体"/>
          <w:sz w:val="24"/>
          <w:szCs w:val="24"/>
        </w:rPr>
      </w:pPr>
    </w:p>
    <w:p>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第六章  投标技术文件一般要求</w:t>
      </w:r>
    </w:p>
    <w:p>
      <w:pPr>
        <w:pStyle w:val="24"/>
        <w:spacing w:line="360" w:lineRule="auto"/>
        <w:rPr>
          <w:rFonts w:ascii="宋体" w:hAnsi="宋体" w:cs="宋体"/>
          <w:color w:val="auto"/>
        </w:rPr>
      </w:pPr>
      <w:r>
        <w:rPr>
          <w:rFonts w:hint="eastAsia" w:ascii="宋体" w:hAnsi="宋体" w:cs="宋体"/>
          <w:color w:val="auto"/>
        </w:rPr>
        <w:t>一、技术文件一般内容要求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pPr>
        <w:adjustRightInd w:val="0"/>
        <w:snapToGrid w:val="0"/>
        <w:spacing w:line="360" w:lineRule="auto"/>
        <w:ind w:firstLine="2160" w:firstLineChars="900"/>
        <w:rPr>
          <w:rFonts w:ascii="宋体" w:hAnsi="宋体" w:eastAsia="宋体" w:cs="宋体"/>
          <w:sz w:val="24"/>
          <w:szCs w:val="24"/>
        </w:rPr>
      </w:pPr>
      <w:r>
        <w:rPr>
          <w:rFonts w:hint="eastAsia" w:ascii="宋体" w:hAnsi="宋体" w:eastAsia="宋体" w:cs="宋体"/>
          <w:sz w:val="24"/>
          <w:szCs w:val="24"/>
        </w:rPr>
        <w:t>备品备件、易损件和专用耗材明细表             单位：元</w:t>
      </w:r>
    </w:p>
    <w:tbl>
      <w:tblPr>
        <w:tblStyle w:val="14"/>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vAlign w:val="center"/>
          </w:tcPr>
          <w:p>
            <w:pPr>
              <w:adjustRightInd w:val="0"/>
              <w:snapToGrid w:val="0"/>
              <w:jc w:val="center"/>
              <w:rPr>
                <w:rFonts w:ascii="宋体" w:hAnsi="宋体" w:eastAsia="宋体" w:cs="宋体"/>
              </w:rPr>
            </w:pPr>
            <w:r>
              <w:rPr>
                <w:rFonts w:hint="eastAsia" w:ascii="宋体" w:hAnsi="宋体" w:eastAsia="宋体" w:cs="宋体"/>
              </w:rPr>
              <w:t>序号</w:t>
            </w:r>
          </w:p>
        </w:tc>
        <w:tc>
          <w:tcPr>
            <w:tcW w:w="1924" w:type="dxa"/>
            <w:vAlign w:val="center"/>
          </w:tcPr>
          <w:p>
            <w:pPr>
              <w:adjustRightInd w:val="0"/>
              <w:snapToGrid w:val="0"/>
              <w:jc w:val="center"/>
              <w:rPr>
                <w:rFonts w:ascii="宋体" w:hAnsi="宋体" w:eastAsia="宋体" w:cs="宋体"/>
              </w:rPr>
            </w:pPr>
            <w:r>
              <w:rPr>
                <w:rFonts w:hint="eastAsia" w:ascii="宋体" w:hAnsi="宋体" w:eastAsia="宋体" w:cs="宋体"/>
              </w:rPr>
              <w:t>名称</w:t>
            </w:r>
          </w:p>
        </w:tc>
        <w:tc>
          <w:tcPr>
            <w:tcW w:w="1236" w:type="dxa"/>
            <w:vAlign w:val="center"/>
          </w:tcPr>
          <w:p>
            <w:pPr>
              <w:adjustRightInd w:val="0"/>
              <w:snapToGrid w:val="0"/>
              <w:jc w:val="center"/>
              <w:rPr>
                <w:rFonts w:ascii="宋体" w:hAnsi="宋体" w:eastAsia="宋体" w:cs="宋体"/>
              </w:rPr>
            </w:pPr>
            <w:r>
              <w:rPr>
                <w:rFonts w:hint="eastAsia" w:ascii="宋体" w:hAnsi="宋体" w:eastAsia="宋体" w:cs="宋体"/>
              </w:rPr>
              <w:t>型号规格</w:t>
            </w:r>
          </w:p>
        </w:tc>
        <w:tc>
          <w:tcPr>
            <w:tcW w:w="720" w:type="dxa"/>
            <w:vAlign w:val="center"/>
          </w:tcPr>
          <w:p>
            <w:pPr>
              <w:adjustRightInd w:val="0"/>
              <w:snapToGrid w:val="0"/>
              <w:jc w:val="center"/>
              <w:rPr>
                <w:rFonts w:ascii="宋体" w:hAnsi="宋体" w:eastAsia="宋体" w:cs="宋体"/>
              </w:rPr>
            </w:pPr>
            <w:r>
              <w:rPr>
                <w:rFonts w:hint="eastAsia" w:ascii="宋体" w:hAnsi="宋体" w:eastAsia="宋体" w:cs="宋体"/>
              </w:rPr>
              <w:t>单位</w:t>
            </w:r>
          </w:p>
        </w:tc>
        <w:tc>
          <w:tcPr>
            <w:tcW w:w="720" w:type="dxa"/>
            <w:vAlign w:val="center"/>
          </w:tcPr>
          <w:p>
            <w:pPr>
              <w:adjustRightInd w:val="0"/>
              <w:snapToGrid w:val="0"/>
              <w:jc w:val="center"/>
              <w:rPr>
                <w:rFonts w:ascii="宋体" w:hAnsi="宋体" w:eastAsia="宋体" w:cs="宋体"/>
              </w:rPr>
            </w:pPr>
            <w:r>
              <w:rPr>
                <w:rFonts w:hint="eastAsia" w:ascii="宋体" w:hAnsi="宋体" w:eastAsia="宋体" w:cs="宋体"/>
              </w:rPr>
              <w:t>数量</w:t>
            </w:r>
          </w:p>
        </w:tc>
        <w:tc>
          <w:tcPr>
            <w:tcW w:w="720" w:type="dxa"/>
            <w:vAlign w:val="center"/>
          </w:tcPr>
          <w:p>
            <w:pPr>
              <w:adjustRightInd w:val="0"/>
              <w:snapToGrid w:val="0"/>
              <w:jc w:val="center"/>
              <w:rPr>
                <w:rFonts w:ascii="宋体" w:hAnsi="宋体" w:eastAsia="宋体" w:cs="宋体"/>
              </w:rPr>
            </w:pPr>
            <w:r>
              <w:rPr>
                <w:rFonts w:hint="eastAsia" w:ascii="宋体" w:hAnsi="宋体" w:eastAsia="宋体" w:cs="宋体"/>
              </w:rPr>
              <w:t>单价</w:t>
            </w:r>
          </w:p>
        </w:tc>
        <w:tc>
          <w:tcPr>
            <w:tcW w:w="720" w:type="dxa"/>
            <w:vAlign w:val="center"/>
          </w:tcPr>
          <w:p>
            <w:pPr>
              <w:adjustRightInd w:val="0"/>
              <w:snapToGrid w:val="0"/>
              <w:jc w:val="center"/>
              <w:rPr>
                <w:rFonts w:ascii="宋体" w:hAnsi="宋体" w:eastAsia="宋体" w:cs="宋体"/>
              </w:rPr>
            </w:pPr>
            <w:r>
              <w:rPr>
                <w:rFonts w:hint="eastAsia" w:ascii="宋体" w:hAnsi="宋体" w:eastAsia="宋体" w:cs="宋体"/>
              </w:rPr>
              <w:t>总价</w:t>
            </w:r>
          </w:p>
        </w:tc>
        <w:tc>
          <w:tcPr>
            <w:tcW w:w="2235" w:type="dxa"/>
            <w:vAlign w:val="center"/>
          </w:tcPr>
          <w:p>
            <w:pPr>
              <w:adjustRightInd w:val="0"/>
              <w:snapToGrid w:val="0"/>
              <w:jc w:val="center"/>
              <w:rPr>
                <w:rFonts w:ascii="宋体" w:hAnsi="宋体" w:eastAsia="宋体" w:cs="宋体"/>
              </w:rPr>
            </w:pPr>
            <w:r>
              <w:rPr>
                <w:rFonts w:hint="eastAsia" w:ascii="宋体" w:hAnsi="宋体" w:eastAsia="宋体" w:cs="宋体"/>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bl>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pPr>
        <w:pStyle w:val="24"/>
        <w:spacing w:line="360" w:lineRule="auto"/>
        <w:rPr>
          <w:rFonts w:ascii="宋体" w:hAnsi="宋体" w:cs="宋体"/>
          <w:color w:val="auto"/>
        </w:rPr>
      </w:pPr>
      <w:r>
        <w:rPr>
          <w:rFonts w:hint="eastAsia" w:ascii="宋体" w:hAnsi="宋体" w:cs="宋体"/>
          <w:color w:val="auto"/>
        </w:rPr>
        <w:t>二、技术文件中货物报价格式要求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pPr>
        <w:pStyle w:val="24"/>
        <w:spacing w:line="360" w:lineRule="auto"/>
        <w:rPr>
          <w:rFonts w:ascii="宋体" w:hAnsi="宋体" w:cs="宋体"/>
          <w:color w:val="auto"/>
        </w:rPr>
      </w:pPr>
      <w:r>
        <w:rPr>
          <w:rFonts w:hint="eastAsia" w:ascii="宋体" w:hAnsi="宋体" w:cs="宋体"/>
          <w:color w:val="auto"/>
        </w:rPr>
        <w:t>三、验收标准及内容要求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pPr>
        <w:pStyle w:val="3"/>
        <w:spacing w:before="120" w:after="120" w:line="360" w:lineRule="auto"/>
        <w:rPr>
          <w:rFonts w:ascii="宋体" w:hAnsi="宋体" w:eastAsia="宋体" w:cs="宋体"/>
          <w:b w:val="0"/>
          <w:sz w:val="24"/>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第七章  其它要求及说明</w:t>
      </w:r>
    </w:p>
    <w:p>
      <w:pPr>
        <w:pStyle w:val="24"/>
        <w:spacing w:line="360" w:lineRule="auto"/>
        <w:rPr>
          <w:rFonts w:ascii="宋体" w:hAnsi="宋体" w:cs="宋体"/>
          <w:color w:val="auto"/>
        </w:rPr>
      </w:pPr>
      <w:r>
        <w:rPr>
          <w:rFonts w:hint="eastAsia" w:ascii="宋体" w:hAnsi="宋体" w:cs="宋体"/>
          <w:color w:val="auto"/>
        </w:rPr>
        <w:t>一、要求</w:t>
      </w:r>
    </w:p>
    <w:p>
      <w:pPr>
        <w:pStyle w:val="2"/>
        <w:rPr>
          <w:rFonts w:ascii="宋体" w:hAnsi="宋体" w:cs="宋体"/>
          <w:b w:val="0"/>
          <w:szCs w:val="24"/>
        </w:rPr>
      </w:pPr>
      <w:r>
        <w:rPr>
          <w:rFonts w:hint="eastAsia" w:ascii="宋体" w:hAnsi="宋体" w:cs="宋体"/>
          <w:b w:val="0"/>
          <w:szCs w:val="24"/>
        </w:rPr>
        <w:t>为保证本技术标书所列采购货物的质量以及先进性、可靠性、经济性和实用性，要求投标人在投标文件中，至少应具备以下资格证明文件或资料：</w:t>
      </w:r>
    </w:p>
    <w:p>
      <w:pPr>
        <w:pStyle w:val="2"/>
        <w:rPr>
          <w:rFonts w:ascii="宋体" w:hAnsi="宋体" w:cs="宋体"/>
          <w:b w:val="0"/>
          <w:szCs w:val="24"/>
        </w:rPr>
      </w:pPr>
      <w:r>
        <w:rPr>
          <w:rFonts w:hint="eastAsia" w:ascii="宋体" w:hAnsi="宋体" w:cs="宋体"/>
          <w:b w:val="0"/>
          <w:szCs w:val="24"/>
        </w:rPr>
        <w:t>1.投标人应是独立法人或得到法人授权的机构。应当在投标文件中提供法人营业执照（复印件）、税务登记证以及组织机构代码证（国际供应商参考该要求提供有效证明文件），并保证其真实性和有效性。</w:t>
      </w:r>
    </w:p>
    <w:p>
      <w:pPr>
        <w:pStyle w:val="2"/>
        <w:rPr>
          <w:rFonts w:ascii="宋体" w:hAnsi="宋体" w:cs="宋体"/>
          <w:b w:val="0"/>
          <w:szCs w:val="24"/>
        </w:rPr>
      </w:pPr>
      <w:r>
        <w:rPr>
          <w:rFonts w:hint="eastAsia" w:ascii="宋体" w:hAnsi="宋体" w:cs="宋体"/>
          <w:b w:val="0"/>
          <w:szCs w:val="24"/>
        </w:rPr>
        <w:t>2.投标人应当是通过有关资格认证的法人。应当在投标文件中提供有效期内的资格认证证书，如：ISO9001、VDA6.1、QS9000等。</w:t>
      </w:r>
    </w:p>
    <w:p>
      <w:pPr>
        <w:pStyle w:val="2"/>
        <w:rPr>
          <w:rFonts w:ascii="宋体" w:hAnsi="宋体" w:cs="宋体"/>
          <w:b w:val="0"/>
          <w:szCs w:val="24"/>
        </w:rPr>
      </w:pPr>
      <w:r>
        <w:rPr>
          <w:rFonts w:hint="eastAsia" w:ascii="宋体" w:hAnsi="宋体" w:cs="宋体"/>
          <w:b w:val="0"/>
          <w:szCs w:val="24"/>
        </w:rPr>
        <w:t>3.国产设备应附有采购货物（或设备）涉及的由“中国质量认证中心”颁发的《中国国家强制性产品认证证书》（CCC证书）。</w:t>
      </w:r>
    </w:p>
    <w:p>
      <w:pPr>
        <w:pStyle w:val="2"/>
        <w:rPr>
          <w:rFonts w:ascii="宋体" w:hAnsi="宋体" w:cs="宋体"/>
          <w:b w:val="0"/>
          <w:szCs w:val="24"/>
        </w:rPr>
      </w:pPr>
      <w:r>
        <w:rPr>
          <w:rFonts w:hint="eastAsia" w:ascii="宋体" w:hAnsi="宋体" w:cs="宋体"/>
          <w:b w:val="0"/>
          <w:szCs w:val="24"/>
        </w:rPr>
        <w:t>4.应附有其它与投标单位、采购货物有关的荣誉证书或资料。</w:t>
      </w:r>
    </w:p>
    <w:p>
      <w:pPr>
        <w:pStyle w:val="2"/>
        <w:rPr>
          <w:rFonts w:ascii="宋体" w:hAnsi="宋体" w:cs="宋体"/>
          <w:b w:val="0"/>
          <w:szCs w:val="24"/>
        </w:rPr>
      </w:pPr>
      <w:r>
        <w:rPr>
          <w:rFonts w:hint="eastAsia" w:ascii="宋体" w:hAnsi="宋体" w:cs="宋体"/>
          <w:b w:val="0"/>
          <w:szCs w:val="24"/>
        </w:rPr>
        <w:t>5.必须附有投标货物涉及产品要求的、国家或行业管理规定要求的、或者投标人认为能够体现其投标货物合法性及先进性的最高级别的证明材料（投标货物不涉及的除外）：</w:t>
      </w:r>
    </w:p>
    <w:p>
      <w:pPr>
        <w:pStyle w:val="2"/>
        <w:rPr>
          <w:rFonts w:ascii="宋体" w:hAnsi="宋体" w:cs="宋体"/>
          <w:b w:val="0"/>
          <w:szCs w:val="24"/>
        </w:rPr>
      </w:pPr>
      <w:r>
        <w:rPr>
          <w:rFonts w:hint="eastAsia" w:ascii="宋体" w:hAnsi="宋体" w:cs="宋体"/>
          <w:b w:val="0"/>
          <w:szCs w:val="24"/>
        </w:rPr>
        <w:t>5.1国家相关机构颁发的有效期之内所必需的《生产许可证》；</w:t>
      </w:r>
    </w:p>
    <w:p>
      <w:pPr>
        <w:pStyle w:val="2"/>
        <w:rPr>
          <w:rFonts w:ascii="宋体" w:hAnsi="宋体" w:cs="宋体"/>
          <w:b w:val="0"/>
          <w:szCs w:val="24"/>
        </w:rPr>
      </w:pPr>
      <w:r>
        <w:rPr>
          <w:rFonts w:hint="eastAsia" w:ascii="宋体" w:hAnsi="宋体" w:cs="宋体"/>
          <w:b w:val="0"/>
          <w:szCs w:val="24"/>
        </w:rPr>
        <w:t>5.2产品（或技术）鉴定报告/证书、专利证书或专利许可证书、新技术成果证书等；</w:t>
      </w:r>
    </w:p>
    <w:p>
      <w:pPr>
        <w:pStyle w:val="2"/>
        <w:rPr>
          <w:rFonts w:ascii="宋体" w:hAnsi="宋体" w:cs="宋体"/>
          <w:b w:val="0"/>
          <w:szCs w:val="24"/>
        </w:rPr>
      </w:pPr>
      <w:r>
        <w:rPr>
          <w:rFonts w:hint="eastAsia" w:ascii="宋体" w:hAnsi="宋体" w:cs="宋体"/>
          <w:b w:val="0"/>
          <w:szCs w:val="24"/>
        </w:rPr>
        <w:t>5.3产品相关检验、试验报告，如：型式试验检验报告、安全试验检验报告、电弧效应试验报告、噪声检测报告等；</w:t>
      </w:r>
    </w:p>
    <w:p>
      <w:pPr>
        <w:pStyle w:val="2"/>
        <w:rPr>
          <w:rFonts w:ascii="宋体" w:hAnsi="宋体" w:cs="宋体"/>
          <w:b w:val="0"/>
          <w:szCs w:val="24"/>
        </w:rPr>
      </w:pPr>
      <w:r>
        <w:rPr>
          <w:rFonts w:hint="eastAsia" w:ascii="宋体" w:hAnsi="宋体" w:cs="宋体"/>
          <w:b w:val="0"/>
          <w:szCs w:val="24"/>
        </w:rPr>
        <w:t>5.4其它能够证明所供货物的质量水平、技术水平、安全性水平、节能性水平、环保性水平等相关的其它证明文件或资料、报告等；</w:t>
      </w:r>
    </w:p>
    <w:p>
      <w:pPr>
        <w:pStyle w:val="2"/>
        <w:rPr>
          <w:rFonts w:ascii="宋体" w:hAnsi="宋体" w:cs="宋体"/>
          <w:b w:val="0"/>
          <w:szCs w:val="24"/>
        </w:rPr>
      </w:pPr>
      <w:r>
        <w:rPr>
          <w:rFonts w:hint="eastAsia" w:ascii="宋体" w:hAnsi="宋体" w:cs="宋体"/>
          <w:b w:val="0"/>
          <w:szCs w:val="24"/>
        </w:rPr>
        <w:t>5.5该类报告或证明材料对于投标人胜出乃至中标极为重要！</w:t>
      </w:r>
    </w:p>
    <w:p>
      <w:pPr>
        <w:pStyle w:val="2"/>
        <w:rPr>
          <w:rFonts w:ascii="宋体" w:hAnsi="宋体" w:cs="宋体"/>
          <w:b w:val="0"/>
          <w:szCs w:val="24"/>
        </w:rPr>
      </w:pPr>
      <w:r>
        <w:rPr>
          <w:rFonts w:hint="eastAsia" w:ascii="宋体" w:hAnsi="宋体" w:cs="宋体"/>
          <w:b w:val="0"/>
          <w:szCs w:val="24"/>
        </w:rPr>
        <w:t>6.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pPr>
        <w:pStyle w:val="24"/>
        <w:spacing w:line="360" w:lineRule="auto"/>
        <w:rPr>
          <w:rFonts w:ascii="宋体" w:hAnsi="宋体" w:cs="宋体"/>
          <w:color w:val="auto"/>
        </w:rPr>
      </w:pPr>
      <w:r>
        <w:rPr>
          <w:rFonts w:hint="eastAsia" w:ascii="宋体" w:hAnsi="宋体" w:cs="宋体"/>
          <w:color w:val="auto"/>
        </w:rPr>
        <w:t>二、其他</w:t>
      </w:r>
    </w:p>
    <w:p>
      <w:pPr>
        <w:pStyle w:val="2"/>
        <w:rPr>
          <w:rFonts w:ascii="宋体" w:hAnsi="宋体" w:cs="宋体"/>
          <w:b w:val="0"/>
          <w:szCs w:val="24"/>
        </w:rPr>
      </w:pPr>
      <w:r>
        <w:rPr>
          <w:rFonts w:hint="eastAsia" w:ascii="宋体" w:hAnsi="宋体" w:cs="宋体"/>
          <w:b w:val="0"/>
          <w:szCs w:val="24"/>
        </w:rPr>
        <w:t>1.投标人可以根据自身的技术、经验等优势以及对招标文件和本技术标书的理解，写明对招标人所采购货物的优化方案或建议意见。投标人的这些努力，招标人表示感谢，并将有助于投标人优先胜出。</w:t>
      </w:r>
    </w:p>
    <w:p>
      <w:pPr>
        <w:pStyle w:val="2"/>
        <w:rPr>
          <w:rFonts w:ascii="宋体" w:hAnsi="宋体" w:cs="宋体"/>
          <w:b w:val="0"/>
          <w:szCs w:val="24"/>
        </w:rPr>
      </w:pPr>
      <w:r>
        <w:rPr>
          <w:rFonts w:hint="eastAsia" w:ascii="宋体" w:hAnsi="宋体" w:cs="宋体"/>
          <w:b w:val="0"/>
          <w:szCs w:val="24"/>
        </w:rPr>
        <w:t>2.即使有建议意见或建议方案，仍应依据招标文件和本技术标书要求，编写符合要求的投标文件。建议方案或建议意见，应以单独篇章或文件，予以说明和报价。</w:t>
      </w:r>
    </w:p>
    <w:p>
      <w:pPr>
        <w:pStyle w:val="2"/>
        <w:rPr>
          <w:rFonts w:ascii="宋体" w:hAnsi="宋体" w:cs="宋体"/>
          <w:b w:val="0"/>
          <w:szCs w:val="24"/>
        </w:rPr>
      </w:pPr>
      <w:r>
        <w:rPr>
          <w:rFonts w:hint="eastAsia" w:ascii="宋体" w:hAnsi="宋体" w:cs="宋体"/>
          <w:b w:val="0"/>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pPr>
        <w:pStyle w:val="2"/>
        <w:rPr>
          <w:rFonts w:ascii="宋体" w:hAnsi="宋体" w:cs="宋体"/>
          <w:b w:val="0"/>
          <w:szCs w:val="24"/>
        </w:rPr>
      </w:pPr>
      <w:r>
        <w:rPr>
          <w:rFonts w:hint="eastAsia" w:ascii="宋体" w:hAnsi="宋体" w:cs="宋体"/>
          <w:b w:val="0"/>
          <w:szCs w:val="24"/>
        </w:rPr>
        <w:t>4.招标文件、投标文件、答疑文件、技术交流文件、技术标书等，在采购过程全部为有效文件，如有差异，以对招标人最有利的条款为准。</w:t>
      </w:r>
    </w:p>
    <w:p>
      <w:pPr>
        <w:pStyle w:val="2"/>
        <w:rPr>
          <w:rFonts w:ascii="宋体" w:hAnsi="宋体" w:cs="宋体"/>
          <w:b w:val="0"/>
          <w:szCs w:val="24"/>
        </w:rPr>
      </w:pPr>
      <w:r>
        <w:rPr>
          <w:rFonts w:hint="eastAsia" w:ascii="宋体" w:hAnsi="宋体" w:cs="宋体"/>
          <w:b w:val="0"/>
          <w:szCs w:val="24"/>
        </w:rPr>
        <w:t>5.为避免歧义，本技术标书涉及招投标环节的条款，均将潜在的卖方称为投标人、将买方称为招标人；定标后合同签署环节以及后续的合同执行环节条款，招标人称为买方、投标人中的中标方称为卖方。</w:t>
      </w: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spacing w:line="360" w:lineRule="auto"/>
        <w:jc w:val="center"/>
        <w:outlineLvl w:val="0"/>
        <w:rPr>
          <w:rFonts w:ascii="宋体" w:hAnsi="宋体" w:eastAsia="宋体" w:cs="Times New Roman"/>
          <w:b/>
          <w:sz w:val="36"/>
          <w:szCs w:val="36"/>
        </w:rPr>
      </w:pPr>
    </w:p>
    <w:p>
      <w:pPr>
        <w:spacing w:line="360" w:lineRule="auto"/>
        <w:jc w:val="center"/>
        <w:outlineLvl w:val="0"/>
        <w:rPr>
          <w:rFonts w:ascii="宋体" w:hAnsi="宋体" w:eastAsia="宋体" w:cs="Times New Roman"/>
          <w:b/>
          <w:sz w:val="36"/>
          <w:szCs w:val="36"/>
        </w:rPr>
      </w:pPr>
    </w:p>
    <w:p>
      <w:pPr>
        <w:spacing w:line="360" w:lineRule="auto"/>
        <w:jc w:val="center"/>
        <w:outlineLvl w:val="0"/>
        <w:rPr>
          <w:rFonts w:ascii="宋体" w:hAnsi="宋体" w:eastAsia="宋体" w:cs="Times New Roman"/>
          <w:b/>
          <w:sz w:val="36"/>
          <w:szCs w:val="36"/>
        </w:rPr>
      </w:pPr>
    </w:p>
    <w:p>
      <w:pPr>
        <w:spacing w:line="360" w:lineRule="auto"/>
        <w:jc w:val="center"/>
        <w:outlineLvl w:val="0"/>
        <w:rPr>
          <w:rFonts w:ascii="宋体" w:hAnsi="宋体" w:eastAsia="宋体" w:cs="Times New Roman"/>
          <w:b/>
          <w:sz w:val="36"/>
          <w:szCs w:val="36"/>
        </w:rPr>
      </w:pPr>
    </w:p>
    <w:p>
      <w:pPr>
        <w:spacing w:line="360" w:lineRule="auto"/>
        <w:jc w:val="center"/>
        <w:outlineLvl w:val="0"/>
        <w:rPr>
          <w:rFonts w:ascii="宋体" w:hAnsi="宋体" w:eastAsia="宋体" w:cs="Times New Roman"/>
          <w:b/>
          <w:sz w:val="36"/>
          <w:szCs w:val="36"/>
        </w:rPr>
      </w:pPr>
      <w:r>
        <w:rPr>
          <w:rFonts w:hint="eastAsia" w:ascii="宋体" w:hAnsi="宋体" w:eastAsia="宋体" w:cs="Times New Roman"/>
          <w:b/>
          <w:sz w:val="36"/>
          <w:szCs w:val="36"/>
        </w:rPr>
        <w:t>第五部分 设备采购合同</w:t>
      </w:r>
    </w:p>
    <w:p>
      <w:pPr>
        <w:pStyle w:val="2"/>
        <w:rPr>
          <w:rFonts w:ascii="宋体" w:hAnsi="宋体" w:cs="宋体"/>
          <w:b w:val="0"/>
          <w:szCs w:val="24"/>
        </w:rPr>
      </w:pPr>
      <w:r>
        <w:rPr>
          <w:rFonts w:hint="eastAsia" w:ascii="宋体" w:hAnsi="宋体" w:cs="宋体"/>
          <w:b w:val="0"/>
          <w:szCs w:val="24"/>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宋体" w:hAnsi="宋体" w:eastAsia="宋体" w:cs="宋体"/>
          <w:sz w:val="24"/>
          <w:szCs w:val="24"/>
        </w:rPr>
        <w:t xml:space="preserve">        </w:t>
      </w: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
      <w:pPr>
        <w:pStyle w:val="2"/>
        <w:rPr>
          <w:rFonts w:ascii="宋体" w:hAnsi="宋体" w:cs="宋体"/>
          <w:b w:val="0"/>
          <w:szCs w:val="24"/>
        </w:rPr>
      </w:pPr>
    </w:p>
    <w:p>
      <w:pPr>
        <w:pStyle w:val="2"/>
        <w:rPr>
          <w:rFonts w:ascii="宋体" w:hAnsi="宋体" w:cs="宋体"/>
          <w:b w:val="0"/>
          <w:szCs w:val="24"/>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
      <w:pPr>
        <w:spacing w:line="360" w:lineRule="auto"/>
        <w:ind w:right="-189" w:rightChars="-90"/>
        <w:jc w:val="left"/>
        <w:rPr>
          <w:rFonts w:ascii="仿宋_GB2312" w:hAnsi="宋体" w:eastAsia="仿宋_GB2312" w:cs="宋体"/>
          <w:b/>
          <w:bCs/>
          <w:sz w:val="24"/>
          <w:szCs w:val="24"/>
          <w:u w:val="single"/>
        </w:rPr>
      </w:pPr>
    </w:p>
    <w:p>
      <w:pPr>
        <w:pStyle w:val="2"/>
        <w:rPr>
          <w:rFonts w:ascii="仿宋_GB2312" w:hAnsi="宋体" w:eastAsia="仿宋_GB2312" w:cs="宋体"/>
          <w:szCs w:val="24"/>
          <w:u w:val="single"/>
        </w:rPr>
      </w:pPr>
    </w:p>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本设备采购合同由甲乙双方于山东省济南市（可根据实际情况调整）签订：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65" w:name="_Toc11930"/>
      <w:bookmarkStart w:id="66" w:name="_Toc17619"/>
      <w:bookmarkStart w:id="67" w:name="_Toc9465"/>
      <w:bookmarkStart w:id="68" w:name="_Toc16330018"/>
      <w:bookmarkStart w:id="69" w:name="_Toc11823"/>
      <w:r>
        <w:rPr>
          <w:rFonts w:hint="eastAsia" w:ascii="黑体" w:hAnsi="黑体" w:eastAsia="黑体" w:cstheme="minorEastAsia"/>
          <w:b w:val="0"/>
          <w:sz w:val="28"/>
          <w:szCs w:val="28"/>
        </w:rPr>
        <w:t>1 合同设备</w:t>
      </w:r>
      <w:bookmarkEnd w:id="65"/>
      <w:bookmarkEnd w:id="66"/>
      <w:bookmarkEnd w:id="67"/>
      <w:bookmarkEnd w:id="68"/>
      <w:bookmarkEnd w:id="6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70" w:name="_Toc29026"/>
      <w:bookmarkStart w:id="71" w:name="_Toc32510"/>
      <w:bookmarkStart w:id="72" w:name="_Toc22800"/>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73" w:name="_Toc7716"/>
      <w:bookmarkStart w:id="74" w:name="_Toc16330019"/>
      <w:r>
        <w:rPr>
          <w:rFonts w:hint="eastAsia" w:ascii="黑体" w:hAnsi="黑体" w:eastAsia="黑体" w:cstheme="minorEastAsia"/>
          <w:b w:val="0"/>
          <w:sz w:val="28"/>
          <w:szCs w:val="28"/>
        </w:rPr>
        <w:t>2 包装</w:t>
      </w:r>
      <w:bookmarkEnd w:id="70"/>
      <w:bookmarkEnd w:id="71"/>
      <w:bookmarkEnd w:id="72"/>
      <w:bookmarkEnd w:id="73"/>
      <w:bookmarkEnd w:id="7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75" w:name="_Toc16330020"/>
      <w:bookmarkStart w:id="76" w:name="_Toc27144"/>
      <w:bookmarkStart w:id="77" w:name="_Toc30507"/>
      <w:bookmarkStart w:id="78" w:name="_Toc27453"/>
      <w:bookmarkStart w:id="79" w:name="_Toc2833"/>
      <w:r>
        <w:rPr>
          <w:rFonts w:hint="eastAsia" w:ascii="黑体" w:hAnsi="黑体" w:eastAsia="黑体" w:cstheme="minorEastAsia"/>
          <w:b w:val="0"/>
          <w:sz w:val="28"/>
          <w:szCs w:val="28"/>
        </w:rPr>
        <w:t>3 运输标记</w:t>
      </w:r>
      <w:bookmarkEnd w:id="75"/>
      <w:bookmarkEnd w:id="76"/>
      <w:bookmarkEnd w:id="77"/>
      <w:bookmarkEnd w:id="78"/>
      <w:bookmarkEnd w:id="7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80" w:name="_Toc16330021"/>
      <w:bookmarkStart w:id="81" w:name="_Toc7431"/>
      <w:bookmarkStart w:id="82" w:name="_Toc8624"/>
      <w:bookmarkStart w:id="83" w:name="_Toc10630"/>
      <w:bookmarkStart w:id="84" w:name="_Toc16133"/>
      <w:r>
        <w:rPr>
          <w:rFonts w:hint="eastAsia" w:ascii="黑体" w:hAnsi="黑体" w:eastAsia="黑体" w:cstheme="minorEastAsia"/>
          <w:b w:val="0"/>
          <w:sz w:val="28"/>
          <w:szCs w:val="28"/>
        </w:rPr>
        <w:t>4 检验</w:t>
      </w:r>
      <w:bookmarkEnd w:id="80"/>
      <w:bookmarkEnd w:id="81"/>
      <w:bookmarkEnd w:id="82"/>
      <w:bookmarkEnd w:id="83"/>
      <w:bookmarkEnd w:id="8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85" w:name="_Toc19850"/>
      <w:bookmarkStart w:id="86" w:name="_Toc11217"/>
      <w:bookmarkStart w:id="87" w:name="_Toc16330022"/>
      <w:bookmarkStart w:id="88" w:name="_Toc14275"/>
      <w:bookmarkStart w:id="89" w:name="_Toc24467"/>
      <w:r>
        <w:rPr>
          <w:rFonts w:hint="eastAsia" w:ascii="黑体" w:hAnsi="黑体" w:eastAsia="黑体" w:cstheme="minorEastAsia"/>
          <w:b w:val="0"/>
          <w:sz w:val="28"/>
          <w:szCs w:val="28"/>
        </w:rPr>
        <w:t>5 权利担保</w:t>
      </w:r>
      <w:bookmarkEnd w:id="85"/>
      <w:bookmarkEnd w:id="86"/>
      <w:bookmarkEnd w:id="87"/>
      <w:bookmarkEnd w:id="88"/>
      <w:bookmarkEnd w:id="8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90" w:name="_Toc16330023"/>
      <w:bookmarkStart w:id="91" w:name="_Toc11759"/>
      <w:bookmarkStart w:id="92" w:name="_Toc20827"/>
      <w:bookmarkStart w:id="93" w:name="_Toc14809"/>
      <w:bookmarkStart w:id="94" w:name="_Toc27500"/>
      <w:r>
        <w:rPr>
          <w:rFonts w:hint="eastAsia" w:ascii="黑体" w:hAnsi="黑体" w:eastAsia="黑体" w:cstheme="minorEastAsia"/>
          <w:b w:val="0"/>
          <w:sz w:val="28"/>
          <w:szCs w:val="28"/>
        </w:rPr>
        <w:t>6 交货</w:t>
      </w:r>
      <w:bookmarkEnd w:id="90"/>
      <w:bookmarkEnd w:id="91"/>
      <w:bookmarkEnd w:id="92"/>
      <w:bookmarkEnd w:id="93"/>
      <w:bookmarkEnd w:id="9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6.8如果卖方在规定的日期前交付设备，需经买方书面同意。</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95" w:name="_Toc23308"/>
      <w:bookmarkStart w:id="96" w:name="_Toc8024"/>
      <w:bookmarkStart w:id="97" w:name="_Toc25510"/>
      <w:bookmarkStart w:id="98" w:name="_Toc2984"/>
      <w:bookmarkStart w:id="99" w:name="_Toc16330024"/>
      <w:r>
        <w:rPr>
          <w:rFonts w:hint="eastAsia" w:ascii="黑体" w:hAnsi="黑体" w:eastAsia="黑体" w:cstheme="minorEastAsia"/>
          <w:b w:val="0"/>
          <w:sz w:val="28"/>
          <w:szCs w:val="28"/>
        </w:rPr>
        <w:t>7 安装、调试</w:t>
      </w:r>
      <w:bookmarkEnd w:id="95"/>
      <w:bookmarkEnd w:id="96"/>
      <w:bookmarkEnd w:id="97"/>
      <w:bookmarkEnd w:id="98"/>
      <w:bookmarkEnd w:id="99"/>
    </w:p>
    <w:p>
      <w:pPr>
        <w:pStyle w:val="5"/>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00" w:name="_Toc14098"/>
      <w:bookmarkStart w:id="101" w:name="_Toc16330025"/>
      <w:bookmarkStart w:id="102" w:name="_Toc6350"/>
      <w:bookmarkStart w:id="103" w:name="_Toc14260"/>
      <w:bookmarkStart w:id="104" w:name="_Toc15547"/>
      <w:r>
        <w:rPr>
          <w:rFonts w:hint="eastAsia" w:ascii="黑体" w:hAnsi="黑体" w:eastAsia="黑体" w:cstheme="minorEastAsia"/>
          <w:b w:val="0"/>
          <w:sz w:val="28"/>
          <w:szCs w:val="28"/>
        </w:rPr>
        <w:t>8 价款与支付</w:t>
      </w:r>
      <w:bookmarkEnd w:id="100"/>
      <w:bookmarkEnd w:id="101"/>
      <w:bookmarkEnd w:id="102"/>
      <w:bookmarkEnd w:id="103"/>
      <w:bookmarkEnd w:id="104"/>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），若国家出台新政策对增值税率进行了调整，本合同含税总价保持不变。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8.3.1合同生效后, 卖方提交金额为合同含税价款30%的收据（正本一份，复印件二份）及增值税专用发票（税率为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8.3.2设备全部到齐无质量问题后, 卖方提交金额为合同含税价款30%的收据（正本一份，复印件二份）及合同价30%增值税专用发票（税率为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8.3.3设备全部到齐无质量问题，经安装、调试最终验收合格后，卖方提交金额为合同含税价款30%的收据及合同价40%增值税专用发票（税率为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%，正本一份，复印件二份）并附带该套合同设备最终验收报告的原件及其复印件两份，经买方依照财务制度审核通过后30日支付：</w:t>
      </w:r>
    </w:p>
    <w:p>
      <w:pPr>
        <w:spacing w:line="360" w:lineRule="auto"/>
        <w:ind w:firstLine="453" w:firstLineChars="189"/>
        <w:rPr>
          <w:rFonts w:asciiTheme="minorEastAsia" w:hAnsiTheme="minorEastAsia" w:cstheme="minorEastAsia"/>
          <w:sz w:val="20"/>
          <w:szCs w:val="20"/>
        </w:rPr>
      </w:pPr>
      <w:bookmarkStart w:id="105" w:name="_Toc14531628"/>
      <w:bookmarkStart w:id="106" w:name="_Toc14676804"/>
      <w:r>
        <w:rPr>
          <w:rFonts w:hint="eastAsia" w:ascii="仿宋_GB2312" w:hAnsi="黑体" w:eastAsia="仿宋_GB2312" w:cstheme="minorEastAsia"/>
          <w:sz w:val="24"/>
          <w:szCs w:val="24"/>
        </w:rPr>
        <w:t>8.3.4合同含税总价款的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通过后30日支付。如有质量问题，质量保证金予以相应扣除。</w:t>
      </w:r>
      <w:bookmarkEnd w:id="105"/>
      <w:bookmarkEnd w:id="106"/>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07" w:name="_Toc25708"/>
      <w:bookmarkStart w:id="108" w:name="_Toc21726"/>
      <w:bookmarkStart w:id="109" w:name="_Toc16330026"/>
      <w:bookmarkStart w:id="110" w:name="_Toc24085"/>
      <w:bookmarkStart w:id="111" w:name="_Toc6726"/>
      <w:r>
        <w:rPr>
          <w:rFonts w:hint="eastAsia" w:ascii="黑体" w:hAnsi="黑体" w:eastAsia="黑体" w:cstheme="minorEastAsia"/>
          <w:b w:val="0"/>
          <w:sz w:val="28"/>
          <w:szCs w:val="28"/>
        </w:rPr>
        <w:t>9 质量保证及售后服务</w:t>
      </w:r>
      <w:bookmarkEnd w:id="107"/>
      <w:bookmarkEnd w:id="108"/>
      <w:bookmarkEnd w:id="109"/>
      <w:bookmarkEnd w:id="110"/>
      <w:bookmarkEnd w:id="111"/>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12" w:name="_Toc26769"/>
      <w:bookmarkStart w:id="113" w:name="_Toc15570"/>
      <w:bookmarkStart w:id="114" w:name="_Toc16330027"/>
      <w:bookmarkStart w:id="115" w:name="_Toc10359"/>
      <w:bookmarkStart w:id="116" w:name="_Toc12927"/>
      <w:r>
        <w:rPr>
          <w:rFonts w:hint="eastAsia" w:ascii="黑体" w:hAnsi="黑体" w:eastAsia="黑体" w:cstheme="minorEastAsia"/>
          <w:b w:val="0"/>
          <w:sz w:val="28"/>
          <w:szCs w:val="28"/>
        </w:rPr>
        <w:t>10法定责任</w:t>
      </w:r>
      <w:bookmarkEnd w:id="112"/>
      <w:bookmarkEnd w:id="113"/>
      <w:bookmarkEnd w:id="114"/>
      <w:bookmarkEnd w:id="115"/>
      <w:bookmarkEnd w:id="116"/>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spacing w:line="360" w:lineRule="auto"/>
        <w:ind w:firstLine="453" w:firstLineChars="189"/>
        <w:rPr>
          <w:rFonts w:hint="eastAsia"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 xml:space="preserve">10.5 </w:t>
      </w:r>
      <w:r>
        <w:rPr>
          <w:rFonts w:hint="eastAsia" w:ascii="仿宋_GB2312" w:hAnsi="黑体" w:eastAsia="仿宋_GB2312" w:cstheme="minorEastAsia"/>
          <w:sz w:val="24"/>
          <w:szCs w:val="24"/>
        </w:rPr>
        <w:t>招标人有权指定招标人的关联单位作为合同签订人，与中标人签署相关合同，且具体权利义务以中标人与招标人的关联公司最终签署的合同为准</w:t>
      </w:r>
      <w:r>
        <w:rPr>
          <w:rFonts w:hint="eastAsia" w:ascii="仿宋_GB2312" w:hAnsi="黑体" w:eastAsia="仿宋_GB2312" w:cstheme="minorEastAsia"/>
          <w:sz w:val="24"/>
          <w:szCs w:val="24"/>
          <w:lang w:val="en-US" w:eastAsia="zh-CN"/>
        </w:rPr>
        <w:t>.</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17" w:name="_Toc7698"/>
      <w:bookmarkStart w:id="118" w:name="_Toc9708"/>
      <w:bookmarkStart w:id="119" w:name="_Toc16330028"/>
      <w:bookmarkStart w:id="120" w:name="_Toc27314"/>
      <w:bookmarkStart w:id="121" w:name="_Toc30381"/>
      <w:r>
        <w:rPr>
          <w:rFonts w:hint="eastAsia" w:ascii="黑体" w:hAnsi="黑体" w:eastAsia="黑体" w:cstheme="minorEastAsia"/>
          <w:b w:val="0"/>
          <w:sz w:val="28"/>
          <w:szCs w:val="28"/>
        </w:rPr>
        <w:t>11 违约责任</w:t>
      </w:r>
      <w:bookmarkEnd w:id="117"/>
      <w:bookmarkEnd w:id="118"/>
      <w:bookmarkEnd w:id="119"/>
      <w:bookmarkEnd w:id="120"/>
      <w:bookmarkEnd w:id="121"/>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11.3如果卖方未能按期到货，卖方应向买方支付违约金，违约金比率为每迟交壹日，按合同总价的10‰计算，但是违约金的金额不得超过合同总价款的 20 %，如果卖方在达到违约金的最高限额后仍不能交货，买方有权就卖方违约而解除本合同，且卖方仍须支付上述违约金，并赔偿由此给买方造成的一切损失。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11.4如卖方未按7.1条履行义务，从逾期之日起卖方每天按合同总价款的 10 ‰支付给买方作违约金，但是违约金的金额不得超过合同总价的 20 %。如果卖方在达到违约金的最高限额或者不能使设备通过最终验收，买方有权就卖方违约而解除本合同，且卖方仍须支付上述违约金，并返还买方支付的设备款，并赔偿由此给买方造成的一切损失。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bookmarkStart w:id="122" w:name="_Toc31554"/>
      <w:bookmarkStart w:id="123" w:name="_Toc9172"/>
      <w:bookmarkStart w:id="124" w:name="_Toc16330029"/>
      <w:bookmarkStart w:id="125" w:name="_Toc1827"/>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bookmarkEnd w:id="122"/>
    <w:bookmarkEnd w:id="123"/>
    <w:bookmarkEnd w:id="124"/>
    <w:bookmarkEnd w:id="125"/>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26" w:name="_Toc23793"/>
      <w:r>
        <w:rPr>
          <w:rFonts w:hint="eastAsia" w:ascii="黑体" w:hAnsi="黑体" w:eastAsia="黑体" w:cstheme="minorEastAsia"/>
          <w:b w:val="0"/>
          <w:sz w:val="28"/>
          <w:szCs w:val="28"/>
        </w:rPr>
        <w:t>12 合同的终止与解除</w:t>
      </w:r>
      <w:bookmarkEnd w:id="126"/>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12.3有下列情形之一的，买方可以解除本合同：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12.3.1卖方明确表示或者以自己的行为表明不履行主要义务的；</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12.3.2按照本合同第11.3条或第11.4条的规定，达到违约金的最高限额；</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12.3.3卖方所提交的设备不符合本合同的规定；</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27" w:name="_Toc13671"/>
      <w:bookmarkStart w:id="128" w:name="_Toc16330030"/>
      <w:bookmarkStart w:id="129" w:name="_Toc11937"/>
      <w:bookmarkStart w:id="130" w:name="_Toc31945"/>
      <w:bookmarkStart w:id="131" w:name="_Toc8620"/>
      <w:r>
        <w:rPr>
          <w:rFonts w:hint="eastAsia" w:ascii="黑体" w:hAnsi="黑体" w:eastAsia="黑体" w:cstheme="minorEastAsia"/>
          <w:b w:val="0"/>
          <w:sz w:val="28"/>
          <w:szCs w:val="28"/>
        </w:rPr>
        <w:t>13 不可抗力</w:t>
      </w:r>
      <w:bookmarkEnd w:id="127"/>
      <w:bookmarkEnd w:id="128"/>
      <w:bookmarkEnd w:id="129"/>
      <w:bookmarkEnd w:id="130"/>
      <w:bookmarkEnd w:id="13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32" w:name="_Toc16330031"/>
      <w:bookmarkStart w:id="133" w:name="_Toc637"/>
      <w:bookmarkStart w:id="134" w:name="_Toc31243"/>
      <w:bookmarkStart w:id="135" w:name="_Toc18772"/>
      <w:bookmarkStart w:id="136" w:name="_Toc30389"/>
      <w:r>
        <w:rPr>
          <w:rFonts w:hint="eastAsia" w:ascii="黑体" w:hAnsi="黑体" w:eastAsia="黑体" w:cstheme="minorEastAsia"/>
          <w:b w:val="0"/>
          <w:sz w:val="28"/>
          <w:szCs w:val="28"/>
        </w:rPr>
        <w:t>14 通讯</w:t>
      </w:r>
      <w:bookmarkEnd w:id="132"/>
      <w:bookmarkEnd w:id="133"/>
      <w:bookmarkEnd w:id="134"/>
      <w:bookmarkEnd w:id="135"/>
      <w:bookmarkEnd w:id="13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2"/>
        <w:tabs>
          <w:tab w:val="right" w:leader="dot" w:pos="9061"/>
        </w:tabs>
        <w:spacing w:before="312" w:beforeLines="100"/>
        <w:rPr>
          <w:rFonts w:ascii="黑体" w:hAnsi="黑体" w:eastAsia="黑体" w:cstheme="minorEastAsia"/>
          <w:b w:val="0"/>
          <w:sz w:val="28"/>
          <w:szCs w:val="28"/>
        </w:rPr>
      </w:pPr>
      <w:bookmarkStart w:id="137" w:name="_Toc12984"/>
      <w:bookmarkStart w:id="138" w:name="_Toc23011"/>
      <w:bookmarkStart w:id="139" w:name="_Toc16330032"/>
      <w:bookmarkStart w:id="140" w:name="_Toc11290"/>
      <w:bookmarkStart w:id="141" w:name="_Toc9915"/>
      <w:r>
        <w:rPr>
          <w:rFonts w:hint="eastAsia" w:ascii="黑体" w:hAnsi="黑体" w:eastAsia="黑体" w:cstheme="minorEastAsia"/>
          <w:b w:val="0"/>
          <w:sz w:val="28"/>
          <w:szCs w:val="28"/>
        </w:rPr>
        <w:t>15 适用法律及争议解决</w:t>
      </w:r>
      <w:bookmarkEnd w:id="137"/>
      <w:bookmarkEnd w:id="138"/>
      <w:bookmarkEnd w:id="139"/>
      <w:bookmarkEnd w:id="140"/>
      <w:bookmarkEnd w:id="14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42" w:name="_Toc23765"/>
      <w:bookmarkStart w:id="143" w:name="_Toc18207"/>
      <w:bookmarkStart w:id="144" w:name="_Toc5747"/>
      <w:bookmarkStart w:id="145" w:name="_Toc23906"/>
      <w:bookmarkStart w:id="146" w:name="_Toc16330033"/>
      <w:r>
        <w:rPr>
          <w:rFonts w:hint="eastAsia" w:ascii="黑体" w:hAnsi="黑体" w:eastAsia="黑体" w:cstheme="minorEastAsia"/>
          <w:b w:val="0"/>
          <w:sz w:val="28"/>
          <w:szCs w:val="28"/>
        </w:rPr>
        <w:t>16 附件</w:t>
      </w:r>
      <w:bookmarkEnd w:id="142"/>
      <w:bookmarkEnd w:id="143"/>
      <w:bookmarkEnd w:id="144"/>
      <w:bookmarkEnd w:id="145"/>
      <w:bookmarkEnd w:id="14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47" w:name="_Toc17656"/>
      <w:bookmarkStart w:id="148" w:name="_Toc9594"/>
      <w:bookmarkStart w:id="149" w:name="_Toc16330034"/>
      <w:bookmarkStart w:id="150" w:name="_Toc27202"/>
      <w:bookmarkStart w:id="151" w:name="_Toc31331"/>
      <w:r>
        <w:rPr>
          <w:rFonts w:hint="eastAsia" w:ascii="黑体" w:hAnsi="黑体" w:eastAsia="黑体" w:cstheme="minorEastAsia"/>
          <w:b w:val="0"/>
          <w:sz w:val="28"/>
          <w:szCs w:val="28"/>
        </w:rPr>
        <w:t>17 其他规定</w:t>
      </w:r>
      <w:bookmarkEnd w:id="147"/>
      <w:bookmarkEnd w:id="148"/>
      <w:bookmarkEnd w:id="149"/>
      <w:bookmarkEnd w:id="150"/>
      <w:bookmarkEnd w:id="15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52" w:name="_Toc19077"/>
      <w:bookmarkStart w:id="153" w:name="_Toc29136"/>
      <w:bookmarkStart w:id="154" w:name="_Toc16330035"/>
      <w:bookmarkStart w:id="155" w:name="_Toc17952"/>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56" w:name="_Toc15340"/>
      <w:r>
        <w:rPr>
          <w:rFonts w:hint="eastAsia" w:ascii="黑体" w:hAnsi="黑体" w:eastAsia="黑体" w:cstheme="minorEastAsia"/>
          <w:b w:val="0"/>
          <w:sz w:val="28"/>
          <w:szCs w:val="28"/>
        </w:rPr>
        <w:t>18 签署事项</w:t>
      </w:r>
      <w:bookmarkEnd w:id="152"/>
      <w:bookmarkEnd w:id="153"/>
      <w:bookmarkEnd w:id="154"/>
      <w:bookmarkEnd w:id="155"/>
      <w:bookmarkEnd w:id="15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br w:type="page"/>
      </w:r>
    </w:p>
    <w:p>
      <w:pPr>
        <w:pStyle w:val="2"/>
      </w:pPr>
    </w:p>
    <w:p>
      <w:pPr>
        <w:pStyle w:val="2"/>
        <w:tabs>
          <w:tab w:val="right" w:leader="dot" w:pos="9061"/>
        </w:tabs>
        <w:ind w:firstLine="280" w:firstLineChars="100"/>
        <w:rPr>
          <w:rFonts w:ascii="黑体" w:hAnsi="黑体" w:eastAsia="黑体" w:cstheme="minorEastAsia"/>
          <w:b w:val="0"/>
          <w:sz w:val="28"/>
          <w:szCs w:val="28"/>
        </w:rPr>
      </w:pPr>
      <w:bookmarkStart w:id="157" w:name="_Toc14581"/>
      <w:r>
        <w:rPr>
          <w:rFonts w:hint="eastAsia" w:ascii="黑体" w:hAnsi="黑体" w:eastAsia="黑体" w:cstheme="minorEastAsia"/>
          <w:b w:val="0"/>
          <w:sz w:val="28"/>
          <w:szCs w:val="28"/>
        </w:rPr>
        <w:t>附件一：设备清单明细表</w:t>
      </w:r>
      <w:bookmarkEnd w:id="157"/>
    </w:p>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12"/>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ascii="黑体" w:hAnsi="黑体" w:eastAsia="黑体" w:cstheme="minorEastAsia"/>
          <w:sz w:val="28"/>
          <w:szCs w:val="28"/>
        </w:rPr>
      </w:pPr>
      <w:bookmarkStart w:id="158" w:name="_Toc24623"/>
      <w:bookmarkStart w:id="159" w:name="_Toc5379"/>
      <w:bookmarkStart w:id="160" w:name="_Toc16330037"/>
      <w:bookmarkStart w:id="161" w:name="_Toc25120"/>
      <w:bookmarkStart w:id="162" w:name="_Toc3778"/>
      <w:bookmarkStart w:id="163" w:name="_Toc8175"/>
    </w:p>
    <w:p>
      <w:pPr>
        <w:rPr>
          <w:rFonts w:ascii="黑体" w:hAnsi="黑体" w:eastAsia="黑体" w:cstheme="minorEastAsia"/>
          <w:sz w:val="28"/>
          <w:szCs w:val="28"/>
        </w:rPr>
      </w:pPr>
    </w:p>
    <w:p>
      <w:pPr>
        <w:rPr>
          <w:rFonts w:ascii="黑体" w:hAnsi="黑体" w:eastAsia="黑体" w:cstheme="minorEastAsia"/>
          <w:sz w:val="28"/>
          <w:szCs w:val="28"/>
        </w:rPr>
      </w:pPr>
    </w:p>
    <w:p>
      <w:pPr>
        <w:pStyle w:val="2"/>
        <w:rPr>
          <w:rFonts w:ascii="黑体" w:hAnsi="黑体" w:eastAsia="黑体" w:cstheme="minorEastAsia"/>
          <w:sz w:val="28"/>
          <w:szCs w:val="28"/>
        </w:rPr>
      </w:pPr>
    </w:p>
    <w:p>
      <w:pPr>
        <w:rPr>
          <w:rFonts w:ascii="黑体" w:hAnsi="黑体" w:eastAsia="黑体" w:cstheme="minorEastAsia"/>
          <w:sz w:val="28"/>
          <w:szCs w:val="28"/>
        </w:rPr>
      </w:pPr>
    </w:p>
    <w:p>
      <w:pPr>
        <w:pStyle w:val="2"/>
        <w:rPr>
          <w:rFonts w:ascii="黑体" w:hAnsi="黑体" w:eastAsia="黑体" w:cstheme="minorEastAsia"/>
          <w:sz w:val="28"/>
          <w:szCs w:val="28"/>
        </w:rPr>
      </w:pPr>
    </w:p>
    <w:p>
      <w:pPr>
        <w:rPr>
          <w:rFonts w:ascii="黑体" w:hAnsi="黑体" w:eastAsia="黑体" w:cstheme="minorEastAsia"/>
          <w:sz w:val="28"/>
          <w:szCs w:val="28"/>
        </w:rPr>
      </w:pPr>
    </w:p>
    <w:p>
      <w:pPr>
        <w:pStyle w:val="2"/>
        <w:rPr>
          <w:rFonts w:ascii="黑体" w:hAnsi="黑体" w:eastAsia="黑体" w:cstheme="minorEastAsia"/>
          <w:sz w:val="28"/>
          <w:szCs w:val="28"/>
        </w:rPr>
      </w:pPr>
    </w:p>
    <w:p>
      <w:pPr>
        <w:rPr>
          <w:rFonts w:ascii="黑体" w:hAnsi="黑体" w:eastAsia="黑体" w:cstheme="minorEastAsia"/>
          <w:sz w:val="28"/>
          <w:szCs w:val="28"/>
        </w:rPr>
      </w:pPr>
    </w:p>
    <w:p>
      <w:pPr>
        <w:pStyle w:val="2"/>
        <w:rPr>
          <w:rFonts w:ascii="黑体" w:hAnsi="黑体" w:eastAsia="黑体" w:cstheme="minorEastAsia"/>
          <w:sz w:val="28"/>
          <w:szCs w:val="28"/>
        </w:rPr>
      </w:pPr>
    </w:p>
    <w:p/>
    <w:p>
      <w:pPr>
        <w:rPr>
          <w:rFonts w:ascii="黑体" w:hAnsi="黑体" w:eastAsia="黑体" w:cstheme="minorEastAsia"/>
          <w:sz w:val="28"/>
          <w:szCs w:val="28"/>
        </w:rPr>
      </w:pPr>
    </w:p>
    <w:p>
      <w:pPr>
        <w:rPr>
          <w:rFonts w:ascii="黑体" w:hAnsi="黑体" w:eastAsia="黑体" w:cstheme="minorEastAsia"/>
          <w:sz w:val="28"/>
          <w:szCs w:val="28"/>
        </w:rPr>
      </w:pPr>
    </w:p>
    <w:p>
      <w:r>
        <w:rPr>
          <w:rFonts w:hint="eastAsia" w:ascii="黑体" w:hAnsi="黑体" w:eastAsia="黑体" w:cstheme="minorEastAsia"/>
          <w:sz w:val="28"/>
          <w:szCs w:val="28"/>
        </w:rPr>
        <w:t xml:space="preserve">附件二 </w:t>
      </w:r>
      <w:bookmarkEnd w:id="158"/>
      <w:bookmarkEnd w:id="159"/>
      <w:bookmarkEnd w:id="160"/>
      <w:bookmarkEnd w:id="161"/>
      <w:bookmarkEnd w:id="162"/>
      <w:r>
        <w:rPr>
          <w:rFonts w:hint="eastAsia" w:ascii="黑体" w:hAnsi="黑体" w:eastAsia="黑体" w:cstheme="minorEastAsia"/>
          <w:sz w:val="28"/>
          <w:szCs w:val="28"/>
        </w:rPr>
        <w:t>技术协议书</w:t>
      </w:r>
      <w:bookmarkEnd w:id="163"/>
    </w:p>
    <w:p>
      <w:pPr>
        <w:widowControl/>
        <w:adjustRightInd w:val="0"/>
        <w:snapToGrid w:val="0"/>
        <w:spacing w:line="360" w:lineRule="auto"/>
        <w:jc w:val="left"/>
        <w:rPr>
          <w:rFonts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sectPr>
          <w:headerReference r:id="rId9" w:type="default"/>
          <w:footerReference r:id="rId10"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64" w:name="_Toc2969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64"/>
    </w:p>
    <w:p>
      <w:pPr>
        <w:rPr>
          <w:rFonts w:ascii="Times New Roman" w:hAnsi="Times New Roman" w:eastAsia="宋体" w:cs="Times New Roman"/>
          <w:b/>
          <w:bCs/>
          <w:color w:val="000000"/>
          <w:sz w:val="24"/>
          <w:szCs w:val="24"/>
        </w:rPr>
      </w:pPr>
    </w:p>
    <w:p>
      <w:pPr>
        <w:rPr>
          <w:rFonts w:ascii="Times New Roman" w:hAnsi="Times New Roman" w:eastAsia="宋体" w:cs="Times New Roman"/>
          <w:b/>
          <w:bCs/>
          <w:color w:val="000000"/>
          <w:sz w:val="24"/>
          <w:szCs w:val="24"/>
        </w:rPr>
      </w:pP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pPr>
      <w:r>
        <w:rPr>
          <w:rFonts w:hint="eastAsia" w:ascii="宋体" w:hAnsi="宋体" w:eastAsia="宋体" w:cs="宋体"/>
          <w:sz w:val="24"/>
          <w:szCs w:val="24"/>
        </w:rPr>
        <w:t>5、所有附件文件应以中文书写，作为投标文件的组成部分。</w:t>
      </w:r>
    </w:p>
    <w:p/>
    <w:p/>
    <w:p>
      <w:pPr>
        <w:rPr>
          <w:rFonts w:ascii="Times New Roman" w:hAnsi="Times New Roman" w:eastAsia="宋体" w:cs="Times New Roman"/>
          <w:b/>
          <w:bCs/>
          <w:color w:val="000000"/>
          <w:sz w:val="24"/>
          <w:szCs w:val="24"/>
        </w:rPr>
      </w:pPr>
    </w:p>
    <w:p>
      <w:pPr>
        <w:rPr>
          <w:rFonts w:ascii="Times New Roman" w:hAnsi="Times New Roman" w:eastAsia="宋体" w:cs="Times New Roman"/>
          <w:b/>
          <w:bCs/>
          <w:color w:val="000000"/>
          <w:sz w:val="24"/>
          <w:szCs w:val="24"/>
        </w:rPr>
      </w:pPr>
    </w:p>
    <w:p>
      <w:pPr>
        <w:rPr>
          <w:rFonts w:ascii="Times New Roman" w:hAnsi="Times New Roman" w:eastAsia="宋体" w:cs="Times New Roman"/>
          <w:b/>
          <w:bCs/>
          <w:color w:val="000000"/>
          <w:sz w:val="24"/>
          <w:szCs w:val="24"/>
        </w:rPr>
        <w:sectPr>
          <w:footerReference r:id="rId12" w:type="first"/>
          <w:footerReference r:id="rId1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65" w:name="_Toc25811"/>
      <w:bookmarkStart w:id="166" w:name="_Toc639004"/>
      <w:bookmarkStart w:id="167" w:name="_Toc353881012"/>
      <w:bookmarkStart w:id="168"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65"/>
      <w:bookmarkEnd w:id="166"/>
      <w:bookmarkEnd w:id="167"/>
      <w:bookmarkEnd w:id="168"/>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hint="eastAsia" w:ascii="宋体" w:hAnsi="宋体" w:eastAsia="宋体" w:cs="Times New Roman"/>
          <w:bCs/>
          <w:snapToGrid w:val="0"/>
          <w:color w:val="000000"/>
          <w:kern w:val="0"/>
          <w:sz w:val="24"/>
          <w:szCs w:val="24"/>
        </w:rPr>
        <w:t>招标公告</w:t>
      </w:r>
      <w:r>
        <w:rPr>
          <w:rFonts w:ascii="宋体" w:hAnsi="宋体" w:eastAsia="宋体" w:cs="Times New Roman"/>
          <w:b/>
          <w:bCs/>
          <w:snapToGrid w:val="0"/>
          <w:color w:val="000000"/>
          <w:kern w:val="0"/>
          <w:sz w:val="24"/>
          <w:szCs w:val="24"/>
          <w:u w:val="single"/>
        </w:rPr>
        <w:t xml:space="preserve">              </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份、副本</w:t>
      </w:r>
      <w:r>
        <w:rPr>
          <w:rFonts w:hint="eastAsia" w:ascii="宋体" w:hAnsi="宋体" w:eastAsia="宋体" w:cs="Times New Roman"/>
          <w:color w:val="000000"/>
          <w:sz w:val="24"/>
          <w:szCs w:val="24"/>
          <w:highlight w:val="yellow"/>
        </w:rPr>
        <w:t>两</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pStyle w:val="8"/>
        <w:rPr>
          <w:rFonts w:ascii="黑体" w:hAnsi="Calibri" w:eastAsia="黑体" w:cs="Times New Roman"/>
          <w:color w:val="000000"/>
          <w:sz w:val="24"/>
          <w:szCs w:val="24"/>
        </w:rPr>
      </w:pPr>
    </w:p>
    <w:p>
      <w:pPr>
        <w:pStyle w:val="8"/>
        <w:rPr>
          <w:rFonts w:ascii="黑体" w:hAnsi="Calibri" w:eastAsia="黑体" w:cs="Times New Roman"/>
          <w:color w:val="000000"/>
          <w:sz w:val="24"/>
          <w:szCs w:val="24"/>
        </w:rPr>
      </w:pPr>
    </w:p>
    <w:p>
      <w:pPr>
        <w:rPr>
          <w:rFonts w:ascii="黑体" w:hAnsi="Calibri" w:eastAsia="黑体" w:cs="Times New Roman"/>
          <w:color w:val="000000"/>
          <w:sz w:val="24"/>
          <w:szCs w:val="24"/>
        </w:rPr>
      </w:pPr>
      <w:r>
        <w:rPr>
          <w:rFonts w:ascii="黑体" w:hAnsi="Calibri" w:eastAsia="黑体" w:cs="Times New Roman"/>
          <w:color w:val="000000"/>
          <w:sz w:val="24"/>
          <w:szCs w:val="24"/>
        </w:rPr>
        <w:br w:type="page"/>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rPr>
        <w:t>3-</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26"/>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25"/>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2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02" w:hRule="atLeast"/>
        </w:trPr>
        <w:tc>
          <w:tcPr>
            <w:tcW w:w="1956" w:type="dxa"/>
          </w:tcPr>
          <w:p>
            <w:pPr>
              <w:pStyle w:val="25"/>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2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25"/>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25"/>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25"/>
              <w:spacing w:before="111"/>
              <w:ind w:left="509"/>
              <w:rPr>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25"/>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5"/>
              <w:spacing w:before="114"/>
              <w:ind w:left="720"/>
            </w:pPr>
            <w:r>
              <w:t xml:space="preserve">品牌区分 </w:t>
            </w:r>
          </w:p>
        </w:tc>
        <w:tc>
          <w:tcPr>
            <w:tcW w:w="7500" w:type="dxa"/>
            <w:gridSpan w:val="6"/>
          </w:tcPr>
          <w:p>
            <w:pPr>
              <w:pStyle w:val="25"/>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5"/>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25"/>
              <w:spacing w:before="15"/>
              <w:ind w:left="279"/>
            </w:pPr>
            <w:r>
              <w:rPr>
                <w:spacing w:val="-2"/>
              </w:rPr>
              <w:t>质量</w:t>
            </w:r>
            <w:r>
              <w:t xml:space="preserve"> </w:t>
            </w:r>
          </w:p>
          <w:p>
            <w:pPr>
              <w:pStyle w:val="25"/>
              <w:spacing w:before="30" w:line="277" w:lineRule="exact"/>
              <w:ind w:left="279"/>
            </w:pPr>
            <w:r>
              <w:rPr>
                <w:rFonts w:hint="eastAsia"/>
              </w:rPr>
              <w:t>体系</w:t>
            </w:r>
          </w:p>
        </w:tc>
        <w:tc>
          <w:tcPr>
            <w:tcW w:w="2820" w:type="dxa"/>
            <w:gridSpan w:val="2"/>
          </w:tcPr>
          <w:p>
            <w:pPr>
              <w:pStyle w:val="25"/>
              <w:spacing w:before="158"/>
              <w:jc w:val="center"/>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25"/>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int="eastAsia" w:hAnsi="宋体" w:eastAsia="宋体" w:cs="宋体"/>
          <w:spacing w:val="-7"/>
          <w:sz w:val="24"/>
          <w:szCs w:val="24"/>
        </w:rPr>
        <w:t>3-</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8"/>
        <w:rPr>
          <w:rFonts w:ascii="Times New Roman" w:hAnsi="Times New Roman" w:eastAsia="宋体" w:cs="Times New Roman"/>
          <w:b/>
          <w:bCs/>
          <w:color w:val="000000"/>
          <w:sz w:val="24"/>
          <w:szCs w:val="24"/>
        </w:rPr>
      </w:pPr>
    </w:p>
    <w:tbl>
      <w:tblPr>
        <w:tblStyle w:val="14"/>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9"/>
        <w:gridCol w:w="2077"/>
        <w:gridCol w:w="1650"/>
        <w:gridCol w:w="1590"/>
        <w:gridCol w:w="14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5"/>
            <w:vAlign w:val="center"/>
          </w:tcPr>
          <w:p>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6767" w:type="dxa"/>
            <w:gridSpan w:val="4"/>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6767" w:type="dxa"/>
            <w:gridSpan w:val="4"/>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2077"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2019年</w:t>
            </w:r>
          </w:p>
        </w:tc>
        <w:tc>
          <w:tcPr>
            <w:tcW w:w="165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2020年</w:t>
            </w:r>
          </w:p>
        </w:tc>
        <w:tc>
          <w:tcPr>
            <w:tcW w:w="159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450" w:type="dxa"/>
            <w:vAlign w:val="center"/>
          </w:tcPr>
          <w:p>
            <w:pPr>
              <w:spacing w:line="440" w:lineRule="exact"/>
              <w:jc w:val="center"/>
              <w:rPr>
                <w:rFonts w:ascii="宋体" w:hAnsi="宋体" w:eastAsia="宋体"/>
                <w:color w:val="000000"/>
                <w:sz w:val="24"/>
                <w:szCs w:val="24"/>
              </w:rPr>
            </w:pPr>
            <w:r>
              <w:rPr>
                <w:rFonts w:hint="eastAsia" w:ascii="宋体" w:hAnsi="宋体" w:eastAsia="宋体"/>
                <w:color w:val="000000"/>
                <w:sz w:val="24"/>
                <w:szCs w:val="24"/>
              </w:rPr>
              <w:t>2022年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2077" w:type="dxa"/>
          </w:tcPr>
          <w:p>
            <w:pPr>
              <w:spacing w:line="440" w:lineRule="exact"/>
              <w:jc w:val="center"/>
              <w:rPr>
                <w:rFonts w:ascii="宋体" w:hAnsi="宋体"/>
                <w:color w:val="000000"/>
                <w:sz w:val="24"/>
                <w:szCs w:val="24"/>
                <w:highlight w:val="yellow"/>
              </w:rPr>
            </w:pPr>
          </w:p>
        </w:tc>
        <w:tc>
          <w:tcPr>
            <w:tcW w:w="1650" w:type="dxa"/>
          </w:tcPr>
          <w:p>
            <w:pPr>
              <w:spacing w:line="440" w:lineRule="exact"/>
              <w:jc w:val="center"/>
              <w:rPr>
                <w:rFonts w:ascii="宋体" w:hAnsi="宋体"/>
                <w:color w:val="000000"/>
                <w:sz w:val="24"/>
                <w:szCs w:val="24"/>
                <w:highlight w:val="yellow"/>
              </w:rPr>
            </w:pPr>
          </w:p>
        </w:tc>
        <w:tc>
          <w:tcPr>
            <w:tcW w:w="1590" w:type="dxa"/>
          </w:tcPr>
          <w:p>
            <w:pPr>
              <w:spacing w:line="440" w:lineRule="exact"/>
              <w:jc w:val="center"/>
              <w:rPr>
                <w:rFonts w:ascii="宋体" w:hAnsi="宋体"/>
                <w:color w:val="000000"/>
                <w:sz w:val="24"/>
                <w:szCs w:val="24"/>
                <w:highlight w:val="yellow"/>
              </w:rPr>
            </w:pPr>
          </w:p>
        </w:tc>
        <w:tc>
          <w:tcPr>
            <w:tcW w:w="1450"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2077" w:type="dxa"/>
          </w:tcPr>
          <w:p>
            <w:pPr>
              <w:spacing w:line="440" w:lineRule="exact"/>
              <w:jc w:val="center"/>
              <w:rPr>
                <w:rFonts w:ascii="宋体" w:hAnsi="宋体"/>
                <w:color w:val="000000"/>
                <w:sz w:val="24"/>
                <w:szCs w:val="24"/>
                <w:highlight w:val="yellow"/>
              </w:rPr>
            </w:pPr>
          </w:p>
        </w:tc>
        <w:tc>
          <w:tcPr>
            <w:tcW w:w="1650" w:type="dxa"/>
          </w:tcPr>
          <w:p>
            <w:pPr>
              <w:spacing w:line="440" w:lineRule="exact"/>
              <w:jc w:val="center"/>
              <w:rPr>
                <w:rFonts w:ascii="宋体" w:hAnsi="宋体"/>
                <w:color w:val="000000"/>
                <w:sz w:val="24"/>
                <w:szCs w:val="24"/>
                <w:highlight w:val="yellow"/>
              </w:rPr>
            </w:pPr>
          </w:p>
        </w:tc>
        <w:tc>
          <w:tcPr>
            <w:tcW w:w="1590" w:type="dxa"/>
          </w:tcPr>
          <w:p>
            <w:pPr>
              <w:spacing w:line="440" w:lineRule="exact"/>
              <w:jc w:val="center"/>
              <w:rPr>
                <w:rFonts w:ascii="宋体" w:hAnsi="宋体"/>
                <w:color w:val="000000"/>
                <w:sz w:val="24"/>
                <w:szCs w:val="24"/>
                <w:highlight w:val="yellow"/>
              </w:rPr>
            </w:pPr>
          </w:p>
        </w:tc>
        <w:tc>
          <w:tcPr>
            <w:tcW w:w="1450"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2077" w:type="dxa"/>
          </w:tcPr>
          <w:p>
            <w:pPr>
              <w:spacing w:line="440" w:lineRule="exact"/>
              <w:jc w:val="center"/>
              <w:rPr>
                <w:rFonts w:ascii="宋体" w:hAnsi="宋体"/>
                <w:color w:val="000000"/>
                <w:sz w:val="24"/>
                <w:szCs w:val="24"/>
                <w:highlight w:val="yellow"/>
              </w:rPr>
            </w:pPr>
          </w:p>
        </w:tc>
        <w:tc>
          <w:tcPr>
            <w:tcW w:w="1650" w:type="dxa"/>
          </w:tcPr>
          <w:p>
            <w:pPr>
              <w:spacing w:line="440" w:lineRule="exact"/>
              <w:jc w:val="center"/>
              <w:rPr>
                <w:rFonts w:ascii="宋体" w:hAnsi="宋体"/>
                <w:color w:val="000000"/>
                <w:sz w:val="24"/>
                <w:szCs w:val="24"/>
                <w:highlight w:val="yellow"/>
              </w:rPr>
            </w:pPr>
          </w:p>
        </w:tc>
        <w:tc>
          <w:tcPr>
            <w:tcW w:w="1590" w:type="dxa"/>
          </w:tcPr>
          <w:p>
            <w:pPr>
              <w:spacing w:line="440" w:lineRule="exact"/>
              <w:jc w:val="center"/>
              <w:rPr>
                <w:rFonts w:ascii="宋体" w:hAnsi="宋体"/>
                <w:color w:val="000000"/>
                <w:sz w:val="24"/>
                <w:szCs w:val="24"/>
                <w:highlight w:val="yellow"/>
              </w:rPr>
            </w:pPr>
          </w:p>
        </w:tc>
        <w:tc>
          <w:tcPr>
            <w:tcW w:w="1450"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4" w:type="first"/>
          <w:footerReference r:id="rId1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6" w:type="first"/>
          <w:footerReference r:id="rId15"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ascii="宋体" w:hAnsi="宋体" w:eastAsia="宋体" w:cs="Times New Roman"/>
          <w:color w:val="000000"/>
          <w:sz w:val="24"/>
          <w:szCs w:val="24"/>
        </w:rPr>
        <w:t xml:space="preserve">                                                          </w:t>
      </w:r>
    </w:p>
    <w:tbl>
      <w:tblPr>
        <w:tblStyle w:val="14"/>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近三年同类项目业绩一览表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ascii="宋体" w:hAnsi="宋体" w:eastAsia="宋体" w:cs="Times New Roman"/>
          <w:color w:val="000000"/>
          <w:sz w:val="24"/>
          <w:szCs w:val="24"/>
        </w:rPr>
        <w:t xml:space="preserve">                                                             </w:t>
      </w:r>
    </w:p>
    <w:tbl>
      <w:tblPr>
        <w:tblStyle w:val="14"/>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提供近三年同类产品的制造销售业绩（用户名单、联系方式）</w:t>
      </w:r>
      <w:r>
        <w:rPr>
          <w:rFonts w:hint="eastAsia" w:ascii="宋体" w:hAnsi="宋体" w:eastAsia="宋体" w:cs="Times New Roman"/>
          <w:sz w:val="24"/>
          <w:szCs w:val="20"/>
        </w:rPr>
        <w:t>，并附合同复印件。</w:t>
      </w:r>
    </w:p>
    <w:p>
      <w:pPr>
        <w:tabs>
          <w:tab w:val="left" w:pos="1578"/>
          <w:tab w:val="left" w:pos="10083"/>
        </w:tabs>
        <w:spacing w:line="500" w:lineRule="exact"/>
        <w:rPr>
          <w:rFonts w:ascii="宋体" w:hAnsi="Calibri"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ascii="宋体" w:hAnsi="宋体" w:eastAsia="宋体" w:cs="Times New Roman"/>
          <w:b/>
          <w:bCs/>
          <w:color w:val="000000"/>
          <w:sz w:val="24"/>
          <w:szCs w:val="24"/>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投标单位名称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ascii="宋体" w:hAnsi="宋体" w:eastAsia="宋体" w:cs="Times New Roman"/>
          <w:color w:val="000000"/>
          <w:sz w:val="24"/>
          <w:szCs w:val="24"/>
        </w:rPr>
        <w:t xml:space="preserve">                                                        </w:t>
      </w:r>
    </w:p>
    <w:tbl>
      <w:tblPr>
        <w:tblStyle w:val="14"/>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461"/>
        <w:gridCol w:w="780"/>
        <w:gridCol w:w="1580"/>
        <w:gridCol w:w="990"/>
        <w:gridCol w:w="1375"/>
        <w:gridCol w:w="1065"/>
        <w:gridCol w:w="1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461"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78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158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99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37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06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1132"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461" w:type="dxa"/>
            <w:vAlign w:val="center"/>
          </w:tcPr>
          <w:p>
            <w:pPr>
              <w:jc w:val="center"/>
              <w:rPr>
                <w:rFonts w:ascii="Times New Roman" w:hAnsi="Times New Roman" w:eastAsia="宋体" w:cs="Times New Roman"/>
                <w:b/>
                <w:szCs w:val="21"/>
              </w:rPr>
            </w:pPr>
            <w:r>
              <w:rPr>
                <w:rFonts w:hint="eastAsia" w:ascii="宋体" w:hAnsi="宋体" w:eastAsia="宋体" w:cs="Times New Roman"/>
                <w:b/>
                <w:bCs/>
                <w:color w:val="000000"/>
                <w:sz w:val="22"/>
                <w:u w:val="single"/>
              </w:rPr>
              <w:t>动力总成质量质心、转动惯量一体化测量试验台</w:t>
            </w:r>
          </w:p>
        </w:tc>
        <w:tc>
          <w:tcPr>
            <w:tcW w:w="78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1台</w:t>
            </w:r>
          </w:p>
        </w:tc>
        <w:tc>
          <w:tcPr>
            <w:tcW w:w="1580" w:type="dxa"/>
            <w:vAlign w:val="center"/>
          </w:tcPr>
          <w:p>
            <w:pPr>
              <w:jc w:val="center"/>
              <w:rPr>
                <w:rFonts w:ascii="等线" w:hAnsi="等线" w:eastAsia="等线" w:cs="Times New Roman"/>
                <w:b/>
                <w:szCs w:val="20"/>
              </w:rPr>
            </w:pPr>
            <w:r>
              <w:rPr>
                <w:rFonts w:hint="eastAsia" w:ascii="等线" w:hAnsi="等线" w:eastAsia="等线" w:cs="Times New Roman"/>
                <w:b/>
                <w:szCs w:val="20"/>
              </w:rPr>
              <w:t>不含税价：</w:t>
            </w:r>
          </w:p>
          <w:p>
            <w:pPr>
              <w:jc w:val="center"/>
              <w:rPr>
                <w:rFonts w:ascii="等线" w:hAnsi="等线" w:eastAsia="等线" w:cs="Times New Roman"/>
                <w:b/>
                <w:szCs w:val="20"/>
              </w:rPr>
            </w:pPr>
            <w:r>
              <w:rPr>
                <w:rFonts w:hint="eastAsia" w:ascii="等线" w:hAnsi="等线" w:eastAsia="等线" w:cs="Times New Roman"/>
                <w:b/>
                <w:szCs w:val="20"/>
              </w:rPr>
              <w:t>含税价格：</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990" w:type="dxa"/>
            <w:vAlign w:val="center"/>
          </w:tcPr>
          <w:p>
            <w:pPr>
              <w:jc w:val="center"/>
              <w:rPr>
                <w:rFonts w:ascii="Times New Roman" w:hAnsi="Times New Roman" w:eastAsia="宋体" w:cs="Times New Roman"/>
                <w:b/>
                <w:szCs w:val="20"/>
              </w:rPr>
            </w:pPr>
          </w:p>
        </w:tc>
        <w:tc>
          <w:tcPr>
            <w:tcW w:w="1375" w:type="dxa"/>
            <w:vAlign w:val="center"/>
          </w:tcPr>
          <w:p>
            <w:pPr>
              <w:jc w:val="center"/>
              <w:rPr>
                <w:rFonts w:ascii="Times New Roman" w:hAnsi="Times New Roman" w:eastAsia="宋体" w:cs="Times New Roman"/>
                <w:b/>
                <w:szCs w:val="20"/>
              </w:rPr>
            </w:pPr>
          </w:p>
        </w:tc>
        <w:tc>
          <w:tcPr>
            <w:tcW w:w="1065" w:type="dxa"/>
            <w:vAlign w:val="center"/>
          </w:tcPr>
          <w:p>
            <w:pPr>
              <w:jc w:val="center"/>
              <w:rPr>
                <w:rFonts w:ascii="Times New Roman" w:hAnsi="Times New Roman" w:eastAsia="宋体" w:cs="Times New Roman"/>
                <w:b/>
                <w:szCs w:val="20"/>
              </w:rPr>
            </w:pPr>
          </w:p>
        </w:tc>
        <w:tc>
          <w:tcPr>
            <w:tcW w:w="1132"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8"/>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8"/>
        <w:sectPr>
          <w:pgSz w:w="11906" w:h="16838"/>
          <w:pgMar w:top="1588" w:right="1418" w:bottom="1134" w:left="1418" w:header="851" w:footer="992" w:gutter="0"/>
          <w:cols w:space="720" w:num="1"/>
          <w:titlePg/>
          <w:docGrid w:type="lines" w:linePitch="312" w:charSpace="0"/>
        </w:sectPr>
      </w:pPr>
    </w:p>
    <w:p>
      <w:pPr>
        <w:rPr>
          <w:rFonts w:ascii="宋体" w:hAnsi="宋体" w:cs="宋体"/>
          <w:color w:val="000000"/>
          <w:sz w:val="24"/>
          <w:szCs w:val="24"/>
        </w:rPr>
      </w:pPr>
    </w:p>
    <w:p>
      <w:pPr>
        <w:pStyle w:val="4"/>
        <w:spacing w:before="140" w:after="140"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r>
        <w:rPr>
          <w:rFonts w:ascii="宋体" w:hAnsi="宋体" w:cs="宋体"/>
          <w:spacing w:val="-9"/>
          <w:sz w:val="24"/>
          <w:szCs w:val="24"/>
          <w14:textOutline w14:w="4356" w14:cap="flat" w14:cmpd="sng" w14:algn="ctr">
            <w14:solidFill>
              <w14:srgbClr w14:val="000000"/>
            </w14:solidFill>
            <w14:prstDash w14:val="solid"/>
            <w14:miter w14:val="0"/>
          </w14:textOutline>
        </w:rPr>
        <w:t>表</w:t>
      </w:r>
      <w:r>
        <w:rPr>
          <w:rFonts w:ascii="宋体" w:hAnsi="宋体" w:cs="宋体"/>
          <w:spacing w:val="-7"/>
          <w:sz w:val="24"/>
          <w:szCs w:val="24"/>
        </w:rPr>
        <w:t xml:space="preserve"> </w:t>
      </w:r>
      <w:r>
        <w:rPr>
          <w:rFonts w:hint="eastAsia" w:ascii="宋体" w:hAnsi="宋体" w:cs="宋体"/>
          <w:spacing w:val="-7"/>
          <w:sz w:val="24"/>
          <w:szCs w:val="24"/>
          <w14:textOutline w14:w="4356" w14:cap="flat" w14:cmpd="sng" w14:algn="ctr">
            <w14:solidFill>
              <w14:srgbClr w14:val="000000"/>
            </w14:solidFill>
            <w14:prstDash w14:val="solid"/>
            <w14:miter w14:val="0"/>
          </w14:textOutline>
        </w:rPr>
        <w:t>9</w:t>
      </w:r>
      <w:r>
        <w:rPr>
          <w:rFonts w:ascii="宋体" w:hAnsi="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rPr>
          <w:rFonts w:ascii="宋体" w:hAnsi="宋体" w:eastAsia="宋体" w:cs="Times New Roman"/>
          <w:b/>
          <w:bCs/>
          <w:sz w:val="24"/>
          <w:szCs w:val="24"/>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  </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26"/>
        <w:tblW w:w="1397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792"/>
        <w:gridCol w:w="1685"/>
        <w:gridCol w:w="1120"/>
        <w:gridCol w:w="2205"/>
        <w:gridCol w:w="2280"/>
        <w:gridCol w:w="2151"/>
        <w:gridCol w:w="106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792" w:type="dxa"/>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85"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05" w:type="dxa"/>
          </w:tcPr>
          <w:p>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280" w:type="dxa"/>
            <w:tcBorders>
              <w:right w:val="single" w:color="000000" w:sz="4" w:space="0"/>
            </w:tcBorders>
          </w:tcPr>
          <w:p>
            <w:pPr>
              <w:spacing w:before="99" w:line="183" w:lineRule="auto"/>
              <w:ind w:left="12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151" w:type="dxa"/>
            <w:tcBorders>
              <w:left w:val="single" w:color="000000" w:sz="4" w:space="0"/>
            </w:tcBorders>
          </w:tcPr>
          <w:p>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9" w:type="dxa"/>
          </w:tcPr>
          <w:p>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tcPr>
          <w:p>
            <w:pPr>
              <w:spacing w:before="221" w:line="222" w:lineRule="auto"/>
              <w:ind w:left="129"/>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序</w:t>
            </w:r>
            <w:r>
              <w:rPr>
                <w:rFonts w:ascii="宋体" w:hAnsi="宋体" w:eastAsia="宋体" w:cs="宋体"/>
                <w:spacing w:val="-1"/>
                <w:szCs w:val="21"/>
                <w14:textOutline w14:w="3835" w14:cap="flat" w14:cmpd="sng" w14:algn="ctr">
                  <w14:solidFill>
                    <w14:srgbClr w14:val="000000"/>
                  </w14:solidFill>
                  <w14:prstDash w14:val="solid"/>
                  <w14:miter w14:val="0"/>
                </w14:textOutline>
              </w:rPr>
              <w:t>号</w:t>
            </w:r>
          </w:p>
        </w:tc>
        <w:tc>
          <w:tcPr>
            <w:tcW w:w="2792" w:type="dxa"/>
          </w:tcPr>
          <w:p>
            <w:pPr>
              <w:spacing w:before="221" w:line="220" w:lineRule="auto"/>
              <w:ind w:left="707"/>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货物名</w:t>
            </w:r>
            <w:r>
              <w:rPr>
                <w:rFonts w:ascii="宋体" w:hAnsi="宋体" w:eastAsia="宋体" w:cs="宋体"/>
                <w:spacing w:val="-1"/>
                <w:szCs w:val="21"/>
                <w14:textOutline w14:w="3835" w14:cap="flat" w14:cmpd="sng" w14:algn="ctr">
                  <w14:solidFill>
                    <w14:srgbClr w14:val="000000"/>
                  </w14:solidFill>
                  <w14:prstDash w14:val="solid"/>
                  <w14:miter w14:val="0"/>
                </w14:textOutline>
              </w:rPr>
              <w:t>称</w:t>
            </w:r>
          </w:p>
        </w:tc>
        <w:tc>
          <w:tcPr>
            <w:tcW w:w="1685" w:type="dxa"/>
          </w:tcPr>
          <w:p>
            <w:pPr>
              <w:spacing w:before="221" w:line="221" w:lineRule="auto"/>
              <w:ind w:firstLine="206" w:firstLineChars="100"/>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120" w:type="dxa"/>
          </w:tcPr>
          <w:p>
            <w:pPr>
              <w:spacing w:before="221" w:line="221" w:lineRule="auto"/>
              <w:ind w:left="355"/>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数量</w:t>
            </w:r>
          </w:p>
        </w:tc>
        <w:tc>
          <w:tcPr>
            <w:tcW w:w="2205" w:type="dxa"/>
          </w:tcPr>
          <w:p>
            <w:pPr>
              <w:spacing w:before="59" w:line="254" w:lineRule="auto"/>
              <w:ind w:right="308"/>
              <w:jc w:val="center"/>
              <w:rPr>
                <w:rFonts w:ascii="宋体" w:hAnsi="宋体" w:eastAsia="宋体" w:cs="宋体"/>
                <w:szCs w:val="21"/>
              </w:rPr>
            </w:pP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 xml:space="preserve">  </w:t>
            </w:r>
            <w:r>
              <w:rPr>
                <w:rFonts w:ascii="宋体" w:hAnsi="宋体" w:eastAsia="宋体" w:cs="宋体"/>
                <w:spacing w:val="-3"/>
                <w:szCs w:val="21"/>
                <w14:textOutline w14:w="3835" w14:cap="flat" w14:cmpd="sng" w14:algn="ctr">
                  <w14:solidFill>
                    <w14:srgbClr w14:val="000000"/>
                  </w14:solidFill>
                  <w14:prstDash w14:val="solid"/>
                  <w14:miter w14:val="0"/>
                </w14:textOutline>
              </w:rPr>
              <w:t>原</w:t>
            </w:r>
            <w:r>
              <w:rPr>
                <w:rFonts w:ascii="宋体" w:hAnsi="宋体" w:eastAsia="宋体" w:cs="宋体"/>
                <w:spacing w:val="-2"/>
                <w:szCs w:val="21"/>
                <w14:textOutline w14:w="3835" w14:cap="flat" w14:cmpd="sng" w14:algn="ctr">
                  <w14:solidFill>
                    <w14:srgbClr w14:val="000000"/>
                  </w14:solidFill>
                  <w14:prstDash w14:val="solid"/>
                  <w14:miter w14:val="0"/>
                </w14:textOutline>
              </w:rPr>
              <w:t>产地和</w:t>
            </w:r>
            <w:r>
              <w:rPr>
                <w:rFonts w:ascii="宋体" w:hAnsi="宋体" w:eastAsia="宋体" w:cs="宋体"/>
                <w:spacing w:val="-1"/>
                <w:szCs w:val="21"/>
                <w14:textOutline w14:w="3835" w14:cap="flat" w14:cmpd="sng" w14:algn="ctr">
                  <w14:solidFill>
                    <w14:srgbClr w14:val="000000"/>
                  </w14:solidFill>
                  <w14:prstDash w14:val="solid"/>
                  <w14:miter w14:val="0"/>
                </w14:textOutline>
              </w:rPr>
              <w:t>制造商名</w:t>
            </w:r>
            <w:r>
              <w:rPr>
                <w:rFonts w:ascii="宋体" w:hAnsi="宋体" w:eastAsia="宋体" w:cs="宋体"/>
                <w:szCs w:val="21"/>
                <w14:textOutline w14:w="3835" w14:cap="flat" w14:cmpd="sng" w14:algn="ctr">
                  <w14:solidFill>
                    <w14:srgbClr w14:val="000000"/>
                  </w14:solidFill>
                  <w14:prstDash w14:val="solid"/>
                  <w14:miter w14:val="0"/>
                </w14:textOutline>
              </w:rPr>
              <w:t>称</w:t>
            </w:r>
          </w:p>
        </w:tc>
        <w:tc>
          <w:tcPr>
            <w:tcW w:w="2280" w:type="dxa"/>
            <w:tcBorders>
              <w:right w:val="single" w:color="000000" w:sz="4" w:space="0"/>
            </w:tcBorders>
          </w:tcPr>
          <w:p>
            <w:pPr>
              <w:spacing w:before="58" w:line="219" w:lineRule="auto"/>
              <w:jc w:val="center"/>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w:t>
            </w:r>
            <w:r>
              <w:rPr>
                <w:rFonts w:ascii="宋体" w:hAnsi="宋体" w:eastAsia="宋体" w:cs="宋体"/>
                <w:szCs w:val="21"/>
                <w14:textOutline w14:w="3835" w14:cap="flat" w14:cmpd="sng" w14:algn="ctr">
                  <w14:solidFill>
                    <w14:srgbClr w14:val="000000"/>
                  </w14:solidFill>
                  <w14:prstDash w14:val="solid"/>
                  <w14:miter w14:val="0"/>
                </w14:textOutline>
              </w:rPr>
              <w:t>价</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78" w:line="221" w:lineRule="auto"/>
              <w:ind w:firstLine="890" w:firstLineChars="500"/>
              <w:rPr>
                <w:rFonts w:ascii="宋体" w:hAnsi="宋体" w:eastAsia="宋体" w:cs="宋体"/>
                <w:szCs w:val="21"/>
              </w:rPr>
            </w:pPr>
            <w:r>
              <w:rPr>
                <w:rFonts w:ascii="宋体" w:hAnsi="宋体" w:eastAsia="宋体" w:cs="宋体"/>
                <w:spacing w:val="-16"/>
                <w:szCs w:val="21"/>
                <w14:textOutline w14:w="3835" w14:cap="flat" w14:cmpd="sng" w14:algn="ctr">
                  <w14:solidFill>
                    <w14:srgbClr w14:val="000000"/>
                  </w14:solidFill>
                  <w14:prstDash w14:val="solid"/>
                  <w14:miter w14:val="0"/>
                </w14:textOutline>
              </w:rPr>
              <w:t>(</w:t>
            </w:r>
            <w:r>
              <w:rPr>
                <w:rFonts w:ascii="宋体" w:hAnsi="宋体" w:eastAsia="宋体" w:cs="宋体"/>
                <w:spacing w:val="-14"/>
                <w:szCs w:val="21"/>
                <w14:textOutline w14:w="3835" w14:cap="flat" w14:cmpd="sng" w14:algn="ctr">
                  <w14:solidFill>
                    <w14:srgbClr w14:val="000000"/>
                  </w14:solidFill>
                  <w14:prstDash w14:val="solid"/>
                  <w14:miter w14:val="0"/>
                </w14:textOutline>
              </w:rPr>
              <w:t>元)</w:t>
            </w:r>
          </w:p>
        </w:tc>
        <w:tc>
          <w:tcPr>
            <w:tcW w:w="2151" w:type="dxa"/>
            <w:tcBorders>
              <w:left w:val="single" w:color="000000" w:sz="4" w:space="0"/>
            </w:tcBorders>
          </w:tcPr>
          <w:p>
            <w:pPr>
              <w:spacing w:before="58" w:line="219" w:lineRule="auto"/>
              <w:jc w:val="center"/>
              <w:rPr>
                <w:rFonts w:ascii="宋体" w:hAnsi="宋体" w:eastAsia="宋体" w:cs="宋体"/>
                <w:spacing w:val="-3"/>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总价[4</w:t>
            </w:r>
            <w:r>
              <w:rPr>
                <w:rFonts w:ascii="宋体" w:hAnsi="宋体" w:eastAsia="宋体" w:cs="宋体"/>
                <w:szCs w:val="21"/>
                <w14:textOutline w14:w="3835" w14:cap="flat" w14:cmpd="sng" w14:algn="ctr">
                  <w14:solidFill>
                    <w14:srgbClr w14:val="000000"/>
                  </w14:solidFill>
                  <w14:prstDash w14:val="solid"/>
                  <w14:miter w14:val="0"/>
                </w14:textOutline>
              </w:rPr>
              <w:t>×6]</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58" w:line="219" w:lineRule="auto"/>
              <w:jc w:val="center"/>
              <w:rPr>
                <w:rFonts w:ascii="宋体" w:hAnsi="宋体" w:eastAsia="宋体" w:cs="宋体"/>
                <w:szCs w:val="21"/>
              </w:rPr>
            </w:pPr>
            <w:r>
              <w:rPr>
                <w:rFonts w:ascii="宋体" w:hAnsi="宋体" w:eastAsia="宋体" w:cs="宋体"/>
                <w:spacing w:val="27"/>
                <w:szCs w:val="21"/>
                <w14:textOutline w14:w="3835" w14:cap="flat" w14:cmpd="sng" w14:algn="ctr">
                  <w14:solidFill>
                    <w14:srgbClr w14:val="000000"/>
                  </w14:solidFill>
                  <w14:prstDash w14:val="solid"/>
                  <w14:miter w14:val="0"/>
                </w14:textOutline>
              </w:rPr>
              <w:t>(</w:t>
            </w:r>
            <w:r>
              <w:rPr>
                <w:rFonts w:ascii="宋体" w:hAnsi="宋体" w:eastAsia="宋体" w:cs="宋体"/>
                <w:spacing w:val="26"/>
                <w:szCs w:val="21"/>
                <w14:textOutline w14:w="3835" w14:cap="flat" w14:cmpd="sng" w14:algn="ctr">
                  <w14:solidFill>
                    <w14:srgbClr w14:val="000000"/>
                  </w14:solidFill>
                  <w14:prstDash w14:val="solid"/>
                  <w14:miter w14:val="0"/>
                </w14:textOutline>
              </w:rPr>
              <w:t>元)</w:t>
            </w:r>
          </w:p>
        </w:tc>
        <w:tc>
          <w:tcPr>
            <w:tcW w:w="1069" w:type="dxa"/>
          </w:tcPr>
          <w:p>
            <w:pPr>
              <w:spacing w:before="221" w:line="222" w:lineRule="auto"/>
              <w:ind w:firstLine="208" w:firstLineChars="10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09" w:line="186" w:lineRule="auto"/>
              <w:ind w:left="304"/>
              <w:rPr>
                <w:rFonts w:ascii="宋体" w:hAnsi="宋体" w:eastAsia="宋体" w:cs="宋体"/>
                <w:szCs w:val="21"/>
              </w:rPr>
            </w:pPr>
            <w:r>
              <w:rPr>
                <w:rFonts w:ascii="宋体" w:hAnsi="宋体" w:eastAsia="宋体" w:cs="宋体"/>
                <w:szCs w:val="21"/>
              </w:rPr>
              <w:t>1</w:t>
            </w:r>
          </w:p>
        </w:tc>
        <w:tc>
          <w:tcPr>
            <w:tcW w:w="2792" w:type="dxa"/>
            <w:vAlign w:val="center"/>
          </w:tcPr>
          <w:p>
            <w:pPr>
              <w:spacing w:line="360" w:lineRule="exact"/>
              <w:jc w:val="center"/>
              <w:rPr>
                <w:rFonts w:ascii="宋体" w:hAnsi="宋体" w:eastAsia="宋体" w:cs="宋体"/>
                <w:szCs w:val="21"/>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1" w:line="185" w:lineRule="auto"/>
              <w:ind w:left="291"/>
              <w:rPr>
                <w:rFonts w:ascii="宋体" w:hAnsi="宋体" w:eastAsia="宋体" w:cs="宋体"/>
                <w:szCs w:val="21"/>
              </w:rPr>
            </w:pPr>
            <w:r>
              <w:rPr>
                <w:rFonts w:ascii="宋体" w:hAnsi="宋体" w:eastAsia="宋体" w:cs="宋体"/>
                <w:szCs w:val="21"/>
              </w:rPr>
              <w:t>2</w:t>
            </w:r>
          </w:p>
        </w:tc>
        <w:tc>
          <w:tcPr>
            <w:tcW w:w="2792" w:type="dxa"/>
            <w:vAlign w:val="center"/>
          </w:tcPr>
          <w:p>
            <w:pPr>
              <w:spacing w:line="360" w:lineRule="exact"/>
              <w:jc w:val="center"/>
              <w:rPr>
                <w:rFonts w:ascii="宋体" w:hAnsi="宋体" w:eastAsia="宋体" w:cs="宋体"/>
                <w:sz w:val="24"/>
                <w:szCs w:val="24"/>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2" w:line="183" w:lineRule="auto"/>
              <w:ind w:left="293"/>
              <w:rPr>
                <w:rFonts w:ascii="宋体" w:hAnsi="宋体" w:eastAsia="宋体" w:cs="宋体"/>
                <w:szCs w:val="21"/>
              </w:rPr>
            </w:pPr>
            <w:r>
              <w:rPr>
                <w:rFonts w:ascii="宋体" w:hAnsi="宋体" w:eastAsia="宋体" w:cs="宋体"/>
                <w:szCs w:val="21"/>
              </w:rPr>
              <w:t>3</w:t>
            </w:r>
          </w:p>
        </w:tc>
        <w:tc>
          <w:tcPr>
            <w:tcW w:w="2792" w:type="dxa"/>
            <w:vAlign w:val="center"/>
          </w:tcPr>
          <w:p>
            <w:pPr>
              <w:spacing w:line="360" w:lineRule="exact"/>
              <w:jc w:val="center"/>
              <w:rPr>
                <w:rFonts w:ascii="宋体" w:hAnsi="宋体" w:eastAsia="宋体" w:cs="宋体"/>
                <w:sz w:val="24"/>
                <w:szCs w:val="24"/>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2" w:hRule="atLeast"/>
        </w:trPr>
        <w:tc>
          <w:tcPr>
            <w:tcW w:w="672" w:type="dxa"/>
          </w:tcPr>
          <w:p>
            <w:pPr>
              <w:spacing w:before="112" w:line="185" w:lineRule="auto"/>
              <w:ind w:left="288"/>
              <w:rPr>
                <w:rFonts w:ascii="宋体" w:hAnsi="宋体" w:eastAsia="宋体" w:cs="宋体"/>
                <w:szCs w:val="21"/>
              </w:rPr>
            </w:pPr>
            <w:r>
              <w:rPr>
                <w:rFonts w:ascii="宋体" w:hAnsi="宋体" w:eastAsia="宋体" w:cs="宋体"/>
                <w:szCs w:val="21"/>
              </w:rPr>
              <w:t>4</w:t>
            </w:r>
          </w:p>
        </w:tc>
        <w:tc>
          <w:tcPr>
            <w:tcW w:w="2792" w:type="dxa"/>
            <w:vAlign w:val="center"/>
          </w:tcPr>
          <w:p>
            <w:pPr>
              <w:spacing w:line="360" w:lineRule="exact"/>
              <w:jc w:val="center"/>
              <w:rPr>
                <w:rFonts w:ascii="宋体" w:hAnsi="宋体" w:eastAsia="宋体" w:cs="宋体"/>
                <w:sz w:val="24"/>
                <w:szCs w:val="24"/>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4" w:line="182" w:lineRule="auto"/>
              <w:ind w:left="293"/>
              <w:rPr>
                <w:rFonts w:ascii="宋体" w:hAnsi="宋体" w:eastAsia="宋体" w:cs="宋体"/>
                <w:szCs w:val="21"/>
              </w:rPr>
            </w:pPr>
            <w:r>
              <w:rPr>
                <w:rFonts w:ascii="宋体" w:hAnsi="宋体" w:eastAsia="宋体" w:cs="宋体"/>
                <w:szCs w:val="21"/>
              </w:rPr>
              <w:t>5</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4" w:line="183" w:lineRule="auto"/>
              <w:ind w:left="291"/>
              <w:rPr>
                <w:rFonts w:ascii="宋体" w:hAnsi="宋体" w:eastAsia="宋体" w:cs="宋体"/>
                <w:szCs w:val="21"/>
              </w:rPr>
            </w:pPr>
            <w:r>
              <w:rPr>
                <w:rFonts w:ascii="宋体" w:hAnsi="宋体" w:eastAsia="宋体" w:cs="宋体"/>
                <w:szCs w:val="21"/>
              </w:rPr>
              <w:t>6</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672" w:type="dxa"/>
          </w:tcPr>
          <w:p>
            <w:pPr>
              <w:spacing w:before="116" w:line="182" w:lineRule="auto"/>
              <w:ind w:left="294"/>
              <w:rPr>
                <w:rFonts w:ascii="宋体" w:hAnsi="宋体" w:eastAsia="宋体" w:cs="宋体"/>
                <w:szCs w:val="21"/>
              </w:rPr>
            </w:pPr>
            <w:r>
              <w:rPr>
                <w:rFonts w:ascii="宋体" w:hAnsi="宋体" w:eastAsia="宋体" w:cs="宋体"/>
                <w:szCs w:val="21"/>
              </w:rPr>
              <w:t>7</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2" w:hRule="atLeast"/>
        </w:trPr>
        <w:tc>
          <w:tcPr>
            <w:tcW w:w="672" w:type="dxa"/>
          </w:tcPr>
          <w:p>
            <w:pPr>
              <w:spacing w:before="114" w:line="183" w:lineRule="auto"/>
              <w:ind w:left="290"/>
              <w:rPr>
                <w:rFonts w:ascii="宋体" w:hAnsi="宋体" w:eastAsia="宋体" w:cs="宋体"/>
                <w:szCs w:val="21"/>
              </w:rPr>
            </w:pPr>
            <w:r>
              <w:rPr>
                <w:rFonts w:ascii="宋体" w:hAnsi="宋体" w:eastAsia="宋体" w:cs="宋体"/>
                <w:szCs w:val="21"/>
              </w:rPr>
              <w:t>8</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672" w:type="dxa"/>
          </w:tcPr>
          <w:p>
            <w:pPr>
              <w:spacing w:before="114" w:line="183" w:lineRule="auto"/>
              <w:ind w:left="290"/>
              <w:rPr>
                <w:rFonts w:ascii="宋体" w:hAnsi="宋体" w:eastAsia="宋体" w:cs="宋体"/>
                <w:szCs w:val="21"/>
              </w:rPr>
            </w:pPr>
            <w:r>
              <w:rPr>
                <w:rFonts w:ascii="宋体" w:hAnsi="宋体" w:eastAsia="宋体" w:cs="宋体"/>
                <w:szCs w:val="21"/>
              </w:rPr>
              <w:t>9</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672" w:type="dxa"/>
          </w:tcPr>
          <w:p>
            <w:pPr>
              <w:spacing w:before="79" w:line="284" w:lineRule="exact"/>
              <w:ind w:left="249"/>
              <w:rPr>
                <w:rFonts w:ascii="宋体" w:hAnsi="宋体" w:eastAsia="宋体" w:cs="宋体"/>
                <w:szCs w:val="21"/>
              </w:rPr>
            </w:pPr>
            <w:r>
              <w:rPr>
                <w:rFonts w:hint="eastAsia" w:ascii="宋体" w:hAnsi="宋体" w:eastAsia="宋体" w:cs="宋体"/>
                <w:position w:val="1"/>
                <w:szCs w:val="21"/>
              </w:rPr>
              <w:t>10</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672" w:type="dxa"/>
          </w:tcPr>
          <w:p>
            <w:pPr>
              <w:spacing w:before="79" w:line="284" w:lineRule="exact"/>
              <w:ind w:left="249"/>
              <w:rPr>
                <w:rFonts w:ascii="宋体" w:hAnsi="宋体" w:eastAsia="宋体" w:cs="宋体"/>
                <w:position w:val="1"/>
                <w:szCs w:val="21"/>
              </w:rPr>
            </w:pPr>
            <w:r>
              <w:rPr>
                <w:rFonts w:hint="eastAsia" w:ascii="宋体" w:hAnsi="宋体" w:eastAsia="宋体" w:cs="宋体"/>
                <w:position w:val="1"/>
                <w:szCs w:val="21"/>
              </w:rPr>
              <w:t>11</w:t>
            </w:r>
          </w:p>
        </w:tc>
        <w:tc>
          <w:tcPr>
            <w:tcW w:w="2792" w:type="dxa"/>
          </w:tcPr>
          <w:p>
            <w:pPr>
              <w:rPr>
                <w:rFonts w:ascii="宋体" w:hAnsi="宋体" w:eastAsia="宋体" w:cs="宋体"/>
              </w:rPr>
            </w:pPr>
            <w:r>
              <w:rPr>
                <w:rFonts w:hint="eastAsia" w:ascii="宋体" w:hAnsi="宋体" w:eastAsia="宋体" w:cs="宋体"/>
              </w:rPr>
              <w:t>...以上投标设备不足之处请往下添加序号自行补充</w:t>
            </w: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9" w:hRule="atLeast"/>
        </w:trPr>
        <w:tc>
          <w:tcPr>
            <w:tcW w:w="10754" w:type="dxa"/>
            <w:gridSpan w:val="6"/>
            <w:tcBorders>
              <w:right w:val="single" w:color="000000" w:sz="4" w:space="0"/>
            </w:tcBorders>
          </w:tcPr>
          <w:p>
            <w:pPr>
              <w:jc w:val="center"/>
              <w:rPr>
                <w:rFonts w:ascii="Arial"/>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2151" w:type="dxa"/>
            <w:tcBorders>
              <w:left w:val="single" w:color="000000" w:sz="4" w:space="0"/>
            </w:tcBorders>
          </w:tcPr>
          <w:p>
            <w:pPr>
              <w:rPr>
                <w:rFonts w:ascii="Arial"/>
              </w:rPr>
            </w:pPr>
          </w:p>
        </w:tc>
        <w:tc>
          <w:tcPr>
            <w:tcW w:w="1069" w:type="dxa"/>
          </w:tcPr>
          <w:p>
            <w:pPr>
              <w:rPr>
                <w:rFonts w:ascii="Arial"/>
              </w:rPr>
            </w:pPr>
          </w:p>
        </w:tc>
      </w:tr>
    </w:tbl>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21"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26"/>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ascii="Arial"/>
              </w:rPr>
            </w:pPr>
          </w:p>
        </w:tc>
        <w:tc>
          <w:tcPr>
            <w:tcW w:w="3530" w:type="dxa"/>
            <w:vMerge w:val="continue"/>
            <w:tcBorders>
              <w:top w:val="nil"/>
            </w:tcBorders>
          </w:tcPr>
          <w:p>
            <w:pPr>
              <w:rPr>
                <w:rFonts w:ascii="Arial"/>
              </w:rPr>
            </w:pPr>
          </w:p>
        </w:tc>
        <w:tc>
          <w:tcPr>
            <w:tcW w:w="2159" w:type="dxa"/>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restart"/>
            <w:tcBorders>
              <w:bottom w:val="nil"/>
            </w:tcBorders>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continue"/>
            <w:tcBorders>
              <w:top w:val="nil"/>
            </w:tcBorders>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rPr>
                <w:rFonts w:ascii="宋体" w:hAnsi="宋体" w:eastAsia="宋体" w:cs="宋体"/>
                <w:szCs w:val="21"/>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4760" w:type="dxa"/>
            <w:gridSpan w:val="2"/>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22" w:type="default"/>
          <w:pgSz w:w="16841" w:h="11907"/>
          <w:pgMar w:top="400" w:right="1699" w:bottom="1184" w:left="1481" w:header="0" w:footer="1022" w:gutter="0"/>
          <w:cols w:space="720" w:num="1"/>
        </w:sectPr>
      </w:pPr>
    </w:p>
    <w:p>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20" w:lineRule="exact"/>
      </w:pPr>
    </w:p>
    <w:tbl>
      <w:tblPr>
        <w:tblStyle w:val="26"/>
        <w:tblW w:w="13641"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83"/>
        <w:gridCol w:w="3995"/>
        <w:gridCol w:w="1241"/>
        <w:gridCol w:w="1255"/>
        <w:gridCol w:w="2699"/>
        <w:gridCol w:w="366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783" w:type="dxa"/>
          </w:tcPr>
          <w:p>
            <w:pPr>
              <w:spacing w:before="267" w:line="222" w:lineRule="auto"/>
              <w:ind w:left="27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995" w:type="dxa"/>
          </w:tcPr>
          <w:p>
            <w:pPr>
              <w:spacing w:before="266" w:line="221" w:lineRule="auto"/>
              <w:jc w:val="center"/>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241"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255"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699"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3668"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783" w:type="dxa"/>
          </w:tcPr>
          <w:p>
            <w:pPr>
              <w:spacing w:before="300" w:line="186" w:lineRule="auto"/>
              <w:ind w:left="443"/>
              <w:rPr>
                <w:rFonts w:ascii="宋体" w:hAnsi="宋体" w:eastAsia="宋体" w:cs="宋体"/>
                <w:szCs w:val="21"/>
              </w:rPr>
            </w:pPr>
            <w:r>
              <w:rPr>
                <w:rFonts w:ascii="宋体" w:hAnsi="宋体" w:eastAsia="宋体" w:cs="宋体"/>
                <w:szCs w:val="21"/>
              </w:rPr>
              <w:t>1</w:t>
            </w:r>
          </w:p>
        </w:tc>
        <w:tc>
          <w:tcPr>
            <w:tcW w:w="3995" w:type="dxa"/>
          </w:tcPr>
          <w:p>
            <w:pPr>
              <w:spacing w:before="266" w:line="221" w:lineRule="auto"/>
              <w:jc w:val="center"/>
              <w:rPr>
                <w:rFonts w:ascii="宋体" w:hAnsi="宋体" w:eastAsia="宋体" w:cs="宋体"/>
                <w:szCs w:val="21"/>
              </w:rPr>
            </w:pPr>
            <w:r>
              <w:rPr>
                <w:rFonts w:ascii="宋体" w:hAnsi="宋体" w:eastAsia="宋体" w:cs="宋体"/>
                <w:spacing w:val="-1"/>
                <w:szCs w:val="21"/>
              </w:rPr>
              <w:t>现场指导安装</w:t>
            </w:r>
          </w:p>
        </w:tc>
        <w:tc>
          <w:tcPr>
            <w:tcW w:w="1241" w:type="dxa"/>
          </w:tcPr>
          <w:p>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783" w:type="dxa"/>
          </w:tcPr>
          <w:p>
            <w:pPr>
              <w:spacing w:before="302" w:line="185" w:lineRule="auto"/>
              <w:ind w:left="430"/>
              <w:rPr>
                <w:rFonts w:ascii="宋体" w:hAnsi="宋体" w:eastAsia="宋体" w:cs="宋体"/>
                <w:szCs w:val="21"/>
              </w:rPr>
            </w:pPr>
            <w:r>
              <w:rPr>
                <w:rFonts w:ascii="宋体" w:hAnsi="宋体" w:eastAsia="宋体" w:cs="宋体"/>
                <w:szCs w:val="21"/>
              </w:rPr>
              <w:t>2</w:t>
            </w:r>
          </w:p>
        </w:tc>
        <w:tc>
          <w:tcPr>
            <w:tcW w:w="3995" w:type="dxa"/>
          </w:tcPr>
          <w:p>
            <w:pPr>
              <w:spacing w:before="266" w:line="221" w:lineRule="auto"/>
              <w:jc w:val="center"/>
              <w:rPr>
                <w:rFonts w:ascii="宋体" w:hAnsi="宋体" w:eastAsia="宋体" w:cs="宋体"/>
                <w:szCs w:val="21"/>
              </w:rPr>
            </w:pPr>
            <w:r>
              <w:rPr>
                <w:rFonts w:ascii="宋体" w:hAnsi="宋体" w:eastAsia="宋体" w:cs="宋体"/>
                <w:spacing w:val="-1"/>
                <w:szCs w:val="21"/>
              </w:rPr>
              <w:t>现场指导调试</w:t>
            </w:r>
          </w:p>
        </w:tc>
        <w:tc>
          <w:tcPr>
            <w:tcW w:w="1241" w:type="dxa"/>
          </w:tcPr>
          <w:p>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6" w:hRule="atLeast"/>
        </w:trPr>
        <w:tc>
          <w:tcPr>
            <w:tcW w:w="783" w:type="dxa"/>
          </w:tcPr>
          <w:p>
            <w:pPr>
              <w:spacing w:before="301" w:line="185" w:lineRule="auto"/>
              <w:ind w:left="427"/>
              <w:rPr>
                <w:rFonts w:ascii="宋体" w:hAnsi="宋体" w:eastAsia="宋体" w:cs="宋体"/>
                <w:szCs w:val="21"/>
              </w:rPr>
            </w:pPr>
            <w:r>
              <w:rPr>
                <w:rFonts w:hint="eastAsia" w:ascii="宋体" w:hAnsi="宋体" w:eastAsia="宋体" w:cs="宋体"/>
                <w:szCs w:val="21"/>
              </w:rPr>
              <w:t>3</w:t>
            </w:r>
          </w:p>
        </w:tc>
        <w:tc>
          <w:tcPr>
            <w:tcW w:w="3995" w:type="dxa"/>
          </w:tcPr>
          <w:p>
            <w:pPr>
              <w:spacing w:before="266" w:line="221" w:lineRule="auto"/>
              <w:jc w:val="center"/>
              <w:rPr>
                <w:rFonts w:ascii="宋体" w:hAnsi="宋体" w:eastAsia="宋体" w:cs="宋体"/>
                <w:szCs w:val="21"/>
              </w:rPr>
            </w:pPr>
            <w:r>
              <w:rPr>
                <w:rFonts w:hint="eastAsia" w:ascii="宋体" w:hAnsi="宋体" w:eastAsia="宋体" w:cs="宋体"/>
                <w:szCs w:val="21"/>
              </w:rPr>
              <w:t>现场技术支持解决技术难题</w:t>
            </w:r>
          </w:p>
        </w:tc>
        <w:tc>
          <w:tcPr>
            <w:tcW w:w="1241" w:type="dxa"/>
          </w:tcPr>
          <w:p>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1" w:hRule="atLeast"/>
        </w:trPr>
        <w:tc>
          <w:tcPr>
            <w:tcW w:w="783" w:type="dxa"/>
          </w:tcPr>
          <w:p>
            <w:pPr>
              <w:spacing w:before="306" w:line="182" w:lineRule="auto"/>
              <w:ind w:left="432"/>
              <w:rPr>
                <w:rFonts w:ascii="宋体" w:hAnsi="宋体" w:eastAsia="宋体" w:cs="宋体"/>
                <w:szCs w:val="21"/>
              </w:rPr>
            </w:pPr>
            <w:r>
              <w:rPr>
                <w:rFonts w:hint="eastAsia" w:ascii="宋体" w:hAnsi="宋体" w:eastAsia="宋体" w:cs="宋体"/>
                <w:szCs w:val="21"/>
              </w:rPr>
              <w:t>4</w:t>
            </w:r>
          </w:p>
        </w:tc>
        <w:tc>
          <w:tcPr>
            <w:tcW w:w="3995" w:type="dxa"/>
          </w:tcPr>
          <w:p>
            <w:pPr>
              <w:spacing w:before="268" w:line="221" w:lineRule="auto"/>
              <w:jc w:val="center"/>
              <w:rPr>
                <w:rFonts w:ascii="宋体" w:hAnsi="宋体" w:eastAsia="宋体" w:cs="宋体"/>
                <w:szCs w:val="21"/>
              </w:rPr>
            </w:pPr>
            <w:r>
              <w:rPr>
                <w:rFonts w:hint="eastAsia" w:ascii="宋体" w:hAnsi="宋体" w:eastAsia="宋体" w:cs="宋体"/>
                <w:szCs w:val="21"/>
                <w:lang w:bidi="ar"/>
              </w:rPr>
              <w:t>企业管理费</w:t>
            </w:r>
          </w:p>
        </w:tc>
        <w:tc>
          <w:tcPr>
            <w:tcW w:w="1241" w:type="dxa"/>
          </w:tcPr>
          <w:p>
            <w:pPr>
              <w:spacing w:before="266" w:line="221" w:lineRule="auto"/>
              <w:jc w:val="center"/>
              <w:rPr>
                <w:rFonts w:ascii="宋体" w:hAnsi="宋体" w:eastAsia="宋体" w:cs="宋体"/>
                <w:spacing w:val="-2"/>
                <w:szCs w:val="21"/>
              </w:rPr>
            </w:pP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783" w:type="dxa"/>
          </w:tcPr>
          <w:p>
            <w:pPr>
              <w:spacing w:before="306" w:line="182" w:lineRule="auto"/>
              <w:ind w:left="432"/>
              <w:rPr>
                <w:rFonts w:ascii="宋体" w:hAnsi="宋体" w:eastAsia="宋体" w:cs="宋体"/>
                <w:szCs w:val="21"/>
              </w:rPr>
            </w:pPr>
          </w:p>
        </w:tc>
        <w:tc>
          <w:tcPr>
            <w:tcW w:w="3995" w:type="dxa"/>
          </w:tcPr>
          <w:p>
            <w:pPr>
              <w:spacing w:before="268" w:line="221" w:lineRule="auto"/>
              <w:jc w:val="center"/>
              <w:rPr>
                <w:rFonts w:ascii="宋体" w:hAnsi="宋体" w:eastAsia="宋体" w:cs="宋体"/>
                <w:spacing w:val="15"/>
                <w:szCs w:val="21"/>
              </w:rPr>
            </w:pPr>
            <w:r>
              <w:rPr>
                <w:rFonts w:hint="eastAsia" w:ascii="宋体" w:hAnsi="宋体" w:eastAsia="宋体" w:cs="宋体"/>
                <w:szCs w:val="21"/>
                <w:lang w:bidi="ar"/>
              </w:rPr>
              <w:t>检验检测费</w:t>
            </w:r>
          </w:p>
        </w:tc>
        <w:tc>
          <w:tcPr>
            <w:tcW w:w="1241" w:type="dxa"/>
          </w:tcPr>
          <w:p>
            <w:pPr>
              <w:spacing w:before="266" w:line="221" w:lineRule="auto"/>
              <w:jc w:val="center"/>
              <w:rPr>
                <w:rFonts w:ascii="宋体" w:hAnsi="宋体" w:eastAsia="宋体" w:cs="宋体"/>
                <w:spacing w:val="-2"/>
                <w:szCs w:val="21"/>
              </w:rPr>
            </w:pP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783" w:type="dxa"/>
          </w:tcPr>
          <w:p>
            <w:pPr>
              <w:spacing w:before="306" w:line="182" w:lineRule="auto"/>
              <w:ind w:left="432"/>
              <w:rPr>
                <w:rFonts w:ascii="宋体" w:hAnsi="宋体" w:eastAsia="宋体" w:cs="宋体"/>
                <w:szCs w:val="21"/>
              </w:rPr>
            </w:pPr>
          </w:p>
        </w:tc>
        <w:tc>
          <w:tcPr>
            <w:tcW w:w="3995" w:type="dxa"/>
          </w:tcPr>
          <w:p>
            <w:pPr>
              <w:spacing w:before="268" w:line="221" w:lineRule="auto"/>
              <w:jc w:val="center"/>
              <w:rPr>
                <w:rFonts w:ascii="宋体" w:hAnsi="宋体" w:eastAsia="宋体" w:cs="宋体"/>
                <w:spacing w:val="15"/>
                <w:szCs w:val="21"/>
              </w:rPr>
            </w:pPr>
            <w:r>
              <w:rPr>
                <w:rFonts w:ascii="宋体" w:hAnsi="宋体" w:eastAsia="宋体" w:cs="宋体"/>
                <w:spacing w:val="-1"/>
                <w:szCs w:val="21"/>
              </w:rPr>
              <w:t>.......以上不足之处请往下添加序号自行补充</w:t>
            </w:r>
          </w:p>
        </w:tc>
        <w:tc>
          <w:tcPr>
            <w:tcW w:w="1241" w:type="dxa"/>
          </w:tcPr>
          <w:p>
            <w:pPr>
              <w:spacing w:before="266" w:line="221" w:lineRule="auto"/>
              <w:jc w:val="center"/>
              <w:rPr>
                <w:rFonts w:ascii="宋体" w:hAnsi="宋体" w:eastAsia="宋体" w:cs="宋体"/>
                <w:spacing w:val="-2"/>
                <w:szCs w:val="21"/>
              </w:rPr>
            </w:pP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4778"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总价合计列入价格汇总表 1-</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241"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255"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69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66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8"/>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23" w:type="default"/>
          <w:pgSz w:w="16841" w:h="11907"/>
          <w:pgMar w:top="400" w:right="1699" w:bottom="1184" w:left="1481" w:header="0" w:footer="1022" w:gutter="0"/>
          <w:cols w:space="720" w:num="1"/>
        </w:sectPr>
      </w:pPr>
    </w:p>
    <w:p>
      <w:pPr>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20"/>
          <w:sz w:val="24"/>
          <w:szCs w:val="24"/>
          <w14:textOutline w14:w="5791" w14:cap="flat" w14:cmpd="sng" w14:algn="ctr">
            <w14:solidFill>
              <w14:srgbClr w14:val="000000"/>
            </w14:solidFill>
            <w14:prstDash w14:val="solid"/>
            <w14:miter w14:val="0"/>
          </w14:textOutline>
        </w:rPr>
        <w:t>质保</w:t>
      </w:r>
      <w:r>
        <w:rPr>
          <w:rFonts w:ascii="宋体" w:hAnsi="宋体" w:eastAsia="宋体" w:cs="宋体"/>
          <w:spacing w:val="12"/>
          <w:sz w:val="24"/>
          <w:szCs w:val="24"/>
          <w14:textOutline w14:w="5791" w14:cap="flat" w14:cmpd="sng" w14:algn="ctr">
            <w14:solidFill>
              <w14:srgbClr w14:val="000000"/>
            </w14:solidFill>
            <w14:prstDash w14:val="solid"/>
            <w14:miter w14:val="0"/>
          </w14:textOutline>
        </w:rPr>
        <w:t>期</w:t>
      </w: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内随机标准附件及易损件、备品备件、专用工具、专用检测仪器仪表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26"/>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1940"/>
        <w:gridCol w:w="1770"/>
        <w:gridCol w:w="1888"/>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940" w:type="dxa"/>
          </w:tcPr>
          <w:p>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770" w:type="dxa"/>
          </w:tcPr>
          <w:p>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88" w:type="dxa"/>
          </w:tcPr>
          <w:p>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tcPr>
          <w:p>
            <w:pPr>
              <w:spacing w:before="146" w:line="211" w:lineRule="auto"/>
              <w:ind w:left="89"/>
              <w:rPr>
                <w:rFonts w:ascii="宋体" w:hAnsi="宋体" w:eastAsia="宋体" w:cs="宋体"/>
                <w:szCs w:val="21"/>
              </w:rPr>
            </w:pPr>
            <w:r>
              <w:rPr>
                <w:rFonts w:ascii="宋体" w:hAnsi="宋体" w:eastAsia="宋体" w:cs="宋体"/>
                <w:spacing w:val="4"/>
                <w:szCs w:val="21"/>
                <w14:textOutline w14:w="3835" w14:cap="flat" w14:cmpd="sng" w14:algn="ctr">
                  <w14:solidFill>
                    <w14:srgbClr w14:val="000000"/>
                  </w14:solidFill>
                  <w14:prstDash w14:val="solid"/>
                  <w14:miter w14:val="0"/>
                </w14:textOutline>
              </w:rPr>
              <w:t>序</w:t>
            </w:r>
            <w:r>
              <w:rPr>
                <w:rFonts w:ascii="宋体" w:hAnsi="宋体" w:eastAsia="宋体" w:cs="宋体"/>
                <w:spacing w:val="4"/>
                <w:szCs w:val="21"/>
              </w:rPr>
              <w:t xml:space="preserve"> </w:t>
            </w:r>
            <w:r>
              <w:rPr>
                <w:rFonts w:ascii="宋体" w:hAnsi="宋体" w:eastAsia="宋体" w:cs="宋体"/>
                <w:spacing w:val="4"/>
                <w:szCs w:val="21"/>
                <w14:textOutline w14:w="3835" w14:cap="flat" w14:cmpd="sng" w14:algn="ctr">
                  <w14:solidFill>
                    <w14:srgbClr w14:val="000000"/>
                  </w14:solidFill>
                  <w14:prstDash w14:val="solid"/>
                  <w14:miter w14:val="0"/>
                </w14:textOutline>
              </w:rPr>
              <w:t>号</w:t>
            </w:r>
          </w:p>
        </w:tc>
        <w:tc>
          <w:tcPr>
            <w:tcW w:w="2543" w:type="dxa"/>
          </w:tcPr>
          <w:p>
            <w:pPr>
              <w:spacing w:before="252" w:line="221" w:lineRule="auto"/>
              <w:ind w:left="538"/>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ascii="宋体" w:hAnsi="宋体" w:eastAsia="宋体" w:cs="宋体"/>
                <w:szCs w:val="21"/>
                <w14:textOutline w14:w="3835" w14:cap="flat" w14:cmpd="sng" w14:algn="ctr">
                  <w14:solidFill>
                    <w14:srgbClr w14:val="000000"/>
                  </w14:solidFill>
                  <w14:prstDash w14:val="solid"/>
                  <w14:miter w14:val="0"/>
                </w14:textOutline>
              </w:rPr>
              <w:t>工具名称</w:t>
            </w:r>
          </w:p>
        </w:tc>
        <w:tc>
          <w:tcPr>
            <w:tcW w:w="2100" w:type="dxa"/>
          </w:tcPr>
          <w:p>
            <w:pPr>
              <w:spacing w:before="252" w:line="221" w:lineRule="auto"/>
              <w:ind w:left="534"/>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tcPr>
          <w:p>
            <w:pPr>
              <w:spacing w:before="252" w:line="221" w:lineRule="auto"/>
              <w:ind w:left="215"/>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数量</w:t>
            </w:r>
          </w:p>
        </w:tc>
        <w:tc>
          <w:tcPr>
            <w:tcW w:w="1940" w:type="dxa"/>
          </w:tcPr>
          <w:p>
            <w:pPr>
              <w:spacing w:before="89" w:line="327" w:lineRule="exact"/>
              <w:ind w:left="708"/>
              <w:rPr>
                <w:rFonts w:ascii="宋体" w:hAnsi="宋体" w:eastAsia="宋体" w:cs="宋体"/>
                <w:szCs w:val="21"/>
              </w:rPr>
            </w:pPr>
            <w:r>
              <w:rPr>
                <w:rFonts w:ascii="宋体" w:hAnsi="宋体" w:eastAsia="宋体" w:cs="宋体"/>
                <w:spacing w:val="-2"/>
                <w:position w:val="8"/>
                <w:szCs w:val="21"/>
                <w14:textOutline w14:w="3835" w14:cap="flat" w14:cmpd="sng" w14:algn="ctr">
                  <w14:solidFill>
                    <w14:srgbClr w14:val="000000"/>
                  </w14:solidFill>
                  <w14:prstDash w14:val="solid"/>
                  <w14:miter w14:val="0"/>
                </w14:textOutline>
              </w:rPr>
              <w:t>原产地</w:t>
            </w:r>
            <w:r>
              <w:rPr>
                <w:rFonts w:ascii="宋体" w:hAnsi="宋体" w:eastAsia="宋体" w:cs="宋体"/>
                <w:spacing w:val="-1"/>
                <w:position w:val="8"/>
                <w:szCs w:val="21"/>
                <w14:textOutline w14:w="3835" w14:cap="flat" w14:cmpd="sng" w14:algn="ctr">
                  <w14:solidFill>
                    <w14:srgbClr w14:val="000000"/>
                  </w14:solidFill>
                  <w14:prstDash w14:val="solid"/>
                  <w14:miter w14:val="0"/>
                </w14:textOutline>
              </w:rPr>
              <w:t>和</w:t>
            </w:r>
          </w:p>
          <w:p>
            <w:pPr>
              <w:spacing w:line="221" w:lineRule="auto"/>
              <w:ind w:left="598"/>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ascii="宋体" w:hAnsi="宋体" w:eastAsia="宋体" w:cs="宋体"/>
                <w:szCs w:val="21"/>
                <w14:textOutline w14:w="3835" w14:cap="flat" w14:cmpd="sng" w14:algn="ctr">
                  <w14:solidFill>
                    <w14:srgbClr w14:val="000000"/>
                  </w14:solidFill>
                  <w14:prstDash w14:val="solid"/>
                  <w14:miter w14:val="0"/>
                </w14:textOutline>
              </w:rPr>
              <w:t>名称</w:t>
            </w:r>
          </w:p>
        </w:tc>
        <w:tc>
          <w:tcPr>
            <w:tcW w:w="1770" w:type="dxa"/>
          </w:tcPr>
          <w:p>
            <w:pPr>
              <w:spacing w:before="90" w:line="219" w:lineRule="auto"/>
              <w:ind w:left="27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w:t>
            </w:r>
            <w:r>
              <w:rPr>
                <w:rFonts w:ascii="宋体" w:hAnsi="宋体" w:eastAsia="宋体" w:cs="宋体"/>
                <w:szCs w:val="21"/>
                <w14:textOutline w14:w="3835" w14:cap="flat" w14:cmpd="sng" w14:algn="ctr">
                  <w14:solidFill>
                    <w14:srgbClr w14:val="000000"/>
                  </w14:solidFill>
                  <w14:prstDash w14:val="solid"/>
                  <w14:miter w14:val="0"/>
                </w14:textOutline>
              </w:rPr>
              <w:t>价</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77" w:line="221" w:lineRule="auto"/>
              <w:ind w:firstLine="712" w:firstLineChars="400"/>
              <w:rPr>
                <w:rFonts w:ascii="宋体" w:hAnsi="宋体" w:eastAsia="宋体" w:cs="宋体"/>
                <w:szCs w:val="21"/>
              </w:rPr>
            </w:pPr>
            <w:r>
              <w:rPr>
                <w:rFonts w:ascii="宋体" w:hAnsi="宋体" w:eastAsia="宋体" w:cs="宋体"/>
                <w:spacing w:val="-16"/>
                <w:szCs w:val="21"/>
                <w14:textOutline w14:w="3835" w14:cap="flat" w14:cmpd="sng" w14:algn="ctr">
                  <w14:solidFill>
                    <w14:srgbClr w14:val="000000"/>
                  </w14:solidFill>
                  <w14:prstDash w14:val="solid"/>
                  <w14:miter w14:val="0"/>
                </w14:textOutline>
              </w:rPr>
              <w:t>(</w:t>
            </w:r>
            <w:r>
              <w:rPr>
                <w:rFonts w:ascii="宋体" w:hAnsi="宋体" w:eastAsia="宋体" w:cs="宋体"/>
                <w:spacing w:val="-14"/>
                <w:szCs w:val="21"/>
                <w14:textOutline w14:w="3835" w14:cap="flat" w14:cmpd="sng" w14:algn="ctr">
                  <w14:solidFill>
                    <w14:srgbClr w14:val="000000"/>
                  </w14:solidFill>
                  <w14:prstDash w14:val="solid"/>
                  <w14:miter w14:val="0"/>
                </w14:textOutline>
              </w:rPr>
              <w:t>元)</w:t>
            </w:r>
          </w:p>
        </w:tc>
        <w:tc>
          <w:tcPr>
            <w:tcW w:w="1888" w:type="dxa"/>
          </w:tcPr>
          <w:p>
            <w:pPr>
              <w:spacing w:before="90" w:line="219" w:lineRule="auto"/>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ascii="宋体" w:hAnsi="宋体" w:eastAsia="宋体" w:cs="宋体"/>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77" w:line="221" w:lineRule="auto"/>
              <w:ind w:left="747"/>
              <w:rPr>
                <w:rFonts w:ascii="宋体" w:hAnsi="宋体" w:eastAsia="宋体" w:cs="宋体"/>
                <w:szCs w:val="21"/>
              </w:rPr>
            </w:pPr>
            <w:r>
              <w:rPr>
                <w:rFonts w:ascii="宋体" w:hAnsi="宋体" w:eastAsia="宋体" w:cs="宋体"/>
                <w:spacing w:val="27"/>
                <w:szCs w:val="21"/>
                <w14:textOutline w14:w="3835" w14:cap="flat" w14:cmpd="sng" w14:algn="ctr">
                  <w14:solidFill>
                    <w14:srgbClr w14:val="000000"/>
                  </w14:solidFill>
                  <w14:prstDash w14:val="solid"/>
                  <w14:miter w14:val="0"/>
                </w14:textOutline>
              </w:rPr>
              <w:t>(</w:t>
            </w:r>
            <w:r>
              <w:rPr>
                <w:rFonts w:ascii="宋体" w:hAnsi="宋体" w:eastAsia="宋体" w:cs="宋体"/>
                <w:spacing w:val="26"/>
                <w:szCs w:val="21"/>
                <w14:textOutline w14:w="3835" w14:cap="flat" w14:cmpd="sng" w14:algn="ctr">
                  <w14:solidFill>
                    <w14:srgbClr w14:val="000000"/>
                  </w14:solidFill>
                  <w14:prstDash w14:val="solid"/>
                  <w14:miter w14:val="0"/>
                </w14:textOutline>
              </w:rPr>
              <w:t>元)</w:t>
            </w:r>
          </w:p>
        </w:tc>
        <w:tc>
          <w:tcPr>
            <w:tcW w:w="1120" w:type="dxa"/>
          </w:tcPr>
          <w:p>
            <w:pPr>
              <w:spacing w:before="89" w:line="327" w:lineRule="exact"/>
              <w:ind w:left="360"/>
              <w:rPr>
                <w:rFonts w:ascii="宋体" w:hAnsi="宋体" w:eastAsia="宋体" w:cs="宋体"/>
                <w:szCs w:val="21"/>
              </w:rPr>
            </w:pPr>
            <w:r>
              <w:rPr>
                <w:rFonts w:ascii="宋体" w:hAnsi="宋体" w:eastAsia="宋体" w:cs="宋体"/>
                <w:spacing w:val="-3"/>
                <w:position w:val="8"/>
                <w:szCs w:val="21"/>
                <w14:textOutline w14:w="3835" w14:cap="flat" w14:cmpd="sng" w14:algn="ctr">
                  <w14:solidFill>
                    <w14:srgbClr w14:val="000000"/>
                  </w14:solidFill>
                  <w14:prstDash w14:val="solid"/>
                  <w14:miter w14:val="0"/>
                </w14:textOutline>
              </w:rPr>
              <w:t>更</w:t>
            </w:r>
            <w:r>
              <w:rPr>
                <w:rFonts w:ascii="宋体" w:hAnsi="宋体" w:eastAsia="宋体" w:cs="宋体"/>
                <w:spacing w:val="-2"/>
                <w:position w:val="8"/>
                <w:szCs w:val="21"/>
                <w14:textOutline w14:w="3835" w14:cap="flat" w14:cmpd="sng" w14:algn="ctr">
                  <w14:solidFill>
                    <w14:srgbClr w14:val="000000"/>
                  </w14:solidFill>
                  <w14:prstDash w14:val="solid"/>
                  <w14:miter w14:val="0"/>
                </w14:textOutline>
              </w:rPr>
              <w:t>换</w:t>
            </w:r>
          </w:p>
          <w:p>
            <w:pPr>
              <w:spacing w:line="221" w:lineRule="auto"/>
              <w:ind w:left="358"/>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周期</w:t>
            </w:r>
          </w:p>
        </w:tc>
        <w:tc>
          <w:tcPr>
            <w:tcW w:w="1125" w:type="dxa"/>
          </w:tcPr>
          <w:p>
            <w:pPr>
              <w:spacing w:before="253" w:line="222" w:lineRule="auto"/>
              <w:ind w:left="252"/>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pPr>
              <w:pStyle w:val="27"/>
              <w:spacing w:before="60" w:after="60"/>
              <w:jc w:val="center"/>
              <w:rPr>
                <w:rFonts w:ascii="宋体" w:hAnsi="宋体" w:eastAsia="宋体" w:cs="宋体"/>
                <w:szCs w:val="21"/>
              </w:rPr>
            </w:pPr>
            <w:r>
              <w:rPr>
                <w:rFonts w:hint="eastAsia" w:ascii="宋体" w:hAnsi="宋体" w:eastAsia="宋体" w:cs="宋体"/>
                <w:szCs w:val="21"/>
              </w:rPr>
              <w:t>1</w:t>
            </w:r>
          </w:p>
        </w:tc>
        <w:tc>
          <w:tcPr>
            <w:tcW w:w="2543" w:type="dxa"/>
            <w:vAlign w:val="center"/>
          </w:tcPr>
          <w:p>
            <w:pPr>
              <w:pStyle w:val="27"/>
              <w:spacing w:before="60" w:after="60"/>
              <w:jc w:val="center"/>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vAlign w:val="center"/>
          </w:tcPr>
          <w:p>
            <w:pPr>
              <w:pStyle w:val="27"/>
              <w:spacing w:before="60" w:after="60"/>
              <w:jc w:val="center"/>
              <w:rPr>
                <w:rFonts w:ascii="宋体" w:hAnsi="宋体" w:eastAsia="宋体" w:cs="宋体"/>
                <w:szCs w:val="21"/>
              </w:rPr>
            </w:pPr>
            <w:r>
              <w:rPr>
                <w:rFonts w:hint="eastAsia" w:ascii="宋体" w:hAnsi="宋体" w:eastAsia="宋体" w:cs="宋体"/>
                <w:szCs w:val="21"/>
              </w:rPr>
              <w:t>2</w:t>
            </w:r>
          </w:p>
        </w:tc>
        <w:tc>
          <w:tcPr>
            <w:tcW w:w="2543" w:type="dxa"/>
            <w:vAlign w:val="center"/>
          </w:tcPr>
          <w:p>
            <w:pPr>
              <w:pStyle w:val="27"/>
              <w:spacing w:before="60" w:after="60"/>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pPr>
              <w:rPr>
                <w:rFonts w:ascii="Arial"/>
              </w:rPr>
            </w:p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vAlign w:val="center"/>
          </w:tcPr>
          <w:p>
            <w:pPr>
              <w:pStyle w:val="27"/>
              <w:spacing w:before="60" w:after="60"/>
              <w:jc w:val="center"/>
              <w:rPr>
                <w:rFonts w:ascii="宋体" w:hAnsi="宋体" w:eastAsia="宋体" w:cs="宋体"/>
                <w:szCs w:val="21"/>
              </w:rPr>
            </w:pPr>
            <w:r>
              <w:rPr>
                <w:rFonts w:hint="eastAsia" w:ascii="宋体" w:hAnsi="宋体" w:eastAsia="宋体" w:cs="宋体"/>
                <w:szCs w:val="21"/>
              </w:rPr>
              <w:t>3</w:t>
            </w:r>
          </w:p>
        </w:tc>
        <w:tc>
          <w:tcPr>
            <w:tcW w:w="2543" w:type="dxa"/>
            <w:vAlign w:val="center"/>
          </w:tcPr>
          <w:p>
            <w:pPr>
              <w:pStyle w:val="27"/>
              <w:spacing w:before="60" w:after="60"/>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pPr>
              <w:rPr>
                <w:rFonts w:ascii="Arial"/>
              </w:rPr>
            </w:p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509" w:type="dxa"/>
            <w:vAlign w:val="center"/>
          </w:tcPr>
          <w:p>
            <w:pPr>
              <w:pStyle w:val="27"/>
              <w:spacing w:before="60" w:after="60"/>
              <w:jc w:val="center"/>
              <w:rPr>
                <w:rFonts w:ascii="宋体" w:hAnsi="宋体" w:eastAsia="宋体" w:cs="宋体"/>
                <w:szCs w:val="21"/>
              </w:rPr>
            </w:pPr>
            <w:r>
              <w:rPr>
                <w:rFonts w:hint="eastAsia" w:ascii="宋体" w:hAnsi="宋体" w:eastAsia="宋体" w:cs="宋体"/>
                <w:szCs w:val="21"/>
              </w:rPr>
              <w:t>4</w:t>
            </w:r>
          </w:p>
        </w:tc>
        <w:tc>
          <w:tcPr>
            <w:tcW w:w="2543" w:type="dxa"/>
            <w:vAlign w:val="center"/>
          </w:tcPr>
          <w:p>
            <w:pPr>
              <w:pStyle w:val="27"/>
              <w:spacing w:before="60" w:after="60"/>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pPr>
              <w:rPr>
                <w:rFonts w:ascii="Arial"/>
              </w:rPr>
            </w:p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02"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4133" w:type="dxa"/>
            <w:gridSpan w:val="3"/>
          </w:tcPr>
          <w:p>
            <w:pPr>
              <w:spacing w:before="207" w:line="219" w:lineRule="auto"/>
              <w:ind w:firstLine="630" w:firstLineChars="300"/>
              <w:rPr>
                <w:rFonts w:ascii="宋体" w:hAnsi="宋体" w:eastAsia="宋体" w:cs="宋体"/>
                <w:szCs w:val="21"/>
              </w:rPr>
            </w:pPr>
            <w:r>
              <w:rPr>
                <w:rFonts w:ascii="宋体" w:hAnsi="宋体" w:eastAsia="宋体" w:cs="宋体"/>
                <w:szCs w:val="21"/>
              </w:rPr>
              <w:t>总价合计</w:t>
            </w:r>
            <w:r>
              <w:rPr>
                <w:rFonts w:hint="eastAsia" w:ascii="宋体" w:hAnsi="宋体" w:eastAsia="宋体" w:cs="宋体"/>
                <w:szCs w:val="21"/>
              </w:rPr>
              <w:t>（不含税）</w:t>
            </w:r>
            <w:r>
              <w:rPr>
                <w:rFonts w:ascii="宋体" w:hAnsi="宋体" w:eastAsia="宋体" w:cs="宋体"/>
                <w:szCs w:val="21"/>
              </w:rPr>
              <w:t>￥    元</w:t>
            </w:r>
          </w:p>
        </w:tc>
      </w:tr>
    </w:tbl>
    <w:p>
      <w:pPr>
        <w:spacing w:before="69" w:line="219" w:lineRule="auto"/>
        <w:rPr>
          <w:rFonts w:ascii="宋体" w:hAnsi="宋体" w:eastAsia="宋体" w:cs="宋体"/>
          <w:spacing w:val="-3"/>
          <w:szCs w:val="21"/>
        </w:rPr>
      </w:pPr>
    </w:p>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24" w:type="default"/>
          <w:pgSz w:w="16841" w:h="11907"/>
          <w:pgMar w:top="400" w:right="1500" w:bottom="1184" w:left="1480" w:header="0" w:footer="1022" w:gutter="0"/>
          <w:cols w:space="720" w:num="1"/>
        </w:sectPr>
      </w:pPr>
    </w:p>
    <w:p>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26"/>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hint="eastAsia" w:ascii="Times New Roman" w:hAnsi="Times New Roman" w:eastAsia="宋体" w:cs="Times New Roman"/>
                <w:spacing w:val="-6"/>
                <w:szCs w:val="21"/>
              </w:rPr>
              <w:t>-</w:t>
            </w:r>
            <w:r>
              <w:rPr>
                <w:rFonts w:ascii="Times New Roman" w:hAnsi="Times New Roman" w:eastAsia="Times New Roman" w:cs="Times New Roman"/>
                <w:spacing w:val="-11"/>
                <w:szCs w:val="21"/>
              </w:rPr>
              <w:t xml:space="preserve">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hint="eastAsia" w:ascii="宋体" w:hAnsi="宋体" w:eastAsia="宋体" w:cs="宋体"/>
                <w:szCs w:val="21"/>
              </w:rPr>
              <w:t>5</w:t>
            </w:r>
          </w:p>
        </w:tc>
        <w:tc>
          <w:tcPr>
            <w:tcW w:w="5765" w:type="dxa"/>
          </w:tcPr>
          <w:p>
            <w:pPr>
              <w:spacing w:before="265" w:line="222" w:lineRule="auto"/>
              <w:ind w:left="2378" w:firstLine="188" w:firstLineChars="100"/>
              <w:rPr>
                <w:rFonts w:ascii="宋体" w:hAnsi="宋体" w:eastAsia="宋体" w:cs="宋体"/>
                <w:spacing w:val="-11"/>
                <w:szCs w:val="21"/>
              </w:rPr>
            </w:pP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8"/>
      </w:pPr>
    </w:p>
    <w:p>
      <w:pPr>
        <w:pStyle w:val="8"/>
      </w:pP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sectPr>
          <w:footerReference r:id="rId25" w:type="default"/>
          <w:pgSz w:w="16841" w:h="11907"/>
          <w:pgMar w:top="400" w:right="1699" w:bottom="1168" w:left="1481" w:header="0" w:footer="990" w:gutter="0"/>
          <w:cols w:equalWidth="0" w:num="1">
            <w:col w:w="13660"/>
          </w:cols>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14"/>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26"/>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rPr>
          <w:rFonts w:ascii="宋体" w:hAnsi="宋体" w:cs="宋体"/>
          <w:szCs w:val="24"/>
        </w:rPr>
      </w:pPr>
    </w:p>
    <w:p>
      <w:pPr>
        <w:rPr>
          <w:rFonts w:ascii="宋体" w:hAnsi="宋体" w:eastAsia="宋体" w:cs="宋体"/>
          <w:sz w:val="24"/>
          <w:szCs w:val="24"/>
        </w:rPr>
      </w:pPr>
    </w:p>
    <w:p>
      <w:pPr>
        <w:rPr>
          <w:rFonts w:ascii="宋体" w:hAnsi="宋体" w:cs="宋体"/>
          <w:szCs w:val="24"/>
        </w:rPr>
      </w:pPr>
    </w:p>
    <w:p/>
    <w:p/>
    <w:p/>
    <w:p/>
    <w:p>
      <w:pPr>
        <w:tabs>
          <w:tab w:val="left" w:pos="1511"/>
        </w:tabs>
        <w:jc w:val="left"/>
        <w:rPr>
          <w:b/>
          <w:bCs/>
        </w:rPr>
        <w:sectPr>
          <w:footerReference r:id="rId26" w:type="default"/>
          <w:pgSz w:w="11906" w:h="16839"/>
          <w:pgMar w:top="1431" w:right="1417" w:bottom="1179" w:left="1304" w:header="850" w:footer="992" w:gutter="0"/>
          <w:cols w:space="720" w:num="1"/>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rPr>
          <w:rFonts w:ascii="宋体" w:hAnsi="Calibri" w:cs="宋体"/>
          <w:color w:val="000000"/>
          <w:sz w:val="28"/>
          <w:szCs w:val="20"/>
        </w:rPr>
      </w:pPr>
    </w:p>
    <w:p>
      <w:pPr>
        <w:rPr>
          <w:rFonts w:ascii="宋体" w:hAnsi="Calibri" w:eastAsia="宋体" w:cs="宋体"/>
          <w:b/>
          <w:bCs/>
          <w:color w:val="000000"/>
          <w:sz w:val="28"/>
          <w:szCs w:val="20"/>
        </w:rPr>
      </w:pPr>
    </w:p>
    <w:p>
      <w:pPr>
        <w:rPr>
          <w:rFonts w:ascii="宋体" w:hAnsi="Calibri" w:cs="宋体"/>
          <w:color w:val="000000"/>
          <w:sz w:val="28"/>
          <w:szCs w:val="20"/>
        </w:rPr>
      </w:pPr>
    </w:p>
    <w:p>
      <w:pPr>
        <w:rPr>
          <w:rFonts w:ascii="宋体" w:hAnsi="Calibri" w:eastAsia="宋体" w:cs="宋体"/>
          <w:b/>
          <w:bCs/>
          <w:color w:val="000000"/>
          <w:sz w:val="28"/>
          <w:szCs w:val="20"/>
        </w:rPr>
      </w:pPr>
    </w:p>
    <w:p>
      <w:pPr>
        <w:outlineLvl w:val="2"/>
        <w:rPr>
          <w:rFonts w:ascii="Times New Roman" w:hAnsi="Times New Roman" w:eastAsia="宋体" w:cs="Times New Roman"/>
          <w:b/>
          <w:bCs/>
          <w:color w:val="000000"/>
          <w:sz w:val="24"/>
          <w:szCs w:val="24"/>
        </w:rPr>
        <w:sectPr>
          <w:pgSz w:w="11906" w:h="16839"/>
          <w:pgMar w:top="1431" w:right="1417" w:bottom="1179" w:left="1304" w:header="850" w:footer="992" w:gutter="0"/>
          <w:cols w:space="720" w:num="1"/>
        </w:sectPr>
      </w:pPr>
    </w:p>
    <w:p>
      <w:pPr>
        <w:outlineLvl w:val="2"/>
        <w:rPr>
          <w:rFonts w:ascii="Calibri" w:hAnsi="Calibri" w:eastAsia="宋体" w:cs="Times New Roman"/>
          <w:szCs w:val="20"/>
        </w:rPr>
      </w:pP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14"/>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2</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8"/>
      </w:pPr>
    </w:p>
    <w:p/>
    <w:p>
      <w:pPr>
        <w:pStyle w:val="8"/>
        <w:rPr>
          <w:rFonts w:hAnsi="Calibri" w:eastAsia="宋体" w:cs="宋体"/>
          <w:b/>
          <w:bCs/>
          <w:color w:val="000000"/>
          <w:sz w:val="28"/>
          <w:szCs w:val="20"/>
        </w:rPr>
      </w:pPr>
    </w:p>
    <w:p>
      <w:pPr>
        <w:pStyle w:val="2"/>
        <w:sectPr>
          <w:pgSz w:w="11906" w:h="16839"/>
          <w:pgMar w:top="1431" w:right="1417" w:bottom="1179" w:left="1304" w:header="850" w:footer="992" w:gutter="0"/>
          <w:cols w:space="720" w:num="1"/>
        </w:sectPr>
      </w:pPr>
    </w:p>
    <w:p/>
    <w:p>
      <w:pPr>
        <w:jc w:val="cente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附件14  技术标评审表（50分）</w:t>
      </w:r>
    </w:p>
    <w:tbl>
      <w:tblPr>
        <w:tblStyle w:val="14"/>
        <w:tblW w:w="137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750"/>
        <w:gridCol w:w="533"/>
        <w:gridCol w:w="3100"/>
        <w:gridCol w:w="817"/>
        <w:gridCol w:w="7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730"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评价类型</w:t>
            </w:r>
          </w:p>
        </w:tc>
        <w:tc>
          <w:tcPr>
            <w:tcW w:w="750" w:type="dxa"/>
            <w:vAlign w:val="center"/>
          </w:tcPr>
          <w:p>
            <w:pPr>
              <w:tabs>
                <w:tab w:val="left" w:pos="13965"/>
              </w:tabs>
              <w:spacing w:line="360" w:lineRule="auto"/>
              <w:ind w:right="-6"/>
              <w:jc w:val="center"/>
              <w:rPr>
                <w:rFonts w:ascii="宋体" w:hAnsi="宋体" w:eastAsia="宋体" w:cs="Times New Roman"/>
                <w:b/>
                <w:sz w:val="24"/>
                <w:szCs w:val="24"/>
              </w:rPr>
            </w:pPr>
            <w:r>
              <w:rPr>
                <w:rFonts w:hint="eastAsia" w:ascii="宋体" w:hAnsi="宋体" w:eastAsia="宋体" w:cs="Times New Roman"/>
                <w:b/>
                <w:sz w:val="24"/>
                <w:szCs w:val="24"/>
              </w:rPr>
              <w:t>评审内容</w:t>
            </w:r>
          </w:p>
        </w:tc>
        <w:tc>
          <w:tcPr>
            <w:tcW w:w="533"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序号</w:t>
            </w:r>
          </w:p>
        </w:tc>
        <w:tc>
          <w:tcPr>
            <w:tcW w:w="3100"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内</w:t>
            </w:r>
            <w:r>
              <w:rPr>
                <w:rFonts w:ascii="宋体" w:hAnsi="宋体" w:eastAsia="宋体" w:cs="Times New Roman"/>
                <w:b/>
                <w:sz w:val="24"/>
                <w:szCs w:val="24"/>
              </w:rPr>
              <w:t xml:space="preserve">   </w:t>
            </w:r>
            <w:r>
              <w:rPr>
                <w:rFonts w:hint="eastAsia" w:ascii="宋体" w:hAnsi="宋体" w:eastAsia="宋体" w:cs="Times New Roman"/>
                <w:b/>
                <w:sz w:val="24"/>
                <w:szCs w:val="24"/>
              </w:rPr>
              <w:t>容</w:t>
            </w:r>
          </w:p>
        </w:tc>
        <w:tc>
          <w:tcPr>
            <w:tcW w:w="817"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标准分</w:t>
            </w:r>
          </w:p>
        </w:tc>
        <w:tc>
          <w:tcPr>
            <w:tcW w:w="7781"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29" w:hRule="atLeast"/>
          <w:jc w:val="center"/>
        </w:trPr>
        <w:tc>
          <w:tcPr>
            <w:tcW w:w="730" w:type="dxa"/>
            <w:vMerge w:val="restart"/>
            <w:vAlign w:val="center"/>
          </w:tcPr>
          <w:p>
            <w:pPr>
              <w:tabs>
                <w:tab w:val="left" w:pos="13965"/>
              </w:tabs>
              <w:ind w:right="-6"/>
              <w:jc w:val="center"/>
              <w:rPr>
                <w:rFonts w:ascii="宋体" w:hAnsi="Times New Roman" w:eastAsia="宋体" w:cs="Times New Roman"/>
                <w:sz w:val="24"/>
                <w:szCs w:val="24"/>
              </w:rPr>
            </w:pPr>
            <w:r>
              <w:rPr>
                <w:rFonts w:hint="eastAsia" w:ascii="宋体" w:hAnsi="宋体" w:eastAsia="宋体" w:cs="Times New Roman"/>
                <w:sz w:val="24"/>
                <w:szCs w:val="24"/>
              </w:rPr>
              <w:t>技术</w:t>
            </w:r>
          </w:p>
          <w:p>
            <w:pPr>
              <w:tabs>
                <w:tab w:val="left" w:pos="13965"/>
              </w:tabs>
              <w:ind w:right="-6"/>
              <w:jc w:val="center"/>
              <w:rPr>
                <w:rFonts w:ascii="宋体" w:hAnsi="Times New Roman" w:eastAsia="宋体" w:cs="Times New Roman"/>
                <w:sz w:val="24"/>
                <w:szCs w:val="24"/>
              </w:rPr>
            </w:pPr>
            <w:r>
              <w:rPr>
                <w:rFonts w:hint="eastAsia" w:ascii="宋体" w:hAnsi="宋体" w:eastAsia="宋体" w:cs="Times New Roman"/>
                <w:sz w:val="24"/>
                <w:szCs w:val="24"/>
              </w:rPr>
              <w:t>10</w:t>
            </w:r>
            <w:r>
              <w:rPr>
                <w:rFonts w:ascii="宋体" w:hAnsi="宋体" w:eastAsia="宋体" w:cs="Times New Roman"/>
                <w:sz w:val="24"/>
                <w:szCs w:val="24"/>
              </w:rPr>
              <w:t>0</w:t>
            </w:r>
            <w:r>
              <w:rPr>
                <w:rFonts w:hint="eastAsia" w:ascii="宋体" w:hAnsi="宋体" w:eastAsia="宋体" w:cs="Times New Roman"/>
                <w:sz w:val="24"/>
                <w:szCs w:val="24"/>
              </w:rPr>
              <w:t>分</w:t>
            </w:r>
          </w:p>
        </w:tc>
        <w:tc>
          <w:tcPr>
            <w:tcW w:w="750" w:type="dxa"/>
            <w:vAlign w:val="center"/>
          </w:tcPr>
          <w:p>
            <w:pPr>
              <w:tabs>
                <w:tab w:val="left" w:pos="13965"/>
              </w:tabs>
              <w:jc w:val="center"/>
              <w:rPr>
                <w:rFonts w:ascii="宋体" w:hAnsi="宋体" w:eastAsia="宋体" w:cs="Times New Roman"/>
                <w:sz w:val="24"/>
                <w:szCs w:val="24"/>
              </w:rPr>
            </w:pPr>
            <w:r>
              <w:rPr>
                <w:rFonts w:hint="eastAsia" w:ascii="宋体" w:hAnsi="宋体" w:eastAsia="宋体" w:cs="Times New Roman"/>
                <w:sz w:val="24"/>
                <w:szCs w:val="24"/>
              </w:rPr>
              <w:t>业绩</w:t>
            </w:r>
          </w:p>
        </w:tc>
        <w:tc>
          <w:tcPr>
            <w:tcW w:w="533" w:type="dxa"/>
            <w:vAlign w:val="center"/>
          </w:tcPr>
          <w:p>
            <w:pPr>
              <w:tabs>
                <w:tab w:val="left" w:pos="13965"/>
              </w:tabs>
              <w:jc w:val="center"/>
              <w:rPr>
                <w:rFonts w:ascii="宋体" w:hAnsi="宋体" w:eastAsia="宋体" w:cs="Times New Roman"/>
                <w:sz w:val="24"/>
                <w:szCs w:val="24"/>
              </w:rPr>
            </w:pPr>
            <w:r>
              <w:rPr>
                <w:rFonts w:ascii="宋体" w:hAnsi="宋体" w:eastAsia="宋体" w:cs="Times New Roman"/>
                <w:sz w:val="24"/>
                <w:szCs w:val="24"/>
              </w:rPr>
              <w:t>1</w:t>
            </w:r>
          </w:p>
        </w:tc>
        <w:tc>
          <w:tcPr>
            <w:tcW w:w="3100" w:type="dxa"/>
            <w:vAlign w:val="center"/>
          </w:tcPr>
          <w:p>
            <w:pPr>
              <w:rPr>
                <w:rFonts w:ascii="宋体" w:hAnsi="Times New Roman" w:eastAsia="宋体" w:cs="Times New Roman"/>
                <w:sz w:val="24"/>
                <w:szCs w:val="24"/>
              </w:rPr>
            </w:pPr>
            <w:r>
              <w:rPr>
                <w:rFonts w:hint="eastAsia" w:ascii="宋体" w:hAnsi="宋体" w:eastAsia="宋体" w:cs="Times New Roman"/>
                <w:sz w:val="24"/>
                <w:szCs w:val="24"/>
              </w:rPr>
              <w:t>设备制造商同类型项目业绩</w:t>
            </w:r>
          </w:p>
        </w:tc>
        <w:tc>
          <w:tcPr>
            <w:tcW w:w="817" w:type="dxa"/>
            <w:vAlign w:val="center"/>
          </w:tcPr>
          <w:p>
            <w:pPr>
              <w:tabs>
                <w:tab w:val="left" w:pos="13965"/>
              </w:tabs>
              <w:jc w:val="center"/>
              <w:rPr>
                <w:rFonts w:ascii="宋体" w:hAnsi="宋体" w:eastAsia="宋体" w:cs="Times New Roman"/>
                <w:sz w:val="24"/>
                <w:szCs w:val="24"/>
              </w:rPr>
            </w:pPr>
            <w:r>
              <w:rPr>
                <w:rFonts w:hint="eastAsia" w:ascii="宋体" w:hAnsi="宋体" w:eastAsia="宋体" w:cs="Times New Roman"/>
                <w:sz w:val="24"/>
                <w:szCs w:val="24"/>
              </w:rPr>
              <w:t>3</w:t>
            </w:r>
          </w:p>
        </w:tc>
        <w:tc>
          <w:tcPr>
            <w:tcW w:w="7781" w:type="dxa"/>
            <w:vAlign w:val="center"/>
          </w:tcPr>
          <w:p>
            <w:pPr>
              <w:rPr>
                <w:rFonts w:ascii="宋体" w:hAnsi="宋体" w:eastAsia="宋体" w:cs="Times New Roman"/>
                <w:bCs/>
                <w:sz w:val="24"/>
                <w:szCs w:val="24"/>
              </w:rPr>
            </w:pPr>
            <w:r>
              <w:rPr>
                <w:rFonts w:hint="eastAsia" w:ascii="宋体" w:hAnsi="宋体" w:eastAsia="宋体" w:cs="Times New Roman"/>
                <w:bCs/>
                <w:sz w:val="24"/>
                <w:szCs w:val="24"/>
              </w:rPr>
              <w:t>由评标委员会成员独立进行客观、公正的评价，按照优、良、一般进行赋分，优得6分，良得4分，一般得2分（时间以签订日期为准）。</w:t>
            </w:r>
          </w:p>
          <w:p>
            <w:r>
              <w:rPr>
                <w:rFonts w:hint="eastAsia" w:ascii="宋体" w:hAnsi="宋体" w:eastAsia="宋体" w:cs="Times New Roman"/>
                <w:bCs/>
                <w:sz w:val="24"/>
                <w:szCs w:val="24"/>
              </w:rPr>
              <w:t>投标人在2019年1月1日以来在中国与本标同类规格产品的业绩，以合同复印件加盖公章为准（须有客户联系方式及联系人以供招标人核实确认）。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restart"/>
            <w:vAlign w:val="center"/>
          </w:tcPr>
          <w:p>
            <w:pPr>
              <w:jc w:val="center"/>
              <w:rPr>
                <w:rFonts w:ascii="宋体" w:hAnsi="宋体" w:eastAsia="宋体" w:cs="Times New Roman"/>
                <w:sz w:val="24"/>
                <w:szCs w:val="24"/>
              </w:rPr>
            </w:pPr>
            <w:r>
              <w:rPr>
                <w:rFonts w:hint="eastAsia" w:ascii="宋体" w:hAnsi="宋体" w:eastAsia="宋体" w:cs="Times New Roman"/>
                <w:sz w:val="24"/>
                <w:szCs w:val="24"/>
              </w:rPr>
              <w:t>产品技术</w:t>
            </w: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2</w:t>
            </w:r>
          </w:p>
        </w:tc>
        <w:tc>
          <w:tcPr>
            <w:tcW w:w="3100"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设备制造商装备制造能力、生产设备、加工工艺、完善程度</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3</w:t>
            </w:r>
          </w:p>
        </w:tc>
        <w:tc>
          <w:tcPr>
            <w:tcW w:w="7781" w:type="dxa"/>
            <w:vAlign w:val="center"/>
          </w:tcPr>
          <w:p>
            <w:pPr>
              <w:rPr>
                <w:rFonts w:ascii="宋体" w:hAnsi="Times New Roman" w:eastAsia="宋体" w:cs="Times New Roman"/>
                <w:sz w:val="24"/>
                <w:szCs w:val="24"/>
              </w:rPr>
            </w:pPr>
            <w:r>
              <w:rPr>
                <w:rFonts w:hint="eastAsia" w:ascii="宋体" w:hAnsi="宋体" w:eastAsia="宋体" w:cs="Times New Roman"/>
                <w:bCs/>
                <w:sz w:val="24"/>
                <w:szCs w:val="24"/>
              </w:rPr>
              <w:t>由评标委员会成员独立进行客观、公正的评价，按照优、良、一般进行赋分，优得6分，良得4分，一般得</w:t>
            </w:r>
            <w:r>
              <w:rPr>
                <w:rFonts w:hint="eastAsia" w:ascii="宋体" w:hAnsi="Times New Roman" w:eastAsia="宋体" w:cs="Times New Roman"/>
                <w:bCs/>
                <w:sz w:val="24"/>
                <w:szCs w:val="24"/>
              </w:rPr>
              <w:t>2</w:t>
            </w:r>
            <w:r>
              <w:rPr>
                <w:rFonts w:hint="eastAsia" w:ascii="宋体" w:hAnsi="宋体" w:eastAsia="宋体" w:cs="Times New Roman"/>
                <w:bCs/>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continue"/>
            <w:vAlign w:val="center"/>
          </w:tcPr>
          <w:p>
            <w:pPr>
              <w:jc w:val="center"/>
              <w:rPr>
                <w:rFonts w:ascii="宋体" w:hAnsi="宋体" w:eastAsia="宋体" w:cs="Times New Roman"/>
                <w:sz w:val="24"/>
                <w:szCs w:val="24"/>
              </w:rPr>
            </w:pPr>
          </w:p>
        </w:tc>
        <w:tc>
          <w:tcPr>
            <w:tcW w:w="533"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3</w:t>
            </w:r>
          </w:p>
        </w:tc>
        <w:tc>
          <w:tcPr>
            <w:tcW w:w="3100"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产品方案技术先进、各系统完善、性能可靠，设备主要核心部件，具备自身技术优势</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25</w:t>
            </w:r>
          </w:p>
        </w:tc>
        <w:tc>
          <w:tcPr>
            <w:tcW w:w="7781" w:type="dxa"/>
            <w:vAlign w:val="center"/>
          </w:tcPr>
          <w:p>
            <w:pPr>
              <w:rPr>
                <w:rFonts w:ascii="宋体" w:hAnsi="宋体" w:eastAsia="宋体" w:cs="Times New Roman"/>
                <w:sz w:val="24"/>
                <w:szCs w:val="24"/>
              </w:rPr>
            </w:pPr>
            <w:r>
              <w:rPr>
                <w:rFonts w:hint="eastAsia" w:ascii="宋体" w:hAnsi="宋体" w:eastAsia="宋体" w:cs="Times New Roman"/>
                <w:sz w:val="24"/>
                <w:szCs w:val="24"/>
              </w:rPr>
              <w:t>以下各项由评标委员会成员独立进行客观、公正的评价打分。</w:t>
            </w:r>
            <w:r>
              <w:rPr>
                <w:rFonts w:ascii="宋体" w:hAnsi="宋体" w:eastAsia="宋体" w:cs="Times New Roman"/>
                <w:sz w:val="24"/>
                <w:szCs w:val="24"/>
              </w:rPr>
              <w:t xml:space="preserve"> </w:t>
            </w:r>
          </w:p>
          <w:p>
            <w:pPr>
              <w:rPr>
                <w:rFonts w:ascii="宋体" w:hAnsi="Times New Roman" w:eastAsia="宋体" w:cs="Times New Roman"/>
                <w:sz w:val="24"/>
                <w:szCs w:val="24"/>
              </w:rPr>
            </w:pPr>
            <w:r>
              <w:rPr>
                <w:rFonts w:hint="eastAsia" w:ascii="宋体" w:hAnsi="宋体" w:eastAsia="宋体" w:cs="Times New Roman"/>
                <w:bCs/>
                <w:sz w:val="24"/>
                <w:szCs w:val="24"/>
              </w:rPr>
              <w:t>①定制系统方案已到达招标要求，设备主要核心部件，具备自身技术优势，打分</w:t>
            </w:r>
            <w:r>
              <w:rPr>
                <w:rFonts w:ascii="宋体" w:hAnsi="宋体" w:eastAsia="宋体" w:cs="Times New Roman"/>
                <w:bCs/>
                <w:sz w:val="24"/>
                <w:szCs w:val="24"/>
              </w:rPr>
              <w:t>0-</w:t>
            </w:r>
            <w:r>
              <w:rPr>
                <w:rFonts w:hint="eastAsia" w:ascii="宋体" w:hAnsi="宋体" w:eastAsia="宋体" w:cs="Times New Roman"/>
                <w:bCs/>
                <w:sz w:val="24"/>
                <w:szCs w:val="24"/>
              </w:rPr>
              <w:t>16分。</w:t>
            </w:r>
          </w:p>
          <w:p>
            <w:pPr>
              <w:rPr>
                <w:rFonts w:ascii="宋体" w:hAnsi="Times New Roman" w:eastAsia="宋体" w:cs="Times New Roman"/>
                <w:sz w:val="24"/>
                <w:szCs w:val="24"/>
              </w:rPr>
            </w:pPr>
            <w:r>
              <w:rPr>
                <w:rFonts w:hint="eastAsia" w:ascii="宋体" w:hAnsi="宋体" w:eastAsia="宋体" w:cs="Times New Roman"/>
                <w:bCs/>
                <w:sz w:val="24"/>
                <w:szCs w:val="24"/>
              </w:rPr>
              <w:t>②系统配置齐全，其精度、参数、技术水平、可靠性等优势明显，打分</w:t>
            </w:r>
            <w:r>
              <w:rPr>
                <w:rFonts w:ascii="宋体" w:hAnsi="宋体" w:eastAsia="宋体" w:cs="Times New Roman"/>
                <w:bCs/>
                <w:sz w:val="24"/>
                <w:szCs w:val="24"/>
              </w:rPr>
              <w:t>0-</w:t>
            </w:r>
            <w:r>
              <w:rPr>
                <w:rFonts w:hint="eastAsia" w:ascii="宋体" w:hAnsi="宋体" w:eastAsia="宋体" w:cs="Times New Roman"/>
                <w:bCs/>
                <w:sz w:val="24"/>
                <w:szCs w:val="24"/>
              </w:rPr>
              <w:t>16分</w:t>
            </w:r>
            <w:r>
              <w:rPr>
                <w:rFonts w:hint="eastAsia" w:ascii="宋体" w:hAnsi="宋体" w:eastAsia="宋体" w:cs="Times New Roman"/>
                <w:sz w:val="24"/>
                <w:szCs w:val="24"/>
              </w:rPr>
              <w:t>。</w:t>
            </w:r>
          </w:p>
          <w:p>
            <w:pPr>
              <w:rPr>
                <w:rFonts w:ascii="宋体" w:hAnsi="Times New Roman" w:eastAsia="宋体" w:cs="Times New Roman"/>
                <w:sz w:val="24"/>
                <w:szCs w:val="24"/>
              </w:rPr>
            </w:pPr>
            <w:r>
              <w:rPr>
                <w:rFonts w:hint="eastAsia" w:ascii="宋体" w:hAnsi="宋体" w:eastAsia="宋体" w:cs="Times New Roman"/>
                <w:sz w:val="24"/>
                <w:szCs w:val="24"/>
              </w:rPr>
              <w:t>③操作灵活方便，系统开放程度高，</w:t>
            </w:r>
            <w:r>
              <w:rPr>
                <w:rFonts w:hint="eastAsia" w:ascii="宋体" w:hAnsi="宋体" w:eastAsia="宋体" w:cs="Times New Roman"/>
                <w:bCs/>
                <w:sz w:val="24"/>
                <w:szCs w:val="24"/>
              </w:rPr>
              <w:t>打分</w:t>
            </w:r>
            <w:r>
              <w:rPr>
                <w:rFonts w:ascii="宋体" w:hAnsi="宋体" w:eastAsia="宋体" w:cs="Times New Roman"/>
                <w:bCs/>
                <w:sz w:val="24"/>
                <w:szCs w:val="24"/>
              </w:rPr>
              <w:t>0-</w:t>
            </w:r>
            <w:r>
              <w:rPr>
                <w:rFonts w:hint="eastAsia" w:ascii="宋体" w:hAnsi="宋体" w:eastAsia="宋体" w:cs="Times New Roman"/>
                <w:bCs/>
                <w:sz w:val="24"/>
                <w:szCs w:val="24"/>
              </w:rPr>
              <w:t>10分</w:t>
            </w:r>
            <w:r>
              <w:rPr>
                <w:rFonts w:hint="eastAsia" w:ascii="宋体" w:hAnsi="宋体" w:eastAsia="宋体" w:cs="Times New Roman"/>
                <w:sz w:val="24"/>
                <w:szCs w:val="24"/>
              </w:rPr>
              <w:t>。</w:t>
            </w:r>
          </w:p>
          <w:p>
            <w:pPr>
              <w:rPr>
                <w:rFonts w:ascii="宋体" w:hAnsi="Times New Roman" w:eastAsia="宋体" w:cs="Times New Roman"/>
                <w:sz w:val="24"/>
                <w:szCs w:val="24"/>
              </w:rPr>
            </w:pPr>
            <w:r>
              <w:rPr>
                <w:rFonts w:hint="eastAsia" w:ascii="宋体" w:hAnsi="宋体" w:eastAsia="宋体" w:cs="Times New Roman"/>
                <w:sz w:val="24"/>
                <w:szCs w:val="24"/>
              </w:rPr>
              <w:t>④综合评价，</w:t>
            </w:r>
            <w:r>
              <w:rPr>
                <w:rFonts w:hint="eastAsia" w:ascii="宋体" w:hAnsi="宋体" w:eastAsia="宋体" w:cs="Times New Roman"/>
                <w:bCs/>
                <w:sz w:val="24"/>
                <w:szCs w:val="24"/>
              </w:rPr>
              <w:t>打分</w:t>
            </w:r>
            <w:r>
              <w:rPr>
                <w:rFonts w:ascii="宋体" w:hAnsi="宋体" w:eastAsia="宋体" w:cs="Times New Roman"/>
                <w:bCs/>
                <w:sz w:val="24"/>
                <w:szCs w:val="24"/>
              </w:rPr>
              <w:t>0-</w:t>
            </w:r>
            <w:r>
              <w:rPr>
                <w:rFonts w:hint="eastAsia" w:ascii="宋体" w:hAnsi="宋体" w:eastAsia="宋体" w:cs="Times New Roman"/>
                <w:bCs/>
                <w:sz w:val="24"/>
                <w:szCs w:val="24"/>
              </w:rPr>
              <w:t>8分</w:t>
            </w:r>
            <w:r>
              <w:rPr>
                <w:rFonts w:hint="eastAsia" w:ascii="宋体" w:hAnsi="宋体"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答疑</w:t>
            </w:r>
          </w:p>
        </w:tc>
        <w:tc>
          <w:tcPr>
            <w:tcW w:w="533"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4</w:t>
            </w:r>
          </w:p>
        </w:tc>
        <w:tc>
          <w:tcPr>
            <w:tcW w:w="3100"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现场答疑</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4</w:t>
            </w:r>
          </w:p>
        </w:tc>
        <w:tc>
          <w:tcPr>
            <w:tcW w:w="7781" w:type="dxa"/>
            <w:vAlign w:val="center"/>
          </w:tcPr>
          <w:p>
            <w:pPr>
              <w:rPr>
                <w:rFonts w:ascii="宋体" w:hAnsi="Times New Roman" w:eastAsia="宋体" w:cs="Times New Roman"/>
                <w:bCs/>
                <w:sz w:val="24"/>
                <w:szCs w:val="24"/>
              </w:rPr>
            </w:pPr>
            <w:r>
              <w:rPr>
                <w:rFonts w:hint="eastAsia" w:ascii="宋体" w:hAnsi="宋体" w:eastAsia="宋体" w:cs="Times New Roman"/>
                <w:sz w:val="24"/>
                <w:szCs w:val="24"/>
              </w:rPr>
              <w:t>投标人代表对方案、技术优势的讲解，以及就该项目难点回答评标专家现场提问，打分0-8分。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技术偏离</w:t>
            </w: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5</w:t>
            </w:r>
          </w:p>
        </w:tc>
        <w:tc>
          <w:tcPr>
            <w:tcW w:w="3100" w:type="dxa"/>
            <w:vAlign w:val="center"/>
          </w:tcPr>
          <w:p>
            <w:pPr>
              <w:rPr>
                <w:rFonts w:ascii="宋体" w:hAnsi="Times New Roman" w:eastAsia="宋体" w:cs="Times New Roman"/>
                <w:sz w:val="24"/>
                <w:szCs w:val="24"/>
              </w:rPr>
            </w:pPr>
            <w:r>
              <w:rPr>
                <w:rFonts w:hint="eastAsia" w:ascii="宋体" w:hAnsi="宋体" w:eastAsia="宋体" w:cs="Times New Roman"/>
                <w:bCs/>
                <w:sz w:val="24"/>
                <w:szCs w:val="24"/>
              </w:rPr>
              <w:t>技术偏离</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6</w:t>
            </w:r>
          </w:p>
        </w:tc>
        <w:tc>
          <w:tcPr>
            <w:tcW w:w="7781" w:type="dxa"/>
            <w:vAlign w:val="center"/>
          </w:tcPr>
          <w:p>
            <w:pPr>
              <w:jc w:val="left"/>
              <w:rPr>
                <w:rFonts w:ascii="宋体" w:hAnsi="Times New Roman" w:eastAsia="宋体" w:cs="Times New Roman"/>
                <w:bCs/>
                <w:sz w:val="24"/>
                <w:szCs w:val="24"/>
              </w:rPr>
            </w:pPr>
            <w:r>
              <w:rPr>
                <w:rFonts w:hint="eastAsia" w:ascii="宋体" w:hAnsi="宋体" w:eastAsia="宋体" w:cs="Times New Roman"/>
                <w:bCs/>
                <w:sz w:val="24"/>
                <w:szCs w:val="24"/>
              </w:rPr>
              <w:t>由评标委员会成员独立进行客观、公正的评价，根据各投标人的核心产品的配置参数、技术偏离情况，在满足我司技术基本要求的前提下偏离，无偏离得满分12分，较大偏离每一项扣4分，一般偏离每一项扣2分，最低</w:t>
            </w:r>
            <w:r>
              <w:rPr>
                <w:rFonts w:ascii="宋体" w:hAnsi="Times New Roman" w:eastAsia="宋体" w:cs="Times New Roman"/>
                <w:bCs/>
                <w:sz w:val="24"/>
                <w:szCs w:val="24"/>
              </w:rPr>
              <w:t>0</w:t>
            </w:r>
            <w:r>
              <w:rPr>
                <w:rFonts w:hint="eastAsia" w:ascii="宋体" w:hAnsi="宋体" w:eastAsia="宋体" w:cs="Times New Roman"/>
                <w:bCs/>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restart"/>
            <w:vAlign w:val="center"/>
          </w:tcPr>
          <w:p>
            <w:pPr>
              <w:jc w:val="center"/>
              <w:rPr>
                <w:rFonts w:ascii="宋体" w:hAnsi="宋体" w:eastAsia="宋体" w:cs="Times New Roman"/>
                <w:sz w:val="24"/>
                <w:szCs w:val="24"/>
              </w:rPr>
            </w:pPr>
            <w:r>
              <w:rPr>
                <w:rFonts w:hint="eastAsia" w:ascii="宋体" w:hAnsi="宋体" w:eastAsia="宋体" w:cs="Times New Roman"/>
                <w:sz w:val="24"/>
                <w:szCs w:val="24"/>
              </w:rPr>
              <w:t>售后服务</w:t>
            </w: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6</w:t>
            </w:r>
          </w:p>
        </w:tc>
        <w:tc>
          <w:tcPr>
            <w:tcW w:w="3100" w:type="dxa"/>
            <w:vAlign w:val="center"/>
          </w:tcPr>
          <w:p>
            <w:pPr>
              <w:rPr>
                <w:rFonts w:ascii="宋体" w:hAnsi="Times New Roman" w:eastAsia="宋体" w:cs="Times New Roman"/>
                <w:sz w:val="24"/>
                <w:szCs w:val="24"/>
              </w:rPr>
            </w:pPr>
            <w:r>
              <w:rPr>
                <w:rFonts w:hint="eastAsia" w:ascii="宋体" w:hAnsi="宋体" w:eastAsia="宋体" w:cs="Times New Roman"/>
                <w:sz w:val="24"/>
                <w:szCs w:val="24"/>
              </w:rPr>
              <w:t>技术培训方案：对采购方人员的技术培训方案安排科学、合理、可行</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3</w:t>
            </w:r>
          </w:p>
        </w:tc>
        <w:tc>
          <w:tcPr>
            <w:tcW w:w="7781"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89"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continue"/>
            <w:vAlign w:val="center"/>
          </w:tcPr>
          <w:p>
            <w:pPr>
              <w:jc w:val="center"/>
              <w:rPr>
                <w:rFonts w:ascii="宋体" w:hAnsi="宋体" w:eastAsia="宋体" w:cs="Times New Roman"/>
                <w:sz w:val="24"/>
                <w:szCs w:val="24"/>
              </w:rPr>
            </w:pP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7</w:t>
            </w:r>
          </w:p>
        </w:tc>
        <w:tc>
          <w:tcPr>
            <w:tcW w:w="3100" w:type="dxa"/>
            <w:shd w:val="clear" w:color="auto" w:fill="auto"/>
            <w:vAlign w:val="center"/>
          </w:tcPr>
          <w:p>
            <w:pPr>
              <w:rPr>
                <w:rFonts w:ascii="宋体" w:hAnsi="Times New Roman" w:eastAsia="宋体" w:cs="Times New Roman"/>
                <w:sz w:val="24"/>
                <w:szCs w:val="24"/>
              </w:rPr>
            </w:pPr>
            <w:r>
              <w:rPr>
                <w:rFonts w:hint="eastAsia" w:ascii="宋体" w:hAnsi="宋体" w:eastAsia="宋体" w:cs="Times New Roman"/>
                <w:bCs/>
                <w:sz w:val="24"/>
                <w:szCs w:val="24"/>
              </w:rPr>
              <w:t>投标人在中国有常驻的专业技术力量的维保机构并具有实施本项目维保的专业技术人员：</w:t>
            </w:r>
          </w:p>
        </w:tc>
        <w:tc>
          <w:tcPr>
            <w:tcW w:w="817" w:type="dxa"/>
            <w:shd w:val="clear" w:color="auto" w:fill="auto"/>
            <w:vAlign w:val="center"/>
          </w:tcPr>
          <w:p>
            <w:pPr>
              <w:jc w:val="center"/>
              <w:rPr>
                <w:rFonts w:ascii="宋体" w:hAnsi="宋体" w:eastAsia="宋体" w:cs="Times New Roman"/>
                <w:sz w:val="24"/>
                <w:szCs w:val="24"/>
              </w:rPr>
            </w:pPr>
            <w:r>
              <w:rPr>
                <w:rFonts w:hint="eastAsia" w:ascii="宋体" w:hAnsi="宋体" w:eastAsia="宋体" w:cs="Times New Roman"/>
                <w:bCs/>
                <w:sz w:val="24"/>
                <w:szCs w:val="24"/>
              </w:rPr>
              <w:t>3</w:t>
            </w:r>
          </w:p>
        </w:tc>
        <w:tc>
          <w:tcPr>
            <w:tcW w:w="7781" w:type="dxa"/>
            <w:shd w:val="clear" w:color="auto" w:fill="auto"/>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89"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continue"/>
            <w:vAlign w:val="center"/>
          </w:tcPr>
          <w:p>
            <w:pPr>
              <w:jc w:val="center"/>
              <w:rPr>
                <w:rFonts w:ascii="宋体" w:hAnsi="宋体" w:eastAsia="宋体" w:cs="Times New Roman"/>
                <w:sz w:val="24"/>
                <w:szCs w:val="24"/>
              </w:rPr>
            </w:pP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8</w:t>
            </w:r>
          </w:p>
        </w:tc>
        <w:tc>
          <w:tcPr>
            <w:tcW w:w="3100" w:type="dxa"/>
            <w:vAlign w:val="center"/>
          </w:tcPr>
          <w:p>
            <w:pPr>
              <w:rPr>
                <w:rFonts w:ascii="宋体" w:hAnsi="Times New Roman" w:eastAsia="宋体" w:cs="Times New Roman"/>
                <w:sz w:val="24"/>
                <w:szCs w:val="24"/>
              </w:rPr>
            </w:pPr>
            <w:r>
              <w:rPr>
                <w:rFonts w:hint="eastAsia" w:ascii="宋体" w:hAnsi="宋体" w:eastAsia="宋体" w:cs="Times New Roman"/>
                <w:sz w:val="24"/>
                <w:szCs w:val="24"/>
              </w:rPr>
              <w:t>售后服务及时周到，有相应的服务承诺和具体的保证措施</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3</w:t>
            </w:r>
          </w:p>
        </w:tc>
        <w:tc>
          <w:tcPr>
            <w:tcW w:w="7781"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由评标委员会成员独立进行客观、公正的评价，按照优、良、一般进行赋分，优得6分，良得4分，一般得2分。</w:t>
            </w:r>
          </w:p>
        </w:tc>
      </w:tr>
    </w:tbl>
    <w:p>
      <w:pPr>
        <w:pStyle w:val="8"/>
        <w:rPr>
          <w:rFonts w:hAnsi="宋体" w:eastAsia="宋体" w:cs="Times New Roman"/>
          <w:b/>
          <w:color w:val="000000"/>
          <w:sz w:val="24"/>
          <w:szCs w:val="24"/>
        </w:rPr>
      </w:pPr>
    </w:p>
    <w:p>
      <w:pPr>
        <w:rPr>
          <w:rFonts w:ascii="宋体" w:hAnsi="宋体"/>
          <w:szCs w:val="24"/>
        </w:rPr>
      </w:pPr>
    </w:p>
    <w:p>
      <w:pPr>
        <w:rPr>
          <w:rFonts w:ascii="宋体" w:hAnsi="宋体" w:eastAsia="宋体" w:cs="Times New Roman"/>
          <w:b/>
          <w:bCs/>
          <w:sz w:val="24"/>
          <w:szCs w:val="24"/>
        </w:rPr>
      </w:pPr>
    </w:p>
    <w:p>
      <w:pPr>
        <w:pStyle w:val="2"/>
        <w:sectPr>
          <w:headerReference r:id="rId28" w:type="first"/>
          <w:footerReference r:id="rId30" w:type="first"/>
          <w:headerReference r:id="rId27" w:type="default"/>
          <w:footerReference r:id="rId29" w:type="default"/>
          <w:pgSz w:w="16838" w:h="11906" w:orient="landscape"/>
          <w:pgMar w:top="1418" w:right="1588" w:bottom="1418" w:left="1134" w:header="851" w:footer="992" w:gutter="0"/>
          <w:cols w:space="720" w:num="1"/>
          <w:titlePg/>
          <w:docGrid w:type="lines" w:linePitch="312" w:charSpace="0"/>
        </w:sectPr>
      </w:pPr>
    </w:p>
    <w:p>
      <w:pPr>
        <w:pStyle w:val="8"/>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2"/>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3"/>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4"/>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5"/>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ascii="宋体" w:hAnsi="宋体" w:eastAsia="宋体" w:cs="宋体"/>
          <w:color w:val="000000"/>
        </w:rPr>
      </w:pPr>
    </w:p>
    <w:p>
      <w: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6"/>
                    <a:stretch>
                      <a:fillRect/>
                    </a:stretch>
                  </pic:blipFill>
                  <pic:spPr>
                    <a:xfrm>
                      <a:off x="0" y="0"/>
                      <a:ext cx="5760085" cy="2810122"/>
                    </a:xfrm>
                    <a:prstGeom prst="rect">
                      <a:avLst/>
                    </a:prstGeom>
                  </pic:spPr>
                </pic:pic>
              </a:graphicData>
            </a:graphic>
          </wp:inline>
        </w:drawing>
      </w:r>
    </w:p>
    <w:p>
      <w:pPr>
        <w:pStyle w:val="8"/>
        <w:sectPr>
          <w:pgSz w:w="11906" w:h="16838"/>
          <w:pgMar w:top="1588" w:right="1418" w:bottom="1134" w:left="1418" w:header="851" w:footer="992" w:gutter="0"/>
          <w:cols w:space="720" w:num="1"/>
          <w:titlePg/>
          <w:docGrid w:type="lines" w:linePitch="312" w:charSpace="0"/>
        </w:sectPr>
      </w:pPr>
      <w: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7"/>
                    <a:stretch>
                      <a:fillRect/>
                    </a:stretch>
                  </pic:blipFill>
                  <pic:spPr>
                    <a:xfrm>
                      <a:off x="0" y="0"/>
                      <a:ext cx="5760085" cy="2820042"/>
                    </a:xfrm>
                    <a:prstGeom prst="rect">
                      <a:avLst/>
                    </a:prstGeom>
                  </pic:spPr>
                </pic:pic>
              </a:graphicData>
            </a:graphic>
          </wp:inline>
        </w:drawing>
      </w:r>
    </w:p>
    <w:p>
      <w:pPr>
        <w:pStyle w:val="8"/>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http://ecaitong.sinotruk.com:8012/</w:t>
      </w:r>
      <w:r>
        <w:rPr>
          <w:rStyle w:val="18"/>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初始密码：@2025</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38"/>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9"/>
                    <a:stretch>
                      <a:fillRect/>
                    </a:stretch>
                  </pic:blipFill>
                  <pic:spPr>
                    <a:xfrm>
                      <a:off x="0" y="0"/>
                      <a:ext cx="5760085" cy="2125673"/>
                    </a:xfrm>
                    <a:prstGeom prst="rect">
                      <a:avLst/>
                    </a:prstGeom>
                  </pic:spPr>
                </pic:pic>
              </a:graphicData>
            </a:graphic>
          </wp:inline>
        </w:drawing>
      </w:r>
    </w:p>
    <w:p>
      <w:pPr>
        <w:spacing w:line="360" w:lineRule="auto"/>
        <w:rPr>
          <w:sz w:val="24"/>
          <w:szCs w:val="28"/>
        </w:rPr>
      </w:pPr>
      <w:r>
        <w:rPr>
          <w:rFonts w:ascii="宋体" w:hAnsi="宋体" w:eastAsia="宋体" w:cs="宋体"/>
          <w:color w:val="000000"/>
          <w:sz w:val="24"/>
          <w:szCs w:val="28"/>
        </w:rPr>
        <w:t>点击投标按钮，进入详情页，输入投标报价并上传相应的附件。</w:t>
      </w:r>
    </w:p>
    <w:p>
      <w:pPr>
        <w:rPr>
          <w:rFonts w:eastAsia="Arial" w:cs="Arial"/>
          <w:color w:val="000000"/>
        </w:rPr>
      </w:pPr>
      <w:r>
        <w:rPr>
          <w:rFonts w:eastAsia="Arial" w:cs="Arial"/>
          <w:color w:val="000000"/>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0"/>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1"/>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rPr>
          <w:rFonts w:eastAsia="Arial" w:cs="Arial"/>
          <w:color w:val="000000"/>
        </w:rPr>
      </w:pPr>
      <w:r>
        <w:rPr>
          <w:rFonts w:eastAsia="Arial" w:cs="Arial"/>
          <w:color w:val="000000"/>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2"/>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3"/>
                    <a:stretch>
                      <a:fillRect/>
                    </a:stretch>
                  </pic:blipFill>
                  <pic:spPr>
                    <a:xfrm>
                      <a:off x="0" y="0"/>
                      <a:ext cx="5760085" cy="1956600"/>
                    </a:xfrm>
                    <a:prstGeom prst="rect">
                      <a:avLst/>
                    </a:prstGeom>
                  </pic:spPr>
                </pic:pic>
              </a:graphicData>
            </a:graphic>
          </wp:inline>
        </w:drawing>
      </w:r>
    </w:p>
    <w:p>
      <w:pPr>
        <w:pStyle w:val="8"/>
        <w:rPr>
          <w:rFonts w:hAnsi="宋体" w:eastAsia="宋体" w:cs="Times New Roman"/>
          <w:b/>
          <w:color w:val="000000"/>
          <w:sz w:val="24"/>
          <w:szCs w:val="24"/>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
      <w:pPr>
        <w:pStyle w:val="2"/>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新宋体">
    <w:panose1 w:val="02010609030101010101"/>
    <w:charset w:val="86"/>
    <w:family w:val="modern"/>
    <w:pitch w:val="default"/>
    <w:sig w:usb0="00000203" w:usb1="288F0000" w:usb2="00000006" w:usb3="00000000" w:csb0="00040001" w:csb1="00000000"/>
  </w:font>
  <w:font w:name="MiSans Demibold">
    <w:altName w:val="宋体"/>
    <w:panose1 w:val="00000000000000000000"/>
    <w:charset w:val="86"/>
    <w:family w:val="auto"/>
    <w:pitch w:val="default"/>
    <w:sig w:usb0="00000000" w:usb1="00000000" w:usb2="00000016" w:usb3="00000000" w:csb0="00040001" w:csb1="00000000"/>
  </w:font>
  <w:font w:name="华文仿宋">
    <w:panose1 w:val="02010600040101010101"/>
    <w:charset w:val="86"/>
    <w:family w:val="auto"/>
    <w:pitch w:val="default"/>
    <w:sig w:usb0="00000287" w:usb1="080F0000" w:usb2="00000000" w:usb3="00000000" w:csb0="0004009F" w:csb1="DFD70000"/>
  </w:font>
  <w:font w:name="Segoe UI Emoji">
    <w:panose1 w:val="020B0502040204020203"/>
    <w:charset w:val="00"/>
    <w:family w:val="swiss"/>
    <w:pitch w:val="default"/>
    <w:sig w:usb0="00000001" w:usb1="02000000" w:usb2="08000000" w:usb3="00000000" w:csb0="00000001"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6" name="文本框 10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laO5nC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7" name="文本框 10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v8lcEtAgAAWQ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lhLNFEp++vH9&#10;9PPh9OsbiYeQqLV+hsh7i9jQvTMdwodzj8PIvKucil9wIvBD4ONFYNEFwuOl6WQ6zeHi8A0b4GeP&#10;163z4b0wikSjoA4VTMKyw8aHPnQIidm0WTdSpipKTdqCXr1+k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v8lcE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8"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5DQDS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9"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3P/FA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lhLNFEp++vH9&#10;9PPh9OsbiYeQqLV+hsh7i9jQvTMdwodzj8PIvKucil9wIvBD4ONFYNEFwuOl6WQ6zeHi8A0b4GeP&#10;163z4b0wikSjoA4VTMKyw8aHPnQIidm0WTdSpipKTdqCXr1+k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3P/FA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67</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0" name="文本框 1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CGzs4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IbOzi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1" name="文本框 1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7Z4pMsAgAAWQ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tniky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2" name="文本框 1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w5lnQ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TDmWdC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64</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3" name="文本框 1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JmuiktAgAAWQ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v3o7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Jmuik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n/DmE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4DSWaKZT89OP7&#10;6efD6dc3Eg8hUWv9DJH3FrGhe2c6hA/nHoeReVc5Fb/gROCHwMeLwKILhMdL08l0msPF4Rs2wM8e&#10;r1vnw3thFIlGQR0qmIRlh40PfegQErNps26kTFWUmrQFvXr9N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n/DmE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66</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5"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egIjw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fXo3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egIjw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6" name="文本框 1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78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VAVts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tUBW2y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78</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7" name="文本框 1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sfeoYtAgAAWQ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4LSWaKZT89OP7&#10;6efD6dc3Eg8hUWv9DJH3FrGhe2c6hA/nHoeReVc5Fb/gROCHwMeLwKILhMdL08l0msPF4Rs2wM8e&#10;r1vnw3thFIlGQR0qmIRlh40PfegQErNps26kTFWUmrQFvXr9J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sfeoY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clear" w:pos="4153"/>
      </w:tabs>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9" name="文本框 9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wsU1ctAgAAVw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fU6KZQsVP37+d&#10;fvw6/fxKcAaBWutniHuwiAzdW9OhbYZzj8PIu6ucil8wIvBD3uNFXtEFwuOl6WQ6zeHi8A0b4GeP&#10;163z4Z0wikSjoA71S7Kyw8aHPnQIidm0WTdSphpKTdqCXr1+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wsU1ctAgAAVw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50</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52</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2"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bNp5My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3"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FVW4tAgAAWQQAAA4AAABkcnMvZTJvRG9jLnhtbK1UzY7TMBC+I/EO&#10;lu80aVes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qb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KFVW4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p>
    <w:pPr>
      <w:pStyle w:val="1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C5613B56"/>
    <w:multiLevelType w:val="singleLevel"/>
    <w:tmpl w:val="C5613B56"/>
    <w:lvl w:ilvl="0" w:tentative="0">
      <w:start w:val="2"/>
      <w:numFmt w:val="decimal"/>
      <w:lvlText w:val="%1."/>
      <w:lvlJc w:val="left"/>
      <w:pPr>
        <w:tabs>
          <w:tab w:val="left" w:pos="312"/>
        </w:tabs>
      </w:p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69B4CC2"/>
    <w:multiLevelType w:val="multilevel"/>
    <w:tmpl w:val="269B4CC2"/>
    <w:lvl w:ilvl="0" w:tentative="0">
      <w:start w:val="1"/>
      <w:numFmt w:val="decimal"/>
      <w:suff w:val="space"/>
      <w:lvlText w:val="%1."/>
      <w:lvlJc w:val="left"/>
      <w:pPr>
        <w:ind w:left="567" w:hanging="425"/>
      </w:pPr>
      <w:rPr>
        <w:rFonts w:hint="eastAsia"/>
      </w:rPr>
    </w:lvl>
    <w:lvl w:ilvl="1" w:tentative="0">
      <w:start w:val="1"/>
      <w:numFmt w:val="decimal"/>
      <w:pStyle w:val="22"/>
      <w:suff w:val="space"/>
      <w:lvlText w:val="%1.%2."/>
      <w:lvlJc w:val="left"/>
      <w:pPr>
        <w:ind w:left="425" w:hanging="425"/>
      </w:pPr>
      <w:rPr>
        <w:rFonts w:hint="eastAsia"/>
      </w:rPr>
    </w:lvl>
    <w:lvl w:ilvl="2" w:tentative="0">
      <w:start w:val="1"/>
      <w:numFmt w:val="decimal"/>
      <w:suff w:val="space"/>
      <w:lvlText w:val="%1.%2.%3."/>
      <w:lvlJc w:val="left"/>
      <w:pPr>
        <w:ind w:left="425" w:hanging="425"/>
      </w:pPr>
      <w:rPr>
        <w:rFonts w:hint="eastAsia"/>
      </w:rPr>
    </w:lvl>
    <w:lvl w:ilvl="3" w:tentative="0">
      <w:start w:val="1"/>
      <w:numFmt w:val="decimal"/>
      <w:suff w:val="space"/>
      <w:lvlText w:val="%1.%2.%3.%4."/>
      <w:lvlJc w:val="left"/>
      <w:pPr>
        <w:ind w:left="425" w:hanging="425"/>
      </w:pPr>
      <w:rPr>
        <w:rFonts w:hint="eastAsia"/>
      </w:rPr>
    </w:lvl>
    <w:lvl w:ilvl="4" w:tentative="0">
      <w:start w:val="1"/>
      <w:numFmt w:val="decimal"/>
      <w:suff w:val="space"/>
      <w:lvlText w:val="%1.%2.%3.%4.%5."/>
      <w:lvlJc w:val="left"/>
      <w:pPr>
        <w:ind w:left="425" w:hanging="425"/>
      </w:pPr>
      <w:rPr>
        <w:rFonts w:hint="eastAsia"/>
      </w:rPr>
    </w:lvl>
    <w:lvl w:ilvl="5" w:tentative="0">
      <w:start w:val="1"/>
      <w:numFmt w:val="decimal"/>
      <w:suff w:val="space"/>
      <w:lvlText w:val="%1.%2.%3.%4.%5.%6."/>
      <w:lvlJc w:val="left"/>
      <w:pPr>
        <w:ind w:left="425" w:hanging="425"/>
      </w:pPr>
      <w:rPr>
        <w:rFonts w:hint="eastAsia"/>
      </w:rPr>
    </w:lvl>
    <w:lvl w:ilvl="6" w:tentative="0">
      <w:start w:val="1"/>
      <w:numFmt w:val="decimal"/>
      <w:suff w:val="space"/>
      <w:lvlText w:val="%1.%2.%3.%4.%5.%6.%7."/>
      <w:lvlJc w:val="left"/>
      <w:pPr>
        <w:ind w:left="425" w:hanging="425"/>
      </w:pPr>
      <w:rPr>
        <w:rFonts w:hint="eastAsia"/>
      </w:rPr>
    </w:lvl>
    <w:lvl w:ilvl="7" w:tentative="0">
      <w:start w:val="1"/>
      <w:numFmt w:val="decimal"/>
      <w:suff w:val="space"/>
      <w:lvlText w:val="%1.%2.%3.%4.%5.%6.%7.%8."/>
      <w:lvlJc w:val="left"/>
      <w:pPr>
        <w:ind w:left="425" w:hanging="425"/>
      </w:pPr>
      <w:rPr>
        <w:rFonts w:hint="eastAsia"/>
      </w:rPr>
    </w:lvl>
    <w:lvl w:ilvl="8" w:tentative="0">
      <w:start w:val="1"/>
      <w:numFmt w:val="decimal"/>
      <w:suff w:val="space"/>
      <w:lvlText w:val="%1.%2.%3.%4.%5.%6.%7.%8.%9."/>
      <w:lvlJc w:val="left"/>
      <w:pPr>
        <w:ind w:left="425" w:hanging="425"/>
      </w:pPr>
      <w:rPr>
        <w:rFonts w:hint="eastAsia"/>
      </w:rPr>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338A2766"/>
    <w:multiLevelType w:val="singleLevel"/>
    <w:tmpl w:val="338A2766"/>
    <w:lvl w:ilvl="0" w:tentative="0">
      <w:start w:val="6"/>
      <w:numFmt w:val="decimal"/>
      <w:suff w:val="nothing"/>
      <w:lvlText w:val="%1）"/>
      <w:lvlJc w:val="left"/>
    </w:lvl>
  </w:abstractNum>
  <w:abstractNum w:abstractNumId="8">
    <w:nsid w:val="3F932BF2"/>
    <w:multiLevelType w:val="multilevel"/>
    <w:tmpl w:val="3F932BF2"/>
    <w:lvl w:ilvl="0" w:tentative="0">
      <w:start w:val="1"/>
      <w:numFmt w:val="bullet"/>
      <w:lvlText w:val=""/>
      <w:lvlJc w:val="left"/>
      <w:pPr>
        <w:ind w:left="900" w:hanging="420"/>
      </w:pPr>
      <w:rPr>
        <w:rFonts w:hint="default" w:ascii="Wingdings" w:hAnsi="Wingdings"/>
      </w:rPr>
    </w:lvl>
    <w:lvl w:ilvl="1" w:tentative="0">
      <w:start w:val="1"/>
      <w:numFmt w:val="bullet"/>
      <w:pStyle w:val="21"/>
      <w:lvlText w:val=""/>
      <w:lvlJc w:val="left"/>
      <w:pPr>
        <w:ind w:left="920" w:hanging="44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6E8C6948"/>
    <w:multiLevelType w:val="singleLevel"/>
    <w:tmpl w:val="6E8C6948"/>
    <w:lvl w:ilvl="0" w:tentative="0">
      <w:start w:val="1"/>
      <w:numFmt w:val="chineseCounting"/>
      <w:suff w:val="space"/>
      <w:lvlText w:val="第%1部分"/>
      <w:lvlJc w:val="left"/>
      <w:rPr>
        <w:rFonts w:hint="eastAsia"/>
      </w:rPr>
    </w:lvl>
  </w:abstractNum>
  <w:num w:numId="1">
    <w:abstractNumId w:val="8"/>
  </w:num>
  <w:num w:numId="2">
    <w:abstractNumId w:val="5"/>
  </w:num>
  <w:num w:numId="3">
    <w:abstractNumId w:val="10"/>
  </w:num>
  <w:num w:numId="4">
    <w:abstractNumId w:val="0"/>
  </w:num>
  <w:num w:numId="5">
    <w:abstractNumId w:val="1"/>
  </w:num>
  <w:num w:numId="6">
    <w:abstractNumId w:val="4"/>
  </w:num>
  <w:num w:numId="7">
    <w:abstractNumId w:val="3"/>
  </w:num>
  <w:num w:numId="8">
    <w:abstractNumId w:val="9"/>
  </w:num>
  <w:num w:numId="9">
    <w:abstractNumId w:val="2"/>
  </w:num>
  <w:num w:numId="10">
    <w:abstractNumId w:val="6"/>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F066F4"/>
    <w:rsid w:val="000114C3"/>
    <w:rsid w:val="0005140D"/>
    <w:rsid w:val="005C0053"/>
    <w:rsid w:val="00CA5DF9"/>
    <w:rsid w:val="099D278C"/>
    <w:rsid w:val="0DF066F4"/>
    <w:rsid w:val="0ECF0459"/>
    <w:rsid w:val="16EA5EFB"/>
    <w:rsid w:val="218D10BB"/>
    <w:rsid w:val="2ABA5D17"/>
    <w:rsid w:val="303B7E36"/>
    <w:rsid w:val="32033288"/>
    <w:rsid w:val="44F02017"/>
    <w:rsid w:val="457C07FB"/>
    <w:rsid w:val="46B93AAD"/>
    <w:rsid w:val="49757906"/>
    <w:rsid w:val="4B866A81"/>
    <w:rsid w:val="50CB7959"/>
    <w:rsid w:val="53585A2C"/>
    <w:rsid w:val="62983DD7"/>
    <w:rsid w:val="6B290FDE"/>
    <w:rsid w:val="6BEA6982"/>
    <w:rsid w:val="7C963C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99"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
    <w:pPr>
      <w:keepNext/>
      <w:keepLines/>
      <w:jc w:val="center"/>
      <w:outlineLvl w:val="0"/>
    </w:pPr>
    <w:rPr>
      <w:b/>
      <w:bCs/>
      <w:kern w:val="44"/>
      <w:sz w:val="36"/>
      <w:szCs w:val="44"/>
    </w:rPr>
  </w:style>
  <w:style w:type="paragraph" w:styleId="2">
    <w:name w:val="heading 2"/>
    <w:basedOn w:val="1"/>
    <w:next w:val="1"/>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99"/>
    <w:pPr>
      <w:adjustRightInd w:val="0"/>
      <w:spacing w:before="120" w:after="120" w:afterLines="50" w:line="360" w:lineRule="auto"/>
      <w:textAlignment w:val="baseline"/>
    </w:pPr>
    <w:rPr>
      <w:rFonts w:ascii="Calibri" w:hAnsi="Calibri" w:eastAsia="新宋体" w:cs="Times New Roman"/>
      <w:szCs w:val="21"/>
    </w:rPr>
  </w:style>
  <w:style w:type="paragraph" w:styleId="7">
    <w:name w:val="Body Text Indent"/>
    <w:basedOn w:val="1"/>
    <w:qFormat/>
    <w:uiPriority w:val="99"/>
    <w:pPr>
      <w:spacing w:after="120"/>
      <w:ind w:left="420" w:leftChars="200"/>
    </w:pPr>
    <w:rPr>
      <w:rFonts w:ascii="Calibri" w:hAnsi="Calibri" w:eastAsia="宋体" w:cs="Times New Roman"/>
      <w:szCs w:val="20"/>
    </w:rPr>
  </w:style>
  <w:style w:type="paragraph" w:styleId="8">
    <w:name w:val="Plain Text"/>
    <w:basedOn w:val="1"/>
    <w:qFormat/>
    <w:uiPriority w:val="0"/>
    <w:rPr>
      <w:rFonts w:ascii="宋体" w:hAnsi="Courier New"/>
    </w:rPr>
  </w:style>
  <w:style w:type="paragraph" w:styleId="9">
    <w:name w:val="footer"/>
    <w:basedOn w:val="1"/>
    <w:qFormat/>
    <w:uiPriority w:val="99"/>
    <w:pPr>
      <w:tabs>
        <w:tab w:val="center" w:pos="4153"/>
        <w:tab w:val="right" w:pos="8306"/>
      </w:tabs>
      <w:snapToGrid w:val="0"/>
      <w:jc w:val="left"/>
    </w:pPr>
    <w:rPr>
      <w:sz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rPr>
  </w:style>
  <w:style w:type="paragraph" w:styleId="11">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12">
    <w:name w:val="List"/>
    <w:basedOn w:val="1"/>
    <w:qFormat/>
    <w:uiPriority w:val="99"/>
    <w:pPr>
      <w:ind w:left="420" w:hanging="420"/>
    </w:pPr>
    <w:rPr>
      <w:rFonts w:ascii="Times New Roman" w:hAnsi="Times New Roman" w:eastAsia="宋体" w:cs="Times New Roman"/>
      <w:szCs w:val="20"/>
    </w:rPr>
  </w:style>
  <w:style w:type="paragraph" w:styleId="13">
    <w:name w:val="Body Text First Indent 2"/>
    <w:basedOn w:val="7"/>
    <w:semiHidden/>
    <w:qFormat/>
    <w:uiPriority w:val="99"/>
    <w:pPr>
      <w:spacing w:line="276" w:lineRule="auto"/>
      <w:ind w:firstLine="420" w:firstLineChars="200"/>
      <w:jc w:val="left"/>
    </w:pPr>
  </w:style>
  <w:style w:type="table" w:styleId="15">
    <w:name w:val="Table Grid"/>
    <w:basedOn w:val="1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Emphasis"/>
    <w:qFormat/>
    <w:uiPriority w:val="99"/>
    <w:rPr>
      <w:rFonts w:cs="Times New Roman"/>
      <w:color w:val="auto"/>
    </w:rPr>
  </w:style>
  <w:style w:type="character" w:styleId="18">
    <w:name w:val="Hyperlink"/>
    <w:basedOn w:val="16"/>
    <w:qFormat/>
    <w:uiPriority w:val="99"/>
    <w:rPr>
      <w:color w:val="1F4F88"/>
      <w:u w:val="none"/>
    </w:rPr>
  </w:style>
  <w:style w:type="character" w:customStyle="1" w:styleId="19">
    <w:name w:val="NormalCharacter"/>
    <w:qFormat/>
    <w:uiPriority w:val="0"/>
  </w:style>
  <w:style w:type="paragraph" w:customStyle="1" w:styleId="20">
    <w:name w:val="标书正文格式"/>
    <w:basedOn w:val="8"/>
    <w:qFormat/>
    <w:uiPriority w:val="0"/>
    <w:pPr>
      <w:spacing w:line="360" w:lineRule="auto"/>
      <w:ind w:firstLine="200" w:firstLineChars="200"/>
    </w:pPr>
    <w:rPr>
      <w:rFonts w:hAnsi="宋体"/>
      <w:color w:val="000000"/>
      <w:sz w:val="24"/>
      <w:szCs w:val="24"/>
    </w:rPr>
  </w:style>
  <w:style w:type="paragraph" w:customStyle="1" w:styleId="21">
    <w:name w:val="HR正文"/>
    <w:basedOn w:val="1"/>
    <w:qFormat/>
    <w:uiPriority w:val="0"/>
    <w:pPr>
      <w:numPr>
        <w:ilvl w:val="1"/>
        <w:numId w:val="1"/>
      </w:numPr>
      <w:spacing w:line="300" w:lineRule="auto"/>
    </w:pPr>
    <w:rPr>
      <w:sz w:val="24"/>
      <w:szCs w:val="24"/>
    </w:rPr>
  </w:style>
  <w:style w:type="paragraph" w:customStyle="1" w:styleId="22">
    <w:name w:val="二级标题"/>
    <w:next w:val="1"/>
    <w:qFormat/>
    <w:uiPriority w:val="0"/>
    <w:pPr>
      <w:numPr>
        <w:ilvl w:val="1"/>
        <w:numId w:val="2"/>
      </w:numPr>
      <w:spacing w:line="360" w:lineRule="auto"/>
      <w:outlineLvl w:val="4"/>
    </w:pPr>
    <w:rPr>
      <w:rFonts w:ascii="宋体" w:hAnsi="宋体" w:eastAsia="宋体" w:cs="MiSans Demibold"/>
      <w:b/>
      <w:bCs/>
      <w:kern w:val="2"/>
      <w:sz w:val="24"/>
      <w:szCs w:val="24"/>
      <w:lang w:val="en-US" w:eastAsia="zh-CN" w:bidi="ar-SA"/>
    </w:rPr>
  </w:style>
  <w:style w:type="paragraph" w:customStyle="1" w:styleId="23">
    <w:name w:val="表格"/>
    <w:basedOn w:val="1"/>
    <w:qFormat/>
    <w:uiPriority w:val="0"/>
    <w:pPr>
      <w:spacing w:line="300" w:lineRule="auto"/>
    </w:pPr>
    <w:rPr>
      <w:rFonts w:ascii="Times New Roman" w:hAnsi="Times New Roman" w:eastAsia="宋体"/>
      <w:szCs w:val="21"/>
    </w:rPr>
  </w:style>
  <w:style w:type="paragraph" w:customStyle="1" w:styleId="24">
    <w:name w:val="标书三级标题"/>
    <w:basedOn w:val="4"/>
    <w:next w:val="20"/>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25">
    <w:name w:val="Table Paragraph"/>
    <w:basedOn w:val="1"/>
    <w:qFormat/>
    <w:uiPriority w:val="1"/>
    <w:rPr>
      <w:rFonts w:ascii="宋体" w:hAnsi="宋体" w:eastAsia="宋体" w:cs="宋体"/>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HR正文表格"/>
    <w:basedOn w:val="1"/>
    <w:qFormat/>
    <w:uiPriority w:val="0"/>
    <w:pPr>
      <w:spacing w:beforeLines="25" w:afterLines="25" w:line="300" w:lineRule="auto"/>
    </w:pPr>
    <w:rPr>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6" Type="http://schemas.openxmlformats.org/officeDocument/2006/relationships/fontTable" Target="fontTable.xml"/><Relationship Id="rId45" Type="http://schemas.openxmlformats.org/officeDocument/2006/relationships/numbering" Target="numbering.xml"/><Relationship Id="rId44" Type="http://schemas.openxmlformats.org/officeDocument/2006/relationships/customXml" Target="../customXml/item1.xml"/><Relationship Id="rId43" Type="http://schemas.openxmlformats.org/officeDocument/2006/relationships/image" Target="media/image12.png"/><Relationship Id="rId42" Type="http://schemas.openxmlformats.org/officeDocument/2006/relationships/image" Target="media/image11.png"/><Relationship Id="rId41" Type="http://schemas.openxmlformats.org/officeDocument/2006/relationships/image" Target="media/image10.png"/><Relationship Id="rId40" Type="http://schemas.openxmlformats.org/officeDocument/2006/relationships/image" Target="media/image9.png"/><Relationship Id="rId4" Type="http://schemas.openxmlformats.org/officeDocument/2006/relationships/footer" Target="footer2.xml"/><Relationship Id="rId39" Type="http://schemas.openxmlformats.org/officeDocument/2006/relationships/image" Target="media/image8.png"/><Relationship Id="rId38" Type="http://schemas.openxmlformats.org/officeDocument/2006/relationships/image" Target="media/image7.png"/><Relationship Id="rId37" Type="http://schemas.openxmlformats.org/officeDocument/2006/relationships/image" Target="media/image6.png"/><Relationship Id="rId36" Type="http://schemas.openxmlformats.org/officeDocument/2006/relationships/image" Target="media/image5.png"/><Relationship Id="rId35" Type="http://schemas.openxmlformats.org/officeDocument/2006/relationships/image" Target="media/image4.png"/><Relationship Id="rId34" Type="http://schemas.openxmlformats.org/officeDocument/2006/relationships/image" Target="media/image3.png"/><Relationship Id="rId33" Type="http://schemas.openxmlformats.org/officeDocument/2006/relationships/image" Target="media/image2.png"/><Relationship Id="rId32" Type="http://schemas.openxmlformats.org/officeDocument/2006/relationships/image" Target="media/image1.png"/><Relationship Id="rId31" Type="http://schemas.openxmlformats.org/officeDocument/2006/relationships/theme" Target="theme/theme1.xml"/><Relationship Id="rId30" Type="http://schemas.openxmlformats.org/officeDocument/2006/relationships/footer" Target="footer23.xml"/><Relationship Id="rId3" Type="http://schemas.openxmlformats.org/officeDocument/2006/relationships/footer" Target="footer1.xml"/><Relationship Id="rId29" Type="http://schemas.openxmlformats.org/officeDocument/2006/relationships/footer" Target="footer22.xml"/><Relationship Id="rId28" Type="http://schemas.openxmlformats.org/officeDocument/2006/relationships/header" Target="header5.xml"/><Relationship Id="rId27" Type="http://schemas.openxmlformats.org/officeDocument/2006/relationships/header" Target="header4.xml"/><Relationship Id="rId26" Type="http://schemas.openxmlformats.org/officeDocument/2006/relationships/footer" Target="footer21.xml"/><Relationship Id="rId25" Type="http://schemas.openxmlformats.org/officeDocument/2006/relationships/footer" Target="footer20.xml"/><Relationship Id="rId24" Type="http://schemas.openxmlformats.org/officeDocument/2006/relationships/footer" Target="footer19.xml"/><Relationship Id="rId23" Type="http://schemas.openxmlformats.org/officeDocument/2006/relationships/footer" Target="footer18.xml"/><Relationship Id="rId22" Type="http://schemas.openxmlformats.org/officeDocument/2006/relationships/footer" Target="footer17.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78</Pages>
  <Words>6828</Words>
  <Characters>38923</Characters>
  <Lines>324</Lines>
  <Paragraphs>91</Paragraphs>
  <TotalTime>298</TotalTime>
  <ScaleCrop>false</ScaleCrop>
  <LinksUpToDate>false</LinksUpToDate>
  <CharactersWithSpaces>45660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2025-10-24T01:47:00Z</dcterms:created>
  <dc:creator>Lenovo</dc:creator>
  <cp:lastModifiedBy>赵力</cp:lastModifiedBy>
  <dcterms:modified xsi:type="dcterms:W3CDTF">2025-12-04T05:51:57Z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931D214854C84F94AFBFE5B5A82A0F39</vt:lpwstr>
  </property>
</Properties>
</file>