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b/>
          <w:bCs/>
          <w:color w:val="000000"/>
          <w:spacing w:val="-8"/>
          <w:sz w:val="48"/>
          <w:szCs w:val="48"/>
        </w:rPr>
        <w:t>特种车公司总七装配线复产新增工艺设备技改项目包3-新增拧紧设备项目</w:t>
      </w: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2"/>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：中国重汽集团济南特种车有限公司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12</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8"/>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
        <w:jc w:val="both"/>
        <w:rPr>
          <w:rFonts w:hint="eastAsia" w:ascii="仿宋_GB2312" w:hAnsi="仿宋_GB2312" w:eastAsia="仿宋_GB2312" w:cs="仿宋_GB2312"/>
          <w:sz w:val="44"/>
        </w:rPr>
      </w:pPr>
      <w:bookmarkStart w:id="0" w:name="_Toc15480"/>
      <w:bookmarkStart w:id="1" w:name="_Toc29994"/>
      <w:bookmarkStart w:id="2" w:name="_Toc22242"/>
      <w:bookmarkStart w:id="3" w:name="_Toc23693"/>
      <w:bookmarkStart w:id="4" w:name="_Toc5202"/>
    </w:p>
    <w:p>
      <w:pPr>
        <w:pStyle w:val="2"/>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项目名称：特种车公司总七装配线复产新增工艺设备技改项目包3-新增拧紧设备项目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项目编号：FSCZB2025110547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招标内容：根据集团公司安排，为适应市场需求，对总七</w:t>
            </w:r>
            <w:r>
              <w:rPr>
                <w:rFonts w:hint="eastAsia" w:ascii="仿宋_GB2312" w:hAnsi="仿宋_GB2312" w:eastAsia="仿宋_GB2312" w:cs="仿宋_GB2312"/>
                <w:b/>
                <w:bCs/>
                <w:sz w:val="24"/>
                <w:szCs w:val="24"/>
                <w:lang w:eastAsia="zh-CN"/>
              </w:rPr>
              <w:t>（</w:t>
            </w:r>
            <w:r>
              <w:rPr>
                <w:rFonts w:hint="eastAsia" w:ascii="仿宋_GB2312" w:hAnsi="仿宋_GB2312" w:eastAsia="仿宋_GB2312" w:cs="仿宋_GB2312"/>
                <w:b/>
                <w:bCs/>
                <w:sz w:val="24"/>
                <w:szCs w:val="24"/>
                <w:lang w:val="en-US" w:eastAsia="zh-CN"/>
              </w:rPr>
              <w:t>原卡车总一</w:t>
            </w:r>
            <w:r>
              <w:rPr>
                <w:rFonts w:hint="eastAsia" w:ascii="仿宋_GB2312" w:hAnsi="仿宋_GB2312" w:eastAsia="仿宋_GB2312" w:cs="仿宋_GB2312"/>
                <w:b/>
                <w:bCs/>
                <w:sz w:val="24"/>
                <w:szCs w:val="24"/>
                <w:lang w:eastAsia="zh-CN"/>
              </w:rPr>
              <w:t>）</w:t>
            </w:r>
            <w:r>
              <w:rPr>
                <w:rFonts w:hint="eastAsia" w:ascii="仿宋_GB2312" w:hAnsi="仿宋_GB2312" w:eastAsia="仿宋_GB2312" w:cs="仿宋_GB2312"/>
                <w:b/>
                <w:bCs/>
                <w:sz w:val="24"/>
                <w:szCs w:val="24"/>
              </w:rPr>
              <w:t>总装产线进行适应性改造，</w:t>
            </w:r>
            <w:r>
              <w:rPr>
                <w:rFonts w:hint="eastAsia" w:ascii="仿宋_GB2312" w:hAnsi="仿宋_GB2312" w:eastAsia="仿宋_GB2312" w:cs="仿宋_GB2312"/>
                <w:b/>
                <w:bCs/>
                <w:sz w:val="24"/>
                <w:szCs w:val="24"/>
                <w:lang w:val="en-US" w:eastAsia="zh-CN"/>
              </w:rPr>
              <w:t>新增油液加注设备、拧紧设备、起重设备等满足产线复产需求。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b/>
                <w:bCs/>
                <w:sz w:val="24"/>
                <w:szCs w:val="24"/>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招标人名称：中国重汽集团济南特种车有限公司</w:t>
            </w:r>
          </w:p>
          <w:p>
            <w:pPr>
              <w:ind w:firstLine="482" w:firstLineChars="200"/>
              <w:rPr>
                <w:rFonts w:hint="eastAsia" w:ascii="仿宋_GB2312" w:hAnsi="仿宋_GB2312" w:eastAsia="仿宋_GB2312" w:cs="仿宋_GB2312"/>
                <w:b/>
                <w:snapToGrid w:val="0"/>
                <w:kern w:val="0"/>
                <w:sz w:val="24"/>
                <w:szCs w:val="24"/>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snapToGrid w:val="0"/>
                <w:kern w:val="0"/>
                <w:sz w:val="24"/>
                <w:szCs w:val="24"/>
                <w:lang w:val="en-US" w:eastAsia="zh-CN"/>
              </w:rPr>
              <w:t>山东省济南市槐荫区经十西路3100号济南特种车公司</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技术联系人：</w:t>
            </w:r>
            <w:r>
              <w:rPr>
                <w:rFonts w:hint="eastAsia" w:ascii="宋体" w:hAnsi="宋体" w:eastAsia="宋体" w:cs="宋体"/>
                <w:b/>
                <w:snapToGrid w:val="0"/>
                <w:kern w:val="0"/>
                <w:sz w:val="24"/>
                <w:szCs w:val="24"/>
                <w:lang w:val="en-US" w:eastAsia="zh-CN"/>
              </w:rPr>
              <w:t>何文亮</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电话：15066696050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80.89</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拟标投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（2）拟投标人应具有相关招标项目的实施及服务能力，具有相应的生产及供货、安装能力；产品认证证书，安装资质。</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（3）拟投标人应提供营业执照副本原件和扫描件（需盖章）；</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（4）拟投标人应提供法定代表人资格证明文件；</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（5）拟投标人在国家市场监督管理总局的《国家企业信用信息公示系统》中查询不存在不良记录；</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（6）拟投标人不存在严重违规或被列入招标人“黑名单”的声明；</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（7）拟投标人2022年1月1日至今经第三方审计的公司财务报表（资产负债表、损益表、现金流量表）未显示异常；</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（8）拟投标人2022年1月1日至今供货实例，报名及投标时须提供用户清单、采购合同复印件；</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（9）拟投标人近三年内在经营活动中无与本项目有关的违法及重大违规情况；</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（10）拟投标人最近半年纳税正常；</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（11）拟投标人信用证明材料（征信报告）未显示异常；</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（12）拟投标人的直接或间接股东、法定代表人、董事、监事、高管非重汽员工及其亲属；</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w:t>
            </w:r>
            <w:r>
              <w:rPr>
                <w:rFonts w:hint="eastAsia" w:ascii="仿宋_GB2312" w:hAnsi="仿宋_GB2312" w:cs="仿宋_GB2312"/>
                <w:b w:val="0"/>
                <w:bCs w:val="0"/>
                <w:highlight w:val="none"/>
                <w:lang w:val="en-US" w:eastAsia="zh-CN"/>
              </w:rPr>
              <w:t>3</w:t>
            </w:r>
            <w:r>
              <w:rPr>
                <w:rFonts w:hint="eastAsia" w:ascii="仿宋_GB2312" w:hAnsi="仿宋_GB2312" w:eastAsia="仿宋_GB2312" w:cs="仿宋_GB2312"/>
                <w:b w:val="0"/>
                <w:bCs w:val="0"/>
                <w:highlight w:val="none"/>
              </w:rPr>
              <w:t>）与招标人存在利害关系可能影响招标公正性的法人、其他组织或者个人，不得参加投标。</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cs="仿宋_GB2312"/>
                <w:b w:val="0"/>
                <w:bCs w:val="0"/>
                <w:highlight w:val="none"/>
                <w:lang w:eastAsia="zh-CN"/>
              </w:rPr>
              <w:t>（</w:t>
            </w:r>
            <w:r>
              <w:rPr>
                <w:rFonts w:hint="eastAsia" w:ascii="仿宋_GB2312" w:hAnsi="仿宋_GB2312" w:cs="仿宋_GB2312"/>
                <w:b w:val="0"/>
                <w:bCs w:val="0"/>
                <w:highlight w:val="none"/>
                <w:lang w:val="en-US" w:eastAsia="zh-CN"/>
              </w:rPr>
              <w:t>14</w:t>
            </w:r>
            <w:r>
              <w:rPr>
                <w:rFonts w:hint="eastAsia" w:ascii="仿宋_GB2312" w:hAnsi="仿宋_GB2312" w:cs="仿宋_GB2312"/>
                <w:b w:val="0"/>
                <w:bCs w:val="0"/>
                <w:highlight w:val="none"/>
                <w:lang w:eastAsia="zh-CN"/>
              </w:rPr>
              <w:t>）</w:t>
            </w:r>
            <w:r>
              <w:rPr>
                <w:rFonts w:hint="eastAsia" w:ascii="仿宋_GB2312" w:hAnsi="仿宋_GB2312" w:cs="仿宋_GB2312"/>
                <w:b w:val="0"/>
                <w:bCs w:val="0"/>
                <w:highlight w:val="none"/>
                <w:lang w:val="en-US" w:eastAsia="zh-CN"/>
              </w:rPr>
              <w:t>不允许代理商投标</w:t>
            </w:r>
            <w:r>
              <w:rPr>
                <w:rFonts w:hint="eastAsia" w:ascii="仿宋_GB2312" w:hAnsi="仿宋_GB2312" w:eastAsia="仿宋_GB2312" w:cs="仿宋_GB2312"/>
                <w:b w:val="0"/>
                <w:bCs w:val="0"/>
                <w:highlight w:val="none"/>
              </w:rPr>
              <w:t>；</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color w:val="000000"/>
                <w:sz w:val="24"/>
                <w:szCs w:val="24"/>
              </w:rPr>
            </w:pPr>
            <w:r>
              <w:rPr>
                <w:rFonts w:hint="eastAsia" w:ascii="仿宋_GB2312" w:hAnsi="仿宋_GB2312" w:cs="仿宋_GB2312"/>
                <w:b w:val="0"/>
                <w:bCs w:val="0"/>
                <w:highlight w:val="none"/>
                <w:lang w:eastAsia="zh-CN"/>
              </w:rPr>
              <w:t>（</w:t>
            </w:r>
            <w:r>
              <w:rPr>
                <w:rFonts w:hint="eastAsia" w:ascii="仿宋_GB2312" w:hAnsi="仿宋_GB2312" w:cs="仿宋_GB2312"/>
                <w:b w:val="0"/>
                <w:bCs w:val="0"/>
                <w:highlight w:val="none"/>
                <w:lang w:val="en-US" w:eastAsia="zh-CN"/>
              </w:rPr>
              <w:t>15</w:t>
            </w:r>
            <w:r>
              <w:rPr>
                <w:rFonts w:hint="eastAsia" w:ascii="仿宋_GB2312" w:hAnsi="仿宋_GB2312" w:cs="仿宋_GB2312"/>
                <w:b w:val="0"/>
                <w:bCs w:val="0"/>
                <w:highlight w:val="none"/>
                <w:lang w:eastAsia="zh-CN"/>
              </w:rPr>
              <w:t>）</w:t>
            </w:r>
            <w:r>
              <w:rPr>
                <w:rFonts w:hint="eastAsia" w:ascii="仿宋_GB2312" w:hAnsi="仿宋_GB2312" w:eastAsia="仿宋_GB2312" w:cs="仿宋_GB2312"/>
                <w:b w:val="0"/>
                <w:bCs w:val="0"/>
                <w:highlight w:val="none"/>
              </w:rPr>
              <w:t>本项目不接受联合体投标，拟投标人必须是最终投标单位和签订合同单位，不得以任何理由将已中标项目以任何形式分包或转包给其他单位。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2025年12月11日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2025年12月19日</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2025年12月19日</w:t>
            </w:r>
            <w:r>
              <w:rPr>
                <w:rFonts w:hint="eastAsia" w:ascii="仿宋_GB2312" w:hAnsi="仿宋_GB2312" w:eastAsia="仿宋_GB2312" w:cs="仿宋_GB2312"/>
                <w:b/>
                <w:snapToGrid w:val="0"/>
                <w:kern w:val="0"/>
                <w:sz w:val="24"/>
                <w:szCs w:val="24"/>
                <w:highlight w:val="none"/>
              </w:rPr>
              <w:t>。</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2025年12月16</w:t>
            </w:r>
            <w:bookmarkStart w:id="156" w:name="_GoBack"/>
            <w:bookmarkEnd w:id="156"/>
            <w:r>
              <w:rPr>
                <w:rFonts w:hint="eastAsia" w:ascii="仿宋_GB2312" w:hAnsi="仿宋_GB2312" w:eastAsia="仿宋_GB2312" w:cs="仿宋_GB2312"/>
                <w:color w:val="000000"/>
                <w:sz w:val="24"/>
                <w:szCs w:val="24"/>
                <w:highlight w:val="green"/>
                <w:lang w:val="en-US" w:eastAsia="zh-CN"/>
              </w:rPr>
              <w:t>日17：00</w:t>
            </w:r>
            <w:r>
              <w:rPr>
                <w:rFonts w:hint="eastAsia" w:ascii="仿宋_GB2312" w:hAnsi="仿宋_GB2312" w:eastAsia="仿宋_GB2312" w:cs="仿宋_GB2312"/>
                <w:b/>
                <w:snapToGrid w:val="0"/>
                <w:kern w:val="0"/>
                <w:sz w:val="24"/>
                <w:szCs w:val="24"/>
                <w:highlight w:val="none"/>
              </w:rPr>
              <w:t>。</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2025年12月21日17：00</w:t>
            </w:r>
          </w:p>
          <w:p>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10000</w:t>
            </w:r>
            <w:r>
              <w:rPr>
                <w:rFonts w:hint="eastAsia" w:ascii="仿宋_GB2312" w:hAnsi="仿宋_GB2312" w:eastAsia="仿宋_GB2312" w:cs="仿宋_GB2312"/>
                <w:sz w:val="24"/>
                <w:szCs w:val="24"/>
              </w:rPr>
              <w:t>元</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 xml:space="preserve">开 户 行：中信银行济南舜耕支行 </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 xml:space="preserve">开户名称：中国重汽集团济南特种车有限公司 </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 xml:space="preserve">账    号：7372610182600060547 </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 xml:space="preserve">纳税人识别号：913701007806234860      </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联行号：302451037264</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2025年12月21日17：00</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2025年12月22日9：00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lang w:eastAsia="zh-CN"/>
              </w:rPr>
              <w:t>（</w:t>
            </w:r>
            <w:r>
              <w:rPr>
                <w:rFonts w:hint="eastAsia" w:ascii="仿宋_GB2312" w:hAnsi="仿宋_GB2312" w:eastAsia="仿宋_GB2312" w:cs="仿宋_GB2312"/>
                <w:b/>
                <w:bCs/>
                <w:color w:val="000000"/>
                <w:sz w:val="24"/>
                <w:szCs w:val="24"/>
                <w:lang w:val="en-US" w:eastAsia="zh-CN"/>
              </w:rPr>
              <w:t>以上时间若有调整以招标人实际要求为准</w:t>
            </w:r>
            <w:r>
              <w:rPr>
                <w:rFonts w:hint="eastAsia" w:ascii="仿宋_GB2312" w:hAnsi="仿宋_GB2312" w:eastAsia="仿宋_GB2312" w:cs="仿宋_GB2312"/>
                <w:b/>
                <w:bCs/>
                <w:color w:val="000000"/>
                <w:sz w:val="24"/>
                <w:szCs w:val="24"/>
                <w:lang w:eastAsia="zh-CN"/>
              </w:rPr>
              <w:t>）</w:t>
            </w:r>
          </w:p>
          <w:p>
            <w:pPr>
              <w:pStyle w:val="22"/>
              <w:ind w:firstLine="480" w:firstLineChars="200"/>
              <w:rPr>
                <w:rFonts w:hint="eastAsia" w:ascii="仿宋_GB2312" w:hAnsi="仿宋_GB2312" w:eastAsia="仿宋_GB2312" w:cs="仿宋_GB2312"/>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lang w:val="en-US" w:eastAsia="zh-CN"/>
              </w:rPr>
              <w:t>济南特种车公司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Cs/>
              </w:rPr>
            </w:pPr>
            <w:r>
              <w:rPr>
                <w:rFonts w:hint="eastAsia" w:ascii="仿宋_GB2312" w:hAnsi="仿宋_GB2312" w:eastAsia="仿宋_GB2312" w:cs="仿宋_GB2312"/>
                <w:bCs/>
              </w:rPr>
              <w:t>1.付款方式：</w:t>
            </w:r>
          </w:p>
          <w:p>
            <w:pPr>
              <w:pStyle w:val="131"/>
              <w:keepNext w:val="0"/>
              <w:keepLines w:val="0"/>
              <w:pageBreakBefore w:val="0"/>
              <w:widowControl w:val="0"/>
              <w:numPr>
                <w:ilvl w:val="1"/>
                <w:numId w:val="2"/>
              </w:numPr>
              <w:kinsoku/>
              <w:wordWrap/>
              <w:overflowPunct/>
              <w:topLinePunct w:val="0"/>
              <w:autoSpaceDE/>
              <w:autoSpaceDN/>
              <w:bidi w:val="0"/>
              <w:snapToGrid w:val="0"/>
              <w:spacing w:line="240" w:lineRule="atLeast"/>
              <w:ind w:left="880" w:leftChars="0" w:hanging="40" w:firstLineChars="0"/>
              <w:jc w:val="left"/>
              <w:textAlignment w:val="auto"/>
              <w:rPr>
                <w:rFonts w:hint="eastAsia" w:ascii="仿宋_GB2312" w:hAnsi="仿宋_GB2312" w:eastAsia="仿宋_GB2312" w:cs="仿宋_GB2312"/>
                <w:bCs/>
                <w:kern w:val="2"/>
                <w:sz w:val="28"/>
                <w:lang w:val="en-US" w:eastAsia="zh-CN" w:bidi="ar-SA"/>
              </w:rPr>
            </w:pPr>
            <w:r>
              <w:rPr>
                <w:rFonts w:hint="eastAsia" w:ascii="仿宋_GB2312" w:hAnsi="仿宋_GB2312" w:eastAsia="仿宋_GB2312" w:cs="仿宋_GB2312"/>
                <w:bCs/>
                <w:kern w:val="2"/>
                <w:sz w:val="28"/>
                <w:lang w:val="en-US" w:eastAsia="zh-CN" w:bidi="ar-SA"/>
              </w:rPr>
              <w:t>半年期商业汇票（包括银行承兑汇票和商业承兑汇票）</w:t>
            </w:r>
            <w:r>
              <w:rPr>
                <w:rFonts w:hint="eastAsia" w:ascii="仿宋_GB2312" w:hAnsi="仿宋_GB2312" w:cs="仿宋_GB2312"/>
                <w:bCs/>
                <w:kern w:val="2"/>
                <w:sz w:val="28"/>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default" w:ascii="仿宋_GB2312" w:hAnsi="仿宋_GB2312" w:eastAsia="仿宋_GB2312" w:cs="仿宋_GB2312"/>
                <w:bCs/>
                <w:lang w:val="en-US" w:eastAsia="zh-CN"/>
              </w:rPr>
            </w:pPr>
            <w:r>
              <w:rPr>
                <w:rFonts w:hint="eastAsia" w:ascii="仿宋_GB2312" w:hAnsi="仿宋_GB2312" w:cs="仿宋_GB2312"/>
                <w:bCs/>
                <w:lang w:val="en-US" w:eastAsia="zh-CN"/>
              </w:rPr>
              <w:t>2.</w:t>
            </w:r>
            <w:r>
              <w:rPr>
                <w:rFonts w:hint="eastAsia" w:ascii="仿宋_GB2312" w:hAnsi="仿宋_GB2312" w:eastAsia="仿宋_GB2312" w:cs="仿宋_GB2312"/>
                <w:bCs/>
                <w:lang w:val="en-US" w:eastAsia="zh-CN"/>
              </w:rPr>
              <w:t>付款节点</w:t>
            </w:r>
            <w:r>
              <w:rPr>
                <w:rFonts w:hint="eastAsia" w:ascii="仿宋_GB2312" w:hAnsi="仿宋_GB2312" w:cs="仿宋_GB2312"/>
                <w:bCs/>
                <w:lang w:val="en-US" w:eastAsia="zh-CN"/>
              </w:rPr>
              <w:t>:</w:t>
            </w:r>
          </w:p>
          <w:p>
            <w:pPr>
              <w:pStyle w:val="131"/>
              <w:keepNext w:val="0"/>
              <w:keepLines w:val="0"/>
              <w:pageBreakBefore w:val="0"/>
              <w:widowControl w:val="0"/>
              <w:numPr>
                <w:ilvl w:val="0"/>
                <w:numId w:val="0"/>
              </w:numPr>
              <w:kinsoku/>
              <w:wordWrap/>
              <w:overflowPunct/>
              <w:topLinePunct w:val="0"/>
              <w:autoSpaceDE/>
              <w:autoSpaceDN/>
              <w:bidi w:val="0"/>
              <w:snapToGrid w:val="0"/>
              <w:spacing w:line="240" w:lineRule="atLeast"/>
              <w:ind w:left="840" w:leftChars="0" w:firstLine="281" w:firstLineChars="100"/>
              <w:jc w:val="left"/>
              <w:textAlignment w:val="auto"/>
              <w:rPr>
                <w:rFonts w:hint="default" w:ascii="仿宋_GB2312" w:hAnsi="仿宋_GB2312" w:eastAsia="仿宋_GB2312" w:cs="仿宋_GB2312"/>
                <w:b/>
                <w:bCs w:val="0"/>
                <w:kern w:val="2"/>
                <w:sz w:val="28"/>
                <w:lang w:val="en-US" w:eastAsia="zh-CN" w:bidi="ar-SA"/>
              </w:rPr>
            </w:pPr>
            <w:r>
              <w:rPr>
                <w:rFonts w:hint="default" w:ascii="仿宋_GB2312" w:hAnsi="仿宋_GB2312" w:eastAsia="仿宋_GB2312" w:cs="仿宋_GB2312"/>
                <w:b/>
                <w:bCs w:val="0"/>
                <w:kern w:val="2"/>
                <w:sz w:val="28"/>
                <w:lang w:val="en-US" w:eastAsia="zh-CN" w:bidi="ar-SA"/>
              </w:rPr>
              <w:t>③</w:t>
            </w:r>
            <w:r>
              <w:rPr>
                <w:rFonts w:hint="eastAsia" w:ascii="仿宋_GB2312" w:hAnsi="仿宋_GB2312" w:cs="仿宋_GB2312"/>
                <w:b/>
                <w:bCs w:val="0"/>
                <w:kern w:val="2"/>
                <w:sz w:val="28"/>
                <w:lang w:val="en-US" w:eastAsia="zh-CN" w:bidi="ar-SA"/>
              </w:rPr>
              <w:t>3:6:1</w:t>
            </w:r>
            <w:r>
              <w:rPr>
                <w:rFonts w:hint="default" w:ascii="仿宋_GB2312" w:hAnsi="仿宋_GB2312" w:eastAsia="仿宋_GB2312" w:cs="仿宋_GB2312"/>
                <w:b/>
                <w:bCs w:val="0"/>
                <w:kern w:val="2"/>
                <w:sz w:val="28"/>
                <w:lang w:val="en-US" w:eastAsia="zh-CN" w:bidi="ar-SA"/>
              </w:rPr>
              <w:t xml:space="preserve"> ：</w:t>
            </w:r>
          </w:p>
          <w:p>
            <w:pPr>
              <w:pStyle w:val="131"/>
              <w:keepNext w:val="0"/>
              <w:keepLines w:val="0"/>
              <w:pageBreakBefore w:val="0"/>
              <w:widowControl w:val="0"/>
              <w:numPr>
                <w:ilvl w:val="0"/>
                <w:numId w:val="0"/>
              </w:numPr>
              <w:kinsoku/>
              <w:wordWrap/>
              <w:overflowPunct/>
              <w:topLinePunct w:val="0"/>
              <w:autoSpaceDE/>
              <w:autoSpaceDN/>
              <w:bidi w:val="0"/>
              <w:snapToGrid w:val="0"/>
              <w:spacing w:line="240" w:lineRule="atLeast"/>
              <w:ind w:left="840" w:leftChars="0" w:firstLine="560" w:firstLineChars="200"/>
              <w:jc w:val="left"/>
              <w:textAlignment w:val="auto"/>
              <w:rPr>
                <w:rFonts w:hint="default" w:ascii="仿宋_GB2312" w:hAnsi="仿宋_GB2312" w:eastAsia="仿宋_GB2312" w:cs="仿宋_GB2312"/>
                <w:bCs/>
                <w:kern w:val="2"/>
                <w:sz w:val="28"/>
                <w:lang w:val="en-US" w:eastAsia="zh-CN" w:bidi="ar-SA"/>
              </w:rPr>
            </w:pPr>
            <w:r>
              <w:rPr>
                <w:rFonts w:hint="default" w:ascii="仿宋_GB2312" w:hAnsi="仿宋_GB2312" w:eastAsia="仿宋_GB2312" w:cs="仿宋_GB2312"/>
                <w:bCs/>
                <w:kern w:val="2"/>
                <w:sz w:val="28"/>
                <w:lang w:val="en-US" w:eastAsia="zh-CN" w:bidi="ar-SA"/>
              </w:rPr>
              <w:t>A.设备全部到货后，中标人提交金额为合同价款30%的收据并提供合同价款30%的增值税专用发票（含复印件二份），经招标人依照财务制度审核通过后30日支付；</w:t>
            </w:r>
          </w:p>
          <w:p>
            <w:pPr>
              <w:pStyle w:val="131"/>
              <w:keepNext w:val="0"/>
              <w:keepLines w:val="0"/>
              <w:pageBreakBefore w:val="0"/>
              <w:widowControl w:val="0"/>
              <w:numPr>
                <w:ilvl w:val="0"/>
                <w:numId w:val="0"/>
              </w:numPr>
              <w:kinsoku/>
              <w:wordWrap/>
              <w:overflowPunct/>
              <w:topLinePunct w:val="0"/>
              <w:autoSpaceDE/>
              <w:autoSpaceDN/>
              <w:bidi w:val="0"/>
              <w:snapToGrid w:val="0"/>
              <w:spacing w:line="240" w:lineRule="atLeast"/>
              <w:ind w:left="840" w:leftChars="0" w:firstLine="560" w:firstLineChars="200"/>
              <w:jc w:val="left"/>
              <w:textAlignment w:val="auto"/>
              <w:rPr>
                <w:rFonts w:hint="default" w:ascii="仿宋_GB2312" w:hAnsi="仿宋_GB2312" w:eastAsia="仿宋_GB2312" w:cs="仿宋_GB2312"/>
                <w:bCs/>
                <w:kern w:val="2"/>
                <w:sz w:val="28"/>
                <w:lang w:val="en-US" w:eastAsia="zh-CN" w:bidi="ar-SA"/>
              </w:rPr>
            </w:pPr>
            <w:r>
              <w:rPr>
                <w:rFonts w:hint="default" w:ascii="仿宋_GB2312" w:hAnsi="仿宋_GB2312" w:eastAsia="仿宋_GB2312" w:cs="仿宋_GB2312"/>
                <w:bCs/>
                <w:kern w:val="2"/>
                <w:sz w:val="28"/>
                <w:lang w:val="en-US" w:eastAsia="zh-CN" w:bidi="ar-SA"/>
              </w:rPr>
              <w:t>B.设备验收合格后，中标人提交金额为合同价款60%的收据并提供合同价款70%的增值税专用发票（含复印件二份），经招标人依照财务制度审核通过后30日支付；</w:t>
            </w:r>
          </w:p>
          <w:p>
            <w:pPr>
              <w:ind w:firstLine="560" w:firstLineChars="200"/>
              <w:rPr>
                <w:rFonts w:hint="default" w:ascii="仿宋_GB2312" w:hAnsi="仿宋_GB2312" w:eastAsia="仿宋_GB2312" w:cs="仿宋_GB2312"/>
                <w:bCs/>
                <w:kern w:val="2"/>
                <w:sz w:val="28"/>
                <w:lang w:val="en-US" w:eastAsia="zh-CN" w:bidi="ar-SA"/>
              </w:rPr>
            </w:pPr>
            <w:r>
              <w:rPr>
                <w:rFonts w:hint="default" w:ascii="仿宋_GB2312" w:hAnsi="仿宋_GB2312" w:eastAsia="仿宋_GB2312" w:cs="仿宋_GB2312"/>
                <w:bCs/>
                <w:kern w:val="2"/>
                <w:sz w:val="28"/>
                <w:lang w:val="en-US" w:eastAsia="zh-CN" w:bidi="ar-SA"/>
              </w:rPr>
              <w:t>C.合同总价款的10%作为本合同约定设备的质量保证金，质量保证金在质量保证期内不计利息。质保期届满后支付。</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2"/>
        <w:numPr>
          <w:ilvl w:val="0"/>
          <w:numId w:val="3"/>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7" w:name="_Toc19183"/>
      <w:bookmarkStart w:id="8" w:name="_Toc27087"/>
      <w:bookmarkStart w:id="9" w:name="_Toc6577"/>
      <w:bookmarkStart w:id="10" w:name="_Toc427"/>
      <w:bookmarkStart w:id="11" w:name="_Toc9448"/>
      <w:bookmarkStart w:id="12" w:name="_Toc11216"/>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4"/>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4"/>
        <w:rPr>
          <w:rFonts w:hint="eastAsia" w:ascii="仿宋_GB2312" w:hAnsi="仿宋_GB2312" w:eastAsia="仿宋_GB2312" w:cs="仿宋_GB2312"/>
          <w:sz w:val="36"/>
          <w:szCs w:val="36"/>
        </w:rPr>
      </w:pPr>
      <w:bookmarkStart w:id="19" w:name="_Toc33267001"/>
      <w:bookmarkStart w:id="20" w:name="_Toc33266627"/>
      <w:bookmarkStart w:id="21" w:name="_Toc33265752"/>
      <w:bookmarkStart w:id="22" w:name="_Toc33266914"/>
      <w:bookmarkStart w:id="23" w:name="_Toc33285487"/>
      <w:bookmarkStart w:id="24" w:name="_Toc33266950"/>
      <w:bookmarkStart w:id="25" w:name="_Toc30534"/>
      <w:bookmarkStart w:id="26" w:name="_Toc33265653"/>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7002"/>
      <w:bookmarkStart w:id="29" w:name="_Toc33266951"/>
      <w:bookmarkStart w:id="30" w:name="_Toc33265654"/>
      <w:bookmarkStart w:id="31" w:name="_Toc33266915"/>
      <w:bookmarkStart w:id="32" w:name="_Toc33265753"/>
      <w:bookmarkStart w:id="33" w:name="_Toc395116634"/>
      <w:bookmarkStart w:id="34" w:name="_Toc33285489"/>
      <w:bookmarkStart w:id="35" w:name="_Toc33266628"/>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2"/>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7"/>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9"/>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4"/>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8"/>
      <w:bookmarkStart w:id="39" w:name="OLE_LINK27"/>
      <w:bookmarkStart w:id="40" w:name="OLE_LINK29"/>
      <w:bookmarkStart w:id="41" w:name="OLE_LINK26"/>
      <w:bookmarkStart w:id="42" w:name="OLE_LINK25"/>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4"/>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44" w:name="_Toc13002"/>
      <w:bookmarkStart w:id="45" w:name="_Toc31869"/>
      <w:bookmarkStart w:id="46" w:name="_Toc13479"/>
      <w:bookmarkStart w:id="47" w:name="_Toc2363"/>
      <w:bookmarkStart w:id="48" w:name="_Toc762"/>
      <w:bookmarkStart w:id="49" w:name="_Toc21022"/>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4"/>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4"/>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4"/>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2.5产品的技术服务和售后服务内容及措施；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2.6交货进度及计划；</w:t>
      </w:r>
    </w:p>
    <w:p>
      <w:pPr>
        <w:spacing w:line="360" w:lineRule="auto"/>
        <w:ind w:firstLine="480" w:firstLineChars="200"/>
        <w:rPr>
          <w:rFonts w:hint="eastAsia" w:ascii="仿宋_GB2312" w:hAnsi="仿宋_GB2312" w:eastAsia="仿宋_GB2312" w:cs="仿宋_GB2312"/>
          <w:color w:val="000000"/>
          <w:sz w:val="24"/>
          <w:szCs w:val="24"/>
        </w:rPr>
      </w:pPr>
      <w:bookmarkStart w:id="54" w:name="_Toc536542319"/>
      <w:r>
        <w:rPr>
          <w:rFonts w:hint="eastAsia" w:ascii="仿宋_GB2312" w:hAnsi="仿宋_GB2312" w:eastAsia="仿宋_GB2312" w:cs="仿宋_GB2312"/>
          <w:color w:val="000000"/>
          <w:sz w:val="24"/>
          <w:szCs w:val="24"/>
        </w:rPr>
        <w:t>2.7投标产品技术支持材料</w:t>
      </w:r>
      <w:bookmarkEnd w:id="54"/>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2.8设备质量承诺函（附件7）；</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2.9投标人需提交的其它资料。</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5" w:name="OLE_LINK18"/>
      <w:bookmarkStart w:id="56" w:name="OLE_LINK19"/>
      <w:r>
        <w:rPr>
          <w:rFonts w:hint="eastAsia" w:ascii="仿宋_GB2312" w:hAnsi="仿宋_GB2312" w:eastAsia="仿宋_GB2312" w:cs="仿宋_GB2312"/>
          <w:b/>
          <w:color w:val="000000"/>
          <w:sz w:val="24"/>
          <w:szCs w:val="24"/>
        </w:rPr>
        <w:t>；</w:t>
      </w:r>
      <w:bookmarkEnd w:id="55"/>
      <w:bookmarkEnd w:id="56"/>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4"/>
        <w:rPr>
          <w:rFonts w:hint="eastAsia" w:ascii="仿宋_GB2312" w:hAnsi="仿宋_GB2312" w:eastAsia="仿宋_GB2312" w:cs="仿宋_GB2312"/>
          <w:sz w:val="36"/>
          <w:szCs w:val="36"/>
        </w:rPr>
      </w:pPr>
      <w:bookmarkStart w:id="57" w:name="_Toc15748"/>
      <w:r>
        <w:rPr>
          <w:rFonts w:hint="eastAsia" w:ascii="仿宋_GB2312" w:hAnsi="仿宋_GB2312" w:eastAsia="仿宋_GB2312" w:cs="仿宋_GB2312"/>
          <w:sz w:val="36"/>
          <w:szCs w:val="36"/>
        </w:rPr>
        <w:t>四、投标文件格式</w:t>
      </w:r>
      <w:bookmarkEnd w:id="57"/>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bidi w:val="0"/>
        <w:rPr>
          <w:rFonts w:hint="eastAsia"/>
        </w:rPr>
      </w:pPr>
      <w:bookmarkStart w:id="58" w:name="_Toc23870"/>
      <w:bookmarkStart w:id="59" w:name="_Toc1884"/>
      <w:bookmarkStart w:id="60" w:name="_Toc3372"/>
      <w:bookmarkStart w:id="61" w:name="_Toc6346"/>
      <w:bookmarkStart w:id="62" w:name="_Toc13562"/>
      <w:bookmarkStart w:id="63" w:name="_Toc7110"/>
      <w:bookmarkStart w:id="64" w:name="_Toc30738"/>
      <w:bookmarkStart w:id="65" w:name="_Toc32378"/>
      <w:bookmarkStart w:id="66" w:name="_Toc18805"/>
      <w:bookmarkStart w:id="67" w:name="_Toc13605"/>
      <w:bookmarkStart w:id="68" w:name="_Toc6957"/>
      <w:bookmarkStart w:id="69" w:name="_Toc20467"/>
      <w:bookmarkStart w:id="70" w:name="_Toc4483"/>
      <w:bookmarkStart w:id="71" w:name="_Toc4029"/>
      <w:bookmarkStart w:id="72" w:name="_Toc16358"/>
      <w:bookmarkStart w:id="73" w:name="_Toc14517"/>
      <w:bookmarkStart w:id="74" w:name="_Toc3565"/>
      <w:bookmarkStart w:id="75" w:name="_Toc20272"/>
      <w:bookmarkStart w:id="76" w:name="_Toc28236"/>
      <w:bookmarkStart w:id="77" w:name="_Toc4532"/>
      <w:bookmarkStart w:id="78" w:name="_Toc21497"/>
      <w:bookmarkStart w:id="79" w:name="_Toc12714"/>
      <w:bookmarkStart w:id="80" w:name="_Toc8202"/>
      <w:bookmarkStart w:id="81" w:name="_Toc24913"/>
      <w:bookmarkStart w:id="82" w:name="_Toc18606"/>
      <w:bookmarkStart w:id="83" w:name="_Toc24964"/>
      <w:bookmarkStart w:id="84" w:name="_Toc4194"/>
      <w:bookmarkStart w:id="85" w:name="_Toc13555"/>
      <w:bookmarkStart w:id="86" w:name="_Toc18182"/>
      <w:bookmarkStart w:id="87" w:name="_Toc13988"/>
      <w:bookmarkStart w:id="88" w:name="_Toc8032"/>
      <w:bookmarkStart w:id="89" w:name="_Toc22649"/>
      <w:bookmarkStart w:id="90" w:name="_Toc12563"/>
      <w:bookmarkStart w:id="91" w:name="_Toc11355"/>
      <w:bookmarkStart w:id="92" w:name="_Toc7511"/>
      <w:bookmarkStart w:id="93" w:name="_Toc133783966"/>
      <w:bookmarkStart w:id="94" w:name="_Toc12552"/>
      <w:bookmarkStart w:id="95" w:name="_Toc19672"/>
    </w:p>
    <w:p>
      <w:pPr>
        <w:bidi w:val="0"/>
        <w:rPr>
          <w:rFonts w:hint="eastAsia"/>
        </w:rPr>
      </w:pPr>
    </w:p>
    <w:p>
      <w:pPr>
        <w:bidi w:val="0"/>
        <w:rPr>
          <w:rFonts w:hint="eastAsia"/>
        </w:rPr>
      </w:pPr>
    </w:p>
    <w:p>
      <w:pPr>
        <w:bidi w:val="0"/>
        <w:rPr>
          <w:rFonts w:hint="eastAsia"/>
        </w:rPr>
      </w:pPr>
    </w:p>
    <w:p>
      <w:pPr>
        <w:bidi w:val="0"/>
        <w:rPr>
          <w:rFonts w:hint="eastAsia"/>
        </w:rPr>
      </w:pPr>
    </w:p>
    <w:p>
      <w:pPr>
        <w:pStyle w:val="2"/>
        <w:numPr>
          <w:ilvl w:val="0"/>
          <w:numId w:val="10"/>
        </w:numPr>
        <w:spacing w:line="360" w:lineRule="auto"/>
        <w:rPr>
          <w:rFonts w:hint="eastAsia" w:ascii="仿宋_GB2312" w:hAnsi="仿宋_GB2312" w:eastAsia="仿宋_GB2312" w:cs="仿宋_GB2312"/>
          <w:sz w:val="44"/>
          <w:highlight w:val="green"/>
        </w:rPr>
      </w:pPr>
      <w:bookmarkStart w:id="96" w:name="_Toc10008"/>
      <w:r>
        <w:rPr>
          <w:rFonts w:hint="eastAsia" w:ascii="仿宋_GB2312" w:hAnsi="仿宋_GB2312" w:eastAsia="仿宋_GB2312" w:cs="仿宋_GB2312"/>
          <w:sz w:val="44"/>
          <w:highlight w:val="green"/>
        </w:rPr>
        <w:t>技术标书</w:t>
      </w:r>
      <w:bookmarkEnd w:id="96"/>
    </w:p>
    <w:p>
      <w:pPr>
        <w:rPr>
          <w:rFonts w:hint="eastAsia" w:ascii="仿宋_GB2312" w:hAnsi="仿宋_GB2312" w:eastAsia="仿宋_GB2312" w:cs="仿宋_GB2312"/>
          <w:sz w:val="44"/>
          <w:highlight w:val="green"/>
        </w:rPr>
        <w:sectPr>
          <w:headerReference r:id="rId8" w:type="default"/>
          <w:footerReference r:id="rId9" w:type="default"/>
          <w:pgSz w:w="11907" w:h="16840"/>
          <w:pgMar w:top="1304" w:right="1418" w:bottom="1304" w:left="1418" w:header="724" w:footer="851" w:gutter="0"/>
          <w:cols w:space="720" w:num="1"/>
          <w:docGrid w:linePitch="290" w:charSpace="-3931"/>
        </w:sectPr>
      </w:pPr>
    </w:p>
    <w:p>
      <w:pPr>
        <w:pStyle w:val="171"/>
        <w:jc w:val="both"/>
        <w:rPr>
          <w:rFonts w:hint="eastAsia"/>
        </w:rPr>
      </w:pPr>
      <w:bookmarkStart w:id="97" w:name="_Toc47976607"/>
    </w:p>
    <w:p>
      <w:pPr>
        <w:pStyle w:val="171"/>
        <w:jc w:val="both"/>
        <w:rPr>
          <w:rFonts w:hint="eastAsia"/>
        </w:rPr>
      </w:pPr>
    </w:p>
    <w:p>
      <w:pPr>
        <w:pStyle w:val="171"/>
        <w:jc w:val="center"/>
        <w:rPr>
          <w:rFonts w:hint="eastAsia"/>
        </w:rPr>
      </w:pPr>
      <w:bookmarkStart w:id="98" w:name="_Toc1910"/>
    </w:p>
    <w:bookmarkEnd w:id="97"/>
    <w:bookmarkEnd w:id="98"/>
    <w:p>
      <w:pPr>
        <w:keepNext w:val="0"/>
        <w:keepLines w:val="0"/>
        <w:widowControl w:val="0"/>
        <w:suppressLineNumbers w:val="0"/>
        <w:spacing w:before="0" w:beforeAutospacing="0" w:after="0" w:afterAutospacing="0"/>
        <w:ind w:left="0" w:right="0"/>
        <w:jc w:val="center"/>
        <w:rPr>
          <w:rFonts w:hint="eastAsia" w:ascii="Calibri" w:hAnsi="宋体" w:eastAsia="宋体" w:cs="Times New Roman"/>
          <w:b/>
          <w:bCs/>
          <w:color w:val="auto"/>
          <w:spacing w:val="-8"/>
          <w:sz w:val="48"/>
          <w:szCs w:val="44"/>
        </w:rPr>
      </w:pPr>
      <w:r>
        <w:rPr>
          <w:rFonts w:hint="eastAsia" w:ascii="Calibri" w:hAnsi="宋体" w:eastAsia="宋体" w:cs="Times New Roman"/>
          <w:b/>
          <w:bCs/>
          <w:color w:val="auto"/>
          <w:spacing w:val="-8"/>
          <w:sz w:val="48"/>
          <w:szCs w:val="44"/>
        </w:rPr>
        <w:t>特种车公司</w:t>
      </w:r>
    </w:p>
    <w:p>
      <w:pPr>
        <w:keepNext w:val="0"/>
        <w:keepLines w:val="0"/>
        <w:widowControl w:val="0"/>
        <w:suppressLineNumbers w:val="0"/>
        <w:spacing w:before="0" w:beforeAutospacing="0" w:after="0" w:afterAutospacing="0"/>
        <w:ind w:left="0" w:right="0"/>
        <w:jc w:val="center"/>
        <w:rPr>
          <w:rFonts w:ascii="Calibri" w:hAnsi="宋体" w:eastAsia="宋体" w:cs="Times New Roman"/>
          <w:b/>
          <w:bCs/>
          <w:color w:val="auto"/>
          <w:spacing w:val="-8"/>
          <w:sz w:val="48"/>
          <w:szCs w:val="44"/>
        </w:rPr>
      </w:pPr>
      <w:r>
        <w:rPr>
          <w:rFonts w:hint="eastAsia" w:ascii="Calibri" w:hAnsi="宋体" w:eastAsia="宋体" w:cs="Times New Roman"/>
          <w:b/>
          <w:bCs/>
          <w:color w:val="auto"/>
          <w:spacing w:val="-8"/>
          <w:sz w:val="48"/>
          <w:szCs w:val="44"/>
          <w:lang w:val="en-US" w:eastAsia="zh-CN"/>
        </w:rPr>
        <w:t>新增</w:t>
      </w:r>
      <w:r>
        <w:rPr>
          <w:rFonts w:hint="eastAsia" w:ascii="Calibri" w:hAnsi="宋体" w:cs="Times New Roman"/>
          <w:b/>
          <w:bCs/>
          <w:color w:val="auto"/>
          <w:spacing w:val="-8"/>
          <w:sz w:val="48"/>
          <w:szCs w:val="44"/>
          <w:lang w:val="en-US" w:eastAsia="zh-CN"/>
        </w:rPr>
        <w:t>拧紧</w:t>
      </w:r>
      <w:r>
        <w:rPr>
          <w:rFonts w:hint="eastAsia" w:ascii="Calibri" w:hAnsi="宋体" w:eastAsia="宋体" w:cs="Times New Roman"/>
          <w:b/>
          <w:bCs/>
          <w:color w:val="auto"/>
          <w:spacing w:val="-8"/>
          <w:sz w:val="48"/>
          <w:szCs w:val="44"/>
          <w:lang w:val="en-US" w:eastAsia="zh-CN"/>
        </w:rPr>
        <w:t>设备</w:t>
      </w:r>
      <w:r>
        <w:rPr>
          <w:rFonts w:hint="eastAsia" w:ascii="Calibri" w:hAnsi="宋体" w:eastAsia="宋体" w:cs="Times New Roman"/>
          <w:b/>
          <w:bCs/>
          <w:color w:val="auto"/>
          <w:spacing w:val="-8"/>
          <w:sz w:val="48"/>
          <w:szCs w:val="44"/>
        </w:rPr>
        <w:t>项目</w:t>
      </w:r>
    </w:p>
    <w:p>
      <w:pPr>
        <w:pStyle w:val="22"/>
        <w:framePr w:wrap="around" w:vAnchor="margin" w:hAnchor="text" w:y="1"/>
        <w:rPr>
          <w:color w:val="auto"/>
        </w:rPr>
      </w:pPr>
    </w:p>
    <w:p>
      <w:pPr>
        <w:jc w:val="center"/>
        <w:rPr>
          <w:rFonts w:ascii="黑体" w:hAnsi="宋体" w:eastAsia="黑体" w:cs="Times New Roman"/>
          <w:color w:val="auto"/>
          <w:sz w:val="72"/>
          <w:szCs w:val="72"/>
        </w:rPr>
      </w:pPr>
    </w:p>
    <w:p>
      <w:pPr>
        <w:jc w:val="center"/>
        <w:rPr>
          <w:rFonts w:ascii="黑体" w:hAnsi="宋体" w:eastAsia="黑体" w:cs="Times New Roman"/>
          <w:color w:val="auto"/>
          <w:sz w:val="72"/>
          <w:szCs w:val="72"/>
        </w:rPr>
      </w:pP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技</w:t>
      </w: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术</w:t>
      </w: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标</w:t>
      </w: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书</w:t>
      </w:r>
    </w:p>
    <w:p>
      <w:pPr>
        <w:pStyle w:val="22"/>
        <w:framePr w:wrap="around" w:vAnchor="margin" w:hAnchor="text" w:y="1"/>
        <w:rPr>
          <w:color w:val="auto"/>
        </w:rPr>
      </w:pPr>
    </w:p>
    <w:p>
      <w:pPr>
        <w:spacing w:line="860" w:lineRule="exact"/>
        <w:rPr>
          <w:rFonts w:ascii="华文仿宋" w:hAnsi="华文仿宋" w:eastAsia="华文仿宋"/>
          <w:b/>
          <w:bCs/>
          <w:color w:val="auto"/>
          <w:sz w:val="32"/>
          <w:szCs w:val="28"/>
        </w:rPr>
      </w:pPr>
      <w:r>
        <w:rPr>
          <w:rFonts w:hint="eastAsia" w:ascii="华文仿宋" w:hAnsi="华文仿宋" w:eastAsia="华文仿宋"/>
          <w:color w:val="auto"/>
          <w:sz w:val="32"/>
          <w:szCs w:val="28"/>
        </w:rPr>
        <w:t xml:space="preserve">                </w:t>
      </w:r>
      <w:r>
        <w:rPr>
          <w:rFonts w:hint="eastAsia" w:ascii="华文仿宋" w:hAnsi="华文仿宋" w:eastAsia="华文仿宋"/>
          <w:b/>
          <w:bCs/>
          <w:color w:val="auto"/>
          <w:sz w:val="32"/>
          <w:szCs w:val="28"/>
        </w:rPr>
        <w:t xml:space="preserve">           </w:t>
      </w:r>
    </w:p>
    <w:p>
      <w:pPr>
        <w:spacing w:line="860" w:lineRule="exact"/>
        <w:rPr>
          <w:rFonts w:ascii="华文仿宋" w:hAnsi="华文仿宋" w:eastAsia="华文仿宋"/>
          <w:b/>
          <w:bCs/>
          <w:color w:val="auto"/>
          <w:sz w:val="32"/>
          <w:szCs w:val="28"/>
        </w:rPr>
      </w:pPr>
      <w:r>
        <w:rPr>
          <w:rFonts w:hint="eastAsia" w:ascii="华文仿宋" w:hAnsi="华文仿宋" w:eastAsia="华文仿宋"/>
          <w:b/>
          <w:bCs/>
          <w:color w:val="auto"/>
          <w:sz w:val="32"/>
          <w:szCs w:val="28"/>
        </w:rPr>
        <w:t xml:space="preserve">                              </w:t>
      </w:r>
    </w:p>
    <w:p>
      <w:pPr>
        <w:spacing w:line="860" w:lineRule="exact"/>
        <w:rPr>
          <w:rFonts w:ascii="华文仿宋" w:hAnsi="华文仿宋" w:eastAsia="华文仿宋"/>
          <w:b/>
          <w:bCs/>
          <w:color w:val="auto"/>
          <w:sz w:val="32"/>
          <w:szCs w:val="28"/>
        </w:rPr>
      </w:pPr>
      <w:r>
        <w:rPr>
          <w:rFonts w:hint="eastAsia" w:ascii="华文仿宋" w:hAnsi="华文仿宋" w:eastAsia="华文仿宋"/>
          <w:b/>
          <w:bCs/>
          <w:color w:val="auto"/>
          <w:sz w:val="32"/>
          <w:szCs w:val="28"/>
        </w:rPr>
        <w:t xml:space="preserve">                      </w:t>
      </w:r>
    </w:p>
    <w:p>
      <w:pPr>
        <w:jc w:val="center"/>
        <w:rPr>
          <w:rFonts w:hint="eastAsia" w:ascii="宋体" w:hAnsi="宋体" w:eastAsia="宋体" w:cs="Times New Roman"/>
          <w:color w:val="auto"/>
          <w:sz w:val="28"/>
          <w:szCs w:val="28"/>
        </w:rPr>
      </w:pPr>
    </w:p>
    <w:p>
      <w:pPr>
        <w:jc w:val="center"/>
        <w:rPr>
          <w:rFonts w:hint="eastAsia" w:ascii="宋体" w:hAnsi="宋体" w:eastAsia="宋体" w:cs="Times New Roman"/>
          <w:color w:val="auto"/>
          <w:sz w:val="28"/>
          <w:szCs w:val="28"/>
        </w:rPr>
      </w:pPr>
    </w:p>
    <w:p>
      <w:pPr>
        <w:jc w:val="center"/>
        <w:rPr>
          <w:rFonts w:hint="eastAsia" w:ascii="Calibri" w:hAnsi="Calibri" w:eastAsia="宋体" w:cs="Times New Roman"/>
          <w:color w:val="auto"/>
          <w:sz w:val="28"/>
          <w:szCs w:val="28"/>
        </w:rPr>
      </w:pPr>
    </w:p>
    <w:p>
      <w:pPr>
        <w:jc w:val="center"/>
        <w:rPr>
          <w:rFonts w:hint="eastAsia" w:ascii="Calibri" w:hAnsi="Calibri" w:eastAsia="宋体" w:cs="Times New Roman"/>
          <w:color w:val="auto"/>
          <w:sz w:val="28"/>
          <w:szCs w:val="28"/>
        </w:rPr>
      </w:pPr>
    </w:p>
    <w:p>
      <w:pPr>
        <w:spacing w:line="480" w:lineRule="exact"/>
        <w:rPr>
          <w:rFonts w:ascii="黑体" w:hAnsi="宋体" w:eastAsia="黑体"/>
          <w:color w:val="auto"/>
        </w:rPr>
        <w:sectPr>
          <w:headerReference r:id="rId10" w:type="default"/>
          <w:footerReference r:id="rId11" w:type="default"/>
          <w:pgSz w:w="11906" w:h="16838"/>
          <w:pgMar w:top="1701" w:right="1418" w:bottom="1134" w:left="1701" w:header="1021" w:footer="680" w:gutter="0"/>
          <w:pgNumType w:start="1"/>
          <w:cols w:space="720" w:num="1"/>
          <w:docGrid w:type="lines" w:linePitch="312" w:charSpace="0"/>
        </w:sectPr>
      </w:pPr>
    </w:p>
    <w:p>
      <w:pPr>
        <w:pStyle w:val="2"/>
        <w:spacing w:before="120" w:after="120" w:line="480" w:lineRule="exact"/>
        <w:jc w:val="center"/>
        <w:rPr>
          <w:rFonts w:hint="eastAsia" w:ascii="黑体" w:eastAsia="黑体"/>
          <w:b w:val="0"/>
          <w:color w:val="auto"/>
          <w:sz w:val="24"/>
          <w:szCs w:val="24"/>
        </w:rPr>
      </w:pPr>
      <w:bookmarkStart w:id="99" w:name="_Toc28854"/>
      <w:bookmarkStart w:id="100" w:name="_Toc137705865"/>
      <w:bookmarkStart w:id="101" w:name="_Toc2567"/>
      <w:bookmarkStart w:id="102" w:name="_Toc2894"/>
      <w:bookmarkStart w:id="103" w:name="_Toc1271"/>
      <w:r>
        <w:rPr>
          <w:rFonts w:hint="eastAsia" w:ascii="黑体" w:eastAsia="黑体"/>
          <w:b w:val="0"/>
          <w:color w:val="auto"/>
          <w:sz w:val="24"/>
          <w:szCs w:val="24"/>
        </w:rPr>
        <w:t>第一章  采购货物概况</w:t>
      </w:r>
      <w:bookmarkEnd w:id="99"/>
      <w:bookmarkEnd w:id="100"/>
      <w:bookmarkEnd w:id="101"/>
      <w:bookmarkEnd w:id="102"/>
      <w:bookmarkEnd w:id="103"/>
    </w:p>
    <w:p>
      <w:pPr>
        <w:spacing w:line="480" w:lineRule="exact"/>
        <w:rPr>
          <w:rFonts w:hint="eastAsia" w:ascii="黑体" w:hAnsi="宋体" w:eastAsia="黑体"/>
          <w:color w:val="auto"/>
        </w:rPr>
      </w:pPr>
    </w:p>
    <w:p>
      <w:pPr>
        <w:pStyle w:val="4"/>
        <w:spacing w:before="120" w:after="120" w:line="480" w:lineRule="exact"/>
        <w:jc w:val="center"/>
        <w:rPr>
          <w:rFonts w:hint="eastAsia"/>
          <w:b w:val="0"/>
          <w:color w:val="auto"/>
          <w:sz w:val="24"/>
          <w:szCs w:val="24"/>
        </w:rPr>
      </w:pPr>
      <w:bookmarkStart w:id="104" w:name="_Toc9247"/>
      <w:bookmarkStart w:id="105" w:name="_Toc13953"/>
      <w:bookmarkStart w:id="106" w:name="_Toc137705866"/>
      <w:bookmarkStart w:id="107" w:name="_Toc13530"/>
      <w:bookmarkStart w:id="108" w:name="_Toc24900"/>
      <w:r>
        <w:rPr>
          <w:rFonts w:hint="eastAsia"/>
          <w:b w:val="0"/>
          <w:color w:val="auto"/>
          <w:sz w:val="24"/>
          <w:szCs w:val="24"/>
        </w:rPr>
        <w:t>第一节  使用环境</w:t>
      </w:r>
      <w:bookmarkEnd w:id="104"/>
      <w:bookmarkEnd w:id="105"/>
      <w:bookmarkEnd w:id="106"/>
      <w:bookmarkEnd w:id="107"/>
      <w:bookmarkEnd w:id="108"/>
    </w:p>
    <w:p>
      <w:pPr>
        <w:spacing w:line="480" w:lineRule="exact"/>
        <w:ind w:firstLine="420" w:firstLineChars="200"/>
        <w:rPr>
          <w:rFonts w:hint="eastAsia" w:ascii="黑体" w:hAnsi="宋体" w:eastAsia="黑体"/>
          <w:color w:val="auto"/>
          <w:u w:val="single"/>
          <w:shd w:val="pct10" w:color="auto" w:fill="FFFFFF"/>
        </w:rPr>
      </w:pPr>
      <w:r>
        <w:rPr>
          <w:rFonts w:hint="eastAsia" w:ascii="黑体" w:hAnsi="宋体" w:eastAsia="黑体"/>
          <w:color w:val="auto"/>
        </w:rPr>
        <w:t>一、项目名称：</w:t>
      </w:r>
      <w:r>
        <w:rPr>
          <w:rFonts w:hint="eastAsia" w:ascii="黑体" w:hAnsi="宋体" w:eastAsia="黑体"/>
          <w:color w:val="auto"/>
          <w:u w:val="single"/>
          <w:shd w:val="pct10" w:color="auto" w:fill="FFFFFF"/>
        </w:rPr>
        <w:t xml:space="preserve"> </w:t>
      </w:r>
      <w:r>
        <w:rPr>
          <w:rFonts w:hint="eastAsia" w:ascii="宋体" w:hAnsi="宋体" w:eastAsia="宋体" w:cs="宋体"/>
          <w:color w:val="auto"/>
          <w:u w:val="single"/>
          <w:shd w:val="pct10" w:color="auto" w:fill="FFFFFF"/>
          <w:lang w:val="en-US" w:eastAsia="zh-CN"/>
        </w:rPr>
        <w:t>特种车公司新增</w:t>
      </w:r>
      <w:r>
        <w:rPr>
          <w:rFonts w:hint="eastAsia" w:ascii="宋体" w:hAnsi="宋体" w:cs="宋体"/>
          <w:color w:val="auto"/>
          <w:u w:val="single"/>
          <w:shd w:val="pct10" w:color="auto" w:fill="FFFFFF"/>
          <w:lang w:val="en-US" w:eastAsia="zh-CN"/>
        </w:rPr>
        <w:t>拧紧设备</w:t>
      </w:r>
      <w:r>
        <w:rPr>
          <w:rFonts w:hint="eastAsia" w:ascii="宋体" w:hAnsi="宋体"/>
          <w:color w:val="auto"/>
          <w:u w:val="single"/>
          <w:shd w:val="pct10" w:color="auto" w:fill="FFFFFF"/>
        </w:rPr>
        <w:t>项目</w:t>
      </w:r>
      <w:r>
        <w:rPr>
          <w:rFonts w:hint="eastAsia" w:ascii="黑体" w:hAnsi="宋体" w:eastAsia="黑体"/>
          <w:color w:val="auto"/>
          <w:u w:val="single"/>
          <w:shd w:val="pct10" w:color="auto" w:fill="FFFFFF"/>
        </w:rPr>
        <w:t xml:space="preserve">   </w:t>
      </w:r>
    </w:p>
    <w:p>
      <w:pPr>
        <w:spacing w:line="480" w:lineRule="exact"/>
        <w:ind w:firstLine="420" w:firstLineChars="200"/>
        <w:rPr>
          <w:rFonts w:hint="eastAsia" w:ascii="宋体" w:hAnsi="宋体"/>
          <w:color w:val="auto"/>
        </w:rPr>
      </w:pPr>
      <w:r>
        <w:rPr>
          <w:rFonts w:hint="eastAsia" w:ascii="黑体" w:hAnsi="宋体" w:eastAsia="黑体"/>
          <w:color w:val="auto"/>
        </w:rPr>
        <w:t>二、建设地点：</w:t>
      </w:r>
      <w:r>
        <w:rPr>
          <w:rFonts w:hint="eastAsia" w:ascii="宋体" w:hAnsi="宋体"/>
          <w:color w:val="auto"/>
          <w:u w:val="single"/>
          <w:shd w:val="pct10" w:color="auto" w:fill="FFFFFF"/>
        </w:rPr>
        <w:t xml:space="preserve"> 中国重汽集团</w:t>
      </w:r>
      <w:r>
        <w:rPr>
          <w:rFonts w:hint="eastAsia" w:ascii="宋体" w:hAnsi="宋体"/>
          <w:color w:val="auto"/>
          <w:highlight w:val="none"/>
          <w:u w:val="single"/>
          <w:shd w:val="pct10" w:color="auto" w:fill="FFFFFF"/>
        </w:rPr>
        <w:t>济南</w:t>
      </w:r>
      <w:r>
        <w:rPr>
          <w:rFonts w:hint="eastAsia" w:ascii="宋体" w:hAnsi="宋体"/>
          <w:color w:val="auto"/>
          <w:highlight w:val="none"/>
          <w:u w:val="single"/>
          <w:shd w:val="pct10" w:color="auto" w:fill="FFFFFF"/>
          <w:lang w:val="en-US" w:eastAsia="zh-CN"/>
        </w:rPr>
        <w:t>特种车</w:t>
      </w:r>
      <w:r>
        <w:rPr>
          <w:rFonts w:hint="eastAsia" w:ascii="宋体" w:hAnsi="宋体"/>
          <w:color w:val="auto"/>
          <w:highlight w:val="none"/>
          <w:u w:val="single"/>
          <w:shd w:val="pct10" w:color="auto" w:fill="FFFFFF"/>
        </w:rPr>
        <w:t>有限公司</w:t>
      </w:r>
      <w:r>
        <w:rPr>
          <w:rFonts w:hint="eastAsia" w:ascii="宋体" w:hAnsi="宋体"/>
          <w:color w:val="auto"/>
          <w:highlight w:val="none"/>
          <w:u w:val="single"/>
          <w:shd w:val="pct10" w:color="auto" w:fill="FFFFFF"/>
          <w:lang w:val="en-US" w:eastAsia="zh-CN"/>
        </w:rPr>
        <w:t>总七车间</w:t>
      </w:r>
      <w:r>
        <w:rPr>
          <w:rFonts w:hint="eastAsia" w:ascii="宋体" w:hAnsi="宋体"/>
          <w:color w:val="auto"/>
          <w:u w:val="single"/>
          <w:shd w:val="pct10" w:color="auto" w:fill="FFFFFF"/>
        </w:rPr>
        <w:t xml:space="preserve">     </w:t>
      </w:r>
    </w:p>
    <w:p>
      <w:pPr>
        <w:spacing w:line="480" w:lineRule="exact"/>
        <w:ind w:firstLine="420" w:firstLineChars="200"/>
        <w:rPr>
          <w:rFonts w:hint="eastAsia" w:ascii="宋体" w:hAnsi="宋体"/>
          <w:color w:val="auto"/>
          <w:u w:val="single"/>
          <w:shd w:val="pct10" w:color="auto" w:fill="FFFFFF"/>
        </w:rPr>
      </w:pPr>
      <w:r>
        <w:rPr>
          <w:rFonts w:hint="eastAsia" w:ascii="黑体" w:hAnsi="宋体" w:eastAsia="黑体"/>
          <w:color w:val="auto"/>
        </w:rPr>
        <w:t>三、使用地点：</w:t>
      </w:r>
      <w:r>
        <w:rPr>
          <w:rFonts w:hint="eastAsia" w:ascii="宋体" w:hAnsi="宋体"/>
          <w:color w:val="auto"/>
          <w:u w:val="single"/>
          <w:shd w:val="pct10" w:color="auto" w:fill="FFFFFF"/>
        </w:rPr>
        <w:t xml:space="preserve"> 中国重汽集团</w:t>
      </w:r>
      <w:r>
        <w:rPr>
          <w:rFonts w:hint="eastAsia" w:ascii="宋体" w:hAnsi="宋体"/>
          <w:color w:val="auto"/>
          <w:highlight w:val="none"/>
          <w:u w:val="single"/>
          <w:shd w:val="pct10" w:color="auto" w:fill="FFFFFF"/>
        </w:rPr>
        <w:t>济南</w:t>
      </w:r>
      <w:r>
        <w:rPr>
          <w:rFonts w:hint="eastAsia" w:ascii="宋体" w:hAnsi="宋体"/>
          <w:color w:val="auto"/>
          <w:highlight w:val="none"/>
          <w:u w:val="single"/>
          <w:shd w:val="pct10" w:color="auto" w:fill="FFFFFF"/>
          <w:lang w:val="en-US" w:eastAsia="zh-CN"/>
        </w:rPr>
        <w:t>特种车</w:t>
      </w:r>
      <w:r>
        <w:rPr>
          <w:rFonts w:hint="eastAsia" w:ascii="宋体" w:hAnsi="宋体"/>
          <w:color w:val="auto"/>
          <w:highlight w:val="none"/>
          <w:u w:val="single"/>
          <w:shd w:val="pct10" w:color="auto" w:fill="FFFFFF"/>
        </w:rPr>
        <w:t>有限公司</w:t>
      </w:r>
      <w:r>
        <w:rPr>
          <w:rFonts w:hint="eastAsia" w:ascii="宋体" w:hAnsi="宋体"/>
          <w:color w:val="auto"/>
          <w:highlight w:val="none"/>
          <w:u w:val="single"/>
          <w:shd w:val="pct10" w:color="auto" w:fill="FFFFFF"/>
          <w:lang w:val="en-US" w:eastAsia="zh-CN"/>
        </w:rPr>
        <w:t>总七车间</w:t>
      </w:r>
      <w:r>
        <w:rPr>
          <w:rFonts w:hint="eastAsia" w:ascii="宋体" w:hAnsi="宋体"/>
          <w:color w:val="auto"/>
          <w:u w:val="single"/>
          <w:shd w:val="pct10" w:color="auto" w:fill="FFFFFF"/>
        </w:rPr>
        <w:t xml:space="preserve">  </w:t>
      </w:r>
    </w:p>
    <w:p>
      <w:pPr>
        <w:spacing w:line="480" w:lineRule="exact"/>
        <w:ind w:firstLine="420" w:firstLineChars="200"/>
        <w:rPr>
          <w:rFonts w:hint="eastAsia" w:ascii="宋体" w:hAnsi="宋体"/>
          <w:color w:val="auto"/>
        </w:rPr>
      </w:pPr>
      <w:r>
        <w:rPr>
          <w:rFonts w:hint="eastAsia" w:ascii="黑体" w:hAnsi="宋体" w:eastAsia="黑体"/>
          <w:color w:val="auto"/>
        </w:rPr>
        <w:t>四、工作制度：</w:t>
      </w:r>
      <w:r>
        <w:rPr>
          <w:rFonts w:hint="eastAsia" w:ascii="宋体" w:hAnsi="宋体"/>
          <w:color w:val="auto"/>
        </w:rPr>
        <w:t>全年工作</w:t>
      </w:r>
      <w:r>
        <w:rPr>
          <w:rFonts w:hint="eastAsia" w:ascii="宋体" w:hAnsi="宋体"/>
          <w:color w:val="auto"/>
          <w:lang w:val="en-US" w:eastAsia="zh-CN"/>
        </w:rPr>
        <w:t>300</w:t>
      </w:r>
      <w:r>
        <w:rPr>
          <w:rFonts w:hint="eastAsia" w:ascii="宋体" w:hAnsi="宋体"/>
          <w:color w:val="auto"/>
        </w:rPr>
        <w:t>天、</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1</w:t>
      </w:r>
      <w:r>
        <w:rPr>
          <w:rFonts w:hint="eastAsia" w:ascii="宋体" w:hAnsi="宋体"/>
          <w:color w:val="auto"/>
          <w:u w:val="single"/>
          <w:shd w:val="pct10" w:color="auto" w:fill="FFFFFF"/>
        </w:rPr>
        <w:t xml:space="preserve">  </w:t>
      </w:r>
      <w:r>
        <w:rPr>
          <w:rFonts w:hint="eastAsia" w:ascii="宋体" w:hAnsi="宋体"/>
          <w:color w:val="auto"/>
        </w:rPr>
        <w:t>班制、设备年时基数</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3</w:t>
      </w:r>
      <w:r>
        <w:rPr>
          <w:rFonts w:hint="eastAsia" w:ascii="宋体" w:hAnsi="宋体"/>
          <w:color w:val="auto"/>
          <w:u w:val="single"/>
          <w:shd w:val="pct10" w:color="auto" w:fill="FFFFFF"/>
        </w:rPr>
        <w:t xml:space="preserve">000 </w:t>
      </w:r>
      <w:r>
        <w:rPr>
          <w:rFonts w:hint="eastAsia" w:ascii="宋体" w:hAnsi="宋体"/>
          <w:color w:val="auto"/>
        </w:rPr>
        <w:t>小时</w:t>
      </w:r>
    </w:p>
    <w:p>
      <w:pPr>
        <w:spacing w:line="480" w:lineRule="exact"/>
        <w:ind w:firstLine="420" w:firstLineChars="200"/>
        <w:rPr>
          <w:rFonts w:hint="eastAsia" w:ascii="黑体" w:hAnsi="宋体" w:eastAsia="黑体"/>
          <w:color w:val="auto"/>
        </w:rPr>
      </w:pPr>
      <w:r>
        <w:rPr>
          <w:rFonts w:hint="eastAsia" w:ascii="黑体" w:hAnsi="宋体" w:eastAsia="黑体"/>
          <w:color w:val="auto"/>
        </w:rPr>
        <w:t>五、使用地点区域自然环境：</w:t>
      </w:r>
    </w:p>
    <w:p>
      <w:pPr>
        <w:spacing w:line="480" w:lineRule="exact"/>
        <w:ind w:firstLine="420" w:firstLineChars="200"/>
        <w:rPr>
          <w:rFonts w:hint="eastAsia" w:ascii="宋体" w:hAnsi="宋体"/>
          <w:color w:val="auto"/>
        </w:rPr>
      </w:pPr>
      <w:r>
        <w:rPr>
          <w:rFonts w:hint="eastAsia" w:ascii="宋体" w:hAnsi="宋体"/>
          <w:bCs/>
          <w:color w:val="auto"/>
        </w:rPr>
        <w:t>1、海拨高度：1000</w:t>
      </w:r>
      <w:r>
        <w:rPr>
          <w:rFonts w:ascii="宋体" w:hAnsi="宋体"/>
          <w:bCs/>
          <w:color w:val="auto"/>
        </w:rPr>
        <w:t>m</w:t>
      </w:r>
      <w:r>
        <w:rPr>
          <w:rFonts w:hint="eastAsia" w:ascii="宋体" w:hAnsi="宋体"/>
          <w:bCs/>
          <w:color w:val="auto"/>
        </w:rPr>
        <w:t>以下</w:t>
      </w:r>
    </w:p>
    <w:p>
      <w:pPr>
        <w:spacing w:line="480" w:lineRule="exact"/>
        <w:ind w:left="2047" w:leftChars="200" w:hanging="1627" w:hangingChars="775"/>
        <w:rPr>
          <w:rFonts w:hint="eastAsia" w:ascii="宋体" w:hAnsi="宋体"/>
          <w:color w:val="auto"/>
        </w:rPr>
      </w:pPr>
      <w:r>
        <w:rPr>
          <w:rFonts w:hint="eastAsia" w:ascii="宋体" w:hAnsi="宋体"/>
          <w:color w:val="auto"/>
        </w:rPr>
        <w:t>2、环境温度：室外极端最低温度-19.7℃、极端最高温度42℃，昼夜最大温</w:t>
      </w:r>
      <w:r>
        <w:rPr>
          <w:rFonts w:hint="eastAsia" w:ascii="宋体" w:hAnsi="宋体"/>
          <w:bCs/>
          <w:color w:val="auto"/>
        </w:rPr>
        <w:t>差25℃；室内温度5～40℃。</w:t>
      </w:r>
    </w:p>
    <w:p>
      <w:pPr>
        <w:spacing w:line="480" w:lineRule="exact"/>
        <w:ind w:firstLine="420" w:firstLineChars="200"/>
        <w:rPr>
          <w:rFonts w:hint="eastAsia" w:ascii="宋体" w:hAnsi="宋体"/>
          <w:color w:val="auto"/>
        </w:rPr>
      </w:pPr>
      <w:r>
        <w:rPr>
          <w:rFonts w:hint="eastAsia" w:ascii="宋体" w:hAnsi="宋体"/>
          <w:color w:val="auto"/>
        </w:rPr>
        <w:t>3、相对湿度：年平均59%，</w:t>
      </w:r>
      <w:r>
        <w:rPr>
          <w:rFonts w:hint="eastAsia" w:ascii="宋体" w:hAnsi="宋体"/>
          <w:bCs/>
          <w:color w:val="auto"/>
        </w:rPr>
        <w:t>最大95%、最小15%。</w:t>
      </w:r>
    </w:p>
    <w:p>
      <w:pPr>
        <w:spacing w:line="480" w:lineRule="exact"/>
        <w:ind w:firstLine="420" w:firstLineChars="200"/>
        <w:rPr>
          <w:rFonts w:hint="eastAsia" w:ascii="宋体" w:hAnsi="宋体"/>
          <w:color w:val="auto"/>
        </w:rPr>
      </w:pPr>
      <w:r>
        <w:rPr>
          <w:rFonts w:hint="eastAsia" w:ascii="宋体" w:hAnsi="宋体"/>
          <w:color w:val="auto"/>
        </w:rPr>
        <w:t>4、降雨量：日最大降雨量300mm、时最大降雨量100mm。</w:t>
      </w:r>
    </w:p>
    <w:p>
      <w:pPr>
        <w:spacing w:line="480" w:lineRule="exact"/>
        <w:ind w:firstLine="420" w:firstLineChars="200"/>
        <w:rPr>
          <w:rFonts w:hint="eastAsia" w:ascii="宋体" w:hAnsi="宋体"/>
          <w:color w:val="auto"/>
        </w:rPr>
      </w:pPr>
      <w:r>
        <w:rPr>
          <w:rFonts w:hint="eastAsia" w:ascii="宋体" w:hAnsi="宋体"/>
          <w:color w:val="auto"/>
        </w:rPr>
        <w:t>5、最大风速：33.3m/s。</w:t>
      </w:r>
    </w:p>
    <w:p>
      <w:pPr>
        <w:spacing w:line="480" w:lineRule="exact"/>
        <w:ind w:firstLine="420" w:firstLineChars="200"/>
        <w:rPr>
          <w:rFonts w:hint="eastAsia" w:ascii="宋体" w:hAnsi="宋体"/>
          <w:color w:val="auto"/>
        </w:rPr>
      </w:pPr>
      <w:r>
        <w:rPr>
          <w:rFonts w:hint="eastAsia" w:ascii="宋体" w:hAnsi="宋体"/>
          <w:color w:val="auto"/>
        </w:rPr>
        <w:t>6、最大积雪厚度：200mm。</w:t>
      </w:r>
    </w:p>
    <w:p>
      <w:pPr>
        <w:spacing w:line="480" w:lineRule="exact"/>
        <w:ind w:firstLine="420" w:firstLineChars="200"/>
        <w:rPr>
          <w:rFonts w:hint="eastAsia" w:ascii="宋体" w:hAnsi="宋体"/>
          <w:color w:val="auto"/>
        </w:rPr>
      </w:pPr>
      <w:r>
        <w:rPr>
          <w:rFonts w:hint="eastAsia" w:ascii="宋体" w:hAnsi="宋体"/>
          <w:color w:val="auto"/>
        </w:rPr>
        <w:t>7、最大冻土深度：450mm。</w:t>
      </w:r>
    </w:p>
    <w:p>
      <w:pPr>
        <w:spacing w:line="480" w:lineRule="exact"/>
        <w:ind w:firstLine="420" w:firstLineChars="200"/>
        <w:rPr>
          <w:rFonts w:hint="eastAsia" w:ascii="宋体" w:hAnsi="宋体"/>
          <w:color w:val="auto"/>
        </w:rPr>
      </w:pPr>
      <w:r>
        <w:rPr>
          <w:rFonts w:hint="eastAsia" w:ascii="宋体" w:hAnsi="宋体"/>
          <w:color w:val="auto"/>
        </w:rPr>
        <w:t>8、地震设防裂度：七度。</w:t>
      </w:r>
    </w:p>
    <w:p>
      <w:pPr>
        <w:spacing w:line="480" w:lineRule="exact"/>
        <w:ind w:firstLine="420" w:firstLineChars="200"/>
        <w:rPr>
          <w:rFonts w:hint="eastAsia" w:ascii="宋体" w:hAnsi="宋体"/>
          <w:color w:val="auto"/>
        </w:rPr>
      </w:pPr>
      <w:r>
        <w:rPr>
          <w:rFonts w:hint="eastAsia" w:ascii="黑体" w:hAnsi="宋体" w:eastAsia="黑体"/>
          <w:color w:val="auto"/>
        </w:rPr>
        <w:t>六、能源环境：</w:t>
      </w:r>
    </w:p>
    <w:p>
      <w:pPr>
        <w:spacing w:line="480" w:lineRule="exact"/>
        <w:ind w:firstLine="420" w:firstLineChars="200"/>
        <w:rPr>
          <w:rFonts w:hint="eastAsia" w:ascii="宋体" w:hAnsi="宋体"/>
          <w:color w:val="auto"/>
        </w:rPr>
      </w:pPr>
      <w:r>
        <w:rPr>
          <w:rFonts w:hint="eastAsia" w:ascii="宋体" w:hAnsi="宋体"/>
          <w:color w:val="auto"/>
        </w:rPr>
        <w:t>1、电力：中国制式，供电电压</w:t>
      </w:r>
      <w:r>
        <w:rPr>
          <w:rFonts w:ascii="宋体" w:hAnsi="宋体"/>
          <w:color w:val="auto"/>
        </w:rPr>
        <w:t>380V</w:t>
      </w:r>
      <w:r>
        <w:rPr>
          <w:rFonts w:hint="eastAsia" w:ascii="宋体" w:hAnsi="宋体"/>
          <w:color w:val="auto"/>
        </w:rPr>
        <w:t>±</w:t>
      </w:r>
      <w:r>
        <w:rPr>
          <w:rFonts w:ascii="宋体" w:hAnsi="宋体"/>
          <w:color w:val="auto"/>
        </w:rPr>
        <w:t>1</w:t>
      </w:r>
      <w:r>
        <w:rPr>
          <w:rFonts w:hint="eastAsia" w:ascii="宋体" w:hAnsi="宋体"/>
          <w:color w:val="auto"/>
        </w:rPr>
        <w:t>5</w:t>
      </w:r>
      <w:r>
        <w:rPr>
          <w:rFonts w:ascii="宋体" w:hAnsi="宋体"/>
          <w:color w:val="auto"/>
        </w:rPr>
        <w:t>%</w:t>
      </w:r>
      <w:r>
        <w:rPr>
          <w:rFonts w:hint="eastAsia" w:ascii="宋体" w:hAnsi="宋体"/>
          <w:color w:val="auto"/>
        </w:rPr>
        <w:t>/220V±</w:t>
      </w:r>
      <w:r>
        <w:rPr>
          <w:rFonts w:ascii="宋体" w:hAnsi="宋体"/>
          <w:color w:val="auto"/>
        </w:rPr>
        <w:t>1</w:t>
      </w:r>
      <w:r>
        <w:rPr>
          <w:rFonts w:hint="eastAsia" w:ascii="宋体" w:hAnsi="宋体"/>
          <w:color w:val="auto"/>
        </w:rPr>
        <w:t>5</w:t>
      </w:r>
      <w:r>
        <w:rPr>
          <w:rFonts w:ascii="宋体" w:hAnsi="宋体"/>
          <w:color w:val="auto"/>
        </w:rPr>
        <w:t>%</w:t>
      </w:r>
      <w:r>
        <w:rPr>
          <w:rFonts w:hint="eastAsia" w:ascii="宋体" w:hAnsi="宋体"/>
          <w:color w:val="auto"/>
        </w:rPr>
        <w:t>，供电频率</w:t>
      </w:r>
      <w:r>
        <w:rPr>
          <w:rFonts w:ascii="宋体" w:hAnsi="宋体"/>
          <w:color w:val="auto"/>
        </w:rPr>
        <w:t>50Hz</w:t>
      </w:r>
      <w:r>
        <w:rPr>
          <w:rFonts w:hint="eastAsia" w:ascii="宋体" w:hAnsi="宋体"/>
          <w:color w:val="auto"/>
        </w:rPr>
        <w:t>±</w:t>
      </w:r>
      <w:r>
        <w:rPr>
          <w:rFonts w:ascii="宋体" w:hAnsi="宋体"/>
          <w:color w:val="auto"/>
        </w:rPr>
        <w:t>2%</w:t>
      </w:r>
      <w:r>
        <w:rPr>
          <w:rFonts w:hint="eastAsia" w:ascii="宋体" w:hAnsi="宋体"/>
          <w:color w:val="auto"/>
        </w:rPr>
        <w:t>。</w:t>
      </w:r>
    </w:p>
    <w:p>
      <w:pPr>
        <w:spacing w:line="480" w:lineRule="exact"/>
        <w:ind w:firstLine="420" w:firstLineChars="200"/>
        <w:rPr>
          <w:rFonts w:hint="eastAsia" w:ascii="宋体" w:hAnsi="宋体"/>
          <w:color w:val="auto"/>
        </w:rPr>
      </w:pPr>
      <w:r>
        <w:rPr>
          <w:rFonts w:hint="eastAsia" w:ascii="宋体" w:hAnsi="宋体"/>
          <w:color w:val="auto"/>
        </w:rPr>
        <w:t>2、压缩空气：自备空压机自产压缩空气，</w:t>
      </w:r>
      <w:r>
        <w:rPr>
          <w:rFonts w:ascii="宋体" w:hAnsi="宋体"/>
          <w:color w:val="auto"/>
        </w:rPr>
        <w:t>0.</w:t>
      </w:r>
      <w:r>
        <w:rPr>
          <w:rFonts w:hint="eastAsia" w:ascii="宋体" w:hAnsi="宋体"/>
          <w:color w:val="auto"/>
          <w:lang w:val="en-US" w:eastAsia="zh-CN"/>
        </w:rPr>
        <w:t>5</w:t>
      </w:r>
      <w:r>
        <w:rPr>
          <w:rFonts w:hint="eastAsia" w:ascii="宋体" w:hAnsi="宋体"/>
          <w:color w:val="auto"/>
        </w:rPr>
        <w:t>～0.</w:t>
      </w:r>
      <w:r>
        <w:rPr>
          <w:rFonts w:hint="eastAsia" w:ascii="宋体" w:hAnsi="宋体"/>
          <w:color w:val="auto"/>
          <w:lang w:val="en-US" w:eastAsia="zh-CN"/>
        </w:rPr>
        <w:t>8</w:t>
      </w:r>
      <w:r>
        <w:rPr>
          <w:rFonts w:ascii="宋体" w:hAnsi="宋体"/>
          <w:color w:val="auto"/>
        </w:rPr>
        <w:t>M</w:t>
      </w:r>
      <w:r>
        <w:rPr>
          <w:rFonts w:hint="eastAsia" w:ascii="宋体" w:hAnsi="宋体"/>
          <w:color w:val="auto"/>
        </w:rPr>
        <w:t>P</w:t>
      </w:r>
      <w:r>
        <w:rPr>
          <w:rFonts w:ascii="宋体" w:hAnsi="宋体"/>
          <w:color w:val="auto"/>
        </w:rPr>
        <w:t>a</w:t>
      </w:r>
      <w:r>
        <w:rPr>
          <w:rFonts w:hint="eastAsia" w:ascii="宋体" w:hAnsi="宋体"/>
          <w:color w:val="auto"/>
        </w:rPr>
        <w:t>。</w:t>
      </w:r>
    </w:p>
    <w:p>
      <w:pPr>
        <w:spacing w:line="480" w:lineRule="exact"/>
        <w:ind w:firstLine="420" w:firstLineChars="200"/>
        <w:rPr>
          <w:rFonts w:hint="eastAsia" w:ascii="宋体" w:hAnsi="宋体"/>
          <w:color w:val="auto"/>
        </w:rPr>
      </w:pPr>
      <w:r>
        <w:rPr>
          <w:rFonts w:hint="eastAsia" w:ascii="宋体" w:hAnsi="宋体"/>
          <w:color w:val="auto"/>
        </w:rPr>
        <w:t>3、给水：</w:t>
      </w:r>
      <w:r>
        <w:rPr>
          <w:rFonts w:hint="eastAsia" w:ascii="宋体" w:hAnsi="宋体"/>
          <w:color w:val="auto"/>
          <w:lang w:val="en-US" w:eastAsia="zh-CN"/>
        </w:rPr>
        <w:t>自备井</w:t>
      </w:r>
      <w:r>
        <w:rPr>
          <w:rFonts w:hint="eastAsia" w:ascii="宋体" w:hAnsi="宋体"/>
          <w:color w:val="auto"/>
        </w:rPr>
        <w:t>水，0.2-0.4MPa</w:t>
      </w:r>
    </w:p>
    <w:p>
      <w:pPr>
        <w:spacing w:line="480" w:lineRule="exact"/>
        <w:ind w:firstLine="420" w:firstLineChars="200"/>
        <w:rPr>
          <w:rFonts w:hint="eastAsia" w:ascii="宋体" w:hAnsi="宋体"/>
          <w:color w:val="auto"/>
        </w:rPr>
      </w:pPr>
      <w:r>
        <w:rPr>
          <w:rFonts w:hint="eastAsia" w:ascii="宋体" w:hAnsi="宋体"/>
          <w:color w:val="auto"/>
        </w:rPr>
        <w:t>4、工位照度：不低于500Lx。</w:t>
      </w:r>
    </w:p>
    <w:p>
      <w:pPr>
        <w:spacing w:line="480" w:lineRule="exact"/>
        <w:ind w:firstLine="420" w:firstLineChars="200"/>
        <w:rPr>
          <w:rFonts w:hint="eastAsia" w:ascii="宋体" w:hAnsi="宋体"/>
          <w:color w:val="auto"/>
        </w:rPr>
      </w:pPr>
    </w:p>
    <w:p>
      <w:pPr>
        <w:spacing w:line="480" w:lineRule="exact"/>
        <w:ind w:firstLine="420" w:firstLineChars="200"/>
        <w:rPr>
          <w:rFonts w:hint="eastAsia" w:ascii="宋体" w:hAnsi="宋体"/>
          <w:color w:val="auto"/>
        </w:rPr>
      </w:pPr>
    </w:p>
    <w:p>
      <w:pPr>
        <w:spacing w:line="480" w:lineRule="exact"/>
        <w:ind w:firstLine="420" w:firstLineChars="200"/>
        <w:rPr>
          <w:rFonts w:hint="eastAsia" w:ascii="宋体" w:hAnsi="宋体"/>
          <w:color w:val="auto"/>
        </w:rPr>
      </w:pPr>
    </w:p>
    <w:p>
      <w:pPr>
        <w:spacing w:line="480" w:lineRule="exact"/>
        <w:rPr>
          <w:rFonts w:hint="eastAsia" w:ascii="宋体" w:hAnsi="宋体"/>
          <w:color w:val="auto"/>
        </w:rPr>
      </w:pPr>
    </w:p>
    <w:p>
      <w:pPr>
        <w:pStyle w:val="4"/>
        <w:spacing w:before="120" w:after="120" w:line="480" w:lineRule="exact"/>
        <w:jc w:val="center"/>
        <w:rPr>
          <w:rFonts w:hint="eastAsia"/>
          <w:b w:val="0"/>
          <w:color w:val="auto"/>
          <w:sz w:val="24"/>
          <w:szCs w:val="24"/>
        </w:rPr>
      </w:pPr>
      <w:bookmarkStart w:id="109" w:name="_Toc19068"/>
      <w:bookmarkStart w:id="110" w:name="_Toc9838"/>
      <w:bookmarkStart w:id="111" w:name="_Toc27088"/>
      <w:bookmarkStart w:id="112" w:name="_Toc137705867"/>
      <w:bookmarkStart w:id="113" w:name="_Toc13018"/>
      <w:r>
        <w:rPr>
          <w:rFonts w:hint="eastAsia"/>
          <w:b w:val="0"/>
          <w:color w:val="auto"/>
          <w:sz w:val="24"/>
          <w:szCs w:val="24"/>
        </w:rPr>
        <w:t>第二节  采购货物概况</w:t>
      </w:r>
      <w:bookmarkEnd w:id="109"/>
      <w:bookmarkEnd w:id="110"/>
      <w:bookmarkEnd w:id="111"/>
      <w:bookmarkEnd w:id="112"/>
      <w:bookmarkEnd w:id="113"/>
    </w:p>
    <w:p>
      <w:pPr>
        <w:spacing w:line="480" w:lineRule="exact"/>
        <w:ind w:firstLine="420" w:firstLineChars="200"/>
        <w:jc w:val="left"/>
        <w:rPr>
          <w:rFonts w:hint="eastAsia" w:ascii="宋体" w:hAnsi="宋体"/>
          <w:color w:val="auto"/>
        </w:rPr>
      </w:pPr>
      <w:r>
        <w:rPr>
          <w:rFonts w:hint="eastAsia" w:ascii="黑体" w:hAnsi="宋体" w:eastAsia="黑体"/>
          <w:color w:val="auto"/>
        </w:rPr>
        <w:t>一、设备名称：</w:t>
      </w:r>
      <w:r>
        <w:rPr>
          <w:rFonts w:hint="eastAsia" w:ascii="宋体" w:hAnsi="宋体" w:cs="宋体"/>
          <w:color w:val="auto"/>
          <w:u w:val="single"/>
          <w:shd w:val="pct10" w:color="auto" w:fill="FFFFFF"/>
          <w:lang w:val="en-US" w:eastAsia="zh-CN"/>
        </w:rPr>
        <w:t>方向机拧紧机、板簧销拧紧机</w:t>
      </w:r>
      <w:r>
        <w:rPr>
          <w:rFonts w:hint="eastAsia" w:ascii="宋体" w:hAnsi="宋体"/>
          <w:color w:val="auto"/>
        </w:rPr>
        <w:t>（详见下表）</w:t>
      </w:r>
    </w:p>
    <w:p>
      <w:pPr>
        <w:spacing w:line="480" w:lineRule="exact"/>
        <w:ind w:firstLine="420" w:firstLineChars="200"/>
        <w:rPr>
          <w:rFonts w:hint="eastAsia" w:ascii="宋体" w:hAnsi="宋体"/>
          <w:color w:val="auto"/>
        </w:rPr>
      </w:pPr>
      <w:r>
        <w:rPr>
          <w:rFonts w:hint="eastAsia" w:ascii="黑体" w:hAnsi="宋体" w:eastAsia="黑体"/>
          <w:color w:val="auto"/>
        </w:rPr>
        <w:t>二、设备数量：</w:t>
      </w:r>
      <w:r>
        <w:rPr>
          <w:rFonts w:hint="eastAsia" w:ascii="宋体" w:hAnsi="宋体"/>
          <w:color w:val="auto"/>
          <w:u w:val="single"/>
          <w:shd w:val="pct10" w:color="auto" w:fill="FFFFFF"/>
        </w:rPr>
        <w:t xml:space="preserve"> 1套  </w:t>
      </w:r>
      <w:r>
        <w:rPr>
          <w:rFonts w:hint="eastAsia" w:ascii="宋体" w:hAnsi="宋体"/>
          <w:color w:val="auto"/>
        </w:rPr>
        <w:t>（详见下表）</w:t>
      </w:r>
    </w:p>
    <w:p>
      <w:pPr>
        <w:spacing w:line="560" w:lineRule="exact"/>
        <w:ind w:firstLine="420" w:firstLineChars="200"/>
        <w:rPr>
          <w:rFonts w:hint="eastAsia"/>
          <w:color w:val="auto"/>
        </w:rPr>
      </w:pPr>
      <w:r>
        <w:rPr>
          <w:rFonts w:hint="eastAsia" w:ascii="黑体" w:hAnsi="宋体" w:eastAsia="黑体"/>
          <w:color w:val="auto"/>
        </w:rPr>
        <w:t>三、分投分中：</w:t>
      </w:r>
      <w:r>
        <w:rPr>
          <w:rFonts w:hint="eastAsia" w:ascii="宋体" w:hAnsi="宋体"/>
          <w:color w:val="auto"/>
        </w:rPr>
        <w:t>不允许。</w:t>
      </w:r>
    </w:p>
    <w:p>
      <w:pPr>
        <w:widowControl/>
        <w:jc w:val="center"/>
        <w:rPr>
          <w:rFonts w:hint="eastAsia" w:ascii="宋体" w:hAnsi="宋体"/>
          <w:color w:val="auto"/>
        </w:rPr>
      </w:pPr>
      <w:r>
        <w:rPr>
          <w:rFonts w:hint="eastAsia" w:ascii="宋体" w:hAnsi="宋体"/>
          <w:color w:val="auto"/>
        </w:rPr>
        <w:t>采购货物主要构成一览表</w:t>
      </w:r>
    </w:p>
    <w:tbl>
      <w:tblPr>
        <w:tblStyle w:val="4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7"/>
        <w:gridCol w:w="2617"/>
        <w:gridCol w:w="1128"/>
        <w:gridCol w:w="1128"/>
        <w:gridCol w:w="1871"/>
        <w:gridCol w:w="11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blHeader/>
          <w:jc w:val="center"/>
        </w:trPr>
        <w:tc>
          <w:tcPr>
            <w:tcW w:w="626" w:type="pct"/>
            <w:vAlign w:val="center"/>
          </w:tcPr>
          <w:p>
            <w:pPr>
              <w:jc w:val="center"/>
              <w:rPr>
                <w:rFonts w:ascii="宋体" w:hAnsi="宋体"/>
                <w:szCs w:val="21"/>
              </w:rPr>
            </w:pPr>
            <w:r>
              <w:rPr>
                <w:rFonts w:hint="eastAsia" w:ascii="宋体" w:hAnsi="宋体" w:cs="宋体"/>
                <w:szCs w:val="21"/>
              </w:rPr>
              <w:t>序号</w:t>
            </w:r>
          </w:p>
        </w:tc>
        <w:tc>
          <w:tcPr>
            <w:tcW w:w="1453" w:type="pct"/>
            <w:vAlign w:val="center"/>
          </w:tcPr>
          <w:p>
            <w:pPr>
              <w:jc w:val="center"/>
              <w:rPr>
                <w:rFonts w:ascii="宋体" w:hAnsi="宋体"/>
                <w:szCs w:val="21"/>
              </w:rPr>
            </w:pPr>
            <w:r>
              <w:rPr>
                <w:rFonts w:hint="eastAsia" w:ascii="宋体" w:hAnsi="宋体" w:cs="宋体"/>
                <w:szCs w:val="21"/>
              </w:rPr>
              <w:t>设备名称</w:t>
            </w:r>
          </w:p>
        </w:tc>
        <w:tc>
          <w:tcPr>
            <w:tcW w:w="626" w:type="pct"/>
            <w:vAlign w:val="center"/>
          </w:tcPr>
          <w:p>
            <w:pPr>
              <w:jc w:val="center"/>
              <w:rPr>
                <w:rFonts w:ascii="宋体" w:hAnsi="宋体"/>
                <w:szCs w:val="21"/>
              </w:rPr>
            </w:pPr>
            <w:r>
              <w:rPr>
                <w:rFonts w:hint="eastAsia" w:ascii="宋体" w:hAnsi="宋体" w:cs="宋体"/>
                <w:szCs w:val="21"/>
              </w:rPr>
              <w:t>数量</w:t>
            </w:r>
          </w:p>
        </w:tc>
        <w:tc>
          <w:tcPr>
            <w:tcW w:w="626" w:type="pct"/>
            <w:vAlign w:val="center"/>
          </w:tcPr>
          <w:p>
            <w:pPr>
              <w:jc w:val="center"/>
              <w:rPr>
                <w:rFonts w:ascii="宋体" w:hAnsi="宋体"/>
                <w:szCs w:val="21"/>
              </w:rPr>
            </w:pPr>
            <w:r>
              <w:rPr>
                <w:rFonts w:hint="eastAsia" w:ascii="宋体" w:hAnsi="宋体"/>
                <w:szCs w:val="21"/>
              </w:rPr>
              <w:t>单位</w:t>
            </w:r>
          </w:p>
        </w:tc>
        <w:tc>
          <w:tcPr>
            <w:tcW w:w="1039" w:type="pct"/>
            <w:vAlign w:val="center"/>
          </w:tcPr>
          <w:p>
            <w:pPr>
              <w:jc w:val="center"/>
              <w:rPr>
                <w:rFonts w:ascii="宋体" w:hAnsi="宋体"/>
                <w:szCs w:val="21"/>
              </w:rPr>
            </w:pPr>
            <w:r>
              <w:rPr>
                <w:rFonts w:hint="eastAsia" w:ascii="宋体" w:hAnsi="宋体" w:cs="宋体"/>
                <w:szCs w:val="21"/>
              </w:rPr>
              <w:t>供货方式</w:t>
            </w:r>
          </w:p>
        </w:tc>
        <w:tc>
          <w:tcPr>
            <w:tcW w:w="626" w:type="pct"/>
            <w:vAlign w:val="center"/>
          </w:tcPr>
          <w:p>
            <w:pPr>
              <w:jc w:val="both"/>
              <w:rPr>
                <w:rFonts w:hint="default" w:ascii="宋体" w:hAnsi="宋体" w:eastAsia="宋体" w:cs="宋体"/>
                <w:szCs w:val="21"/>
                <w:lang w:val="en-US" w:eastAsia="zh-CN"/>
              </w:rPr>
            </w:pPr>
            <w:r>
              <w:rPr>
                <w:rFonts w:hint="eastAsia" w:ascii="宋体" w:hAnsi="宋体" w:cs="宋体"/>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blHeader/>
          <w:jc w:val="center"/>
        </w:trPr>
        <w:tc>
          <w:tcPr>
            <w:tcW w:w="626" w:type="pct"/>
            <w:vAlign w:val="center"/>
          </w:tcPr>
          <w:p>
            <w:pPr>
              <w:jc w:val="center"/>
              <w:rPr>
                <w:rFonts w:ascii="宋体" w:hAnsi="宋体" w:cs="宋体"/>
                <w:szCs w:val="21"/>
              </w:rPr>
            </w:pPr>
            <w:r>
              <w:rPr>
                <w:rFonts w:hint="eastAsia" w:ascii="宋体" w:hAnsi="宋体" w:cs="宋体"/>
                <w:szCs w:val="21"/>
              </w:rPr>
              <w:t>1</w:t>
            </w:r>
          </w:p>
        </w:tc>
        <w:tc>
          <w:tcPr>
            <w:tcW w:w="1453" w:type="pct"/>
            <w:vAlign w:val="center"/>
          </w:tcPr>
          <w:p>
            <w:pPr>
              <w:jc w:val="center"/>
              <w:rPr>
                <w:rFonts w:hint="eastAsia" w:ascii="宋体" w:hAnsi="宋体" w:cs="宋体"/>
                <w:szCs w:val="21"/>
              </w:rPr>
            </w:pPr>
            <w:r>
              <w:rPr>
                <w:rFonts w:hint="eastAsia" w:ascii="宋体" w:hAnsi="宋体" w:cs="宋体"/>
                <w:szCs w:val="21"/>
                <w:lang w:val="en-US" w:eastAsia="zh-CN"/>
              </w:rPr>
              <w:t>方向机拧紧机</w:t>
            </w:r>
          </w:p>
        </w:tc>
        <w:tc>
          <w:tcPr>
            <w:tcW w:w="626" w:type="pct"/>
            <w:vAlign w:val="center"/>
          </w:tcPr>
          <w:p>
            <w:pPr>
              <w:jc w:val="center"/>
              <w:rPr>
                <w:rFonts w:hint="eastAsia" w:ascii="宋体" w:hAnsi="宋体" w:eastAsia="宋体" w:cs="宋体"/>
                <w:szCs w:val="21"/>
                <w:lang w:val="en-US" w:eastAsia="zh-CN"/>
              </w:rPr>
            </w:pPr>
            <w:r>
              <w:rPr>
                <w:rFonts w:hint="eastAsia" w:ascii="宋体" w:hAnsi="宋体" w:cs="宋体"/>
                <w:szCs w:val="21"/>
                <w:lang w:val="en-US" w:eastAsia="zh-CN"/>
              </w:rPr>
              <w:t>1</w:t>
            </w:r>
          </w:p>
        </w:tc>
        <w:tc>
          <w:tcPr>
            <w:tcW w:w="626" w:type="pct"/>
            <w:vMerge w:val="restart"/>
            <w:vAlign w:val="center"/>
          </w:tcPr>
          <w:p>
            <w:pPr>
              <w:jc w:val="center"/>
              <w:rPr>
                <w:rFonts w:ascii="宋体" w:hAnsi="宋体" w:cs="宋体"/>
                <w:szCs w:val="21"/>
              </w:rPr>
            </w:pPr>
            <w:r>
              <w:rPr>
                <w:rFonts w:hint="eastAsia" w:ascii="宋体" w:hAnsi="宋体" w:cs="宋体"/>
                <w:szCs w:val="21"/>
              </w:rPr>
              <w:t>套</w:t>
            </w:r>
          </w:p>
        </w:tc>
        <w:tc>
          <w:tcPr>
            <w:tcW w:w="1039" w:type="pct"/>
            <w:vMerge w:val="restart"/>
            <w:vAlign w:val="center"/>
          </w:tcPr>
          <w:p>
            <w:pPr>
              <w:jc w:val="center"/>
              <w:rPr>
                <w:rFonts w:ascii="宋体" w:hAnsi="宋体" w:cs="宋体"/>
                <w:szCs w:val="21"/>
              </w:rPr>
            </w:pPr>
            <w:r>
              <w:rPr>
                <w:rFonts w:hint="eastAsia"/>
                <w:szCs w:val="21"/>
              </w:rPr>
              <w:t>交钥匙</w:t>
            </w:r>
          </w:p>
        </w:tc>
        <w:tc>
          <w:tcPr>
            <w:tcW w:w="626" w:type="pct"/>
            <w:vAlign w:val="center"/>
          </w:tcPr>
          <w:p>
            <w:pPr>
              <w:jc w:val="center"/>
              <w:rPr>
                <w:rFonts w:hint="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blHeader/>
          <w:jc w:val="center"/>
        </w:trPr>
        <w:tc>
          <w:tcPr>
            <w:tcW w:w="626" w:type="pct"/>
            <w:vAlign w:val="center"/>
          </w:tcPr>
          <w:p>
            <w:pPr>
              <w:jc w:val="center"/>
              <w:rPr>
                <w:rFonts w:hint="eastAsia" w:ascii="宋体" w:hAnsi="宋体" w:eastAsia="宋体" w:cs="宋体"/>
                <w:szCs w:val="21"/>
                <w:lang w:val="en-US" w:eastAsia="zh-CN"/>
              </w:rPr>
            </w:pPr>
            <w:r>
              <w:rPr>
                <w:rFonts w:hint="eastAsia" w:ascii="宋体" w:hAnsi="宋体" w:cs="宋体"/>
                <w:szCs w:val="21"/>
                <w:lang w:val="en-US" w:eastAsia="zh-CN"/>
              </w:rPr>
              <w:t>2</w:t>
            </w:r>
          </w:p>
        </w:tc>
        <w:tc>
          <w:tcPr>
            <w:tcW w:w="1453" w:type="pct"/>
            <w:shd w:val="clear" w:color="auto" w:fill="auto"/>
            <w:vAlign w:val="center"/>
          </w:tcPr>
          <w:p>
            <w:pPr>
              <w:jc w:val="center"/>
              <w:rPr>
                <w:rFonts w:hint="eastAsia" w:ascii="宋体" w:hAnsi="宋体" w:cs="宋体"/>
                <w:szCs w:val="21"/>
                <w:lang w:val="en-US" w:eastAsia="zh-CN"/>
              </w:rPr>
            </w:pPr>
            <w:r>
              <w:rPr>
                <w:rFonts w:hint="eastAsia" w:ascii="宋体" w:hAnsi="宋体" w:cs="宋体"/>
                <w:szCs w:val="21"/>
                <w:lang w:val="en-US" w:eastAsia="zh-CN"/>
              </w:rPr>
              <w:t>板簧销拧紧机</w:t>
            </w:r>
          </w:p>
        </w:tc>
        <w:tc>
          <w:tcPr>
            <w:tcW w:w="626" w:type="pct"/>
            <w:vAlign w:val="center"/>
          </w:tcPr>
          <w:p>
            <w:pPr>
              <w:jc w:val="center"/>
              <w:rPr>
                <w:rFonts w:hint="eastAsia" w:ascii="宋体" w:hAnsi="宋体" w:eastAsia="宋体" w:cs="宋体"/>
                <w:szCs w:val="21"/>
                <w:lang w:eastAsia="zh-CN"/>
              </w:rPr>
            </w:pPr>
            <w:r>
              <w:rPr>
                <w:rFonts w:hint="eastAsia" w:ascii="宋体" w:hAnsi="宋体" w:cs="宋体"/>
                <w:szCs w:val="21"/>
                <w:lang w:val="en-US" w:eastAsia="zh-CN"/>
              </w:rPr>
              <w:t>2</w:t>
            </w:r>
          </w:p>
        </w:tc>
        <w:tc>
          <w:tcPr>
            <w:tcW w:w="626" w:type="pct"/>
            <w:vMerge w:val="continue"/>
            <w:vAlign w:val="center"/>
          </w:tcPr>
          <w:p>
            <w:pPr>
              <w:jc w:val="center"/>
              <w:rPr>
                <w:rFonts w:ascii="宋体" w:hAnsi="宋体" w:cs="宋体"/>
                <w:szCs w:val="21"/>
              </w:rPr>
            </w:pPr>
          </w:p>
        </w:tc>
        <w:tc>
          <w:tcPr>
            <w:tcW w:w="1039" w:type="pct"/>
            <w:vMerge w:val="continue"/>
            <w:vAlign w:val="center"/>
          </w:tcPr>
          <w:p>
            <w:pPr>
              <w:jc w:val="center"/>
              <w:rPr>
                <w:szCs w:val="21"/>
              </w:rPr>
            </w:pPr>
          </w:p>
        </w:tc>
        <w:tc>
          <w:tcPr>
            <w:tcW w:w="626" w:type="pct"/>
            <w:shd w:val="clear" w:color="auto" w:fill="auto"/>
            <w:vAlign w:val="center"/>
          </w:tcPr>
          <w:p>
            <w:pPr>
              <w:spacing w:beforeLines="0" w:afterLines="0"/>
              <w:jc w:val="both"/>
              <w:rPr>
                <w:rFonts w:hint="eastAsia" w:ascii="宋体" w:hAnsi="宋体" w:eastAsia="宋体" w:cs="宋体"/>
                <w:color w:val="000000"/>
                <w:kern w:val="2"/>
                <w:sz w:val="21"/>
                <w:szCs w:val="21"/>
                <w:lang w:val="en-US" w:eastAsia="zh-CN" w:bidi="ar-SA"/>
              </w:rPr>
            </w:pPr>
          </w:p>
        </w:tc>
      </w:tr>
    </w:tbl>
    <w:p>
      <w:pPr>
        <w:spacing w:line="480" w:lineRule="exact"/>
        <w:ind w:firstLine="420" w:firstLineChars="200"/>
        <w:rPr>
          <w:color w:val="auto"/>
          <w:sz w:val="21"/>
          <w:szCs w:val="21"/>
        </w:rPr>
      </w:pPr>
      <w:r>
        <w:rPr>
          <w:color w:val="auto"/>
          <w:sz w:val="21"/>
          <w:szCs w:val="21"/>
        </w:rPr>
        <w:t>备注：</w:t>
      </w:r>
      <w:bookmarkStart w:id="114" w:name="_Toc137705868"/>
    </w:p>
    <w:p>
      <w:pPr>
        <w:spacing w:line="480" w:lineRule="exact"/>
        <w:ind w:firstLine="420" w:firstLineChars="200"/>
        <w:rPr>
          <w:color w:val="auto"/>
          <w:sz w:val="21"/>
          <w:szCs w:val="21"/>
        </w:rPr>
      </w:pPr>
      <w:r>
        <w:rPr>
          <w:rFonts w:hint="eastAsia"/>
          <w:color w:val="auto"/>
          <w:sz w:val="21"/>
          <w:szCs w:val="21"/>
        </w:rPr>
        <w:t>1</w:t>
      </w:r>
      <w:r>
        <w:rPr>
          <w:color w:val="auto"/>
          <w:sz w:val="21"/>
          <w:szCs w:val="21"/>
        </w:rPr>
        <w:t>.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pPr>
        <w:spacing w:line="480" w:lineRule="exact"/>
        <w:ind w:firstLine="420" w:firstLineChars="200"/>
        <w:rPr>
          <w:color w:val="auto"/>
          <w:sz w:val="21"/>
          <w:szCs w:val="21"/>
        </w:rPr>
      </w:pPr>
      <w:r>
        <w:rPr>
          <w:rFonts w:hint="eastAsia"/>
          <w:color w:val="auto"/>
          <w:sz w:val="21"/>
          <w:szCs w:val="21"/>
        </w:rPr>
        <w:t>2</w:t>
      </w:r>
      <w:r>
        <w:rPr>
          <w:color w:val="auto"/>
          <w:sz w:val="21"/>
          <w:szCs w:val="21"/>
        </w:rPr>
        <w:t>.本表“供货方式”指：交钥匙方式——包括设计、制造、运输、安装、调试和验收直到交付使用以及培训等。</w:t>
      </w:r>
    </w:p>
    <w:p>
      <w:pPr>
        <w:spacing w:line="480" w:lineRule="exact"/>
        <w:ind w:firstLine="420" w:firstLineChars="200"/>
        <w:rPr>
          <w:rFonts w:hint="eastAsia"/>
          <w:color w:val="auto"/>
          <w:sz w:val="21"/>
          <w:szCs w:val="21"/>
        </w:rPr>
      </w:pPr>
      <w:r>
        <w:rPr>
          <w:rFonts w:hint="eastAsia"/>
          <w:color w:val="auto"/>
          <w:sz w:val="21"/>
          <w:szCs w:val="21"/>
        </w:rPr>
        <w:t>3.以上内容仅对设备的基本功能进行了描述和建议，表中所列内容仅供参考，投标方投标前需对生产现场工艺环境进行充分调研与了解，确保投标方案满足工艺、产品、节拍、功能等要求，投标方对投标方案负责。</w:t>
      </w:r>
    </w:p>
    <w:p>
      <w:pPr>
        <w:overflowPunct w:val="0"/>
        <w:spacing w:line="360" w:lineRule="auto"/>
        <w:ind w:firstLine="420" w:firstLineChars="200"/>
        <w:rPr>
          <w:rFonts w:ascii="宋体" w:hAnsi="宋体" w:cs="宋体"/>
          <w:b/>
          <w:color w:val="auto"/>
        </w:rPr>
      </w:pPr>
      <w:r>
        <w:rPr>
          <w:rFonts w:hint="eastAsia" w:ascii="宋体" w:hAnsi="宋体" w:cs="宋体"/>
          <w:b/>
          <w:color w:val="auto"/>
        </w:rPr>
        <w:t>四、采购货物特别说明</w:t>
      </w:r>
    </w:p>
    <w:p>
      <w:pPr>
        <w:overflowPunct w:val="0"/>
        <w:spacing w:line="360" w:lineRule="auto"/>
        <w:ind w:firstLine="420" w:firstLineChars="200"/>
        <w:rPr>
          <w:rFonts w:hint="eastAsia"/>
          <w:color w:val="auto"/>
          <w:sz w:val="21"/>
          <w:szCs w:val="21"/>
        </w:rPr>
      </w:pPr>
      <w:r>
        <w:rPr>
          <w:rFonts w:hint="eastAsia" w:ascii="宋体" w:hAnsi="宋体" w:cs="宋体"/>
          <w:color w:val="auto"/>
        </w:rPr>
        <w:t>招标人所列货物的名称和规格型号，如为某一供应商所特有，则该名称和规格型号可作参考，但要求投标人所提供的货物必须满足本技术标书实质性要求</w:t>
      </w:r>
      <w:r>
        <w:rPr>
          <w:rFonts w:hint="eastAsia" w:ascii="宋体" w:hAnsi="宋体"/>
          <w:color w:val="auto"/>
          <w:szCs w:val="20"/>
        </w:rPr>
        <w:t>。</w:t>
      </w:r>
    </w:p>
    <w:p>
      <w:pPr>
        <w:spacing w:line="480" w:lineRule="exact"/>
        <w:ind w:firstLine="420" w:firstLineChars="200"/>
        <w:rPr>
          <w:rFonts w:hint="eastAsia"/>
          <w:color w:val="auto"/>
          <w:sz w:val="21"/>
          <w:szCs w:val="21"/>
        </w:rPr>
      </w:pPr>
    </w:p>
    <w:p>
      <w:pPr>
        <w:spacing w:line="480" w:lineRule="exact"/>
        <w:ind w:firstLine="420" w:firstLineChars="200"/>
        <w:rPr>
          <w:rFonts w:hint="eastAsia"/>
          <w:color w:val="auto"/>
          <w:sz w:val="21"/>
          <w:szCs w:val="21"/>
        </w:rPr>
      </w:pPr>
    </w:p>
    <w:p>
      <w:pPr>
        <w:spacing w:line="480" w:lineRule="exact"/>
        <w:ind w:firstLine="420" w:firstLineChars="200"/>
        <w:rPr>
          <w:rFonts w:hint="eastAsia"/>
          <w:color w:val="auto"/>
          <w:sz w:val="21"/>
          <w:szCs w:val="21"/>
        </w:rPr>
      </w:pPr>
    </w:p>
    <w:p>
      <w:pPr>
        <w:spacing w:line="480" w:lineRule="exact"/>
        <w:rPr>
          <w:rFonts w:hint="eastAsia"/>
          <w:color w:val="auto"/>
          <w:sz w:val="21"/>
          <w:szCs w:val="21"/>
        </w:rPr>
        <w:sectPr>
          <w:footerReference r:id="rId12" w:type="default"/>
          <w:pgSz w:w="11906" w:h="16838"/>
          <w:pgMar w:top="1701" w:right="1418" w:bottom="1134" w:left="1701" w:header="1021" w:footer="680" w:gutter="0"/>
          <w:pgNumType w:start="1"/>
          <w:cols w:space="720" w:num="1"/>
          <w:docGrid w:type="lines" w:linePitch="312" w:charSpace="0"/>
        </w:sectPr>
      </w:pPr>
    </w:p>
    <w:p>
      <w:pPr>
        <w:pStyle w:val="2"/>
        <w:spacing w:before="120" w:after="120"/>
        <w:jc w:val="center"/>
        <w:rPr>
          <w:rFonts w:hint="eastAsia" w:ascii="黑体" w:eastAsia="黑体"/>
          <w:color w:val="auto"/>
          <w:sz w:val="24"/>
          <w:szCs w:val="24"/>
        </w:rPr>
      </w:pPr>
      <w:bookmarkStart w:id="115" w:name="_Toc32262"/>
      <w:bookmarkStart w:id="116" w:name="_Toc17328"/>
      <w:r>
        <w:rPr>
          <w:rFonts w:hint="eastAsia" w:ascii="黑体" w:eastAsia="黑体"/>
          <w:color w:val="auto"/>
          <w:sz w:val="24"/>
          <w:szCs w:val="24"/>
        </w:rPr>
        <w:t>第二章  技术要求</w:t>
      </w:r>
      <w:bookmarkEnd w:id="114"/>
      <w:bookmarkEnd w:id="115"/>
      <w:bookmarkEnd w:id="116"/>
    </w:p>
    <w:p>
      <w:pPr>
        <w:spacing w:line="480" w:lineRule="exact"/>
        <w:ind w:firstLine="420" w:firstLineChars="200"/>
        <w:rPr>
          <w:rFonts w:hint="eastAsia" w:ascii="黑体" w:hAnsi="宋体" w:eastAsia="黑体"/>
          <w:color w:val="auto"/>
        </w:rPr>
      </w:pPr>
      <w:r>
        <w:rPr>
          <w:rFonts w:hint="eastAsia" w:ascii="黑体" w:hAnsi="宋体" w:eastAsia="黑体"/>
          <w:color w:val="auto"/>
        </w:rPr>
        <w:t>一、基本要求</w:t>
      </w:r>
    </w:p>
    <w:p>
      <w:pPr>
        <w:spacing w:line="480" w:lineRule="exact"/>
        <w:ind w:firstLine="420" w:firstLineChars="200"/>
        <w:rPr>
          <w:rFonts w:hint="eastAsia" w:ascii="宋体" w:hAnsi="宋体"/>
          <w:color w:val="auto"/>
        </w:rPr>
      </w:pPr>
      <w:r>
        <w:rPr>
          <w:rFonts w:hint="eastAsia" w:ascii="宋体" w:hAnsi="宋体"/>
          <w:color w:val="auto"/>
        </w:rPr>
        <w:t>1、投标方所供的设备，必须符合中国最新版的法律、法规和相关标准、规范的要求，符合项目所在地政府有关特殊要求。</w:t>
      </w:r>
    </w:p>
    <w:p>
      <w:pPr>
        <w:spacing w:line="480" w:lineRule="exact"/>
        <w:ind w:firstLine="420" w:firstLineChars="200"/>
        <w:rPr>
          <w:rFonts w:hint="eastAsia" w:ascii="宋体" w:hAnsi="宋体"/>
          <w:color w:val="auto"/>
        </w:rPr>
      </w:pPr>
      <w:r>
        <w:rPr>
          <w:rFonts w:hint="eastAsia" w:ascii="宋体" w:hAnsi="宋体"/>
          <w:color w:val="auto"/>
        </w:rPr>
        <w:t>2、投标方所供设备涉及的专利权技术以及知识产权保护的其它技术等，应保证招标方不因此受到任何侵权指控以及实际损失。</w:t>
      </w:r>
    </w:p>
    <w:p>
      <w:pPr>
        <w:spacing w:line="480" w:lineRule="exact"/>
        <w:ind w:firstLine="420" w:firstLineChars="200"/>
        <w:rPr>
          <w:rFonts w:hint="eastAsia" w:ascii="宋体" w:hAnsi="宋体"/>
          <w:color w:val="auto"/>
        </w:rPr>
      </w:pPr>
      <w:r>
        <w:rPr>
          <w:rFonts w:hint="eastAsia" w:ascii="宋体" w:hAnsi="宋体"/>
          <w:color w:val="auto"/>
        </w:rPr>
        <w:t>3、投标方应保证所供设备的先进性、可靠性、经济性和实用性，并为全新设备。</w:t>
      </w:r>
    </w:p>
    <w:p>
      <w:pPr>
        <w:spacing w:line="480" w:lineRule="exact"/>
        <w:ind w:firstLine="420" w:firstLineChars="200"/>
        <w:rPr>
          <w:rFonts w:hint="eastAsia" w:ascii="宋体" w:hAnsi="宋体"/>
          <w:color w:val="auto"/>
        </w:rPr>
      </w:pPr>
      <w:r>
        <w:rPr>
          <w:rFonts w:hint="eastAsia" w:ascii="宋体" w:hAnsi="宋体"/>
          <w:color w:val="auto"/>
        </w:rPr>
        <w:t>4、投标方应满足招标方提出的各项技术要求，必要时应当免费提供技术承诺或担保。</w:t>
      </w:r>
    </w:p>
    <w:p>
      <w:pPr>
        <w:spacing w:line="480" w:lineRule="exact"/>
        <w:ind w:firstLine="420" w:firstLineChars="200"/>
        <w:rPr>
          <w:rFonts w:hint="eastAsia" w:ascii="宋体" w:hAnsi="宋体"/>
          <w:color w:val="auto"/>
        </w:rPr>
      </w:pPr>
      <w:r>
        <w:rPr>
          <w:rFonts w:hint="eastAsia" w:ascii="宋体" w:hAnsi="宋体"/>
          <w:color w:val="auto"/>
        </w:rPr>
        <w:t>5、投标方应保证所供设备为中国公布的非淘汰设备，并为中国指定或规定的主管部门认可的环保型和节能型设备。</w:t>
      </w:r>
    </w:p>
    <w:p>
      <w:pPr>
        <w:spacing w:line="480" w:lineRule="exact"/>
        <w:ind w:firstLine="420" w:firstLineChars="200"/>
        <w:rPr>
          <w:rFonts w:hint="eastAsia" w:ascii="宋体" w:hAnsi="宋体"/>
          <w:color w:val="auto"/>
        </w:rPr>
      </w:pPr>
      <w:r>
        <w:rPr>
          <w:rFonts w:hint="eastAsia" w:ascii="宋体" w:hAnsi="宋体"/>
          <w:color w:val="auto"/>
        </w:rPr>
        <w:t>6、投标方应保证所供设备的完整性和成套性，能保证设备的正常运行、使用。</w:t>
      </w:r>
    </w:p>
    <w:p>
      <w:pPr>
        <w:spacing w:line="480" w:lineRule="exact"/>
        <w:ind w:firstLine="420" w:firstLineChars="200"/>
        <w:rPr>
          <w:rFonts w:hint="eastAsia" w:ascii="宋体" w:hAnsi="宋体"/>
          <w:color w:val="auto"/>
        </w:rPr>
      </w:pPr>
      <w:r>
        <w:rPr>
          <w:rFonts w:hint="eastAsia" w:ascii="宋体" w:hAnsi="宋体"/>
          <w:color w:val="auto"/>
        </w:rPr>
        <w:t>7、投标方应对招标方采购的设备所涉及的技术、产能等信息负有保密义务，招标方拥有追究投标方泄密责任的权利；招标方如有需要，投标方应无条件签署保密协议。</w:t>
      </w:r>
    </w:p>
    <w:p>
      <w:pPr>
        <w:spacing w:line="480" w:lineRule="exact"/>
        <w:ind w:firstLine="420" w:firstLineChars="200"/>
        <w:rPr>
          <w:rFonts w:hint="eastAsia" w:ascii="宋体" w:hAnsi="宋体"/>
          <w:color w:val="auto"/>
        </w:rPr>
      </w:pPr>
      <w:r>
        <w:rPr>
          <w:rFonts w:hint="eastAsia" w:ascii="宋体" w:hAnsi="宋体"/>
          <w:color w:val="auto"/>
        </w:rPr>
        <w:t>8、投标方需提供近三年内项目业绩证明。</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黑体" w:hAnsi="宋体" w:eastAsia="黑体"/>
          <w:color w:val="auto"/>
        </w:rPr>
      </w:pPr>
      <w:r>
        <w:rPr>
          <w:rFonts w:hint="eastAsia" w:ascii="黑体" w:hAnsi="宋体" w:eastAsia="黑体"/>
          <w:color w:val="auto"/>
        </w:rPr>
        <w:t>二、执行标准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color w:val="auto"/>
        </w:rPr>
      </w:pPr>
      <w:r>
        <w:rPr>
          <w:rFonts w:hint="eastAsia" w:ascii="宋体" w:hAnsi="宋体"/>
          <w:color w:val="auto"/>
        </w:rPr>
        <w:t>1、招标方此处所列标准仅为涉及的主要标准，而且不保证其为最新版执行标准；投标方应当在投标文件以中认真予以填写、补充和修改完善。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color w:val="auto"/>
        </w:rPr>
      </w:pPr>
      <w:r>
        <w:rPr>
          <w:rFonts w:hint="eastAsia" w:ascii="宋体" w:hAnsi="宋体"/>
          <w:color w:val="auto"/>
        </w:rPr>
        <w:t>2、投标方需要执行的标准，应当所供设备通过招标方将来组织的最终验收之日开始执行的最新标准。</w:t>
      </w:r>
    </w:p>
    <w:p>
      <w:pPr>
        <w:keepNext w:val="0"/>
        <w:keepLines w:val="0"/>
        <w:pageBreakBefore w:val="0"/>
        <w:widowControl w:val="0"/>
        <w:kinsoku/>
        <w:wordWrap/>
        <w:topLinePunct w:val="0"/>
        <w:autoSpaceDE/>
        <w:autoSpaceDN/>
        <w:bidi w:val="0"/>
        <w:adjustRightInd/>
        <w:snapToGrid/>
        <w:spacing w:line="360" w:lineRule="auto"/>
        <w:ind w:firstLine="420" w:firstLineChars="200"/>
        <w:textAlignment w:val="auto"/>
        <w:rPr>
          <w:rFonts w:hint="eastAsia" w:ascii="宋体" w:hAnsi="宋体"/>
          <w:color w:val="auto"/>
        </w:rPr>
      </w:pPr>
      <w:r>
        <w:rPr>
          <w:rFonts w:hint="eastAsia" w:ascii="宋体" w:hAnsi="宋体"/>
          <w:color w:val="auto"/>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p>
    <w:p>
      <w:pPr>
        <w:keepNext w:val="0"/>
        <w:keepLines w:val="0"/>
        <w:pageBreakBefore w:val="0"/>
        <w:widowControl w:val="0"/>
        <w:kinsoku/>
        <w:wordWrap/>
        <w:overflowPunct w:val="0"/>
        <w:topLinePunct w:val="0"/>
        <w:autoSpaceDE/>
        <w:autoSpaceDN/>
        <w:bidi w:val="0"/>
        <w:adjustRightInd/>
        <w:snapToGrid/>
        <w:spacing w:line="360" w:lineRule="auto"/>
        <w:ind w:firstLine="420" w:firstLineChars="200"/>
        <w:textAlignment w:val="auto"/>
        <w:rPr>
          <w:rFonts w:hint="eastAsia" w:ascii="宋体" w:hAnsi="宋体" w:cs="宋体"/>
          <w:color w:val="auto"/>
        </w:rPr>
      </w:pPr>
      <w:r>
        <w:rPr>
          <w:rFonts w:hint="eastAsia" w:ascii="宋体" w:hAnsi="宋体" w:cs="宋体"/>
          <w:color w:val="auto"/>
        </w:rPr>
        <w:t>4、投标人所供货物涉及的专利权技术以及知识产权保护的其他技术等，应保证招标人不因此受到任何侵权指控以及实际损失。</w:t>
      </w:r>
    </w:p>
    <w:p>
      <w:pPr>
        <w:keepNext w:val="0"/>
        <w:keepLines w:val="0"/>
        <w:pageBreakBefore w:val="0"/>
        <w:widowControl w:val="0"/>
        <w:kinsoku/>
        <w:wordWrap/>
        <w:overflowPunct w:val="0"/>
        <w:topLinePunct w:val="0"/>
        <w:autoSpaceDE/>
        <w:autoSpaceDN/>
        <w:bidi w:val="0"/>
        <w:adjustRightInd/>
        <w:snapToGrid/>
        <w:spacing w:line="360" w:lineRule="auto"/>
        <w:ind w:firstLine="420" w:firstLineChars="200"/>
        <w:textAlignment w:val="auto"/>
        <w:rPr>
          <w:rFonts w:hint="eastAsia" w:ascii="宋体" w:hAnsi="宋体" w:cs="宋体"/>
          <w:color w:val="auto"/>
        </w:rPr>
      </w:pPr>
      <w:r>
        <w:rPr>
          <w:rFonts w:hint="eastAsia" w:ascii="宋体" w:hAnsi="宋体" w:cs="宋体"/>
          <w:color w:val="auto"/>
        </w:rPr>
        <w:t>5、投标人应满足招标人提出的各项技术要求，必要时应当免费提供技术承诺或担保。</w:t>
      </w:r>
    </w:p>
    <w:p>
      <w:pPr>
        <w:keepNext w:val="0"/>
        <w:keepLines w:val="0"/>
        <w:pageBreakBefore w:val="0"/>
        <w:widowControl w:val="0"/>
        <w:kinsoku/>
        <w:wordWrap/>
        <w:overflowPunct w:val="0"/>
        <w:topLinePunct w:val="0"/>
        <w:autoSpaceDE/>
        <w:autoSpaceDN/>
        <w:bidi w:val="0"/>
        <w:adjustRightInd/>
        <w:snapToGrid/>
        <w:spacing w:line="360" w:lineRule="auto"/>
        <w:ind w:firstLine="420" w:firstLineChars="200"/>
        <w:textAlignment w:val="auto"/>
        <w:rPr>
          <w:rFonts w:hint="eastAsia"/>
          <w:color w:val="auto"/>
        </w:rPr>
      </w:pPr>
      <w:r>
        <w:rPr>
          <w:rFonts w:hint="eastAsia" w:ascii="宋体" w:hAnsi="宋体" w:cs="宋体"/>
          <w:color w:val="auto"/>
        </w:rPr>
        <w:t>6、投标人应对招标人采购的货物所涉及的技术、产能等信息负有保密义务，招标人拥有追究投标人泄密责任的权利；招标人如有需要，投标人应无条件签署保密协议。</w:t>
      </w:r>
    </w:p>
    <w:p>
      <w:pPr>
        <w:keepNext w:val="0"/>
        <w:keepLines w:val="0"/>
        <w:pageBreakBefore w:val="0"/>
        <w:widowControl w:val="0"/>
        <w:kinsoku/>
        <w:wordWrap/>
        <w:topLinePunct w:val="0"/>
        <w:autoSpaceDE/>
        <w:autoSpaceDN/>
        <w:bidi w:val="0"/>
        <w:adjustRightInd/>
        <w:snapToGrid/>
        <w:spacing w:line="360" w:lineRule="auto"/>
        <w:ind w:firstLine="420" w:firstLineChars="200"/>
        <w:textAlignment w:val="auto"/>
        <w:rPr>
          <w:rFonts w:hint="eastAsia" w:ascii="宋体" w:hAnsi="宋体"/>
          <w:color w:val="auto"/>
        </w:rPr>
      </w:pPr>
      <w:r>
        <w:rPr>
          <w:rFonts w:hint="eastAsia" w:ascii="宋体" w:hAnsi="宋体"/>
          <w:color w:val="auto"/>
        </w:rPr>
        <w:t>7、如果有采用国际标准的货物，其执行标准由投标方提供、招标方确认。</w:t>
      </w:r>
    </w:p>
    <w:p>
      <w:pPr>
        <w:keepNext w:val="0"/>
        <w:keepLines w:val="0"/>
        <w:pageBreakBefore w:val="0"/>
        <w:widowControl w:val="0"/>
        <w:kinsoku/>
        <w:wordWrap/>
        <w:topLinePunct w:val="0"/>
        <w:autoSpaceDE/>
        <w:autoSpaceDN/>
        <w:bidi w:val="0"/>
        <w:adjustRightInd/>
        <w:snapToGrid/>
        <w:spacing w:line="360" w:lineRule="auto"/>
        <w:ind w:firstLine="420" w:firstLineChars="200"/>
        <w:textAlignment w:val="auto"/>
        <w:rPr>
          <w:rFonts w:hint="eastAsia" w:ascii="宋体"/>
          <w:color w:val="auto"/>
        </w:rPr>
      </w:pPr>
      <w:r>
        <w:rPr>
          <w:rFonts w:hint="eastAsia" w:ascii="宋体"/>
          <w:color w:val="auto"/>
        </w:rPr>
        <w:t>8、涉及的主要标准</w:t>
      </w:r>
      <w:r>
        <w:rPr>
          <w:rFonts w:hint="eastAsia" w:ascii="宋体"/>
          <w:color w:val="auto"/>
          <w:lang w:eastAsia="zh-CN"/>
        </w:rPr>
        <w:t>（</w:t>
      </w:r>
      <w:r>
        <w:rPr>
          <w:rFonts w:hint="eastAsia" w:ascii="宋体" w:hAnsi="宋体"/>
          <w:color w:val="auto"/>
          <w:highlight w:val="none"/>
          <w:lang w:val="en-US" w:eastAsia="zh-CN"/>
        </w:rPr>
        <w:t>有最新版按照最新版要求执行</w:t>
      </w:r>
      <w:r>
        <w:rPr>
          <w:rFonts w:hint="eastAsia" w:ascii="宋体"/>
          <w:color w:val="auto"/>
          <w:lang w:eastAsia="zh-CN"/>
        </w:rPr>
        <w:t>）</w:t>
      </w:r>
      <w:r>
        <w:rPr>
          <w:rFonts w:hint="eastAsia" w:ascii="宋体"/>
          <w:color w:val="auto"/>
        </w:rPr>
        <w:t>：</w:t>
      </w:r>
    </w:p>
    <w:tbl>
      <w:tblPr>
        <w:tblStyle w:val="41"/>
        <w:tblW w:w="465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876"/>
        <w:gridCol w:w="5377"/>
        <w:gridCol w:w="2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40" w:hRule="atLeast"/>
          <w:jc w:val="center"/>
        </w:trPr>
        <w:tc>
          <w:tcPr>
            <w:tcW w:w="513" w:type="pct"/>
            <w:vAlign w:val="center"/>
          </w:tcPr>
          <w:p>
            <w:pPr>
              <w:overflowPunct w:val="0"/>
              <w:jc w:val="center"/>
              <w:rPr>
                <w:rFonts w:hint="eastAsia" w:ascii="宋体" w:hAnsi="宋体" w:eastAsia="宋体" w:cs="宋体"/>
                <w:b/>
                <w:bCs/>
                <w:sz w:val="18"/>
                <w:szCs w:val="18"/>
              </w:rPr>
            </w:pPr>
            <w:r>
              <w:rPr>
                <w:rFonts w:hint="eastAsia" w:ascii="宋体" w:hAnsi="宋体" w:eastAsia="宋体" w:cs="宋体"/>
                <w:b/>
                <w:bCs/>
                <w:sz w:val="18"/>
                <w:szCs w:val="18"/>
              </w:rPr>
              <w:t>序号</w:t>
            </w:r>
          </w:p>
        </w:tc>
        <w:tc>
          <w:tcPr>
            <w:tcW w:w="3149" w:type="pct"/>
            <w:vAlign w:val="center"/>
          </w:tcPr>
          <w:p>
            <w:pPr>
              <w:overflowPunct w:val="0"/>
              <w:autoSpaceDE w:val="0"/>
              <w:autoSpaceDN w:val="0"/>
              <w:jc w:val="center"/>
              <w:rPr>
                <w:rFonts w:hint="eastAsia" w:ascii="宋体" w:hAnsi="宋体" w:eastAsia="宋体" w:cs="宋体"/>
                <w:b/>
                <w:bCs/>
                <w:sz w:val="18"/>
                <w:szCs w:val="18"/>
              </w:rPr>
            </w:pPr>
            <w:r>
              <w:rPr>
                <w:rFonts w:hint="eastAsia" w:ascii="宋体" w:hAnsi="宋体" w:eastAsia="宋体" w:cs="宋体"/>
                <w:b/>
                <w:bCs/>
                <w:sz w:val="18"/>
                <w:szCs w:val="18"/>
              </w:rPr>
              <w:t>标准名称</w:t>
            </w:r>
          </w:p>
        </w:tc>
        <w:tc>
          <w:tcPr>
            <w:tcW w:w="1336" w:type="pct"/>
            <w:vAlign w:val="center"/>
          </w:tcPr>
          <w:p>
            <w:pPr>
              <w:overflowPunct w:val="0"/>
              <w:jc w:val="center"/>
              <w:rPr>
                <w:rFonts w:hint="eastAsia" w:ascii="宋体" w:hAnsi="宋体" w:eastAsia="宋体" w:cs="宋体"/>
                <w:b/>
                <w:bCs/>
                <w:sz w:val="18"/>
                <w:szCs w:val="18"/>
              </w:rPr>
            </w:pPr>
            <w:r>
              <w:rPr>
                <w:rFonts w:hint="eastAsia" w:ascii="宋体" w:hAnsi="宋体" w:eastAsia="宋体" w:cs="宋体"/>
                <w:b/>
                <w:bCs/>
                <w:sz w:val="18"/>
                <w:szCs w:val="18"/>
              </w:rPr>
              <w:t>标准编号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1</w:t>
            </w:r>
          </w:p>
        </w:tc>
        <w:tc>
          <w:tcPr>
            <w:tcW w:w="3149" w:type="pct"/>
            <w:vAlign w:val="center"/>
          </w:tcPr>
          <w:p>
            <w:pPr>
              <w:overflowPunct w:val="0"/>
              <w:autoSpaceDE w:val="0"/>
              <w:autoSpaceDN w:val="0"/>
              <w:jc w:val="center"/>
              <w:rPr>
                <w:rFonts w:hint="eastAsia" w:ascii="宋体" w:hAnsi="宋体" w:eastAsia="宋体" w:cs="宋体"/>
                <w:sz w:val="18"/>
                <w:szCs w:val="18"/>
              </w:rPr>
            </w:pPr>
            <w:r>
              <w:rPr>
                <w:rFonts w:hint="eastAsia" w:ascii="宋体" w:hAnsi="宋体" w:eastAsia="宋体" w:cs="宋体"/>
                <w:sz w:val="18"/>
                <w:szCs w:val="18"/>
              </w:rPr>
              <w:t>电气装置安装工程电缆线路施工及验收规范</w:t>
            </w:r>
          </w:p>
        </w:tc>
        <w:tc>
          <w:tcPr>
            <w:tcW w:w="1336" w:type="pct"/>
            <w:vAlign w:val="center"/>
          </w:tcPr>
          <w:p>
            <w:pPr>
              <w:overflowPunct w:val="0"/>
              <w:autoSpaceDE w:val="0"/>
              <w:autoSpaceDN w:val="0"/>
              <w:jc w:val="center"/>
              <w:rPr>
                <w:rFonts w:hint="eastAsia" w:ascii="宋体" w:hAnsi="宋体" w:eastAsia="宋体" w:cs="宋体"/>
                <w:sz w:val="18"/>
                <w:szCs w:val="18"/>
              </w:rPr>
            </w:pPr>
            <w:r>
              <w:rPr>
                <w:rFonts w:hint="eastAsia" w:ascii="宋体" w:hAnsi="宋体" w:eastAsia="宋体" w:cs="宋体"/>
                <w:sz w:val="18"/>
                <w:szCs w:val="18"/>
              </w:rPr>
              <w:t>GB50168-2018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2</w:t>
            </w:r>
          </w:p>
        </w:tc>
        <w:tc>
          <w:tcPr>
            <w:tcW w:w="3149" w:type="pct"/>
            <w:vAlign w:val="center"/>
          </w:tcPr>
          <w:p>
            <w:pPr>
              <w:overflowPunct w:val="0"/>
              <w:autoSpaceDE w:val="0"/>
              <w:autoSpaceDN w:val="0"/>
              <w:jc w:val="center"/>
              <w:rPr>
                <w:rFonts w:hint="eastAsia" w:ascii="宋体" w:hAnsi="宋体" w:eastAsia="宋体" w:cs="宋体"/>
                <w:sz w:val="18"/>
                <w:szCs w:val="18"/>
              </w:rPr>
            </w:pPr>
            <w:r>
              <w:rPr>
                <w:rFonts w:hint="eastAsia" w:ascii="宋体" w:hAnsi="宋体" w:eastAsia="宋体" w:cs="宋体"/>
                <w:sz w:val="18"/>
                <w:szCs w:val="18"/>
              </w:rPr>
              <w:t>中国重型汽车有限公司企业标准《设备设施颜色标识》</w:t>
            </w:r>
          </w:p>
        </w:tc>
        <w:tc>
          <w:tcPr>
            <w:tcW w:w="1336" w:type="pct"/>
            <w:vAlign w:val="center"/>
          </w:tcPr>
          <w:p>
            <w:pPr>
              <w:overflowPunct w:val="0"/>
              <w:autoSpaceDE w:val="0"/>
              <w:autoSpaceDN w:val="0"/>
              <w:jc w:val="center"/>
              <w:rPr>
                <w:rFonts w:hint="eastAsia" w:ascii="宋体" w:hAnsi="宋体" w:eastAsia="宋体" w:cs="宋体"/>
                <w:sz w:val="18"/>
                <w:szCs w:val="18"/>
              </w:rPr>
            </w:pPr>
            <w:r>
              <w:rPr>
                <w:rFonts w:hint="eastAsia" w:ascii="宋体" w:hAnsi="宋体" w:eastAsia="宋体" w:cs="宋体"/>
                <w:sz w:val="18"/>
                <w:szCs w:val="18"/>
              </w:rPr>
              <w:t>Q/ZZ30070-2021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3</w:t>
            </w:r>
          </w:p>
        </w:tc>
        <w:tc>
          <w:tcPr>
            <w:tcW w:w="3149" w:type="pct"/>
            <w:vAlign w:val="center"/>
          </w:tcPr>
          <w:p>
            <w:pPr>
              <w:overflowPunct w:val="0"/>
              <w:autoSpaceDE w:val="0"/>
              <w:autoSpaceDN w:val="0"/>
              <w:jc w:val="center"/>
              <w:rPr>
                <w:rFonts w:hint="eastAsia" w:ascii="宋体" w:hAnsi="宋体" w:eastAsia="宋体" w:cs="宋体"/>
                <w:sz w:val="18"/>
                <w:szCs w:val="18"/>
              </w:rPr>
            </w:pPr>
            <w:r>
              <w:rPr>
                <w:rFonts w:hint="eastAsia" w:ascii="宋体" w:hAnsi="宋体" w:eastAsia="宋体" w:cs="宋体"/>
                <w:sz w:val="18"/>
                <w:szCs w:val="18"/>
              </w:rPr>
              <w:t>机械安全 防止上下肢触及危险区的安全距离</w:t>
            </w:r>
          </w:p>
        </w:tc>
        <w:tc>
          <w:tcPr>
            <w:tcW w:w="1336" w:type="pct"/>
            <w:vAlign w:val="center"/>
          </w:tcPr>
          <w:p>
            <w:pPr>
              <w:overflowPunct w:val="0"/>
              <w:autoSpaceDE w:val="0"/>
              <w:autoSpaceDN w:val="0"/>
              <w:jc w:val="center"/>
              <w:rPr>
                <w:rFonts w:hint="eastAsia" w:ascii="宋体" w:hAnsi="宋体" w:eastAsia="宋体" w:cs="宋体"/>
                <w:sz w:val="18"/>
                <w:szCs w:val="18"/>
              </w:rPr>
            </w:pPr>
            <w:r>
              <w:rPr>
                <w:rFonts w:hint="eastAsia" w:ascii="宋体" w:hAnsi="宋体" w:eastAsia="宋体" w:cs="宋体"/>
                <w:sz w:val="18"/>
                <w:szCs w:val="18"/>
              </w:rPr>
              <w:t>GB23821-2009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4</w:t>
            </w:r>
          </w:p>
        </w:tc>
        <w:tc>
          <w:tcPr>
            <w:tcW w:w="3149"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工业企业噪声控制设计规范</w:t>
            </w:r>
          </w:p>
        </w:tc>
        <w:tc>
          <w:tcPr>
            <w:tcW w:w="1336"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GB/T 50087-2013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5</w:t>
            </w:r>
          </w:p>
        </w:tc>
        <w:tc>
          <w:tcPr>
            <w:tcW w:w="3149"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工作场所物理因素测量</w:t>
            </w:r>
          </w:p>
        </w:tc>
        <w:tc>
          <w:tcPr>
            <w:tcW w:w="1336"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GBZ/T 189.1-2019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6</w:t>
            </w:r>
          </w:p>
        </w:tc>
        <w:tc>
          <w:tcPr>
            <w:tcW w:w="3149"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通信电源设备安装工程设计规范</w:t>
            </w:r>
          </w:p>
        </w:tc>
        <w:tc>
          <w:tcPr>
            <w:tcW w:w="1336"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YD/T 5040-2020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7</w:t>
            </w:r>
          </w:p>
        </w:tc>
        <w:tc>
          <w:tcPr>
            <w:tcW w:w="3149"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电气装置安装工程电力变压器、互感器施工及验收规范</w:t>
            </w:r>
          </w:p>
        </w:tc>
        <w:tc>
          <w:tcPr>
            <w:tcW w:w="1336"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GB 50148-2010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8</w:t>
            </w:r>
          </w:p>
        </w:tc>
        <w:tc>
          <w:tcPr>
            <w:tcW w:w="3149"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可编程序控制器国际标准</w:t>
            </w:r>
          </w:p>
        </w:tc>
        <w:tc>
          <w:tcPr>
            <w:tcW w:w="1336"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IEC 61131-3:2020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9</w:t>
            </w:r>
          </w:p>
        </w:tc>
        <w:tc>
          <w:tcPr>
            <w:tcW w:w="3149"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机械设备安装工程施工及验收规范</w:t>
            </w:r>
          </w:p>
        </w:tc>
        <w:tc>
          <w:tcPr>
            <w:tcW w:w="1336"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GB 50231-2017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10</w:t>
            </w:r>
          </w:p>
        </w:tc>
        <w:tc>
          <w:tcPr>
            <w:tcW w:w="3149" w:type="pct"/>
            <w:vAlign w:val="center"/>
          </w:tcPr>
          <w:p>
            <w:pPr>
              <w:overflowPunct w:val="0"/>
              <w:autoSpaceDE w:val="0"/>
              <w:autoSpaceDN w:val="0"/>
              <w:jc w:val="center"/>
              <w:rPr>
                <w:rFonts w:hint="eastAsia" w:ascii="宋体" w:hAnsi="宋体" w:eastAsia="宋体" w:cs="宋体"/>
                <w:sz w:val="18"/>
                <w:szCs w:val="18"/>
              </w:rPr>
            </w:pPr>
            <w:r>
              <w:rPr>
                <w:rFonts w:hint="eastAsia" w:ascii="宋体" w:hAnsi="宋体" w:eastAsia="宋体" w:cs="宋体"/>
                <w:sz w:val="18"/>
                <w:szCs w:val="18"/>
              </w:rPr>
              <w:t>电工成套装置中的导线颜色</w:t>
            </w:r>
          </w:p>
        </w:tc>
        <w:tc>
          <w:tcPr>
            <w:tcW w:w="1336" w:type="pct"/>
            <w:vAlign w:val="center"/>
          </w:tcPr>
          <w:p>
            <w:pPr>
              <w:overflowPunct w:val="0"/>
              <w:autoSpaceDE w:val="0"/>
              <w:autoSpaceDN w:val="0"/>
              <w:jc w:val="center"/>
              <w:rPr>
                <w:rFonts w:hint="eastAsia" w:ascii="宋体" w:hAnsi="宋体" w:eastAsia="宋体" w:cs="宋体"/>
                <w:sz w:val="18"/>
                <w:szCs w:val="18"/>
              </w:rPr>
            </w:pPr>
            <w:r>
              <w:rPr>
                <w:rFonts w:hint="eastAsia" w:ascii="宋体" w:hAnsi="宋体" w:eastAsia="宋体" w:cs="宋体"/>
                <w:sz w:val="18"/>
                <w:szCs w:val="18"/>
              </w:rPr>
              <w:t>GB/T 2681-2013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11</w:t>
            </w:r>
          </w:p>
        </w:tc>
        <w:tc>
          <w:tcPr>
            <w:tcW w:w="3149"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电工成套装置中的指示灯和按钮的颜色</w:t>
            </w:r>
          </w:p>
        </w:tc>
        <w:tc>
          <w:tcPr>
            <w:tcW w:w="1336"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GB/T 2682-2013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12</w:t>
            </w:r>
          </w:p>
        </w:tc>
        <w:tc>
          <w:tcPr>
            <w:tcW w:w="3149" w:type="pct"/>
            <w:vAlign w:val="center"/>
          </w:tcPr>
          <w:p>
            <w:pPr>
              <w:widowControl/>
              <w:autoSpaceDE w:val="0"/>
              <w:autoSpaceDN w:val="0"/>
              <w:adjustRightInd w:val="0"/>
              <w:spacing w:before="27"/>
              <w:ind w:right="36" w:rightChars="17"/>
              <w:jc w:val="center"/>
              <w:rPr>
                <w:rFonts w:hint="eastAsia" w:ascii="宋体" w:hAnsi="宋体" w:eastAsia="宋体" w:cs="宋体"/>
                <w:color w:val="000000"/>
                <w:sz w:val="18"/>
                <w:szCs w:val="18"/>
              </w:rPr>
            </w:pPr>
            <w:r>
              <w:rPr>
                <w:rFonts w:hint="eastAsia" w:ascii="宋体" w:hAnsi="宋体" w:eastAsia="宋体" w:cs="宋体"/>
                <w:sz w:val="18"/>
                <w:szCs w:val="18"/>
              </w:rPr>
              <w:t>机械设备防护罩安全标准</w:t>
            </w:r>
          </w:p>
        </w:tc>
        <w:tc>
          <w:tcPr>
            <w:tcW w:w="1336" w:type="pct"/>
            <w:vAlign w:val="center"/>
          </w:tcPr>
          <w:p>
            <w:pPr>
              <w:overflowPunct w:val="0"/>
              <w:jc w:val="center"/>
              <w:rPr>
                <w:rFonts w:hint="eastAsia" w:ascii="宋体" w:hAnsi="宋体" w:eastAsia="宋体" w:cs="宋体"/>
                <w:color w:val="000000"/>
                <w:sz w:val="18"/>
                <w:szCs w:val="18"/>
              </w:rPr>
            </w:pPr>
            <w:r>
              <w:rPr>
                <w:rFonts w:hint="eastAsia" w:ascii="宋体" w:hAnsi="宋体" w:eastAsia="宋体" w:cs="宋体"/>
                <w:sz w:val="18"/>
                <w:szCs w:val="18"/>
              </w:rPr>
              <w:t>GB8196-2003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24" w:hRule="atLeast"/>
          <w:jc w:val="center"/>
        </w:trPr>
        <w:tc>
          <w:tcPr>
            <w:tcW w:w="513" w:type="pct"/>
            <w:vAlign w:val="center"/>
          </w:tcPr>
          <w:p>
            <w:pPr>
              <w:overflowPunct w:val="0"/>
              <w:jc w:val="center"/>
              <w:rPr>
                <w:rFonts w:hint="eastAsia" w:ascii="宋体" w:hAnsi="宋体" w:eastAsia="宋体" w:cs="宋体"/>
                <w:sz w:val="18"/>
                <w:szCs w:val="18"/>
              </w:rPr>
            </w:pPr>
            <w:r>
              <w:rPr>
                <w:rFonts w:hint="eastAsia" w:ascii="宋体" w:hAnsi="宋体" w:eastAsia="宋体" w:cs="宋体"/>
                <w:sz w:val="18"/>
                <w:szCs w:val="18"/>
              </w:rPr>
              <w:t>13</w:t>
            </w:r>
          </w:p>
        </w:tc>
        <w:tc>
          <w:tcPr>
            <w:tcW w:w="3149"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拧紧工具选型及释放规范</w:t>
            </w:r>
          </w:p>
        </w:tc>
        <w:tc>
          <w:tcPr>
            <w:tcW w:w="1336" w:type="pct"/>
            <w:vAlign w:val="center"/>
          </w:tcPr>
          <w:p>
            <w:pPr>
              <w:overflowPunct w:val="0"/>
              <w:autoSpaceDE w:val="0"/>
              <w:autoSpaceDN w:val="0"/>
              <w:jc w:val="center"/>
              <w:rPr>
                <w:rFonts w:hint="eastAsia" w:ascii="宋体" w:hAnsi="宋体" w:eastAsia="宋体" w:cs="宋体"/>
                <w:color w:val="000000"/>
                <w:sz w:val="18"/>
                <w:szCs w:val="18"/>
              </w:rPr>
            </w:pPr>
            <w:r>
              <w:rPr>
                <w:rFonts w:hint="eastAsia" w:ascii="宋体" w:hAnsi="宋体" w:eastAsia="宋体" w:cs="宋体"/>
                <w:sz w:val="18"/>
                <w:szCs w:val="18"/>
              </w:rPr>
              <w:t>Q/ZZ 30183-2024</w:t>
            </w: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宋体" w:eastAsia="黑体"/>
          <w:b/>
          <w:bCs/>
          <w:color w:val="auto"/>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rPr>
      </w:pPr>
      <w:r>
        <w:rPr>
          <w:rFonts w:hint="eastAsia" w:ascii="黑体" w:hAnsi="宋体" w:eastAsia="黑体"/>
          <w:b/>
          <w:bCs/>
          <w:color w:val="auto"/>
          <w:lang w:val="en-US" w:eastAsia="zh-CN"/>
        </w:rPr>
        <w:t>三、</w:t>
      </w:r>
      <w:r>
        <w:rPr>
          <w:rFonts w:hint="eastAsia" w:ascii="黑体" w:hAnsi="宋体" w:eastAsia="黑体"/>
          <w:b/>
          <w:bCs/>
          <w:color w:val="auto"/>
        </w:rPr>
        <w:t>技术规范和技术要求</w:t>
      </w:r>
    </w:p>
    <w:p>
      <w:pPr>
        <w:pStyle w:val="22"/>
        <w:numPr>
          <w:ilvl w:val="0"/>
          <w:numId w:val="0"/>
        </w:numPr>
        <w:spacing w:before="120" w:beforeLines="50" w:after="120" w:afterLines="50" w:line="360" w:lineRule="auto"/>
        <w:outlineLvl w:val="0"/>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w:t>
      </w:r>
      <w:r>
        <w:rPr>
          <w:rFonts w:hint="eastAsia" w:ascii="宋体" w:hAnsi="宋体" w:eastAsia="宋体" w:cs="宋体"/>
          <w:b w:val="0"/>
          <w:bCs/>
          <w:sz w:val="21"/>
          <w:szCs w:val="21"/>
        </w:rPr>
        <w:t>设备基本</w:t>
      </w:r>
      <w:r>
        <w:rPr>
          <w:rFonts w:hint="eastAsia" w:ascii="宋体" w:hAnsi="宋体" w:eastAsia="宋体" w:cs="宋体"/>
          <w:b w:val="0"/>
          <w:bCs/>
          <w:sz w:val="21"/>
          <w:szCs w:val="21"/>
          <w:lang w:val="en-US" w:eastAsia="zh-CN"/>
        </w:rPr>
        <w:t>信息</w:t>
      </w:r>
    </w:p>
    <w:p>
      <w:pPr>
        <w:spacing w:line="360" w:lineRule="auto"/>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w:t>
      </w:r>
      <w:r>
        <w:rPr>
          <w:rFonts w:hint="eastAsia" w:ascii="宋体" w:hAnsi="宋体" w:eastAsia="宋体" w:cs="宋体"/>
          <w:b w:val="0"/>
          <w:bCs/>
          <w:sz w:val="21"/>
          <w:szCs w:val="21"/>
        </w:rPr>
        <w:t>.</w:t>
      </w:r>
      <w:r>
        <w:rPr>
          <w:rFonts w:hint="eastAsia" w:ascii="宋体" w:hAnsi="宋体" w:eastAsia="宋体" w:cs="宋体"/>
          <w:b w:val="0"/>
          <w:bCs/>
          <w:sz w:val="21"/>
          <w:szCs w:val="21"/>
          <w:lang w:val="en-US" w:eastAsia="zh-CN"/>
        </w:rPr>
        <w:t>1方向机分装</w:t>
      </w:r>
      <w:r>
        <w:rPr>
          <w:rFonts w:hint="eastAsia" w:ascii="宋体" w:hAnsi="宋体" w:eastAsia="宋体" w:cs="宋体"/>
          <w:b w:val="0"/>
          <w:bCs/>
          <w:sz w:val="21"/>
          <w:szCs w:val="21"/>
        </w:rPr>
        <w:t>拧紧</w:t>
      </w:r>
      <w:r>
        <w:rPr>
          <w:rFonts w:hint="eastAsia" w:ascii="宋体" w:hAnsi="宋体" w:cs="宋体"/>
          <w:b w:val="0"/>
          <w:bCs/>
          <w:sz w:val="21"/>
          <w:szCs w:val="21"/>
          <w:lang w:val="en-US" w:eastAsia="zh-CN"/>
        </w:rPr>
        <w:t>机</w:t>
      </w:r>
    </w:p>
    <w:tbl>
      <w:tblPr>
        <w:tblStyle w:val="41"/>
        <w:tblW w:w="82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28"/>
        <w:gridCol w:w="1603"/>
        <w:gridCol w:w="2268"/>
        <w:gridCol w:w="17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Align w:val="center"/>
          </w:tcPr>
          <w:p>
            <w:pPr>
              <w:overflowPunct w:val="0"/>
              <w:jc w:val="center"/>
              <w:rPr>
                <w:rFonts w:hint="eastAsia" w:ascii="宋体" w:hAnsi="宋体" w:cs="宋体"/>
                <w:b/>
                <w:sz w:val="21"/>
                <w:szCs w:val="21"/>
              </w:rPr>
            </w:pPr>
            <w:r>
              <w:rPr>
                <w:rFonts w:hint="eastAsia" w:ascii="宋体" w:hAnsi="宋体" w:eastAsia="宋体" w:cs="宋体"/>
                <w:b/>
                <w:sz w:val="21"/>
                <w:szCs w:val="21"/>
              </w:rPr>
              <w:t>工具名称×数量</w:t>
            </w:r>
          </w:p>
        </w:tc>
        <w:tc>
          <w:tcPr>
            <w:tcW w:w="1603" w:type="dxa"/>
            <w:vAlign w:val="center"/>
          </w:tcPr>
          <w:p>
            <w:pPr>
              <w:overflowPunct w:val="0"/>
              <w:jc w:val="center"/>
              <w:rPr>
                <w:rFonts w:hint="eastAsia" w:ascii="宋体" w:hAnsi="宋体" w:cs="宋体"/>
                <w:b/>
                <w:sz w:val="21"/>
                <w:szCs w:val="21"/>
              </w:rPr>
            </w:pPr>
            <w:r>
              <w:rPr>
                <w:rFonts w:hint="eastAsia" w:ascii="宋体" w:hAnsi="宋体" w:cs="宋体"/>
                <w:b/>
                <w:sz w:val="21"/>
                <w:szCs w:val="21"/>
              </w:rPr>
              <w:t>力矩要求/Nm</w:t>
            </w:r>
          </w:p>
        </w:tc>
        <w:tc>
          <w:tcPr>
            <w:tcW w:w="2268" w:type="dxa"/>
            <w:vAlign w:val="center"/>
          </w:tcPr>
          <w:p>
            <w:pPr>
              <w:overflowPunct w:val="0"/>
              <w:jc w:val="center"/>
              <w:rPr>
                <w:rFonts w:hint="eastAsia" w:ascii="宋体" w:hAnsi="宋体" w:eastAsia="宋体" w:cs="宋体"/>
                <w:b/>
                <w:sz w:val="21"/>
                <w:szCs w:val="21"/>
              </w:rPr>
            </w:pPr>
            <w:r>
              <w:rPr>
                <w:rFonts w:hint="eastAsia" w:ascii="宋体" w:hAnsi="宋体" w:cs="宋体"/>
                <w:b/>
                <w:sz w:val="21"/>
                <w:szCs w:val="21"/>
              </w:rPr>
              <w:t>工具附件参考配置</w:t>
            </w:r>
          </w:p>
        </w:tc>
        <w:tc>
          <w:tcPr>
            <w:tcW w:w="1758" w:type="dxa"/>
            <w:vAlign w:val="center"/>
          </w:tcPr>
          <w:p>
            <w:pPr>
              <w:overflowPunct w:val="0"/>
              <w:jc w:val="center"/>
              <w:rPr>
                <w:rFonts w:hint="eastAsia" w:ascii="宋体" w:hAnsi="宋体" w:eastAsia="宋体" w:cs="宋体"/>
                <w:b/>
                <w:sz w:val="21"/>
                <w:szCs w:val="21"/>
              </w:rPr>
            </w:pPr>
            <w:r>
              <w:rPr>
                <w:rFonts w:hint="eastAsia" w:ascii="宋体" w:hAnsi="宋体" w:cs="宋体"/>
                <w:b/>
                <w:sz w:val="21"/>
                <w:szCs w:val="21"/>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restart"/>
            <w:vAlign w:val="center"/>
          </w:tcPr>
          <w:p>
            <w:pPr>
              <w:overflowPunct w:val="0"/>
              <w:jc w:val="center"/>
              <w:rPr>
                <w:rFonts w:hint="eastAsia" w:ascii="宋体" w:hAnsi="宋体" w:eastAsia="宋体" w:cs="宋体"/>
                <w:bCs/>
                <w:sz w:val="21"/>
                <w:szCs w:val="21"/>
                <w:lang w:val="en-US" w:eastAsia="zh-CN"/>
              </w:rPr>
            </w:pPr>
            <w:r>
              <w:rPr>
                <w:rFonts w:hint="eastAsia" w:ascii="宋体" w:hAnsi="宋体" w:cs="宋体"/>
                <w:bCs/>
                <w:sz w:val="21"/>
                <w:szCs w:val="21"/>
              </w:rPr>
              <w:t>单轴拧紧机</w:t>
            </w:r>
            <w:r>
              <w:rPr>
                <w:rFonts w:hint="eastAsia" w:ascii="宋体" w:hAnsi="宋体" w:eastAsia="宋体" w:cs="宋体"/>
                <w:bCs/>
                <w:sz w:val="21"/>
                <w:szCs w:val="21"/>
              </w:rPr>
              <w:t>×</w:t>
            </w:r>
            <w:r>
              <w:rPr>
                <w:rFonts w:hint="eastAsia" w:ascii="宋体" w:hAnsi="宋体" w:eastAsia="宋体" w:cs="宋体"/>
                <w:bCs/>
                <w:sz w:val="21"/>
                <w:szCs w:val="21"/>
                <w:lang w:val="en-US" w:eastAsia="zh-CN"/>
              </w:rPr>
              <w:t>1</w:t>
            </w:r>
          </w:p>
        </w:tc>
        <w:tc>
          <w:tcPr>
            <w:tcW w:w="1603" w:type="dxa"/>
            <w:vMerge w:val="restart"/>
            <w:vAlign w:val="center"/>
          </w:tcPr>
          <w:p>
            <w:pPr>
              <w:jc w:val="center"/>
              <w:rPr>
                <w:rFonts w:hint="eastAsia" w:ascii="宋体" w:hAnsi="宋体" w:cs="宋体"/>
                <w:kern w:val="0"/>
                <w:sz w:val="21"/>
                <w:szCs w:val="21"/>
              </w:rPr>
            </w:pPr>
            <w:r>
              <w:rPr>
                <w:rFonts w:hint="eastAsia" w:ascii="宋体" w:hAnsi="宋体" w:cs="宋体"/>
                <w:kern w:val="0"/>
                <w:sz w:val="21"/>
                <w:szCs w:val="21"/>
              </w:rPr>
              <w:t>花键（ZF）：M=700±70Nm；花键（国产）：M=550±55Nm</w:t>
            </w:r>
          </w:p>
          <w:p>
            <w:pPr>
              <w:jc w:val="center"/>
              <w:rPr>
                <w:rFonts w:hint="eastAsia" w:ascii="宋体" w:hAnsi="宋体" w:cs="宋体"/>
                <w:bCs/>
                <w:sz w:val="21"/>
                <w:szCs w:val="21"/>
                <w:highlight w:val="yellow"/>
              </w:rPr>
            </w:pPr>
            <w:r>
              <w:rPr>
                <w:rFonts w:ascii="宋体" w:hAnsi="宋体"/>
                <w:sz w:val="21"/>
                <w:szCs w:val="21"/>
              </w:rPr>
              <w:t>M</w:t>
            </w:r>
            <w:r>
              <w:rPr>
                <w:rFonts w:hint="eastAsia" w:ascii="宋体" w:hAnsi="宋体"/>
                <w:sz w:val="21"/>
                <w:szCs w:val="21"/>
              </w:rPr>
              <w:t>2</w:t>
            </w:r>
            <w:r>
              <w:rPr>
                <w:rFonts w:ascii="宋体" w:hAnsi="宋体"/>
                <w:sz w:val="21"/>
                <w:szCs w:val="21"/>
              </w:rPr>
              <w:t>0=5</w:t>
            </w:r>
            <w:r>
              <w:rPr>
                <w:rFonts w:hint="eastAsia" w:ascii="宋体" w:hAnsi="宋体"/>
                <w:sz w:val="21"/>
                <w:szCs w:val="21"/>
              </w:rPr>
              <w:t>2</w:t>
            </w:r>
            <w:r>
              <w:rPr>
                <w:rFonts w:ascii="宋体" w:hAnsi="宋体"/>
                <w:sz w:val="21"/>
                <w:szCs w:val="21"/>
              </w:rPr>
              <w:t>0±</w:t>
            </w:r>
            <w:r>
              <w:rPr>
                <w:rFonts w:hint="eastAsia" w:ascii="宋体" w:hAnsi="宋体"/>
                <w:sz w:val="21"/>
                <w:szCs w:val="21"/>
              </w:rPr>
              <w:t>52</w:t>
            </w:r>
            <w:r>
              <w:rPr>
                <w:rFonts w:ascii="宋体" w:hAnsi="宋体"/>
                <w:sz w:val="21"/>
                <w:szCs w:val="21"/>
              </w:rPr>
              <w:t>Nm</w:t>
            </w: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控制器</w:t>
            </w:r>
          </w:p>
        </w:tc>
        <w:tc>
          <w:tcPr>
            <w:tcW w:w="1758" w:type="dxa"/>
            <w:vAlign w:val="center"/>
          </w:tcPr>
          <w:p>
            <w:pPr>
              <w:overflowPunct w:val="0"/>
              <w:jc w:val="center"/>
              <w:rPr>
                <w:rFonts w:hint="eastAsia" w:ascii="宋体" w:hAnsi="宋体" w:eastAsia="宋体" w:cs="宋体"/>
                <w:bCs/>
                <w:sz w:val="21"/>
                <w:szCs w:val="21"/>
              </w:rPr>
            </w:pPr>
            <w:r>
              <w:rPr>
                <w:rFonts w:hint="eastAsia" w:ascii="宋体" w:hAnsi="宋体" w:cs="宋体"/>
                <w:bCs/>
                <w:sz w:val="21"/>
                <w:szCs w:val="21"/>
                <w:lang w:val="en-US" w:eastAsia="zh-CN"/>
              </w:rPr>
              <w:t>1</w:t>
            </w:r>
            <w:r>
              <w:rPr>
                <w:rFonts w:hint="eastAsia" w:ascii="宋体" w:hAnsi="宋体" w:cs="宋体"/>
                <w:bCs/>
                <w:sz w:val="21"/>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电缆</w:t>
            </w:r>
          </w:p>
        </w:tc>
        <w:tc>
          <w:tcPr>
            <w:tcW w:w="1758" w:type="dxa"/>
            <w:vAlign w:val="center"/>
          </w:tcPr>
          <w:p>
            <w:pPr>
              <w:overflowPunct w:val="0"/>
              <w:jc w:val="center"/>
              <w:rPr>
                <w:rFonts w:hint="eastAsia" w:ascii="宋体" w:hAnsi="宋体" w:cs="宋体"/>
                <w:bCs/>
                <w:sz w:val="21"/>
                <w:szCs w:val="21"/>
              </w:rPr>
            </w:pPr>
            <w:r>
              <w:rPr>
                <w:rFonts w:hint="eastAsia" w:ascii="宋体" w:hAnsi="宋体" w:cs="宋体"/>
                <w:bCs/>
                <w:sz w:val="21"/>
                <w:szCs w:val="21"/>
                <w:lang w:val="en-US" w:eastAsia="zh-CN"/>
              </w:rPr>
              <w:t>1</w:t>
            </w:r>
            <w:r>
              <w:rPr>
                <w:rFonts w:hint="eastAsia" w:ascii="宋体" w:hAnsi="宋体" w:cs="宋体"/>
                <w:bCs/>
                <w:sz w:val="21"/>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机械臂</w:t>
            </w:r>
          </w:p>
        </w:tc>
        <w:tc>
          <w:tcPr>
            <w:tcW w:w="1758" w:type="dxa"/>
            <w:vAlign w:val="center"/>
          </w:tcPr>
          <w:p>
            <w:pPr>
              <w:overflowPunct w:val="0"/>
              <w:jc w:val="center"/>
              <w:rPr>
                <w:rFonts w:hint="eastAsia" w:ascii="宋体" w:hAnsi="宋体" w:cs="宋体"/>
                <w:bCs/>
                <w:sz w:val="21"/>
                <w:szCs w:val="21"/>
              </w:rPr>
            </w:pPr>
            <w:r>
              <w:rPr>
                <w:rFonts w:hint="eastAsia" w:ascii="宋体" w:hAnsi="宋体" w:cs="宋体"/>
                <w:bCs/>
                <w:sz w:val="21"/>
                <w:szCs w:val="21"/>
                <w:lang w:val="en-US" w:eastAsia="zh-CN"/>
              </w:rPr>
              <w:t>1</w:t>
            </w:r>
            <w:r>
              <w:rPr>
                <w:rFonts w:hint="eastAsia" w:ascii="宋体" w:hAnsi="宋体" w:cs="宋体"/>
                <w:bCs/>
                <w:sz w:val="21"/>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控制器支架</w:t>
            </w:r>
          </w:p>
        </w:tc>
        <w:tc>
          <w:tcPr>
            <w:tcW w:w="1758" w:type="dxa"/>
            <w:vAlign w:val="center"/>
          </w:tcPr>
          <w:p>
            <w:pPr>
              <w:overflowPunct w:val="0"/>
              <w:jc w:val="center"/>
              <w:rPr>
                <w:rFonts w:hint="eastAsia" w:ascii="宋体" w:hAnsi="宋体" w:cs="宋体"/>
                <w:bCs/>
                <w:sz w:val="21"/>
                <w:szCs w:val="21"/>
              </w:rPr>
            </w:pPr>
            <w:r>
              <w:rPr>
                <w:rFonts w:hint="eastAsia" w:ascii="宋体" w:hAnsi="宋体" w:cs="宋体"/>
                <w:bCs/>
                <w:sz w:val="21"/>
                <w:szCs w:val="21"/>
                <w:lang w:val="en-US" w:eastAsia="zh-CN"/>
              </w:rPr>
              <w:t>1</w:t>
            </w:r>
            <w:r>
              <w:rPr>
                <w:rFonts w:hint="eastAsia" w:ascii="宋体" w:hAnsi="宋体" w:cs="宋体"/>
                <w:bCs/>
                <w:sz w:val="21"/>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定制套筒</w:t>
            </w:r>
          </w:p>
        </w:tc>
        <w:tc>
          <w:tcPr>
            <w:tcW w:w="175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6套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eastAsia" w:ascii="宋体" w:hAnsi="宋体" w:eastAsia="宋体" w:cs="宋体"/>
                <w:bCs/>
                <w:sz w:val="21"/>
                <w:szCs w:val="21"/>
                <w:lang w:val="en-US" w:eastAsia="zh-CN"/>
              </w:rPr>
            </w:pPr>
            <w:r>
              <w:rPr>
                <w:rFonts w:hint="eastAsia" w:ascii="宋体" w:hAnsi="宋体" w:cs="宋体"/>
                <w:bCs/>
                <w:sz w:val="21"/>
                <w:szCs w:val="21"/>
                <w:lang w:val="en-US" w:eastAsia="zh-CN"/>
              </w:rPr>
              <w:t>扫码枪</w:t>
            </w:r>
          </w:p>
        </w:tc>
        <w:tc>
          <w:tcPr>
            <w:tcW w:w="1758" w:type="dxa"/>
            <w:vAlign w:val="center"/>
          </w:tcPr>
          <w:p>
            <w:pPr>
              <w:overflowPunct w:val="0"/>
              <w:jc w:val="center"/>
              <w:rPr>
                <w:rFonts w:hint="default" w:ascii="宋体" w:hAnsi="宋体" w:eastAsia="宋体" w:cs="宋体"/>
                <w:bCs/>
                <w:sz w:val="21"/>
                <w:szCs w:val="21"/>
                <w:lang w:val="en-US" w:eastAsia="zh-CN"/>
              </w:rPr>
            </w:pPr>
            <w:r>
              <w:rPr>
                <w:rFonts w:hint="eastAsia" w:ascii="宋体" w:hAnsi="宋体" w:cs="宋体"/>
                <w:bCs/>
                <w:sz w:val="21"/>
                <w:szCs w:val="21"/>
                <w:lang w:val="en-US" w:eastAsia="zh-CN"/>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shd w:val="clear" w:color="auto" w:fill="auto"/>
            <w:vAlign w:val="center"/>
          </w:tcPr>
          <w:p>
            <w:pPr>
              <w:overflowPunct w:val="0"/>
              <w:jc w:val="center"/>
              <w:rPr>
                <w:rFonts w:hint="eastAsia" w:ascii="宋体" w:hAnsi="宋体" w:eastAsia="宋体" w:cs="宋体"/>
                <w:bCs/>
                <w:kern w:val="2"/>
                <w:sz w:val="18"/>
                <w:szCs w:val="18"/>
                <w:lang w:val="en-US" w:eastAsia="zh-CN" w:bidi="ar-SA"/>
              </w:rPr>
            </w:pPr>
            <w:r>
              <w:rPr>
                <w:rFonts w:hint="eastAsia" w:ascii="宋体" w:hAnsi="宋体" w:cs="宋体"/>
                <w:bCs/>
                <w:sz w:val="21"/>
                <w:szCs w:val="21"/>
                <w:lang w:val="en-US" w:eastAsia="zh-CN"/>
              </w:rPr>
              <w:t>反力工装</w:t>
            </w:r>
          </w:p>
        </w:tc>
        <w:tc>
          <w:tcPr>
            <w:tcW w:w="1603" w:type="dxa"/>
            <w:shd w:val="clear" w:color="auto" w:fill="auto"/>
            <w:vAlign w:val="center"/>
          </w:tcPr>
          <w:p>
            <w:pPr>
              <w:overflowPunct w:val="0"/>
              <w:jc w:val="center"/>
              <w:rPr>
                <w:rFonts w:hint="eastAsia" w:ascii="宋体" w:hAnsi="宋体" w:eastAsia="宋体" w:cs="宋体"/>
                <w:bCs/>
                <w:kern w:val="2"/>
                <w:sz w:val="18"/>
                <w:szCs w:val="18"/>
                <w:lang w:val="en-US" w:eastAsia="zh-CN" w:bidi="ar-SA"/>
              </w:rPr>
            </w:pPr>
          </w:p>
        </w:tc>
        <w:tc>
          <w:tcPr>
            <w:tcW w:w="2268" w:type="dxa"/>
            <w:vAlign w:val="center"/>
          </w:tcPr>
          <w:p>
            <w:pPr>
              <w:overflowPunct w:val="0"/>
              <w:jc w:val="center"/>
              <w:rPr>
                <w:rFonts w:hint="default" w:ascii="宋体" w:hAnsi="宋体" w:cs="宋体"/>
                <w:bCs/>
                <w:sz w:val="21"/>
                <w:szCs w:val="21"/>
                <w:lang w:val="en-US" w:eastAsia="zh-CN"/>
              </w:rPr>
            </w:pPr>
            <w:r>
              <w:rPr>
                <w:rFonts w:hint="eastAsia" w:ascii="宋体" w:hAnsi="宋体" w:cs="宋体"/>
                <w:bCs/>
                <w:sz w:val="21"/>
                <w:szCs w:val="21"/>
                <w:lang w:val="en-US" w:eastAsia="zh-CN"/>
              </w:rPr>
              <w:t>非标定制</w:t>
            </w:r>
          </w:p>
        </w:tc>
        <w:tc>
          <w:tcPr>
            <w:tcW w:w="1758" w:type="dxa"/>
            <w:vAlign w:val="center"/>
          </w:tcPr>
          <w:p>
            <w:pPr>
              <w:overflowPunct w:val="0"/>
              <w:jc w:val="center"/>
              <w:rPr>
                <w:rFonts w:hint="eastAsia" w:ascii="宋体" w:hAnsi="宋体" w:cs="宋体"/>
                <w:bCs/>
                <w:sz w:val="21"/>
                <w:szCs w:val="21"/>
                <w:lang w:val="en-US" w:eastAsia="zh-CN"/>
              </w:rPr>
            </w:pPr>
            <w:r>
              <w:rPr>
                <w:rFonts w:hint="eastAsia" w:ascii="宋体" w:hAnsi="宋体" w:cs="宋体"/>
                <w:bCs/>
                <w:sz w:val="21"/>
                <w:szCs w:val="21"/>
                <w:lang w:val="en-US" w:eastAsia="zh-CN"/>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Align w:val="center"/>
          </w:tcPr>
          <w:p>
            <w:pPr>
              <w:overflowPunct w:val="0"/>
              <w:jc w:val="center"/>
              <w:rPr>
                <w:rFonts w:hint="default" w:ascii="宋体" w:hAnsi="宋体" w:eastAsia="宋体" w:cs="宋体"/>
                <w:bCs/>
                <w:sz w:val="21"/>
                <w:szCs w:val="21"/>
                <w:lang w:val="en-US" w:eastAsia="zh-CN"/>
              </w:rPr>
            </w:pPr>
            <w:r>
              <w:rPr>
                <w:rFonts w:hint="eastAsia" w:ascii="宋体" w:hAnsi="宋体" w:cs="宋体"/>
                <w:bCs/>
                <w:sz w:val="21"/>
                <w:szCs w:val="21"/>
                <w:lang w:val="en-US" w:eastAsia="zh-CN"/>
              </w:rPr>
              <w:t>拧紧机吊装工具</w:t>
            </w:r>
          </w:p>
        </w:tc>
        <w:tc>
          <w:tcPr>
            <w:tcW w:w="1603" w:type="dxa"/>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default" w:ascii="宋体" w:hAnsi="宋体" w:eastAsia="宋体" w:cs="宋体"/>
                <w:bCs/>
                <w:sz w:val="21"/>
                <w:szCs w:val="21"/>
                <w:lang w:val="en-US" w:eastAsia="zh-CN"/>
              </w:rPr>
            </w:pPr>
            <w:r>
              <w:rPr>
                <w:rFonts w:hint="eastAsia" w:ascii="宋体" w:hAnsi="宋体" w:cs="宋体"/>
                <w:bCs/>
                <w:sz w:val="21"/>
                <w:szCs w:val="21"/>
                <w:lang w:val="en-US" w:eastAsia="zh-CN"/>
              </w:rPr>
              <w:t>非标定制</w:t>
            </w:r>
          </w:p>
        </w:tc>
        <w:tc>
          <w:tcPr>
            <w:tcW w:w="1758" w:type="dxa"/>
            <w:vAlign w:val="center"/>
          </w:tcPr>
          <w:p>
            <w:pPr>
              <w:overflowPunct w:val="0"/>
              <w:jc w:val="center"/>
              <w:rPr>
                <w:rFonts w:hint="default" w:ascii="宋体" w:hAnsi="宋体" w:eastAsia="宋体" w:cs="宋体"/>
                <w:bCs/>
                <w:sz w:val="21"/>
                <w:szCs w:val="21"/>
                <w:lang w:val="en-US" w:eastAsia="zh-CN"/>
              </w:rPr>
            </w:pPr>
            <w:r>
              <w:rPr>
                <w:rFonts w:hint="eastAsia" w:ascii="宋体" w:hAnsi="宋体" w:cs="宋体"/>
                <w:bCs/>
                <w:sz w:val="21"/>
                <w:szCs w:val="21"/>
                <w:lang w:val="en-US" w:eastAsia="zh-CN"/>
              </w:rPr>
              <w:t>1套</w:t>
            </w:r>
          </w:p>
        </w:tc>
      </w:tr>
    </w:tbl>
    <w:p>
      <w:pPr>
        <w:spacing w:before="120" w:beforeLines="50" w:after="120" w:afterLines="50"/>
        <w:jc w:val="center"/>
        <w:rPr>
          <w:rFonts w:hint="eastAsia" w:eastAsia="宋体"/>
          <w:sz w:val="21"/>
          <w:szCs w:val="21"/>
          <w:lang w:eastAsia="zh-CN"/>
        </w:rPr>
      </w:pPr>
      <w:r>
        <w:rPr>
          <w:rFonts w:hint="eastAsia" w:eastAsia="宋体"/>
          <w:sz w:val="21"/>
          <w:szCs w:val="21"/>
          <w:lang w:eastAsia="zh-CN"/>
        </w:rPr>
        <w:drawing>
          <wp:inline distT="0" distB="0" distL="114300" distR="114300">
            <wp:extent cx="2762885" cy="1618615"/>
            <wp:effectExtent l="0" t="0" r="6985" b="5715"/>
            <wp:docPr id="9" name="图片 9" descr="322c371da995520add4c304b94a57d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2c371da995520add4c304b94a57da0"/>
                    <pic:cNvPicPr>
                      <a:picLocks noChangeAspect="1"/>
                    </pic:cNvPicPr>
                  </pic:nvPicPr>
                  <pic:blipFill>
                    <a:blip r:embed="rId40"/>
                    <a:srcRect r="12788" b="31892"/>
                    <a:stretch>
                      <a:fillRect/>
                    </a:stretch>
                  </pic:blipFill>
                  <pic:spPr>
                    <a:xfrm rot="5400000">
                      <a:off x="0" y="0"/>
                      <a:ext cx="2762885" cy="1618615"/>
                    </a:xfrm>
                    <a:prstGeom prst="rect">
                      <a:avLst/>
                    </a:prstGeom>
                  </pic:spPr>
                </pic:pic>
              </a:graphicData>
            </a:graphic>
          </wp:inline>
        </w:drawing>
      </w:r>
    </w:p>
    <w:p>
      <w:pPr>
        <w:spacing w:before="120" w:beforeLines="50" w:after="120" w:afterLines="50"/>
        <w:jc w:val="center"/>
        <w:rPr>
          <w:rFonts w:hint="eastAsia" w:asciiTheme="minorEastAsia" w:hAnsiTheme="minorEastAsia" w:eastAsiaTheme="minorEastAsia"/>
          <w:b w:val="0"/>
          <w:bCs/>
          <w:sz w:val="21"/>
          <w:szCs w:val="21"/>
          <w:lang w:val="en-US" w:eastAsia="zh-CN"/>
        </w:rPr>
      </w:pPr>
      <w:r>
        <w:rPr>
          <w:rFonts w:hint="eastAsia" w:hAnsi="宋体" w:cs="宋体"/>
          <w:bCs/>
          <w:sz w:val="21"/>
          <w:szCs w:val="21"/>
        </w:rPr>
        <w:t>参考拧紧方案</w:t>
      </w:r>
    </w:p>
    <w:p>
      <w:pPr>
        <w:spacing w:line="360" w:lineRule="auto"/>
        <w:rPr>
          <w:rFonts w:hint="default" w:ascii="宋体" w:hAnsi="宋体" w:eastAsia="宋体" w:cs="宋体"/>
          <w:b w:val="0"/>
          <w:bCs/>
          <w:sz w:val="21"/>
          <w:szCs w:val="21"/>
          <w:lang w:val="en-US" w:eastAsia="zh-CN"/>
        </w:rPr>
      </w:pPr>
      <w:r>
        <w:rPr>
          <w:rFonts w:hint="eastAsia" w:asciiTheme="minorEastAsia" w:hAnsiTheme="minorEastAsia" w:eastAsiaTheme="minorEastAsia"/>
          <w:b w:val="0"/>
          <w:bCs/>
          <w:sz w:val="21"/>
          <w:szCs w:val="21"/>
          <w:lang w:val="en-US" w:eastAsia="zh-CN"/>
        </w:rPr>
        <w:t>1</w:t>
      </w:r>
      <w:r>
        <w:rPr>
          <w:rFonts w:hint="eastAsia" w:asciiTheme="minorEastAsia" w:hAnsiTheme="minorEastAsia" w:eastAsiaTheme="minorEastAsia"/>
          <w:b w:val="0"/>
          <w:bCs/>
          <w:sz w:val="21"/>
          <w:szCs w:val="21"/>
        </w:rPr>
        <w:t>.</w:t>
      </w:r>
      <w:r>
        <w:rPr>
          <w:rFonts w:hint="eastAsia" w:asciiTheme="minorEastAsia" w:hAnsiTheme="minorEastAsia" w:eastAsiaTheme="minorEastAsia"/>
          <w:b w:val="0"/>
          <w:bCs/>
          <w:sz w:val="21"/>
          <w:szCs w:val="21"/>
          <w:lang w:val="en-US" w:eastAsia="zh-CN"/>
        </w:rPr>
        <w:t>2</w:t>
      </w:r>
      <w:r>
        <w:rPr>
          <w:rFonts w:hint="eastAsia" w:ascii="宋体" w:hAnsi="宋体" w:eastAsia="宋体" w:cs="宋体"/>
          <w:b w:val="0"/>
          <w:bCs/>
          <w:sz w:val="21"/>
          <w:szCs w:val="21"/>
          <w:lang w:val="en-US" w:eastAsia="zh-CN"/>
        </w:rPr>
        <w:t>板簧销拧紧</w:t>
      </w:r>
    </w:p>
    <w:tbl>
      <w:tblPr>
        <w:tblStyle w:val="41"/>
        <w:tblW w:w="82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28"/>
        <w:gridCol w:w="1603"/>
        <w:gridCol w:w="2268"/>
        <w:gridCol w:w="17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Align w:val="center"/>
          </w:tcPr>
          <w:p>
            <w:pPr>
              <w:overflowPunct w:val="0"/>
              <w:jc w:val="center"/>
              <w:rPr>
                <w:rFonts w:hint="eastAsia" w:ascii="宋体" w:hAnsi="宋体" w:cs="宋体"/>
                <w:b/>
                <w:sz w:val="21"/>
                <w:szCs w:val="21"/>
              </w:rPr>
            </w:pPr>
            <w:r>
              <w:rPr>
                <w:rFonts w:hint="eastAsia" w:ascii="宋体" w:hAnsi="宋体" w:eastAsia="宋体" w:cs="宋体"/>
                <w:b/>
                <w:sz w:val="21"/>
                <w:szCs w:val="21"/>
              </w:rPr>
              <w:t>工具名称×数量</w:t>
            </w:r>
          </w:p>
        </w:tc>
        <w:tc>
          <w:tcPr>
            <w:tcW w:w="1603" w:type="dxa"/>
            <w:vAlign w:val="center"/>
          </w:tcPr>
          <w:p>
            <w:pPr>
              <w:overflowPunct w:val="0"/>
              <w:jc w:val="center"/>
              <w:rPr>
                <w:rFonts w:hint="eastAsia" w:ascii="宋体" w:hAnsi="宋体" w:cs="宋体"/>
                <w:b/>
                <w:sz w:val="21"/>
                <w:szCs w:val="21"/>
              </w:rPr>
            </w:pPr>
            <w:r>
              <w:rPr>
                <w:rFonts w:hint="eastAsia" w:ascii="宋体" w:hAnsi="宋体" w:cs="宋体"/>
                <w:b/>
                <w:sz w:val="21"/>
                <w:szCs w:val="21"/>
              </w:rPr>
              <w:t>力矩要求/Nm</w:t>
            </w:r>
          </w:p>
        </w:tc>
        <w:tc>
          <w:tcPr>
            <w:tcW w:w="2268" w:type="dxa"/>
            <w:vAlign w:val="center"/>
          </w:tcPr>
          <w:p>
            <w:pPr>
              <w:overflowPunct w:val="0"/>
              <w:jc w:val="center"/>
              <w:rPr>
                <w:rFonts w:hint="eastAsia" w:ascii="宋体" w:hAnsi="宋体" w:eastAsia="宋体" w:cs="宋体"/>
                <w:b/>
                <w:sz w:val="21"/>
                <w:szCs w:val="21"/>
              </w:rPr>
            </w:pPr>
            <w:r>
              <w:rPr>
                <w:rFonts w:hint="eastAsia" w:ascii="宋体" w:hAnsi="宋体" w:cs="宋体"/>
                <w:b/>
                <w:sz w:val="21"/>
                <w:szCs w:val="21"/>
              </w:rPr>
              <w:t>工具附件参考配置</w:t>
            </w:r>
          </w:p>
        </w:tc>
        <w:tc>
          <w:tcPr>
            <w:tcW w:w="1758" w:type="dxa"/>
            <w:vAlign w:val="center"/>
          </w:tcPr>
          <w:p>
            <w:pPr>
              <w:overflowPunct w:val="0"/>
              <w:jc w:val="center"/>
              <w:rPr>
                <w:rFonts w:hint="eastAsia" w:ascii="宋体" w:hAnsi="宋体" w:eastAsia="宋体" w:cs="宋体"/>
                <w:b/>
                <w:sz w:val="21"/>
                <w:szCs w:val="21"/>
              </w:rPr>
            </w:pPr>
            <w:r>
              <w:rPr>
                <w:rFonts w:hint="eastAsia" w:ascii="宋体" w:hAnsi="宋体" w:cs="宋体"/>
                <w:b/>
                <w:sz w:val="21"/>
                <w:szCs w:val="21"/>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restart"/>
            <w:vAlign w:val="center"/>
          </w:tcPr>
          <w:p>
            <w:pPr>
              <w:overflowPunct w:val="0"/>
              <w:jc w:val="center"/>
              <w:rPr>
                <w:rFonts w:hint="eastAsia" w:ascii="宋体" w:hAnsi="宋体" w:eastAsia="宋体" w:cs="宋体"/>
                <w:bCs/>
                <w:sz w:val="21"/>
                <w:szCs w:val="21"/>
                <w:lang w:val="en-US" w:eastAsia="zh-CN"/>
              </w:rPr>
            </w:pPr>
            <w:r>
              <w:rPr>
                <w:rFonts w:hint="eastAsia" w:ascii="宋体" w:hAnsi="宋体" w:cs="宋体"/>
                <w:bCs/>
                <w:sz w:val="21"/>
                <w:szCs w:val="21"/>
              </w:rPr>
              <w:t>单轴拧紧机</w:t>
            </w:r>
            <w:r>
              <w:rPr>
                <w:rFonts w:hint="eastAsia" w:ascii="宋体" w:hAnsi="宋体" w:eastAsia="宋体" w:cs="宋体"/>
                <w:bCs/>
                <w:sz w:val="21"/>
                <w:szCs w:val="21"/>
              </w:rPr>
              <w:t>×</w:t>
            </w:r>
            <w:r>
              <w:rPr>
                <w:rFonts w:hint="eastAsia" w:ascii="宋体" w:hAnsi="宋体" w:cs="宋体"/>
                <w:bCs/>
                <w:sz w:val="21"/>
                <w:szCs w:val="21"/>
                <w:lang w:val="en-US" w:eastAsia="zh-CN"/>
              </w:rPr>
              <w:t>2</w:t>
            </w:r>
          </w:p>
        </w:tc>
        <w:tc>
          <w:tcPr>
            <w:tcW w:w="1603" w:type="dxa"/>
            <w:vMerge w:val="restart"/>
            <w:vAlign w:val="center"/>
          </w:tcPr>
          <w:p>
            <w:pPr>
              <w:overflowPunct w:val="0"/>
              <w:jc w:val="center"/>
              <w:rPr>
                <w:rFonts w:hint="eastAsia" w:ascii="宋体" w:hAnsi="宋体" w:cs="宋体"/>
                <w:bCs/>
                <w:sz w:val="21"/>
                <w:szCs w:val="21"/>
                <w:highlight w:val="yellow"/>
              </w:rPr>
            </w:pPr>
            <w:r>
              <w:rPr>
                <w:rFonts w:hint="eastAsia" w:ascii="宋体" w:hAnsi="宋体" w:cs="宋体"/>
                <w:kern w:val="0"/>
                <w:sz w:val="21"/>
                <w:szCs w:val="21"/>
              </w:rPr>
              <w:t>M=</w:t>
            </w:r>
            <w:r>
              <w:rPr>
                <w:rFonts w:hint="eastAsia" w:ascii="宋体" w:hAnsi="宋体" w:cs="宋体"/>
                <w:kern w:val="0"/>
                <w:sz w:val="21"/>
                <w:szCs w:val="21"/>
                <w:lang w:val="en-US" w:eastAsia="zh-CN"/>
              </w:rPr>
              <w:t>960</w:t>
            </w:r>
            <w:r>
              <w:rPr>
                <w:rFonts w:hint="eastAsia" w:ascii="宋体" w:hAnsi="宋体" w:cs="宋体"/>
                <w:kern w:val="0"/>
                <w:sz w:val="21"/>
                <w:szCs w:val="21"/>
              </w:rPr>
              <w:t>±</w:t>
            </w:r>
            <w:r>
              <w:rPr>
                <w:rFonts w:hint="eastAsia" w:ascii="宋体" w:hAnsi="宋体" w:cs="宋体"/>
                <w:kern w:val="0"/>
                <w:sz w:val="21"/>
                <w:szCs w:val="21"/>
                <w:lang w:val="en-US" w:eastAsia="zh-CN"/>
              </w:rPr>
              <w:t>96</w:t>
            </w:r>
            <w:r>
              <w:rPr>
                <w:rFonts w:hint="eastAsia" w:ascii="宋体" w:hAnsi="宋体" w:cs="宋体"/>
                <w:kern w:val="0"/>
                <w:sz w:val="21"/>
                <w:szCs w:val="21"/>
              </w:rPr>
              <w:t>Nm</w:t>
            </w: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控制器</w:t>
            </w:r>
          </w:p>
        </w:tc>
        <w:tc>
          <w:tcPr>
            <w:tcW w:w="1758" w:type="dxa"/>
            <w:vAlign w:val="center"/>
          </w:tcPr>
          <w:p>
            <w:pPr>
              <w:overflowPunct w:val="0"/>
              <w:jc w:val="center"/>
              <w:rPr>
                <w:rFonts w:hint="eastAsia" w:ascii="宋体" w:hAnsi="宋体" w:eastAsia="宋体" w:cs="宋体"/>
                <w:bCs/>
                <w:sz w:val="21"/>
                <w:szCs w:val="21"/>
              </w:rPr>
            </w:pPr>
            <w:r>
              <w:rPr>
                <w:rFonts w:hint="eastAsia" w:ascii="宋体" w:hAnsi="宋体" w:cs="宋体"/>
                <w:bCs/>
                <w:sz w:val="21"/>
                <w:szCs w:val="21"/>
                <w:lang w:val="en-US" w:eastAsia="zh-CN"/>
              </w:rPr>
              <w:t>2</w:t>
            </w:r>
            <w:r>
              <w:rPr>
                <w:rFonts w:hint="eastAsia" w:ascii="宋体" w:hAnsi="宋体" w:cs="宋体"/>
                <w:bCs/>
                <w:sz w:val="21"/>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电缆</w:t>
            </w:r>
          </w:p>
        </w:tc>
        <w:tc>
          <w:tcPr>
            <w:tcW w:w="1758" w:type="dxa"/>
            <w:vAlign w:val="center"/>
          </w:tcPr>
          <w:p>
            <w:pPr>
              <w:overflowPunct w:val="0"/>
              <w:jc w:val="center"/>
              <w:rPr>
                <w:rFonts w:hint="eastAsia" w:ascii="宋体" w:hAnsi="宋体" w:cs="宋体"/>
                <w:bCs/>
                <w:sz w:val="21"/>
                <w:szCs w:val="21"/>
              </w:rPr>
            </w:pPr>
            <w:r>
              <w:rPr>
                <w:rFonts w:hint="eastAsia" w:ascii="宋体" w:hAnsi="宋体" w:cs="宋体"/>
                <w:bCs/>
                <w:sz w:val="21"/>
                <w:szCs w:val="21"/>
                <w:lang w:val="en-US" w:eastAsia="zh-CN"/>
              </w:rPr>
              <w:t>2</w:t>
            </w:r>
            <w:r>
              <w:rPr>
                <w:rFonts w:hint="eastAsia" w:ascii="宋体" w:hAnsi="宋体" w:cs="宋体"/>
                <w:bCs/>
                <w:sz w:val="21"/>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机械臂</w:t>
            </w:r>
          </w:p>
        </w:tc>
        <w:tc>
          <w:tcPr>
            <w:tcW w:w="1758" w:type="dxa"/>
            <w:vAlign w:val="center"/>
          </w:tcPr>
          <w:p>
            <w:pPr>
              <w:overflowPunct w:val="0"/>
              <w:jc w:val="center"/>
              <w:rPr>
                <w:rFonts w:hint="eastAsia" w:ascii="宋体" w:hAnsi="宋体" w:cs="宋体"/>
                <w:bCs/>
                <w:sz w:val="21"/>
                <w:szCs w:val="21"/>
              </w:rPr>
            </w:pPr>
            <w:r>
              <w:rPr>
                <w:rFonts w:hint="eastAsia" w:ascii="宋体" w:hAnsi="宋体" w:cs="宋体"/>
                <w:bCs/>
                <w:sz w:val="21"/>
                <w:szCs w:val="21"/>
                <w:lang w:val="en-US" w:eastAsia="zh-CN"/>
              </w:rPr>
              <w:t>2</w:t>
            </w:r>
            <w:r>
              <w:rPr>
                <w:rFonts w:hint="eastAsia" w:ascii="宋体" w:hAnsi="宋体" w:cs="宋体"/>
                <w:bCs/>
                <w:sz w:val="21"/>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控制器支架</w:t>
            </w:r>
          </w:p>
        </w:tc>
        <w:tc>
          <w:tcPr>
            <w:tcW w:w="1758" w:type="dxa"/>
            <w:vAlign w:val="center"/>
          </w:tcPr>
          <w:p>
            <w:pPr>
              <w:overflowPunct w:val="0"/>
              <w:jc w:val="center"/>
              <w:rPr>
                <w:rFonts w:hint="eastAsia" w:ascii="宋体" w:hAnsi="宋体" w:cs="宋体"/>
                <w:bCs/>
                <w:sz w:val="21"/>
                <w:szCs w:val="21"/>
              </w:rPr>
            </w:pPr>
            <w:r>
              <w:rPr>
                <w:rFonts w:hint="eastAsia" w:ascii="宋体" w:hAnsi="宋体" w:cs="宋体"/>
                <w:bCs/>
                <w:sz w:val="21"/>
                <w:szCs w:val="21"/>
                <w:lang w:val="en-US" w:eastAsia="zh-CN"/>
              </w:rPr>
              <w:t>2</w:t>
            </w:r>
            <w:r>
              <w:rPr>
                <w:rFonts w:hint="eastAsia" w:ascii="宋体" w:hAnsi="宋体" w:cs="宋体"/>
                <w:bCs/>
                <w:sz w:val="21"/>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vAlign w:val="center"/>
          </w:tcPr>
          <w:p>
            <w:pPr>
              <w:overflowPunct w:val="0"/>
              <w:jc w:val="center"/>
              <w:rPr>
                <w:rFonts w:hint="eastAsia" w:ascii="宋体" w:hAnsi="宋体" w:cs="宋体"/>
                <w:bCs/>
                <w:sz w:val="21"/>
                <w:szCs w:val="21"/>
              </w:rPr>
            </w:pPr>
            <w:r>
              <w:rPr>
                <w:rFonts w:hint="eastAsia" w:ascii="宋体" w:hAnsi="宋体" w:cs="宋体"/>
                <w:bCs/>
                <w:sz w:val="21"/>
                <w:szCs w:val="21"/>
              </w:rPr>
              <w:t>定制套筒</w:t>
            </w:r>
          </w:p>
        </w:tc>
        <w:tc>
          <w:tcPr>
            <w:tcW w:w="1758" w:type="dxa"/>
            <w:vAlign w:val="center"/>
          </w:tcPr>
          <w:p>
            <w:pPr>
              <w:overflowPunct w:val="0"/>
              <w:jc w:val="center"/>
              <w:rPr>
                <w:rFonts w:hint="eastAsia" w:ascii="宋体" w:hAnsi="宋体" w:cs="宋体"/>
                <w:bCs/>
                <w:sz w:val="21"/>
                <w:szCs w:val="21"/>
              </w:rPr>
            </w:pPr>
            <w:r>
              <w:rPr>
                <w:rFonts w:hint="eastAsia" w:ascii="宋体" w:hAnsi="宋体" w:cs="宋体"/>
                <w:bCs/>
                <w:sz w:val="21"/>
                <w:szCs w:val="21"/>
                <w:lang w:val="en-US" w:eastAsia="zh-CN"/>
              </w:rPr>
              <w:t>12</w:t>
            </w:r>
            <w:r>
              <w:rPr>
                <w:rFonts w:hint="eastAsia" w:ascii="宋体" w:hAnsi="宋体" w:cs="宋体"/>
                <w:bCs/>
                <w:sz w:val="21"/>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vMerge w:val="continue"/>
            <w:vAlign w:val="center"/>
          </w:tcPr>
          <w:p>
            <w:pPr>
              <w:overflowPunct w:val="0"/>
              <w:jc w:val="center"/>
              <w:rPr>
                <w:rFonts w:hint="eastAsia" w:ascii="宋体" w:hAnsi="宋体" w:cs="宋体"/>
                <w:bCs/>
                <w:sz w:val="21"/>
                <w:szCs w:val="21"/>
              </w:rPr>
            </w:pPr>
          </w:p>
        </w:tc>
        <w:tc>
          <w:tcPr>
            <w:tcW w:w="1603" w:type="dxa"/>
            <w:vMerge w:val="continue"/>
            <w:vAlign w:val="center"/>
          </w:tcPr>
          <w:p>
            <w:pPr>
              <w:overflowPunct w:val="0"/>
              <w:jc w:val="center"/>
              <w:rPr>
                <w:rFonts w:hint="eastAsia" w:ascii="宋体" w:hAnsi="宋体" w:cs="宋体"/>
                <w:bCs/>
                <w:sz w:val="21"/>
                <w:szCs w:val="21"/>
              </w:rPr>
            </w:pPr>
          </w:p>
        </w:tc>
        <w:tc>
          <w:tcPr>
            <w:tcW w:w="2268" w:type="dxa"/>
            <w:shd w:val="clear" w:color="auto" w:fill="auto"/>
            <w:vAlign w:val="center"/>
          </w:tcPr>
          <w:p>
            <w:pPr>
              <w:overflowPunct w:val="0"/>
              <w:jc w:val="center"/>
              <w:rPr>
                <w:rFonts w:hint="eastAsia" w:ascii="宋体" w:hAnsi="宋体" w:eastAsia="宋体" w:cs="宋体"/>
                <w:bCs/>
                <w:kern w:val="2"/>
                <w:sz w:val="21"/>
                <w:szCs w:val="21"/>
                <w:lang w:val="en-US" w:eastAsia="zh-CN" w:bidi="ar-SA"/>
              </w:rPr>
            </w:pPr>
            <w:r>
              <w:rPr>
                <w:rFonts w:hint="eastAsia" w:ascii="宋体" w:hAnsi="宋体" w:cs="宋体"/>
                <w:bCs/>
                <w:sz w:val="21"/>
                <w:szCs w:val="21"/>
                <w:lang w:val="en-US" w:eastAsia="zh-CN"/>
              </w:rPr>
              <w:t>扫码枪</w:t>
            </w:r>
          </w:p>
        </w:tc>
        <w:tc>
          <w:tcPr>
            <w:tcW w:w="1758" w:type="dxa"/>
            <w:shd w:val="clear" w:color="auto" w:fill="auto"/>
            <w:vAlign w:val="center"/>
          </w:tcPr>
          <w:p>
            <w:pPr>
              <w:overflowPunct w:val="0"/>
              <w:jc w:val="center"/>
              <w:rPr>
                <w:rFonts w:hint="eastAsia" w:ascii="宋体" w:hAnsi="宋体" w:eastAsia="宋体" w:cs="宋体"/>
                <w:bCs/>
                <w:kern w:val="2"/>
                <w:sz w:val="21"/>
                <w:szCs w:val="21"/>
                <w:lang w:val="en-US" w:eastAsia="zh-CN" w:bidi="ar-SA"/>
              </w:rPr>
            </w:pPr>
            <w:r>
              <w:rPr>
                <w:rFonts w:hint="eastAsia" w:ascii="宋体" w:hAnsi="宋体" w:cs="宋体"/>
                <w:bCs/>
                <w:sz w:val="21"/>
                <w:szCs w:val="21"/>
                <w:lang w:val="en-US" w:eastAsia="zh-CN"/>
              </w:rPr>
              <w:t>2套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shd w:val="clear" w:color="auto" w:fill="auto"/>
            <w:vAlign w:val="center"/>
          </w:tcPr>
          <w:p>
            <w:pPr>
              <w:overflowPunct w:val="0"/>
              <w:jc w:val="center"/>
              <w:rPr>
                <w:rFonts w:hint="eastAsia" w:ascii="宋体" w:hAnsi="宋体" w:eastAsia="宋体" w:cs="宋体"/>
                <w:bCs/>
                <w:kern w:val="2"/>
                <w:sz w:val="18"/>
                <w:szCs w:val="18"/>
                <w:lang w:val="en-US" w:eastAsia="zh-CN" w:bidi="ar-SA"/>
              </w:rPr>
            </w:pPr>
            <w:r>
              <w:rPr>
                <w:rFonts w:hint="eastAsia" w:ascii="宋体" w:hAnsi="宋体" w:cs="宋体"/>
                <w:bCs/>
                <w:sz w:val="21"/>
                <w:szCs w:val="21"/>
                <w:lang w:val="en-US" w:eastAsia="zh-CN"/>
              </w:rPr>
              <w:t>反力工装</w:t>
            </w:r>
          </w:p>
        </w:tc>
        <w:tc>
          <w:tcPr>
            <w:tcW w:w="1603" w:type="dxa"/>
            <w:shd w:val="clear" w:color="auto" w:fill="auto"/>
            <w:vAlign w:val="center"/>
          </w:tcPr>
          <w:p>
            <w:pPr>
              <w:overflowPunct w:val="0"/>
              <w:jc w:val="center"/>
              <w:rPr>
                <w:rFonts w:hint="eastAsia" w:ascii="宋体" w:hAnsi="宋体" w:eastAsia="宋体" w:cs="宋体"/>
                <w:bCs/>
                <w:kern w:val="2"/>
                <w:sz w:val="18"/>
                <w:szCs w:val="18"/>
                <w:lang w:val="en-US" w:eastAsia="zh-CN" w:bidi="ar-SA"/>
              </w:rPr>
            </w:pPr>
          </w:p>
        </w:tc>
        <w:tc>
          <w:tcPr>
            <w:tcW w:w="2268" w:type="dxa"/>
            <w:shd w:val="clear" w:color="auto" w:fill="auto"/>
            <w:vAlign w:val="center"/>
          </w:tcPr>
          <w:p>
            <w:pPr>
              <w:overflowPunct w:val="0"/>
              <w:jc w:val="center"/>
              <w:rPr>
                <w:rFonts w:hint="eastAsia" w:ascii="宋体" w:hAnsi="宋体" w:eastAsia="宋体" w:cs="宋体"/>
                <w:bCs/>
                <w:kern w:val="2"/>
                <w:sz w:val="21"/>
                <w:szCs w:val="21"/>
                <w:lang w:val="en-US" w:eastAsia="zh-CN" w:bidi="ar-SA"/>
              </w:rPr>
            </w:pPr>
            <w:r>
              <w:rPr>
                <w:rFonts w:hint="eastAsia" w:ascii="宋体" w:hAnsi="宋体" w:cs="宋体"/>
                <w:bCs/>
                <w:sz w:val="21"/>
                <w:szCs w:val="21"/>
                <w:lang w:val="en-US" w:eastAsia="zh-CN"/>
              </w:rPr>
              <w:t>非标定制</w:t>
            </w:r>
          </w:p>
        </w:tc>
        <w:tc>
          <w:tcPr>
            <w:tcW w:w="1758" w:type="dxa"/>
            <w:shd w:val="clear" w:color="auto" w:fill="auto"/>
            <w:vAlign w:val="center"/>
          </w:tcPr>
          <w:p>
            <w:pPr>
              <w:overflowPunct w:val="0"/>
              <w:jc w:val="center"/>
              <w:rPr>
                <w:rFonts w:hint="eastAsia" w:ascii="宋体" w:hAnsi="宋体" w:cs="宋体"/>
                <w:bCs/>
                <w:sz w:val="21"/>
                <w:szCs w:val="21"/>
                <w:lang w:val="en-US" w:eastAsia="zh-CN"/>
              </w:rPr>
            </w:pPr>
            <w:r>
              <w:rPr>
                <w:rFonts w:hint="eastAsia" w:ascii="宋体" w:hAnsi="宋体" w:cs="宋体"/>
                <w:bCs/>
                <w:sz w:val="21"/>
                <w:szCs w:val="21"/>
                <w:lang w:val="en-US" w:eastAsia="zh-CN"/>
              </w:rPr>
              <w:t>2套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628" w:type="dxa"/>
            <w:shd w:val="clear" w:color="auto" w:fill="auto"/>
            <w:vAlign w:val="center"/>
          </w:tcPr>
          <w:p>
            <w:pPr>
              <w:overflowPunct w:val="0"/>
              <w:jc w:val="center"/>
              <w:rPr>
                <w:rFonts w:hint="default" w:ascii="宋体" w:hAnsi="宋体" w:cs="宋体"/>
                <w:bCs/>
                <w:sz w:val="21"/>
                <w:szCs w:val="21"/>
                <w:lang w:val="en-US" w:eastAsia="zh-CN"/>
              </w:rPr>
            </w:pPr>
            <w:r>
              <w:rPr>
                <w:rFonts w:hint="eastAsia" w:ascii="宋体" w:hAnsi="宋体" w:cs="宋体"/>
                <w:bCs/>
                <w:sz w:val="21"/>
                <w:szCs w:val="21"/>
                <w:lang w:val="en-US" w:eastAsia="zh-CN"/>
              </w:rPr>
              <w:t>装配线两侧吊装工具</w:t>
            </w:r>
          </w:p>
        </w:tc>
        <w:tc>
          <w:tcPr>
            <w:tcW w:w="1603" w:type="dxa"/>
            <w:shd w:val="clear" w:color="auto" w:fill="auto"/>
            <w:vAlign w:val="center"/>
          </w:tcPr>
          <w:p>
            <w:pPr>
              <w:overflowPunct w:val="0"/>
              <w:jc w:val="center"/>
              <w:rPr>
                <w:rFonts w:hint="eastAsia" w:ascii="宋体" w:hAnsi="宋体" w:eastAsia="宋体" w:cs="宋体"/>
                <w:bCs/>
                <w:kern w:val="2"/>
                <w:sz w:val="18"/>
                <w:szCs w:val="18"/>
                <w:lang w:val="en-US" w:eastAsia="zh-CN" w:bidi="ar-SA"/>
              </w:rPr>
            </w:pPr>
          </w:p>
        </w:tc>
        <w:tc>
          <w:tcPr>
            <w:tcW w:w="2268" w:type="dxa"/>
            <w:shd w:val="clear" w:color="auto" w:fill="auto"/>
            <w:vAlign w:val="center"/>
          </w:tcPr>
          <w:p>
            <w:pPr>
              <w:overflowPunct w:val="0"/>
              <w:jc w:val="center"/>
              <w:rPr>
                <w:rFonts w:hint="eastAsia" w:ascii="宋体" w:hAnsi="宋体" w:eastAsia="宋体" w:cs="宋体"/>
                <w:bCs/>
                <w:kern w:val="2"/>
                <w:sz w:val="21"/>
                <w:szCs w:val="21"/>
                <w:lang w:val="en-US" w:eastAsia="zh-CN" w:bidi="ar-SA"/>
              </w:rPr>
            </w:pPr>
            <w:r>
              <w:rPr>
                <w:rFonts w:hint="eastAsia" w:ascii="宋体" w:hAnsi="宋体" w:cs="宋体"/>
                <w:bCs/>
                <w:sz w:val="21"/>
                <w:szCs w:val="21"/>
                <w:lang w:val="en-US" w:eastAsia="zh-CN"/>
              </w:rPr>
              <w:t>非标定制</w:t>
            </w:r>
          </w:p>
        </w:tc>
        <w:tc>
          <w:tcPr>
            <w:tcW w:w="1758" w:type="dxa"/>
            <w:shd w:val="clear" w:color="auto" w:fill="auto"/>
            <w:vAlign w:val="center"/>
          </w:tcPr>
          <w:p>
            <w:pPr>
              <w:overflowPunct w:val="0"/>
              <w:jc w:val="center"/>
              <w:rPr>
                <w:rFonts w:hint="eastAsia" w:ascii="宋体" w:hAnsi="宋体" w:eastAsia="宋体" w:cs="宋体"/>
                <w:bCs/>
                <w:kern w:val="2"/>
                <w:sz w:val="21"/>
                <w:szCs w:val="21"/>
                <w:lang w:val="en-US" w:eastAsia="zh-CN" w:bidi="ar-SA"/>
              </w:rPr>
            </w:pPr>
            <w:r>
              <w:rPr>
                <w:rFonts w:hint="eastAsia" w:ascii="宋体" w:hAnsi="宋体" w:cs="宋体"/>
                <w:bCs/>
                <w:sz w:val="21"/>
                <w:szCs w:val="21"/>
                <w:lang w:val="en-US" w:eastAsia="zh-CN"/>
              </w:rPr>
              <w:t>2套</w:t>
            </w:r>
          </w:p>
        </w:tc>
      </w:tr>
    </w:tbl>
    <w:p>
      <w:pPr>
        <w:pStyle w:val="22"/>
        <w:numPr>
          <w:ilvl w:val="0"/>
          <w:numId w:val="0"/>
        </w:numPr>
        <w:spacing w:before="120" w:beforeLines="50" w:after="120" w:afterLines="50" w:line="360" w:lineRule="auto"/>
        <w:jc w:val="center"/>
        <w:outlineLvl w:val="0"/>
      </w:pPr>
      <w:r>
        <w:drawing>
          <wp:inline distT="0" distB="0" distL="114300" distR="114300">
            <wp:extent cx="1750060" cy="1548130"/>
            <wp:effectExtent l="0" t="0" r="2540" b="1270"/>
            <wp:docPr id="61"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54"/>
                    <pic:cNvPicPr>
                      <a:picLocks noChangeAspect="1"/>
                    </pic:cNvPicPr>
                  </pic:nvPicPr>
                  <pic:blipFill>
                    <a:blip r:embed="rId41"/>
                    <a:stretch>
                      <a:fillRect/>
                    </a:stretch>
                  </pic:blipFill>
                  <pic:spPr>
                    <a:xfrm>
                      <a:off x="0" y="0"/>
                      <a:ext cx="1750060" cy="1548130"/>
                    </a:xfrm>
                    <a:prstGeom prst="rect">
                      <a:avLst/>
                    </a:prstGeom>
                    <a:noFill/>
                    <a:ln>
                      <a:noFill/>
                    </a:ln>
                  </pic:spPr>
                </pic:pic>
              </a:graphicData>
            </a:graphic>
          </wp:inline>
        </w:drawing>
      </w:r>
    </w:p>
    <w:p>
      <w:pPr>
        <w:spacing w:before="120" w:beforeLines="50" w:after="120" w:afterLines="50"/>
        <w:jc w:val="center"/>
        <w:rPr>
          <w:rFonts w:hint="eastAsia"/>
        </w:rPr>
      </w:pPr>
      <w:r>
        <w:rPr>
          <w:rFonts w:hint="eastAsia" w:hAnsi="宋体" w:cs="宋体"/>
          <w:bCs/>
          <w:sz w:val="21"/>
          <w:szCs w:val="21"/>
        </w:rPr>
        <w:t>参考拧紧方案</w:t>
      </w:r>
    </w:p>
    <w:p>
      <w:pPr>
        <w:pStyle w:val="22"/>
        <w:numPr>
          <w:ilvl w:val="0"/>
          <w:numId w:val="11"/>
        </w:numPr>
        <w:spacing w:before="120" w:beforeLines="50" w:after="120" w:afterLines="50" w:line="360" w:lineRule="auto"/>
        <w:outlineLvl w:val="0"/>
        <w:rPr>
          <w:rFonts w:hint="eastAsia" w:hAnsi="宋体" w:eastAsia="宋体" w:cs="宋体"/>
          <w:sz w:val="21"/>
          <w:szCs w:val="21"/>
        </w:rPr>
      </w:pPr>
      <w:r>
        <w:rPr>
          <w:rFonts w:hint="eastAsia" w:hAnsi="宋体" w:eastAsia="宋体" w:cs="宋体"/>
          <w:sz w:val="21"/>
          <w:szCs w:val="21"/>
        </w:rPr>
        <w:t>设备通用</w:t>
      </w:r>
      <w:r>
        <w:rPr>
          <w:rFonts w:hint="eastAsia" w:hAnsi="宋体" w:cs="宋体"/>
          <w:sz w:val="21"/>
          <w:szCs w:val="21"/>
          <w:lang w:val="en-US" w:eastAsia="zh-CN"/>
        </w:rPr>
        <w:t>技术</w:t>
      </w:r>
      <w:r>
        <w:rPr>
          <w:rFonts w:hint="eastAsia" w:hAnsi="宋体" w:eastAsia="宋体" w:cs="宋体"/>
          <w:sz w:val="21"/>
          <w:szCs w:val="21"/>
        </w:rPr>
        <w:t>要求</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 工具设计制造及使用应符合ISO 5393标准；</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2.2 所有零部件和各种仪表的计量单位全部采用国际单位标准（SI）标准；</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2.3 卖方所提供的产品必须为知名品牌，必须是全新的、同类产品中最先进的可靠的产品；</w:t>
      </w:r>
    </w:p>
    <w:p>
      <w:pPr>
        <w:pStyle w:val="22"/>
        <w:spacing w:line="360" w:lineRule="auto"/>
        <w:ind w:firstLine="420" w:firstLineChars="200"/>
        <w:rPr>
          <w:rFonts w:hint="eastAsia" w:hAnsi="宋体" w:eastAsia="宋体" w:cs="宋体"/>
          <w:sz w:val="21"/>
          <w:szCs w:val="21"/>
          <w:lang w:eastAsia="zh-CN"/>
        </w:rPr>
      </w:pPr>
      <w:r>
        <w:rPr>
          <w:rFonts w:hint="eastAsia" w:hAnsi="宋体" w:eastAsia="宋体" w:cs="宋体"/>
          <w:sz w:val="21"/>
          <w:szCs w:val="21"/>
        </w:rPr>
        <w:t>2.4 设备工具的选择必须考虑作业姿势、使用空间、紧固速度等因素，必须满足工艺</w:t>
      </w:r>
      <w:r>
        <w:rPr>
          <w:rFonts w:hint="eastAsia" w:hAnsi="宋体" w:cs="宋体"/>
          <w:sz w:val="21"/>
          <w:szCs w:val="21"/>
          <w:lang w:eastAsia="zh-CN"/>
        </w:rPr>
        <w:t>；</w:t>
      </w:r>
    </w:p>
    <w:p>
      <w:pPr>
        <w:spacing w:line="360" w:lineRule="auto"/>
        <w:ind w:firstLine="420" w:firstLineChars="200"/>
        <w:rPr>
          <w:rFonts w:hint="eastAsia" w:hAnsi="宋体" w:eastAsia="宋体" w:cs="宋体"/>
          <w:sz w:val="21"/>
          <w:szCs w:val="21"/>
        </w:rPr>
      </w:pPr>
      <w:r>
        <w:rPr>
          <w:rFonts w:hint="eastAsia" w:hAnsi="宋体" w:eastAsia="宋体" w:cs="宋体"/>
          <w:sz w:val="21"/>
          <w:szCs w:val="21"/>
        </w:rPr>
        <w:t>2.5 扭矩设定值及生产节拍</w:t>
      </w:r>
      <w:r>
        <w:rPr>
          <w:rFonts w:hint="eastAsia" w:hAnsi="宋体" w:cs="宋体"/>
          <w:sz w:val="21"/>
          <w:szCs w:val="21"/>
          <w:lang w:eastAsia="zh-CN"/>
        </w:rPr>
        <w:t>（</w:t>
      </w:r>
      <w:r>
        <w:rPr>
          <w:rFonts w:hint="eastAsia" w:hAnsi="宋体" w:cs="宋体"/>
          <w:sz w:val="21"/>
          <w:szCs w:val="21"/>
          <w:lang w:val="en-US" w:eastAsia="zh-CN"/>
        </w:rPr>
        <w:t>4.5min</w:t>
      </w:r>
      <w:r>
        <w:rPr>
          <w:rFonts w:hint="eastAsia" w:hAnsi="宋体" w:cs="宋体"/>
          <w:sz w:val="21"/>
          <w:szCs w:val="21"/>
          <w:lang w:eastAsia="zh-CN"/>
        </w:rPr>
        <w:t>）</w:t>
      </w:r>
      <w:r>
        <w:rPr>
          <w:rFonts w:hint="eastAsia" w:hAnsi="宋体" w:eastAsia="宋体" w:cs="宋体"/>
          <w:sz w:val="21"/>
          <w:szCs w:val="21"/>
        </w:rPr>
        <w:t>，拧紧精度不低于</w:t>
      </w:r>
      <w:r>
        <w:rPr>
          <w:rFonts w:hint="eastAsia" w:hAnsi="宋体" w:cs="宋体"/>
          <w:sz w:val="21"/>
          <w:szCs w:val="21"/>
          <w:lang w:eastAsia="zh-CN"/>
        </w:rPr>
        <w:t>±3%，角度精度±2°；</w:t>
      </w:r>
    </w:p>
    <w:p>
      <w:pPr>
        <w:pStyle w:val="22"/>
        <w:spacing w:line="360" w:lineRule="auto"/>
        <w:ind w:firstLine="420" w:firstLineChars="200"/>
        <w:rPr>
          <w:rFonts w:hint="eastAsia" w:hAnsi="宋体" w:eastAsia="宋体" w:cs="宋体"/>
          <w:sz w:val="21"/>
          <w:szCs w:val="21"/>
          <w:lang w:eastAsia="zh-CN"/>
        </w:rPr>
      </w:pPr>
      <w:r>
        <w:rPr>
          <w:rFonts w:hint="eastAsia" w:hAnsi="宋体" w:eastAsia="宋体" w:cs="宋体"/>
          <w:sz w:val="21"/>
          <w:szCs w:val="21"/>
        </w:rPr>
        <w:t>2.6 所选设备的扭矩范围对应买方要求的目标扭矩应有30%及以上的储备量</w:t>
      </w:r>
      <w:r>
        <w:rPr>
          <w:rFonts w:hint="eastAsia" w:hAnsi="宋体" w:cs="宋体"/>
          <w:sz w:val="21"/>
          <w:szCs w:val="21"/>
          <w:lang w:eastAsia="zh-CN"/>
        </w:rPr>
        <w:t>；</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2.7 扭矩最大值≥目标扭矩×1.3，特殊情况需说明；</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2.8 正常使用50万次（拧紧次数）以内免维护，工具寿命不低于500万次（拧紧次数）；</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2.9 工具稳定性必须达到：CMK≥1.67；</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2.10 驱动方榫应采用标准规格的驱动方榫，如3/8’、1/2’、1’等驱动头，驱动头具备高强度、耐磨损，保证与套筒、连杆等附件连接可靠、准确；</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2.11 所有设备运行平稳，工作噪声等级≤65db；</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2.12 所有设备在枪体40℃下，持续正常工作，无停机等故障；</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2.13 所有设备需配备防坠装置；</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2.14 所选设备具备模块化快速维修结构，便于维护及维修；</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2.15 所选设备具备远程诊断功能，可监控设备运行情况；</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2.16 卖方配合买方开展所涉及装配工序的工艺开发工作，包括每道工序提供不少于2套专用套筒；</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2.17 所选设备配备相应的悬挂装置，确保操作灵活、方便；</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2.18 所选设备操作界面及附属软件、说明书等为中文；</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2.19 所选设备扭矩控制采用扭矩传感器控制，不得使用电流控制；</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2.2</w:t>
      </w:r>
      <w:r>
        <w:rPr>
          <w:rFonts w:hint="eastAsia" w:hAnsi="宋体" w:cs="宋体"/>
          <w:sz w:val="21"/>
          <w:szCs w:val="21"/>
          <w:lang w:val="en-US" w:eastAsia="zh-CN"/>
        </w:rPr>
        <w:t>0</w:t>
      </w:r>
      <w:r>
        <w:rPr>
          <w:rFonts w:hint="eastAsia" w:hAnsi="宋体" w:eastAsia="宋体" w:cs="宋体"/>
          <w:sz w:val="21"/>
          <w:szCs w:val="21"/>
        </w:rPr>
        <w:t xml:space="preserve"> 卖方应按买方要求为工具配备扫码枪及支架，具体见采购货物明细；</w:t>
      </w:r>
    </w:p>
    <w:p>
      <w:pPr>
        <w:keepNext w:val="0"/>
        <w:keepLines w:val="0"/>
        <w:pageBreakBefore w:val="0"/>
        <w:widowControl w:val="0"/>
        <w:kinsoku/>
        <w:wordWrap/>
        <w:overflowPunct/>
        <w:topLinePunct w:val="0"/>
        <w:autoSpaceDE/>
        <w:autoSpaceDN/>
        <w:bidi w:val="0"/>
        <w:adjustRightInd/>
        <w:snapToGrid/>
        <w:spacing w:before="120" w:beforeLines="50" w:after="120" w:afterLines="50"/>
        <w:ind w:firstLine="420" w:firstLineChars="200"/>
        <w:jc w:val="both"/>
        <w:textAlignment w:val="auto"/>
        <w:rPr>
          <w:rFonts w:hint="eastAsia" w:hAnsi="宋体" w:eastAsia="宋体" w:cs="宋体"/>
          <w:sz w:val="21"/>
          <w:szCs w:val="21"/>
        </w:rPr>
      </w:pPr>
      <w:r>
        <w:rPr>
          <w:rFonts w:hint="eastAsia" w:ascii="宋体" w:hAnsi="宋体" w:eastAsia="宋体" w:cs="宋体"/>
          <w:kern w:val="2"/>
          <w:sz w:val="21"/>
          <w:szCs w:val="21"/>
          <w:lang w:val="en-US" w:eastAsia="zh-CN" w:bidi="ar-SA"/>
        </w:rPr>
        <w:t>2.21 投标人应</w:t>
      </w:r>
      <w:r>
        <w:rPr>
          <w:rFonts w:hint="eastAsia" w:hAnsi="宋体" w:eastAsia="宋体" w:cs="宋体"/>
          <w:sz w:val="21"/>
          <w:szCs w:val="21"/>
        </w:rPr>
        <w:t>提供设备的第三方检定校准报告，检定费用应由投标人自行承担。</w:t>
      </w:r>
    </w:p>
    <w:p>
      <w:pPr>
        <w:pStyle w:val="22"/>
        <w:numPr>
          <w:ilvl w:val="0"/>
          <w:numId w:val="11"/>
        </w:numPr>
        <w:spacing w:before="120" w:beforeLines="50" w:after="120" w:afterLines="50" w:line="360" w:lineRule="auto"/>
        <w:outlineLvl w:val="0"/>
        <w:rPr>
          <w:rFonts w:hint="eastAsia" w:hAnsi="宋体" w:eastAsia="宋体" w:cs="宋体"/>
          <w:sz w:val="21"/>
          <w:szCs w:val="21"/>
        </w:rPr>
      </w:pPr>
      <w:r>
        <w:rPr>
          <w:rFonts w:hint="eastAsia" w:hAnsi="宋体" w:eastAsia="宋体" w:cs="宋体"/>
          <w:sz w:val="21"/>
          <w:szCs w:val="21"/>
        </w:rPr>
        <w:t>拧紧</w:t>
      </w:r>
      <w:r>
        <w:rPr>
          <w:rFonts w:hint="eastAsia" w:hAnsi="宋体" w:cs="宋体"/>
          <w:sz w:val="21"/>
          <w:szCs w:val="21"/>
          <w:lang w:val="en-US" w:eastAsia="zh-CN"/>
        </w:rPr>
        <w:t>枪</w:t>
      </w:r>
      <w:r>
        <w:rPr>
          <w:rFonts w:hint="eastAsia" w:hAnsi="宋体" w:eastAsia="宋体" w:cs="宋体"/>
          <w:sz w:val="21"/>
          <w:szCs w:val="21"/>
        </w:rPr>
        <w:t>设备组件要求</w:t>
      </w:r>
    </w:p>
    <w:p>
      <w:pPr>
        <w:pStyle w:val="22"/>
        <w:spacing w:line="360" w:lineRule="auto"/>
        <w:ind w:firstLine="420" w:firstLineChars="200"/>
        <w:rPr>
          <w:rFonts w:hint="eastAsia" w:hAnsi="宋体" w:eastAsia="宋体" w:cs="宋体"/>
          <w:sz w:val="21"/>
          <w:szCs w:val="21"/>
        </w:rPr>
      </w:pPr>
      <w:r>
        <w:rPr>
          <w:rFonts w:hint="eastAsia" w:hAnsi="宋体" w:eastAsia="宋体" w:cs="宋体"/>
          <w:sz w:val="21"/>
          <w:szCs w:val="21"/>
        </w:rPr>
        <w:t>拧紧</w:t>
      </w:r>
      <w:r>
        <w:rPr>
          <w:rFonts w:hint="eastAsia" w:hAnsi="宋体" w:cs="宋体"/>
          <w:sz w:val="21"/>
          <w:szCs w:val="21"/>
          <w:lang w:val="en-US" w:eastAsia="zh-CN"/>
        </w:rPr>
        <w:t>枪</w:t>
      </w:r>
      <w:r>
        <w:rPr>
          <w:rFonts w:hint="eastAsia" w:hAnsi="宋体" w:eastAsia="宋体" w:cs="宋体"/>
          <w:sz w:val="21"/>
          <w:szCs w:val="21"/>
        </w:rPr>
        <w:t>设备由拧紧工具、控制电缆、控制器等组成，控制器配备以太网接口、扫描枪接口、良好的闭环控制系统，可实现扭矩控制和角度控制等。每次拧紧过程结束后，拧紧值是否合格，控制器上都有相应的指示灯和数据显示，同时拧紧工具上也具有指示灯显示。</w:t>
      </w:r>
    </w:p>
    <w:p>
      <w:pPr>
        <w:pStyle w:val="22"/>
        <w:spacing w:line="360" w:lineRule="auto"/>
        <w:rPr>
          <w:rFonts w:hint="eastAsia" w:hAnsi="宋体" w:eastAsia="宋体" w:cs="宋体"/>
          <w:sz w:val="21"/>
          <w:szCs w:val="21"/>
        </w:rPr>
      </w:pPr>
      <w:r>
        <w:rPr>
          <w:rFonts w:hint="eastAsia" w:hAnsi="宋体" w:eastAsia="宋体" w:cs="宋体"/>
          <w:sz w:val="21"/>
          <w:szCs w:val="21"/>
        </w:rPr>
        <w:t>3.1拧紧</w:t>
      </w:r>
      <w:r>
        <w:rPr>
          <w:rFonts w:hint="eastAsia" w:hAnsi="宋体" w:cs="宋体"/>
          <w:sz w:val="21"/>
          <w:szCs w:val="21"/>
          <w:lang w:val="en-US" w:eastAsia="zh-CN"/>
        </w:rPr>
        <w:t>枪</w:t>
      </w:r>
      <w:r>
        <w:rPr>
          <w:rFonts w:hint="eastAsia" w:hAnsi="宋体" w:eastAsia="宋体" w:cs="宋体"/>
          <w:sz w:val="21"/>
          <w:szCs w:val="21"/>
        </w:rPr>
        <w:t>：</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扭矩可调，自动编程模式，记录多种拧紧程序；</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力矩控制方式包括：控制扭矩/监测转角；控制转角/监测扭矩等；</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具备报警信息和自诊断功能；</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具备拧紧数据存储（含日期时间）功能；</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可正转、反转，通过编辑拧紧程序方便地更改；</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具有过电流、电压自动保护功能，并具有欠压自动保护功能；</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带串口；</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不合格管理；</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配置快速备份单元，备份电枪内的所有程序及结果可以通过USB接口输出；</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工具支持热插拔；</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单次拧紧不合格，拧紧机会报警提示；</w:t>
      </w:r>
    </w:p>
    <w:p>
      <w:pPr>
        <w:pStyle w:val="22"/>
        <w:numPr>
          <w:ilvl w:val="0"/>
          <w:numId w:val="12"/>
        </w:numPr>
        <w:spacing w:line="360" w:lineRule="auto"/>
        <w:rPr>
          <w:rFonts w:hint="eastAsia" w:hAnsi="宋体" w:eastAsia="宋体" w:cs="宋体"/>
          <w:sz w:val="21"/>
          <w:szCs w:val="21"/>
          <w:highlight w:val="none"/>
        </w:rPr>
      </w:pPr>
      <w:r>
        <w:rPr>
          <w:rFonts w:hint="eastAsia" w:hAnsi="宋体" w:eastAsia="宋体" w:cs="宋体"/>
          <w:sz w:val="21"/>
          <w:szCs w:val="21"/>
          <w:highlight w:val="none"/>
        </w:rPr>
        <w:t>具备扩展套筒选择器的功能，具有良好的互换性，具有良好的防错防漏功能；</w:t>
      </w:r>
    </w:p>
    <w:p>
      <w:pPr>
        <w:pStyle w:val="22"/>
        <w:numPr>
          <w:ilvl w:val="0"/>
          <w:numId w:val="12"/>
        </w:numPr>
        <w:spacing w:line="360" w:lineRule="auto"/>
        <w:rPr>
          <w:rFonts w:hint="eastAsia" w:hAnsi="宋体" w:eastAsia="宋体" w:cs="宋体"/>
          <w:sz w:val="21"/>
          <w:szCs w:val="21"/>
        </w:rPr>
      </w:pPr>
      <w:r>
        <w:rPr>
          <w:rFonts w:hint="eastAsia" w:hAnsi="宋体" w:eastAsia="宋体" w:cs="宋体"/>
          <w:sz w:val="21"/>
          <w:szCs w:val="21"/>
        </w:rPr>
        <w:t>增加控制把手、辅助把手，以方便操作，原则上可不使用原设备的控制开关。</w:t>
      </w:r>
    </w:p>
    <w:p>
      <w:pPr>
        <w:pStyle w:val="22"/>
        <w:spacing w:line="360" w:lineRule="auto"/>
        <w:rPr>
          <w:rFonts w:hint="eastAsia" w:hAnsi="宋体" w:eastAsia="宋体" w:cs="宋体"/>
          <w:sz w:val="21"/>
          <w:szCs w:val="21"/>
        </w:rPr>
      </w:pPr>
      <w:r>
        <w:rPr>
          <w:rFonts w:hint="eastAsia" w:hAnsi="宋体" w:eastAsia="宋体" w:cs="宋体"/>
          <w:sz w:val="21"/>
          <w:szCs w:val="21"/>
        </w:rPr>
        <w:t>3.2 拧紧控制器</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每台拧紧工具配有控制器，具备人性化的操作界面；</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显示屏（可外接）具备显示拧紧曲线、操作提示等功能；</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控制箱采用标准放置架固定，原则上不得与设备工装随动；</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控制器有独立的运行软件系统，面板上设有宽大的显示屏和按钮，控制器的所有功能设置可以通过连接笔记本电脑，通过工具软件轻松完成设置；</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显示屏上能显示每次拧紧结束后的拧紧扭力大小及正确/错误报告、拧紧角度大小及正确/错误报告、拧紧日期及时间；</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控制箱面板上能够设置程序、扭矩和角度；</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可自动识别连接工具种类，调用相应储存数据，包括轴、弯头、枪式及无线工具；</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具有扭矩控制、扭矩控制/转角监测、转角控制、转角控制/扭矩监测、电流监控、时间监测，多步拧紧等功能，拧紧程序可根据需要选择不同的控制及监控方式；</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具有多种拧紧程序，拧紧程序的数量不少于10组，具有参数的选择功能，以满足不同机型的不同扭矩要求；</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具有操作者及管理者密码设定及保护功能；</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控制器应具有强大的存储能力和快速备份能力，可以对拧紧过程中所有的参数进行存储，参数包括但不限于以下内容：条码、日期、时间、扭矩、拧紧角度、是否合格（OK/NOK），控制器本身</w:t>
      </w:r>
      <w:r>
        <w:rPr>
          <w:rFonts w:hint="eastAsia" w:hAnsi="宋体" w:eastAsia="宋体" w:cs="宋体"/>
          <w:sz w:val="21"/>
          <w:szCs w:val="21"/>
          <w:highlight w:val="none"/>
        </w:rPr>
        <w:t>可存储不小于5000组拧紧数据</w:t>
      </w:r>
      <w:r>
        <w:rPr>
          <w:rFonts w:hint="eastAsia" w:hAnsi="宋体" w:eastAsia="宋体" w:cs="宋体"/>
          <w:sz w:val="21"/>
          <w:szCs w:val="21"/>
        </w:rPr>
        <w:t>，如果控制器故障，设备维护人员能够立刻将所有数据包括拧紧程序直接备份到新的控制器上，以最大限度减少停线损失；</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控制器与拧紧轴或无线电枪原则上保持1对1配置（不做强制要求），并预留与生产线接口、USB接口等，具有接入无线条码枪结构；</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控制器可存储拧紧过程的合格/不合格拧紧曲线，可根据需要自由设定坐标，如扭矩/时间、扭矩/角度、角度/时间等，控制器要求连接到拧紧系统服务器，可以实现结果、曲线实时上传，把每一个结果、曲线都存储于服务器；</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多种扭矩电枪要求配备套筒选择器进行扭矩切换，同时控制器操作面板具备扭矩切换功能；</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控制器应具备网络连接功能，拧紧结果可通过多种形式导出；</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控制器本体具有优良的散热系统及良好的防水功能且应方便安装及维修；</w:t>
      </w:r>
    </w:p>
    <w:p>
      <w:pPr>
        <w:pStyle w:val="22"/>
        <w:numPr>
          <w:ilvl w:val="0"/>
          <w:numId w:val="13"/>
        </w:numPr>
        <w:spacing w:line="360" w:lineRule="auto"/>
        <w:rPr>
          <w:rFonts w:hint="eastAsia" w:hAnsi="宋体" w:eastAsia="宋体" w:cs="宋体"/>
          <w:sz w:val="21"/>
          <w:szCs w:val="21"/>
        </w:rPr>
      </w:pPr>
      <w:r>
        <w:rPr>
          <w:rFonts w:hint="eastAsia" w:hAnsi="宋体" w:eastAsia="宋体" w:cs="宋体"/>
          <w:sz w:val="21"/>
          <w:szCs w:val="21"/>
        </w:rPr>
        <w:t>支持MES系统，可获取车辆信息，与所扫描条码比对，一致则可拧紧，并向MES反馈最终结果，不一致则报警提示，并记录错误信息。</w:t>
      </w:r>
    </w:p>
    <w:p>
      <w:pPr>
        <w:pStyle w:val="22"/>
        <w:spacing w:line="360" w:lineRule="auto"/>
        <w:rPr>
          <w:rFonts w:hint="eastAsia" w:hAnsi="宋体" w:eastAsia="宋体" w:cs="宋体"/>
          <w:sz w:val="21"/>
          <w:szCs w:val="21"/>
        </w:rPr>
      </w:pPr>
      <w:r>
        <w:rPr>
          <w:rFonts w:hint="eastAsia" w:hAnsi="宋体" w:eastAsia="宋体" w:cs="宋体"/>
          <w:sz w:val="21"/>
          <w:szCs w:val="21"/>
        </w:rPr>
        <w:t>3.</w:t>
      </w:r>
      <w:r>
        <w:rPr>
          <w:rFonts w:hint="eastAsia" w:hAnsi="宋体" w:cs="宋体"/>
          <w:sz w:val="21"/>
          <w:szCs w:val="21"/>
          <w:lang w:val="en-US" w:eastAsia="zh-CN"/>
        </w:rPr>
        <w:t>3</w:t>
      </w:r>
      <w:r>
        <w:rPr>
          <w:rFonts w:hint="eastAsia" w:hAnsi="宋体" w:eastAsia="宋体" w:cs="宋体"/>
          <w:sz w:val="21"/>
          <w:szCs w:val="21"/>
        </w:rPr>
        <w:t xml:space="preserve">拧紧电缆 </w:t>
      </w:r>
    </w:p>
    <w:p>
      <w:pPr>
        <w:pStyle w:val="22"/>
        <w:numPr>
          <w:ilvl w:val="0"/>
          <w:numId w:val="14"/>
        </w:numPr>
        <w:spacing w:line="360" w:lineRule="auto"/>
        <w:rPr>
          <w:rFonts w:hint="eastAsia" w:hAnsi="宋体" w:eastAsia="宋体" w:cs="宋体"/>
          <w:sz w:val="21"/>
          <w:szCs w:val="21"/>
        </w:rPr>
      </w:pPr>
      <w:r>
        <w:rPr>
          <w:rFonts w:hint="eastAsia" w:hAnsi="宋体" w:eastAsia="宋体" w:cs="宋体"/>
          <w:sz w:val="21"/>
          <w:szCs w:val="21"/>
        </w:rPr>
        <w:t>控制电缆线长度满足随线生产的要求，长度≥15米，具体由供应商根据工具配置细化设计；</w:t>
      </w:r>
    </w:p>
    <w:p>
      <w:pPr>
        <w:pStyle w:val="22"/>
        <w:numPr>
          <w:ilvl w:val="0"/>
          <w:numId w:val="14"/>
        </w:numPr>
        <w:spacing w:line="360" w:lineRule="auto"/>
        <w:rPr>
          <w:rFonts w:hint="eastAsia" w:hAnsi="宋体" w:eastAsia="宋体" w:cs="宋体"/>
          <w:sz w:val="21"/>
          <w:szCs w:val="21"/>
        </w:rPr>
      </w:pPr>
      <w:r>
        <w:rPr>
          <w:rFonts w:hint="eastAsia" w:hAnsi="宋体" w:eastAsia="宋体" w:cs="宋体"/>
          <w:sz w:val="21"/>
          <w:szCs w:val="21"/>
        </w:rPr>
        <w:t>电缆为数字通讯，电缆有边缘保护和防漏电护套，电缆为进口品牌；</w:t>
      </w:r>
    </w:p>
    <w:p>
      <w:pPr>
        <w:pStyle w:val="22"/>
        <w:numPr>
          <w:ilvl w:val="0"/>
          <w:numId w:val="14"/>
        </w:numPr>
        <w:spacing w:line="360" w:lineRule="auto"/>
        <w:rPr>
          <w:rFonts w:hint="eastAsia" w:hAnsi="宋体" w:eastAsia="宋体" w:cs="宋体"/>
          <w:sz w:val="21"/>
          <w:szCs w:val="21"/>
        </w:rPr>
      </w:pPr>
      <w:r>
        <w:rPr>
          <w:rFonts w:hint="eastAsia" w:hAnsi="宋体" w:eastAsia="宋体" w:cs="宋体"/>
          <w:sz w:val="21"/>
          <w:szCs w:val="21"/>
        </w:rPr>
        <w:t>具有电缆自锁功能，可以防止电缆意外松脱而造成的部件维护等损失；</w:t>
      </w:r>
    </w:p>
    <w:p>
      <w:pPr>
        <w:pStyle w:val="22"/>
        <w:numPr>
          <w:ilvl w:val="0"/>
          <w:numId w:val="14"/>
        </w:numPr>
        <w:spacing w:line="360" w:lineRule="auto"/>
        <w:rPr>
          <w:rFonts w:hint="eastAsia" w:hAnsi="宋体" w:eastAsia="宋体" w:cs="宋体"/>
          <w:sz w:val="21"/>
          <w:szCs w:val="21"/>
        </w:rPr>
      </w:pPr>
      <w:r>
        <w:rPr>
          <w:rFonts w:hint="eastAsia" w:hAnsi="宋体" w:eastAsia="宋体" w:cs="宋体"/>
          <w:sz w:val="21"/>
          <w:szCs w:val="21"/>
        </w:rPr>
        <w:t>与拧紧轴相对应的电缆，每根电缆都应有清晰的编号；</w:t>
      </w:r>
    </w:p>
    <w:p>
      <w:pPr>
        <w:pStyle w:val="22"/>
        <w:numPr>
          <w:ilvl w:val="0"/>
          <w:numId w:val="14"/>
        </w:numPr>
        <w:spacing w:line="360" w:lineRule="auto"/>
        <w:rPr>
          <w:rFonts w:hint="eastAsia" w:hAnsi="宋体" w:eastAsia="宋体" w:cs="宋体"/>
          <w:sz w:val="21"/>
          <w:szCs w:val="21"/>
        </w:rPr>
      </w:pPr>
      <w:r>
        <w:rPr>
          <w:rFonts w:hint="eastAsia" w:hAnsi="宋体" w:eastAsia="宋体" w:cs="宋体"/>
          <w:sz w:val="21"/>
          <w:szCs w:val="21"/>
        </w:rPr>
        <w:t>电缆吊挂使用原厂附件。</w:t>
      </w:r>
    </w:p>
    <w:p>
      <w:pPr>
        <w:spacing w:line="360" w:lineRule="auto"/>
        <w:rPr>
          <w:rFonts w:asciiTheme="minorEastAsia" w:hAnsiTheme="minorEastAsia" w:eastAsiaTheme="minorEastAsia"/>
          <w:sz w:val="21"/>
          <w:szCs w:val="21"/>
        </w:rPr>
      </w:pPr>
      <w:r>
        <w:rPr>
          <w:rFonts w:hint="eastAsia" w:asciiTheme="minorEastAsia" w:hAnsiTheme="minorEastAsia" w:eastAsiaTheme="minorEastAsia"/>
          <w:b/>
          <w:sz w:val="21"/>
          <w:szCs w:val="21"/>
          <w:lang w:val="en-US" w:eastAsia="zh-CN"/>
        </w:rPr>
        <w:t>4、</w:t>
      </w:r>
      <w:r>
        <w:rPr>
          <w:rFonts w:hint="eastAsia" w:asciiTheme="minorEastAsia" w:hAnsiTheme="minorEastAsia" w:eastAsiaTheme="minorEastAsia"/>
          <w:b/>
          <w:sz w:val="21"/>
          <w:szCs w:val="21"/>
        </w:rPr>
        <w:t>电控总体要求:</w:t>
      </w:r>
      <w:r>
        <w:rPr>
          <w:rFonts w:hint="eastAsia" w:asciiTheme="minorEastAsia" w:hAnsiTheme="minorEastAsia" w:eastAsiaTheme="minorEastAsia"/>
          <w:sz w:val="21"/>
          <w:szCs w:val="21"/>
        </w:rPr>
        <w:t xml:space="preserve"> </w:t>
      </w:r>
    </w:p>
    <w:p>
      <w:pPr>
        <w:spacing w:line="360" w:lineRule="auto"/>
        <w:ind w:firstLine="420" w:firstLineChars="200"/>
        <w:rPr>
          <w:rFonts w:ascii="宋体" w:hAnsi="宋体"/>
          <w:sz w:val="21"/>
          <w:szCs w:val="21"/>
        </w:rPr>
      </w:pPr>
      <w:r>
        <w:rPr>
          <w:rFonts w:hint="eastAsia" w:ascii="宋体" w:hAnsi="宋体"/>
          <w:sz w:val="21"/>
          <w:szCs w:val="21"/>
          <w:lang w:val="en-US" w:eastAsia="zh-CN"/>
        </w:rPr>
        <w:t>4</w:t>
      </w:r>
      <w:r>
        <w:rPr>
          <w:rFonts w:ascii="宋体" w:hAnsi="宋体"/>
          <w:sz w:val="21"/>
          <w:szCs w:val="21"/>
        </w:rPr>
        <w:t>.</w:t>
      </w:r>
      <w:r>
        <w:rPr>
          <w:rFonts w:hint="eastAsia" w:ascii="宋体" w:hAnsi="宋体"/>
          <w:sz w:val="21"/>
          <w:szCs w:val="21"/>
        </w:rPr>
        <w:t>1设备操作界面要求中英文界面可切换。</w:t>
      </w:r>
    </w:p>
    <w:p>
      <w:pPr>
        <w:spacing w:line="360" w:lineRule="auto"/>
        <w:ind w:firstLine="420" w:firstLineChars="200"/>
        <w:rPr>
          <w:rFonts w:asciiTheme="minorEastAsia" w:hAnsiTheme="minorEastAsia" w:eastAsiaTheme="minorEastAsia"/>
          <w:sz w:val="21"/>
          <w:szCs w:val="21"/>
        </w:rPr>
      </w:pPr>
      <w:r>
        <w:rPr>
          <w:rFonts w:hint="eastAsia" w:asciiTheme="minorEastAsia" w:hAnsiTheme="minorEastAsia" w:eastAsiaTheme="minorEastAsia"/>
          <w:sz w:val="21"/>
          <w:szCs w:val="21"/>
          <w:lang w:val="en-US" w:eastAsia="zh-CN"/>
        </w:rPr>
        <w:t>4</w:t>
      </w:r>
      <w:r>
        <w:rPr>
          <w:rFonts w:hint="eastAsia" w:asciiTheme="minorEastAsia" w:hAnsiTheme="minorEastAsia" w:eastAsiaTheme="minorEastAsia"/>
          <w:sz w:val="21"/>
          <w:szCs w:val="21"/>
        </w:rPr>
        <w:t>.2电控柜订做时，要充分考虑其美观性，电线编号须齐全，同时柜内配线按国际色标规定执行，各类导线能以颜色区分。</w:t>
      </w:r>
    </w:p>
    <w:p>
      <w:pPr>
        <w:spacing w:line="360" w:lineRule="auto"/>
        <w:ind w:firstLine="420" w:firstLineChars="200"/>
        <w:rPr>
          <w:rFonts w:asciiTheme="minorEastAsia" w:hAnsiTheme="minorEastAsia" w:eastAsiaTheme="minorEastAsia"/>
          <w:sz w:val="21"/>
          <w:szCs w:val="21"/>
        </w:rPr>
      </w:pPr>
      <w:r>
        <w:rPr>
          <w:rFonts w:hint="eastAsia" w:asciiTheme="minorEastAsia" w:hAnsiTheme="minorEastAsia" w:eastAsiaTheme="minorEastAsia"/>
          <w:sz w:val="21"/>
          <w:szCs w:val="21"/>
          <w:lang w:val="en-US" w:eastAsia="zh-CN"/>
        </w:rPr>
        <w:t>4</w:t>
      </w:r>
      <w:r>
        <w:rPr>
          <w:rFonts w:hint="eastAsia" w:asciiTheme="minorEastAsia" w:hAnsiTheme="minorEastAsia" w:eastAsiaTheme="minorEastAsia"/>
          <w:sz w:val="21"/>
          <w:szCs w:val="21"/>
        </w:rPr>
        <w:t>.3所有的电控柜外饰为烤漆或喷塑，外型、颜色一致，美观大方。柜门上设置放置计算机的操作台，柜内设置照明及空调。照明灯为节能灯，采用门开关控制。</w:t>
      </w:r>
    </w:p>
    <w:p>
      <w:pPr>
        <w:spacing w:line="360" w:lineRule="auto"/>
        <w:ind w:firstLine="420" w:firstLineChars="200"/>
        <w:rPr>
          <w:rFonts w:asciiTheme="minorEastAsia" w:hAnsiTheme="minorEastAsia" w:eastAsiaTheme="minorEastAsia"/>
          <w:sz w:val="21"/>
          <w:szCs w:val="21"/>
        </w:rPr>
      </w:pPr>
      <w:r>
        <w:rPr>
          <w:rFonts w:hint="eastAsia" w:asciiTheme="minorEastAsia" w:hAnsiTheme="minorEastAsia" w:eastAsiaTheme="minorEastAsia"/>
          <w:sz w:val="21"/>
          <w:szCs w:val="21"/>
          <w:lang w:val="en-US" w:eastAsia="zh-CN"/>
        </w:rPr>
        <w:t>4</w:t>
      </w:r>
      <w:r>
        <w:rPr>
          <w:rFonts w:hint="eastAsia" w:asciiTheme="minorEastAsia" w:hAnsiTheme="minorEastAsia" w:eastAsiaTheme="minorEastAsia"/>
          <w:sz w:val="21"/>
          <w:szCs w:val="21"/>
        </w:rPr>
        <w:t>.4低压电气产品建议施耐德、欧姆龙同等知名公司产品，总线</w:t>
      </w:r>
      <w:r>
        <w:rPr>
          <w:rFonts w:asciiTheme="minorEastAsia" w:hAnsiTheme="minorEastAsia" w:eastAsiaTheme="minorEastAsia"/>
          <w:sz w:val="21"/>
          <w:szCs w:val="21"/>
        </w:rPr>
        <w:t>I/O</w:t>
      </w:r>
      <w:r>
        <w:rPr>
          <w:rFonts w:hint="eastAsia" w:asciiTheme="minorEastAsia" w:hAnsiTheme="minorEastAsia" w:eastAsiaTheme="minorEastAsia"/>
          <w:sz w:val="21"/>
          <w:szCs w:val="21"/>
        </w:rPr>
        <w:t>采用国际知名品牌的产品。</w:t>
      </w:r>
    </w:p>
    <w:p>
      <w:pPr>
        <w:spacing w:line="360" w:lineRule="auto"/>
        <w:ind w:firstLine="420" w:firstLineChars="200"/>
        <w:rPr>
          <w:rFonts w:asciiTheme="minorEastAsia" w:hAnsiTheme="minorEastAsia" w:eastAsiaTheme="minorEastAsia"/>
          <w:sz w:val="21"/>
          <w:szCs w:val="21"/>
        </w:rPr>
      </w:pPr>
      <w:r>
        <w:rPr>
          <w:rFonts w:hint="eastAsia" w:asciiTheme="minorEastAsia" w:hAnsiTheme="minorEastAsia" w:eastAsiaTheme="minorEastAsia"/>
          <w:sz w:val="21"/>
          <w:szCs w:val="21"/>
          <w:lang w:val="en-US" w:eastAsia="zh-CN"/>
        </w:rPr>
        <w:t>4</w:t>
      </w:r>
      <w:r>
        <w:rPr>
          <w:rFonts w:hint="eastAsia" w:asciiTheme="minorEastAsia" w:hAnsiTheme="minorEastAsia" w:eastAsiaTheme="minorEastAsia"/>
          <w:sz w:val="21"/>
          <w:szCs w:val="21"/>
        </w:rPr>
        <w:t>.5现场的电缆、电线等均采用封闭式电缆桥架走线保护，出桥架部分均穿钢管保护，出钢管至负荷端或信号端的电缆电线均穿金属软管保护，现场电缆管线为全封闭安全结构形式。</w:t>
      </w:r>
    </w:p>
    <w:p>
      <w:pPr>
        <w:spacing w:line="360" w:lineRule="auto"/>
        <w:rPr>
          <w:rFonts w:asciiTheme="minorEastAsia" w:hAnsiTheme="minorEastAsia" w:eastAsiaTheme="minorEastAsia"/>
          <w:sz w:val="21"/>
          <w:szCs w:val="21"/>
        </w:rPr>
      </w:pPr>
      <w:r>
        <w:rPr>
          <w:rFonts w:hint="eastAsia" w:asciiTheme="minorEastAsia" w:hAnsiTheme="minorEastAsia" w:eastAsiaTheme="minorEastAsia"/>
          <w:b/>
          <w:sz w:val="21"/>
          <w:szCs w:val="21"/>
          <w:lang w:val="en-US" w:eastAsia="zh-CN"/>
        </w:rPr>
        <w:t>5</w:t>
      </w:r>
      <w:r>
        <w:rPr>
          <w:rFonts w:hint="eastAsia" w:asciiTheme="minorEastAsia" w:hAnsiTheme="minorEastAsia" w:eastAsiaTheme="minorEastAsia"/>
          <w:b/>
          <w:sz w:val="21"/>
          <w:szCs w:val="21"/>
          <w:lang w:eastAsia="zh-CN"/>
        </w:rPr>
        <w:t>、</w:t>
      </w:r>
      <w:r>
        <w:rPr>
          <w:rFonts w:hint="eastAsia" w:asciiTheme="minorEastAsia" w:hAnsiTheme="minorEastAsia" w:eastAsiaTheme="minorEastAsia"/>
          <w:b/>
          <w:sz w:val="21"/>
          <w:szCs w:val="21"/>
        </w:rPr>
        <w:t>其他</w:t>
      </w:r>
      <w:r>
        <w:rPr>
          <w:rFonts w:hint="eastAsia" w:asciiTheme="minorEastAsia" w:hAnsiTheme="minorEastAsia" w:eastAsiaTheme="minorEastAsia"/>
          <w:sz w:val="21"/>
          <w:szCs w:val="21"/>
        </w:rPr>
        <w:t xml:space="preserve"> </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ascii="宋体" w:hAnsi="宋体"/>
          <w:sz w:val="21"/>
          <w:szCs w:val="21"/>
        </w:rPr>
        <w:t>.1</w:t>
      </w:r>
      <w:r>
        <w:rPr>
          <w:rFonts w:hint="eastAsia" w:ascii="宋体" w:hAnsi="宋体"/>
          <w:sz w:val="21"/>
          <w:szCs w:val="21"/>
        </w:rPr>
        <w:t>设备设计由投标方负责，应根据招标方提供有关资料，满足招标方要求。会签图纸经招标方会签后方可加工制作。</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ascii="宋体" w:hAnsi="宋体"/>
          <w:sz w:val="21"/>
          <w:szCs w:val="21"/>
        </w:rPr>
        <w:t>.2</w:t>
      </w:r>
      <w:r>
        <w:rPr>
          <w:rFonts w:hint="eastAsia" w:ascii="宋体" w:hAnsi="宋体"/>
          <w:sz w:val="21"/>
          <w:szCs w:val="21"/>
        </w:rPr>
        <w:t>尺寸可参照产品外供图。</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ascii="宋体" w:hAnsi="宋体"/>
          <w:sz w:val="21"/>
          <w:szCs w:val="21"/>
        </w:rPr>
        <w:t>.3</w:t>
      </w:r>
      <w:r>
        <w:rPr>
          <w:rFonts w:hint="eastAsia" w:ascii="宋体" w:hAnsi="宋体"/>
          <w:sz w:val="21"/>
          <w:szCs w:val="21"/>
        </w:rPr>
        <w:t>电机减速机应选择SEW同等国际知名品牌的产品，具体型号需在标书中明确，要求电机使用国家节能机电设备（产品）目录内产品；轴承应选择哈尔滨轴承集团或国内同等品质的免维护轴承同等品牌产品。</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hint="eastAsia" w:ascii="宋体" w:hAnsi="宋体"/>
          <w:sz w:val="21"/>
          <w:szCs w:val="21"/>
        </w:rPr>
        <w:t>.</w:t>
      </w:r>
      <w:r>
        <w:rPr>
          <w:rFonts w:ascii="宋体" w:hAnsi="宋体"/>
          <w:sz w:val="21"/>
          <w:szCs w:val="21"/>
        </w:rPr>
        <w:t>4</w:t>
      </w:r>
      <w:r>
        <w:rPr>
          <w:rFonts w:hint="eastAsia" w:ascii="宋体" w:hAnsi="宋体"/>
          <w:sz w:val="21"/>
          <w:szCs w:val="21"/>
        </w:rPr>
        <w:t>电动机等部件的能效等级不低于国家现行标准二级能效。进口产品的能效不应低于原产国现行能效标准二级能效。如：对应欧洲标准电动机的能效等级不低于IE3。</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hint="eastAsia" w:ascii="宋体" w:hAnsi="宋体"/>
          <w:sz w:val="21"/>
          <w:szCs w:val="21"/>
        </w:rPr>
        <w:t>.</w:t>
      </w:r>
      <w:r>
        <w:rPr>
          <w:rFonts w:ascii="宋体" w:hAnsi="宋体"/>
          <w:sz w:val="21"/>
          <w:szCs w:val="21"/>
        </w:rPr>
        <w:t>5</w:t>
      </w:r>
      <w:r>
        <w:rPr>
          <w:rFonts w:hint="eastAsia" w:ascii="宋体" w:hAnsi="宋体"/>
          <w:sz w:val="21"/>
          <w:szCs w:val="21"/>
        </w:rPr>
        <w:t>气动元件选用SMC、Festo同等知名品牌，投标方需提供设备压缩空气入口处气动三联件。</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hint="eastAsia" w:ascii="宋体" w:hAnsi="宋体"/>
          <w:sz w:val="21"/>
          <w:szCs w:val="21"/>
        </w:rPr>
        <w:t>.</w:t>
      </w:r>
      <w:r>
        <w:rPr>
          <w:rFonts w:ascii="宋体" w:hAnsi="宋体"/>
          <w:sz w:val="21"/>
          <w:szCs w:val="21"/>
        </w:rPr>
        <w:t>6</w:t>
      </w:r>
      <w:r>
        <w:rPr>
          <w:rFonts w:hint="eastAsia" w:ascii="宋体" w:hAnsi="宋体"/>
          <w:sz w:val="21"/>
          <w:szCs w:val="21"/>
        </w:rPr>
        <w:t>生产线的传感器、感应开关、按钮开关、限位开关、使用turck、P+F等国际知名品牌,具体选用品牌需在标书中明确。</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ascii="宋体" w:hAnsi="宋体"/>
          <w:sz w:val="21"/>
          <w:szCs w:val="21"/>
        </w:rPr>
        <w:t>.7</w:t>
      </w:r>
      <w:r>
        <w:rPr>
          <w:rFonts w:hint="eastAsia" w:ascii="宋体" w:hAnsi="宋体"/>
          <w:sz w:val="21"/>
          <w:szCs w:val="21"/>
        </w:rPr>
        <w:t>设备操作面板、按钮、显示屏、操作说明文字以及其他在操作中标注的文字应采用中英法文对照。</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hint="eastAsia" w:ascii="宋体" w:hAnsi="宋体"/>
          <w:sz w:val="21"/>
          <w:szCs w:val="21"/>
        </w:rPr>
        <w:t>.</w:t>
      </w:r>
      <w:r>
        <w:rPr>
          <w:rFonts w:ascii="宋体" w:hAnsi="宋体"/>
          <w:sz w:val="21"/>
          <w:szCs w:val="21"/>
        </w:rPr>
        <w:t>8</w:t>
      </w:r>
      <w:r>
        <w:rPr>
          <w:rFonts w:hint="eastAsia" w:ascii="宋体" w:hAnsi="宋体"/>
          <w:sz w:val="21"/>
          <w:szCs w:val="21"/>
        </w:rPr>
        <w:t>设备及配件的说明书、维护手册等应提供中英法文版本。</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hint="eastAsia" w:ascii="宋体" w:hAnsi="宋体"/>
          <w:sz w:val="21"/>
          <w:szCs w:val="21"/>
        </w:rPr>
        <w:t>.</w:t>
      </w:r>
      <w:r>
        <w:rPr>
          <w:rFonts w:ascii="宋体" w:hAnsi="宋体"/>
          <w:sz w:val="21"/>
          <w:szCs w:val="21"/>
        </w:rPr>
        <w:t>9</w:t>
      </w:r>
      <w:r>
        <w:rPr>
          <w:rFonts w:hint="eastAsia" w:ascii="宋体" w:hAnsi="宋体"/>
          <w:sz w:val="21"/>
          <w:szCs w:val="21"/>
        </w:rPr>
        <w:t>设备颜色选用由招标方指定。</w:t>
      </w:r>
    </w:p>
    <w:p>
      <w:pPr>
        <w:spacing w:line="360" w:lineRule="auto"/>
        <w:ind w:firstLine="420" w:firstLineChars="200"/>
        <w:rPr>
          <w:rFonts w:ascii="宋体" w:hAnsi="宋体"/>
          <w:sz w:val="21"/>
          <w:szCs w:val="21"/>
        </w:rPr>
      </w:pPr>
      <w:r>
        <w:rPr>
          <w:rFonts w:hint="eastAsia" w:ascii="宋体" w:hAnsi="宋体"/>
          <w:sz w:val="21"/>
          <w:szCs w:val="21"/>
          <w:lang w:val="en-US" w:eastAsia="zh-CN"/>
        </w:rPr>
        <w:t>5</w:t>
      </w:r>
      <w:r>
        <w:rPr>
          <w:rFonts w:hint="eastAsia" w:ascii="宋体" w:hAnsi="宋体"/>
          <w:sz w:val="21"/>
          <w:szCs w:val="21"/>
        </w:rPr>
        <w:t>.10轨道选用英格索兰、伊卜斯等国际知名品牌。</w:t>
      </w:r>
    </w:p>
    <w:p>
      <w:pPr>
        <w:spacing w:line="360" w:lineRule="auto"/>
        <w:ind w:firstLine="420" w:firstLineChars="200"/>
        <w:rPr>
          <w:rFonts w:asciiTheme="minorEastAsia" w:hAnsiTheme="minorEastAsia" w:eastAsiaTheme="minorEastAsia"/>
          <w:sz w:val="21"/>
          <w:szCs w:val="21"/>
        </w:rPr>
      </w:pPr>
      <w:r>
        <w:rPr>
          <w:rFonts w:hint="eastAsia" w:ascii="宋体" w:hAnsi="宋体" w:cs="宋体"/>
          <w:sz w:val="21"/>
          <w:szCs w:val="21"/>
          <w:lang w:val="en-US" w:eastAsia="zh-CN"/>
        </w:rPr>
        <w:t>5</w:t>
      </w:r>
      <w:r>
        <w:rPr>
          <w:rFonts w:hint="eastAsia" w:ascii="宋体" w:hAnsi="宋体" w:eastAsia="宋体" w:cs="宋体"/>
          <w:sz w:val="21"/>
          <w:szCs w:val="21"/>
        </w:rPr>
        <w:t>.11工程界面见下表</w:t>
      </w:r>
      <w:r>
        <w:rPr>
          <w:rFonts w:hint="eastAsia" w:asciiTheme="minorEastAsia" w:hAnsiTheme="minorEastAsia" w:eastAsiaTheme="minorEastAsia"/>
          <w:sz w:val="21"/>
          <w:szCs w:val="21"/>
        </w:rPr>
        <w:t>：</w:t>
      </w:r>
    </w:p>
    <w:p>
      <w:pPr>
        <w:spacing w:line="360" w:lineRule="auto"/>
        <w:ind w:firstLine="425"/>
        <w:jc w:val="center"/>
        <w:rPr>
          <w:rFonts w:cs="仿宋_GB2312" w:asciiTheme="minorEastAsia" w:hAnsiTheme="minorEastAsia" w:eastAsiaTheme="minorEastAsia"/>
          <w:b/>
          <w:bCs/>
          <w:szCs w:val="24"/>
          <w:lang w:val="en-GB"/>
        </w:rPr>
      </w:pPr>
      <w:r>
        <w:rPr>
          <w:rFonts w:hint="eastAsia" w:cs="仿宋_GB2312" w:asciiTheme="minorEastAsia" w:hAnsiTheme="minorEastAsia" w:eastAsiaTheme="minorEastAsia"/>
          <w:b/>
          <w:bCs/>
          <w:szCs w:val="24"/>
          <w:lang w:val="en-GB"/>
        </w:rPr>
        <w:t>工程界面</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27"/>
        <w:gridCol w:w="2808"/>
        <w:gridCol w:w="705"/>
        <w:gridCol w:w="803"/>
        <w:gridCol w:w="38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tblHeader/>
          <w:jc w:val="center"/>
        </w:trPr>
        <w:tc>
          <w:tcPr>
            <w:tcW w:w="927" w:type="dxa"/>
            <w:vAlign w:val="center"/>
          </w:tcPr>
          <w:p>
            <w:pPr>
              <w:jc w:val="center"/>
              <w:rPr>
                <w:rFonts w:asciiTheme="minorEastAsia" w:hAnsiTheme="minorEastAsia" w:eastAsiaTheme="minorEastAsia"/>
                <w:b/>
                <w:bCs/>
                <w:szCs w:val="21"/>
              </w:rPr>
            </w:pPr>
            <w:r>
              <w:rPr>
                <w:rFonts w:hint="eastAsia" w:asciiTheme="minorEastAsia" w:hAnsiTheme="minorEastAsia" w:eastAsiaTheme="minorEastAsia"/>
                <w:b/>
                <w:bCs/>
                <w:szCs w:val="21"/>
              </w:rPr>
              <w:t>序号</w:t>
            </w:r>
          </w:p>
        </w:tc>
        <w:tc>
          <w:tcPr>
            <w:tcW w:w="2808" w:type="dxa"/>
            <w:vAlign w:val="center"/>
          </w:tcPr>
          <w:p>
            <w:pPr>
              <w:jc w:val="center"/>
              <w:rPr>
                <w:rFonts w:asciiTheme="minorEastAsia" w:hAnsiTheme="minorEastAsia" w:eastAsiaTheme="minorEastAsia"/>
                <w:b/>
                <w:bCs/>
                <w:szCs w:val="21"/>
              </w:rPr>
            </w:pPr>
            <w:r>
              <w:rPr>
                <w:rFonts w:hint="eastAsia" w:asciiTheme="minorEastAsia" w:hAnsiTheme="minorEastAsia" w:eastAsiaTheme="minorEastAsia"/>
                <w:b/>
                <w:bCs/>
                <w:szCs w:val="21"/>
              </w:rPr>
              <w:t>工作内容</w:t>
            </w:r>
          </w:p>
        </w:tc>
        <w:tc>
          <w:tcPr>
            <w:tcW w:w="705" w:type="dxa"/>
            <w:vAlign w:val="center"/>
          </w:tcPr>
          <w:p>
            <w:pPr>
              <w:jc w:val="center"/>
              <w:rPr>
                <w:rFonts w:asciiTheme="minorEastAsia" w:hAnsiTheme="minorEastAsia" w:eastAsiaTheme="minorEastAsia"/>
                <w:b/>
                <w:bCs/>
                <w:szCs w:val="21"/>
              </w:rPr>
            </w:pPr>
            <w:r>
              <w:rPr>
                <w:rFonts w:hint="eastAsia" w:asciiTheme="minorEastAsia" w:hAnsiTheme="minorEastAsia" w:eastAsiaTheme="minorEastAsia"/>
                <w:b/>
                <w:bCs/>
                <w:szCs w:val="21"/>
              </w:rPr>
              <w:t>招标方</w:t>
            </w:r>
          </w:p>
        </w:tc>
        <w:tc>
          <w:tcPr>
            <w:tcW w:w="803" w:type="dxa"/>
            <w:vAlign w:val="center"/>
          </w:tcPr>
          <w:p>
            <w:pPr>
              <w:jc w:val="center"/>
              <w:rPr>
                <w:rFonts w:asciiTheme="minorEastAsia" w:hAnsiTheme="minorEastAsia" w:eastAsiaTheme="minorEastAsia"/>
                <w:b/>
                <w:bCs/>
                <w:szCs w:val="21"/>
              </w:rPr>
            </w:pPr>
            <w:r>
              <w:rPr>
                <w:rFonts w:hint="eastAsia" w:asciiTheme="minorEastAsia" w:hAnsiTheme="minorEastAsia" w:eastAsiaTheme="minorEastAsia"/>
                <w:b/>
                <w:bCs/>
                <w:szCs w:val="21"/>
              </w:rPr>
              <w:t>投标方</w:t>
            </w:r>
          </w:p>
        </w:tc>
        <w:tc>
          <w:tcPr>
            <w:tcW w:w="3837" w:type="dxa"/>
            <w:vAlign w:val="center"/>
          </w:tcPr>
          <w:p>
            <w:pPr>
              <w:jc w:val="center"/>
              <w:rPr>
                <w:rFonts w:asciiTheme="minorEastAsia" w:hAnsiTheme="minorEastAsia" w:eastAsiaTheme="minorEastAsia"/>
                <w:b/>
                <w:bCs/>
                <w:szCs w:val="21"/>
              </w:rPr>
            </w:pPr>
            <w:r>
              <w:rPr>
                <w:rFonts w:hint="eastAsia" w:asciiTheme="minorEastAsia" w:hAnsiTheme="minorEastAsia" w:eastAsiaTheme="minorEastAsia"/>
                <w:b/>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927" w:type="dxa"/>
            <w:vMerge w:val="restart"/>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w:t>
            </w:r>
          </w:p>
        </w:tc>
        <w:tc>
          <w:tcPr>
            <w:tcW w:w="2808" w:type="dxa"/>
            <w:vMerge w:val="restart"/>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电气</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非标设备电控柜上端一次侧供电(招标方供至主控制柜空开为止)</w:t>
            </w:r>
            <w:r>
              <w:rPr>
                <w:rFonts w:asciiTheme="minorEastAsia" w:hAnsiTheme="minorEastAsia" w:eastAsiaTheme="minorEastAsia"/>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927" w:type="dxa"/>
            <w:vMerge w:val="continue"/>
            <w:vAlign w:val="center"/>
          </w:tcPr>
          <w:p>
            <w:pPr>
              <w:jc w:val="center"/>
              <w:rPr>
                <w:rFonts w:asciiTheme="minorEastAsia" w:hAnsiTheme="minorEastAsia" w:eastAsiaTheme="minorEastAsia"/>
                <w:szCs w:val="21"/>
              </w:rPr>
            </w:pPr>
          </w:p>
        </w:tc>
        <w:tc>
          <w:tcPr>
            <w:tcW w:w="2808" w:type="dxa"/>
            <w:vMerge w:val="continue"/>
            <w:vAlign w:val="center"/>
          </w:tcPr>
          <w:p>
            <w:pPr>
              <w:jc w:val="center"/>
              <w:rPr>
                <w:rFonts w:asciiTheme="minorEastAsia" w:hAnsiTheme="minorEastAsia" w:eastAsiaTheme="minorEastAsia"/>
                <w:szCs w:val="21"/>
              </w:rPr>
            </w:pP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各非标设备电控柜至设备用电点之间的电气配线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927" w:type="dxa"/>
            <w:vMerge w:val="restart"/>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w:t>
            </w:r>
          </w:p>
        </w:tc>
        <w:tc>
          <w:tcPr>
            <w:tcW w:w="2808" w:type="dxa"/>
            <w:vMerge w:val="restart"/>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工业水</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公用动力管道送至生产线主用水点附近，预留阀门（用水点由投标方提资）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927" w:type="dxa"/>
            <w:vMerge w:val="continue"/>
            <w:vAlign w:val="center"/>
          </w:tcPr>
          <w:p>
            <w:pPr>
              <w:jc w:val="center"/>
              <w:rPr>
                <w:rFonts w:asciiTheme="minorEastAsia" w:hAnsiTheme="minorEastAsia" w:eastAsiaTheme="minorEastAsia"/>
                <w:szCs w:val="21"/>
              </w:rPr>
            </w:pPr>
          </w:p>
        </w:tc>
        <w:tc>
          <w:tcPr>
            <w:tcW w:w="2808" w:type="dxa"/>
            <w:vMerge w:val="continue"/>
            <w:vAlign w:val="center"/>
          </w:tcPr>
          <w:p>
            <w:pPr>
              <w:jc w:val="center"/>
              <w:rPr>
                <w:rFonts w:asciiTheme="minorEastAsia" w:hAnsiTheme="minorEastAsia" w:eastAsiaTheme="minorEastAsia"/>
                <w:szCs w:val="21"/>
              </w:rPr>
            </w:pP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由主用水点至各分使用点之间用水管路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927" w:type="dxa"/>
            <w:vMerge w:val="restart"/>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3</w:t>
            </w:r>
          </w:p>
        </w:tc>
        <w:tc>
          <w:tcPr>
            <w:tcW w:w="2808" w:type="dxa"/>
            <w:vMerge w:val="restart"/>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压缩空气</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公用动力管道送至生产线主用气点附近，预留阀门（用气点由投标方提资）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27" w:type="dxa"/>
            <w:vMerge w:val="continue"/>
            <w:vAlign w:val="center"/>
          </w:tcPr>
          <w:p>
            <w:pPr>
              <w:jc w:val="center"/>
              <w:rPr>
                <w:rFonts w:asciiTheme="minorEastAsia" w:hAnsiTheme="minorEastAsia" w:eastAsiaTheme="minorEastAsia"/>
                <w:szCs w:val="21"/>
              </w:rPr>
            </w:pPr>
          </w:p>
        </w:tc>
        <w:tc>
          <w:tcPr>
            <w:tcW w:w="2808" w:type="dxa"/>
            <w:vMerge w:val="continue"/>
            <w:vAlign w:val="center"/>
          </w:tcPr>
          <w:p>
            <w:pPr>
              <w:jc w:val="center"/>
              <w:rPr>
                <w:rFonts w:asciiTheme="minorEastAsia" w:hAnsiTheme="minorEastAsia" w:eastAsiaTheme="minorEastAsia"/>
                <w:szCs w:val="21"/>
              </w:rPr>
            </w:pP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由主用气点至各分使用点之间用气管路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4</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消防工程</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车间及设备消防安装、调试、办理验收等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Merge w:val="restart"/>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5</w:t>
            </w:r>
          </w:p>
        </w:tc>
        <w:tc>
          <w:tcPr>
            <w:tcW w:w="2808" w:type="dxa"/>
            <w:vMerge w:val="restart"/>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照明工程</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设备、室体、工位照明设施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Merge w:val="continue"/>
            <w:vAlign w:val="center"/>
          </w:tcPr>
          <w:p>
            <w:pPr>
              <w:jc w:val="center"/>
              <w:rPr>
                <w:rFonts w:asciiTheme="minorEastAsia" w:hAnsiTheme="minorEastAsia" w:eastAsiaTheme="minorEastAsia"/>
                <w:szCs w:val="21"/>
              </w:rPr>
            </w:pPr>
          </w:p>
        </w:tc>
        <w:tc>
          <w:tcPr>
            <w:tcW w:w="2808" w:type="dxa"/>
            <w:vMerge w:val="continue"/>
            <w:vAlign w:val="center"/>
          </w:tcPr>
          <w:p>
            <w:pPr>
              <w:jc w:val="center"/>
              <w:rPr>
                <w:rFonts w:asciiTheme="minorEastAsia" w:hAnsiTheme="minorEastAsia" w:eastAsiaTheme="minorEastAsia"/>
                <w:szCs w:val="21"/>
              </w:rPr>
            </w:pP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车间内部厂房照明工程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6</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图纸设计</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招标方负责图纸的校核工作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7</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施工现场临时用动力管线（含所有水、电、气、分电箱等），现场施工临时照明。</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所有用电要求规范接地。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8</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未安装设备临时堆放场地</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9</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施工现场临时消防器材</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10</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施工现场临时防护设施</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含所工程周边的各种安全防护临时设施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11</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施工用检测仪器、仪表</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12</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特构验收</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招标方施工，双方共同验收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13</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施工放线基准确定</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招标方和施工方共同确定施工放线基准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14</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设备施工放线</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招标方监督/检查施工放线作业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15</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设备外观颜色的确定</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招标方需提前提供色卡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16</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设备表面涂底漆、面漆</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17</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设备铭牌制作、安装</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含管道、阀门、安全指示牌的内容、材质、颜色、格式、尺寸等等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18</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施工环境、存放环境清理，加工余料、生产垃圾清运</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19</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工程移交用户前设备内外清洁</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20</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施工服装及劳保用品</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仅含投标方施工人员所需用品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21</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设备所需润滑油、脂</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一次加注由投标方负责，设备试生产后由招标方负责，投标方负责提供润滑油的标号等资料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22</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材料报告</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投标方提供原产地证明材料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23</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外购件合格证</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含维修手册、配套光盘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24</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设备调试仪器</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仅为本次项目使用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25</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设备制造、预组装</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26</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设备预验收</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27</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设备运输、包装、防护、卸货、转运</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设备安装过程中的转运、卸货、防护由投标方负责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28</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设备现场保管</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29</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设备安装、调试</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招标方提供辅助人员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30</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工程进度保证</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31</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人员培训</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32</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竣工资料的整理及移交</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含各种程序软件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33</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售后服务</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34</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生产陪伴</w:t>
            </w:r>
          </w:p>
        </w:tc>
        <w:tc>
          <w:tcPr>
            <w:tcW w:w="705" w:type="dxa"/>
            <w:vAlign w:val="center"/>
          </w:tcPr>
          <w:p>
            <w:pPr>
              <w:rPr>
                <w:rFonts w:asciiTheme="minorEastAsia" w:hAnsiTheme="minorEastAsia" w:eastAsiaTheme="minorEastAsia"/>
                <w:szCs w:val="21"/>
              </w:rPr>
            </w:pP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927"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35</w:t>
            </w:r>
          </w:p>
        </w:tc>
        <w:tc>
          <w:tcPr>
            <w:tcW w:w="2808"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设备终验收</w:t>
            </w:r>
          </w:p>
        </w:tc>
        <w:tc>
          <w:tcPr>
            <w:tcW w:w="705"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803" w:type="dxa"/>
            <w:vAlign w:val="center"/>
          </w:tcPr>
          <w:p>
            <w:pPr>
              <w:rPr>
                <w:rFonts w:asciiTheme="minorEastAsia" w:hAnsiTheme="minorEastAsia" w:eastAsiaTheme="minorEastAsia"/>
                <w:szCs w:val="21"/>
              </w:rPr>
            </w:pPr>
            <w:r>
              <w:rPr>
                <w:rFonts w:hint="eastAsia" w:asciiTheme="minorEastAsia" w:hAnsiTheme="minorEastAsia" w:eastAsiaTheme="minorEastAsia"/>
                <w:szCs w:val="21"/>
              </w:rPr>
              <w:t>√</w:t>
            </w:r>
          </w:p>
        </w:tc>
        <w:tc>
          <w:tcPr>
            <w:tcW w:w="3837" w:type="dxa"/>
            <w:vAlign w:val="center"/>
          </w:tcPr>
          <w:p>
            <w:pPr>
              <w:rPr>
                <w:rFonts w:asciiTheme="minorEastAsia" w:hAnsiTheme="minorEastAsia" w:eastAsiaTheme="minorEastAsia"/>
                <w:szCs w:val="21"/>
              </w:rPr>
            </w:pPr>
          </w:p>
        </w:tc>
      </w:tr>
    </w:tbl>
    <w:p>
      <w:pPr>
        <w:spacing w:line="360" w:lineRule="auto"/>
        <w:ind w:firstLine="480" w:firstLineChars="200"/>
        <w:rPr>
          <w:rFonts w:hint="eastAsia" w:asciiTheme="minorEastAsia" w:hAnsiTheme="minorEastAsia" w:eastAsiaTheme="minorEastAsia"/>
          <w:sz w:val="24"/>
          <w:szCs w:val="24"/>
          <w:lang w:val="en-US" w:eastAsia="zh-CN"/>
        </w:rPr>
      </w:pPr>
      <w:r>
        <w:rPr>
          <w:rFonts w:hint="eastAsia"/>
          <w:sz w:val="24"/>
          <w:szCs w:val="24"/>
          <w:lang w:val="en-US" w:eastAsia="zh-CN"/>
        </w:rPr>
        <w:t>乙</w:t>
      </w:r>
      <w:r>
        <w:rPr>
          <w:rFonts w:hint="eastAsia" w:ascii="Times New Roman" w:hAnsi="Times New Roman"/>
          <w:sz w:val="24"/>
          <w:szCs w:val="24"/>
        </w:rPr>
        <w:t>方负责，应根据招标方提供有关资料，满足招标方要求。方案图纸经招标方会签后施工。</w:t>
      </w:r>
    </w:p>
    <w:p>
      <w:pPr>
        <w:pStyle w:val="22"/>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lang w:val="en-US" w:eastAsia="zh-CN"/>
        </w:rPr>
        <w:t>6、</w:t>
      </w:r>
      <w:r>
        <w:rPr>
          <w:rFonts w:hint="eastAsia" w:asciiTheme="minorEastAsia" w:hAnsiTheme="minorEastAsia" w:eastAsiaTheme="minorEastAsia" w:cstheme="minorEastAsia"/>
          <w:b/>
          <w:bCs/>
          <w:color w:val="auto"/>
          <w:sz w:val="21"/>
          <w:szCs w:val="21"/>
        </w:rPr>
        <w:t>维护保养要求</w:t>
      </w:r>
    </w:p>
    <w:p>
      <w:pPr>
        <w:pStyle w:val="22"/>
        <w:keepNext w:val="0"/>
        <w:keepLines w:val="0"/>
        <w:pageBreakBefore w:val="0"/>
        <w:widowControl w:val="0"/>
        <w:numPr>
          <w:ilvl w:val="0"/>
          <w:numId w:val="15"/>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验收前对设备免费保养和备件更换。</w:t>
      </w:r>
    </w:p>
    <w:p>
      <w:pPr>
        <w:pStyle w:val="22"/>
        <w:keepNext w:val="0"/>
        <w:keepLines w:val="0"/>
        <w:pageBreakBefore w:val="0"/>
        <w:widowControl w:val="0"/>
        <w:numPr>
          <w:ilvl w:val="0"/>
          <w:numId w:val="15"/>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质保期内，维修所用的备件包含在本次投资的合同范围内，我方（中国重汽）不用另行采购备件</w:t>
      </w:r>
      <w:r>
        <w:rPr>
          <w:rFonts w:hint="eastAsia" w:asciiTheme="minorEastAsia" w:hAnsiTheme="minorEastAsia" w:eastAsiaTheme="minorEastAsia" w:cstheme="minorEastAsia"/>
          <w:b w:val="0"/>
          <w:bCs w:val="0"/>
          <w:color w:val="auto"/>
          <w:sz w:val="21"/>
          <w:szCs w:val="21"/>
          <w:lang w:eastAsia="zh-CN"/>
        </w:rPr>
        <w:t>。</w:t>
      </w:r>
    </w:p>
    <w:p>
      <w:pPr>
        <w:pStyle w:val="22"/>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lang w:val="en-US" w:eastAsia="zh-CN"/>
        </w:rPr>
        <w:t>7、</w:t>
      </w:r>
      <w:r>
        <w:rPr>
          <w:rFonts w:hint="eastAsia" w:asciiTheme="minorEastAsia" w:hAnsiTheme="minorEastAsia" w:eastAsiaTheme="minorEastAsia" w:cstheme="minorEastAsia"/>
          <w:b/>
          <w:bCs/>
          <w:color w:val="auto"/>
          <w:sz w:val="21"/>
          <w:szCs w:val="21"/>
        </w:rPr>
        <w:t>程序图纸要求</w:t>
      </w:r>
    </w:p>
    <w:p>
      <w:pPr>
        <w:pStyle w:val="22"/>
        <w:keepNext w:val="0"/>
        <w:keepLines w:val="0"/>
        <w:pageBreakBefore w:val="0"/>
        <w:widowControl w:val="0"/>
        <w:numPr>
          <w:ilvl w:val="0"/>
          <w:numId w:val="16"/>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供方必须提供所有设备程序的源代码，包括但不限于PLC程序、HMI程序、视觉程序、伺服等。</w:t>
      </w:r>
    </w:p>
    <w:p>
      <w:pPr>
        <w:pStyle w:val="22"/>
        <w:keepNext w:val="0"/>
        <w:keepLines w:val="0"/>
        <w:pageBreakBefore w:val="0"/>
        <w:widowControl w:val="0"/>
        <w:numPr>
          <w:ilvl w:val="0"/>
          <w:numId w:val="16"/>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供方所提供的程序不得设置任何密码、保护等限制手段，PLC不得设置修改下载权限，功能块不得设置密码保护。</w:t>
      </w:r>
    </w:p>
    <w:p>
      <w:pPr>
        <w:pStyle w:val="22"/>
        <w:keepNext w:val="0"/>
        <w:keepLines w:val="0"/>
        <w:pageBreakBefore w:val="0"/>
        <w:widowControl w:val="0"/>
        <w:numPr>
          <w:ilvl w:val="0"/>
          <w:numId w:val="16"/>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HMI界面等需要密码保护的程序，供方必须提供所有级别的用户名、密码。</w:t>
      </w:r>
    </w:p>
    <w:p>
      <w:pPr>
        <w:pStyle w:val="22"/>
        <w:keepNext w:val="0"/>
        <w:keepLines w:val="0"/>
        <w:pageBreakBefore w:val="0"/>
        <w:widowControl w:val="0"/>
        <w:numPr>
          <w:ilvl w:val="0"/>
          <w:numId w:val="16"/>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供方需在设备入场前提供设备程序源码，HMI界面各级用户名和密码，并保证与现场程序一致。</w:t>
      </w:r>
    </w:p>
    <w:p>
      <w:pPr>
        <w:pStyle w:val="22"/>
        <w:keepNext w:val="0"/>
        <w:keepLines w:val="0"/>
        <w:pageBreakBefore w:val="0"/>
        <w:widowControl w:val="0"/>
        <w:numPr>
          <w:ilvl w:val="0"/>
          <w:numId w:val="16"/>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供方需在终验收前提供最新的设备程序源码、三维模型、机械图纸和电气图纸，图纸要求为可编辑原格式（EPLAN、CAD格式等）及PDF版本，且与实际一致。</w:t>
      </w:r>
    </w:p>
    <w:p>
      <w:pPr>
        <w:pStyle w:val="22"/>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lang w:val="en-US" w:eastAsia="zh-CN"/>
        </w:rPr>
        <w:t>8、</w:t>
      </w:r>
      <w:r>
        <w:rPr>
          <w:rFonts w:hint="eastAsia" w:asciiTheme="minorEastAsia" w:hAnsiTheme="minorEastAsia" w:eastAsiaTheme="minorEastAsia" w:cstheme="minorEastAsia"/>
          <w:b/>
          <w:bCs/>
          <w:color w:val="auto"/>
          <w:sz w:val="21"/>
          <w:szCs w:val="21"/>
        </w:rPr>
        <w:t>接口协议要求</w:t>
      </w:r>
    </w:p>
    <w:p>
      <w:pPr>
        <w:pStyle w:val="22"/>
        <w:keepNext w:val="0"/>
        <w:keepLines w:val="0"/>
        <w:pageBreakBefore w:val="0"/>
        <w:widowControl w:val="0"/>
        <w:numPr>
          <w:ilvl w:val="0"/>
          <w:numId w:val="17"/>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供方免费开放所有通讯接口，包括但不限于以太网、RS232、RS485、PROFIBUS、PROFINET等常见接口，以及设备特有的专用接口；</w:t>
      </w:r>
    </w:p>
    <w:p>
      <w:pPr>
        <w:pStyle w:val="22"/>
        <w:keepNext w:val="0"/>
        <w:keepLines w:val="0"/>
        <w:pageBreakBefore w:val="0"/>
        <w:widowControl w:val="0"/>
        <w:numPr>
          <w:ilvl w:val="0"/>
          <w:numId w:val="17"/>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供方免费提供数据交互功能，交互数据包括但不限于实时数据、历史数据、报警信息等；</w:t>
      </w:r>
    </w:p>
    <w:p>
      <w:pPr>
        <w:pStyle w:val="22"/>
        <w:keepNext w:val="0"/>
        <w:keepLines w:val="0"/>
        <w:pageBreakBefore w:val="0"/>
        <w:widowControl w:val="0"/>
        <w:numPr>
          <w:ilvl w:val="0"/>
          <w:numId w:val="17"/>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供方在设备入场前提供接口的技术文档和参数说明，包括但不限于接口协议、通讯速率、数据格式等；</w:t>
      </w:r>
    </w:p>
    <w:p>
      <w:pPr>
        <w:pStyle w:val="22"/>
        <w:keepNext w:val="0"/>
        <w:keepLines w:val="0"/>
        <w:pageBreakBefore w:val="0"/>
        <w:widowControl w:val="0"/>
        <w:numPr>
          <w:ilvl w:val="0"/>
          <w:numId w:val="17"/>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设备使用周期内，供方免费派遣技术人员与甲方调试团队共同进行设备通讯接口的调试工作；</w:t>
      </w:r>
    </w:p>
    <w:p>
      <w:pPr>
        <w:pStyle w:val="22"/>
        <w:keepNext w:val="0"/>
        <w:keepLines w:val="0"/>
        <w:pageBreakBefore w:val="0"/>
        <w:widowControl w:val="0"/>
        <w:numPr>
          <w:ilvl w:val="0"/>
          <w:numId w:val="17"/>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设备颜色等需与现场保持一致，满足现场生产一致性；</w:t>
      </w:r>
    </w:p>
    <w:p>
      <w:pPr>
        <w:pStyle w:val="22"/>
        <w:keepNext w:val="0"/>
        <w:keepLines w:val="0"/>
        <w:pageBreakBefore w:val="0"/>
        <w:widowControl w:val="0"/>
        <w:numPr>
          <w:ilvl w:val="0"/>
          <w:numId w:val="17"/>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设备安装调试包含网线和电路铺设。</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四、安全要求</w:t>
      </w:r>
    </w:p>
    <w:p>
      <w:pPr>
        <w:pStyle w:val="131"/>
        <w:keepNext w:val="0"/>
        <w:keepLines w:val="0"/>
        <w:pageBreakBefore w:val="0"/>
        <w:widowControl w:val="0"/>
        <w:kinsoku/>
        <w:wordWrap/>
        <w:overflowPunct/>
        <w:topLinePunct w:val="0"/>
        <w:autoSpaceDE/>
        <w:autoSpaceDN/>
        <w:bidi w:val="0"/>
        <w:adjustRightInd/>
        <w:snapToGrid/>
        <w:spacing w:line="480" w:lineRule="exact"/>
        <w:ind w:firstLine="480"/>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 安全可靠：合理配备安全防护措施、实时监测、系统报警；</w:t>
      </w:r>
    </w:p>
    <w:p>
      <w:pPr>
        <w:pStyle w:val="131"/>
        <w:keepNext w:val="0"/>
        <w:keepLines w:val="0"/>
        <w:pageBreakBefore w:val="0"/>
        <w:widowControl w:val="0"/>
        <w:kinsoku/>
        <w:wordWrap/>
        <w:overflowPunct/>
        <w:topLinePunct w:val="0"/>
        <w:autoSpaceDE/>
        <w:autoSpaceDN/>
        <w:bidi w:val="0"/>
        <w:adjustRightInd/>
        <w:snapToGrid/>
        <w:spacing w:line="480" w:lineRule="exact"/>
        <w:ind w:firstLine="480"/>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 安全防护、环境保护、节能要求应满足ISO及国家相关标准；</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五、供货要求</w:t>
      </w:r>
    </w:p>
    <w:p>
      <w:pPr>
        <w:pStyle w:val="22"/>
        <w:spacing w:line="360" w:lineRule="auto"/>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 供货范围包括货物为达到产品标准以及环保、消防和劳动安全卫生等国家法律、法规和标准、规范要求而必须配备但标书未明确提出的通风系统、近距离照明系统以及劳动安全防护设施（不包括人体防护用品）等使用现场配套的设备、材料等；</w:t>
      </w:r>
    </w:p>
    <w:p>
      <w:pPr>
        <w:pStyle w:val="22"/>
        <w:spacing w:line="360" w:lineRule="auto"/>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 供货范围包括货物正常运行所必需的全套连线设备、材料等。如货物端连接法兰外端面之内的、电气系统接口压线板（插座等）之内的设备、材料、连接螺栓、垫片等；</w:t>
      </w:r>
    </w:p>
    <w:p>
      <w:pPr>
        <w:pStyle w:val="22"/>
        <w:spacing w:line="360" w:lineRule="auto"/>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 供货范围包括货物正常运行、使用所需要的过桥、护栏、防护网、盖板等辅助设施；</w:t>
      </w:r>
    </w:p>
    <w:p>
      <w:pPr>
        <w:pStyle w:val="22"/>
        <w:spacing w:line="360" w:lineRule="auto"/>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 质保期终止之日起一年内重复出现的质保期之内出现的故障，仍属于质保范围而且应当免费；</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六、售中售后服务</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1. 应负责在买方设备使用现场，进行5工作日免费的技术指导和培训。</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2. 应免费提供培训资料2份。</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3. 若卖方提供的设备涉及到外购外协货物、而且该货物的技术质量等较为关键时，卖方应能保证得到配套厂家的技术支持，并免费为买方提供技术服务。</w:t>
      </w:r>
    </w:p>
    <w:p>
      <w:pPr>
        <w:adjustRightInd w:val="0"/>
        <w:snapToGrid w:val="0"/>
        <w:spacing w:line="460" w:lineRule="exact"/>
        <w:ind w:firstLine="420" w:firstLineChars="200"/>
        <w:rPr>
          <w:rFonts w:hint="eastAsia" w:ascii="Cambria Math" w:hAnsi="Cambria Math"/>
          <w:color w:val="auto"/>
        </w:rPr>
      </w:pPr>
      <w:r>
        <w:rPr>
          <w:rFonts w:hint="eastAsia" w:ascii="Cambria Math" w:hAnsi="Cambria Math"/>
          <w:color w:val="auto"/>
        </w:rPr>
        <w:t>4. 负责制定对买方人员在运行、维修等方面的培训计划，并有专人负责实施培训计划，负责指导买方受培训人员正确理解设计和制造意图，认识设备的特点和特性，掌握在运行、维修和使用管理中应遵守的规则等方面的综合知识。</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七、备件</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1</w:t>
      </w:r>
      <w:r>
        <w:rPr>
          <w:rFonts w:ascii="Cambria Math" w:hAnsi="Cambria Math"/>
          <w:color w:val="auto"/>
        </w:rPr>
        <w:t>.</w:t>
      </w:r>
      <w:r>
        <w:rPr>
          <w:rFonts w:hint="eastAsia" w:ascii="Cambria Math" w:hAnsi="Cambria Math"/>
          <w:color w:val="auto"/>
        </w:rPr>
        <w:t>备件内容包括但不限于：</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电器元件、气路附件及其它易损件。</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2</w:t>
      </w:r>
      <w:r>
        <w:rPr>
          <w:rFonts w:ascii="Cambria Math" w:hAnsi="Cambria Math"/>
          <w:color w:val="auto"/>
        </w:rPr>
        <w:t>.</w:t>
      </w:r>
      <w:r>
        <w:rPr>
          <w:rFonts w:hint="eastAsia" w:ascii="Cambria Math" w:hAnsi="Cambria Math"/>
          <w:color w:val="auto"/>
        </w:rPr>
        <w:t>在完成设备技术会签后，由买方确定具体备件清单及要求到货时间、卖方按清单提供。</w:t>
      </w:r>
    </w:p>
    <w:p>
      <w:pPr>
        <w:adjustRightInd w:val="0"/>
        <w:snapToGrid w:val="0"/>
        <w:spacing w:line="460" w:lineRule="exact"/>
        <w:ind w:firstLine="420" w:firstLineChars="200"/>
        <w:rPr>
          <w:rFonts w:hint="eastAsia" w:ascii="Cambria Math" w:hAnsi="Cambria Math"/>
          <w:color w:val="auto"/>
        </w:rPr>
      </w:pPr>
      <w:r>
        <w:rPr>
          <w:rFonts w:hint="eastAsia" w:ascii="Cambria Math" w:hAnsi="Cambria Math"/>
          <w:color w:val="auto"/>
        </w:rPr>
        <w:t>3</w:t>
      </w:r>
      <w:r>
        <w:rPr>
          <w:rFonts w:ascii="Cambria Math" w:hAnsi="Cambria Math"/>
          <w:color w:val="auto"/>
        </w:rPr>
        <w:t>.</w:t>
      </w:r>
      <w:r>
        <w:rPr>
          <w:rFonts w:hint="eastAsia" w:ascii="Cambria Math" w:hAnsi="Cambria Math"/>
          <w:color w:val="auto"/>
        </w:rPr>
        <w:t>卖方对备件价格核算时，应按照市场价格8</w:t>
      </w:r>
      <w:r>
        <w:rPr>
          <w:rFonts w:ascii="Cambria Math" w:hAnsi="Cambria Math"/>
          <w:color w:val="auto"/>
        </w:rPr>
        <w:t>5%</w:t>
      </w:r>
      <w:r>
        <w:rPr>
          <w:rFonts w:hint="eastAsia" w:ascii="Cambria Math" w:hAnsi="Cambria Math"/>
          <w:color w:val="auto"/>
        </w:rPr>
        <w:t>以下（含8</w:t>
      </w:r>
      <w:r>
        <w:rPr>
          <w:rFonts w:ascii="Cambria Math" w:hAnsi="Cambria Math"/>
          <w:color w:val="auto"/>
        </w:rPr>
        <w:t>5%</w:t>
      </w:r>
      <w:r>
        <w:rPr>
          <w:rFonts w:hint="eastAsia" w:ascii="Cambria Math" w:hAnsi="Cambria Math"/>
          <w:color w:val="auto"/>
        </w:rPr>
        <w:t>）对买方进行核算。</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八、其他</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1</w:t>
      </w:r>
      <w:r>
        <w:rPr>
          <w:rFonts w:hint="eastAsia" w:ascii="Cambria Math" w:hAnsi="Cambria Math"/>
          <w:color w:val="auto"/>
        </w:rPr>
        <w:t>. 投标人承诺对参与该项目所获得的与招标人产品相关的所有信息都予以保密，并承担与此相关的所有法律责任；</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2.</w:t>
      </w:r>
      <w:r>
        <w:rPr>
          <w:rFonts w:hint="eastAsia" w:ascii="Cambria Math" w:hAnsi="Cambria Math"/>
          <w:color w:val="auto"/>
        </w:rPr>
        <w:t xml:space="preserve"> 终验收合格后，质保期</w:t>
      </w:r>
      <w:r>
        <w:rPr>
          <w:rFonts w:hint="eastAsia" w:ascii="Cambria Math" w:hAnsi="Cambria Math"/>
          <w:color w:val="auto"/>
          <w:lang w:val="en-US" w:eastAsia="zh-CN"/>
        </w:rPr>
        <w:t>2</w:t>
      </w:r>
      <w:r>
        <w:rPr>
          <w:rFonts w:hint="eastAsia" w:ascii="Cambria Math" w:hAnsi="Cambria Math"/>
          <w:color w:val="auto"/>
        </w:rPr>
        <w:t>年。在正常运行的情况下，系统出现故障，在接到通知后</w:t>
      </w:r>
      <w:r>
        <w:rPr>
          <w:rFonts w:ascii="Cambria Math" w:hAnsi="Cambria Math"/>
          <w:color w:val="auto"/>
        </w:rPr>
        <w:t>4小时以内予以答复，并在24小时以内派出服务人员，无偿维修；在质保期满后，投标方在接到通知后4小时以内予以答复，并在24小时以内派出服务人员；</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3.</w:t>
      </w:r>
      <w:r>
        <w:rPr>
          <w:rFonts w:hint="eastAsia" w:ascii="Cambria Math" w:hAnsi="Cambria Math"/>
          <w:color w:val="auto"/>
        </w:rPr>
        <w:t xml:space="preserve"> 其余未尽事宜，投标人应与招标人指派的答疑人员充分沟通，理解认可并接受相关技术规范及服务要求；</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4.</w:t>
      </w:r>
      <w:r>
        <w:rPr>
          <w:rFonts w:hint="eastAsia" w:ascii="Cambria Math" w:hAnsi="Cambria Math"/>
          <w:color w:val="auto"/>
        </w:rPr>
        <w:t xml:space="preserve"> 中标人需安排专人负责本招标项目的联络、检测计划布置、检测现场指导工作，该负责人对于以上问题的响应时间不得超过</w:t>
      </w:r>
      <w:r>
        <w:rPr>
          <w:rFonts w:ascii="Cambria Math" w:hAnsi="Cambria Math"/>
          <w:color w:val="auto"/>
        </w:rPr>
        <w:t>2小时；</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5.</w:t>
      </w:r>
      <w:r>
        <w:rPr>
          <w:rFonts w:hint="eastAsia" w:ascii="Cambria Math" w:hAnsi="Cambria Math"/>
          <w:color w:val="auto"/>
        </w:rPr>
        <w:t xml:space="preserve"> 投标人需自备交通工具、各种设备及食宿等必需品；</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6.</w:t>
      </w:r>
      <w:r>
        <w:rPr>
          <w:rFonts w:hint="eastAsia" w:ascii="Cambria Math" w:hAnsi="Cambria Math"/>
          <w:color w:val="auto"/>
        </w:rPr>
        <w:t xml:space="preserve"> 中标方需对招标人提供的数据及企业资料进行保密，并不得向第三方扩散，因泄密对招标人造成的损失由中标方承担相应全部责任；</w:t>
      </w:r>
    </w:p>
    <w:p>
      <w:pPr>
        <w:pStyle w:val="13"/>
        <w:rPr>
          <w:rFonts w:hint="eastAsia"/>
          <w:color w:val="auto"/>
        </w:rPr>
      </w:pPr>
      <w:r>
        <w:rPr>
          <w:rFonts w:hint="eastAsia" w:hAnsi="宋体" w:cs="宋体"/>
          <w:color w:val="auto"/>
          <w:sz w:val="24"/>
        </w:rPr>
        <w:br w:type="page"/>
      </w:r>
    </w:p>
    <w:p>
      <w:pPr>
        <w:pStyle w:val="2"/>
        <w:spacing w:before="120" w:after="120" w:line="480" w:lineRule="exact"/>
        <w:jc w:val="center"/>
        <w:rPr>
          <w:rFonts w:hint="eastAsia" w:ascii="黑体" w:eastAsia="黑体"/>
          <w:b w:val="0"/>
          <w:color w:val="auto"/>
          <w:sz w:val="24"/>
          <w:szCs w:val="24"/>
        </w:rPr>
      </w:pPr>
      <w:bookmarkStart w:id="117" w:name="_Toc10963"/>
      <w:bookmarkStart w:id="118" w:name="_Toc137705869"/>
      <w:bookmarkStart w:id="119" w:name="_Toc5879"/>
      <w:bookmarkStart w:id="120" w:name="_Toc9668"/>
      <w:bookmarkStart w:id="121" w:name="_Toc10810"/>
      <w:r>
        <w:rPr>
          <w:rFonts w:hint="eastAsia" w:ascii="黑体" w:eastAsia="黑体"/>
          <w:b w:val="0"/>
          <w:color w:val="auto"/>
          <w:sz w:val="24"/>
          <w:szCs w:val="24"/>
        </w:rPr>
        <w:t>第三章  供货范围及供货方式</w:t>
      </w:r>
      <w:bookmarkEnd w:id="117"/>
      <w:bookmarkEnd w:id="118"/>
      <w:bookmarkEnd w:id="119"/>
      <w:bookmarkEnd w:id="120"/>
      <w:bookmarkEnd w:id="121"/>
    </w:p>
    <w:p>
      <w:pPr>
        <w:pStyle w:val="4"/>
        <w:spacing w:before="120" w:after="120" w:line="480" w:lineRule="exact"/>
        <w:jc w:val="center"/>
        <w:rPr>
          <w:rFonts w:hint="eastAsia"/>
          <w:b w:val="0"/>
          <w:color w:val="auto"/>
          <w:sz w:val="24"/>
          <w:szCs w:val="24"/>
        </w:rPr>
      </w:pPr>
      <w:bookmarkStart w:id="122" w:name="_Toc137705870"/>
      <w:bookmarkStart w:id="123" w:name="_Toc22761"/>
      <w:bookmarkStart w:id="124" w:name="_Toc19615"/>
      <w:bookmarkStart w:id="125" w:name="_Toc10065"/>
      <w:bookmarkStart w:id="126" w:name="_Toc15892"/>
      <w:r>
        <w:rPr>
          <w:rFonts w:hint="eastAsia"/>
          <w:b w:val="0"/>
          <w:color w:val="auto"/>
          <w:sz w:val="24"/>
          <w:szCs w:val="24"/>
        </w:rPr>
        <w:t>第一节  供货范围</w:t>
      </w:r>
      <w:bookmarkEnd w:id="122"/>
      <w:bookmarkEnd w:id="123"/>
      <w:bookmarkEnd w:id="124"/>
      <w:bookmarkEnd w:id="125"/>
      <w:bookmarkEnd w:id="126"/>
    </w:p>
    <w:p>
      <w:pPr>
        <w:spacing w:line="480" w:lineRule="exact"/>
        <w:ind w:firstLine="420" w:firstLineChars="200"/>
        <w:rPr>
          <w:rFonts w:hint="eastAsia" w:ascii="黑体" w:hAnsi="宋体" w:eastAsia="黑体"/>
          <w:color w:val="auto"/>
        </w:rPr>
      </w:pPr>
      <w:r>
        <w:rPr>
          <w:rFonts w:hint="eastAsia" w:ascii="黑体" w:hAnsi="宋体" w:eastAsia="黑体"/>
          <w:color w:val="auto"/>
        </w:rPr>
        <w:t>一、主要货物一般供货范围界定</w:t>
      </w:r>
    </w:p>
    <w:p>
      <w:pPr>
        <w:spacing w:line="480" w:lineRule="exact"/>
        <w:ind w:firstLine="420" w:firstLineChars="200"/>
        <w:rPr>
          <w:rFonts w:hint="eastAsia" w:ascii="宋体" w:hAnsi="宋体"/>
          <w:color w:val="auto"/>
        </w:rPr>
      </w:pPr>
      <w:r>
        <w:rPr>
          <w:rFonts w:hint="eastAsia" w:ascii="宋体" w:hAnsi="宋体"/>
          <w:color w:val="auto"/>
        </w:rPr>
        <w:t>1、供货范围包括本技术标书“采购货物概况” 所列及所要求的设备。</w:t>
      </w:r>
    </w:p>
    <w:p>
      <w:pPr>
        <w:spacing w:line="480" w:lineRule="exact"/>
        <w:ind w:firstLine="420" w:firstLineChars="200"/>
        <w:rPr>
          <w:rFonts w:hint="eastAsia" w:ascii="宋体" w:hAnsi="宋体"/>
          <w:color w:val="auto"/>
        </w:rPr>
      </w:pPr>
      <w:r>
        <w:rPr>
          <w:rFonts w:hint="eastAsia" w:ascii="宋体" w:hAnsi="宋体"/>
          <w:color w:val="auto"/>
        </w:rPr>
        <w:t>2、供货范围包括为保证设备正常安装、调试和验收完成及以前所必需的整套配件、附件及材料、油料、控制软件及程序或指令等。</w:t>
      </w:r>
    </w:p>
    <w:p>
      <w:pPr>
        <w:spacing w:line="480" w:lineRule="exact"/>
        <w:ind w:firstLine="420" w:firstLineChars="200"/>
        <w:rPr>
          <w:rFonts w:hint="eastAsia" w:ascii="宋体" w:hAnsi="宋体"/>
          <w:color w:val="auto"/>
        </w:rPr>
      </w:pPr>
      <w:r>
        <w:rPr>
          <w:rFonts w:hint="eastAsia" w:ascii="宋体" w:hAnsi="宋体"/>
          <w:color w:val="auto"/>
        </w:rPr>
        <w:t>如果终验收完成后，投标方有需要收回的配件、附件、材料、油料等，应当在投标文件的技术偏离条款中，予以详细说明；否则视同包括在供货范围之内。</w:t>
      </w:r>
    </w:p>
    <w:p>
      <w:pPr>
        <w:spacing w:line="480" w:lineRule="exact"/>
        <w:ind w:firstLine="420" w:firstLineChars="200"/>
        <w:rPr>
          <w:rFonts w:hint="eastAsia" w:ascii="宋体" w:hAnsi="宋体"/>
          <w:color w:val="auto"/>
        </w:rPr>
      </w:pPr>
      <w:r>
        <w:rPr>
          <w:rFonts w:hint="eastAsia" w:ascii="宋体" w:hAnsi="宋体"/>
          <w:color w:val="auto"/>
        </w:rPr>
        <w:t>3、供货范围包括货物维护维修所必需的专用工具。</w:t>
      </w:r>
    </w:p>
    <w:p>
      <w:pPr>
        <w:spacing w:line="480" w:lineRule="exact"/>
        <w:ind w:firstLine="420" w:firstLineChars="200"/>
        <w:rPr>
          <w:rFonts w:hint="eastAsia" w:ascii="宋体" w:hAnsi="宋体"/>
          <w:color w:val="auto"/>
        </w:rPr>
      </w:pPr>
      <w:r>
        <w:rPr>
          <w:rFonts w:hint="eastAsia" w:ascii="宋体" w:hAnsi="宋体"/>
          <w:color w:val="auto"/>
        </w:rPr>
        <w:t>4、供货范围包括设备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480" w:lineRule="exact"/>
        <w:ind w:firstLine="420" w:firstLineChars="200"/>
        <w:rPr>
          <w:rFonts w:hint="eastAsia" w:ascii="宋体" w:hAnsi="宋体"/>
          <w:color w:val="auto"/>
        </w:rPr>
      </w:pPr>
      <w:r>
        <w:rPr>
          <w:rFonts w:hint="eastAsia" w:ascii="宋体" w:hAnsi="宋体"/>
          <w:color w:val="auto"/>
        </w:rPr>
        <w:t>如投标方难以提供或无优势提供以及属于选用配置的，则应当在投标文件的技术偏离条款中，予以详细说明并注明投标报价未包含该部分的货值。</w:t>
      </w:r>
    </w:p>
    <w:p>
      <w:pPr>
        <w:spacing w:line="480" w:lineRule="exact"/>
        <w:ind w:firstLine="420" w:firstLineChars="200"/>
        <w:rPr>
          <w:rFonts w:hint="eastAsia" w:ascii="宋体" w:hAnsi="宋体"/>
          <w:color w:val="auto"/>
        </w:rPr>
      </w:pPr>
      <w:r>
        <w:rPr>
          <w:rFonts w:hint="eastAsia" w:ascii="宋体" w:hAnsi="宋体"/>
          <w:color w:val="auto"/>
        </w:rPr>
        <w:t>5、供货范围包括为保证设备自身正常运行所必需的、满足使用地点环境条件的通风、冷却、降温等必需设施。</w:t>
      </w:r>
    </w:p>
    <w:p>
      <w:pPr>
        <w:spacing w:line="480" w:lineRule="exact"/>
        <w:ind w:firstLine="420" w:firstLineChars="200"/>
        <w:rPr>
          <w:rFonts w:hint="eastAsia" w:ascii="宋体" w:hAnsi="宋体"/>
          <w:color w:val="auto"/>
        </w:rPr>
      </w:pPr>
      <w:r>
        <w:rPr>
          <w:rFonts w:hint="eastAsia" w:ascii="宋体" w:hAnsi="宋体"/>
          <w:color w:val="auto"/>
        </w:rPr>
        <w:t>6、以“交钥匙”方式采购的设备，在满足技术标书本节上述要求之外，供货范围还包括如下界定（货物）：</w:t>
      </w:r>
    </w:p>
    <w:p>
      <w:pPr>
        <w:spacing w:line="480" w:lineRule="exact"/>
        <w:ind w:firstLine="420" w:firstLineChars="200"/>
        <w:rPr>
          <w:rFonts w:hint="eastAsia" w:ascii="宋体" w:hAnsi="宋体"/>
          <w:color w:val="auto"/>
        </w:rPr>
      </w:pPr>
      <w:r>
        <w:rPr>
          <w:rFonts w:hint="eastAsia" w:ascii="宋体" w:hAnsi="宋体"/>
          <w:color w:val="auto"/>
        </w:rPr>
        <w:t>6.1  招标方只提设备所需的厂房以及砼基础；只提供符合本技术标书中“采购货物概况”和“使用环境”章节所列明品质的电力、自来水、压缩空气、蒸汽、天然气管线至系统接口，如：系统电力接口的接线端，水、气、汽等外围管线端联接法兰外端面。</w:t>
      </w:r>
    </w:p>
    <w:p>
      <w:pPr>
        <w:spacing w:line="480" w:lineRule="exact"/>
        <w:ind w:firstLine="420" w:firstLineChars="200"/>
        <w:rPr>
          <w:rFonts w:hint="eastAsia" w:ascii="宋体" w:hAnsi="宋体"/>
          <w:color w:val="auto"/>
        </w:rPr>
      </w:pPr>
      <w:r>
        <w:rPr>
          <w:rFonts w:hint="eastAsia" w:ascii="宋体" w:hAnsi="宋体"/>
          <w:color w:val="auto"/>
        </w:rPr>
        <w:t>6.2  供货范围包括设备正常运行所必需的全套连线设备、材料等。如货物端联接法兰外端面之内的、电气系统接口压线板（插座等）之内的设备、材料、联接螺栓、垫片等。</w:t>
      </w:r>
    </w:p>
    <w:p>
      <w:pPr>
        <w:spacing w:line="480" w:lineRule="exact"/>
        <w:ind w:firstLine="420" w:firstLineChars="200"/>
        <w:rPr>
          <w:rFonts w:hint="eastAsia" w:ascii="宋体" w:hAnsi="宋体"/>
          <w:color w:val="auto"/>
        </w:rPr>
      </w:pPr>
      <w:r>
        <w:rPr>
          <w:rFonts w:hint="eastAsia" w:ascii="宋体" w:hAnsi="宋体"/>
          <w:color w:val="auto"/>
        </w:rPr>
        <w:t>6.3  供货范围包括设备正常运行、使用所需要的过桥、护栏、防护网、盖板等辅助设施。</w:t>
      </w:r>
    </w:p>
    <w:p>
      <w:pPr>
        <w:spacing w:line="480" w:lineRule="exact"/>
        <w:ind w:firstLine="420" w:firstLineChars="200"/>
        <w:rPr>
          <w:rFonts w:hint="eastAsia" w:ascii="宋体" w:hAnsi="宋体"/>
          <w:color w:val="auto"/>
        </w:rPr>
      </w:pPr>
      <w:r>
        <w:rPr>
          <w:rFonts w:hint="eastAsia" w:ascii="宋体" w:hAnsi="宋体"/>
          <w:color w:val="auto"/>
        </w:rPr>
        <w:t>6.4  供货范围包括招标文件中无明确具体要求而投标方认为必须具备的其它货物。但是，在投标文件报价明细中，该部分货物单独报价（该报价含运杂费及税费等其它费用，而且不再作为其它报价涉及的其它费用的计算基数）。</w:t>
      </w:r>
    </w:p>
    <w:p>
      <w:pPr>
        <w:spacing w:line="480" w:lineRule="exact"/>
        <w:ind w:firstLine="420" w:firstLineChars="200"/>
        <w:rPr>
          <w:rFonts w:hint="eastAsia" w:ascii="黑体" w:hAnsi="宋体" w:eastAsia="黑体"/>
          <w:color w:val="auto"/>
        </w:rPr>
      </w:pPr>
      <w:r>
        <w:rPr>
          <w:rFonts w:hint="eastAsia" w:ascii="黑体" w:hAnsi="宋体" w:eastAsia="黑体"/>
          <w:color w:val="auto"/>
        </w:rPr>
        <w:t>二、备品备件、易损件和专用耗材供货范围</w:t>
      </w:r>
    </w:p>
    <w:p>
      <w:pPr>
        <w:spacing w:line="480" w:lineRule="exact"/>
        <w:ind w:firstLine="420" w:firstLineChars="200"/>
        <w:rPr>
          <w:rFonts w:hint="eastAsia" w:ascii="宋体" w:hAnsi="宋体"/>
          <w:color w:val="auto"/>
        </w:rPr>
      </w:pPr>
      <w:r>
        <w:rPr>
          <w:rFonts w:hint="eastAsia" w:ascii="宋体" w:hAnsi="宋体"/>
          <w:color w:val="auto"/>
        </w:rPr>
        <w:t>1、备品备件、易损件和专用耗材是招标方为保证设备质保期之后正常运行一年所自备自用的备品备件、易损件和专用耗材。质保期之内正常需要的备品备件、易损件和专用耗材全部包括在供货范围之内而不属于本条款界定的范围</w:t>
      </w:r>
      <w:r>
        <w:rPr>
          <w:rFonts w:hint="eastAsia" w:hAnsi="宋体" w:cs="宋体"/>
          <w:color w:val="auto"/>
        </w:rPr>
        <w:t>（应有明细）</w:t>
      </w:r>
      <w:r>
        <w:rPr>
          <w:rFonts w:hint="eastAsia" w:ascii="宋体" w:hAnsi="宋体"/>
          <w:color w:val="auto"/>
        </w:rPr>
        <w:t>。</w:t>
      </w:r>
    </w:p>
    <w:p>
      <w:pPr>
        <w:spacing w:line="480" w:lineRule="exact"/>
        <w:ind w:firstLine="420" w:firstLineChars="200"/>
        <w:rPr>
          <w:rFonts w:ascii="宋体" w:hAnsi="宋体"/>
          <w:color w:val="auto"/>
        </w:rPr>
      </w:pPr>
      <w:r>
        <w:rPr>
          <w:rFonts w:hint="eastAsia" w:ascii="宋体" w:hAnsi="宋体"/>
          <w:color w:val="auto"/>
        </w:rPr>
        <w:t>2、供货范围包括易损件和专用耗材的制造图纸及其技术要求等资料。</w:t>
      </w:r>
    </w:p>
    <w:p>
      <w:pPr>
        <w:spacing w:line="480" w:lineRule="exact"/>
        <w:ind w:firstLine="420" w:firstLineChars="200"/>
        <w:rPr>
          <w:rFonts w:hint="eastAsia" w:ascii="宋体" w:hAnsi="宋体"/>
          <w:color w:val="auto"/>
        </w:rPr>
      </w:pPr>
      <w:r>
        <w:rPr>
          <w:rFonts w:hint="eastAsia" w:ascii="宋体" w:hAnsi="宋体"/>
          <w:color w:val="auto"/>
        </w:rPr>
        <w:t>3、投标报价需包含投标额5</w:t>
      </w:r>
      <w:r>
        <w:rPr>
          <w:rFonts w:ascii="宋体" w:hAnsi="宋体"/>
          <w:color w:val="auto"/>
        </w:rPr>
        <w:t>%</w:t>
      </w:r>
      <w:r>
        <w:rPr>
          <w:rFonts w:hint="eastAsia" w:ascii="宋体" w:hAnsi="宋体"/>
          <w:color w:val="auto"/>
        </w:rPr>
        <w:t>的备件及易损件。</w:t>
      </w:r>
    </w:p>
    <w:p>
      <w:pPr>
        <w:spacing w:line="480" w:lineRule="exact"/>
        <w:ind w:firstLine="420" w:firstLineChars="200"/>
        <w:rPr>
          <w:rFonts w:hint="eastAsia" w:ascii="黑体" w:hAnsi="宋体" w:eastAsia="黑体"/>
          <w:color w:val="auto"/>
        </w:rPr>
      </w:pPr>
      <w:r>
        <w:rPr>
          <w:rFonts w:hint="eastAsia" w:ascii="黑体" w:hAnsi="宋体" w:eastAsia="黑体"/>
          <w:color w:val="auto"/>
        </w:rPr>
        <w:t>三、技术资料供货范围</w:t>
      </w:r>
    </w:p>
    <w:p>
      <w:pPr>
        <w:spacing w:line="480" w:lineRule="exact"/>
        <w:ind w:firstLine="420" w:firstLineChars="200"/>
        <w:rPr>
          <w:rFonts w:hint="eastAsia" w:ascii="宋体" w:hAnsi="宋体"/>
          <w:color w:val="auto"/>
        </w:rPr>
      </w:pPr>
      <w:r>
        <w:rPr>
          <w:rFonts w:hint="eastAsia" w:ascii="宋体" w:hAnsi="宋体"/>
          <w:color w:val="auto"/>
        </w:rPr>
        <w:t>技术资料供货范围包括：</w:t>
      </w:r>
    </w:p>
    <w:p>
      <w:pPr>
        <w:spacing w:line="480" w:lineRule="exact"/>
        <w:ind w:firstLine="420" w:firstLineChars="200"/>
        <w:rPr>
          <w:rFonts w:hint="eastAsia" w:ascii="宋体" w:hAnsi="宋体"/>
          <w:bCs/>
          <w:color w:val="auto"/>
        </w:rPr>
      </w:pPr>
      <w:r>
        <w:rPr>
          <w:rFonts w:hint="eastAsia" w:ascii="宋体" w:hAnsi="宋体"/>
          <w:color w:val="auto"/>
        </w:rPr>
        <w:t>1、在</w:t>
      </w:r>
      <w:r>
        <w:rPr>
          <w:rFonts w:hint="eastAsia" w:hAnsi="宋体" w:cs="宋体"/>
          <w:color w:val="auto"/>
        </w:rPr>
        <w:t>中标通知发出之</w:t>
      </w:r>
      <w:r>
        <w:rPr>
          <w:rFonts w:hint="eastAsia" w:ascii="宋体" w:hAnsi="宋体"/>
          <w:bCs/>
          <w:color w:val="auto"/>
        </w:rPr>
        <w:t>后</w:t>
      </w:r>
      <w:r>
        <w:rPr>
          <w:rFonts w:hint="eastAsia" w:ascii="宋体" w:hAnsi="宋体"/>
          <w:bCs/>
          <w:color w:val="auto"/>
          <w:u w:val="single"/>
          <w:shd w:val="pct10" w:color="auto" w:fill="FFFFFF"/>
        </w:rPr>
        <w:t xml:space="preserve">   15   </w:t>
      </w:r>
      <w:r>
        <w:rPr>
          <w:rFonts w:hint="eastAsia" w:ascii="宋体" w:hAnsi="宋体"/>
          <w:bCs/>
          <w:color w:val="auto"/>
        </w:rPr>
        <w:t>个日历日内，提供设备基础及相关的设计、制作所需的纸质及电子版资料；电子版文件应当能够使用常用版本软件可以阅读甚至使用，进口货物、设备应有中外文对照。</w:t>
      </w:r>
    </w:p>
    <w:p>
      <w:pPr>
        <w:spacing w:line="480" w:lineRule="exact"/>
        <w:ind w:firstLine="420" w:firstLineChars="200"/>
        <w:rPr>
          <w:rFonts w:hint="eastAsia" w:ascii="宋体" w:hAnsi="宋体"/>
          <w:color w:val="auto"/>
        </w:rPr>
      </w:pPr>
      <w:r>
        <w:rPr>
          <w:rFonts w:hint="eastAsia" w:ascii="宋体" w:hAnsi="宋体"/>
          <w:color w:val="auto"/>
        </w:rPr>
        <w:t>2、在预验收前，</w:t>
      </w:r>
      <w:r>
        <w:rPr>
          <w:rFonts w:hint="eastAsia" w:ascii="宋体" w:hAnsi="宋体"/>
          <w:bCs/>
          <w:color w:val="auto"/>
        </w:rPr>
        <w:t>提供设备各部分的功能描述文件、图片、影像等资料（进口、设备应有中外文对照）。</w:t>
      </w:r>
    </w:p>
    <w:p>
      <w:pPr>
        <w:spacing w:line="480" w:lineRule="exact"/>
        <w:ind w:firstLine="420" w:firstLineChars="200"/>
        <w:rPr>
          <w:rFonts w:hint="eastAsia" w:ascii="宋体" w:hAnsi="宋体"/>
          <w:color w:val="auto"/>
        </w:rPr>
      </w:pPr>
      <w:r>
        <w:rPr>
          <w:rFonts w:hint="eastAsia" w:ascii="宋体" w:hAnsi="宋体"/>
          <w:color w:val="auto"/>
        </w:rPr>
        <w:t>3、在终验收前，提供为保证设备后续正常运行所需的工装、吊（挂）具明细及其图纸、具体技术要求等资料（如果供货范围包含该部分实物）。</w:t>
      </w:r>
    </w:p>
    <w:p>
      <w:pPr>
        <w:spacing w:line="480" w:lineRule="exact"/>
        <w:ind w:firstLine="420" w:firstLineChars="200"/>
        <w:rPr>
          <w:rFonts w:hint="eastAsia" w:ascii="宋体" w:hAnsi="宋体"/>
          <w:color w:val="auto"/>
        </w:rPr>
      </w:pPr>
      <w:r>
        <w:rPr>
          <w:rFonts w:hint="eastAsia" w:ascii="宋体" w:hAnsi="宋体"/>
          <w:color w:val="auto"/>
        </w:rPr>
        <w:t>4、在终验收前，提供确定的维修所需要且招标方可以自行采购的外购件、外协件、电气元件及主要原材料的供货厂家明细表。</w:t>
      </w:r>
    </w:p>
    <w:p>
      <w:pPr>
        <w:spacing w:line="480" w:lineRule="exact"/>
        <w:ind w:firstLine="420" w:firstLineChars="200"/>
        <w:rPr>
          <w:rFonts w:hint="eastAsia" w:ascii="宋体" w:hAnsi="宋体"/>
          <w:color w:val="auto"/>
        </w:rPr>
      </w:pPr>
      <w:r>
        <w:rPr>
          <w:rFonts w:hint="eastAsia" w:ascii="宋体" w:hAnsi="宋体"/>
          <w:color w:val="auto"/>
        </w:rPr>
        <w:t>5、在终验收后的第一笔货款支付日之前，提供包括设备的备品备件、易损件和专用耗材的图纸及技术参数、技术要求等资料。</w:t>
      </w:r>
    </w:p>
    <w:p>
      <w:pPr>
        <w:spacing w:line="480" w:lineRule="exact"/>
        <w:ind w:firstLine="420" w:firstLineChars="200"/>
        <w:rPr>
          <w:rFonts w:hint="eastAsia" w:ascii="宋体" w:hAnsi="宋体"/>
          <w:color w:val="auto"/>
        </w:rPr>
      </w:pPr>
      <w:r>
        <w:rPr>
          <w:rFonts w:hint="eastAsia" w:ascii="宋体" w:hAnsi="宋体"/>
          <w:color w:val="auto"/>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480" w:lineRule="exact"/>
        <w:ind w:firstLine="420" w:firstLineChars="200"/>
        <w:rPr>
          <w:rFonts w:hint="eastAsia" w:ascii="宋体" w:hAnsi="宋体"/>
          <w:color w:val="auto"/>
        </w:rPr>
      </w:pPr>
      <w:r>
        <w:rPr>
          <w:rFonts w:hint="eastAsia" w:ascii="宋体" w:hAnsi="宋体"/>
          <w:color w:val="auto"/>
        </w:rPr>
        <w:t>7、在终验收后的第一笔货款支付日之前，提供关于采购设备的电气资料（包括接线图、原理图、布线图、梯形图等）、液压（气动）原理图和系统图、安装基础图、维修图等有关的资料（含图片和影像等资料）；非标准货物应提供整套设备3D模型、设计总图、全线布置图、部件装配图、工装夹具全套零件图纸等详细资料；对于进口设备，应有中外文资料说明。</w:t>
      </w:r>
    </w:p>
    <w:p>
      <w:pPr>
        <w:spacing w:line="480" w:lineRule="exact"/>
        <w:ind w:firstLine="420" w:firstLineChars="200"/>
        <w:rPr>
          <w:rFonts w:hint="eastAsia" w:ascii="宋体" w:hAnsi="宋体"/>
          <w:color w:val="auto"/>
        </w:rPr>
      </w:pPr>
      <w:r>
        <w:rPr>
          <w:rFonts w:hint="eastAsia" w:ascii="宋体" w:hAnsi="宋体"/>
          <w:color w:val="auto"/>
        </w:rPr>
        <w:t>8、本条款所列的技术资料、图片、影像等，投标方应各提供4套，其中2套为电子版光（U）盘；每份技术文件应装有目录清单。</w:t>
      </w:r>
    </w:p>
    <w:p>
      <w:pPr>
        <w:spacing w:line="480" w:lineRule="exact"/>
        <w:ind w:firstLine="420" w:firstLineChars="200"/>
        <w:rPr>
          <w:rFonts w:hint="eastAsia" w:ascii="宋体" w:hAnsi="宋体"/>
          <w:color w:val="auto"/>
        </w:rPr>
      </w:pPr>
      <w:r>
        <w:rPr>
          <w:rFonts w:hint="eastAsia" w:ascii="宋体" w:hAnsi="宋体"/>
          <w:color w:val="auto"/>
        </w:rPr>
        <w:t>9、本条款所列要求，如招标方认为投标方提供的资料不能满足要求时，有权要求投标方免费补充或增加。</w:t>
      </w:r>
    </w:p>
    <w:p>
      <w:pPr>
        <w:pStyle w:val="4"/>
        <w:spacing w:before="120" w:after="120" w:line="480" w:lineRule="exact"/>
        <w:jc w:val="center"/>
        <w:rPr>
          <w:rFonts w:hint="eastAsia"/>
          <w:b w:val="0"/>
          <w:color w:val="auto"/>
          <w:sz w:val="24"/>
          <w:szCs w:val="24"/>
        </w:rPr>
      </w:pPr>
      <w:bookmarkStart w:id="127" w:name="_Toc8159"/>
      <w:bookmarkStart w:id="128" w:name="_Toc13936"/>
      <w:bookmarkStart w:id="129" w:name="_Toc137705871"/>
      <w:bookmarkStart w:id="130" w:name="_Toc26064"/>
      <w:bookmarkStart w:id="131" w:name="_Toc9858"/>
      <w:r>
        <w:rPr>
          <w:rFonts w:hint="eastAsia"/>
          <w:b w:val="0"/>
          <w:color w:val="auto"/>
          <w:sz w:val="24"/>
          <w:szCs w:val="24"/>
        </w:rPr>
        <w:t>第二节  供货方式</w:t>
      </w:r>
      <w:bookmarkEnd w:id="127"/>
      <w:bookmarkEnd w:id="128"/>
      <w:bookmarkEnd w:id="129"/>
      <w:bookmarkEnd w:id="130"/>
      <w:bookmarkEnd w:id="131"/>
    </w:p>
    <w:p>
      <w:pPr>
        <w:spacing w:line="480" w:lineRule="exact"/>
        <w:ind w:firstLine="420" w:firstLineChars="200"/>
        <w:rPr>
          <w:rFonts w:hint="eastAsia" w:ascii="宋体" w:hAnsi="宋体"/>
          <w:color w:val="auto"/>
        </w:rPr>
      </w:pPr>
      <w:r>
        <w:rPr>
          <w:rFonts w:hint="eastAsia" w:ascii="黑体" w:hAnsi="宋体" w:eastAsia="黑体"/>
          <w:color w:val="auto"/>
        </w:rPr>
        <w:t>一、供货地点：</w:t>
      </w:r>
      <w:r>
        <w:rPr>
          <w:rFonts w:hint="eastAsia" w:ascii="宋体" w:hAnsi="宋体" w:eastAsia="宋体" w:cs="宋体"/>
          <w:color w:val="auto"/>
          <w:lang w:val="en-US" w:eastAsia="zh-CN"/>
        </w:rPr>
        <w:t>中国重汽集团济南特种车有限公司</w:t>
      </w:r>
      <w:r>
        <w:rPr>
          <w:rFonts w:hint="eastAsia" w:ascii="宋体" w:hAnsi="宋体" w:cs="宋体"/>
          <w:color w:val="auto"/>
          <w:lang w:val="en-US" w:eastAsia="zh-CN"/>
        </w:rPr>
        <w:t>总七车间</w:t>
      </w:r>
      <w:r>
        <w:rPr>
          <w:rFonts w:hint="eastAsia" w:ascii="宋体" w:hAnsi="宋体" w:eastAsia="宋体" w:cs="宋体"/>
          <w:color w:val="auto"/>
        </w:rPr>
        <w:t>。</w:t>
      </w:r>
    </w:p>
    <w:p>
      <w:pPr>
        <w:spacing w:line="480" w:lineRule="exact"/>
        <w:ind w:firstLine="420" w:firstLineChars="200"/>
        <w:jc w:val="left"/>
        <w:rPr>
          <w:rFonts w:hint="eastAsia" w:ascii="黑体" w:hAnsi="宋体" w:eastAsia="黑体"/>
          <w:color w:val="auto"/>
        </w:rPr>
      </w:pPr>
      <w:r>
        <w:rPr>
          <w:rFonts w:hint="eastAsia" w:ascii="黑体" w:hAnsi="宋体" w:eastAsia="黑体"/>
          <w:color w:val="auto"/>
        </w:rPr>
        <w:t>二、供货时间</w:t>
      </w:r>
    </w:p>
    <w:p>
      <w:pPr>
        <w:spacing w:line="480" w:lineRule="exact"/>
        <w:ind w:firstLine="420" w:firstLineChars="200"/>
        <w:jc w:val="left"/>
        <w:rPr>
          <w:rFonts w:hint="eastAsia" w:ascii="宋体" w:hAnsi="宋体"/>
          <w:color w:val="auto"/>
        </w:rPr>
      </w:pPr>
      <w:r>
        <w:rPr>
          <w:rFonts w:hint="eastAsia" w:ascii="宋体" w:hAnsi="宋体"/>
          <w:color w:val="auto"/>
        </w:rPr>
        <w:t>1、以交钥匙方式供货的，按照以下时间要求（安装调试工期超过10个日历日的，投标方应当随标书提供详细的工期计划）：</w:t>
      </w:r>
    </w:p>
    <w:p>
      <w:pPr>
        <w:spacing w:line="480" w:lineRule="exact"/>
        <w:ind w:firstLine="420" w:firstLineChars="200"/>
        <w:jc w:val="left"/>
        <w:rPr>
          <w:rFonts w:hint="eastAsia" w:ascii="宋体" w:hAnsi="宋体"/>
          <w:color w:val="auto"/>
        </w:rPr>
      </w:pPr>
      <w:r>
        <w:rPr>
          <w:rFonts w:hint="eastAsia" w:ascii="宋体" w:hAnsi="宋体"/>
          <w:color w:val="auto"/>
        </w:rPr>
        <w:t>1.1  自</w:t>
      </w:r>
      <w:r>
        <w:rPr>
          <w:rFonts w:hint="eastAsia" w:hAnsi="宋体" w:cs="宋体"/>
          <w:color w:val="auto"/>
        </w:rPr>
        <w:t>中标通知发出之日</w:t>
      </w:r>
      <w:r>
        <w:rPr>
          <w:rFonts w:hint="eastAsia" w:ascii="宋体" w:hAnsi="宋体"/>
          <w:color w:val="auto"/>
        </w:rPr>
        <w:t>起，</w:t>
      </w:r>
      <w:r>
        <w:rPr>
          <w:rFonts w:hint="eastAsia" w:ascii="宋体" w:hAnsi="宋体"/>
          <w:color w:val="auto"/>
          <w:u w:val="single"/>
          <w:shd w:val="pct10" w:color="auto" w:fill="FFFFFF"/>
          <w:lang w:val="en-US" w:eastAsia="zh-CN"/>
        </w:rPr>
        <w:t>90</w:t>
      </w:r>
      <w:r>
        <w:rPr>
          <w:rFonts w:hint="eastAsia" w:ascii="宋体" w:hAnsi="宋体"/>
          <w:color w:val="auto"/>
        </w:rPr>
        <w:t>个日历日之内交货至供货地点。</w:t>
      </w:r>
    </w:p>
    <w:p>
      <w:pPr>
        <w:spacing w:line="480" w:lineRule="exact"/>
        <w:ind w:firstLine="420" w:firstLineChars="200"/>
        <w:jc w:val="left"/>
        <w:rPr>
          <w:rFonts w:hint="eastAsia" w:ascii="宋体" w:hAnsi="宋体"/>
          <w:color w:val="auto"/>
        </w:rPr>
      </w:pPr>
      <w:r>
        <w:rPr>
          <w:rFonts w:hint="eastAsia" w:ascii="宋体" w:hAnsi="宋体"/>
          <w:color w:val="auto"/>
        </w:rPr>
        <w:t>1.2  接续</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20</w:t>
      </w:r>
      <w:r>
        <w:rPr>
          <w:rFonts w:hint="eastAsia" w:ascii="宋体" w:hAnsi="宋体"/>
          <w:color w:val="auto"/>
          <w:u w:val="single"/>
          <w:shd w:val="pct10" w:color="auto" w:fill="FFFFFF"/>
        </w:rPr>
        <w:t xml:space="preserve"> </w:t>
      </w:r>
      <w:r>
        <w:rPr>
          <w:rFonts w:hint="eastAsia" w:ascii="宋体" w:hAnsi="宋体"/>
          <w:color w:val="auto"/>
        </w:rPr>
        <w:t>个日历日之内安装调试完毕。</w:t>
      </w:r>
    </w:p>
    <w:p>
      <w:pPr>
        <w:spacing w:line="480" w:lineRule="exact"/>
        <w:ind w:firstLine="420" w:firstLineChars="200"/>
        <w:jc w:val="left"/>
        <w:rPr>
          <w:rFonts w:hint="eastAsia" w:ascii="黑体" w:hAnsi="宋体" w:eastAsia="黑体"/>
          <w:color w:val="auto"/>
        </w:rPr>
      </w:pPr>
      <w:r>
        <w:rPr>
          <w:rFonts w:hint="eastAsia" w:ascii="黑体" w:hAnsi="宋体" w:eastAsia="黑体"/>
          <w:color w:val="auto"/>
        </w:rPr>
        <w:t>三、质保期及质保要求</w:t>
      </w:r>
    </w:p>
    <w:p>
      <w:pPr>
        <w:spacing w:line="480" w:lineRule="exact"/>
        <w:ind w:firstLine="420" w:firstLineChars="200"/>
        <w:jc w:val="left"/>
        <w:rPr>
          <w:rFonts w:hint="eastAsia" w:ascii="宋体" w:hAnsi="宋体"/>
          <w:color w:val="auto"/>
        </w:rPr>
      </w:pPr>
      <w:r>
        <w:rPr>
          <w:rFonts w:hint="eastAsia" w:ascii="宋体" w:hAnsi="宋体"/>
          <w:color w:val="auto"/>
        </w:rPr>
        <w:t>1、全部供货范围内的设备、材料、零配件和工器具等，除合同特别约定外，其质保期均自终验收签字生效之日起</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12</w:t>
      </w:r>
      <w:r>
        <w:rPr>
          <w:rFonts w:hint="eastAsia" w:ascii="宋体" w:hAnsi="宋体"/>
          <w:color w:val="auto"/>
          <w:u w:val="single"/>
          <w:shd w:val="pct10" w:color="auto" w:fill="FFFFFF"/>
        </w:rPr>
        <w:t xml:space="preserve">  </w:t>
      </w:r>
      <w:r>
        <w:rPr>
          <w:rFonts w:hint="eastAsia" w:ascii="宋体" w:hAnsi="宋体"/>
          <w:color w:val="auto"/>
        </w:rPr>
        <w:t>个月。</w:t>
      </w:r>
    </w:p>
    <w:p>
      <w:pPr>
        <w:spacing w:line="480" w:lineRule="exact"/>
        <w:ind w:firstLine="420" w:firstLineChars="200"/>
        <w:jc w:val="left"/>
        <w:rPr>
          <w:rFonts w:hint="eastAsia" w:ascii="宋体" w:hAnsi="宋体"/>
          <w:color w:val="auto"/>
        </w:rPr>
      </w:pPr>
      <w:r>
        <w:rPr>
          <w:rFonts w:hint="eastAsia" w:ascii="宋体" w:hAnsi="宋体"/>
          <w:color w:val="auto"/>
        </w:rPr>
        <w:t>投标货物或涉及的关键总成和零件，如果有更长时间质保期，允许更改并说明，此将有利于投标方。</w:t>
      </w:r>
    </w:p>
    <w:p>
      <w:pPr>
        <w:spacing w:line="480" w:lineRule="exact"/>
        <w:ind w:firstLine="420" w:firstLineChars="200"/>
        <w:jc w:val="left"/>
        <w:rPr>
          <w:rFonts w:hint="eastAsia" w:ascii="宋体" w:hAnsi="宋体"/>
          <w:color w:val="auto"/>
        </w:rPr>
      </w:pPr>
      <w:r>
        <w:rPr>
          <w:rFonts w:hint="eastAsia" w:ascii="宋体" w:hAnsi="宋体"/>
          <w:color w:val="auto"/>
        </w:rPr>
        <w:t>设计使用寿命短于质保期的易损件除外，但属于易损件的，应当有明确说明。</w:t>
      </w:r>
    </w:p>
    <w:p>
      <w:pPr>
        <w:spacing w:line="480" w:lineRule="exact"/>
        <w:ind w:firstLine="420" w:firstLineChars="200"/>
        <w:jc w:val="left"/>
        <w:rPr>
          <w:rFonts w:hint="eastAsia" w:ascii="宋体" w:hAnsi="宋体"/>
          <w:color w:val="auto"/>
        </w:rPr>
      </w:pPr>
      <w:r>
        <w:rPr>
          <w:rFonts w:hint="eastAsia" w:ascii="宋体" w:hAnsi="宋体"/>
          <w:color w:val="auto"/>
        </w:rPr>
        <w:t>2、质保期之内，如果设备出现设备、总成、关键零部件或者多处一般零部件的更换或维修行为，则质保期自更换或维修行为结束、设备重新正常运行使用之日起重新计算。</w:t>
      </w:r>
    </w:p>
    <w:p>
      <w:pPr>
        <w:spacing w:line="480" w:lineRule="exact"/>
        <w:ind w:firstLine="420" w:firstLineChars="200"/>
        <w:jc w:val="left"/>
        <w:rPr>
          <w:rFonts w:hint="eastAsia" w:ascii="宋体" w:hAnsi="宋体"/>
          <w:color w:val="auto"/>
        </w:rPr>
      </w:pPr>
      <w:r>
        <w:rPr>
          <w:rFonts w:hint="eastAsia" w:ascii="宋体" w:hAnsi="宋体"/>
          <w:color w:val="auto"/>
        </w:rPr>
        <w:t>3、质保期内免费提供零部件和及时有效的服务。质保期内因货物本身缺陷造成的各种故障，投标方应负责免费维修和服务。</w:t>
      </w:r>
    </w:p>
    <w:p>
      <w:pPr>
        <w:spacing w:line="480" w:lineRule="exact"/>
        <w:ind w:firstLine="420" w:firstLineChars="200"/>
        <w:jc w:val="left"/>
        <w:rPr>
          <w:rFonts w:hint="eastAsia" w:ascii="宋体" w:hAnsi="宋体"/>
          <w:color w:val="auto"/>
        </w:rPr>
      </w:pPr>
      <w:r>
        <w:rPr>
          <w:rFonts w:hint="eastAsia" w:ascii="宋体" w:hAnsi="宋体"/>
          <w:color w:val="auto"/>
        </w:rPr>
        <w:t>4、质保期终止之日起1</w:t>
      </w:r>
      <w:r>
        <w:rPr>
          <w:rFonts w:hint="eastAsia" w:ascii="宋体" w:hAnsi="宋体"/>
          <w:color w:val="auto"/>
          <w:lang w:val="en-US" w:eastAsia="zh-CN"/>
        </w:rPr>
        <w:t>2</w:t>
      </w:r>
      <w:r>
        <w:rPr>
          <w:rFonts w:hint="eastAsia" w:ascii="宋体" w:hAnsi="宋体"/>
          <w:color w:val="auto"/>
        </w:rPr>
        <w:t>个月内重复出现的质保期之内出现的故障，仍属质保范围而且应当免费。</w:t>
      </w:r>
    </w:p>
    <w:p>
      <w:pPr>
        <w:spacing w:line="480" w:lineRule="exact"/>
        <w:ind w:firstLine="420" w:firstLineChars="200"/>
        <w:rPr>
          <w:rFonts w:hint="eastAsia" w:ascii="黑体" w:hAnsi="宋体" w:eastAsia="黑体"/>
          <w:color w:val="auto"/>
        </w:rPr>
      </w:pPr>
      <w:r>
        <w:rPr>
          <w:rFonts w:hint="eastAsia" w:ascii="黑体" w:hAnsi="宋体" w:eastAsia="黑体"/>
          <w:color w:val="auto"/>
        </w:rPr>
        <w:t>四、包装</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1、所提供设备的包装，应遵照国家标准和有关包装、包皮的技术条件，或按照最好的商业惯例进行包装。</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3、所提供设备的包装，应能防止其一般性被窃或受外力破坏；一般不得采用有大缝隙的板条包装。</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4、应对包装件做必要的加固和固定，以防止运输可能造成的损坏。</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5、每个包装件应有装箱单，并至少标明名称、型号规格、数量、净重和毛重、投标方（或供货商）名称和制造日期等相关内容。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6、每个包装箱应有明显标志，并具有中文书写的合同号、装运标志、发货和到货地点名称、发货人和收货人名称、设备名称和项目号、箱号和外型尺寸等内容。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7、应按照不同的装运要求在包装箱上标明“小心轻放”、“箭头向上”、“防潮”、“防磁”、“不准平放”等标志，以及其它适用的国标通用标志。</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8、包装箱应连续编号，不应出现重复编号。</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9、在不受到外界破坏情况下，包装应保证自交货日起一年内货物（或设备）完好无损。</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五、运输</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1、应负责将设备运到目的地，并必须做到设备在任何运输过程中不受损坏和遗失。</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2、同批设备应统一包装、编号运输。</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3、一般情况下，经由铁路、公路运输的包装件尺寸和重量不应超过国家所规定的尺寸限制。特殊情况应予以说明。</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4、在每批设备发出后，应立即通知招标方；通知中应指明：合同号、货运单号、件数、重量和设备发出日期等相关内容。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5、设备运抵交货地点后，应负责货物（或设备）的卸货、搬运、保管等事宜；或按照合同约定。</w:t>
      </w:r>
    </w:p>
    <w:p>
      <w:pPr>
        <w:pStyle w:val="2"/>
        <w:spacing w:before="120" w:after="120" w:line="480" w:lineRule="exact"/>
        <w:jc w:val="center"/>
        <w:rPr>
          <w:rFonts w:hint="eastAsia" w:ascii="黑体" w:eastAsia="黑体"/>
          <w:b w:val="0"/>
          <w:color w:val="auto"/>
          <w:sz w:val="24"/>
          <w:szCs w:val="24"/>
        </w:rPr>
      </w:pPr>
      <w:r>
        <w:rPr>
          <w:rFonts w:ascii="宋体" w:hAnsi="宋体"/>
          <w:color w:val="auto"/>
        </w:rPr>
        <w:br w:type="page"/>
      </w:r>
      <w:bookmarkStart w:id="132" w:name="_Toc2931"/>
      <w:bookmarkStart w:id="133" w:name="_Toc30960"/>
      <w:bookmarkStart w:id="134" w:name="_Toc9796"/>
      <w:bookmarkStart w:id="135" w:name="_Toc137705872"/>
      <w:bookmarkStart w:id="136" w:name="_Toc28593"/>
      <w:r>
        <w:rPr>
          <w:rFonts w:hint="eastAsia" w:ascii="黑体" w:eastAsia="黑体"/>
          <w:b w:val="0"/>
          <w:bCs w:val="0"/>
          <w:color w:val="auto"/>
          <w:sz w:val="24"/>
          <w:szCs w:val="24"/>
        </w:rPr>
        <w:t>第四章  售中售后服务</w:t>
      </w:r>
      <w:bookmarkEnd w:id="132"/>
      <w:bookmarkEnd w:id="133"/>
      <w:bookmarkEnd w:id="134"/>
      <w:bookmarkEnd w:id="135"/>
      <w:bookmarkEnd w:id="136"/>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一、技术及培训服务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1、应负责对招标方</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2</w:t>
      </w:r>
      <w:r>
        <w:rPr>
          <w:rFonts w:hint="eastAsia" w:ascii="宋体" w:hAnsi="宋体"/>
          <w:color w:val="auto"/>
          <w:u w:val="single"/>
          <w:shd w:val="pct10" w:color="auto" w:fill="FFFFFF"/>
        </w:rPr>
        <w:t xml:space="preserve">  </w:t>
      </w:r>
      <w:r>
        <w:rPr>
          <w:rFonts w:hint="eastAsia" w:ascii="宋体" w:hAnsi="宋体"/>
          <w:color w:val="auto"/>
        </w:rPr>
        <w:t>名及以上技术、维修和操作人员提供不少于</w:t>
      </w:r>
      <w:r>
        <w:rPr>
          <w:rFonts w:hint="eastAsia" w:ascii="宋体" w:hAnsi="宋体"/>
          <w:color w:val="auto"/>
          <w:u w:val="single"/>
          <w:shd w:val="pct10" w:color="auto" w:fill="FFFFFF"/>
        </w:rPr>
        <w:t xml:space="preserve">   2  </w:t>
      </w:r>
      <w:r>
        <w:rPr>
          <w:rFonts w:hint="eastAsia" w:ascii="宋体" w:hAnsi="宋体"/>
          <w:color w:val="auto"/>
        </w:rPr>
        <w:t>个日历日的免费的、招标方生产制造现场的理论、技术和操作、维修等方面的技术指导和培训,提供免费的2人在机器人工厂的标准培训，培训内容包括</w:t>
      </w:r>
      <w:r>
        <w:rPr>
          <w:rFonts w:hint="eastAsia"/>
          <w:color w:val="auto"/>
          <w:lang w:val="zh-CN"/>
        </w:rPr>
        <w:t>机器人编程及简单维护培训、电气培训。</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2、应负责在招标方设备使用现场，进行1～2次免费的技术指导和培训，并接受招标方有关人员的技术咨询。</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3、应免费提供一定数量的培训资料。</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4、应按要求免费积极协助和提供招标方以及招标方所委托的工程设计单位有关人员所需要的、与设备有关的工程设计资料、技术咨询等。</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5、若投标方提供的设备涉及到外购外协货物、而且该货物的技术质量等较为关键时，投标方应能保证得到配套厂家的技术支持，并免费为招标方提供技术服务。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二、安装调试及验收服务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2、若投标方提供的设备涉及到外购外协货物、而且该货物的技术质量等较为关键时，应保证能得到供应商的技术支持，并免费为招标方提供安装使用现场的指导与培训。</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根据设备的要求，调试及验收可分空载和负载两个阶段进行；招标方将积极协助投标方达到设备的各项技术指标和性能要求。投标方在招标方现场进行的货物的安装、调试和试运行，招标方有权参与，投标方应无条件向招标方提供现场记录和试运行数据及报告。</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5、投标方应当向招标方提供货物试验、验收的有关标准、规范和方法，同时提供货物涉及并使用的软件合法性证明。</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6、服务缺陷视同货物缺陷和履约延期。</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三、售后服务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1、投标方提供的设备涉及的所有售后服务均由投标方负责。如果发生问题并且收到通知，投标方应当在2小时内予以答复。</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2、如发现所提供的设备存在问题，需要投标方解决或配合解决时：在质保期之内，应在接到通知后</w:t>
      </w:r>
      <w:r>
        <w:rPr>
          <w:rFonts w:hint="eastAsia" w:ascii="宋体" w:hAnsi="宋体"/>
          <w:color w:val="auto"/>
          <w:u w:val="single"/>
          <w:shd w:val="pct10" w:color="auto" w:fill="FFFFFF"/>
        </w:rPr>
        <w:t xml:space="preserve">  24    </w:t>
      </w:r>
      <w:r>
        <w:rPr>
          <w:rFonts w:hint="eastAsia" w:ascii="宋体" w:hAnsi="宋体"/>
          <w:color w:val="auto"/>
        </w:rPr>
        <w:t>小时内派有关人员到达现场；在质保期之外，应在接到通知后</w:t>
      </w:r>
      <w:r>
        <w:rPr>
          <w:rFonts w:hint="eastAsia" w:ascii="宋体" w:hAnsi="宋体"/>
          <w:color w:val="auto"/>
          <w:u w:val="single"/>
          <w:shd w:val="pct10" w:color="auto" w:fill="FFFFFF"/>
        </w:rPr>
        <w:t xml:space="preserve">  24   </w:t>
      </w:r>
      <w:r>
        <w:rPr>
          <w:rFonts w:hint="eastAsia" w:ascii="宋体" w:hAnsi="宋体"/>
          <w:color w:val="auto"/>
        </w:rPr>
        <w:t>小时内派有关人员到达现场。</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3、投标方派往招标方使用现场的人员，应具有较高的业务素质；现场解决问题时，不得无故拖延或推迟，应为招标方提供最佳的服务。</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四、其它服务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1、若投标方所提供设备有需要进口的，投标方一般应自行、自费办理；必要时，买卖双方共同办理。</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2、除招标文件、投标文件、答疑文件、技术协议、合同等约定之外，投标方应免费负责必要的或强制性的设备的检验、试验、化验等直接费用。</w:t>
      </w:r>
    </w:p>
    <w:p>
      <w:pPr>
        <w:spacing w:line="520" w:lineRule="exact"/>
        <w:ind w:firstLine="420" w:firstLineChars="200"/>
        <w:rPr>
          <w:rFonts w:hint="eastAsia"/>
          <w:color w:val="auto"/>
        </w:rPr>
      </w:pPr>
      <w:r>
        <w:rPr>
          <w:rFonts w:hint="eastAsia" w:ascii="宋体" w:hAnsi="宋体"/>
          <w:color w:val="auto"/>
        </w:rPr>
        <w:t>3、本章节条款所列“免费”，并非指定不可收费，而是指招标文件、投标文件、</w:t>
      </w:r>
      <w:r>
        <w:rPr>
          <w:rFonts w:hint="eastAsia"/>
          <w:color w:val="auto"/>
        </w:rPr>
        <w:t>答疑文件、技术交流文件、技术协议书和合同等范围之外，投标方不可另行收取的费用。</w:t>
      </w:r>
    </w:p>
    <w:p>
      <w:pPr>
        <w:spacing w:line="480" w:lineRule="exact"/>
        <w:ind w:firstLine="420" w:firstLineChars="200"/>
        <w:rPr>
          <w:rFonts w:hint="eastAsia" w:ascii="宋体" w:hAnsi="宋体"/>
          <w:color w:val="auto"/>
        </w:rPr>
      </w:pPr>
    </w:p>
    <w:p>
      <w:pPr>
        <w:pStyle w:val="2"/>
        <w:spacing w:before="120" w:after="120" w:line="480" w:lineRule="exact"/>
        <w:jc w:val="center"/>
        <w:rPr>
          <w:rFonts w:hint="eastAsia" w:ascii="黑体" w:eastAsia="黑体"/>
          <w:b w:val="0"/>
          <w:color w:val="auto"/>
          <w:sz w:val="24"/>
          <w:szCs w:val="24"/>
        </w:rPr>
      </w:pPr>
      <w:r>
        <w:rPr>
          <w:rFonts w:ascii="宋体" w:hAnsi="宋体"/>
          <w:color w:val="auto"/>
        </w:rPr>
        <w:br w:type="page"/>
      </w:r>
      <w:bookmarkStart w:id="137" w:name="_Toc21539"/>
      <w:bookmarkStart w:id="138" w:name="_Toc9060"/>
      <w:bookmarkStart w:id="139" w:name="_Toc137705873"/>
      <w:bookmarkStart w:id="140" w:name="_Toc19419"/>
      <w:bookmarkStart w:id="141" w:name="_Toc23200"/>
      <w:r>
        <w:rPr>
          <w:rFonts w:hint="eastAsia" w:ascii="黑体" w:eastAsia="黑体"/>
          <w:b w:val="0"/>
          <w:color w:val="auto"/>
          <w:sz w:val="24"/>
          <w:szCs w:val="24"/>
        </w:rPr>
        <w:t>第五章  预验收和终验收</w:t>
      </w:r>
      <w:bookmarkEnd w:id="137"/>
      <w:bookmarkEnd w:id="138"/>
      <w:bookmarkEnd w:id="139"/>
      <w:bookmarkEnd w:id="140"/>
      <w:bookmarkEnd w:id="141"/>
    </w:p>
    <w:p>
      <w:pPr>
        <w:spacing w:line="480" w:lineRule="exact"/>
        <w:ind w:firstLine="420" w:firstLineChars="200"/>
        <w:rPr>
          <w:rFonts w:hint="eastAsia" w:ascii="黑体" w:hAnsi="宋体" w:eastAsia="黑体"/>
          <w:color w:val="auto"/>
        </w:rPr>
      </w:pPr>
      <w:r>
        <w:rPr>
          <w:rFonts w:hint="eastAsia" w:ascii="黑体" w:hAnsi="宋体" w:eastAsia="黑体"/>
          <w:color w:val="auto"/>
        </w:rPr>
        <w:t>一、验收的一般约定</w:t>
      </w:r>
    </w:p>
    <w:p>
      <w:pPr>
        <w:spacing w:line="480" w:lineRule="exact"/>
        <w:ind w:firstLine="420" w:firstLineChars="200"/>
        <w:rPr>
          <w:rFonts w:hint="eastAsia" w:ascii="宋体" w:hAnsi="宋体"/>
          <w:color w:val="auto"/>
        </w:rPr>
      </w:pPr>
      <w:r>
        <w:rPr>
          <w:rFonts w:hint="eastAsia" w:ascii="宋体" w:hAnsi="宋体"/>
          <w:color w:val="auto"/>
        </w:rPr>
        <w:t>1、验收标准一般以技术协议书和合同规定验收。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2、如果验收过程中，发现招标文件、投标文件、答疑文件、技术交流文件等与技术协议书、合同存在差异，原则上以涉及条款中对招标方最有利条款为验收依据。</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二、检验</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1、国产货物的检验由买卖双方按照合同要求或在制造现场进行。</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2、进口货物的检验，投标方需要按照下述要求进行：</w:t>
      </w:r>
    </w:p>
    <w:p>
      <w:pPr>
        <w:adjustRightInd w:val="0"/>
        <w:snapToGrid w:val="0"/>
        <w:spacing w:line="460" w:lineRule="exact"/>
        <w:ind w:firstLine="420" w:firstLineChars="200"/>
        <w:rPr>
          <w:rFonts w:ascii="宋体" w:hAnsi="宋体"/>
          <w:color w:val="auto"/>
        </w:rPr>
      </w:pPr>
      <w:r>
        <w:rPr>
          <w:rFonts w:hint="eastAsia" w:ascii="宋体" w:hAnsi="宋体"/>
          <w:color w:val="auto"/>
        </w:rPr>
        <w:t>2.1  进口货物发货前，应对货物的质量、型号、规格、性能和数量/重量作精密、全面的检验，并出具证明书，证明所供货物符合合同规定。</w:t>
      </w:r>
    </w:p>
    <w:p>
      <w:pPr>
        <w:adjustRightInd w:val="0"/>
        <w:snapToGrid w:val="0"/>
        <w:spacing w:line="460" w:lineRule="exact"/>
        <w:ind w:firstLine="420" w:firstLineChars="200"/>
        <w:rPr>
          <w:rFonts w:ascii="宋体" w:hAnsi="宋体"/>
          <w:color w:val="auto"/>
        </w:rPr>
      </w:pPr>
      <w:r>
        <w:rPr>
          <w:rFonts w:hint="eastAsia" w:ascii="宋体" w:hAnsi="宋体"/>
          <w:color w:val="auto"/>
        </w:rPr>
        <w:t>2.2  应依据合同规定的要求，提供买卖双方达成一致的货物的验收标准和装箱单，作为招标方检验的依据。</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2.3  进口货物到达目的地后，招标方有权申请中国商品检验检疫局进行检验，如发现货物的品质及规格与合同或发票不符，除招标方的责任外，招标方有权在货物到达卸货目的地后18</w:t>
      </w:r>
      <w:r>
        <w:rPr>
          <w:rFonts w:ascii="宋体" w:hAnsi="宋体"/>
          <w:color w:val="auto"/>
        </w:rPr>
        <w:t>0</w:t>
      </w:r>
      <w:r>
        <w:rPr>
          <w:rFonts w:hint="eastAsia" w:ascii="宋体" w:hAnsi="宋体"/>
          <w:color w:val="auto"/>
        </w:rPr>
        <w:t>个日历日内，根据中国商品检验检疫局出具的证明书向投标方提出索赔，因索赔所发生的一切费用</w:t>
      </w:r>
      <w:r>
        <w:rPr>
          <w:rFonts w:ascii="宋体" w:hAnsi="宋体"/>
          <w:color w:val="auto"/>
        </w:rPr>
        <w:t>(</w:t>
      </w:r>
      <w:r>
        <w:rPr>
          <w:rFonts w:hint="eastAsia" w:ascii="宋体" w:hAnsi="宋体"/>
          <w:color w:val="auto"/>
        </w:rPr>
        <w:t>包括检验检疫费等</w:t>
      </w:r>
      <w:r>
        <w:rPr>
          <w:rFonts w:ascii="宋体" w:hAnsi="宋体"/>
          <w:color w:val="auto"/>
        </w:rPr>
        <w:t>)</w:t>
      </w:r>
      <w:r>
        <w:rPr>
          <w:rFonts w:hint="eastAsia" w:ascii="宋体" w:hAnsi="宋体"/>
          <w:color w:val="auto"/>
        </w:rPr>
        <w:t>均由投标方承担。</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三、验收基本条件</w:t>
      </w:r>
    </w:p>
    <w:p>
      <w:pPr>
        <w:adjustRightInd w:val="0"/>
        <w:snapToGrid w:val="0"/>
        <w:spacing w:line="460" w:lineRule="exact"/>
        <w:ind w:firstLine="420" w:firstLineChars="200"/>
        <w:rPr>
          <w:rFonts w:hint="eastAsia" w:ascii="宋体" w:hAnsi="宋体"/>
          <w:color w:val="auto"/>
        </w:rPr>
      </w:pPr>
      <w:r>
        <w:rPr>
          <w:rFonts w:hint="eastAsia"/>
          <w:color w:val="auto"/>
        </w:rPr>
        <w:t>验收一般分预验收和终验收两部分。预验收一般在投标方现场进行，终验收在安装调试完成及试运行后的招标方现场进行。但是所有的项目，包括不能预验收的项目和预验收通过的项目都在终验收</w:t>
      </w:r>
      <w:r>
        <w:rPr>
          <w:rFonts w:hint="eastAsia" w:ascii="宋体" w:hAnsi="宋体"/>
          <w:color w:val="auto"/>
        </w:rPr>
        <w:t>时重新检验，最终只以终验收为准。</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买卖双方按照合同约定执行了合同，同时设备完成了试运行并经检验合格，则具备验收条件。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1、预验收一般条件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1.1  投标方已经按照“供货范围”要求提供了预验收资料，并且资料齐全、完整和有效。</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1.2  设备应完整且所有的零部件应该安装牢固，外观无损伤，所有的焊缝饱满、无残渣等缺陷。</w:t>
      </w:r>
    </w:p>
    <w:p>
      <w:pPr>
        <w:adjustRightInd w:val="0"/>
        <w:snapToGrid w:val="0"/>
        <w:spacing w:line="460" w:lineRule="exact"/>
        <w:ind w:firstLine="420" w:firstLineChars="200"/>
        <w:rPr>
          <w:rFonts w:ascii="宋体" w:hAnsi="宋体"/>
          <w:color w:val="auto"/>
        </w:rPr>
      </w:pPr>
      <w:r>
        <w:rPr>
          <w:rFonts w:hint="eastAsia" w:ascii="宋体" w:hAnsi="宋体"/>
          <w:color w:val="auto"/>
        </w:rPr>
        <w:t>1.3  一般情况下，所有的管路和线缆等，接头应完全正确、可靠地联接；应排列有序（正确、牢固、整齐），有必要的防护，无皱褶、收缩和裂缝等不良现象。</w:t>
      </w:r>
    </w:p>
    <w:p>
      <w:pPr>
        <w:adjustRightInd w:val="0"/>
        <w:snapToGrid w:val="0"/>
        <w:spacing w:line="460" w:lineRule="exact"/>
        <w:ind w:firstLine="420" w:firstLineChars="200"/>
        <w:rPr>
          <w:rFonts w:ascii="宋体" w:hAnsi="宋体"/>
          <w:color w:val="auto"/>
        </w:rPr>
      </w:pPr>
      <w:r>
        <w:rPr>
          <w:rFonts w:hint="eastAsia" w:ascii="宋体" w:hAnsi="宋体"/>
          <w:color w:val="auto"/>
        </w:rPr>
        <w:t>1.4  设备的润滑系统工作正常、可靠，润滑点易于到达。</w:t>
      </w:r>
    </w:p>
    <w:p>
      <w:pPr>
        <w:adjustRightInd w:val="0"/>
        <w:snapToGrid w:val="0"/>
        <w:spacing w:line="460" w:lineRule="exact"/>
        <w:ind w:firstLine="420" w:firstLineChars="200"/>
        <w:rPr>
          <w:rFonts w:ascii="宋体" w:hAnsi="宋体"/>
          <w:color w:val="auto"/>
        </w:rPr>
      </w:pPr>
      <w:r>
        <w:rPr>
          <w:rFonts w:hint="eastAsia" w:ascii="宋体" w:hAnsi="宋体"/>
          <w:color w:val="auto"/>
        </w:rPr>
        <w:t>1.5  使用的压力容器、电气等应具备合格证（如果有压力容器）。</w:t>
      </w:r>
    </w:p>
    <w:p>
      <w:pPr>
        <w:adjustRightInd w:val="0"/>
        <w:snapToGrid w:val="0"/>
        <w:spacing w:line="460" w:lineRule="exact"/>
        <w:ind w:firstLine="420" w:firstLineChars="200"/>
        <w:rPr>
          <w:rFonts w:ascii="宋体" w:hAnsi="宋体"/>
          <w:color w:val="auto"/>
        </w:rPr>
      </w:pPr>
      <w:r>
        <w:rPr>
          <w:rFonts w:hint="eastAsia" w:ascii="宋体" w:hAnsi="宋体"/>
          <w:color w:val="auto"/>
        </w:rPr>
        <w:t>1.6 设备的油漆质量应饱满、有光泽，无掉漆、无色差、无“桔皮”等不良现象（特殊标志除外）。</w:t>
      </w:r>
    </w:p>
    <w:p>
      <w:pPr>
        <w:adjustRightInd w:val="0"/>
        <w:snapToGrid w:val="0"/>
        <w:spacing w:line="460" w:lineRule="exact"/>
        <w:ind w:firstLine="420" w:firstLineChars="200"/>
        <w:rPr>
          <w:rFonts w:ascii="宋体" w:hAnsi="宋体"/>
          <w:color w:val="auto"/>
        </w:rPr>
      </w:pPr>
      <w:r>
        <w:rPr>
          <w:rFonts w:hint="eastAsia" w:ascii="宋体" w:hAnsi="宋体"/>
          <w:color w:val="auto"/>
        </w:rPr>
        <w:t>1.7 设备标牌完整、清晰、明确。</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1.8  地线联接和地极符合国际（</w:t>
      </w:r>
      <w:r>
        <w:rPr>
          <w:rFonts w:ascii="宋体" w:hAnsi="宋体"/>
          <w:color w:val="auto"/>
        </w:rPr>
        <w:t>ISO</w:t>
      </w:r>
      <w:r>
        <w:rPr>
          <w:rFonts w:hint="eastAsia" w:ascii="宋体" w:hAnsi="宋体"/>
          <w:color w:val="auto"/>
        </w:rPr>
        <w:t>/</w:t>
      </w:r>
      <w:r>
        <w:rPr>
          <w:rFonts w:ascii="宋体" w:hAnsi="宋体"/>
          <w:color w:val="auto"/>
        </w:rPr>
        <w:t>IEC</w:t>
      </w:r>
      <w:r>
        <w:rPr>
          <w:rFonts w:hint="eastAsia" w:ascii="宋体" w:hAnsi="宋体"/>
          <w:color w:val="auto"/>
        </w:rPr>
        <w:t>）标准规范。</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1.9  设备的安全要求符合中国最新的相关法律、法规、标准和规范以及合同要求。</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2、终验收一般条件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2.1  经过预验收而且没有出现新的质量问题，或者满足预验收条款。</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2.2  设备安装调试完毕，并至少经过了验收要求的负荷试运行。</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2.3  设备正常运行时，噪声等环境影响因素满足国家和当地环保主管部门规定，安全措施落实、有效。</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2.4  计量仪器、仪表配套合理，采用中国的法定计量单位，计量准确、灵敏可靠。保证设计指标和仪器说明书的参数的实现。</w:t>
      </w:r>
    </w:p>
    <w:p>
      <w:pPr>
        <w:adjustRightInd w:val="0"/>
        <w:snapToGrid w:val="0"/>
        <w:spacing w:line="460" w:lineRule="exact"/>
        <w:ind w:firstLine="420" w:firstLineChars="200"/>
        <w:rPr>
          <w:rFonts w:ascii="宋体" w:hAnsi="宋体"/>
          <w:color w:val="auto"/>
        </w:rPr>
      </w:pPr>
      <w:r>
        <w:rPr>
          <w:rFonts w:hint="eastAsia" w:ascii="宋体" w:hAnsi="宋体"/>
          <w:color w:val="auto"/>
        </w:rPr>
        <w:t>2.5  试运行期间或之后无维修、调整等行为（特殊情况除外）。</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2.6 设备质量、技术性能等，达到签定的技术协议书和合同规定的终验收标准。</w:t>
      </w:r>
    </w:p>
    <w:p>
      <w:pPr>
        <w:spacing w:line="480" w:lineRule="exact"/>
        <w:ind w:firstLine="420" w:firstLineChars="200"/>
        <w:rPr>
          <w:rFonts w:hint="eastAsia" w:ascii="宋体" w:hAnsi="宋体"/>
          <w:color w:val="auto"/>
        </w:rPr>
      </w:pPr>
      <w:r>
        <w:rPr>
          <w:rFonts w:hint="eastAsia" w:ascii="宋体" w:hAnsi="宋体"/>
          <w:color w:val="auto"/>
        </w:rPr>
        <w:t>3、终验收基本要求</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3.1  允许情况下，一般先连续空运转</w:t>
      </w:r>
      <w:r>
        <w:rPr>
          <w:rFonts w:hint="eastAsia" w:ascii="宋体" w:hAnsi="宋体"/>
          <w:color w:val="auto"/>
          <w:u w:val="single"/>
          <w:shd w:val="pct10" w:color="auto" w:fill="FFFFFF"/>
        </w:rPr>
        <w:t xml:space="preserve">  24    </w:t>
      </w:r>
      <w:r>
        <w:rPr>
          <w:rFonts w:hint="eastAsia" w:ascii="宋体" w:hAnsi="宋体"/>
          <w:color w:val="auto"/>
        </w:rPr>
        <w:t>小时，然后再进行负荷运行（无需进行空载运行的除外）。</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3.2  负荷运行时，应连续运行</w:t>
      </w:r>
      <w:r>
        <w:rPr>
          <w:rFonts w:hint="eastAsia" w:ascii="宋体" w:hAnsi="宋体"/>
          <w:color w:val="auto"/>
          <w:u w:val="single"/>
          <w:shd w:val="pct10" w:color="auto" w:fill="FFFFFF"/>
        </w:rPr>
        <w:t xml:space="preserve">   7   </w:t>
      </w:r>
      <w:r>
        <w:rPr>
          <w:rFonts w:hint="eastAsia" w:ascii="宋体" w:hAnsi="宋体"/>
          <w:color w:val="auto"/>
        </w:rPr>
        <w:t>天，每天连续运行</w:t>
      </w:r>
      <w:r>
        <w:rPr>
          <w:rFonts w:hint="eastAsia" w:ascii="宋体" w:hAnsi="宋体"/>
          <w:color w:val="auto"/>
          <w:u w:val="single"/>
          <w:shd w:val="pct10" w:color="auto" w:fill="FFFFFF"/>
        </w:rPr>
        <w:t xml:space="preserve">   1</w:t>
      </w:r>
      <w:r>
        <w:rPr>
          <w:rFonts w:hint="eastAsia" w:ascii="宋体" w:hAnsi="宋体"/>
          <w:color w:val="auto"/>
          <w:u w:val="single"/>
          <w:shd w:val="pct10" w:color="auto" w:fill="FFFFFF"/>
          <w:lang w:val="en-US" w:eastAsia="zh-CN"/>
        </w:rPr>
        <w:t>0</w:t>
      </w:r>
      <w:r>
        <w:rPr>
          <w:rFonts w:hint="eastAsia" w:ascii="宋体" w:hAnsi="宋体"/>
          <w:color w:val="auto"/>
          <w:u w:val="single"/>
          <w:shd w:val="pct10" w:color="auto" w:fill="FFFFFF"/>
        </w:rPr>
        <w:t xml:space="preserve">  </w:t>
      </w:r>
      <w:r>
        <w:rPr>
          <w:rFonts w:hint="eastAsia" w:ascii="宋体" w:hAnsi="宋体"/>
          <w:color w:val="auto"/>
        </w:rPr>
        <w:t>小时。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  出现下列问题之一，视作验收失败：</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3.3.1  在整个验收过程中发生关键零部件损坏或重大故障；</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3.3.2  一般性故障超过</w:t>
      </w:r>
      <w:r>
        <w:rPr>
          <w:rFonts w:hint="eastAsia" w:ascii="宋体" w:hAnsi="宋体"/>
          <w:color w:val="auto"/>
          <w:u w:val="single"/>
          <w:shd w:val="pct10" w:color="auto" w:fill="FFFFFF"/>
        </w:rPr>
        <w:t xml:space="preserve">   3    </w:t>
      </w:r>
      <w:r>
        <w:rPr>
          <w:rFonts w:hint="eastAsia" w:ascii="宋体" w:hAnsi="宋体"/>
          <w:color w:val="auto"/>
        </w:rPr>
        <w:t>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3.3.3  所有出现的维修调整，每次时间均不超过</w:t>
      </w:r>
      <w:r>
        <w:rPr>
          <w:rFonts w:hint="eastAsia" w:ascii="宋体" w:hAnsi="宋体"/>
          <w:color w:val="auto"/>
          <w:u w:val="single"/>
          <w:shd w:val="pct10" w:color="auto" w:fill="FFFFFF"/>
        </w:rPr>
        <w:t xml:space="preserve">   30    </w:t>
      </w:r>
      <w:r>
        <w:rPr>
          <w:rFonts w:hint="eastAsia" w:ascii="宋体" w:hAnsi="宋体"/>
          <w:color w:val="auto"/>
        </w:rPr>
        <w:t>分钟；所有维修调整时间的总和不超过总运行时间的</w:t>
      </w:r>
      <w:r>
        <w:rPr>
          <w:rFonts w:hint="eastAsia" w:ascii="宋体" w:hAnsi="宋体"/>
          <w:color w:val="auto"/>
          <w:u w:val="single"/>
          <w:shd w:val="pct10" w:color="auto" w:fill="FFFFFF"/>
        </w:rPr>
        <w:t xml:space="preserve">   2    </w:t>
      </w:r>
      <w:r>
        <w:rPr>
          <w:rFonts w:hint="eastAsia" w:ascii="宋体" w:hAnsi="宋体"/>
          <w:color w:val="auto"/>
        </w:rPr>
        <w:t>%；</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3.3.4  更换的零部件货值不超过总货值的</w:t>
      </w:r>
      <w:r>
        <w:rPr>
          <w:rFonts w:hint="eastAsia" w:ascii="宋体" w:hAnsi="宋体"/>
          <w:color w:val="auto"/>
          <w:u w:val="single"/>
          <w:shd w:val="pct10" w:color="auto" w:fill="FFFFFF"/>
        </w:rPr>
        <w:t xml:space="preserve">   2  </w:t>
      </w:r>
      <w:r>
        <w:rPr>
          <w:rFonts w:hint="eastAsia" w:ascii="宋体" w:hAnsi="宋体"/>
          <w:color w:val="auto"/>
        </w:rPr>
        <w:t>%；</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3.4  累计负载运行实际性能达到合同规定；</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3.5  终验收内容包括以下内容：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3.5.1终验收在招标方车间进行，验收内容包括但不限于设备资料、培训、设备配置、生产节拍、工期、重复定位精度。</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3.5.2 投标方在终验收时需提交一份预验收时发现的缺陷和设备故障确认完成整改的汇总表，列入终验收报告。</w:t>
      </w:r>
    </w:p>
    <w:p>
      <w:pPr>
        <w:tabs>
          <w:tab w:val="left" w:pos="1260"/>
        </w:tabs>
        <w:adjustRightInd w:val="0"/>
        <w:snapToGrid w:val="0"/>
        <w:spacing w:line="460" w:lineRule="exact"/>
        <w:ind w:firstLine="420" w:firstLineChars="200"/>
        <w:rPr>
          <w:rFonts w:hint="eastAsia" w:ascii="宋体" w:hAnsi="宋体"/>
          <w:color w:val="auto"/>
        </w:rPr>
      </w:pPr>
      <w:r>
        <w:rPr>
          <w:rFonts w:hint="eastAsia" w:ascii="宋体" w:hAnsi="宋体"/>
          <w:color w:val="auto"/>
        </w:rPr>
        <w:t>3.5.3存在影响节拍、装配质量、安全的缺陷，投标方应及时整改，整改合格后验收和移交。当由于招标方原因影响终验收进度时，则移交日期相应顺延。</w:t>
      </w:r>
    </w:p>
    <w:p>
      <w:pPr>
        <w:adjustRightInd w:val="0"/>
        <w:snapToGrid w:val="0"/>
        <w:spacing w:line="460" w:lineRule="exact"/>
        <w:ind w:firstLine="420" w:firstLineChars="200"/>
        <w:rPr>
          <w:rFonts w:ascii="宋体" w:hAnsi="宋体"/>
          <w:color w:val="auto"/>
        </w:rPr>
      </w:pPr>
      <w:r>
        <w:rPr>
          <w:rFonts w:hint="eastAsia" w:ascii="宋体" w:hAnsi="宋体"/>
          <w:color w:val="auto"/>
        </w:rPr>
        <w:t>3.6  终验收原则上要求一次完成。若一次验收不成功，最多允许两次；如果出现第三次验收失败，重新作价或退货；</w:t>
      </w:r>
    </w:p>
    <w:p>
      <w:pPr>
        <w:adjustRightInd w:val="0"/>
        <w:snapToGrid w:val="0"/>
        <w:spacing w:line="460" w:lineRule="exact"/>
        <w:ind w:firstLine="420" w:firstLineChars="200"/>
        <w:rPr>
          <w:rFonts w:ascii="宋体" w:hAnsi="宋体"/>
          <w:color w:val="auto"/>
        </w:rPr>
      </w:pPr>
      <w:r>
        <w:rPr>
          <w:rFonts w:hint="eastAsia" w:ascii="宋体" w:hAnsi="宋体"/>
          <w:color w:val="auto"/>
        </w:rPr>
        <w:t>3.7  终验收通过后买卖双方共同签署终验收报告，并移交、核对全部供货范围内物品。</w:t>
      </w:r>
    </w:p>
    <w:p>
      <w:pPr>
        <w:spacing w:line="480" w:lineRule="exact"/>
        <w:ind w:firstLine="420" w:firstLineChars="200"/>
        <w:rPr>
          <w:rFonts w:hint="eastAsia" w:ascii="宋体" w:hAnsi="宋体"/>
          <w:color w:val="auto"/>
        </w:rPr>
      </w:pPr>
    </w:p>
    <w:p>
      <w:pPr>
        <w:pStyle w:val="2"/>
        <w:spacing w:before="120" w:after="120" w:line="480" w:lineRule="exact"/>
        <w:jc w:val="center"/>
        <w:rPr>
          <w:rFonts w:hint="eastAsia" w:ascii="黑体" w:eastAsia="黑体"/>
          <w:b w:val="0"/>
          <w:color w:val="auto"/>
          <w:sz w:val="24"/>
          <w:szCs w:val="24"/>
        </w:rPr>
      </w:pPr>
      <w:r>
        <w:rPr>
          <w:rFonts w:ascii="宋体" w:hAnsi="宋体"/>
          <w:color w:val="auto"/>
        </w:rPr>
        <w:br w:type="page"/>
      </w:r>
      <w:bookmarkStart w:id="142" w:name="_Toc28978"/>
      <w:bookmarkStart w:id="143" w:name="_Toc137705874"/>
      <w:bookmarkStart w:id="144" w:name="_Toc12996"/>
      <w:bookmarkStart w:id="145" w:name="_Toc22000"/>
      <w:bookmarkStart w:id="146" w:name="_Toc25335"/>
      <w:r>
        <w:rPr>
          <w:rFonts w:hint="eastAsia" w:ascii="黑体" w:eastAsia="黑体"/>
          <w:b w:val="0"/>
          <w:color w:val="auto"/>
          <w:sz w:val="24"/>
          <w:szCs w:val="24"/>
        </w:rPr>
        <w:t>第六章  投标技术文件一般要求</w:t>
      </w:r>
      <w:bookmarkEnd w:id="142"/>
      <w:bookmarkEnd w:id="143"/>
      <w:bookmarkEnd w:id="144"/>
      <w:bookmarkEnd w:id="145"/>
      <w:bookmarkEnd w:id="146"/>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一、技术文件一般内容要求</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1、投标方应认真阅读招标文件和本技术标书，并按要求编写投标技术文件。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2、投标技术文件至少应对投标设备的功能用途、技术性能、质量标准、技术参数等作出详细说明。</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3、投标技术文件至少应根据投标设备的关键设备、总成、零部件或系统作出优越性说明。</w:t>
      </w:r>
    </w:p>
    <w:p>
      <w:pPr>
        <w:spacing w:line="480" w:lineRule="exact"/>
        <w:ind w:firstLine="420" w:firstLineChars="200"/>
        <w:rPr>
          <w:rFonts w:hint="eastAsia" w:ascii="宋体" w:hAnsi="宋体"/>
          <w:color w:val="auto"/>
        </w:rPr>
      </w:pPr>
      <w:r>
        <w:rPr>
          <w:rFonts w:hint="eastAsia" w:ascii="宋体" w:hAnsi="宋体"/>
          <w:color w:val="auto"/>
        </w:rPr>
        <w:t>4、投标技术文件至少应按照招标文件要求（或投标方建议）列明备品备件、易损件和专用耗材明细。</w:t>
      </w:r>
    </w:p>
    <w:p>
      <w:pPr>
        <w:spacing w:line="480" w:lineRule="exact"/>
        <w:ind w:firstLine="420" w:firstLineChars="200"/>
        <w:rPr>
          <w:rFonts w:hint="eastAsia" w:ascii="宋体" w:hAnsi="宋体"/>
          <w:color w:val="auto"/>
        </w:rPr>
      </w:pPr>
      <w:r>
        <w:rPr>
          <w:rFonts w:hint="eastAsia" w:ascii="宋体" w:hAnsi="宋体"/>
          <w:color w:val="auto"/>
        </w:rPr>
        <w:t>5、投标方应当而且必须分别说明所列备品备件、易损件和专用耗材的使用寿命（以有效工作小时数说明）。</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6、投标的设备，应当根据其配置和备品备件、易损件、专用耗材情况，尽可能详细且分类填入下表：</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6.1  投标设备配置一览表：</w:t>
      </w:r>
    </w:p>
    <w:p>
      <w:pPr>
        <w:adjustRightInd w:val="0"/>
        <w:snapToGrid w:val="0"/>
        <w:spacing w:line="460" w:lineRule="exact"/>
        <w:ind w:firstLine="1890" w:firstLineChars="900"/>
        <w:rPr>
          <w:rFonts w:hint="eastAsia" w:ascii="宋体" w:hAnsi="宋体"/>
          <w:color w:val="auto"/>
        </w:rPr>
      </w:pPr>
      <w:r>
        <w:rPr>
          <w:rFonts w:hint="eastAsia" w:ascii="宋体" w:hAnsi="宋体"/>
          <w:color w:val="auto"/>
        </w:rPr>
        <w:t xml:space="preserve">投标货物配置一览表          </w:t>
      </w:r>
      <w:r>
        <w:rPr>
          <w:rFonts w:hint="eastAsia" w:ascii="宋体" w:hAnsi="宋体"/>
          <w:color w:val="auto"/>
          <w:sz w:val="21"/>
        </w:rPr>
        <w:t>单位：元</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序号</w:t>
            </w:r>
          </w:p>
        </w:tc>
        <w:tc>
          <w:tcPr>
            <w:tcW w:w="1924"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名称</w:t>
            </w:r>
          </w:p>
        </w:tc>
        <w:tc>
          <w:tcPr>
            <w:tcW w:w="1236"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型号规格</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单位</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数量</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单价</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总价</w:t>
            </w:r>
          </w:p>
        </w:tc>
        <w:tc>
          <w:tcPr>
            <w:tcW w:w="2235"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bl>
    <w:p>
      <w:pPr>
        <w:adjustRightInd w:val="0"/>
        <w:snapToGrid w:val="0"/>
        <w:spacing w:line="460" w:lineRule="exact"/>
        <w:ind w:firstLine="420" w:firstLineChars="200"/>
        <w:rPr>
          <w:rFonts w:hint="eastAsia" w:ascii="宋体" w:hAnsi="宋体"/>
          <w:color w:val="auto"/>
        </w:rPr>
      </w:pPr>
      <w:r>
        <w:rPr>
          <w:rFonts w:hint="eastAsia" w:ascii="宋体" w:hAnsi="宋体"/>
          <w:color w:val="auto"/>
        </w:rPr>
        <w:t>6.2  备品备件、易损件和专用耗材明细表：</w:t>
      </w:r>
    </w:p>
    <w:p>
      <w:pPr>
        <w:adjustRightInd w:val="0"/>
        <w:snapToGrid w:val="0"/>
        <w:spacing w:line="460" w:lineRule="exact"/>
        <w:ind w:firstLine="1890" w:firstLineChars="900"/>
        <w:rPr>
          <w:rFonts w:hint="eastAsia" w:ascii="宋体" w:hAnsi="宋体"/>
          <w:color w:val="auto"/>
        </w:rPr>
      </w:pPr>
      <w:r>
        <w:rPr>
          <w:rFonts w:hint="eastAsia" w:ascii="宋体" w:hAnsi="宋体"/>
          <w:color w:val="auto"/>
        </w:rPr>
        <w:t xml:space="preserve">备品备件、易损件和专用耗材明细表             </w:t>
      </w:r>
      <w:r>
        <w:rPr>
          <w:rFonts w:hint="eastAsia" w:ascii="宋体" w:hAnsi="宋体"/>
          <w:color w:val="auto"/>
          <w:sz w:val="21"/>
        </w:rPr>
        <w:t>单位：元</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序号</w:t>
            </w:r>
          </w:p>
        </w:tc>
        <w:tc>
          <w:tcPr>
            <w:tcW w:w="1924"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名称</w:t>
            </w:r>
          </w:p>
        </w:tc>
        <w:tc>
          <w:tcPr>
            <w:tcW w:w="1236"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型号规格</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单位</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数量</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单价</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总价</w:t>
            </w:r>
          </w:p>
        </w:tc>
        <w:tc>
          <w:tcPr>
            <w:tcW w:w="2235"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bl>
    <w:p>
      <w:pPr>
        <w:adjustRightInd w:val="0"/>
        <w:snapToGrid w:val="0"/>
        <w:spacing w:line="360" w:lineRule="exact"/>
        <w:ind w:firstLine="420" w:firstLineChars="200"/>
        <w:rPr>
          <w:rFonts w:hint="eastAsia" w:ascii="宋体" w:hAnsi="宋体"/>
          <w:color w:val="auto"/>
          <w:sz w:val="21"/>
        </w:rPr>
      </w:pPr>
    </w:p>
    <w:p>
      <w:pPr>
        <w:spacing w:line="480" w:lineRule="exact"/>
        <w:ind w:firstLine="420" w:firstLineChars="200"/>
        <w:rPr>
          <w:rFonts w:hint="eastAsia" w:ascii="宋体" w:hAnsi="宋体"/>
          <w:color w:val="auto"/>
        </w:rPr>
      </w:pPr>
      <w:r>
        <w:rPr>
          <w:rFonts w:hint="eastAsia" w:ascii="宋体" w:hAnsi="宋体"/>
          <w:color w:val="auto"/>
        </w:rPr>
        <w:t>6.3  “一览表”和“明细表”仅作为投标方编制投标技术文件的一般格式。其中序号编写应当便于招标方了解分类或分项货物之间的所属关系，如1、1.1、1.2。</w:t>
      </w:r>
    </w:p>
    <w:p>
      <w:pPr>
        <w:spacing w:line="480" w:lineRule="exact"/>
        <w:ind w:firstLine="420" w:firstLineChars="200"/>
        <w:rPr>
          <w:rFonts w:hint="eastAsia" w:ascii="宋体" w:hAnsi="宋体"/>
          <w:color w:val="auto"/>
        </w:rPr>
      </w:pPr>
      <w:r>
        <w:rPr>
          <w:rFonts w:hint="eastAsia" w:ascii="宋体" w:hAnsi="宋体"/>
          <w:color w:val="auto"/>
        </w:rPr>
        <w:t>6.4  应当尽可能将设备的配置列全、列细，这将有助于投标方胜出。</w:t>
      </w:r>
    </w:p>
    <w:p>
      <w:pPr>
        <w:spacing w:line="480" w:lineRule="exact"/>
        <w:ind w:firstLine="420" w:firstLineChars="200"/>
        <w:rPr>
          <w:rFonts w:hint="eastAsia" w:ascii="宋体" w:hAnsi="宋体"/>
          <w:color w:val="auto"/>
        </w:rPr>
      </w:pPr>
      <w:r>
        <w:rPr>
          <w:rFonts w:hint="eastAsia" w:ascii="宋体" w:hAnsi="宋体"/>
          <w:color w:val="auto"/>
        </w:rPr>
        <w:t>6.5  单价与总价之间、总价与分类小计价之间、分类小计价与合计价之间数据应当齐全而且准确。</w:t>
      </w:r>
    </w:p>
    <w:p>
      <w:pPr>
        <w:spacing w:line="480" w:lineRule="exact"/>
        <w:ind w:firstLine="420" w:firstLineChars="200"/>
        <w:rPr>
          <w:rFonts w:hint="eastAsia" w:ascii="宋体" w:hAnsi="宋体"/>
          <w:color w:val="auto"/>
        </w:rPr>
      </w:pPr>
      <w:r>
        <w:rPr>
          <w:rFonts w:hint="eastAsia" w:ascii="宋体" w:hAnsi="宋体"/>
          <w:color w:val="auto"/>
        </w:rPr>
        <w:t>6.6  本条款表格中的制造商，应当为全称或公认的简称。</w:t>
      </w:r>
    </w:p>
    <w:p>
      <w:pPr>
        <w:spacing w:line="480" w:lineRule="exact"/>
        <w:ind w:firstLine="420" w:firstLineChars="200"/>
        <w:rPr>
          <w:rFonts w:hint="eastAsia" w:ascii="黑体" w:hAnsi="宋体" w:eastAsia="黑体"/>
          <w:color w:val="auto"/>
        </w:rPr>
      </w:pPr>
      <w:r>
        <w:rPr>
          <w:rFonts w:hint="eastAsia" w:ascii="黑体" w:hAnsi="宋体" w:eastAsia="黑体"/>
          <w:color w:val="auto"/>
        </w:rPr>
        <w:t>二、技术文件中设备报价格式要求</w:t>
      </w:r>
    </w:p>
    <w:p>
      <w:pPr>
        <w:spacing w:line="480" w:lineRule="exact"/>
        <w:ind w:firstLine="420" w:firstLineChars="200"/>
        <w:rPr>
          <w:rFonts w:hint="eastAsia" w:ascii="宋体" w:hAnsi="宋体"/>
          <w:color w:val="auto"/>
        </w:rPr>
      </w:pPr>
      <w:r>
        <w:rPr>
          <w:rFonts w:hint="eastAsia" w:ascii="宋体" w:hAnsi="宋体"/>
          <w:color w:val="auto"/>
        </w:rPr>
        <w:t>1、设备配置一览表合计价以及备品备件、易损件和专用耗材明细表合计价应当在投标总报价内对应重现而且应当数据准确。其中，质保期之内需要的备品备件、易损件和专用耗材，需要在配置一览表内单独分类列出并计入设备配置一览表合计价。</w:t>
      </w:r>
    </w:p>
    <w:p>
      <w:pPr>
        <w:spacing w:line="480" w:lineRule="exact"/>
        <w:ind w:firstLine="420" w:firstLineChars="200"/>
        <w:rPr>
          <w:rFonts w:hint="eastAsia" w:ascii="宋体" w:hAnsi="宋体"/>
          <w:color w:val="auto"/>
        </w:rPr>
      </w:pPr>
      <w:r>
        <w:rPr>
          <w:rFonts w:hint="eastAsia" w:ascii="宋体" w:hAnsi="宋体"/>
          <w:color w:val="auto"/>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pPr>
        <w:spacing w:line="480" w:lineRule="exact"/>
        <w:ind w:firstLine="420" w:firstLineChars="200"/>
        <w:rPr>
          <w:rFonts w:hint="eastAsia" w:ascii="宋体" w:hAnsi="宋体"/>
          <w:color w:val="auto"/>
        </w:rPr>
      </w:pPr>
      <w:r>
        <w:rPr>
          <w:rFonts w:hint="eastAsia" w:ascii="宋体" w:hAnsi="宋体"/>
          <w:color w:val="auto"/>
        </w:rPr>
        <w:t>3、如果投标总报价与其它价格出现错误或不一致，将有可能导致废标。</w:t>
      </w:r>
    </w:p>
    <w:p>
      <w:pPr>
        <w:spacing w:line="480" w:lineRule="exact"/>
        <w:ind w:firstLine="420" w:firstLineChars="200"/>
        <w:rPr>
          <w:rFonts w:hint="eastAsia" w:ascii="宋体" w:hAnsi="宋体"/>
          <w:color w:val="auto"/>
        </w:rPr>
      </w:pPr>
      <w:r>
        <w:rPr>
          <w:rFonts w:hint="eastAsia" w:ascii="宋体" w:hAnsi="宋体"/>
          <w:color w:val="auto"/>
        </w:rPr>
        <w:t>4、投标总报价为自合同签定生效至合同无异议执行完毕涉及的招标方需要支付的全部费用。如投标方认为本招标及投标设备涉及专门的设计，应当列明设计费。</w:t>
      </w:r>
    </w:p>
    <w:p>
      <w:pPr>
        <w:spacing w:line="480" w:lineRule="exact"/>
        <w:ind w:firstLine="420" w:firstLineChars="200"/>
        <w:rPr>
          <w:rFonts w:hint="eastAsia" w:ascii="宋体" w:hAnsi="宋体"/>
          <w:color w:val="auto"/>
        </w:rPr>
      </w:pPr>
      <w:r>
        <w:rPr>
          <w:rFonts w:hint="eastAsia" w:ascii="宋体" w:hAnsi="宋体"/>
          <w:color w:val="auto"/>
        </w:rPr>
        <w:t>5、备品备件、易损件和专用耗材，招标方将可能与投标方按照投标价格另行签署供货合同。</w:t>
      </w:r>
    </w:p>
    <w:p>
      <w:pPr>
        <w:spacing w:line="480" w:lineRule="exact"/>
        <w:ind w:firstLine="420" w:firstLineChars="200"/>
        <w:rPr>
          <w:rFonts w:hint="eastAsia" w:ascii="宋体" w:hAnsi="宋体"/>
          <w:color w:val="auto"/>
        </w:rPr>
      </w:pPr>
      <w:r>
        <w:rPr>
          <w:rFonts w:hint="eastAsia" w:ascii="宋体" w:hAnsi="宋体"/>
          <w:color w:val="auto"/>
        </w:rPr>
        <w:t>6、要求投标总报价、分项报价、明细报价之间应当具有相互间对应关系以及填报分项和明细报价，仅为便于评标而不妨碍投标人以最合适的形式签署合同。</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三、验收标准及内容要求</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除招标文件明确的验收标准或内容之外，投标方应当在投标文件中提供预验收（必要时）和终验收的标准以及规程；在合同签定之前，经投标方和招标方双方洽谈确认并签署，以作为验收标准执行。</w:t>
      </w:r>
    </w:p>
    <w:p>
      <w:pPr>
        <w:pStyle w:val="2"/>
        <w:spacing w:before="120" w:after="120" w:line="480" w:lineRule="exact"/>
        <w:jc w:val="center"/>
        <w:rPr>
          <w:rFonts w:hint="eastAsia" w:ascii="黑体" w:eastAsia="黑体"/>
          <w:b w:val="0"/>
          <w:color w:val="auto"/>
          <w:sz w:val="24"/>
          <w:szCs w:val="24"/>
        </w:rPr>
      </w:pPr>
      <w:r>
        <w:rPr>
          <w:rFonts w:ascii="宋体" w:hAnsi="宋体"/>
          <w:color w:val="auto"/>
        </w:rPr>
        <w:br w:type="page"/>
      </w:r>
      <w:bookmarkStart w:id="147" w:name="_Toc6037"/>
      <w:bookmarkStart w:id="148" w:name="_Toc5388"/>
      <w:bookmarkStart w:id="149" w:name="_Toc15099"/>
      <w:bookmarkStart w:id="150" w:name="_Toc137705875"/>
      <w:bookmarkStart w:id="151" w:name="_Toc31849"/>
      <w:r>
        <w:rPr>
          <w:rFonts w:hint="eastAsia" w:ascii="黑体" w:eastAsia="黑体"/>
          <w:b w:val="0"/>
          <w:color w:val="auto"/>
          <w:sz w:val="24"/>
          <w:szCs w:val="24"/>
        </w:rPr>
        <w:t>第七章  其它要求及说明</w:t>
      </w:r>
      <w:bookmarkEnd w:id="147"/>
      <w:bookmarkEnd w:id="148"/>
      <w:bookmarkEnd w:id="149"/>
      <w:bookmarkEnd w:id="150"/>
      <w:bookmarkEnd w:id="151"/>
    </w:p>
    <w:p>
      <w:pPr>
        <w:spacing w:line="480" w:lineRule="exact"/>
        <w:ind w:firstLine="420" w:firstLineChars="200"/>
        <w:rPr>
          <w:rFonts w:hint="eastAsia" w:ascii="黑体" w:hAnsi="宋体" w:eastAsia="黑体"/>
          <w:color w:val="auto"/>
        </w:rPr>
      </w:pPr>
      <w:r>
        <w:rPr>
          <w:rFonts w:hint="eastAsia" w:ascii="黑体" w:hAnsi="宋体" w:eastAsia="黑体"/>
          <w:color w:val="auto"/>
        </w:rPr>
        <w:t>一、要求</w:t>
      </w:r>
    </w:p>
    <w:p>
      <w:pPr>
        <w:pStyle w:val="25"/>
        <w:rPr>
          <w:rFonts w:hint="eastAsia"/>
          <w:color w:val="auto"/>
        </w:rPr>
      </w:pPr>
      <w:r>
        <w:rPr>
          <w:rFonts w:hint="eastAsia"/>
          <w:color w:val="auto"/>
        </w:rPr>
        <w:t>为保证本技术标书所列采购设备的质量以及先进性、可靠性、经济性和实用性，要求投标方在投标文件中，至少应具备以下资格证明文件或资料：</w:t>
      </w:r>
    </w:p>
    <w:p>
      <w:pPr>
        <w:spacing w:line="520" w:lineRule="exact"/>
        <w:ind w:firstLine="417" w:firstLineChars="199"/>
        <w:rPr>
          <w:rFonts w:hint="eastAsia" w:ascii="宋体" w:hAnsi="宋体"/>
          <w:color w:val="auto"/>
        </w:rPr>
      </w:pPr>
      <w:r>
        <w:rPr>
          <w:rFonts w:hint="eastAsia" w:ascii="宋体" w:hAnsi="宋体"/>
          <w:color w:val="auto"/>
        </w:rPr>
        <w:t>1、投标方应是独立法人或得到法人授权的机构。应当在投标文件中提供法人营业执照（复印件）、税务登记证以及组织机构代码证（国外供应商参考该要求提供有效证明文件），并保证其真实性和有效性。</w:t>
      </w:r>
    </w:p>
    <w:p>
      <w:pPr>
        <w:spacing w:line="520" w:lineRule="exact"/>
        <w:ind w:firstLine="417" w:firstLineChars="199"/>
        <w:rPr>
          <w:rFonts w:hint="eastAsia"/>
          <w:color w:val="auto"/>
        </w:rPr>
      </w:pPr>
      <w:r>
        <w:rPr>
          <w:rFonts w:hint="eastAsia" w:ascii="宋体" w:hAnsi="宋体"/>
          <w:color w:val="auto"/>
        </w:rPr>
        <w:t>2、投标方应当是通过有关资格认证的法人。应当在投标文件中提供有效期内的资格认证证</w:t>
      </w:r>
      <w:r>
        <w:rPr>
          <w:rFonts w:hint="eastAsia"/>
          <w:color w:val="auto"/>
        </w:rPr>
        <w:t>书，如：ISO9001、VDA6.1、QS9000等。</w:t>
      </w:r>
    </w:p>
    <w:p>
      <w:pPr>
        <w:spacing w:line="520" w:lineRule="exact"/>
        <w:ind w:firstLine="417" w:firstLineChars="199"/>
        <w:rPr>
          <w:rFonts w:hint="eastAsia" w:ascii="宋体" w:hAnsi="宋体"/>
          <w:color w:val="auto"/>
        </w:rPr>
      </w:pPr>
      <w:r>
        <w:rPr>
          <w:rFonts w:hint="eastAsia" w:ascii="宋体" w:hAnsi="宋体"/>
          <w:color w:val="auto"/>
        </w:rPr>
        <w:t>3、国产设备应附有采购设备涉及的由“中国质量认证中心”颁发的《中国国家强制性产品认证证书》（CCC证书）。</w:t>
      </w:r>
    </w:p>
    <w:p>
      <w:pPr>
        <w:spacing w:line="520" w:lineRule="exact"/>
        <w:ind w:firstLine="417" w:firstLineChars="199"/>
        <w:rPr>
          <w:rFonts w:hint="eastAsia" w:ascii="宋体" w:hAnsi="宋体"/>
          <w:color w:val="auto"/>
        </w:rPr>
      </w:pPr>
      <w:r>
        <w:rPr>
          <w:rFonts w:hint="eastAsia" w:ascii="宋体" w:hAnsi="宋体"/>
          <w:color w:val="auto"/>
        </w:rPr>
        <w:t>4、应附有其它与投标单位、采购货物有关的荣誉证书或资料。</w:t>
      </w:r>
    </w:p>
    <w:p>
      <w:pPr>
        <w:spacing w:line="520" w:lineRule="exact"/>
        <w:ind w:firstLine="417" w:firstLineChars="199"/>
        <w:rPr>
          <w:rFonts w:hint="eastAsia" w:ascii="宋体" w:hAnsi="宋体"/>
          <w:color w:val="auto"/>
        </w:rPr>
      </w:pPr>
      <w:r>
        <w:rPr>
          <w:rFonts w:hint="eastAsia" w:ascii="宋体" w:hAnsi="宋体"/>
          <w:color w:val="auto"/>
        </w:rPr>
        <w:t>5、必须附有投标货物涉及产品要求的、国家或行业管理规定要求的、或者投标方认为能够体现其投标货物合法性及先进性的最高级别的证明材料（投标货物不涉及的除外）：</w:t>
      </w:r>
    </w:p>
    <w:p>
      <w:pPr>
        <w:spacing w:line="520" w:lineRule="exact"/>
        <w:ind w:firstLine="417" w:firstLineChars="199"/>
        <w:rPr>
          <w:rFonts w:hint="eastAsia" w:ascii="宋体" w:hAnsi="宋体"/>
          <w:color w:val="auto"/>
        </w:rPr>
      </w:pPr>
      <w:r>
        <w:rPr>
          <w:rFonts w:hint="eastAsia" w:ascii="宋体" w:hAnsi="宋体"/>
          <w:color w:val="auto"/>
        </w:rPr>
        <w:t>5.1  国家相关机构颁发的有效期之内所必需的《生产许可证》。</w:t>
      </w:r>
    </w:p>
    <w:p>
      <w:pPr>
        <w:spacing w:line="520" w:lineRule="exact"/>
        <w:ind w:firstLine="417" w:firstLineChars="199"/>
        <w:rPr>
          <w:rFonts w:hint="eastAsia" w:ascii="宋体" w:hAnsi="宋体"/>
          <w:color w:val="auto"/>
        </w:rPr>
      </w:pPr>
      <w:r>
        <w:rPr>
          <w:rFonts w:hint="eastAsia" w:ascii="宋体" w:hAnsi="宋体"/>
          <w:color w:val="auto"/>
        </w:rPr>
        <w:t>5.2  产品（或技术）鉴定报告/证书、专利证书或专利许可证书、新技术成果证书等。</w:t>
      </w:r>
    </w:p>
    <w:p>
      <w:pPr>
        <w:spacing w:line="520" w:lineRule="exact"/>
        <w:ind w:firstLine="417" w:firstLineChars="199"/>
        <w:rPr>
          <w:rFonts w:hint="eastAsia" w:ascii="宋体" w:hAnsi="宋体"/>
          <w:color w:val="auto"/>
        </w:rPr>
      </w:pPr>
      <w:r>
        <w:rPr>
          <w:rFonts w:hint="eastAsia" w:ascii="宋体" w:hAnsi="宋体"/>
          <w:color w:val="auto"/>
        </w:rPr>
        <w:t>5.3  产品相关检验、试验报告，如：型式试验检验报告、安全试验检验报告、电弧效应试验报告、噪声检测报告等</w:t>
      </w:r>
    </w:p>
    <w:p>
      <w:pPr>
        <w:spacing w:line="520" w:lineRule="exact"/>
        <w:ind w:firstLine="417" w:firstLineChars="199"/>
        <w:rPr>
          <w:rFonts w:hint="eastAsia" w:ascii="宋体" w:hAnsi="宋体"/>
          <w:color w:val="auto"/>
        </w:rPr>
      </w:pPr>
      <w:r>
        <w:rPr>
          <w:rFonts w:hint="eastAsia" w:ascii="宋体" w:hAnsi="宋体"/>
          <w:color w:val="auto"/>
        </w:rPr>
        <w:t>5.4  其它能够证明所供设备的质量水平、技术水平、安全性水平、节能性水平、环保性水平等相关的其它证明文件或资料、报告等。</w:t>
      </w:r>
    </w:p>
    <w:p>
      <w:pPr>
        <w:spacing w:line="520" w:lineRule="exact"/>
        <w:ind w:firstLine="417" w:firstLineChars="199"/>
        <w:rPr>
          <w:rFonts w:hint="eastAsia" w:ascii="宋体" w:hAnsi="宋体"/>
          <w:color w:val="auto"/>
        </w:rPr>
      </w:pPr>
      <w:r>
        <w:rPr>
          <w:rFonts w:hint="eastAsia" w:ascii="宋体" w:hAnsi="宋体"/>
          <w:color w:val="auto"/>
        </w:rPr>
        <w:t>5.5  该类报告或证明材料对于投标方胜出乃至中标极为重要！</w:t>
      </w:r>
    </w:p>
    <w:p>
      <w:pPr>
        <w:spacing w:line="520" w:lineRule="exact"/>
        <w:ind w:firstLine="417" w:firstLineChars="199"/>
        <w:rPr>
          <w:rFonts w:hint="eastAsia" w:ascii="宋体" w:hAnsi="宋体"/>
          <w:color w:val="auto"/>
        </w:rPr>
      </w:pPr>
      <w:r>
        <w:rPr>
          <w:rFonts w:hint="eastAsia" w:ascii="宋体" w:hAnsi="宋体"/>
          <w:color w:val="auto"/>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内容；投标方应当保证其业绩的真实性，否则将影响投标或中标资格。</w:t>
      </w:r>
    </w:p>
    <w:p>
      <w:pPr>
        <w:spacing w:line="520" w:lineRule="exact"/>
        <w:ind w:firstLine="417" w:firstLineChars="199"/>
        <w:rPr>
          <w:rFonts w:hint="eastAsia" w:ascii="黑体" w:hAnsi="宋体" w:eastAsia="黑体"/>
          <w:color w:val="auto"/>
        </w:rPr>
      </w:pPr>
      <w:r>
        <w:rPr>
          <w:rFonts w:hint="eastAsia" w:ascii="黑体" w:hAnsi="宋体" w:eastAsia="黑体"/>
          <w:color w:val="auto"/>
        </w:rPr>
        <w:t>二、说明</w:t>
      </w:r>
    </w:p>
    <w:p>
      <w:pPr>
        <w:spacing w:line="480" w:lineRule="exact"/>
        <w:ind w:firstLine="420" w:firstLineChars="200"/>
        <w:rPr>
          <w:rFonts w:hint="eastAsia" w:ascii="宋体" w:hAnsi="宋体"/>
          <w:color w:val="auto"/>
        </w:rPr>
      </w:pPr>
      <w:r>
        <w:rPr>
          <w:rFonts w:hint="eastAsia" w:ascii="宋体" w:hAnsi="宋体"/>
          <w:color w:val="auto"/>
        </w:rPr>
        <w:t>1、投标方可以根据自身的技术、经验等优势以及对招标文件和本技术标书的理解，写明对招标方所采购设备的优化方案或建议意见。投标方的这些努力，招标方表示感谢，并将有助于投标方优先胜出。</w:t>
      </w:r>
    </w:p>
    <w:p>
      <w:pPr>
        <w:spacing w:line="480" w:lineRule="exact"/>
        <w:ind w:firstLine="420" w:firstLineChars="200"/>
        <w:rPr>
          <w:rFonts w:hint="eastAsia" w:ascii="宋体" w:hAnsi="宋体"/>
          <w:color w:val="auto"/>
        </w:rPr>
      </w:pPr>
      <w:r>
        <w:rPr>
          <w:rFonts w:hint="eastAsia" w:ascii="宋体" w:hAnsi="宋体"/>
          <w:color w:val="auto"/>
        </w:rPr>
        <w:t>2、即使有建议意见或建议方案，仍应依据招标文件和本技术标书要求，编写符合要求的投标文件。建议方案或建议意见，应以单独篇章或文件，予以说明。</w:t>
      </w:r>
    </w:p>
    <w:p>
      <w:pPr>
        <w:spacing w:line="480" w:lineRule="exact"/>
        <w:ind w:firstLine="420" w:firstLineChars="200"/>
        <w:rPr>
          <w:rFonts w:hint="eastAsia" w:ascii="宋体" w:hAnsi="宋体"/>
          <w:color w:val="auto"/>
        </w:rPr>
      </w:pPr>
      <w:r>
        <w:rPr>
          <w:rFonts w:hint="eastAsia" w:ascii="宋体" w:hAnsi="宋体"/>
          <w:color w:val="auto"/>
        </w:rPr>
        <w:t>3、请投标方仔细阅读“采购货物概况”章节内说明，针对允许分投分中的设备，招标方有权利选择其中优秀设备或服务，作为投标方合同供货范围中的指定选用设备或服务（替代投标方分投而未中标部分）。</w:t>
      </w:r>
    </w:p>
    <w:p>
      <w:pPr>
        <w:spacing w:line="480" w:lineRule="exact"/>
        <w:ind w:firstLine="420" w:firstLineChars="200"/>
        <w:rPr>
          <w:rFonts w:hint="eastAsia" w:ascii="宋体" w:hAnsi="宋体"/>
          <w:color w:val="auto"/>
        </w:rPr>
      </w:pPr>
      <w:r>
        <w:rPr>
          <w:rFonts w:hint="eastAsia" w:ascii="宋体" w:hAnsi="宋体"/>
          <w:color w:val="auto"/>
        </w:rPr>
        <w:t>4、招标文件、投标文件、答疑文件、技术交流文件、技术协议书等，在采购过程全部为有效文件，如有差异，以对招标方最有利的条款为准。</w:t>
      </w:r>
    </w:p>
    <w:p>
      <w:pPr>
        <w:spacing w:line="480" w:lineRule="exact"/>
        <w:ind w:firstLine="420" w:firstLineChars="200"/>
        <w:rPr>
          <w:rFonts w:hint="eastAsia" w:ascii="宋体" w:hAnsi="宋体"/>
          <w:color w:val="auto"/>
        </w:rPr>
      </w:pPr>
      <w:r>
        <w:rPr>
          <w:rFonts w:hint="eastAsia" w:ascii="宋体" w:hAnsi="宋体"/>
          <w:color w:val="auto"/>
        </w:rPr>
        <w:t>5、为避免歧异，本技术标书涉及招投标环节的条款，均将潜在的卖方称为投标方、将买方称为招标方；定标后合同签署环节以及后续的合同执行环节条款，招标方称为买方、投标方中的中标方称为卖方。</w:t>
      </w:r>
    </w:p>
    <w:p>
      <w:pPr>
        <w:spacing w:line="480" w:lineRule="exact"/>
        <w:rPr>
          <w:rFonts w:hint="eastAsia" w:ascii="宋体" w:hAnsi="宋体"/>
          <w:color w:val="auto"/>
        </w:rPr>
      </w:pPr>
    </w:p>
    <w:p>
      <w:pPr>
        <w:spacing w:line="480" w:lineRule="exact"/>
        <w:ind w:firstLine="420" w:firstLineChars="200"/>
        <w:rPr>
          <w:rFonts w:hint="default" w:ascii="宋体" w:hAnsi="宋体" w:eastAsia="宋体"/>
          <w:color w:val="auto"/>
          <w:lang w:val="en-US" w:eastAsia="zh-CN"/>
        </w:rPr>
      </w:pPr>
      <w:r>
        <w:rPr>
          <w:rFonts w:hint="eastAsia" w:ascii="宋体" w:hAnsi="宋体"/>
          <w:b/>
          <w:color w:val="auto"/>
        </w:rPr>
        <w:t xml:space="preserve">技术部分答疑人： </w:t>
      </w:r>
      <w:r>
        <w:rPr>
          <w:rFonts w:hint="eastAsia" w:ascii="宋体" w:hAnsi="宋体"/>
          <w:b/>
          <w:color w:val="auto"/>
          <w:lang w:val="en-US" w:eastAsia="zh-CN"/>
        </w:rPr>
        <w:t>孙立君：19588970535    何文亮</w:t>
      </w:r>
      <w:r>
        <w:rPr>
          <w:rFonts w:hint="eastAsia" w:ascii="宋体" w:hAnsi="宋体"/>
          <w:b/>
          <w:color w:val="auto"/>
        </w:rPr>
        <w:t xml:space="preserve"> </w:t>
      </w:r>
      <w:r>
        <w:rPr>
          <w:rFonts w:hint="eastAsia" w:ascii="宋体" w:hAnsi="宋体"/>
          <w:b/>
          <w:color w:val="auto"/>
          <w:lang w:val="en-US" w:eastAsia="zh-CN"/>
        </w:rPr>
        <w:t>15066696050</w:t>
      </w:r>
    </w:p>
    <w:p>
      <w:pPr>
        <w:rPr>
          <w:color w:val="auto"/>
        </w:rPr>
      </w:pPr>
    </w:p>
    <w:p>
      <w:pPr>
        <w:rPr>
          <w:color w:val="auto"/>
        </w:rPr>
      </w:pPr>
    </w:p>
    <w:p>
      <w:pPr>
        <w:rPr>
          <w:rFonts w:ascii="宋体" w:hAnsi="宋体" w:eastAsia="宋体" w:cs="Times New Roman"/>
          <w:b/>
          <w:color w:val="auto"/>
          <w:sz w:val="36"/>
          <w:szCs w:val="36"/>
        </w:rPr>
      </w:pPr>
    </w:p>
    <w:p>
      <w:pPr>
        <w:rPr>
          <w:rFonts w:ascii="宋体" w:hAnsi="宋体" w:eastAsia="宋体" w:cs="Times New Roman"/>
          <w:b/>
          <w:color w:val="auto"/>
          <w:sz w:val="36"/>
          <w:szCs w:val="36"/>
        </w:rPr>
      </w:pPr>
    </w:p>
    <w:p>
      <w:pPr>
        <w:rPr>
          <w:rFonts w:ascii="宋体" w:hAnsi="宋体" w:eastAsia="宋体" w:cs="Times New Roman"/>
          <w:b/>
          <w:color w:val="auto"/>
          <w:sz w:val="36"/>
          <w:szCs w:val="36"/>
        </w:rPr>
      </w:pPr>
    </w:p>
    <w:p>
      <w:pPr>
        <w:rPr>
          <w:rFonts w:ascii="宋体" w:hAnsi="宋体" w:eastAsia="宋体" w:cs="Times New Roman"/>
          <w:b/>
          <w:color w:val="auto"/>
          <w:sz w:val="36"/>
          <w:szCs w:val="36"/>
        </w:rPr>
      </w:pPr>
    </w:p>
    <w:p>
      <w:pPr>
        <w:rPr>
          <w:rFonts w:ascii="宋体" w:hAnsi="宋体" w:eastAsia="宋体" w:cs="Times New Roman"/>
          <w:b/>
          <w:color w:val="auto"/>
          <w:sz w:val="36"/>
          <w:szCs w:val="36"/>
        </w:rPr>
      </w:pPr>
    </w:p>
    <w:p>
      <w:pPr>
        <w:rPr>
          <w:rFonts w:ascii="宋体" w:hAnsi="宋体" w:eastAsia="宋体" w:cs="Times New Roman"/>
          <w:b/>
          <w:color w:val="auto"/>
          <w:sz w:val="36"/>
          <w:szCs w:val="36"/>
        </w:rPr>
      </w:pPr>
    </w:p>
    <w:p>
      <w:pPr>
        <w:rPr>
          <w:rFonts w:ascii="宋体" w:hAnsi="宋体" w:eastAsia="宋体" w:cs="Times New Roman"/>
          <w:b/>
          <w:color w:val="auto"/>
          <w:sz w:val="36"/>
          <w:szCs w:val="36"/>
        </w:rPr>
      </w:pPr>
    </w:p>
    <w:p>
      <w:pPr>
        <w:pStyle w:val="172"/>
        <w:rPr>
          <w:rFonts w:hint="default" w:hAnsi="宋体"/>
          <w:sz w:val="24"/>
          <w:lang w:val="en-US"/>
        </w:rPr>
      </w:pPr>
    </w:p>
    <w:p>
      <w:pPr>
        <w:rPr>
          <w:rFonts w:hint="eastAsia" w:ascii="仿宋_GB2312" w:hAnsi="仿宋_GB2312" w:eastAsia="仿宋_GB2312" w:cs="仿宋_GB2312"/>
          <w:sz w:val="44"/>
          <w:highlight w:val="green"/>
        </w:rPr>
        <w:sectPr>
          <w:pgSz w:w="11907" w:h="16840"/>
          <w:pgMar w:top="1304" w:right="1418" w:bottom="1304" w:left="1418" w:header="724" w:footer="851" w:gutter="0"/>
          <w:cols w:space="720" w:num="1"/>
          <w:docGrid w:linePitch="290" w:charSpace="-3931"/>
        </w:sectPr>
      </w:pPr>
    </w:p>
    <w:p>
      <w:pPr>
        <w:rPr>
          <w:rFonts w:hint="eastAsia" w:ascii="仿宋_GB2312" w:hAnsi="仿宋_GB2312" w:eastAsia="仿宋_GB2312" w:cs="仿宋_GB2312"/>
          <w:sz w:val="44"/>
          <w:highlight w:val="green"/>
        </w:rPr>
      </w:pPr>
    </w:p>
    <w:p>
      <w:pPr>
        <w:pStyle w:val="22"/>
      </w:pPr>
    </w:p>
    <w:p>
      <w:r>
        <w:br w:type="page"/>
      </w:r>
    </w:p>
    <w:p>
      <w:pPr>
        <w:pStyle w:val="22"/>
      </w:pPr>
    </w:p>
    <w:p>
      <w:pPr>
        <w:spacing w:line="360" w:lineRule="auto"/>
        <w:jc w:val="center"/>
        <w:outlineLvl w:val="0"/>
        <w:rPr>
          <w:rFonts w:ascii="宋体" w:hAnsi="Calibri" w:eastAsia="宋体" w:cs="Times New Roman"/>
          <w:b/>
          <w:sz w:val="36"/>
          <w:szCs w:val="36"/>
        </w:rPr>
      </w:pPr>
      <w:bookmarkStart w:id="152"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52"/>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3" w:type="default"/>
          <w:footerReference r:id="rId14"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53" w:name="_Toc8509"/>
      <w:bookmarkStart w:id="154" w:name="_Toc15851"/>
      <w:bookmarkStart w:id="155" w:name="_Toc20872"/>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53"/>
      <w:bookmarkEnd w:id="154"/>
      <w:bookmarkEnd w:id="155"/>
    </w:p>
    <w:p>
      <w:pPr>
        <w:keepNext/>
        <w:keepLines/>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2"/>
        <w:rPr>
          <w:rFonts w:ascii="Times New Roman" w:hAnsi="Times New Roman" w:eastAsia="宋体" w:cs="Times New Roman"/>
          <w:b/>
          <w:bCs/>
          <w:color w:val="000000"/>
          <w:sz w:val="24"/>
          <w:szCs w:val="24"/>
        </w:rPr>
        <w:sectPr>
          <w:footerReference r:id="rId16" w:type="first"/>
          <w:footerReference r:id="rId15"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cs="宋体"/>
                <w:szCs w:val="21"/>
                <w:lang w:val="en-US" w:eastAsia="zh-CN"/>
              </w:rPr>
              <w:t>方向机拧紧机</w:t>
            </w: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cs="宋体"/>
                <w:sz w:val="24"/>
                <w:szCs w:val="24"/>
              </w:rPr>
            </w:pPr>
          </w:p>
        </w:tc>
        <w:tc>
          <w:tcPr>
            <w:tcW w:w="645" w:type="dxa"/>
            <w:vAlign w:val="center"/>
          </w:tcPr>
          <w:p>
            <w:pPr>
              <w:widowControl/>
              <w:jc w:val="center"/>
              <w:textAlignment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cs="宋体"/>
                <w:szCs w:val="21"/>
                <w:lang w:val="en-US" w:eastAsia="zh-CN"/>
              </w:rPr>
              <w:t>板簧销拧紧机</w:t>
            </w: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lang w:val="en-US" w:eastAsia="zh-CN"/>
              </w:rPr>
            </w:pPr>
            <w:r>
              <w:rPr>
                <w:rFonts w:hint="eastAsia" w:ascii="宋体" w:hAnsi="宋体" w:eastAsia="宋体"/>
                <w:szCs w:val="21"/>
                <w:lang w:val="en-US" w:eastAsia="zh-CN"/>
              </w:rPr>
              <w:t>2</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4" w:hRule="atLeast"/>
        </w:trPr>
        <w:tc>
          <w:tcPr>
            <w:tcW w:w="337"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cs="宋体"/>
                <w:szCs w:val="21"/>
                <w:lang w:val="en-US" w:eastAsia="zh-CN"/>
              </w:rPr>
              <w:t>方向机拧紧机</w:t>
            </w: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cs="宋体"/>
                <w:sz w:val="24"/>
                <w:szCs w:val="24"/>
              </w:rPr>
            </w:pPr>
          </w:p>
        </w:tc>
        <w:tc>
          <w:tcPr>
            <w:tcW w:w="283" w:type="pct"/>
            <w:vAlign w:val="center"/>
          </w:tcPr>
          <w:p>
            <w:pPr>
              <w:widowControl/>
              <w:jc w:val="center"/>
              <w:textAlignment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cs="宋体"/>
                <w:szCs w:val="21"/>
                <w:lang w:val="en-US" w:eastAsia="zh-CN"/>
              </w:rPr>
              <w:t>板簧销拧紧机</w:t>
            </w: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lang w:val="en-US" w:eastAsia="zh-CN"/>
              </w:rPr>
            </w:pPr>
            <w:r>
              <w:rPr>
                <w:rFonts w:hint="eastAsia" w:ascii="宋体" w:hAnsi="宋体" w:eastAsia="宋体"/>
                <w:szCs w:val="21"/>
                <w:lang w:val="en-US" w:eastAsia="zh-CN"/>
              </w:rPr>
              <w:t>2</w:t>
            </w: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5"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6"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7"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8"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2"/>
      </w:pPr>
    </w:p>
    <w:p>
      <w:pPr>
        <w:pStyle w:val="22"/>
      </w:pPr>
    </w:p>
    <w:p>
      <w:pPr>
        <w:spacing w:before="140" w:line="220" w:lineRule="auto"/>
        <w:ind w:left="2" w:firstLine="464" w:firstLineChars="200"/>
        <w:rPr>
          <w:rFonts w:hint="eastAsia" w:ascii="宋体" w:hAnsi="宋体" w:eastAsia="宋体" w:cs="宋体"/>
          <w:spacing w:val="-2"/>
          <w:szCs w:val="21"/>
        </w:rPr>
        <w:sectPr>
          <w:footerReference r:id="rId29"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30"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32" w:type="first"/>
          <w:footerReference r:id="rId34" w:type="first"/>
          <w:headerReference r:id="rId31" w:type="default"/>
          <w:footerReference r:id="rId33" w:type="default"/>
          <w:pgSz w:w="11906" w:h="16838"/>
          <w:pgMar w:top="1588" w:right="1418" w:bottom="1134" w:left="1418"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highlight w:val="yellow"/>
        </w:rPr>
      </w:pPr>
      <w:r>
        <w:rPr>
          <w:rFonts w:hint="eastAsia" w:ascii="Times New Roman" w:hAnsi="Times New Roman" w:eastAsia="宋体" w:cs="Times New Roman"/>
          <w:b/>
          <w:bCs/>
          <w:color w:val="000000"/>
          <w:sz w:val="24"/>
          <w:szCs w:val="24"/>
          <w:highlight w:val="yellow"/>
        </w:rPr>
        <w:t>附件14技术标评分标准</w:t>
      </w:r>
    </w:p>
    <w:p>
      <w:pPr>
        <w:snapToGrid w:val="0"/>
        <w:spacing w:line="240" w:lineRule="atLeast"/>
        <w:jc w:val="center"/>
        <w:rPr>
          <w:rFonts w:hint="eastAsia" w:ascii="仿宋_GB2312" w:hAnsi="仿宋_GB2312" w:cs="仿宋_GB2312"/>
          <w:b/>
          <w:bCs w:val="0"/>
          <w:lang w:val="en-US" w:eastAsia="zh-CN"/>
        </w:rPr>
      </w:pPr>
      <w:r>
        <w:rPr>
          <w:rFonts w:hint="eastAsia" w:ascii="仿宋_GB2312" w:hAnsi="仿宋_GB2312" w:eastAsia="仿宋_GB2312" w:cs="仿宋_GB2312"/>
          <w:spacing w:val="32"/>
          <w:szCs w:val="28"/>
        </w:rPr>
        <w:t>技术标评审表(100分)</w:t>
      </w:r>
    </w:p>
    <w:tbl>
      <w:tblPr>
        <w:tblStyle w:val="4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5"/>
        <w:gridCol w:w="1487"/>
        <w:gridCol w:w="987"/>
        <w:gridCol w:w="3577"/>
        <w:gridCol w:w="1284"/>
        <w:gridCol w:w="69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vAlign w:val="center"/>
          </w:tcPr>
          <w:p>
            <w:pPr>
              <w:adjustRightInd w:val="0"/>
              <w:snapToGrid w:val="0"/>
              <w:jc w:val="center"/>
              <w:rPr>
                <w:rFonts w:hint="eastAsia" w:ascii="仿宋_GB2312" w:hAnsi="仿宋_GB2312" w:eastAsia="仿宋_GB2312" w:cs="仿宋_GB2312"/>
                <w:b/>
                <w:bCs/>
                <w:spacing w:val="32"/>
                <w:sz w:val="21"/>
                <w:szCs w:val="21"/>
              </w:rPr>
            </w:pPr>
            <w:r>
              <w:rPr>
                <w:rFonts w:hint="eastAsia" w:ascii="仿宋_GB2312" w:hAnsi="仿宋_GB2312" w:eastAsia="仿宋_GB2312" w:cs="仿宋_GB2312"/>
                <w:b/>
                <w:bCs/>
                <w:spacing w:val="32"/>
                <w:sz w:val="21"/>
                <w:szCs w:val="21"/>
              </w:rPr>
              <w:t>评价类型</w:t>
            </w:r>
          </w:p>
        </w:tc>
        <w:tc>
          <w:tcPr>
            <w:tcW w:w="476" w:type="pct"/>
            <w:vAlign w:val="center"/>
          </w:tcPr>
          <w:p>
            <w:pPr>
              <w:adjustRightInd w:val="0"/>
              <w:snapToGrid w:val="0"/>
              <w:jc w:val="center"/>
              <w:rPr>
                <w:rFonts w:hint="eastAsia" w:ascii="仿宋_GB2312" w:hAnsi="仿宋_GB2312" w:eastAsia="仿宋_GB2312" w:cs="仿宋_GB2312"/>
                <w:b/>
                <w:bCs/>
                <w:spacing w:val="32"/>
                <w:sz w:val="21"/>
                <w:szCs w:val="21"/>
              </w:rPr>
            </w:pPr>
            <w:r>
              <w:rPr>
                <w:rFonts w:hint="eastAsia" w:ascii="仿宋_GB2312" w:hAnsi="仿宋_GB2312" w:eastAsia="仿宋_GB2312" w:cs="仿宋_GB2312"/>
                <w:b/>
                <w:bCs/>
                <w:spacing w:val="32"/>
                <w:sz w:val="21"/>
                <w:szCs w:val="21"/>
              </w:rPr>
              <w:t>评审内容</w:t>
            </w:r>
          </w:p>
        </w:tc>
        <w:tc>
          <w:tcPr>
            <w:tcW w:w="316" w:type="pct"/>
            <w:vAlign w:val="center"/>
          </w:tcPr>
          <w:p>
            <w:pPr>
              <w:adjustRightInd w:val="0"/>
              <w:snapToGrid w:val="0"/>
              <w:jc w:val="center"/>
              <w:rPr>
                <w:rFonts w:hint="eastAsia" w:ascii="仿宋_GB2312" w:hAnsi="仿宋_GB2312" w:eastAsia="仿宋_GB2312" w:cs="仿宋_GB2312"/>
                <w:b/>
                <w:bCs/>
                <w:spacing w:val="32"/>
                <w:sz w:val="21"/>
                <w:szCs w:val="21"/>
              </w:rPr>
            </w:pPr>
            <w:r>
              <w:rPr>
                <w:rFonts w:hint="eastAsia" w:ascii="仿宋_GB2312" w:hAnsi="仿宋_GB2312" w:eastAsia="仿宋_GB2312" w:cs="仿宋_GB2312"/>
                <w:b/>
                <w:bCs/>
                <w:spacing w:val="32"/>
                <w:sz w:val="21"/>
                <w:szCs w:val="21"/>
              </w:rPr>
              <w:t>序号</w:t>
            </w:r>
          </w:p>
        </w:tc>
        <w:tc>
          <w:tcPr>
            <w:tcW w:w="1145" w:type="pct"/>
            <w:vAlign w:val="center"/>
          </w:tcPr>
          <w:p>
            <w:pPr>
              <w:adjustRightInd w:val="0"/>
              <w:snapToGrid w:val="0"/>
              <w:jc w:val="center"/>
              <w:rPr>
                <w:rFonts w:hint="eastAsia" w:ascii="仿宋_GB2312" w:hAnsi="仿宋_GB2312" w:eastAsia="仿宋_GB2312" w:cs="仿宋_GB2312"/>
                <w:b/>
                <w:bCs/>
                <w:spacing w:val="32"/>
                <w:sz w:val="21"/>
                <w:szCs w:val="21"/>
              </w:rPr>
            </w:pPr>
            <w:r>
              <w:rPr>
                <w:rFonts w:hint="eastAsia" w:ascii="仿宋_GB2312" w:hAnsi="仿宋_GB2312" w:eastAsia="仿宋_GB2312" w:cs="仿宋_GB2312"/>
                <w:b/>
                <w:bCs/>
                <w:spacing w:val="32"/>
                <w:sz w:val="21"/>
                <w:szCs w:val="21"/>
              </w:rPr>
              <w:t>内容</w:t>
            </w:r>
          </w:p>
        </w:tc>
        <w:tc>
          <w:tcPr>
            <w:tcW w:w="411" w:type="pct"/>
            <w:vAlign w:val="center"/>
          </w:tcPr>
          <w:p>
            <w:pPr>
              <w:adjustRightInd w:val="0"/>
              <w:snapToGrid w:val="0"/>
              <w:jc w:val="center"/>
              <w:rPr>
                <w:rFonts w:hint="eastAsia" w:ascii="仿宋_GB2312" w:hAnsi="仿宋_GB2312" w:eastAsia="仿宋_GB2312" w:cs="仿宋_GB2312"/>
                <w:b/>
                <w:bCs/>
                <w:spacing w:val="32"/>
                <w:sz w:val="21"/>
                <w:szCs w:val="21"/>
              </w:rPr>
            </w:pPr>
            <w:r>
              <w:rPr>
                <w:rFonts w:hint="eastAsia" w:ascii="仿宋_GB2312" w:hAnsi="仿宋_GB2312" w:eastAsia="仿宋_GB2312" w:cs="仿宋_GB2312"/>
                <w:b/>
                <w:bCs/>
                <w:spacing w:val="32"/>
                <w:sz w:val="21"/>
                <w:szCs w:val="21"/>
              </w:rPr>
              <w:t>标准分</w:t>
            </w:r>
          </w:p>
        </w:tc>
        <w:tc>
          <w:tcPr>
            <w:tcW w:w="2226" w:type="pct"/>
            <w:vAlign w:val="center"/>
          </w:tcPr>
          <w:p>
            <w:pPr>
              <w:adjustRightInd w:val="0"/>
              <w:snapToGrid w:val="0"/>
              <w:jc w:val="center"/>
              <w:rPr>
                <w:rFonts w:hint="eastAsia" w:ascii="仿宋_GB2312" w:hAnsi="仿宋_GB2312" w:eastAsia="仿宋_GB2312" w:cs="仿宋_GB2312"/>
                <w:b/>
                <w:bCs/>
                <w:spacing w:val="32"/>
                <w:sz w:val="21"/>
                <w:szCs w:val="21"/>
              </w:rPr>
            </w:pPr>
            <w:r>
              <w:rPr>
                <w:rFonts w:hint="eastAsia" w:ascii="仿宋_GB2312" w:hAnsi="仿宋_GB2312" w:eastAsia="仿宋_GB2312" w:cs="仿宋_GB2312"/>
                <w:b/>
                <w:bCs/>
                <w:spacing w:val="32"/>
                <w:sz w:val="21"/>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vMerge w:val="restar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技术100分</w:t>
            </w:r>
          </w:p>
        </w:tc>
        <w:tc>
          <w:tcPr>
            <w:tcW w:w="47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业绩</w:t>
            </w:r>
          </w:p>
        </w:tc>
        <w:tc>
          <w:tcPr>
            <w:tcW w:w="31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1</w:t>
            </w:r>
          </w:p>
        </w:tc>
        <w:tc>
          <w:tcPr>
            <w:tcW w:w="1145"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设备制造商同类型项目业绩</w:t>
            </w:r>
          </w:p>
        </w:tc>
        <w:tc>
          <w:tcPr>
            <w:tcW w:w="411"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6</w:t>
            </w:r>
          </w:p>
        </w:tc>
        <w:tc>
          <w:tcPr>
            <w:tcW w:w="2226" w:type="pct"/>
            <w:vAlign w:val="center"/>
          </w:tcPr>
          <w:p>
            <w:pPr>
              <w:adjustRightInd w:val="0"/>
              <w:snapToGrid w:val="0"/>
              <w:jc w:val="left"/>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由评标委员会成员独立进行客观、公正 的评价，按照优、良、一般进行赋分，优 得6分，良得4分，一般得2分(时间以签订日期为准)。投标人在2022年1月1日以来在中国与本标同类规格产品的业绩，以合同复印件加盖公章为准(须有客户联系方式及联系人以供招标人核实确认)。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476" w:type="pct"/>
            <w:vMerge w:val="restar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产品技术</w:t>
            </w:r>
          </w:p>
        </w:tc>
        <w:tc>
          <w:tcPr>
            <w:tcW w:w="31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2</w:t>
            </w:r>
          </w:p>
        </w:tc>
        <w:tc>
          <w:tcPr>
            <w:tcW w:w="1145" w:type="pct"/>
            <w:vAlign w:val="center"/>
          </w:tcPr>
          <w:p>
            <w:pPr>
              <w:adjustRightInd w:val="0"/>
              <w:snapToGrid w:val="0"/>
              <w:jc w:val="left"/>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设备制造商装备制造能力、生产设备、加工工艺、完善程度</w:t>
            </w:r>
          </w:p>
        </w:tc>
        <w:tc>
          <w:tcPr>
            <w:tcW w:w="411"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6</w:t>
            </w:r>
          </w:p>
        </w:tc>
        <w:tc>
          <w:tcPr>
            <w:tcW w:w="2226" w:type="pct"/>
            <w:vAlign w:val="center"/>
          </w:tcPr>
          <w:p>
            <w:pPr>
              <w:adjustRightInd w:val="0"/>
              <w:snapToGrid w:val="0"/>
              <w:jc w:val="left"/>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476"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31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3</w:t>
            </w:r>
          </w:p>
        </w:tc>
        <w:tc>
          <w:tcPr>
            <w:tcW w:w="1145"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产品方案技术</w:t>
            </w:r>
          </w:p>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先进、各系统</w:t>
            </w:r>
          </w:p>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完善、性能可</w:t>
            </w:r>
          </w:p>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靠，设备主要</w:t>
            </w:r>
          </w:p>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核心部件，具</w:t>
            </w:r>
          </w:p>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备自身技术</w:t>
            </w:r>
          </w:p>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优势</w:t>
            </w:r>
          </w:p>
        </w:tc>
        <w:tc>
          <w:tcPr>
            <w:tcW w:w="411"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50</w:t>
            </w:r>
          </w:p>
        </w:tc>
        <w:tc>
          <w:tcPr>
            <w:tcW w:w="2226" w:type="pct"/>
            <w:vAlign w:val="center"/>
          </w:tcPr>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以下各项由评标委员会成员独立进行客观、公正的评价打分。</w:t>
            </w:r>
          </w:p>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①定制系统方案已到达招标要求，设备主要核心部件，具备自身技术优势，打分0-16分。</w:t>
            </w:r>
          </w:p>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②系统配置齐全，其精度、参数、技术水平、可靠性等优势明显，打分0-16分。</w:t>
            </w:r>
          </w:p>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③操作灵活方便，系统开放程度高，打分0-10分。</w:t>
            </w:r>
          </w:p>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④综合评价，打分0-8分。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jc w:val="center"/>
        </w:trPr>
        <w:tc>
          <w:tcPr>
            <w:tcW w:w="424"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47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答疑</w:t>
            </w:r>
          </w:p>
        </w:tc>
        <w:tc>
          <w:tcPr>
            <w:tcW w:w="31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4</w:t>
            </w:r>
          </w:p>
        </w:tc>
        <w:tc>
          <w:tcPr>
            <w:tcW w:w="1145"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现场答疑</w:t>
            </w:r>
          </w:p>
        </w:tc>
        <w:tc>
          <w:tcPr>
            <w:tcW w:w="411"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8</w:t>
            </w:r>
          </w:p>
        </w:tc>
        <w:tc>
          <w:tcPr>
            <w:tcW w:w="2226" w:type="pct"/>
            <w:vAlign w:val="center"/>
          </w:tcPr>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投标人代表对方案、技术优势的讲解，以及就该项目难点回答评标专家现场提问，打分0-8分。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9" w:hRule="atLeast"/>
          <w:jc w:val="center"/>
        </w:trPr>
        <w:tc>
          <w:tcPr>
            <w:tcW w:w="424"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47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技术偏离</w:t>
            </w:r>
          </w:p>
        </w:tc>
        <w:tc>
          <w:tcPr>
            <w:tcW w:w="31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5</w:t>
            </w:r>
          </w:p>
        </w:tc>
        <w:tc>
          <w:tcPr>
            <w:tcW w:w="1145"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技术偏离</w:t>
            </w:r>
          </w:p>
        </w:tc>
        <w:tc>
          <w:tcPr>
            <w:tcW w:w="411"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12</w:t>
            </w:r>
          </w:p>
        </w:tc>
        <w:tc>
          <w:tcPr>
            <w:tcW w:w="2226" w:type="pct"/>
            <w:vAlign w:val="center"/>
          </w:tcPr>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由评标委员会成员独立进行客观、公正的评价，根据各投标人的核心产品的配置参数、技术偏离情况，在满足我司技术基本要求的前提下偏离，无偏离得满分12分，较大偏离每一项扣4分，一般偏离每一项扣2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476" w:type="pct"/>
            <w:vMerge w:val="restar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售后服务</w:t>
            </w:r>
          </w:p>
        </w:tc>
        <w:tc>
          <w:tcPr>
            <w:tcW w:w="31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6</w:t>
            </w:r>
          </w:p>
        </w:tc>
        <w:tc>
          <w:tcPr>
            <w:tcW w:w="1145"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技术培训方案：对采购方人员的技术培训方案安排科学、合理、可行</w:t>
            </w:r>
          </w:p>
        </w:tc>
        <w:tc>
          <w:tcPr>
            <w:tcW w:w="411"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6</w:t>
            </w:r>
          </w:p>
        </w:tc>
        <w:tc>
          <w:tcPr>
            <w:tcW w:w="2226" w:type="pct"/>
            <w:vAlign w:val="center"/>
          </w:tcPr>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476"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31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7</w:t>
            </w:r>
          </w:p>
        </w:tc>
        <w:tc>
          <w:tcPr>
            <w:tcW w:w="1145"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投标人在中国 有常驻的专业 技术力量的维 保机构并具有 实施本项目维 保的专业技术 人员：</w:t>
            </w:r>
          </w:p>
        </w:tc>
        <w:tc>
          <w:tcPr>
            <w:tcW w:w="411"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6</w:t>
            </w:r>
          </w:p>
        </w:tc>
        <w:tc>
          <w:tcPr>
            <w:tcW w:w="2226" w:type="pct"/>
            <w:vAlign w:val="center"/>
          </w:tcPr>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由评标委员会成员独立进行客观、公正的评价，按照优、良、一般进行赋分，优得6分，良得4分， 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476" w:type="pct"/>
            <w:vMerge w:val="continue"/>
            <w:vAlign w:val="center"/>
          </w:tcPr>
          <w:p>
            <w:pPr>
              <w:adjustRightInd w:val="0"/>
              <w:snapToGrid w:val="0"/>
              <w:jc w:val="center"/>
              <w:rPr>
                <w:rFonts w:hint="eastAsia" w:ascii="仿宋_GB2312" w:hAnsi="仿宋_GB2312" w:eastAsia="仿宋_GB2312" w:cs="仿宋_GB2312"/>
                <w:spacing w:val="32"/>
                <w:sz w:val="21"/>
                <w:szCs w:val="21"/>
              </w:rPr>
            </w:pPr>
          </w:p>
        </w:tc>
        <w:tc>
          <w:tcPr>
            <w:tcW w:w="316"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8</w:t>
            </w:r>
          </w:p>
        </w:tc>
        <w:tc>
          <w:tcPr>
            <w:tcW w:w="1145"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售后服务及时 周到，有相应的服务承诺和具体的保证措施</w:t>
            </w:r>
          </w:p>
        </w:tc>
        <w:tc>
          <w:tcPr>
            <w:tcW w:w="411" w:type="pct"/>
            <w:vAlign w:val="center"/>
          </w:tcPr>
          <w:p>
            <w:pPr>
              <w:adjustRightInd w:val="0"/>
              <w:snapToGrid w:val="0"/>
              <w:jc w:val="center"/>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6</w:t>
            </w:r>
          </w:p>
        </w:tc>
        <w:tc>
          <w:tcPr>
            <w:tcW w:w="2226" w:type="pct"/>
            <w:vAlign w:val="center"/>
          </w:tcPr>
          <w:p>
            <w:pPr>
              <w:adjustRightInd w:val="0"/>
              <w:snapToGrid w:val="0"/>
              <w:rPr>
                <w:rFonts w:hint="eastAsia" w:ascii="仿宋_GB2312" w:hAnsi="仿宋_GB2312" w:eastAsia="仿宋_GB2312" w:cs="仿宋_GB2312"/>
                <w:spacing w:val="32"/>
                <w:sz w:val="21"/>
                <w:szCs w:val="21"/>
              </w:rPr>
            </w:pPr>
            <w:r>
              <w:rPr>
                <w:rFonts w:hint="eastAsia" w:ascii="仿宋_GB2312" w:hAnsi="仿宋_GB2312" w:eastAsia="仿宋_GB2312" w:cs="仿宋_GB2312"/>
                <w:spacing w:val="32"/>
                <w:sz w:val="21"/>
                <w:szCs w:val="21"/>
              </w:rPr>
              <w:t>由评标委员会成员独立进行客观、公正的评价，按照优、良、一般进行赋分，优 得6分，良得4分，一般得2分。</w:t>
            </w:r>
          </w:p>
        </w:tc>
      </w:tr>
    </w:tbl>
    <w:p>
      <w:pPr>
        <w:outlineLvl w:val="2"/>
        <w:rPr>
          <w:rFonts w:hint="eastAsia" w:ascii="Times New Roman" w:hAnsi="Times New Roman" w:eastAsia="宋体" w:cs="Times New Roman"/>
          <w:b/>
          <w:bCs/>
          <w:color w:val="000000"/>
          <w:sz w:val="24"/>
          <w:szCs w:val="24"/>
          <w:highlight w:val="yellow"/>
        </w:rPr>
      </w:pP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2"/>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43"/>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44"/>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5"/>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6"/>
                    <a:stretch>
                      <a:fillRect/>
                    </a:stretch>
                  </pic:blipFill>
                  <pic:spPr>
                    <a:xfrm>
                      <a:off x="0" y="0"/>
                      <a:ext cx="5760085" cy="2810122"/>
                    </a:xfrm>
                    <a:prstGeom prst="rect">
                      <a:avLst/>
                    </a:prstGeom>
                  </pic:spPr>
                </pic:pic>
              </a:graphicData>
            </a:graphic>
          </wp:inline>
        </w:drawing>
      </w:r>
    </w:p>
    <w:p>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7"/>
                    <a:stretch>
                      <a:fillRect/>
                    </a:stretch>
                  </pic:blipFill>
                  <pic:spPr>
                    <a:xfrm>
                      <a:off x="0" y="0"/>
                      <a:ext cx="5760085" cy="2820042"/>
                    </a:xfrm>
                    <a:prstGeom prst="rect">
                      <a:avLst/>
                    </a:prstGeom>
                  </pic:spPr>
                </pic:pic>
              </a:graphicData>
            </a:graphic>
          </wp:inline>
        </w:drawing>
      </w:r>
    </w:p>
    <w:p>
      <w:pPr>
        <w:pStyle w:val="2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8"/>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9"/>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50"/>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51"/>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52"/>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53"/>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54"/>
                    <a:stretch>
                      <a:fillRect/>
                    </a:stretch>
                  </pic:blipFill>
                  <pic:spPr>
                    <a:xfrm>
                      <a:off x="0" y="0"/>
                      <a:ext cx="5760085" cy="1956600"/>
                    </a:xfrm>
                    <a:prstGeom prst="rect">
                      <a:avLst/>
                    </a:prstGeom>
                  </pic:spPr>
                </pic:pic>
              </a:graphicData>
            </a:graphic>
          </wp:inline>
        </w:drawing>
      </w:r>
    </w:p>
    <w:p>
      <w:pPr>
        <w:pStyle w:val="22"/>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pStyle w:val="22"/>
        <w:outlineLvl w:val="2"/>
      </w:pPr>
      <w:r>
        <w:drawing>
          <wp:inline distT="0" distB="0" distL="114300" distR="114300">
            <wp:extent cx="5749290" cy="2501265"/>
            <wp:effectExtent l="0" t="0" r="381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5"/>
                    <a:stretch>
                      <a:fillRect/>
                    </a:stretch>
                  </pic:blipFill>
                  <pic:spPr>
                    <a:xfrm>
                      <a:off x="0" y="0"/>
                      <a:ext cx="5749290" cy="2501265"/>
                    </a:xfrm>
                    <a:prstGeom prst="rect">
                      <a:avLst/>
                    </a:prstGeom>
                    <a:noFill/>
                    <a:ln>
                      <a:noFill/>
                    </a:ln>
                  </pic:spPr>
                </pic:pic>
              </a:graphicData>
            </a:graphic>
          </wp:inline>
        </w:drawing>
      </w:r>
    </w:p>
    <w:p>
      <w:pPr>
        <w:pStyle w:val="22"/>
        <w:outlineLvl w:val="2"/>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6"/>
                    <a:stretch>
                      <a:fillRect/>
                    </a:stretch>
                  </pic:blipFill>
                  <pic:spPr>
                    <a:xfrm>
                      <a:off x="0" y="0"/>
                      <a:ext cx="5746750" cy="3303270"/>
                    </a:xfrm>
                    <a:prstGeom prst="rect">
                      <a:avLst/>
                    </a:prstGeom>
                    <a:noFill/>
                    <a:ln>
                      <a:noFill/>
                    </a:ln>
                  </pic:spPr>
                </pic:pic>
              </a:graphicData>
            </a:graphic>
          </wp:inline>
        </w:drawing>
      </w:r>
    </w:p>
    <w:p>
      <w:pPr>
        <w:pStyle w:val="22"/>
        <w:outlineLvl w:val="2"/>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57"/>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58"/>
                    <a:stretch>
                      <a:fillRect/>
                    </a:stretch>
                  </pic:blipFill>
                  <pic:spPr>
                    <a:xfrm>
                      <a:off x="0" y="0"/>
                      <a:ext cx="5742940" cy="2925445"/>
                    </a:xfrm>
                    <a:prstGeom prst="rect">
                      <a:avLst/>
                    </a:prstGeom>
                    <a:noFill/>
                    <a:ln>
                      <a:noFill/>
                    </a:ln>
                  </pic:spPr>
                </pic:pic>
              </a:graphicData>
            </a:graphic>
          </wp:inline>
        </w:drawing>
      </w:r>
    </w:p>
    <w:p/>
    <w:p>
      <w:pPr>
        <w:rPr>
          <w:rFonts w:hint="eastAsia"/>
        </w:rPr>
      </w:pPr>
    </w:p>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6" w:type="first"/>
      <w:footerReference r:id="rId38" w:type="first"/>
      <w:headerReference r:id="rId35" w:type="default"/>
      <w:footerReference r:id="rId37"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华文仿宋">
    <w:altName w:val="仿宋"/>
    <w:panose1 w:val="02010600040101010101"/>
    <w:charset w:val="86"/>
    <w:family w:val="auto"/>
    <w:pitch w:val="default"/>
    <w:sig w:usb0="00000000" w:usb1="00000000" w:usb2="00000000" w:usb3="00000000" w:csb0="0004009F" w:csb1="DFD70000"/>
  </w:font>
  <w:font w:name="Cambria Math">
    <w:panose1 w:val="02040503050406030204"/>
    <w:charset w:val="00"/>
    <w:family w:val="roman"/>
    <w:pitch w:val="default"/>
    <w:sig w:usb0="E00006FF" w:usb1="420024FF" w:usb2="02000000" w:usb3="00000000" w:csb0="2000019F" w:csb1="00000000"/>
  </w:font>
  <w:font w:name="方正小标宋简体">
    <w:altName w:val="黑体"/>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73600"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27"/>
                            <w:jc w:val="right"/>
                          </w:pPr>
                          <w:r>
                            <w:rPr>
                              <w:rFonts w:hint="eastAsia"/>
                              <w:kern w:val="0"/>
                              <w:szCs w:val="21"/>
                            </w:rPr>
                            <w:t xml:space="preserve">第 </w:t>
                          </w:r>
                          <w:r>
                            <w:rPr>
                              <w:kern w:val="0"/>
                              <w:szCs w:val="21"/>
                            </w:rPr>
                            <w:fldChar w:fldCharType="begin"/>
                          </w:r>
                          <w:r>
                            <w:rPr>
                              <w:kern w:val="0"/>
                              <w:szCs w:val="21"/>
                            </w:rPr>
                            <w:instrText xml:space="preserve"> PAGE </w:instrText>
                          </w:r>
                          <w:r>
                            <w:rPr>
                              <w:kern w:val="0"/>
                              <w:szCs w:val="21"/>
                            </w:rPr>
                            <w:fldChar w:fldCharType="separate"/>
                          </w:r>
                          <w:r>
                            <w:rPr>
                              <w:kern w:val="0"/>
                              <w:szCs w:val="21"/>
                            </w:rPr>
                            <w:t>7</w:t>
                          </w:r>
                          <w:r>
                            <w:rPr>
                              <w:kern w:val="0"/>
                              <w:szCs w:val="21"/>
                            </w:rPr>
                            <w:fldChar w:fldCharType="end"/>
                          </w:r>
                          <w:r>
                            <w:rPr>
                              <w:rFonts w:hint="eastAsia"/>
                              <w:kern w:val="0"/>
                              <w:szCs w:val="21"/>
                            </w:rPr>
                            <w:t xml:space="preserve"> 页 共 28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7360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oaYJL0wAAAAUBAAAPAAAAAAAAAAEAIAAAACIAAABk&#10;cnMvZG93bnJldi54bWxQSwECFAAUAAAACACHTuJAyezdItIBAACjAwAADgAAAAAAAAABACAAAAAi&#10;AQAAZHJzL2Uyb0RvYy54bWxQSwUGAAAAAAYABgBZAQAAZgUAAAAA&#10;">
              <v:fill on="f" focussize="0,0"/>
              <v:stroke on="f" weight="1.25pt"/>
              <v:imagedata o:title=""/>
              <o:lock v:ext="edit" aspectratio="f"/>
              <v:textbox inset="0mm,0mm,0mm,0mm" style="mso-fit-shape-to-text:t;">
                <w:txbxContent>
                  <w:p>
                    <w:pPr>
                      <w:pStyle w:val="27"/>
                      <w:jc w:val="right"/>
                    </w:pPr>
                    <w:r>
                      <w:rPr>
                        <w:rFonts w:hint="eastAsia"/>
                        <w:kern w:val="0"/>
                        <w:szCs w:val="21"/>
                      </w:rPr>
                      <w:t xml:space="preserve">第 </w:t>
                    </w:r>
                    <w:r>
                      <w:rPr>
                        <w:kern w:val="0"/>
                        <w:szCs w:val="21"/>
                      </w:rPr>
                      <w:fldChar w:fldCharType="begin"/>
                    </w:r>
                    <w:r>
                      <w:rPr>
                        <w:kern w:val="0"/>
                        <w:szCs w:val="21"/>
                      </w:rPr>
                      <w:instrText xml:space="preserve"> PAGE </w:instrText>
                    </w:r>
                    <w:r>
                      <w:rPr>
                        <w:kern w:val="0"/>
                        <w:szCs w:val="21"/>
                      </w:rPr>
                      <w:fldChar w:fldCharType="separate"/>
                    </w:r>
                    <w:r>
                      <w:rPr>
                        <w:kern w:val="0"/>
                        <w:szCs w:val="21"/>
                      </w:rPr>
                      <w:t>7</w:t>
                    </w:r>
                    <w:r>
                      <w:rPr>
                        <w:kern w:val="0"/>
                        <w:szCs w:val="21"/>
                      </w:rPr>
                      <w:fldChar w:fldCharType="end"/>
                    </w:r>
                    <w:r>
                      <w:rPr>
                        <w:rFonts w:hint="eastAsia"/>
                        <w:kern w:val="0"/>
                        <w:szCs w:val="21"/>
                      </w:rPr>
                      <w:t xml:space="preserve"> 页 共 28 页</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0B3318"/>
    <w:multiLevelType w:val="singleLevel"/>
    <w:tmpl w:val="820B3318"/>
    <w:lvl w:ilvl="0" w:tentative="0">
      <w:start w:val="1"/>
      <w:numFmt w:val="decimalEnclosedCircleChinese"/>
      <w:suff w:val="nothing"/>
      <w:lvlText w:val="%1　"/>
      <w:lvlJc w:val="left"/>
      <w:pPr>
        <w:ind w:left="0" w:firstLine="400"/>
      </w:pPr>
      <w:rPr>
        <w:rFonts w:hint="eastAsia"/>
      </w:rPr>
    </w:lvl>
  </w:abstractNum>
  <w:abstractNum w:abstractNumId="1">
    <w:nsid w:val="870C7C46"/>
    <w:multiLevelType w:val="singleLevel"/>
    <w:tmpl w:val="870C7C46"/>
    <w:lvl w:ilvl="0" w:tentative="0">
      <w:start w:val="1"/>
      <w:numFmt w:val="decimal"/>
      <w:lvlText w:val="(%1)"/>
      <w:lvlJc w:val="left"/>
      <w:pPr>
        <w:ind w:left="425" w:hanging="425"/>
      </w:pPr>
      <w:rPr>
        <w:rFonts w:hint="default"/>
      </w:rPr>
    </w:lvl>
  </w:abstractNum>
  <w:abstractNum w:abstractNumId="2">
    <w:nsid w:val="9FBC266E"/>
    <w:multiLevelType w:val="singleLevel"/>
    <w:tmpl w:val="9FBC266E"/>
    <w:lvl w:ilvl="0" w:tentative="0">
      <w:start w:val="2"/>
      <w:numFmt w:val="decimal"/>
      <w:suff w:val="nothing"/>
      <w:lvlText w:val="%1、"/>
      <w:lvlJc w:val="left"/>
    </w:lvl>
  </w:abstractNum>
  <w:abstractNum w:abstractNumId="3">
    <w:nsid w:val="AE0F70F3"/>
    <w:multiLevelType w:val="singleLevel"/>
    <w:tmpl w:val="AE0F70F3"/>
    <w:lvl w:ilvl="0" w:tentative="0">
      <w:start w:val="1"/>
      <w:numFmt w:val="decimal"/>
      <w:lvlText w:val="(%1)"/>
      <w:lvlJc w:val="left"/>
      <w:pPr>
        <w:ind w:left="425" w:hanging="425"/>
      </w:pPr>
      <w:rPr>
        <w:rFonts w:hint="default"/>
      </w:rPr>
    </w:lvl>
  </w:abstractNum>
  <w:abstractNum w:abstractNumId="4">
    <w:nsid w:val="B4A85688"/>
    <w:multiLevelType w:val="singleLevel"/>
    <w:tmpl w:val="B4A85688"/>
    <w:lvl w:ilvl="0" w:tentative="0">
      <w:start w:val="1"/>
      <w:numFmt w:val="decimalEnclosedCircleChinese"/>
      <w:suff w:val="nothing"/>
      <w:lvlText w:val="%1　"/>
      <w:lvlJc w:val="left"/>
      <w:pPr>
        <w:ind w:left="0" w:firstLine="400"/>
      </w:pPr>
      <w:rPr>
        <w:rFonts w:hint="eastAsia"/>
      </w:rPr>
    </w:lvl>
  </w:abstractNum>
  <w:abstractNum w:abstractNumId="5">
    <w:nsid w:val="D146FCA9"/>
    <w:multiLevelType w:val="singleLevel"/>
    <w:tmpl w:val="D146FCA9"/>
    <w:lvl w:ilvl="0" w:tentative="0">
      <w:start w:val="4"/>
      <w:numFmt w:val="chineseCounting"/>
      <w:suff w:val="space"/>
      <w:lvlText w:val="第%1部分"/>
      <w:lvlJc w:val="left"/>
      <w:rPr>
        <w:rFonts w:hint="eastAsia"/>
      </w:rPr>
    </w:lvl>
  </w:abstractNum>
  <w:abstractNum w:abstractNumId="6">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7">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8">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9">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0">
    <w:nsid w:val="3106FFC6"/>
    <w:multiLevelType w:val="singleLevel"/>
    <w:tmpl w:val="3106FFC6"/>
    <w:lvl w:ilvl="0" w:tentative="0">
      <w:start w:val="1"/>
      <w:numFmt w:val="decimalEnclosedCircleChinese"/>
      <w:suff w:val="nothing"/>
      <w:lvlText w:val="%1　"/>
      <w:lvlJc w:val="left"/>
      <w:pPr>
        <w:ind w:left="0" w:firstLine="400"/>
      </w:pPr>
      <w:rPr>
        <w:rFonts w:hint="eastAsia"/>
      </w:rPr>
    </w:lvl>
  </w:abstractNum>
  <w:abstractNum w:abstractNumId="11">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2">
    <w:nsid w:val="4FD4438F"/>
    <w:multiLevelType w:val="multilevel"/>
    <w:tmpl w:val="4FD4438F"/>
    <w:lvl w:ilvl="0" w:tentative="0">
      <w:start w:val="1"/>
      <w:numFmt w:val="chineseCountingThousand"/>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3">
    <w:nsid w:val="5343AC02"/>
    <w:multiLevelType w:val="singleLevel"/>
    <w:tmpl w:val="5343AC02"/>
    <w:lvl w:ilvl="0" w:tentative="0">
      <w:start w:val="1"/>
      <w:numFmt w:val="decimal"/>
      <w:lvlText w:val="(%1)"/>
      <w:lvlJc w:val="left"/>
      <w:pPr>
        <w:ind w:left="425" w:hanging="425"/>
      </w:pPr>
      <w:rPr>
        <w:rFonts w:hint="default"/>
      </w:rPr>
    </w:lvl>
  </w:abstractNum>
  <w:abstractNum w:abstractNumId="14">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5">
    <w:nsid w:val="6E8C6948"/>
    <w:multiLevelType w:val="singleLevel"/>
    <w:tmpl w:val="6E8C6948"/>
    <w:lvl w:ilvl="0" w:tentative="0">
      <w:start w:val="1"/>
      <w:numFmt w:val="chineseCounting"/>
      <w:suff w:val="space"/>
      <w:lvlText w:val="第%1部分"/>
      <w:lvlJc w:val="left"/>
      <w:rPr>
        <w:rFonts w:hint="eastAsia"/>
      </w:rPr>
    </w:lvl>
  </w:abstractNum>
  <w:abstractNum w:abstractNumId="16">
    <w:nsid w:val="7A612DE2"/>
    <w:multiLevelType w:val="singleLevel"/>
    <w:tmpl w:val="7A612DE2"/>
    <w:lvl w:ilvl="0" w:tentative="0">
      <w:start w:val="2"/>
      <w:numFmt w:val="decimal"/>
      <w:lvlText w:val="%1."/>
      <w:lvlJc w:val="left"/>
      <w:pPr>
        <w:tabs>
          <w:tab w:val="left" w:pos="312"/>
        </w:tabs>
      </w:pPr>
    </w:lvl>
  </w:abstractNum>
  <w:num w:numId="1">
    <w:abstractNumId w:val="14"/>
  </w:num>
  <w:num w:numId="2">
    <w:abstractNumId w:val="12"/>
  </w:num>
  <w:num w:numId="3">
    <w:abstractNumId w:val="15"/>
  </w:num>
  <w:num w:numId="4">
    <w:abstractNumId w:val="16"/>
  </w:num>
  <w:num w:numId="5">
    <w:abstractNumId w:val="8"/>
  </w:num>
  <w:num w:numId="6">
    <w:abstractNumId w:val="7"/>
  </w:num>
  <w:num w:numId="7">
    <w:abstractNumId w:val="11"/>
  </w:num>
  <w:num w:numId="8">
    <w:abstractNumId w:val="6"/>
  </w:num>
  <w:num w:numId="9">
    <w:abstractNumId w:val="9"/>
  </w:num>
  <w:num w:numId="10">
    <w:abstractNumId w:val="5"/>
  </w:num>
  <w:num w:numId="11">
    <w:abstractNumId w:val="2"/>
  </w:num>
  <w:num w:numId="12">
    <w:abstractNumId w:val="13"/>
  </w:num>
  <w:num w:numId="13">
    <w:abstractNumId w:val="3"/>
  </w:num>
  <w:num w:numId="14">
    <w:abstractNumId w:val="1"/>
  </w:num>
  <w:num w:numId="15">
    <w:abstractNumId w:val="10"/>
  </w:num>
  <w:num w:numId="16">
    <w:abstractNumId w:val="4"/>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8260BF"/>
    <w:rsid w:val="04AD02B8"/>
    <w:rsid w:val="04B75DD4"/>
    <w:rsid w:val="04BE2E08"/>
    <w:rsid w:val="04DF17D4"/>
    <w:rsid w:val="04E80A94"/>
    <w:rsid w:val="053B565E"/>
    <w:rsid w:val="05412745"/>
    <w:rsid w:val="05491761"/>
    <w:rsid w:val="05575651"/>
    <w:rsid w:val="05932810"/>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D36DEE"/>
    <w:rsid w:val="0FEF02B3"/>
    <w:rsid w:val="10270545"/>
    <w:rsid w:val="102E461D"/>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2F795A"/>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83924"/>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01727B"/>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6F71881"/>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6170D"/>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194D"/>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50B22"/>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41612"/>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C6451E"/>
    <w:rsid w:val="42D011BC"/>
    <w:rsid w:val="42FE0080"/>
    <w:rsid w:val="430F4676"/>
    <w:rsid w:val="43315D2E"/>
    <w:rsid w:val="43824A1C"/>
    <w:rsid w:val="4390486D"/>
    <w:rsid w:val="4399333D"/>
    <w:rsid w:val="43B2241F"/>
    <w:rsid w:val="43B70D36"/>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2F60E9"/>
    <w:rsid w:val="4B3E6D0C"/>
    <w:rsid w:val="4B4021D8"/>
    <w:rsid w:val="4B8F44A9"/>
    <w:rsid w:val="4B9A1456"/>
    <w:rsid w:val="4BA32C82"/>
    <w:rsid w:val="4BAD1567"/>
    <w:rsid w:val="4BBD4EE7"/>
    <w:rsid w:val="4BD73978"/>
    <w:rsid w:val="4BE70627"/>
    <w:rsid w:val="4C0A5AE1"/>
    <w:rsid w:val="4C130AB8"/>
    <w:rsid w:val="4C391ADB"/>
    <w:rsid w:val="4C5A284D"/>
    <w:rsid w:val="4C63431C"/>
    <w:rsid w:val="4C6B6A59"/>
    <w:rsid w:val="4CA51B09"/>
    <w:rsid w:val="4CB571EA"/>
    <w:rsid w:val="4CB76767"/>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631D77"/>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30CDD"/>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C2564"/>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A47068"/>
    <w:rsid w:val="78CD6DCC"/>
    <w:rsid w:val="78D07CAF"/>
    <w:rsid w:val="78DE12D7"/>
    <w:rsid w:val="78FC2038"/>
    <w:rsid w:val="78FC33D7"/>
    <w:rsid w:val="79183D69"/>
    <w:rsid w:val="79210683"/>
    <w:rsid w:val="79951709"/>
    <w:rsid w:val="799C3465"/>
    <w:rsid w:val="79B14EC4"/>
    <w:rsid w:val="79B77C58"/>
    <w:rsid w:val="79BE1ECC"/>
    <w:rsid w:val="79C066C2"/>
    <w:rsid w:val="79CE69C9"/>
    <w:rsid w:val="79D00993"/>
    <w:rsid w:val="7A024BBA"/>
    <w:rsid w:val="7A2A6B4A"/>
    <w:rsid w:val="7A66105B"/>
    <w:rsid w:val="7A681070"/>
    <w:rsid w:val="7A71506F"/>
    <w:rsid w:val="7A7E1B39"/>
    <w:rsid w:val="7A860C7C"/>
    <w:rsid w:val="7A9265A2"/>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05147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480"/>
      <w:jc w:val="left"/>
    </w:pPr>
    <w:rPr>
      <w:rFonts w:ascii="Calibri" w:hAnsi="Calibri" w:eastAsia="宋体" w:cs="Times New Roman"/>
      <w:i/>
      <w:iCs/>
      <w:sz w:val="20"/>
      <w:szCs w:val="20"/>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13"/>
    <w:qFormat/>
    <w:uiPriority w:val="0"/>
    <w:pPr>
      <w:ind w:firstLine="420"/>
    </w:pPr>
    <w:rPr>
      <w:rFonts w:ascii="Times New Roman" w:hAnsi="Times New Roman"/>
      <w:kern w:val="0"/>
      <w:sz w:val="20"/>
      <w:szCs w:val="20"/>
    </w:rPr>
  </w:style>
  <w:style w:type="paragraph" w:styleId="13">
    <w:name w:val="Body Text"/>
    <w:basedOn w:val="1"/>
    <w:next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4"/>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5"/>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7"/>
    <w:next w:val="17"/>
    <w:link w:val="56"/>
    <w:qFormat/>
    <w:uiPriority w:val="0"/>
    <w:rPr>
      <w:b/>
    </w:rPr>
  </w:style>
  <w:style w:type="paragraph" w:styleId="40">
    <w:name w:val="Body Text First Indent 2"/>
    <w:basedOn w:val="19"/>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2"/>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7"/>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5"/>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9"/>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3"/>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paragraph" w:customStyle="1" w:styleId="171">
    <w:name w:val="章节"/>
    <w:basedOn w:val="22"/>
    <w:qFormat/>
    <w:uiPriority w:val="0"/>
    <w:pPr>
      <w:spacing w:line="360" w:lineRule="auto"/>
      <w:jc w:val="center"/>
      <w:outlineLvl w:val="0"/>
    </w:pPr>
    <w:rPr>
      <w:rFonts w:ascii="黑体" w:eastAsia="黑体"/>
      <w:b/>
      <w:bCs/>
      <w:sz w:val="36"/>
      <w:szCs w:val="36"/>
    </w:rPr>
  </w:style>
  <w:style w:type="paragraph" w:customStyle="1" w:styleId="172">
    <w:name w:val="标书正文"/>
    <w:basedOn w:val="22"/>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1" Type="http://schemas.openxmlformats.org/officeDocument/2006/relationships/fontTable" Target="fontTable.xml"/><Relationship Id="rId60" Type="http://schemas.openxmlformats.org/officeDocument/2006/relationships/numbering" Target="numbering.xml"/><Relationship Id="rId6" Type="http://schemas.openxmlformats.org/officeDocument/2006/relationships/header" Target="header2.xml"/><Relationship Id="rId59" Type="http://schemas.openxmlformats.org/officeDocument/2006/relationships/customXml" Target="../customXml/item1.xml"/><Relationship Id="rId58" Type="http://schemas.openxmlformats.org/officeDocument/2006/relationships/image" Target="media/image20.png"/><Relationship Id="rId57" Type="http://schemas.openxmlformats.org/officeDocument/2006/relationships/image" Target="media/image19.png"/><Relationship Id="rId56" Type="http://schemas.openxmlformats.org/officeDocument/2006/relationships/image" Target="media/image18.png"/><Relationship Id="rId55" Type="http://schemas.openxmlformats.org/officeDocument/2006/relationships/image" Target="media/image17.png"/><Relationship Id="rId54" Type="http://schemas.openxmlformats.org/officeDocument/2006/relationships/image" Target="media/image16.png"/><Relationship Id="rId53" Type="http://schemas.openxmlformats.org/officeDocument/2006/relationships/image" Target="media/image15.png"/><Relationship Id="rId52" Type="http://schemas.openxmlformats.org/officeDocument/2006/relationships/image" Target="media/image14.png"/><Relationship Id="rId51" Type="http://schemas.openxmlformats.org/officeDocument/2006/relationships/image" Target="media/image13.png"/><Relationship Id="rId50" Type="http://schemas.openxmlformats.org/officeDocument/2006/relationships/image" Target="media/image12.png"/><Relationship Id="rId5" Type="http://schemas.openxmlformats.org/officeDocument/2006/relationships/footer" Target="footer2.xml"/><Relationship Id="rId49" Type="http://schemas.openxmlformats.org/officeDocument/2006/relationships/image" Target="media/image11.png"/><Relationship Id="rId48" Type="http://schemas.openxmlformats.org/officeDocument/2006/relationships/image" Target="media/image10.png"/><Relationship Id="rId47" Type="http://schemas.openxmlformats.org/officeDocument/2006/relationships/image" Target="media/image9.png"/><Relationship Id="rId46" Type="http://schemas.openxmlformats.org/officeDocument/2006/relationships/image" Target="media/image8.png"/><Relationship Id="rId45" Type="http://schemas.openxmlformats.org/officeDocument/2006/relationships/image" Target="media/image7.png"/><Relationship Id="rId44" Type="http://schemas.openxmlformats.org/officeDocument/2006/relationships/image" Target="media/image6.png"/><Relationship Id="rId43" Type="http://schemas.openxmlformats.org/officeDocument/2006/relationships/image" Target="media/image5.png"/><Relationship Id="rId42" Type="http://schemas.openxmlformats.org/officeDocument/2006/relationships/image" Target="media/image4.png"/><Relationship Id="rId41" Type="http://schemas.openxmlformats.org/officeDocument/2006/relationships/image" Target="media/image3.png"/><Relationship Id="rId40" Type="http://schemas.openxmlformats.org/officeDocument/2006/relationships/image" Target="media/image2.jpeg"/><Relationship Id="rId4" Type="http://schemas.openxmlformats.org/officeDocument/2006/relationships/footer" Target="footer1.xml"/><Relationship Id="rId39" Type="http://schemas.openxmlformats.org/officeDocument/2006/relationships/theme" Target="theme/theme1.xml"/><Relationship Id="rId38" Type="http://schemas.openxmlformats.org/officeDocument/2006/relationships/footer" Target="footer27.xml"/><Relationship Id="rId37" Type="http://schemas.openxmlformats.org/officeDocument/2006/relationships/footer" Target="footer26.xml"/><Relationship Id="rId36" Type="http://schemas.openxmlformats.org/officeDocument/2006/relationships/header" Target="header9.xml"/><Relationship Id="rId35" Type="http://schemas.openxmlformats.org/officeDocument/2006/relationships/header" Target="header8.xml"/><Relationship Id="rId34" Type="http://schemas.openxmlformats.org/officeDocument/2006/relationships/footer" Target="footer25.xml"/><Relationship Id="rId33" Type="http://schemas.openxmlformats.org/officeDocument/2006/relationships/footer" Target="footer24.xml"/><Relationship Id="rId32" Type="http://schemas.openxmlformats.org/officeDocument/2006/relationships/header" Target="header7.xml"/><Relationship Id="rId31" Type="http://schemas.openxmlformats.org/officeDocument/2006/relationships/header" Target="header6.xml"/><Relationship Id="rId30" Type="http://schemas.openxmlformats.org/officeDocument/2006/relationships/footer" Target="footer23.xml"/><Relationship Id="rId3" Type="http://schemas.openxmlformats.org/officeDocument/2006/relationships/header" Target="head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88</Pages>
  <Words>9726</Words>
  <Characters>10320</Characters>
  <Lines>371</Lines>
  <Paragraphs>104</Paragraphs>
  <TotalTime>1</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2025-12-11T08:33:39Z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