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产品试验检测中心循环水处理药剂和技术服务项目招标项目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项目名称：</w:t>
      </w:r>
      <w:bookmarkStart w:id="0" w:name="OLE_LINK1"/>
      <w:r>
        <w:rPr>
          <w:rFonts w:hint="eastAsia" w:ascii="宋体" w:hAnsi="宋体" w:eastAsia="宋体" w:cs="宋体"/>
          <w:b w:val="0"/>
          <w:bCs w:val="0"/>
          <w:color w:val="000000"/>
          <w:sz w:val="24"/>
          <w:szCs w:val="24"/>
          <w:lang w:val="en-US" w:eastAsia="zh-CN"/>
        </w:rPr>
        <w:t>产品试验检测中心</w:t>
      </w:r>
      <w:r>
        <w:rPr>
          <w:rFonts w:hint="eastAsia" w:ascii="宋体" w:hAnsi="宋体" w:eastAsia="宋体" w:cs="宋体"/>
          <w:b w:val="0"/>
          <w:bCs w:val="0"/>
          <w:color w:val="000000"/>
          <w:sz w:val="24"/>
          <w:szCs w:val="24"/>
        </w:rPr>
        <w:t>循环水处理药剂和技术服务项目</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采购形式编号：CGZX2024030129</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b w:val="0"/>
          <w:bCs w:val="0"/>
          <w:color w:val="000000"/>
          <w:sz w:val="24"/>
          <w:szCs w:val="24"/>
        </w:rPr>
        <w:t>1、招标内容</w:t>
      </w:r>
      <w:r>
        <w:rPr>
          <w:rFonts w:hint="eastAsia" w:ascii="宋体" w:hAnsi="宋体" w:eastAsia="宋体" w:cs="宋体"/>
          <w:color w:val="000000"/>
          <w:sz w:val="24"/>
          <w:szCs w:val="24"/>
        </w:rPr>
        <w:t>：</w:t>
      </w:r>
      <w:r>
        <w:rPr>
          <w:rFonts w:hint="eastAsia" w:ascii="宋体" w:hAnsi="宋体" w:eastAsia="宋体" w:cs="宋体"/>
          <w:b w:val="0"/>
          <w:bCs w:val="0"/>
          <w:color w:val="000000"/>
          <w:sz w:val="24"/>
          <w:szCs w:val="24"/>
          <w:lang w:val="en-US" w:eastAsia="zh-CN"/>
        </w:rPr>
        <w:t>产品试验检测中心</w:t>
      </w:r>
      <w:r>
        <w:rPr>
          <w:rFonts w:hint="eastAsia" w:ascii="宋体" w:hAnsi="宋体" w:eastAsia="宋体" w:cs="宋体"/>
          <w:b w:val="0"/>
          <w:bCs w:val="0"/>
          <w:color w:val="000000"/>
          <w:sz w:val="24"/>
          <w:szCs w:val="24"/>
        </w:rPr>
        <w:t>循环水处理药剂和技术服务项目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b w:val="0"/>
          <w:bCs w:val="0"/>
          <w:color w:val="000000"/>
          <w:sz w:val="24"/>
          <w:szCs w:val="24"/>
        </w:rPr>
        <w:t>1、项目名称</w:t>
      </w:r>
      <w:r>
        <w:rPr>
          <w:rFonts w:hint="eastAsia" w:ascii="宋体" w:hAnsi="宋体" w:eastAsia="宋体" w:cs="宋体"/>
          <w:color w:val="000000"/>
          <w:sz w:val="24"/>
          <w:szCs w:val="24"/>
        </w:rPr>
        <w:t>：</w:t>
      </w:r>
      <w:r>
        <w:rPr>
          <w:rFonts w:hint="eastAsia" w:ascii="宋体" w:hAnsi="宋体" w:eastAsia="宋体" w:cs="宋体"/>
          <w:b w:val="0"/>
          <w:bCs w:val="0"/>
          <w:color w:val="000000"/>
          <w:sz w:val="24"/>
          <w:szCs w:val="24"/>
          <w:lang w:val="en-US" w:eastAsia="zh-CN"/>
        </w:rPr>
        <w:t>产品试验检测中心</w:t>
      </w:r>
      <w:r>
        <w:rPr>
          <w:rFonts w:hint="eastAsia" w:ascii="宋体" w:hAnsi="宋体" w:eastAsia="宋体" w:cs="宋体"/>
          <w:b w:val="0"/>
          <w:bCs w:val="0"/>
          <w:color w:val="000000"/>
          <w:sz w:val="24"/>
          <w:szCs w:val="24"/>
        </w:rPr>
        <w:t>循环水处理药剂和技术服务项目</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r>
        <w:rPr>
          <w:rFonts w:hint="eastAsia" w:hAnsi="宋体" w:cs="宋体"/>
          <w:color w:val="000000"/>
          <w:sz w:val="24"/>
          <w:szCs w:val="24"/>
          <w:lang w:eastAsia="zh-CN"/>
        </w:rPr>
        <w:t>、</w:t>
      </w:r>
      <w:r>
        <w:rPr>
          <w:rFonts w:hint="eastAsia" w:ascii="宋体" w:hAnsi="宋体" w:eastAsia="宋体" w:cs="宋体"/>
          <w:color w:val="000000"/>
          <w:sz w:val="24"/>
          <w:szCs w:val="24"/>
        </w:rPr>
        <w:t>章丘区重汽工业园国六发动机试验室。</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循环水处理药剂和技术服务项目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采购量据实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w:t>
      </w:r>
      <w:r>
        <w:rPr>
          <w:rFonts w:hint="eastAsia" w:hAnsi="宋体" w:cs="宋体"/>
          <w:i/>
          <w:color w:val="000000"/>
          <w:sz w:val="24"/>
          <w:szCs w:val="24"/>
          <w:highlight w:val="yellow"/>
          <w:lang w:val="en-US" w:eastAsia="zh-CN"/>
        </w:rPr>
        <w:t>0</w:t>
      </w:r>
      <w:r>
        <w:rPr>
          <w:rFonts w:hint="eastAsia" w:ascii="宋体" w:hAnsi="宋体" w:eastAsia="宋体" w:cs="宋体"/>
          <w:i/>
          <w:color w:val="000000"/>
          <w:sz w:val="24"/>
          <w:szCs w:val="24"/>
          <w:highlight w:val="yellow"/>
        </w:rPr>
        <w:t>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none"/>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0.5</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开户行：中国工商银行股份有限公司济南天桥支行</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账号：1602005019200116248</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行号：102451000504</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4</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4</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11</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四</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4</w:t>
      </w:r>
      <w:r>
        <w:rPr>
          <w:rFonts w:hint="eastAsia" w:ascii="宋体" w:hAnsi="宋体" w:eastAsia="宋体" w:cs="宋体"/>
          <w:bCs/>
        </w:rPr>
        <w:t>年</w:t>
      </w:r>
      <w:r>
        <w:rPr>
          <w:rFonts w:hint="eastAsia" w:eastAsia="宋体" w:cs="宋体"/>
          <w:bCs/>
          <w:lang w:val="en-US" w:eastAsia="zh-CN"/>
        </w:rPr>
        <w:t>4</w:t>
      </w:r>
      <w:r>
        <w:rPr>
          <w:rFonts w:hint="eastAsia" w:ascii="宋体" w:hAnsi="宋体" w:eastAsia="宋体" w:cs="宋体"/>
          <w:bCs/>
        </w:rPr>
        <w:t>月</w:t>
      </w:r>
      <w:r>
        <w:rPr>
          <w:rFonts w:hint="default" w:eastAsia="宋体" w:cs="宋体"/>
          <w:bCs/>
          <w:woUserID w:val="1"/>
        </w:rPr>
        <w:t>1</w:t>
      </w:r>
      <w:r>
        <w:rPr>
          <w:rFonts w:hint="default" w:eastAsia="宋体" w:cs="宋体"/>
          <w:bCs/>
          <w:woUserID w:val="1"/>
        </w:rPr>
        <w:t>7</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三</w:t>
      </w:r>
      <w:r>
        <w:rPr>
          <w:rFonts w:hint="eastAsia" w:ascii="宋体" w:hAnsi="宋体" w:eastAsia="宋体" w:cs="宋体"/>
          <w:lang w:val="en-US" w:eastAsia="zh-CN"/>
        </w:rPr>
        <w:t xml:space="preserve"> </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eastAsia="宋体" w:cs="宋体"/>
          <w:bCs/>
          <w:lang w:val="en-US" w:eastAsia="zh-CN"/>
        </w:rPr>
        <w:t>4</w:t>
      </w:r>
      <w:r>
        <w:rPr>
          <w:rFonts w:hint="eastAsia" w:ascii="宋体" w:hAnsi="宋体" w:eastAsia="宋体" w:cs="宋体"/>
          <w:bCs/>
        </w:rPr>
        <w:t>年</w:t>
      </w:r>
      <w:r>
        <w:rPr>
          <w:rFonts w:hint="eastAsia" w:eastAsia="宋体" w:cs="宋体"/>
          <w:bCs/>
          <w:lang w:val="en-US" w:eastAsia="zh-CN"/>
        </w:rPr>
        <w:t>4</w:t>
      </w:r>
      <w:r>
        <w:rPr>
          <w:rFonts w:hint="eastAsia" w:ascii="宋体" w:hAnsi="宋体" w:eastAsia="宋体" w:cs="宋体"/>
          <w:bCs/>
        </w:rPr>
        <w:t>月</w:t>
      </w:r>
      <w:r>
        <w:rPr>
          <w:rFonts w:hint="default" w:eastAsia="宋体" w:cs="宋体"/>
          <w:bCs/>
          <w:woUserID w:val="1"/>
        </w:rPr>
        <w:t>1</w:t>
      </w:r>
      <w:r>
        <w:rPr>
          <w:rFonts w:hint="default" w:eastAsia="宋体" w:cs="宋体"/>
          <w:bCs/>
          <w:woUserID w:val="1"/>
        </w:rPr>
        <w:t>7</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三</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沈晓峰</w:t>
      </w:r>
    </w:p>
    <w:p>
      <w:pPr>
        <w:pStyle w:val="78"/>
        <w:ind w:firstLine="480"/>
        <w:rPr>
          <w:rFonts w:hint="default" w:ascii="宋体" w:hAnsi="宋体" w:eastAsia="宋体" w:cs="宋体"/>
          <w:lang w:val="en-US" w:eastAsia="zh-CN"/>
        </w:rPr>
      </w:pPr>
      <w:r>
        <w:rPr>
          <w:rFonts w:hint="eastAsia" w:ascii="宋体" w:hAnsi="宋体" w:eastAsia="宋体" w:cs="宋体"/>
        </w:rPr>
        <w:t>电    话：0531-5806</w:t>
      </w:r>
      <w:r>
        <w:rPr>
          <w:rFonts w:hint="eastAsia" w:ascii="宋体" w:hAnsi="宋体" w:eastAsia="宋体" w:cs="宋体"/>
          <w:lang w:val="en-US" w:eastAsia="zh-CN"/>
        </w:rPr>
        <w:t>61</w:t>
      </w:r>
      <w:r>
        <w:rPr>
          <w:rFonts w:hint="eastAsia" w:eastAsia="宋体" w:cs="宋体"/>
          <w:lang w:val="en-US" w:eastAsia="zh-CN"/>
        </w:rPr>
        <w:t>71</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shenxiaofeng</w:t>
      </w:r>
      <w:r>
        <w:rPr>
          <w:rFonts w:hint="eastAsia" w:ascii="宋体" w:hAnsi="宋体" w:eastAsia="宋体" w:cs="宋体"/>
        </w:rPr>
        <w:t xml:space="preserve">@sinotruk.com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ascii="宋体" w:hAnsi="宋体" w:eastAsia="宋体" w:cs="宋体"/>
          <w:color w:val="000000"/>
          <w:sz w:val="24"/>
          <w:szCs w:val="24"/>
          <w:highlight w:val="cyan"/>
          <w:lang w:val="en-US" w:eastAsia="zh-CN"/>
        </w:rPr>
        <w:t>3</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4</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1</w:t>
      </w:r>
      <w:r>
        <w:rPr>
          <w:rFonts w:hint="default" w:hAnsi="宋体" w:cs="宋体"/>
          <w:color w:val="000000"/>
          <w:sz w:val="24"/>
          <w:szCs w:val="24"/>
          <w:highlight w:val="cyan"/>
          <w:lang w:eastAsia="zh-CN"/>
          <w:woUserID w:val="1"/>
        </w:rPr>
        <w:t>8</w:t>
      </w:r>
      <w:bookmarkStart w:id="23" w:name="_GoBack"/>
      <w:bookmarkEnd w:id="23"/>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四</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2</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5811"/>
      <w:bookmarkStart w:id="7" w:name="_Toc212369550"/>
      <w:bookmarkStart w:id="8" w:name="_Toc639004"/>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循环水处理药剂和技术服务项目报价单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90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3"/>
        <w:gridCol w:w="1701"/>
        <w:gridCol w:w="1276"/>
        <w:gridCol w:w="1275"/>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67" w:type="dxa"/>
            <w:gridSpan w:val="7"/>
          </w:tcPr>
          <w:p>
            <w:pPr>
              <w:spacing w:line="500" w:lineRule="exact"/>
              <w:rPr>
                <w:rFonts w:ascii="Times New Roman" w:hAnsi="Times New Roman"/>
              </w:rPr>
            </w:pPr>
            <w:r>
              <w:rPr>
                <w:rFonts w:hint="eastAsia" w:ascii="Times New Roman" w:hAnsi="Times New Roman"/>
              </w:rPr>
              <w:t>一、</w:t>
            </w:r>
            <w:r>
              <w:rPr>
                <w:rFonts w:ascii="Times New Roman" w:hAnsi="Times New Roman"/>
              </w:rPr>
              <w:t>年度开放循环冷却水维护费用（元/年）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3" w:type="dxa"/>
            <w:vAlign w:val="center"/>
          </w:tcPr>
          <w:p>
            <w:pPr>
              <w:pStyle w:val="12"/>
              <w:spacing w:after="0"/>
              <w:ind w:left="0" w:leftChars="0"/>
              <w:jc w:val="center"/>
              <w:rPr>
                <w:rFonts w:cs="宋体"/>
                <w:szCs w:val="24"/>
              </w:rPr>
            </w:pPr>
            <w:r>
              <w:rPr>
                <w:rFonts w:hint="eastAsia" w:cs="宋体"/>
                <w:szCs w:val="24"/>
              </w:rPr>
              <w:t>序号</w:t>
            </w:r>
          </w:p>
        </w:tc>
        <w:tc>
          <w:tcPr>
            <w:tcW w:w="1701" w:type="dxa"/>
            <w:vAlign w:val="center"/>
          </w:tcPr>
          <w:p>
            <w:pPr>
              <w:pStyle w:val="12"/>
              <w:spacing w:after="0"/>
              <w:ind w:left="0" w:leftChars="0"/>
              <w:jc w:val="center"/>
              <w:rPr>
                <w:rFonts w:cs="宋体"/>
                <w:szCs w:val="24"/>
              </w:rPr>
            </w:pPr>
            <w:r>
              <w:rPr>
                <w:rFonts w:hint="eastAsia" w:cs="宋体"/>
                <w:szCs w:val="24"/>
              </w:rPr>
              <w:t>药剂名称</w:t>
            </w:r>
          </w:p>
        </w:tc>
        <w:tc>
          <w:tcPr>
            <w:tcW w:w="1276" w:type="dxa"/>
            <w:tcBorders>
              <w:right w:val="single" w:color="auto" w:sz="4" w:space="0"/>
            </w:tcBorders>
            <w:vAlign w:val="center"/>
          </w:tcPr>
          <w:p>
            <w:pPr>
              <w:pStyle w:val="12"/>
              <w:spacing w:after="0"/>
              <w:ind w:left="0" w:leftChars="0"/>
              <w:jc w:val="center"/>
              <w:rPr>
                <w:rFonts w:cs="宋体"/>
                <w:szCs w:val="24"/>
              </w:rPr>
            </w:pPr>
            <w:r>
              <w:rPr>
                <w:rFonts w:hint="eastAsia" w:cs="宋体"/>
                <w:szCs w:val="24"/>
              </w:rPr>
              <w:t>规格型号</w:t>
            </w:r>
          </w:p>
        </w:tc>
        <w:tc>
          <w:tcPr>
            <w:tcW w:w="1275" w:type="dxa"/>
            <w:tcBorders>
              <w:left w:val="single" w:color="auto" w:sz="4" w:space="0"/>
            </w:tcBorders>
            <w:vAlign w:val="center"/>
          </w:tcPr>
          <w:p>
            <w:pPr>
              <w:pStyle w:val="12"/>
              <w:spacing w:after="0"/>
              <w:ind w:left="0" w:leftChars="0"/>
              <w:jc w:val="center"/>
              <w:rPr>
                <w:rFonts w:cs="宋体"/>
                <w:szCs w:val="24"/>
              </w:rPr>
            </w:pPr>
            <w:r>
              <w:rPr>
                <w:rFonts w:hint="eastAsia" w:cs="宋体"/>
                <w:szCs w:val="24"/>
              </w:rPr>
              <w:t>生产厂家</w:t>
            </w:r>
          </w:p>
        </w:tc>
        <w:tc>
          <w:tcPr>
            <w:tcW w:w="1134" w:type="dxa"/>
            <w:vAlign w:val="center"/>
          </w:tcPr>
          <w:p>
            <w:pPr>
              <w:pStyle w:val="12"/>
              <w:spacing w:after="0"/>
              <w:ind w:left="0" w:leftChars="0"/>
              <w:jc w:val="center"/>
              <w:rPr>
                <w:rFonts w:cs="宋体"/>
                <w:szCs w:val="24"/>
              </w:rPr>
            </w:pPr>
            <w:r>
              <w:rPr>
                <w:rFonts w:hint="eastAsia" w:cs="宋体"/>
                <w:szCs w:val="24"/>
              </w:rPr>
              <w:t>单价</w:t>
            </w:r>
          </w:p>
        </w:tc>
        <w:tc>
          <w:tcPr>
            <w:tcW w:w="1134" w:type="dxa"/>
            <w:tcBorders>
              <w:right w:val="single" w:color="auto" w:sz="4" w:space="0"/>
            </w:tcBorders>
            <w:vAlign w:val="center"/>
          </w:tcPr>
          <w:p>
            <w:pPr>
              <w:pStyle w:val="12"/>
              <w:spacing w:after="0"/>
              <w:ind w:left="0" w:leftChars="0"/>
              <w:jc w:val="center"/>
              <w:rPr>
                <w:rFonts w:cs="宋体"/>
                <w:szCs w:val="24"/>
              </w:rPr>
            </w:pPr>
            <w:r>
              <w:rPr>
                <w:rFonts w:hint="eastAsia" w:cs="宋体"/>
                <w:szCs w:val="24"/>
              </w:rPr>
              <w:t>年用量</w:t>
            </w:r>
          </w:p>
        </w:tc>
        <w:tc>
          <w:tcPr>
            <w:tcW w:w="1134" w:type="dxa"/>
            <w:tcBorders>
              <w:left w:val="single" w:color="auto" w:sz="4" w:space="0"/>
            </w:tcBorders>
            <w:vAlign w:val="center"/>
          </w:tcPr>
          <w:p>
            <w:pPr>
              <w:pStyle w:val="12"/>
              <w:spacing w:after="0"/>
              <w:ind w:left="0" w:leftChars="0"/>
              <w:jc w:val="center"/>
              <w:rPr>
                <w:rFonts w:cs="宋体"/>
                <w:szCs w:val="24"/>
              </w:rPr>
            </w:pPr>
            <w:r>
              <w:rPr>
                <w:rFonts w:hint="eastAsia" w:cs="宋体"/>
                <w:szCs w:val="24"/>
              </w:rPr>
              <w:t>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3" w:type="dxa"/>
            <w:vAlign w:val="center"/>
          </w:tcPr>
          <w:p>
            <w:pPr>
              <w:pStyle w:val="12"/>
              <w:spacing w:after="0"/>
              <w:ind w:left="0" w:leftChars="0"/>
              <w:jc w:val="center"/>
              <w:rPr>
                <w:rFonts w:cs="宋体"/>
                <w:szCs w:val="24"/>
              </w:rPr>
            </w:pPr>
            <w:r>
              <w:rPr>
                <w:rFonts w:hint="eastAsia" w:cs="宋体"/>
                <w:szCs w:val="24"/>
              </w:rPr>
              <w:t>1</w:t>
            </w:r>
          </w:p>
        </w:tc>
        <w:tc>
          <w:tcPr>
            <w:tcW w:w="1701" w:type="dxa"/>
            <w:vAlign w:val="center"/>
          </w:tcPr>
          <w:p>
            <w:pPr>
              <w:pStyle w:val="12"/>
              <w:spacing w:after="0"/>
              <w:ind w:left="0" w:leftChars="0"/>
              <w:jc w:val="center"/>
              <w:rPr>
                <w:rFonts w:cs="宋体"/>
                <w:szCs w:val="24"/>
              </w:rPr>
            </w:pPr>
            <w:r>
              <w:rPr>
                <w:rFonts w:hint="eastAsia" w:cs="宋体"/>
                <w:color w:val="000000"/>
                <w:szCs w:val="24"/>
              </w:rPr>
              <w:t>阻垢缓蚀剂</w:t>
            </w:r>
          </w:p>
        </w:tc>
        <w:tc>
          <w:tcPr>
            <w:tcW w:w="1276" w:type="dxa"/>
            <w:tcBorders>
              <w:right w:val="single" w:color="auto" w:sz="4" w:space="0"/>
            </w:tcBorders>
            <w:vAlign w:val="center"/>
          </w:tcPr>
          <w:p>
            <w:pPr>
              <w:pStyle w:val="12"/>
              <w:spacing w:after="0"/>
              <w:ind w:left="0" w:leftChars="0"/>
              <w:jc w:val="center"/>
              <w:rPr>
                <w:rFonts w:cs="宋体"/>
                <w:szCs w:val="24"/>
              </w:rPr>
            </w:pPr>
          </w:p>
        </w:tc>
        <w:tc>
          <w:tcPr>
            <w:tcW w:w="1275" w:type="dxa"/>
            <w:tcBorders>
              <w:left w:val="single" w:color="auto" w:sz="4" w:space="0"/>
            </w:tcBorders>
            <w:vAlign w:val="center"/>
          </w:tcPr>
          <w:p>
            <w:pPr>
              <w:pStyle w:val="12"/>
              <w:spacing w:after="0"/>
              <w:ind w:left="0" w:leftChars="0"/>
              <w:jc w:val="center"/>
              <w:rPr>
                <w:rFonts w:cs="宋体"/>
                <w:szCs w:val="24"/>
              </w:rPr>
            </w:pPr>
          </w:p>
        </w:tc>
        <w:tc>
          <w:tcPr>
            <w:tcW w:w="1134" w:type="dxa"/>
            <w:vAlign w:val="center"/>
          </w:tcPr>
          <w:p>
            <w:pPr>
              <w:pStyle w:val="12"/>
              <w:spacing w:after="0"/>
              <w:ind w:left="0" w:leftChars="0"/>
              <w:jc w:val="center"/>
              <w:rPr>
                <w:rFonts w:cs="宋体"/>
                <w:szCs w:val="24"/>
              </w:rPr>
            </w:pPr>
          </w:p>
        </w:tc>
        <w:tc>
          <w:tcPr>
            <w:tcW w:w="1134" w:type="dxa"/>
            <w:tcBorders>
              <w:right w:val="single" w:color="auto" w:sz="4" w:space="0"/>
            </w:tcBorders>
            <w:vAlign w:val="center"/>
          </w:tcPr>
          <w:p>
            <w:pPr>
              <w:pStyle w:val="12"/>
              <w:spacing w:after="0"/>
              <w:ind w:left="0" w:leftChars="0"/>
              <w:jc w:val="center"/>
              <w:rPr>
                <w:rFonts w:cs="宋体"/>
                <w:szCs w:val="24"/>
              </w:rPr>
            </w:pPr>
          </w:p>
        </w:tc>
        <w:tc>
          <w:tcPr>
            <w:tcW w:w="1134" w:type="dxa"/>
            <w:tcBorders>
              <w:left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3" w:type="dxa"/>
            <w:vAlign w:val="center"/>
          </w:tcPr>
          <w:p>
            <w:pPr>
              <w:pStyle w:val="12"/>
              <w:spacing w:after="0"/>
              <w:ind w:left="0" w:leftChars="0"/>
              <w:jc w:val="center"/>
              <w:rPr>
                <w:rFonts w:cs="宋体"/>
                <w:szCs w:val="24"/>
              </w:rPr>
            </w:pPr>
            <w:r>
              <w:rPr>
                <w:rFonts w:hint="eastAsia" w:cs="宋体"/>
                <w:szCs w:val="24"/>
              </w:rPr>
              <w:t>2</w:t>
            </w:r>
          </w:p>
        </w:tc>
        <w:tc>
          <w:tcPr>
            <w:tcW w:w="1701" w:type="dxa"/>
            <w:vAlign w:val="center"/>
          </w:tcPr>
          <w:p>
            <w:pPr>
              <w:pStyle w:val="12"/>
              <w:spacing w:after="0"/>
              <w:ind w:left="0" w:leftChars="0"/>
              <w:jc w:val="center"/>
              <w:rPr>
                <w:rFonts w:cs="宋体"/>
                <w:szCs w:val="24"/>
              </w:rPr>
            </w:pPr>
            <w:r>
              <w:rPr>
                <w:rFonts w:hint="eastAsia" w:cs="宋体"/>
                <w:szCs w:val="24"/>
              </w:rPr>
              <w:t>杀菌剂A</w:t>
            </w:r>
          </w:p>
        </w:tc>
        <w:tc>
          <w:tcPr>
            <w:tcW w:w="1276" w:type="dxa"/>
            <w:tcBorders>
              <w:right w:val="single" w:color="auto" w:sz="4" w:space="0"/>
            </w:tcBorders>
            <w:vAlign w:val="center"/>
          </w:tcPr>
          <w:p>
            <w:pPr>
              <w:pStyle w:val="12"/>
              <w:spacing w:after="0"/>
              <w:ind w:left="0" w:leftChars="0"/>
              <w:jc w:val="center"/>
              <w:rPr>
                <w:rFonts w:cs="宋体"/>
                <w:szCs w:val="24"/>
              </w:rPr>
            </w:pPr>
          </w:p>
        </w:tc>
        <w:tc>
          <w:tcPr>
            <w:tcW w:w="1275" w:type="dxa"/>
            <w:tcBorders>
              <w:left w:val="single" w:color="auto" w:sz="4" w:space="0"/>
            </w:tcBorders>
            <w:vAlign w:val="center"/>
          </w:tcPr>
          <w:p>
            <w:pPr>
              <w:pStyle w:val="12"/>
              <w:spacing w:after="0"/>
              <w:ind w:left="0" w:leftChars="0"/>
              <w:jc w:val="center"/>
              <w:rPr>
                <w:rFonts w:cs="宋体"/>
                <w:szCs w:val="24"/>
              </w:rPr>
            </w:pPr>
          </w:p>
        </w:tc>
        <w:tc>
          <w:tcPr>
            <w:tcW w:w="1134" w:type="dxa"/>
            <w:vAlign w:val="center"/>
          </w:tcPr>
          <w:p>
            <w:pPr>
              <w:pStyle w:val="12"/>
              <w:spacing w:after="0"/>
              <w:ind w:left="0" w:leftChars="0"/>
              <w:jc w:val="center"/>
              <w:rPr>
                <w:rFonts w:cs="宋体"/>
                <w:szCs w:val="24"/>
              </w:rPr>
            </w:pPr>
          </w:p>
        </w:tc>
        <w:tc>
          <w:tcPr>
            <w:tcW w:w="1134" w:type="dxa"/>
            <w:tcBorders>
              <w:right w:val="single" w:color="auto" w:sz="4" w:space="0"/>
            </w:tcBorders>
            <w:vAlign w:val="center"/>
          </w:tcPr>
          <w:p>
            <w:pPr>
              <w:pStyle w:val="12"/>
              <w:spacing w:after="0"/>
              <w:ind w:left="0" w:leftChars="0"/>
              <w:jc w:val="center"/>
              <w:rPr>
                <w:rFonts w:cs="宋体"/>
                <w:szCs w:val="24"/>
              </w:rPr>
            </w:pPr>
          </w:p>
        </w:tc>
        <w:tc>
          <w:tcPr>
            <w:tcW w:w="1134" w:type="dxa"/>
            <w:tcBorders>
              <w:left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3" w:type="dxa"/>
            <w:vAlign w:val="center"/>
          </w:tcPr>
          <w:p>
            <w:pPr>
              <w:pStyle w:val="12"/>
              <w:spacing w:after="0"/>
              <w:ind w:left="0" w:leftChars="0"/>
              <w:jc w:val="center"/>
              <w:rPr>
                <w:rFonts w:cs="宋体"/>
                <w:szCs w:val="24"/>
              </w:rPr>
            </w:pPr>
            <w:r>
              <w:rPr>
                <w:rFonts w:hint="eastAsia" w:cs="宋体"/>
                <w:szCs w:val="24"/>
              </w:rPr>
              <w:t>3</w:t>
            </w:r>
          </w:p>
        </w:tc>
        <w:tc>
          <w:tcPr>
            <w:tcW w:w="1701" w:type="dxa"/>
            <w:vAlign w:val="center"/>
          </w:tcPr>
          <w:p>
            <w:pPr>
              <w:pStyle w:val="12"/>
              <w:spacing w:after="0"/>
              <w:ind w:left="0" w:leftChars="0"/>
              <w:jc w:val="center"/>
              <w:rPr>
                <w:rFonts w:cs="宋体"/>
                <w:szCs w:val="24"/>
              </w:rPr>
            </w:pPr>
            <w:r>
              <w:rPr>
                <w:rFonts w:hint="eastAsia" w:cs="宋体"/>
                <w:szCs w:val="24"/>
              </w:rPr>
              <w:t>杀菌剂B</w:t>
            </w:r>
          </w:p>
        </w:tc>
        <w:tc>
          <w:tcPr>
            <w:tcW w:w="1276" w:type="dxa"/>
            <w:tcBorders>
              <w:right w:val="single" w:color="auto" w:sz="4" w:space="0"/>
            </w:tcBorders>
            <w:vAlign w:val="center"/>
          </w:tcPr>
          <w:p>
            <w:pPr>
              <w:pStyle w:val="12"/>
              <w:spacing w:after="0"/>
              <w:ind w:left="0" w:leftChars="0"/>
              <w:jc w:val="center"/>
              <w:rPr>
                <w:rFonts w:cs="宋体"/>
                <w:szCs w:val="24"/>
              </w:rPr>
            </w:pPr>
          </w:p>
        </w:tc>
        <w:tc>
          <w:tcPr>
            <w:tcW w:w="1275" w:type="dxa"/>
            <w:tcBorders>
              <w:left w:val="single" w:color="auto" w:sz="4" w:space="0"/>
            </w:tcBorders>
            <w:vAlign w:val="center"/>
          </w:tcPr>
          <w:p>
            <w:pPr>
              <w:pStyle w:val="12"/>
              <w:spacing w:after="0"/>
              <w:ind w:left="0" w:leftChars="0"/>
              <w:jc w:val="center"/>
              <w:rPr>
                <w:rFonts w:cs="宋体"/>
                <w:szCs w:val="24"/>
              </w:rPr>
            </w:pPr>
          </w:p>
        </w:tc>
        <w:tc>
          <w:tcPr>
            <w:tcW w:w="1134" w:type="dxa"/>
            <w:vAlign w:val="center"/>
          </w:tcPr>
          <w:p>
            <w:pPr>
              <w:pStyle w:val="12"/>
              <w:spacing w:after="0"/>
              <w:ind w:left="0" w:leftChars="0"/>
              <w:jc w:val="center"/>
              <w:rPr>
                <w:rFonts w:cs="宋体"/>
                <w:szCs w:val="24"/>
              </w:rPr>
            </w:pPr>
          </w:p>
        </w:tc>
        <w:tc>
          <w:tcPr>
            <w:tcW w:w="1134" w:type="dxa"/>
            <w:tcBorders>
              <w:right w:val="single" w:color="auto" w:sz="4" w:space="0"/>
            </w:tcBorders>
            <w:vAlign w:val="center"/>
          </w:tcPr>
          <w:p>
            <w:pPr>
              <w:pStyle w:val="12"/>
              <w:spacing w:after="0"/>
              <w:ind w:left="0" w:leftChars="0"/>
              <w:jc w:val="center"/>
              <w:rPr>
                <w:rFonts w:cs="宋体"/>
                <w:szCs w:val="24"/>
              </w:rPr>
            </w:pPr>
          </w:p>
        </w:tc>
        <w:tc>
          <w:tcPr>
            <w:tcW w:w="1134" w:type="dxa"/>
            <w:tcBorders>
              <w:left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3" w:type="dxa"/>
            <w:vAlign w:val="center"/>
          </w:tcPr>
          <w:p>
            <w:pPr>
              <w:pStyle w:val="12"/>
              <w:spacing w:after="0"/>
              <w:ind w:left="0" w:leftChars="0"/>
              <w:jc w:val="center"/>
              <w:rPr>
                <w:rFonts w:cs="宋体"/>
                <w:szCs w:val="24"/>
              </w:rPr>
            </w:pPr>
            <w:r>
              <w:rPr>
                <w:rFonts w:hint="eastAsia" w:cs="宋体"/>
                <w:szCs w:val="24"/>
              </w:rPr>
              <w:t>4</w:t>
            </w:r>
          </w:p>
        </w:tc>
        <w:tc>
          <w:tcPr>
            <w:tcW w:w="1701" w:type="dxa"/>
            <w:vAlign w:val="center"/>
          </w:tcPr>
          <w:p>
            <w:pPr>
              <w:pStyle w:val="12"/>
              <w:spacing w:after="0"/>
              <w:ind w:left="0" w:leftChars="0"/>
              <w:jc w:val="center"/>
              <w:rPr>
                <w:rFonts w:cs="宋体"/>
                <w:szCs w:val="24"/>
              </w:rPr>
            </w:pPr>
            <w:r>
              <w:rPr>
                <w:rFonts w:hint="eastAsia" w:cs="宋体"/>
                <w:szCs w:val="24"/>
              </w:rPr>
              <w:t>生物分散剂</w:t>
            </w:r>
          </w:p>
        </w:tc>
        <w:tc>
          <w:tcPr>
            <w:tcW w:w="1276" w:type="dxa"/>
            <w:tcBorders>
              <w:right w:val="single" w:color="auto" w:sz="4" w:space="0"/>
            </w:tcBorders>
            <w:vAlign w:val="center"/>
          </w:tcPr>
          <w:p>
            <w:pPr>
              <w:pStyle w:val="12"/>
              <w:spacing w:after="0"/>
              <w:ind w:left="0" w:leftChars="0"/>
              <w:jc w:val="center"/>
              <w:rPr>
                <w:rFonts w:cs="宋体"/>
                <w:szCs w:val="24"/>
              </w:rPr>
            </w:pPr>
          </w:p>
        </w:tc>
        <w:tc>
          <w:tcPr>
            <w:tcW w:w="1275" w:type="dxa"/>
            <w:tcBorders>
              <w:left w:val="single" w:color="auto" w:sz="4" w:space="0"/>
            </w:tcBorders>
            <w:vAlign w:val="center"/>
          </w:tcPr>
          <w:p>
            <w:pPr>
              <w:pStyle w:val="12"/>
              <w:spacing w:after="0"/>
              <w:ind w:left="0" w:leftChars="0"/>
              <w:jc w:val="center"/>
              <w:rPr>
                <w:rFonts w:cs="宋体"/>
                <w:szCs w:val="24"/>
              </w:rPr>
            </w:pPr>
          </w:p>
        </w:tc>
        <w:tc>
          <w:tcPr>
            <w:tcW w:w="1134" w:type="dxa"/>
            <w:vAlign w:val="center"/>
          </w:tcPr>
          <w:p>
            <w:pPr>
              <w:pStyle w:val="12"/>
              <w:spacing w:after="0"/>
              <w:ind w:left="0" w:leftChars="0"/>
              <w:jc w:val="center"/>
              <w:rPr>
                <w:rFonts w:cs="宋体"/>
                <w:szCs w:val="24"/>
              </w:rPr>
            </w:pPr>
          </w:p>
        </w:tc>
        <w:tc>
          <w:tcPr>
            <w:tcW w:w="1134" w:type="dxa"/>
            <w:tcBorders>
              <w:right w:val="single" w:color="auto" w:sz="4" w:space="0"/>
            </w:tcBorders>
            <w:vAlign w:val="center"/>
          </w:tcPr>
          <w:p>
            <w:pPr>
              <w:pStyle w:val="12"/>
              <w:spacing w:after="0"/>
              <w:ind w:left="0" w:leftChars="0"/>
              <w:jc w:val="center"/>
              <w:rPr>
                <w:rFonts w:cs="宋体"/>
                <w:szCs w:val="24"/>
              </w:rPr>
            </w:pPr>
          </w:p>
        </w:tc>
        <w:tc>
          <w:tcPr>
            <w:tcW w:w="1134" w:type="dxa"/>
            <w:tcBorders>
              <w:left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1413" w:type="dxa"/>
            <w:vAlign w:val="center"/>
          </w:tcPr>
          <w:p>
            <w:pPr>
              <w:pStyle w:val="12"/>
              <w:spacing w:after="0"/>
              <w:ind w:left="0" w:leftChars="0"/>
              <w:jc w:val="center"/>
              <w:rPr>
                <w:rFonts w:cs="宋体"/>
                <w:szCs w:val="24"/>
              </w:rPr>
            </w:pPr>
            <w:r>
              <w:rPr>
                <w:rFonts w:hint="eastAsia" w:cs="宋体"/>
                <w:szCs w:val="24"/>
              </w:rPr>
              <w:t>小计</w:t>
            </w:r>
          </w:p>
        </w:tc>
        <w:tc>
          <w:tcPr>
            <w:tcW w:w="7654" w:type="dxa"/>
            <w:gridSpan w:val="6"/>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67" w:type="dxa"/>
            <w:gridSpan w:val="7"/>
            <w:vAlign w:val="center"/>
          </w:tcPr>
          <w:p>
            <w:pPr>
              <w:spacing w:line="500" w:lineRule="exact"/>
              <w:rPr>
                <w:rFonts w:ascii="Times New Roman" w:hAnsi="Times New Roman" w:cs="宋体"/>
              </w:rPr>
            </w:pPr>
            <w:r>
              <w:rPr>
                <w:rFonts w:hint="eastAsia" w:ascii="Times New Roman" w:hAnsi="Times New Roman" w:cs="宋体"/>
              </w:rPr>
              <w:t>二、年度封闭冷冻水维护费用（元/年）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1413" w:type="dxa"/>
            <w:tcBorders>
              <w:bottom w:val="single" w:color="auto" w:sz="4" w:space="0"/>
            </w:tcBorders>
            <w:vAlign w:val="center"/>
          </w:tcPr>
          <w:p>
            <w:pPr>
              <w:pStyle w:val="12"/>
              <w:spacing w:after="0"/>
              <w:ind w:left="0" w:leftChars="0"/>
              <w:jc w:val="center"/>
              <w:rPr>
                <w:rFonts w:cs="宋体"/>
                <w:szCs w:val="24"/>
              </w:rPr>
            </w:pPr>
            <w:r>
              <w:rPr>
                <w:rFonts w:hint="eastAsia" w:cs="宋体"/>
                <w:szCs w:val="24"/>
              </w:rPr>
              <w:t>序号</w:t>
            </w:r>
          </w:p>
        </w:tc>
        <w:tc>
          <w:tcPr>
            <w:tcW w:w="1701" w:type="dxa"/>
            <w:tcBorders>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药剂名称</w:t>
            </w:r>
          </w:p>
        </w:tc>
        <w:tc>
          <w:tcPr>
            <w:tcW w:w="1276" w:type="dxa"/>
            <w:tcBorders>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规格型号</w:t>
            </w:r>
          </w:p>
        </w:tc>
        <w:tc>
          <w:tcPr>
            <w:tcW w:w="1275" w:type="dxa"/>
            <w:tcBorders>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生产厂家</w:t>
            </w:r>
          </w:p>
        </w:tc>
        <w:tc>
          <w:tcPr>
            <w:tcW w:w="1134" w:type="dxa"/>
            <w:tcBorders>
              <w:left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单价</w:t>
            </w:r>
          </w:p>
        </w:tc>
        <w:tc>
          <w:tcPr>
            <w:tcW w:w="1134" w:type="dxa"/>
            <w:tcBorders>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年用量</w:t>
            </w:r>
          </w:p>
        </w:tc>
        <w:tc>
          <w:tcPr>
            <w:tcW w:w="1134" w:type="dxa"/>
            <w:tcBorders>
              <w:left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13"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1</w:t>
            </w:r>
          </w:p>
        </w:tc>
        <w:tc>
          <w:tcPr>
            <w:tcW w:w="1701"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清洗预膜剂</w:t>
            </w:r>
          </w:p>
        </w:tc>
        <w:tc>
          <w:tcPr>
            <w:tcW w:w="1276"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13"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2</w:t>
            </w:r>
          </w:p>
        </w:tc>
        <w:tc>
          <w:tcPr>
            <w:tcW w:w="1701" w:type="dxa"/>
            <w:tcBorders>
              <w:top w:val="single" w:color="auto" w:sz="4" w:space="0"/>
              <w:bottom w:val="single" w:color="auto" w:sz="4" w:space="0"/>
              <w:right w:val="single" w:color="auto" w:sz="4" w:space="0"/>
            </w:tcBorders>
            <w:vAlign w:val="center"/>
          </w:tcPr>
          <w:p>
            <w:pPr>
              <w:pStyle w:val="12"/>
              <w:spacing w:after="0"/>
              <w:ind w:left="0" w:leftChars="0" w:firstLine="210" w:firstLineChars="100"/>
              <w:jc w:val="center"/>
              <w:rPr>
                <w:rFonts w:cs="宋体"/>
                <w:szCs w:val="24"/>
              </w:rPr>
            </w:pPr>
            <w:r>
              <w:rPr>
                <w:rFonts w:hint="eastAsia" w:cs="宋体"/>
                <w:szCs w:val="24"/>
              </w:rPr>
              <w:t>杀菌剂</w:t>
            </w:r>
          </w:p>
        </w:tc>
        <w:tc>
          <w:tcPr>
            <w:tcW w:w="1276"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413"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3</w:t>
            </w:r>
          </w:p>
        </w:tc>
        <w:tc>
          <w:tcPr>
            <w:tcW w:w="1701"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封闭水缓蚀剂</w:t>
            </w:r>
          </w:p>
        </w:tc>
        <w:tc>
          <w:tcPr>
            <w:tcW w:w="1276"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trPr>
        <w:tc>
          <w:tcPr>
            <w:tcW w:w="1413" w:type="dxa"/>
            <w:tcBorders>
              <w:top w:val="single" w:color="auto" w:sz="4" w:space="0"/>
              <w:bottom w:val="single" w:color="auto" w:sz="4" w:space="0"/>
            </w:tcBorders>
            <w:vAlign w:val="center"/>
          </w:tcPr>
          <w:p>
            <w:pPr>
              <w:pStyle w:val="12"/>
              <w:ind w:left="0" w:leftChars="0"/>
              <w:jc w:val="center"/>
              <w:rPr>
                <w:rFonts w:cs="宋体"/>
                <w:szCs w:val="24"/>
              </w:rPr>
            </w:pPr>
            <w:r>
              <w:rPr>
                <w:rFonts w:hint="eastAsia" w:cs="宋体"/>
                <w:szCs w:val="24"/>
              </w:rPr>
              <w:t>小计</w:t>
            </w:r>
          </w:p>
        </w:tc>
        <w:tc>
          <w:tcPr>
            <w:tcW w:w="7654" w:type="dxa"/>
            <w:gridSpan w:val="6"/>
            <w:tcBorders>
              <w:top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9067" w:type="dxa"/>
            <w:gridSpan w:val="7"/>
            <w:tcBorders>
              <w:top w:val="single" w:color="auto" w:sz="4" w:space="0"/>
              <w:bottom w:val="single" w:color="auto" w:sz="4" w:space="0"/>
            </w:tcBorders>
            <w:vAlign w:val="center"/>
          </w:tcPr>
          <w:p>
            <w:pPr>
              <w:tabs>
                <w:tab w:val="left" w:pos="600"/>
                <w:tab w:val="left" w:pos="2160"/>
                <w:tab w:val="left" w:pos="5040"/>
              </w:tabs>
              <w:spacing w:line="360" w:lineRule="auto"/>
              <w:rPr>
                <w:rFonts w:ascii="Times New Roman" w:hAnsi="Times New Roman" w:cs="宋体"/>
                <w:szCs w:val="24"/>
              </w:rPr>
            </w:pPr>
            <w:r>
              <w:rPr>
                <w:rFonts w:hint="eastAsia" w:ascii="Times New Roman" w:hAnsi="Times New Roman" w:cs="宋体"/>
              </w:rPr>
              <w:t>制冷机组冷凝器清洗服务（元/年）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1413" w:type="dxa"/>
            <w:tcBorders>
              <w:top w:val="single" w:color="auto" w:sz="4" w:space="0"/>
              <w:bottom w:val="single" w:color="auto" w:sz="4" w:space="0"/>
            </w:tcBorders>
            <w:vAlign w:val="center"/>
          </w:tcPr>
          <w:p>
            <w:pPr>
              <w:pStyle w:val="12"/>
              <w:spacing w:after="0"/>
              <w:ind w:left="0" w:leftChars="0"/>
              <w:jc w:val="center"/>
              <w:rPr>
                <w:rFonts w:hint="eastAsia" w:ascii="Times New Roman" w:hAnsi="Times New Roman" w:eastAsia="宋体" w:cs="宋体"/>
                <w:kern w:val="2"/>
                <w:sz w:val="21"/>
                <w:szCs w:val="24"/>
                <w:lang w:val="zh-CN" w:eastAsia="zh-CN" w:bidi="ar-SA"/>
              </w:rPr>
            </w:pPr>
            <w:r>
              <w:rPr>
                <w:rFonts w:hint="eastAsia" w:cs="宋体"/>
                <w:szCs w:val="24"/>
              </w:rPr>
              <w:t>序号</w:t>
            </w:r>
          </w:p>
        </w:tc>
        <w:tc>
          <w:tcPr>
            <w:tcW w:w="1701" w:type="dxa"/>
            <w:tcBorders>
              <w:top w:val="single" w:color="auto" w:sz="4" w:space="0"/>
              <w:bottom w:val="single" w:color="auto" w:sz="4" w:space="0"/>
              <w:right w:val="single" w:color="auto" w:sz="4" w:space="0"/>
            </w:tcBorders>
            <w:vAlign w:val="center"/>
          </w:tcPr>
          <w:p>
            <w:pPr>
              <w:pStyle w:val="12"/>
              <w:spacing w:after="0"/>
              <w:ind w:left="0" w:leftChars="0"/>
              <w:jc w:val="center"/>
              <w:rPr>
                <w:rFonts w:hint="eastAsia" w:ascii="Times New Roman" w:hAnsi="Times New Roman" w:eastAsia="宋体" w:cs="宋体"/>
                <w:kern w:val="2"/>
                <w:sz w:val="21"/>
                <w:szCs w:val="24"/>
                <w:lang w:val="zh-CN" w:eastAsia="zh-CN" w:bidi="ar-SA"/>
              </w:rPr>
            </w:pPr>
            <w:r>
              <w:rPr>
                <w:rFonts w:hint="eastAsia" w:cs="宋体"/>
                <w:szCs w:val="24"/>
              </w:rPr>
              <w:t>药剂名称</w:t>
            </w:r>
          </w:p>
        </w:tc>
        <w:tc>
          <w:tcPr>
            <w:tcW w:w="1276"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ascii="Times New Roman" w:hAnsi="Times New Roman" w:eastAsia="宋体" w:cs="宋体"/>
                <w:kern w:val="2"/>
                <w:sz w:val="21"/>
                <w:szCs w:val="24"/>
                <w:lang w:val="zh-CN" w:eastAsia="zh-CN" w:bidi="ar-SA"/>
              </w:rPr>
            </w:pPr>
            <w:r>
              <w:rPr>
                <w:rFonts w:hint="eastAsia" w:cs="宋体"/>
                <w:szCs w:val="24"/>
              </w:rPr>
              <w:t>规格型号</w:t>
            </w:r>
          </w:p>
        </w:tc>
        <w:tc>
          <w:tcPr>
            <w:tcW w:w="1275"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ascii="Times New Roman" w:hAnsi="Times New Roman" w:eastAsia="宋体" w:cs="宋体"/>
                <w:kern w:val="2"/>
                <w:sz w:val="21"/>
                <w:szCs w:val="24"/>
                <w:lang w:val="zh-CN" w:eastAsia="zh-CN" w:bidi="ar-SA"/>
              </w:rPr>
            </w:pPr>
            <w:r>
              <w:rPr>
                <w:rFonts w:hint="eastAsia" w:cs="宋体"/>
                <w:szCs w:val="24"/>
              </w:rPr>
              <w:t>生产厂家</w:t>
            </w:r>
          </w:p>
        </w:tc>
        <w:tc>
          <w:tcPr>
            <w:tcW w:w="1134" w:type="dxa"/>
            <w:tcBorders>
              <w:top w:val="single" w:color="auto" w:sz="4" w:space="0"/>
              <w:left w:val="single" w:color="auto" w:sz="4" w:space="0"/>
              <w:bottom w:val="single" w:color="auto" w:sz="4" w:space="0"/>
            </w:tcBorders>
            <w:vAlign w:val="center"/>
          </w:tcPr>
          <w:p>
            <w:pPr>
              <w:pStyle w:val="12"/>
              <w:spacing w:after="0"/>
              <w:ind w:left="0" w:leftChars="0"/>
              <w:jc w:val="center"/>
              <w:rPr>
                <w:rFonts w:ascii="Times New Roman" w:hAnsi="Times New Roman" w:eastAsia="宋体" w:cs="宋体"/>
                <w:kern w:val="2"/>
                <w:sz w:val="21"/>
                <w:szCs w:val="24"/>
                <w:lang w:val="zh-CN" w:eastAsia="zh-CN" w:bidi="ar-SA"/>
              </w:rPr>
            </w:pPr>
            <w:r>
              <w:rPr>
                <w:rFonts w:hint="eastAsia" w:cs="宋体"/>
                <w:szCs w:val="24"/>
              </w:rPr>
              <w:t>单价</w:t>
            </w:r>
          </w:p>
        </w:tc>
        <w:tc>
          <w:tcPr>
            <w:tcW w:w="1134" w:type="dxa"/>
            <w:tcBorders>
              <w:top w:val="single" w:color="auto" w:sz="4" w:space="0"/>
              <w:bottom w:val="single" w:color="auto" w:sz="4" w:space="0"/>
              <w:right w:val="single" w:color="auto" w:sz="4" w:space="0"/>
            </w:tcBorders>
            <w:vAlign w:val="center"/>
          </w:tcPr>
          <w:p>
            <w:pPr>
              <w:pStyle w:val="12"/>
              <w:spacing w:after="0"/>
              <w:ind w:left="0" w:leftChars="0"/>
              <w:jc w:val="center"/>
              <w:rPr>
                <w:rFonts w:ascii="Times New Roman" w:hAnsi="Times New Roman" w:eastAsia="宋体" w:cs="宋体"/>
                <w:kern w:val="2"/>
                <w:sz w:val="21"/>
                <w:szCs w:val="24"/>
                <w:lang w:val="zh-CN" w:eastAsia="zh-CN" w:bidi="ar-SA"/>
              </w:rPr>
            </w:pPr>
            <w:r>
              <w:rPr>
                <w:rFonts w:hint="eastAsia" w:cs="宋体"/>
                <w:szCs w:val="24"/>
              </w:rPr>
              <w:t>年用量</w:t>
            </w:r>
          </w:p>
        </w:tc>
        <w:tc>
          <w:tcPr>
            <w:tcW w:w="1134" w:type="dxa"/>
            <w:tcBorders>
              <w:top w:val="single" w:color="auto" w:sz="4" w:space="0"/>
              <w:left w:val="single" w:color="auto" w:sz="4" w:space="0"/>
              <w:bottom w:val="single" w:color="auto" w:sz="4" w:space="0"/>
            </w:tcBorders>
            <w:vAlign w:val="center"/>
          </w:tcPr>
          <w:p>
            <w:pPr>
              <w:pStyle w:val="12"/>
              <w:spacing w:after="0"/>
              <w:ind w:left="0" w:leftChars="0"/>
              <w:jc w:val="center"/>
              <w:rPr>
                <w:rFonts w:ascii="Times New Roman" w:hAnsi="Times New Roman" w:eastAsia="宋体" w:cs="宋体"/>
                <w:kern w:val="2"/>
                <w:sz w:val="21"/>
                <w:szCs w:val="24"/>
                <w:lang w:val="zh-CN" w:eastAsia="zh-CN" w:bidi="ar-SA"/>
              </w:rPr>
            </w:pPr>
            <w:r>
              <w:rPr>
                <w:rFonts w:hint="eastAsia" w:cs="宋体"/>
                <w:szCs w:val="24"/>
              </w:rPr>
              <w:t>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1413"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1</w:t>
            </w:r>
          </w:p>
        </w:tc>
        <w:tc>
          <w:tcPr>
            <w:tcW w:w="1701"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消泡剂</w:t>
            </w:r>
          </w:p>
        </w:tc>
        <w:tc>
          <w:tcPr>
            <w:tcW w:w="1276"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1413"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2</w:t>
            </w:r>
          </w:p>
        </w:tc>
        <w:tc>
          <w:tcPr>
            <w:tcW w:w="1701"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除垢剂</w:t>
            </w:r>
          </w:p>
        </w:tc>
        <w:tc>
          <w:tcPr>
            <w:tcW w:w="1276"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1413"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3</w:t>
            </w:r>
          </w:p>
        </w:tc>
        <w:tc>
          <w:tcPr>
            <w:tcW w:w="1701"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中和剂</w:t>
            </w:r>
          </w:p>
        </w:tc>
        <w:tc>
          <w:tcPr>
            <w:tcW w:w="1276"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34"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1413" w:type="dxa"/>
            <w:tcBorders>
              <w:top w:val="single" w:color="auto" w:sz="4" w:space="0"/>
              <w:bottom w:val="single" w:color="auto" w:sz="4" w:space="0"/>
            </w:tcBorders>
            <w:vAlign w:val="center"/>
          </w:tcPr>
          <w:p>
            <w:pPr>
              <w:pStyle w:val="12"/>
              <w:ind w:left="0" w:leftChars="0"/>
              <w:jc w:val="center"/>
              <w:rPr>
                <w:rFonts w:cs="宋体"/>
                <w:szCs w:val="24"/>
              </w:rPr>
            </w:pPr>
            <w:r>
              <w:rPr>
                <w:rFonts w:hint="eastAsia" w:cs="宋体"/>
                <w:szCs w:val="24"/>
              </w:rPr>
              <w:t>小计</w:t>
            </w:r>
          </w:p>
        </w:tc>
        <w:tc>
          <w:tcPr>
            <w:tcW w:w="7654" w:type="dxa"/>
            <w:gridSpan w:val="6"/>
            <w:tcBorders>
              <w:top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1413" w:type="dxa"/>
            <w:tcBorders>
              <w:top w:val="single" w:color="auto" w:sz="4" w:space="0"/>
            </w:tcBorders>
            <w:vAlign w:val="center"/>
          </w:tcPr>
          <w:p>
            <w:pPr>
              <w:pStyle w:val="12"/>
              <w:ind w:left="0" w:leftChars="0"/>
              <w:jc w:val="center"/>
              <w:rPr>
                <w:rFonts w:cs="宋体"/>
                <w:szCs w:val="24"/>
              </w:rPr>
            </w:pPr>
            <w:r>
              <w:rPr>
                <w:rFonts w:hint="eastAsia" w:cs="宋体"/>
                <w:szCs w:val="24"/>
              </w:rPr>
              <w:t>总价合计</w:t>
            </w:r>
          </w:p>
        </w:tc>
        <w:tc>
          <w:tcPr>
            <w:tcW w:w="7654" w:type="dxa"/>
            <w:gridSpan w:val="6"/>
            <w:tcBorders>
              <w:top w:val="single" w:color="auto" w:sz="4" w:space="0"/>
            </w:tcBorders>
            <w:vAlign w:val="center"/>
          </w:tcPr>
          <w:p>
            <w:pPr>
              <w:pStyle w:val="12"/>
              <w:spacing w:after="0"/>
              <w:ind w:left="0" w:leftChars="0"/>
              <w:jc w:val="center"/>
              <w:rPr>
                <w:rFonts w:cs="宋体"/>
                <w:szCs w:val="24"/>
              </w:rPr>
            </w:pPr>
          </w:p>
        </w:tc>
      </w:tr>
    </w:tbl>
    <w:p>
      <w:pPr>
        <w:pStyle w:val="12"/>
        <w:spacing w:after="0"/>
        <w:ind w:left="0" w:leftChars="0"/>
        <w:rPr>
          <w:rFonts w:cs="宋体"/>
          <w:bCs/>
          <w:szCs w:val="24"/>
        </w:rPr>
      </w:pPr>
      <w:r>
        <w:rPr>
          <w:rFonts w:hint="eastAsia" w:cs="宋体"/>
          <w:bCs/>
          <w:szCs w:val="24"/>
        </w:rPr>
        <w:t>备注：请投标人依据技术协议书中水处理系统参数的内容，自行编写数量及价格，单价为固定单价，此表格可同样格式扩展。</w:t>
      </w:r>
    </w:p>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4"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512"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lang w:val="en-US" w:eastAsia="zh-CN"/>
              </w:rPr>
              <w:t>药剂</w:t>
            </w:r>
            <w:r>
              <w:rPr>
                <w:rFonts w:hint="eastAsia" w:ascii="宋体" w:hAnsi="宋体" w:eastAsia="宋体" w:cs="宋体"/>
              </w:rPr>
              <w:t>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r>
        <w:rPr>
          <w:rFonts w:hint="eastAsia" w:ascii="宋体" w:hAnsi="宋体" w:eastAsia="宋体" w:cs="宋体"/>
          <w:lang w:val="en-US" w:eastAsia="zh-CN"/>
        </w:rPr>
        <w:t>1</w:t>
      </w:r>
      <w:r>
        <w:rPr>
          <w:rFonts w:hint="eastAsia" w:ascii="宋体" w:hAnsi="宋体" w:eastAsia="宋体" w:cs="宋体"/>
        </w:rPr>
        <w:t>备品备件、易损件和专用耗材明细表（若有）</w:t>
      </w:r>
    </w:p>
    <w:p>
      <w:pPr>
        <w:jc w:val="right"/>
        <w:rPr>
          <w:rFonts w:hint="eastAsia" w:ascii="宋体" w:hAnsi="宋体" w:eastAsia="宋体" w:cs="宋体"/>
        </w:rPr>
      </w:pPr>
      <w:r>
        <w:rPr>
          <w:rFonts w:hint="eastAsia" w:ascii="宋体" w:hAnsi="宋体" w:eastAsia="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r>
              <w:rPr>
                <w:rFonts w:hint="eastAsia" w:ascii="宋体" w:hAnsi="宋体" w:eastAsia="宋体" w:cs="宋体"/>
              </w:rPr>
              <w:t>序号</w:t>
            </w:r>
          </w:p>
        </w:tc>
        <w:tc>
          <w:tcPr>
            <w:tcW w:w="1924" w:type="dxa"/>
          </w:tcPr>
          <w:p>
            <w:pPr>
              <w:pStyle w:val="82"/>
              <w:rPr>
                <w:rFonts w:hint="eastAsia" w:ascii="宋体" w:hAnsi="宋体" w:eastAsia="宋体" w:cs="宋体"/>
              </w:rPr>
            </w:pPr>
            <w:r>
              <w:rPr>
                <w:rFonts w:hint="eastAsia" w:ascii="宋体" w:hAnsi="宋体" w:eastAsia="宋体" w:cs="宋体"/>
              </w:rPr>
              <w:t>名称</w:t>
            </w:r>
          </w:p>
        </w:tc>
        <w:tc>
          <w:tcPr>
            <w:tcW w:w="1236" w:type="dxa"/>
          </w:tcPr>
          <w:p>
            <w:pPr>
              <w:pStyle w:val="82"/>
              <w:rPr>
                <w:rFonts w:hint="eastAsia" w:ascii="宋体" w:hAnsi="宋体" w:eastAsia="宋体" w:cs="宋体"/>
              </w:rPr>
            </w:pPr>
            <w:r>
              <w:rPr>
                <w:rFonts w:hint="eastAsia" w:ascii="宋体" w:hAnsi="宋体" w:eastAsia="宋体" w:cs="宋体"/>
              </w:rPr>
              <w:t>型号规格</w:t>
            </w:r>
          </w:p>
        </w:tc>
        <w:tc>
          <w:tcPr>
            <w:tcW w:w="720" w:type="dxa"/>
          </w:tcPr>
          <w:p>
            <w:pPr>
              <w:pStyle w:val="82"/>
              <w:rPr>
                <w:rFonts w:hint="eastAsia" w:ascii="宋体" w:hAnsi="宋体" w:eastAsia="宋体" w:cs="宋体"/>
              </w:rPr>
            </w:pPr>
            <w:r>
              <w:rPr>
                <w:rFonts w:hint="eastAsia" w:ascii="宋体" w:hAnsi="宋体" w:eastAsia="宋体" w:cs="宋体"/>
              </w:rPr>
              <w:t>单位</w:t>
            </w:r>
          </w:p>
        </w:tc>
        <w:tc>
          <w:tcPr>
            <w:tcW w:w="720" w:type="dxa"/>
          </w:tcPr>
          <w:p>
            <w:pPr>
              <w:pStyle w:val="82"/>
              <w:rPr>
                <w:rFonts w:hint="eastAsia" w:ascii="宋体" w:hAnsi="宋体" w:eastAsia="宋体" w:cs="宋体"/>
              </w:rPr>
            </w:pPr>
            <w:r>
              <w:rPr>
                <w:rFonts w:hint="eastAsia" w:ascii="宋体" w:hAnsi="宋体" w:eastAsia="宋体" w:cs="宋体"/>
              </w:rPr>
              <w:t>数量</w:t>
            </w:r>
          </w:p>
        </w:tc>
        <w:tc>
          <w:tcPr>
            <w:tcW w:w="720" w:type="dxa"/>
          </w:tcPr>
          <w:p>
            <w:pPr>
              <w:pStyle w:val="82"/>
              <w:rPr>
                <w:rFonts w:hint="eastAsia" w:ascii="宋体" w:hAnsi="宋体" w:eastAsia="宋体" w:cs="宋体"/>
              </w:rPr>
            </w:pPr>
            <w:r>
              <w:rPr>
                <w:rFonts w:hint="eastAsia" w:ascii="宋体" w:hAnsi="宋体" w:eastAsia="宋体" w:cs="宋体"/>
              </w:rPr>
              <w:t>单价</w:t>
            </w:r>
          </w:p>
        </w:tc>
        <w:tc>
          <w:tcPr>
            <w:tcW w:w="720" w:type="dxa"/>
          </w:tcPr>
          <w:p>
            <w:pPr>
              <w:pStyle w:val="82"/>
              <w:rPr>
                <w:rFonts w:hint="eastAsia" w:ascii="宋体" w:hAnsi="宋体" w:eastAsia="宋体" w:cs="宋体"/>
              </w:rPr>
            </w:pPr>
            <w:r>
              <w:rPr>
                <w:rFonts w:hint="eastAsia" w:ascii="宋体" w:hAnsi="宋体" w:eastAsia="宋体" w:cs="宋体"/>
              </w:rPr>
              <w:t>总价</w:t>
            </w:r>
          </w:p>
        </w:tc>
        <w:tc>
          <w:tcPr>
            <w:tcW w:w="2235" w:type="dxa"/>
          </w:tcPr>
          <w:p>
            <w:pPr>
              <w:pStyle w:val="82"/>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bl>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212369556"/>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eastAsia="宋体" w:cs="宋体"/>
          <w:sz w:val="24"/>
          <w:szCs w:val="24"/>
        </w:rPr>
        <w:t>http://ecaitong.sinotruk.com:8012/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2"/>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36"/>
          <w:szCs w:val="36"/>
        </w:rPr>
        <w:t>第二章 技术协议书</w:t>
      </w:r>
    </w:p>
    <w:p>
      <w:pPr>
        <w:pStyle w:val="15"/>
        <w:pageBreakBefore w:val="0"/>
        <w:widowControl w:val="0"/>
        <w:kinsoku/>
        <w:wordWrap/>
        <w:overflowPunct/>
        <w:topLinePunct w:val="0"/>
        <w:autoSpaceDE/>
        <w:autoSpaceDN/>
        <w:bidi w:val="0"/>
        <w:adjustRightInd/>
        <w:snapToGrid/>
        <w:spacing w:line="360" w:lineRule="auto"/>
        <w:textAlignment w:val="auto"/>
        <w:outlineLvl w:val="1"/>
        <w:rPr>
          <w:rStyle w:val="41"/>
          <w:rFonts w:hint="eastAsia" w:ascii="宋体" w:hAnsi="宋体" w:eastAsia="宋体" w:cs="宋体"/>
          <w:sz w:val="28"/>
          <w:szCs w:val="28"/>
        </w:rPr>
      </w:pPr>
      <w:r>
        <w:rPr>
          <w:rStyle w:val="41"/>
          <w:rFonts w:hint="eastAsia" w:ascii="宋体" w:hAnsi="宋体" w:eastAsia="宋体" w:cs="宋体"/>
          <w:sz w:val="28"/>
          <w:szCs w:val="28"/>
        </w:rPr>
        <w:t>一、项目背景</w:t>
      </w:r>
    </w:p>
    <w:p>
      <w:pPr>
        <w:pStyle w:val="15"/>
        <w:pageBreakBefore w:val="0"/>
        <w:widowControl w:val="0"/>
        <w:kinsoku/>
        <w:wordWrap/>
        <w:overflowPunct/>
        <w:topLinePunct w:val="0"/>
        <w:autoSpaceDE/>
        <w:autoSpaceDN/>
        <w:bidi w:val="0"/>
        <w:adjustRightInd/>
        <w:snapToGrid/>
        <w:spacing w:line="360" w:lineRule="auto"/>
        <w:ind w:firstLine="334" w:firstLineChars="152"/>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科技中心园区的循环水主要包含1#、3#试验室设备用工艺冷却水， 4#、6#、7#试验室制冷机组冷却水；试验室和科技大厦中央空调制冷机组冷却水和冷冻水；章丘工业园国六发动机试验室循环水主要包括试验用工艺冷却水，以及制冷机组冷却水和冷冻水；制冷机组冷凝器清洗。为满足我单位循环水的使用要求，需要采购阻垢缓蚀剂、氧化杀菌剂、生物分散剂等药剂对水质和管道进行处理，并提供现场药剂投放及管道防护的技术服务。</w:t>
      </w:r>
    </w:p>
    <w:p>
      <w:pPr>
        <w:pStyle w:val="78"/>
        <w:pageBreakBefore w:val="0"/>
        <w:widowControl w:val="0"/>
        <w:kinsoku/>
        <w:wordWrap/>
        <w:overflowPunct/>
        <w:topLinePunct w:val="0"/>
        <w:autoSpaceDE/>
        <w:autoSpaceDN/>
        <w:bidi w:val="0"/>
        <w:adjustRightInd/>
        <w:snapToGrid/>
        <w:spacing w:line="360" w:lineRule="auto"/>
        <w:ind w:firstLine="0" w:firstLineChars="0"/>
        <w:textAlignment w:val="auto"/>
        <w:rPr>
          <w:rStyle w:val="41"/>
          <w:rFonts w:hint="eastAsia" w:ascii="宋体" w:hAnsi="宋体" w:eastAsia="宋体" w:cs="宋体"/>
          <w:sz w:val="28"/>
          <w:szCs w:val="28"/>
        </w:rPr>
      </w:pPr>
      <w:r>
        <w:rPr>
          <w:rStyle w:val="41"/>
          <w:rFonts w:hint="eastAsia" w:ascii="宋体" w:hAnsi="宋体" w:eastAsia="宋体" w:cs="宋体"/>
          <w:sz w:val="28"/>
          <w:szCs w:val="28"/>
        </w:rPr>
        <w:t>二、服务内容</w:t>
      </w:r>
    </w:p>
    <w:p>
      <w:pPr>
        <w:pStyle w:val="15"/>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8"/>
        </w:rPr>
      </w:pPr>
      <w:r>
        <w:rPr>
          <w:rFonts w:hint="eastAsia" w:ascii="宋体" w:hAnsi="宋体" w:eastAsia="宋体" w:cs="宋体"/>
          <w:color w:val="000000"/>
          <w:sz w:val="22"/>
          <w:szCs w:val="28"/>
        </w:rPr>
        <w:t>1、</w:t>
      </w:r>
      <w:r>
        <w:rPr>
          <w:rFonts w:hint="eastAsia" w:ascii="宋体" w:hAnsi="宋体" w:eastAsia="宋体" w:cs="宋体"/>
          <w:sz w:val="22"/>
          <w:szCs w:val="28"/>
        </w:rPr>
        <w:t>投标人必须独立参加投标，不得以任何形式授权他人或组织联合体形式参加投标。投标人中标后，不得以任何形式进行转包和分包。</w:t>
      </w:r>
    </w:p>
    <w:p>
      <w:pPr>
        <w:pStyle w:val="15"/>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8"/>
        </w:rPr>
      </w:pPr>
      <w:r>
        <w:rPr>
          <w:rFonts w:hint="eastAsia" w:ascii="宋体" w:hAnsi="宋体" w:eastAsia="宋体" w:cs="宋体"/>
          <w:sz w:val="22"/>
          <w:szCs w:val="28"/>
        </w:rPr>
        <w:t>2、投标人需根据此项目系统工作量及专业性，出具科学性、合理性的水处理方案，并熟悉我单位现场加药设备的工作原理。</w:t>
      </w:r>
    </w:p>
    <w:p>
      <w:pPr>
        <w:pStyle w:val="15"/>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color w:val="000000"/>
          <w:sz w:val="22"/>
          <w:szCs w:val="28"/>
        </w:rPr>
      </w:pPr>
      <w:r>
        <w:rPr>
          <w:rFonts w:hint="eastAsia" w:ascii="宋体" w:hAnsi="宋体" w:eastAsia="宋体" w:cs="宋体"/>
          <w:color w:val="000000"/>
          <w:sz w:val="22"/>
          <w:szCs w:val="28"/>
        </w:rPr>
        <w:t>3、</w:t>
      </w:r>
      <w:r>
        <w:rPr>
          <w:rFonts w:hint="eastAsia" w:ascii="宋体" w:hAnsi="宋体" w:eastAsia="宋体" w:cs="宋体"/>
          <w:b/>
          <w:color w:val="000000"/>
          <w:sz w:val="22"/>
          <w:szCs w:val="28"/>
        </w:rPr>
        <w:t>厂家每月提供两次场技术服务，</w:t>
      </w:r>
      <w:r>
        <w:rPr>
          <w:rFonts w:hint="eastAsia" w:ascii="宋体" w:hAnsi="宋体" w:eastAsia="宋体" w:cs="宋体"/>
          <w:b/>
          <w:sz w:val="22"/>
          <w:szCs w:val="28"/>
        </w:rPr>
        <w:t>了解循环水运行情况，</w:t>
      </w:r>
      <w:r>
        <w:rPr>
          <w:rFonts w:hint="eastAsia" w:ascii="宋体" w:hAnsi="宋体" w:eastAsia="宋体" w:cs="宋体"/>
          <w:b/>
          <w:color w:val="000000"/>
          <w:sz w:val="22"/>
          <w:szCs w:val="28"/>
        </w:rPr>
        <w:t>服务内容包括但不限于：药剂投加及补充，每月进行两次水质取样分析，并出具水质检测及分析报告，由甲方确认。检测内容包括但不限于：电导率、PH值、总硬度、钙硬度、总碱度、氯离子、余氯、浊度、有机磷、铁离子等。</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Cs/>
          <w:sz w:val="22"/>
          <w:szCs w:val="28"/>
        </w:rPr>
      </w:pPr>
      <w:r>
        <w:rPr>
          <w:rFonts w:hint="eastAsia" w:ascii="宋体" w:hAnsi="宋体" w:eastAsia="宋体" w:cs="宋体"/>
          <w:bCs/>
          <w:sz w:val="22"/>
          <w:szCs w:val="28"/>
        </w:rPr>
        <w:t>4、中标方应对甲方现场水质进行检测，并出具检测报告，根据实际情况负责为甲方提供水系统的水质管理指标和现场药剂投加方案，对水质处理完成后，首次必须提供</w:t>
      </w:r>
      <w:r>
        <w:rPr>
          <w:rFonts w:hint="eastAsia" w:ascii="宋体" w:hAnsi="宋体" w:eastAsia="宋体" w:cs="宋体"/>
          <w:sz w:val="22"/>
          <w:szCs w:val="28"/>
        </w:rPr>
        <w:t>权威部门出具的检测报告，以达到国家工业循环冷却水水质标准（GB/T50050-2017）。后续由乙方出具水质化验报告，</w:t>
      </w:r>
      <w:r>
        <w:rPr>
          <w:rFonts w:hint="eastAsia" w:ascii="宋体" w:hAnsi="宋体" w:eastAsia="宋体" w:cs="宋体"/>
          <w:bCs/>
          <w:sz w:val="22"/>
          <w:szCs w:val="28"/>
        </w:rPr>
        <w:t>水质参数以乙方化验为准。如果甲方系统技术参数或水质指标发生变化，乙方负责为甲方及时进行方案调整。</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Cs/>
          <w:sz w:val="22"/>
          <w:szCs w:val="28"/>
        </w:rPr>
      </w:pPr>
      <w:r>
        <w:rPr>
          <w:rFonts w:hint="eastAsia" w:ascii="宋体" w:hAnsi="宋体" w:eastAsia="宋体" w:cs="宋体"/>
          <w:bCs/>
          <w:sz w:val="22"/>
          <w:szCs w:val="28"/>
        </w:rPr>
        <w:t>5、乙方负责为甲方提供有关水质指标和现场腐蚀检测的分析方法，及时沟通有关水质信息；并提供现场加药方案，并帮助甲方使水系统达到技术要求指标。</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Cs/>
          <w:sz w:val="22"/>
          <w:szCs w:val="28"/>
        </w:rPr>
      </w:pPr>
      <w:r>
        <w:rPr>
          <w:rFonts w:hint="eastAsia" w:ascii="宋体" w:hAnsi="宋体" w:eastAsia="宋体" w:cs="宋体"/>
          <w:bCs/>
          <w:sz w:val="22"/>
          <w:szCs w:val="28"/>
        </w:rPr>
        <w:t>6、药剂</w:t>
      </w:r>
      <w:r>
        <w:rPr>
          <w:rFonts w:hint="eastAsia" w:ascii="宋体" w:hAnsi="宋体" w:eastAsia="宋体" w:cs="宋体"/>
          <w:sz w:val="22"/>
          <w:szCs w:val="21"/>
        </w:rPr>
        <w:t>经出厂检验合格后方能发货，包装按国家或部颁标准执行，药剂直接发货至合同指定地点，否则甲方有权拒绝接受货物。</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Cs/>
          <w:sz w:val="22"/>
          <w:szCs w:val="28"/>
        </w:rPr>
      </w:pPr>
      <w:r>
        <w:rPr>
          <w:rFonts w:hint="eastAsia" w:ascii="宋体" w:hAnsi="宋体" w:eastAsia="宋体" w:cs="宋体"/>
          <w:bCs/>
          <w:sz w:val="22"/>
          <w:szCs w:val="28"/>
        </w:rPr>
        <w:t>7、开放式循环水系统杀菌灭藻剂要求厂家自行投加。交替使用两种氧化型杀菌剂杀菌，优先考虑选用固体杀菌剂。</w:t>
      </w:r>
    </w:p>
    <w:p>
      <w:pPr>
        <w:pStyle w:val="15"/>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Cs/>
          <w:sz w:val="22"/>
          <w:szCs w:val="28"/>
        </w:rPr>
      </w:pPr>
      <w:r>
        <w:rPr>
          <w:rFonts w:hint="eastAsia" w:ascii="宋体" w:hAnsi="宋体" w:eastAsia="宋体" w:cs="宋体"/>
          <w:color w:val="000000"/>
          <w:sz w:val="22"/>
          <w:szCs w:val="28"/>
        </w:rPr>
        <w:t>8、排放需符合济南市当地环保要求。</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8"/>
        </w:rPr>
      </w:pPr>
      <w:r>
        <w:rPr>
          <w:rFonts w:hint="eastAsia" w:ascii="宋体" w:hAnsi="宋体" w:eastAsia="宋体" w:cs="宋体"/>
          <w:sz w:val="22"/>
          <w:szCs w:val="28"/>
        </w:rPr>
        <w:t>9、若现场在使用药剂时发现问题或出现异常情况,乙方须做到24小时内随叫随到及时处理。</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8"/>
        </w:rPr>
      </w:pPr>
      <w:r>
        <w:rPr>
          <w:rFonts w:hint="eastAsia" w:ascii="宋体" w:hAnsi="宋体" w:eastAsia="宋体" w:cs="宋体"/>
          <w:sz w:val="22"/>
          <w:szCs w:val="28"/>
        </w:rPr>
        <w:t>10、按照甲方时间要求进行制冷机空调机组循环水侧冷却器单机酸洗，乙方自备清洗设备及操作人员。</w:t>
      </w:r>
    </w:p>
    <w:p>
      <w:pPr>
        <w:pStyle w:val="15"/>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11、按甲方要求安排水处理技术培训讲座。</w:t>
      </w:r>
    </w:p>
    <w:p>
      <w:pPr>
        <w:pageBreakBefore w:val="0"/>
        <w:widowControl w:val="0"/>
        <w:tabs>
          <w:tab w:val="left" w:pos="0"/>
          <w:tab w:val="left" w:pos="48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b/>
          <w:sz w:val="22"/>
          <w:szCs w:val="21"/>
        </w:rPr>
      </w:pPr>
      <w:r>
        <w:rPr>
          <w:rFonts w:hint="eastAsia" w:ascii="宋体" w:hAnsi="宋体" w:eastAsia="宋体" w:cs="宋体"/>
          <w:b/>
          <w:sz w:val="22"/>
          <w:szCs w:val="21"/>
        </w:rPr>
        <w:t>三、水处理系统参数</w:t>
      </w:r>
    </w:p>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b/>
          <w:sz w:val="22"/>
          <w:szCs w:val="21"/>
        </w:rPr>
      </w:pPr>
      <w:r>
        <w:rPr>
          <w:rFonts w:hint="eastAsia" w:ascii="宋体" w:hAnsi="宋体" w:eastAsia="宋体" w:cs="宋体"/>
          <w:b/>
          <w:sz w:val="22"/>
          <w:szCs w:val="21"/>
        </w:rPr>
        <w:t xml:space="preserve">1、开放式循环水系统 </w:t>
      </w:r>
    </w:p>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1"/>
        </w:rPr>
      </w:pPr>
      <w:r>
        <w:rPr>
          <w:rFonts w:hint="eastAsia" w:ascii="宋体" w:hAnsi="宋体" w:eastAsia="宋体" w:cs="宋体"/>
          <w:sz w:val="22"/>
          <w:szCs w:val="21"/>
        </w:rPr>
        <w:t>（1）1#试验室工艺冷却水系统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水池容量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温差</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240 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13 m³</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120 m³</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3-5℃</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24h x280 天/年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自来水</w:t>
            </w:r>
          </w:p>
        </w:tc>
      </w:tr>
    </w:tbl>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1"/>
        </w:rPr>
      </w:pPr>
      <w:r>
        <w:rPr>
          <w:rFonts w:hint="eastAsia" w:ascii="宋体" w:hAnsi="宋体" w:eastAsia="宋体" w:cs="宋体"/>
          <w:sz w:val="22"/>
          <w:szCs w:val="21"/>
        </w:rPr>
        <w:t>（2）3#试验室工艺冷却水系统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水池容量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温差</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310 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47 m³</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无</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3-5℃</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24h x280 天/年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自来水</w:t>
            </w:r>
          </w:p>
        </w:tc>
      </w:tr>
    </w:tbl>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1"/>
        </w:rPr>
      </w:pPr>
      <w:r>
        <w:rPr>
          <w:rFonts w:hint="eastAsia" w:ascii="宋体" w:hAnsi="宋体" w:eastAsia="宋体" w:cs="宋体"/>
          <w:sz w:val="22"/>
          <w:szCs w:val="21"/>
        </w:rPr>
        <w:t>（3）4#试验室工艺冷却水系统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水池容量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温差</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900 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50 m³</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无</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3-5℃</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24h x280 天/年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自来水</w:t>
            </w:r>
          </w:p>
        </w:tc>
      </w:tr>
    </w:tbl>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1"/>
        </w:rPr>
      </w:pPr>
      <w:r>
        <w:rPr>
          <w:rFonts w:hint="eastAsia" w:ascii="宋体" w:hAnsi="宋体" w:eastAsia="宋体" w:cs="宋体"/>
          <w:sz w:val="22"/>
          <w:szCs w:val="21"/>
        </w:rPr>
        <w:t>（4）6#试验室工艺冷却水系统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水池容量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温差</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1440 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224 m³</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350 m³</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3-5℃</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24h x280 天/年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自来水</w:t>
            </w:r>
          </w:p>
        </w:tc>
      </w:tr>
    </w:tbl>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1"/>
        </w:rPr>
      </w:pPr>
      <w:r>
        <w:rPr>
          <w:rFonts w:hint="eastAsia" w:ascii="宋体" w:hAnsi="宋体" w:eastAsia="宋体" w:cs="宋体"/>
          <w:sz w:val="22"/>
          <w:szCs w:val="21"/>
        </w:rPr>
        <w:t>（5）7#试验室工艺冷却水系统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水池容量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温差</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885 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104 m³</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250 m³</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3-5℃</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24h x280 天/年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自来水</w:t>
            </w:r>
          </w:p>
        </w:tc>
      </w:tr>
    </w:tbl>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1"/>
        </w:rPr>
      </w:pPr>
      <w:r>
        <w:rPr>
          <w:rFonts w:hint="eastAsia" w:ascii="宋体" w:hAnsi="宋体" w:eastAsia="宋体" w:cs="宋体"/>
          <w:sz w:val="22"/>
          <w:szCs w:val="21"/>
        </w:rPr>
        <w:t>（6）科技大厦低区冷却水系统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水池容量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温差</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1740 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30m³</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无</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3-5℃</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16h x120 天/年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自来水</w:t>
            </w:r>
          </w:p>
        </w:tc>
      </w:tr>
    </w:tbl>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1"/>
        </w:rPr>
      </w:pPr>
      <w:r>
        <w:rPr>
          <w:rFonts w:hint="eastAsia" w:ascii="宋体" w:hAnsi="宋体" w:eastAsia="宋体" w:cs="宋体"/>
          <w:sz w:val="22"/>
          <w:szCs w:val="21"/>
        </w:rPr>
        <w:t>（7）科技大厦高层冷却水系统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水池容量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温差</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400 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15m³</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无</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3-5℃</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16h x120 天/年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自来水</w:t>
            </w:r>
          </w:p>
        </w:tc>
      </w:tr>
    </w:tbl>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1"/>
        </w:rPr>
      </w:pPr>
      <w:r>
        <w:rPr>
          <w:rFonts w:hint="eastAsia" w:ascii="宋体" w:hAnsi="宋体" w:eastAsia="宋体" w:cs="宋体"/>
          <w:sz w:val="22"/>
          <w:szCs w:val="21"/>
        </w:rPr>
        <w:t>（8）能源中心冷却水系统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水池容量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温差</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390 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54m³</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无</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3-5℃</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16h x120 天/年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自来水</w:t>
            </w:r>
          </w:p>
        </w:tc>
      </w:tr>
    </w:tbl>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1"/>
        </w:rPr>
      </w:pPr>
      <w:r>
        <w:rPr>
          <w:rFonts w:hint="eastAsia" w:ascii="宋体" w:hAnsi="宋体" w:eastAsia="宋体" w:cs="宋体"/>
          <w:sz w:val="22"/>
          <w:szCs w:val="21"/>
        </w:rPr>
        <w:t>（9）章丘试验室螺杆机冷却水系统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水池容量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温差</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390 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10m³</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无</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3-5℃</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24h x280 天/年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自来水</w:t>
            </w:r>
          </w:p>
        </w:tc>
      </w:tr>
    </w:tbl>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1"/>
        </w:rPr>
      </w:pPr>
      <w:r>
        <w:rPr>
          <w:rFonts w:hint="eastAsia" w:ascii="宋体" w:hAnsi="宋体" w:eastAsia="宋体" w:cs="宋体"/>
          <w:sz w:val="22"/>
          <w:szCs w:val="21"/>
        </w:rPr>
        <w:t>（10）章丘试验室离心机冷却水系统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水池容量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温差</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1100 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30m³</w:t>
            </w:r>
          </w:p>
        </w:tc>
        <w:tc>
          <w:tcPr>
            <w:tcW w:w="127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无</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3-5℃</w:t>
            </w:r>
          </w:p>
        </w:tc>
        <w:tc>
          <w:tcPr>
            <w:tcW w:w="1418"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24h x280 天/年</w:t>
            </w:r>
          </w:p>
        </w:tc>
        <w:tc>
          <w:tcPr>
            <w:tcW w:w="15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59"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自来水</w:t>
            </w:r>
          </w:p>
        </w:tc>
      </w:tr>
    </w:tbl>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b/>
          <w:sz w:val="22"/>
          <w:szCs w:val="21"/>
        </w:rPr>
      </w:pPr>
      <w:r>
        <w:rPr>
          <w:rFonts w:hint="eastAsia" w:ascii="宋体" w:hAnsi="宋体" w:eastAsia="宋体" w:cs="宋体"/>
          <w:b/>
          <w:sz w:val="22"/>
          <w:szCs w:val="21"/>
        </w:rPr>
        <w:t xml:space="preserve">2、封闭冷冻水系统 </w:t>
      </w:r>
    </w:p>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1"/>
        </w:rPr>
      </w:pPr>
      <w:r>
        <w:rPr>
          <w:rFonts w:hint="eastAsia" w:ascii="宋体" w:hAnsi="宋体" w:eastAsia="宋体" w:cs="宋体"/>
          <w:sz w:val="22"/>
          <w:szCs w:val="21"/>
        </w:rPr>
        <w:t>（1）科技大厦低区冷冻水系统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温度</w:t>
            </w:r>
          </w:p>
        </w:tc>
        <w:tc>
          <w:tcPr>
            <w:tcW w:w="2410"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843"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92"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1115 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153m³</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15-40℃</w:t>
            </w:r>
          </w:p>
        </w:tc>
        <w:tc>
          <w:tcPr>
            <w:tcW w:w="2410"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16h x120 天/年</w:t>
            </w:r>
          </w:p>
        </w:tc>
        <w:tc>
          <w:tcPr>
            <w:tcW w:w="1843"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92"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软化水</w:t>
            </w:r>
          </w:p>
        </w:tc>
      </w:tr>
    </w:tbl>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1"/>
        </w:rPr>
      </w:pPr>
      <w:r>
        <w:rPr>
          <w:rFonts w:hint="eastAsia" w:ascii="宋体" w:hAnsi="宋体" w:eastAsia="宋体" w:cs="宋体"/>
          <w:sz w:val="22"/>
          <w:szCs w:val="21"/>
        </w:rPr>
        <w:t>（2）科技大厦高区冷冻水系统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温度</w:t>
            </w:r>
          </w:p>
        </w:tc>
        <w:tc>
          <w:tcPr>
            <w:tcW w:w="2410"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843"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92"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332 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33m³</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15-40℃</w:t>
            </w:r>
          </w:p>
        </w:tc>
        <w:tc>
          <w:tcPr>
            <w:tcW w:w="2410"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16h x120 天/年</w:t>
            </w:r>
          </w:p>
        </w:tc>
        <w:tc>
          <w:tcPr>
            <w:tcW w:w="1843"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92"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软化水</w:t>
            </w:r>
          </w:p>
        </w:tc>
      </w:tr>
    </w:tbl>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1"/>
        </w:rPr>
      </w:pPr>
      <w:r>
        <w:rPr>
          <w:rFonts w:hint="eastAsia" w:ascii="宋体" w:hAnsi="宋体" w:eastAsia="宋体" w:cs="宋体"/>
          <w:sz w:val="22"/>
          <w:szCs w:val="21"/>
        </w:rPr>
        <w:t>（3）能源中心冷冻水系统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bookmarkStart w:id="22" w:name="_Hlk88898681"/>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温度</w:t>
            </w:r>
          </w:p>
        </w:tc>
        <w:tc>
          <w:tcPr>
            <w:tcW w:w="2410"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843"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92"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350 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20m³</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15-40℃</w:t>
            </w:r>
          </w:p>
        </w:tc>
        <w:tc>
          <w:tcPr>
            <w:tcW w:w="2410"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16h x120 天/年</w:t>
            </w:r>
          </w:p>
        </w:tc>
        <w:tc>
          <w:tcPr>
            <w:tcW w:w="1843"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92"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软化水</w:t>
            </w:r>
          </w:p>
        </w:tc>
      </w:tr>
      <w:bookmarkEnd w:id="22"/>
    </w:tbl>
    <w:p>
      <w:pPr>
        <w:pageBreakBefore w:val="0"/>
        <w:widowControl w:val="0"/>
        <w:tabs>
          <w:tab w:val="left" w:pos="540"/>
          <w:tab w:val="left" w:pos="900"/>
        </w:tabs>
        <w:kinsoku/>
        <w:wordWrap/>
        <w:overflowPunct/>
        <w:topLinePunct w:val="0"/>
        <w:autoSpaceDE/>
        <w:autoSpaceDN/>
        <w:bidi w:val="0"/>
        <w:adjustRightInd/>
        <w:snapToGrid/>
        <w:spacing w:line="360" w:lineRule="auto"/>
        <w:textAlignment w:val="auto"/>
        <w:rPr>
          <w:rFonts w:hint="eastAsia" w:ascii="宋体" w:hAnsi="宋体" w:eastAsia="宋体" w:cs="宋体"/>
          <w:bCs/>
          <w:sz w:val="22"/>
          <w:szCs w:val="21"/>
        </w:rPr>
      </w:pPr>
      <w:r>
        <w:rPr>
          <w:rFonts w:hint="eastAsia" w:ascii="宋体" w:hAnsi="宋体" w:eastAsia="宋体" w:cs="宋体"/>
          <w:bCs/>
          <w:sz w:val="22"/>
          <w:szCs w:val="21"/>
        </w:rPr>
        <w:t>（4）3#试验室封闭水系统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温度</w:t>
            </w:r>
          </w:p>
        </w:tc>
        <w:tc>
          <w:tcPr>
            <w:tcW w:w="2410"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843"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92"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200m³/h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20m³</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7-45℃</w:t>
            </w:r>
          </w:p>
        </w:tc>
        <w:tc>
          <w:tcPr>
            <w:tcW w:w="2410"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24h x280 天/年</w:t>
            </w:r>
          </w:p>
        </w:tc>
        <w:tc>
          <w:tcPr>
            <w:tcW w:w="1843"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92"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软化水</w:t>
            </w:r>
          </w:p>
        </w:tc>
      </w:tr>
    </w:tbl>
    <w:p>
      <w:pPr>
        <w:pageBreakBefore w:val="0"/>
        <w:widowControl w:val="0"/>
        <w:tabs>
          <w:tab w:val="left" w:pos="540"/>
          <w:tab w:val="left" w:pos="900"/>
        </w:tabs>
        <w:kinsoku/>
        <w:wordWrap/>
        <w:overflowPunct/>
        <w:topLinePunct w:val="0"/>
        <w:autoSpaceDE/>
        <w:autoSpaceDN/>
        <w:bidi w:val="0"/>
        <w:adjustRightInd/>
        <w:snapToGrid/>
        <w:spacing w:line="360" w:lineRule="auto"/>
        <w:textAlignment w:val="auto"/>
        <w:rPr>
          <w:rFonts w:hint="eastAsia" w:ascii="宋体" w:hAnsi="宋体" w:eastAsia="宋体" w:cs="宋体"/>
          <w:bCs/>
          <w:sz w:val="22"/>
          <w:szCs w:val="21"/>
        </w:rPr>
      </w:pPr>
      <w:r>
        <w:rPr>
          <w:rFonts w:hint="eastAsia" w:ascii="宋体" w:hAnsi="宋体" w:eastAsia="宋体" w:cs="宋体"/>
          <w:bCs/>
          <w:sz w:val="22"/>
          <w:szCs w:val="21"/>
        </w:rPr>
        <w:t>（5）6#试验室封闭水系统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温度</w:t>
            </w:r>
          </w:p>
        </w:tc>
        <w:tc>
          <w:tcPr>
            <w:tcW w:w="2410"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843"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92"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400m³/h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40m³</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7-45℃</w:t>
            </w:r>
          </w:p>
        </w:tc>
        <w:tc>
          <w:tcPr>
            <w:tcW w:w="2410"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24h x280天/年</w:t>
            </w:r>
          </w:p>
        </w:tc>
        <w:tc>
          <w:tcPr>
            <w:tcW w:w="1843"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92"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软化水</w:t>
            </w:r>
          </w:p>
        </w:tc>
      </w:tr>
    </w:tbl>
    <w:p>
      <w:pPr>
        <w:pageBreakBefore w:val="0"/>
        <w:widowControl w:val="0"/>
        <w:tabs>
          <w:tab w:val="left" w:pos="540"/>
          <w:tab w:val="left" w:pos="900"/>
        </w:tabs>
        <w:kinsoku/>
        <w:wordWrap/>
        <w:overflowPunct/>
        <w:topLinePunct w:val="0"/>
        <w:autoSpaceDE/>
        <w:autoSpaceDN/>
        <w:bidi w:val="0"/>
        <w:adjustRightInd/>
        <w:snapToGrid/>
        <w:spacing w:line="360" w:lineRule="auto"/>
        <w:textAlignment w:val="auto"/>
        <w:rPr>
          <w:rFonts w:hint="eastAsia" w:ascii="宋体" w:hAnsi="宋体" w:eastAsia="宋体" w:cs="宋体"/>
          <w:bCs/>
          <w:sz w:val="22"/>
          <w:szCs w:val="21"/>
        </w:rPr>
      </w:pPr>
      <w:r>
        <w:rPr>
          <w:rFonts w:hint="eastAsia" w:ascii="宋体" w:hAnsi="宋体" w:eastAsia="宋体" w:cs="宋体"/>
          <w:bCs/>
          <w:sz w:val="22"/>
          <w:szCs w:val="21"/>
        </w:rPr>
        <w:t>（6）7#试验室封闭水系统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温度</w:t>
            </w:r>
          </w:p>
        </w:tc>
        <w:tc>
          <w:tcPr>
            <w:tcW w:w="2410"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843"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92"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400m³/h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40m³</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7-45℃</w:t>
            </w:r>
          </w:p>
        </w:tc>
        <w:tc>
          <w:tcPr>
            <w:tcW w:w="2410"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24h x280天/年</w:t>
            </w:r>
          </w:p>
        </w:tc>
        <w:tc>
          <w:tcPr>
            <w:tcW w:w="1843"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92"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软化水</w:t>
            </w:r>
          </w:p>
        </w:tc>
      </w:tr>
    </w:tbl>
    <w:p>
      <w:pPr>
        <w:pageBreakBefore w:val="0"/>
        <w:widowControl w:val="0"/>
        <w:tabs>
          <w:tab w:val="left" w:pos="540"/>
          <w:tab w:val="left" w:pos="900"/>
        </w:tabs>
        <w:kinsoku/>
        <w:wordWrap/>
        <w:overflowPunct/>
        <w:topLinePunct w:val="0"/>
        <w:autoSpaceDE/>
        <w:autoSpaceDN/>
        <w:bidi w:val="0"/>
        <w:adjustRightInd/>
        <w:snapToGrid/>
        <w:spacing w:line="360" w:lineRule="auto"/>
        <w:textAlignment w:val="auto"/>
        <w:rPr>
          <w:rFonts w:hint="eastAsia" w:ascii="宋体" w:hAnsi="宋体" w:eastAsia="宋体" w:cs="宋体"/>
          <w:bCs/>
          <w:sz w:val="22"/>
          <w:szCs w:val="21"/>
        </w:rPr>
      </w:pPr>
      <w:r>
        <w:rPr>
          <w:rFonts w:hint="eastAsia" w:ascii="宋体" w:hAnsi="宋体" w:eastAsia="宋体" w:cs="宋体"/>
          <w:bCs/>
          <w:sz w:val="22"/>
          <w:szCs w:val="21"/>
        </w:rPr>
        <w:t>（7）章丘试验室封闭水系统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循环水流量</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管道保水量</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温度</w:t>
            </w:r>
          </w:p>
        </w:tc>
        <w:tc>
          <w:tcPr>
            <w:tcW w:w="2410"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运行时间</w:t>
            </w:r>
          </w:p>
        </w:tc>
        <w:tc>
          <w:tcPr>
            <w:tcW w:w="1843"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系统材质</w:t>
            </w:r>
          </w:p>
        </w:tc>
        <w:tc>
          <w:tcPr>
            <w:tcW w:w="992"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800m³/h</w:t>
            </w:r>
          </w:p>
        </w:tc>
        <w:tc>
          <w:tcPr>
            <w:tcW w:w="1417"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30m³</w:t>
            </w:r>
          </w:p>
        </w:tc>
        <w:tc>
          <w:tcPr>
            <w:tcW w:w="1134"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7-45℃</w:t>
            </w:r>
          </w:p>
        </w:tc>
        <w:tc>
          <w:tcPr>
            <w:tcW w:w="2410"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12h x280天/年</w:t>
            </w:r>
          </w:p>
        </w:tc>
        <w:tc>
          <w:tcPr>
            <w:tcW w:w="1843"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铜、碳钢等</w:t>
            </w:r>
          </w:p>
        </w:tc>
        <w:tc>
          <w:tcPr>
            <w:tcW w:w="992" w:type="dxa"/>
            <w:noWrap/>
            <w:vAlign w:val="center"/>
          </w:tcPr>
          <w:p>
            <w:pPr>
              <w:pageBreakBefore w:val="0"/>
              <w:widowControl w:val="0"/>
              <w:tabs>
                <w:tab w:val="left" w:pos="0"/>
                <w:tab w:val="left" w:pos="500"/>
                <w:tab w:val="left" w:pos="504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1"/>
              </w:rPr>
            </w:pPr>
            <w:r>
              <w:rPr>
                <w:rFonts w:hint="eastAsia" w:ascii="宋体" w:hAnsi="宋体" w:eastAsia="宋体" w:cs="宋体"/>
                <w:sz w:val="22"/>
                <w:szCs w:val="21"/>
              </w:rPr>
              <w:t>软化水</w:t>
            </w:r>
          </w:p>
        </w:tc>
      </w:tr>
    </w:tbl>
    <w:p>
      <w:pPr>
        <w:pageBreakBefore w:val="0"/>
        <w:widowControl w:val="0"/>
        <w:tabs>
          <w:tab w:val="left" w:pos="540"/>
          <w:tab w:val="left" w:pos="900"/>
        </w:tabs>
        <w:kinsoku/>
        <w:wordWrap/>
        <w:overflowPunct/>
        <w:topLinePunct w:val="0"/>
        <w:autoSpaceDE/>
        <w:autoSpaceDN/>
        <w:bidi w:val="0"/>
        <w:adjustRightInd/>
        <w:snapToGrid/>
        <w:spacing w:line="360" w:lineRule="auto"/>
        <w:textAlignment w:val="auto"/>
        <w:rPr>
          <w:rFonts w:hint="eastAsia" w:ascii="宋体" w:hAnsi="宋体" w:eastAsia="宋体" w:cs="宋体"/>
          <w:b/>
          <w:sz w:val="22"/>
          <w:szCs w:val="21"/>
        </w:rPr>
      </w:pPr>
      <w:r>
        <w:rPr>
          <w:rFonts w:hint="eastAsia" w:ascii="宋体" w:hAnsi="宋体" w:eastAsia="宋体" w:cs="宋体"/>
          <w:bCs/>
          <w:sz w:val="22"/>
          <w:szCs w:val="21"/>
        </w:rPr>
        <w:t>3、科技园区制冷机组参数</w:t>
      </w:r>
    </w:p>
    <w:tbl>
      <w:tblPr>
        <w:tblStyle w:val="32"/>
        <w:tblW w:w="9061"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2693"/>
        <w:gridCol w:w="1418"/>
        <w:gridCol w:w="1559"/>
        <w:gridCol w:w="992"/>
        <w:gridCol w:w="112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品牌</w:t>
            </w:r>
          </w:p>
        </w:tc>
        <w:tc>
          <w:tcPr>
            <w:tcW w:w="2693" w:type="dxa"/>
            <w:tcBorders>
              <w:lef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制冷机组型号</w:t>
            </w:r>
          </w:p>
        </w:tc>
        <w:tc>
          <w:tcPr>
            <w:tcW w:w="141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制冷量（KW）</w:t>
            </w:r>
          </w:p>
        </w:tc>
        <w:tc>
          <w:tcPr>
            <w:tcW w:w="1559"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换热面积（㎡）</w:t>
            </w:r>
          </w:p>
        </w:tc>
        <w:tc>
          <w:tcPr>
            <w:tcW w:w="992"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数量（台）</w:t>
            </w:r>
          </w:p>
        </w:tc>
        <w:tc>
          <w:tcPr>
            <w:tcW w:w="112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冷凝器材质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LG</w:t>
            </w:r>
          </w:p>
        </w:tc>
        <w:tc>
          <w:tcPr>
            <w:tcW w:w="2693" w:type="dxa"/>
            <w:tcBorders>
              <w:lef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LTP-N61F1F1JN51</w:t>
            </w:r>
          </w:p>
        </w:tc>
        <w:tc>
          <w:tcPr>
            <w:tcW w:w="141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3868</w:t>
            </w:r>
          </w:p>
        </w:tc>
        <w:tc>
          <w:tcPr>
            <w:tcW w:w="1559"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139.2</w:t>
            </w:r>
          </w:p>
        </w:tc>
        <w:tc>
          <w:tcPr>
            <w:tcW w:w="992"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2</w:t>
            </w:r>
          </w:p>
        </w:tc>
        <w:tc>
          <w:tcPr>
            <w:tcW w:w="112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LG</w:t>
            </w:r>
          </w:p>
        </w:tc>
        <w:tc>
          <w:tcPr>
            <w:tcW w:w="2693" w:type="dxa"/>
            <w:tcBorders>
              <w:lef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SFWW-515DBM</w:t>
            </w:r>
          </w:p>
        </w:tc>
        <w:tc>
          <w:tcPr>
            <w:tcW w:w="141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1758</w:t>
            </w:r>
          </w:p>
        </w:tc>
        <w:tc>
          <w:tcPr>
            <w:tcW w:w="1559"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72.3</w:t>
            </w:r>
          </w:p>
        </w:tc>
        <w:tc>
          <w:tcPr>
            <w:tcW w:w="992"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1</w:t>
            </w:r>
          </w:p>
        </w:tc>
        <w:tc>
          <w:tcPr>
            <w:tcW w:w="112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LG</w:t>
            </w:r>
          </w:p>
        </w:tc>
        <w:tc>
          <w:tcPr>
            <w:tcW w:w="2693" w:type="dxa"/>
            <w:tcBorders>
              <w:lef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SFWW-515DBM</w:t>
            </w:r>
          </w:p>
        </w:tc>
        <w:tc>
          <w:tcPr>
            <w:tcW w:w="141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1640.3</w:t>
            </w:r>
          </w:p>
        </w:tc>
        <w:tc>
          <w:tcPr>
            <w:tcW w:w="1559"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67.2</w:t>
            </w:r>
          </w:p>
        </w:tc>
        <w:tc>
          <w:tcPr>
            <w:tcW w:w="992"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2</w:t>
            </w:r>
          </w:p>
        </w:tc>
        <w:tc>
          <w:tcPr>
            <w:tcW w:w="112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LG</w:t>
            </w:r>
          </w:p>
        </w:tc>
        <w:tc>
          <w:tcPr>
            <w:tcW w:w="2693" w:type="dxa"/>
            <w:tcBorders>
              <w:lef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SFWW-465DBMT</w:t>
            </w:r>
          </w:p>
        </w:tc>
        <w:tc>
          <w:tcPr>
            <w:tcW w:w="141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913.6</w:t>
            </w:r>
          </w:p>
        </w:tc>
        <w:tc>
          <w:tcPr>
            <w:tcW w:w="1559"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67.2</w:t>
            </w:r>
          </w:p>
        </w:tc>
        <w:tc>
          <w:tcPr>
            <w:tcW w:w="992"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3</w:t>
            </w:r>
          </w:p>
        </w:tc>
        <w:tc>
          <w:tcPr>
            <w:tcW w:w="112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约克</w:t>
            </w:r>
          </w:p>
        </w:tc>
        <w:tc>
          <w:tcPr>
            <w:tcW w:w="2693" w:type="dxa"/>
            <w:tcBorders>
              <w:lef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YSCACAS25CEE/22</w:t>
            </w:r>
          </w:p>
        </w:tc>
        <w:tc>
          <w:tcPr>
            <w:tcW w:w="141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822</w:t>
            </w:r>
          </w:p>
        </w:tc>
        <w:tc>
          <w:tcPr>
            <w:tcW w:w="1559"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134</w:t>
            </w:r>
          </w:p>
        </w:tc>
        <w:tc>
          <w:tcPr>
            <w:tcW w:w="992"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2</w:t>
            </w:r>
          </w:p>
        </w:tc>
        <w:tc>
          <w:tcPr>
            <w:tcW w:w="112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约克</w:t>
            </w:r>
          </w:p>
        </w:tc>
        <w:tc>
          <w:tcPr>
            <w:tcW w:w="2693" w:type="dxa"/>
            <w:tcBorders>
              <w:lef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YSEAEXS45CIE/22</w:t>
            </w:r>
          </w:p>
        </w:tc>
        <w:tc>
          <w:tcPr>
            <w:tcW w:w="141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1230</w:t>
            </w:r>
          </w:p>
        </w:tc>
        <w:tc>
          <w:tcPr>
            <w:tcW w:w="1559"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223</w:t>
            </w:r>
          </w:p>
        </w:tc>
        <w:tc>
          <w:tcPr>
            <w:tcW w:w="992"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2</w:t>
            </w:r>
          </w:p>
        </w:tc>
        <w:tc>
          <w:tcPr>
            <w:tcW w:w="112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麦克维尔</w:t>
            </w:r>
          </w:p>
        </w:tc>
        <w:tc>
          <w:tcPr>
            <w:tcW w:w="2693" w:type="dxa"/>
            <w:tcBorders>
              <w:lef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PFS320.1XE</w:t>
            </w:r>
          </w:p>
        </w:tc>
        <w:tc>
          <w:tcPr>
            <w:tcW w:w="141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1120.9</w:t>
            </w:r>
          </w:p>
        </w:tc>
        <w:tc>
          <w:tcPr>
            <w:tcW w:w="1559"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53.7</w:t>
            </w:r>
          </w:p>
        </w:tc>
        <w:tc>
          <w:tcPr>
            <w:tcW w:w="992"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3</w:t>
            </w:r>
          </w:p>
        </w:tc>
        <w:tc>
          <w:tcPr>
            <w:tcW w:w="112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铜</w:t>
            </w:r>
          </w:p>
        </w:tc>
      </w:tr>
    </w:tbl>
    <w:p>
      <w:pPr>
        <w:pageBreakBefore w:val="0"/>
        <w:widowControl w:val="0"/>
        <w:tabs>
          <w:tab w:val="left" w:pos="540"/>
          <w:tab w:val="left" w:pos="900"/>
        </w:tabs>
        <w:kinsoku/>
        <w:wordWrap/>
        <w:overflowPunct/>
        <w:topLinePunct w:val="0"/>
        <w:autoSpaceDE/>
        <w:autoSpaceDN/>
        <w:bidi w:val="0"/>
        <w:adjustRightInd/>
        <w:snapToGrid/>
        <w:spacing w:line="360" w:lineRule="auto"/>
        <w:textAlignment w:val="auto"/>
        <w:rPr>
          <w:rFonts w:hint="eastAsia" w:ascii="宋体" w:hAnsi="宋体" w:eastAsia="宋体" w:cs="宋体"/>
          <w:b/>
          <w:sz w:val="22"/>
          <w:szCs w:val="21"/>
        </w:rPr>
      </w:pPr>
      <w:r>
        <w:rPr>
          <w:rFonts w:hint="eastAsia" w:ascii="宋体" w:hAnsi="宋体" w:eastAsia="宋体" w:cs="宋体"/>
          <w:sz w:val="22"/>
          <w:szCs w:val="21"/>
        </w:rPr>
        <w:t>4、章丘试验室</w:t>
      </w:r>
      <w:r>
        <w:rPr>
          <w:rFonts w:hint="eastAsia" w:ascii="宋体" w:hAnsi="宋体" w:eastAsia="宋体" w:cs="宋体"/>
          <w:bCs/>
          <w:sz w:val="22"/>
          <w:szCs w:val="21"/>
        </w:rPr>
        <w:t>制冷机组参数</w:t>
      </w:r>
    </w:p>
    <w:tbl>
      <w:tblPr>
        <w:tblStyle w:val="32"/>
        <w:tblW w:w="9061"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2693"/>
        <w:gridCol w:w="1418"/>
        <w:gridCol w:w="1559"/>
        <w:gridCol w:w="992"/>
        <w:gridCol w:w="112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品牌</w:t>
            </w:r>
          </w:p>
        </w:tc>
        <w:tc>
          <w:tcPr>
            <w:tcW w:w="2693" w:type="dxa"/>
            <w:tcBorders>
              <w:lef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制冷机组型号</w:t>
            </w:r>
          </w:p>
        </w:tc>
        <w:tc>
          <w:tcPr>
            <w:tcW w:w="141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制冷量（KW）</w:t>
            </w:r>
          </w:p>
        </w:tc>
        <w:tc>
          <w:tcPr>
            <w:tcW w:w="1559"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换热面积（㎡）</w:t>
            </w:r>
          </w:p>
        </w:tc>
        <w:tc>
          <w:tcPr>
            <w:tcW w:w="992"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数量（台）</w:t>
            </w:r>
          </w:p>
        </w:tc>
        <w:tc>
          <w:tcPr>
            <w:tcW w:w="112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冷凝器材质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麦克维尔</w:t>
            </w:r>
          </w:p>
        </w:tc>
        <w:tc>
          <w:tcPr>
            <w:tcW w:w="2693" w:type="dxa"/>
            <w:tcBorders>
              <w:lef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W19610387</w:t>
            </w:r>
          </w:p>
        </w:tc>
        <w:tc>
          <w:tcPr>
            <w:tcW w:w="141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2460</w:t>
            </w:r>
          </w:p>
        </w:tc>
        <w:tc>
          <w:tcPr>
            <w:tcW w:w="1559"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109</w:t>
            </w:r>
          </w:p>
        </w:tc>
        <w:tc>
          <w:tcPr>
            <w:tcW w:w="992"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2</w:t>
            </w:r>
          </w:p>
        </w:tc>
        <w:tc>
          <w:tcPr>
            <w:tcW w:w="112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麦克维尔</w:t>
            </w:r>
          </w:p>
        </w:tc>
        <w:tc>
          <w:tcPr>
            <w:tcW w:w="2693" w:type="dxa"/>
            <w:tcBorders>
              <w:left w:val="single" w:color="auto" w:sz="4" w:space="0"/>
            </w:tcBorders>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W19610248</w:t>
            </w:r>
          </w:p>
        </w:tc>
        <w:tc>
          <w:tcPr>
            <w:tcW w:w="141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621</w:t>
            </w:r>
          </w:p>
        </w:tc>
        <w:tc>
          <w:tcPr>
            <w:tcW w:w="1559"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60.1</w:t>
            </w:r>
          </w:p>
        </w:tc>
        <w:tc>
          <w:tcPr>
            <w:tcW w:w="992"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1</w:t>
            </w:r>
          </w:p>
        </w:tc>
        <w:tc>
          <w:tcPr>
            <w:tcW w:w="1128" w:type="dxa"/>
            <w:vAlign w:val="center"/>
          </w:tcPr>
          <w:p>
            <w:pPr>
              <w:pageBreakBefore w:val="0"/>
              <w:widowControl w:val="0"/>
              <w:tabs>
                <w:tab w:val="left" w:pos="540"/>
                <w:tab w:val="left" w:pos="90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2"/>
                <w:szCs w:val="21"/>
              </w:rPr>
            </w:pPr>
            <w:r>
              <w:rPr>
                <w:rFonts w:hint="eastAsia" w:ascii="宋体" w:hAnsi="宋体" w:eastAsia="宋体" w:cs="宋体"/>
                <w:bCs/>
                <w:sz w:val="22"/>
                <w:szCs w:val="21"/>
              </w:rPr>
              <w:t>铜</w:t>
            </w:r>
          </w:p>
        </w:tc>
      </w:tr>
    </w:tbl>
    <w:p>
      <w:pPr>
        <w:pageBreakBefore w:val="0"/>
        <w:widowControl w:val="0"/>
        <w:tabs>
          <w:tab w:val="left" w:pos="540"/>
          <w:tab w:val="left" w:pos="900"/>
        </w:tabs>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2"/>
          <w:szCs w:val="28"/>
        </w:rPr>
      </w:pPr>
      <w:r>
        <w:rPr>
          <w:rFonts w:hint="eastAsia" w:ascii="宋体" w:hAnsi="宋体" w:eastAsia="宋体" w:cs="宋体"/>
          <w:b/>
          <w:sz w:val="22"/>
          <w:szCs w:val="21"/>
        </w:rPr>
        <w:t>注：以上数据为系统估算而得，需以现场实际情况为准。</w:t>
      </w:r>
      <w:r>
        <w:rPr>
          <w:rFonts w:hint="eastAsia" w:ascii="宋体" w:hAnsi="宋体" w:eastAsia="宋体" w:cs="宋体"/>
          <w:color w:val="000000"/>
          <w:sz w:val="22"/>
          <w:szCs w:val="28"/>
        </w:rPr>
        <w:t xml:space="preserve">  </w:t>
      </w:r>
    </w:p>
    <w:p>
      <w:pPr>
        <w:pStyle w:val="15"/>
        <w:pageBreakBefore w:val="0"/>
        <w:widowControl w:val="0"/>
        <w:kinsoku/>
        <w:wordWrap/>
        <w:overflowPunct/>
        <w:topLinePunct w:val="0"/>
        <w:autoSpaceDE/>
        <w:autoSpaceDN/>
        <w:bidi w:val="0"/>
        <w:adjustRightInd/>
        <w:snapToGrid/>
        <w:spacing w:line="360" w:lineRule="auto"/>
        <w:textAlignment w:val="auto"/>
        <w:outlineLvl w:val="1"/>
        <w:rPr>
          <w:rStyle w:val="41"/>
          <w:rFonts w:hint="eastAsia" w:ascii="宋体" w:hAnsi="宋体" w:eastAsia="宋体" w:cs="宋体"/>
          <w:sz w:val="28"/>
          <w:szCs w:val="28"/>
        </w:rPr>
      </w:pPr>
    </w:p>
    <w:p>
      <w:pPr>
        <w:pStyle w:val="15"/>
        <w:pageBreakBefore w:val="0"/>
        <w:widowControl w:val="0"/>
        <w:kinsoku/>
        <w:wordWrap/>
        <w:overflowPunct/>
        <w:topLinePunct w:val="0"/>
        <w:autoSpaceDE/>
        <w:autoSpaceDN/>
        <w:bidi w:val="0"/>
        <w:adjustRightInd/>
        <w:snapToGrid/>
        <w:spacing w:line="360" w:lineRule="auto"/>
        <w:textAlignment w:val="auto"/>
        <w:outlineLvl w:val="1"/>
        <w:rPr>
          <w:rStyle w:val="41"/>
          <w:rFonts w:hint="eastAsia" w:ascii="宋体" w:hAnsi="宋体" w:eastAsia="宋体" w:cs="宋体"/>
          <w:sz w:val="28"/>
          <w:szCs w:val="28"/>
        </w:rPr>
      </w:pPr>
      <w:r>
        <w:rPr>
          <w:rStyle w:val="41"/>
          <w:rFonts w:hint="eastAsia" w:ascii="宋体" w:hAnsi="宋体" w:eastAsia="宋体" w:cs="宋体"/>
          <w:sz w:val="28"/>
          <w:szCs w:val="28"/>
        </w:rPr>
        <w:t>四、技术要求</w:t>
      </w:r>
    </w:p>
    <w:p>
      <w:pPr>
        <w:pageBreakBefore w:val="0"/>
        <w:widowControl w:val="0"/>
        <w:kinsoku/>
        <w:wordWrap/>
        <w:overflowPunct/>
        <w:topLinePunct w:val="0"/>
        <w:autoSpaceDE/>
        <w:autoSpaceDN/>
        <w:bidi w:val="0"/>
        <w:adjustRightInd/>
        <w:snapToGrid/>
        <w:spacing w:line="360" w:lineRule="auto"/>
        <w:ind w:firstLine="564"/>
        <w:textAlignment w:val="auto"/>
        <w:rPr>
          <w:rFonts w:hint="eastAsia" w:ascii="宋体" w:hAnsi="宋体" w:eastAsia="宋体" w:cs="宋体"/>
          <w:sz w:val="22"/>
          <w:szCs w:val="28"/>
        </w:rPr>
      </w:pPr>
      <w:r>
        <w:rPr>
          <w:rFonts w:hint="eastAsia" w:ascii="宋体" w:hAnsi="宋体" w:eastAsia="宋体" w:cs="宋体"/>
          <w:sz w:val="22"/>
          <w:szCs w:val="28"/>
        </w:rPr>
        <w:t>1、采用的化学药剂应按系统情况补水水质、温度、流量进行选型。具有良好的节水、防腐、防垢、杀菌、灭藻等功能，减少过渡排放、腐蚀，解决水系统结垢、腐蚀、粘泥垢和微生物滋生等问题。</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Cs/>
          <w:sz w:val="22"/>
          <w:szCs w:val="28"/>
        </w:rPr>
      </w:pPr>
      <w:r>
        <w:rPr>
          <w:rFonts w:hint="eastAsia" w:ascii="宋体" w:hAnsi="宋体" w:eastAsia="宋体" w:cs="宋体"/>
          <w:sz w:val="22"/>
          <w:szCs w:val="28"/>
        </w:rPr>
        <w:t>2、</w:t>
      </w:r>
      <w:r>
        <w:rPr>
          <w:rFonts w:hint="eastAsia" w:ascii="宋体" w:hAnsi="宋体" w:eastAsia="宋体" w:cs="宋体"/>
          <w:bCs/>
          <w:sz w:val="22"/>
          <w:szCs w:val="28"/>
        </w:rPr>
        <w:t>甲方排污水直接排入</w:t>
      </w:r>
      <w:r>
        <w:rPr>
          <w:rFonts w:hint="eastAsia" w:ascii="宋体" w:hAnsi="宋体" w:eastAsia="宋体" w:cs="宋体"/>
          <w:sz w:val="22"/>
          <w:szCs w:val="28"/>
        </w:rPr>
        <w:t>市政排水</w:t>
      </w:r>
      <w:r>
        <w:rPr>
          <w:rFonts w:hint="eastAsia" w:ascii="宋体" w:hAnsi="宋体" w:eastAsia="宋体" w:cs="宋体"/>
          <w:bCs/>
          <w:sz w:val="22"/>
          <w:szCs w:val="28"/>
        </w:rPr>
        <w:t>下水道，所以乙方必须提供环保无害药剂，严禁使用国家明令淘汰的药剂，</w:t>
      </w:r>
      <w:r>
        <w:rPr>
          <w:rFonts w:hint="eastAsia" w:ascii="宋体" w:hAnsi="宋体" w:eastAsia="宋体" w:cs="宋体"/>
          <w:sz w:val="22"/>
          <w:szCs w:val="28"/>
        </w:rPr>
        <w:t>应符合当地有关部门的要求，</w:t>
      </w:r>
      <w:r>
        <w:rPr>
          <w:rFonts w:hint="eastAsia" w:ascii="宋体" w:hAnsi="宋体" w:eastAsia="宋体" w:cs="宋体"/>
          <w:bCs/>
          <w:sz w:val="22"/>
          <w:szCs w:val="28"/>
        </w:rPr>
        <w:t>同时可出具所提供药剂的合格证及产品安全技术使用说明书。</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u w:val="single"/>
        </w:rPr>
      </w:pPr>
      <w:r>
        <w:rPr>
          <w:rFonts w:hint="eastAsia" w:ascii="宋体" w:hAnsi="宋体" w:eastAsia="宋体" w:cs="宋体"/>
          <w:bCs/>
          <w:sz w:val="22"/>
          <w:szCs w:val="28"/>
        </w:rPr>
        <w:t>3、具体药剂技术要求</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color w:val="000000"/>
          <w:sz w:val="22"/>
          <w:szCs w:val="21"/>
        </w:rPr>
      </w:pPr>
      <w:r>
        <w:rPr>
          <w:rFonts w:hint="eastAsia" w:ascii="宋体" w:hAnsi="宋体" w:eastAsia="宋体" w:cs="宋体"/>
          <w:b/>
          <w:color w:val="000000"/>
          <w:sz w:val="22"/>
          <w:szCs w:val="21"/>
        </w:rPr>
        <w:t>3.1冷却塔使用高浓缩阻垢缓蚀剂</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3.1.1可阻止硬水结垢，添加有铜和碳钢缓蚀剂。</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3.1.2可保护冷却系统，防止结垢，不积累淤泥，不发生腐蚀，不产生化学污染。</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3.1.3可抗氯类型和溴类型杀微生物剂。</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3.1.4低磷配方，排放符合环保要求并适用于高硬度或高碱度（水质恶劣）的大中型冷冻类循环冷却系统。</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color w:val="000000"/>
          <w:sz w:val="22"/>
          <w:szCs w:val="21"/>
        </w:rPr>
      </w:pPr>
      <w:r>
        <w:rPr>
          <w:rFonts w:hint="eastAsia" w:ascii="宋体" w:hAnsi="宋体" w:eastAsia="宋体" w:cs="宋体"/>
          <w:b/>
          <w:color w:val="000000"/>
          <w:sz w:val="22"/>
          <w:szCs w:val="21"/>
        </w:rPr>
        <w:t>3.2杀菌剂A</w:t>
      </w:r>
    </w:p>
    <w:p>
      <w:pPr>
        <w:pageBreakBefore w:val="0"/>
        <w:widowControl w:val="0"/>
        <w:tabs>
          <w:tab w:val="left" w:pos="420"/>
        </w:tabs>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符合环保要求，作用时间长，杀菌范围广，控制霉菌、藻类及细菌，产生泡沫少。</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color w:val="000000"/>
          <w:sz w:val="22"/>
          <w:szCs w:val="21"/>
        </w:rPr>
      </w:pPr>
      <w:r>
        <w:rPr>
          <w:rFonts w:hint="eastAsia" w:ascii="宋体" w:hAnsi="宋体" w:eastAsia="宋体" w:cs="宋体"/>
          <w:b/>
          <w:color w:val="000000"/>
          <w:sz w:val="22"/>
          <w:szCs w:val="21"/>
        </w:rPr>
        <w:t>3.3杀菌剂B</w:t>
      </w:r>
    </w:p>
    <w:p>
      <w:pPr>
        <w:pageBreakBefore w:val="0"/>
        <w:widowControl w:val="0"/>
        <w:tabs>
          <w:tab w:val="left" w:pos="420"/>
        </w:tabs>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符合环保要求，作用时间长，杀菌范围广，与杀菌剂A能配合使用。</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color w:val="000000"/>
          <w:sz w:val="22"/>
          <w:szCs w:val="21"/>
        </w:rPr>
      </w:pPr>
      <w:r>
        <w:rPr>
          <w:rFonts w:hint="eastAsia" w:ascii="宋体" w:hAnsi="宋体" w:eastAsia="宋体" w:cs="宋体"/>
          <w:b/>
          <w:color w:val="000000"/>
          <w:sz w:val="22"/>
          <w:szCs w:val="21"/>
        </w:rPr>
        <w:t>3.4生物分散剂</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3.4.1为表面活化剂及渗透剂，适用于分散微生物粘泥和油质积垢。</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3.4.2与杀菌催化剂混合使用，有助于强力渗透并分散生物群。</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3.4.3经济型药液，用量少，效果佳。</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3.4.4加药简便，完全水溶，泡沫量少。</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bCs/>
          <w:color w:val="000000"/>
          <w:sz w:val="22"/>
          <w:szCs w:val="21"/>
        </w:rPr>
      </w:pPr>
      <w:r>
        <w:rPr>
          <w:rFonts w:hint="eastAsia" w:ascii="宋体" w:hAnsi="宋体" w:eastAsia="宋体" w:cs="宋体"/>
          <w:b/>
          <w:bCs/>
          <w:color w:val="000000"/>
          <w:sz w:val="22"/>
          <w:szCs w:val="21"/>
        </w:rPr>
        <w:t>3.5封闭冷冻水系统清洗预膜剂</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3.5.1适用于封闭式循环水系统的清洗预膜。</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3.5.2含有高分子聚合物，分散清洗水垢铁锈。</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3.5.3含有多种缓蚀剂，可有效控制黑色金属及有色金属生锈腐蚀。</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3.5.4环保产品，不产生化学污染。</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bCs/>
          <w:color w:val="000000"/>
          <w:sz w:val="22"/>
          <w:szCs w:val="21"/>
        </w:rPr>
      </w:pPr>
      <w:r>
        <w:rPr>
          <w:rFonts w:hint="eastAsia" w:ascii="宋体" w:hAnsi="宋体" w:eastAsia="宋体" w:cs="宋体"/>
          <w:b/>
          <w:bCs/>
          <w:color w:val="000000"/>
          <w:sz w:val="22"/>
          <w:szCs w:val="21"/>
        </w:rPr>
        <w:t>3.6封闭循环系统防锈阻蚀剂</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3.6.1含“金属钝化剂”，可在任何循环热／冷水系统中取得良好的缓蚀效果。</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3.6.2可对铜、钢和多金属系统提供保护。</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3.6.3环保型产品，不含重金属如铬酸盐、锌或钼酸盐。</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3.6.4价格低廉，高浓缩的配方，能处理大容量系统。</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3.6.5能使交换器、空气处理装置和区段阀保持不受腐蚀。</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color w:val="000000"/>
          <w:sz w:val="22"/>
          <w:szCs w:val="21"/>
        </w:rPr>
      </w:pPr>
      <w:r>
        <w:rPr>
          <w:rFonts w:hint="eastAsia" w:ascii="宋体" w:hAnsi="宋体" w:eastAsia="宋体" w:cs="宋体"/>
          <w:b/>
          <w:bCs/>
          <w:color w:val="000000"/>
          <w:sz w:val="22"/>
          <w:szCs w:val="21"/>
        </w:rPr>
        <w:t>3.7封闭水水处理杀菌剂</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有效控制水系统中的粘液生成菌、硫酸盐还原菌以及藻类的生长，可间断地一次性大剂量处理或连续地使用。</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color w:val="000000"/>
          <w:sz w:val="22"/>
          <w:szCs w:val="21"/>
        </w:rPr>
      </w:pPr>
      <w:r>
        <w:rPr>
          <w:rFonts w:hint="eastAsia" w:ascii="宋体" w:hAnsi="宋体" w:eastAsia="宋体" w:cs="宋体"/>
          <w:b/>
          <w:color w:val="000000"/>
          <w:sz w:val="22"/>
          <w:szCs w:val="21"/>
        </w:rPr>
        <w:t>3.8消泡剂</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可迅速消除水系统中产生的过量泡沫，加药简便，加入量少，使用经济。</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color w:val="000000"/>
          <w:kern w:val="0"/>
          <w:sz w:val="22"/>
          <w:szCs w:val="21"/>
        </w:rPr>
      </w:pPr>
      <w:r>
        <w:rPr>
          <w:rFonts w:hint="eastAsia" w:ascii="宋体" w:hAnsi="宋体" w:eastAsia="宋体" w:cs="宋体"/>
          <w:b/>
          <w:color w:val="000000"/>
          <w:kern w:val="0"/>
          <w:sz w:val="22"/>
          <w:szCs w:val="21"/>
        </w:rPr>
        <w:t>3.9除垢剂</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1"/>
        </w:rPr>
      </w:pPr>
      <w:r>
        <w:rPr>
          <w:rFonts w:hint="eastAsia" w:ascii="宋体" w:hAnsi="宋体" w:eastAsia="宋体" w:cs="宋体"/>
          <w:color w:val="000000"/>
          <w:sz w:val="22"/>
          <w:szCs w:val="21"/>
        </w:rPr>
        <w:t>除矿物质水垢能力强，除垢时基本不腐蚀金属表面，高浓缩液，使用安全方便经济。</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color w:val="000000"/>
          <w:kern w:val="0"/>
          <w:sz w:val="22"/>
          <w:szCs w:val="21"/>
        </w:rPr>
      </w:pPr>
      <w:r>
        <w:rPr>
          <w:rFonts w:hint="eastAsia" w:ascii="宋体" w:hAnsi="宋体" w:eastAsia="宋体" w:cs="宋体"/>
          <w:b/>
          <w:color w:val="000000"/>
          <w:kern w:val="0"/>
          <w:sz w:val="22"/>
          <w:szCs w:val="21"/>
        </w:rPr>
        <w:t>3.10中和剂</w:t>
      </w:r>
    </w:p>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Cs/>
          <w:sz w:val="22"/>
          <w:szCs w:val="28"/>
        </w:rPr>
      </w:pPr>
      <w:r>
        <w:rPr>
          <w:rFonts w:hint="eastAsia" w:ascii="宋体" w:hAnsi="宋体" w:eastAsia="宋体" w:cs="宋体"/>
          <w:color w:val="000000"/>
          <w:sz w:val="22"/>
          <w:szCs w:val="21"/>
        </w:rPr>
        <w:t>PH提升浓缩液，可将清洗剂PH值提高到要求值，反应迅速，操作简便。</w:t>
      </w:r>
    </w:p>
    <w:p>
      <w:pPr>
        <w:pageBreakBefore w:val="0"/>
        <w:widowControl w:val="0"/>
        <w:tabs>
          <w:tab w:val="left" w:pos="0"/>
        </w:tabs>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8"/>
        </w:rPr>
      </w:pPr>
      <w:r>
        <w:rPr>
          <w:rFonts w:hint="eastAsia" w:ascii="宋体" w:hAnsi="宋体" w:eastAsia="宋体" w:cs="宋体"/>
          <w:sz w:val="22"/>
          <w:szCs w:val="28"/>
        </w:rPr>
        <w:t>4、</w:t>
      </w:r>
      <w:r>
        <w:rPr>
          <w:rFonts w:hint="eastAsia" w:ascii="宋体" w:hAnsi="宋体" w:eastAsia="宋体" w:cs="宋体"/>
          <w:color w:val="000000"/>
          <w:sz w:val="22"/>
          <w:szCs w:val="28"/>
        </w:rPr>
        <w:t xml:space="preserve">主要控制参数    </w:t>
      </w:r>
      <w:r>
        <w:rPr>
          <w:rFonts w:hint="eastAsia" w:ascii="宋体" w:hAnsi="宋体" w:eastAsia="宋体" w:cs="宋体"/>
          <w:color w:val="000000"/>
          <w:sz w:val="22"/>
          <w:szCs w:val="28"/>
        </w:rPr>
        <w:tab/>
      </w:r>
      <w:r>
        <w:rPr>
          <w:rFonts w:hint="eastAsia" w:ascii="宋体" w:hAnsi="宋体" w:eastAsia="宋体" w:cs="宋体"/>
          <w:color w:val="000000"/>
          <w:sz w:val="22"/>
          <w:szCs w:val="28"/>
        </w:rPr>
        <w:t xml:space="preserve"> </w:t>
      </w:r>
    </w:p>
    <w:tbl>
      <w:tblPr>
        <w:tblStyle w:val="32"/>
        <w:tblW w:w="756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2692"/>
        <w:gridCol w:w="2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trPr>
        <w:tc>
          <w:tcPr>
            <w:tcW w:w="2520"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000000"/>
                <w:sz w:val="22"/>
                <w:szCs w:val="28"/>
              </w:rPr>
            </w:pPr>
            <w:r>
              <w:rPr>
                <w:rFonts w:hint="eastAsia" w:ascii="宋体" w:hAnsi="宋体" w:eastAsia="宋体" w:cs="宋体"/>
                <w:b/>
                <w:color w:val="000000"/>
                <w:sz w:val="22"/>
                <w:szCs w:val="28"/>
              </w:rPr>
              <w:t>项  目</w:t>
            </w:r>
          </w:p>
        </w:tc>
        <w:tc>
          <w:tcPr>
            <w:tcW w:w="2692"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000000"/>
                <w:sz w:val="22"/>
                <w:szCs w:val="28"/>
              </w:rPr>
            </w:pPr>
            <w:r>
              <w:rPr>
                <w:rFonts w:hint="eastAsia" w:ascii="宋体" w:hAnsi="宋体" w:eastAsia="宋体" w:cs="宋体"/>
                <w:b/>
                <w:color w:val="000000"/>
                <w:sz w:val="22"/>
                <w:szCs w:val="28"/>
              </w:rPr>
              <w:t>指  标</w:t>
            </w:r>
          </w:p>
        </w:tc>
        <w:tc>
          <w:tcPr>
            <w:tcW w:w="2348"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000000"/>
                <w:sz w:val="22"/>
                <w:szCs w:val="28"/>
              </w:rPr>
            </w:pPr>
            <w:r>
              <w:rPr>
                <w:rFonts w:hint="eastAsia" w:ascii="宋体" w:hAnsi="宋体" w:eastAsia="宋体" w:cs="宋体"/>
                <w:b/>
                <w:color w:val="000000"/>
                <w:sz w:val="22"/>
                <w:szCs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20"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电导率</w:t>
            </w:r>
          </w:p>
        </w:tc>
        <w:tc>
          <w:tcPr>
            <w:tcW w:w="2692"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&lt;3000μs/cm</w:t>
            </w:r>
          </w:p>
        </w:tc>
        <w:tc>
          <w:tcPr>
            <w:tcW w:w="2348"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20"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总硬度</w:t>
            </w:r>
          </w:p>
        </w:tc>
        <w:tc>
          <w:tcPr>
            <w:tcW w:w="2692"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&lt;900mg/L</w:t>
            </w:r>
          </w:p>
        </w:tc>
        <w:tc>
          <w:tcPr>
            <w:tcW w:w="2348"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20"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总碱度</w:t>
            </w:r>
          </w:p>
        </w:tc>
        <w:tc>
          <w:tcPr>
            <w:tcW w:w="2692"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&lt;500mg/L</w:t>
            </w:r>
          </w:p>
        </w:tc>
        <w:tc>
          <w:tcPr>
            <w:tcW w:w="2348"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20"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氯化物</w:t>
            </w:r>
          </w:p>
        </w:tc>
        <w:tc>
          <w:tcPr>
            <w:tcW w:w="2692"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&lt;400mg/L</w:t>
            </w:r>
          </w:p>
        </w:tc>
        <w:tc>
          <w:tcPr>
            <w:tcW w:w="2348"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20"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阻垢剂有机磷含量</w:t>
            </w:r>
          </w:p>
        </w:tc>
        <w:tc>
          <w:tcPr>
            <w:tcW w:w="2692"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1-3mg/L</w:t>
            </w:r>
          </w:p>
        </w:tc>
        <w:tc>
          <w:tcPr>
            <w:tcW w:w="2348"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20"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总铁</w:t>
            </w:r>
          </w:p>
        </w:tc>
        <w:tc>
          <w:tcPr>
            <w:tcW w:w="2692"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≤2mg/L</w:t>
            </w:r>
          </w:p>
        </w:tc>
        <w:tc>
          <w:tcPr>
            <w:tcW w:w="2348"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20"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铜离子</w:t>
            </w:r>
          </w:p>
        </w:tc>
        <w:tc>
          <w:tcPr>
            <w:tcW w:w="2692"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≤0.1mg/L</w:t>
            </w:r>
          </w:p>
        </w:tc>
        <w:tc>
          <w:tcPr>
            <w:tcW w:w="2348"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20"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pH</w:t>
            </w:r>
          </w:p>
        </w:tc>
        <w:tc>
          <w:tcPr>
            <w:tcW w:w="2692"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7.5-9.0</w:t>
            </w:r>
          </w:p>
        </w:tc>
        <w:tc>
          <w:tcPr>
            <w:tcW w:w="2348"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20"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浊度</w:t>
            </w:r>
          </w:p>
        </w:tc>
        <w:tc>
          <w:tcPr>
            <w:tcW w:w="2692"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≤20</w:t>
            </w:r>
          </w:p>
        </w:tc>
        <w:tc>
          <w:tcPr>
            <w:tcW w:w="2348"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20"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浓缩倍数</w:t>
            </w:r>
          </w:p>
        </w:tc>
        <w:tc>
          <w:tcPr>
            <w:tcW w:w="2692"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2.5-3.5</w:t>
            </w:r>
          </w:p>
        </w:tc>
        <w:tc>
          <w:tcPr>
            <w:tcW w:w="2348"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2"/>
                <w:szCs w:val="28"/>
              </w:rPr>
            </w:pPr>
          </w:p>
        </w:tc>
      </w:tr>
    </w:tbl>
    <w:p>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其它控制指标</w:t>
      </w:r>
    </w:p>
    <w:tbl>
      <w:tblPr>
        <w:tblStyle w:val="32"/>
        <w:tblW w:w="765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985"/>
        <w:gridCol w:w="1701"/>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trPr>
        <w:tc>
          <w:tcPr>
            <w:tcW w:w="3402" w:type="dxa"/>
            <w:gridSpan w:val="2"/>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控制项目</w:t>
            </w:r>
          </w:p>
        </w:tc>
        <w:tc>
          <w:tcPr>
            <w:tcW w:w="1701" w:type="dxa"/>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单  位</w:t>
            </w:r>
          </w:p>
        </w:tc>
        <w:tc>
          <w:tcPr>
            <w:tcW w:w="2551" w:type="dxa"/>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 xml:space="preserve">控制指标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417" w:type="dxa"/>
            <w:vMerge w:val="restart"/>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腐蚀速率</w:t>
            </w:r>
          </w:p>
        </w:tc>
        <w:tc>
          <w:tcPr>
            <w:tcW w:w="1985" w:type="dxa"/>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碳钢</w:t>
            </w:r>
          </w:p>
        </w:tc>
        <w:tc>
          <w:tcPr>
            <w:tcW w:w="1701" w:type="dxa"/>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mm／年</w:t>
            </w:r>
          </w:p>
        </w:tc>
        <w:tc>
          <w:tcPr>
            <w:tcW w:w="2551" w:type="dxa"/>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jc w:val="center"/>
              <w:textAlignment w:val="auto"/>
              <w:rPr>
                <w:rFonts w:hint="eastAsia" w:ascii="宋体" w:hAnsi="宋体" w:eastAsia="宋体" w:cs="宋体"/>
                <w:color w:val="000000"/>
                <w:sz w:val="22"/>
                <w:szCs w:val="28"/>
              </w:rPr>
            </w:pPr>
            <w:r>
              <w:rPr>
                <w:rFonts w:hint="eastAsia" w:ascii="宋体" w:hAnsi="宋体" w:eastAsia="宋体" w:cs="宋体"/>
                <w:sz w:val="22"/>
                <w:szCs w:val="28"/>
              </w:rPr>
              <w:t>≤</w:t>
            </w:r>
            <w:r>
              <w:rPr>
                <w:rFonts w:hint="eastAsia" w:ascii="宋体" w:hAnsi="宋体" w:eastAsia="宋体" w:cs="宋体"/>
                <w:color w:val="000000"/>
                <w:sz w:val="22"/>
                <w:szCs w:val="28"/>
              </w:rPr>
              <w:t>0.075(国标)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1417" w:type="dxa"/>
            <w:vMerge w:val="continue"/>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1"/>
              </w:rPr>
            </w:pPr>
          </w:p>
        </w:tc>
        <w:tc>
          <w:tcPr>
            <w:tcW w:w="1985" w:type="dxa"/>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铜及铜合金</w:t>
            </w:r>
          </w:p>
        </w:tc>
        <w:tc>
          <w:tcPr>
            <w:tcW w:w="1701" w:type="dxa"/>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mm／年</w:t>
            </w:r>
          </w:p>
        </w:tc>
        <w:tc>
          <w:tcPr>
            <w:tcW w:w="2551" w:type="dxa"/>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＜0.005(国标)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1417" w:type="dxa"/>
            <w:vMerge w:val="continue"/>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1"/>
              </w:rPr>
            </w:pPr>
          </w:p>
        </w:tc>
        <w:tc>
          <w:tcPr>
            <w:tcW w:w="1985" w:type="dxa"/>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不锈钢</w:t>
            </w:r>
          </w:p>
        </w:tc>
        <w:tc>
          <w:tcPr>
            <w:tcW w:w="1701" w:type="dxa"/>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mm／年</w:t>
            </w:r>
          </w:p>
        </w:tc>
        <w:tc>
          <w:tcPr>
            <w:tcW w:w="2551" w:type="dxa"/>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＜0.005(国标)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7" w:type="dxa"/>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firstLine="110" w:firstLineChars="50"/>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细菌数</w:t>
            </w:r>
          </w:p>
        </w:tc>
        <w:tc>
          <w:tcPr>
            <w:tcW w:w="1985" w:type="dxa"/>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异氧细菌总数</w:t>
            </w:r>
          </w:p>
        </w:tc>
        <w:tc>
          <w:tcPr>
            <w:tcW w:w="1701" w:type="dxa"/>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个/ml</w:t>
            </w:r>
          </w:p>
        </w:tc>
        <w:tc>
          <w:tcPr>
            <w:tcW w:w="2551" w:type="dxa"/>
            <w:tcBorders>
              <w:tl2br w:val="nil"/>
              <w:tr2bl w:val="nil"/>
            </w:tcBorders>
            <w:vAlign w:val="center"/>
          </w:tcPr>
          <w:p>
            <w:pPr>
              <w:pageBreakBefore w:val="0"/>
              <w:widowControl w:val="0"/>
              <w:kinsoku/>
              <w:wordWrap/>
              <w:overflowPunct/>
              <w:topLinePunct w:val="0"/>
              <w:autoSpaceDE/>
              <w:autoSpaceDN/>
              <w:bidi w:val="0"/>
              <w:adjustRightInd/>
              <w:snapToGrid/>
              <w:spacing w:after="60" w:line="360" w:lineRule="auto"/>
              <w:ind w:right="-153"/>
              <w:jc w:val="center"/>
              <w:textAlignment w:val="auto"/>
              <w:rPr>
                <w:rFonts w:hint="eastAsia" w:ascii="宋体" w:hAnsi="宋体" w:eastAsia="宋体" w:cs="宋体"/>
                <w:color w:val="000000"/>
                <w:sz w:val="22"/>
                <w:szCs w:val="28"/>
              </w:rPr>
            </w:pPr>
            <w:r>
              <w:rPr>
                <w:rFonts w:hint="eastAsia" w:ascii="宋体" w:hAnsi="宋体" w:eastAsia="宋体" w:cs="宋体"/>
                <w:color w:val="000000"/>
                <w:sz w:val="22"/>
                <w:szCs w:val="28"/>
              </w:rPr>
              <w:t>＜1x10</w:t>
            </w:r>
            <w:r>
              <w:rPr>
                <w:rFonts w:hint="eastAsia" w:ascii="宋体" w:hAnsi="宋体" w:eastAsia="宋体" w:cs="宋体"/>
                <w:color w:val="000000"/>
                <w:sz w:val="22"/>
                <w:szCs w:val="28"/>
                <w:vertAlign w:val="superscript"/>
              </w:rPr>
              <w:t>5</w:t>
            </w:r>
            <w:r>
              <w:rPr>
                <w:rFonts w:hint="eastAsia" w:ascii="宋体" w:hAnsi="宋体" w:eastAsia="宋体" w:cs="宋体"/>
                <w:color w:val="000000"/>
                <w:sz w:val="22"/>
                <w:szCs w:val="28"/>
              </w:rPr>
              <w:t xml:space="preserve"> (国标)</w:t>
            </w:r>
          </w:p>
        </w:tc>
      </w:tr>
    </w:tbl>
    <w:p>
      <w:pPr>
        <w:pageBreakBefore w:val="0"/>
        <w:widowControl w:val="0"/>
        <w:tabs>
          <w:tab w:val="left" w:pos="540"/>
          <w:tab w:val="left" w:pos="900"/>
        </w:tabs>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8"/>
        </w:rPr>
      </w:pPr>
      <w:r>
        <w:rPr>
          <w:rFonts w:hint="eastAsia" w:ascii="宋体" w:hAnsi="宋体" w:eastAsia="宋体" w:cs="宋体"/>
          <w:sz w:val="22"/>
          <w:szCs w:val="28"/>
        </w:rPr>
        <w:t>5、水质处理标准：冷冻水/冷却水的处理水质应符合国家及地方对空调水处理的要求，达到国家工业循环冷却水水质标准（GB/T50050-2017）。</w:t>
      </w:r>
    </w:p>
    <w:p>
      <w:pPr>
        <w:pageBreakBefore w:val="0"/>
        <w:widowControl w:val="0"/>
        <w:tabs>
          <w:tab w:val="left" w:pos="540"/>
          <w:tab w:val="left" w:pos="900"/>
        </w:tabs>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8"/>
        </w:rPr>
      </w:pPr>
      <w:r>
        <w:rPr>
          <w:rFonts w:hint="eastAsia" w:ascii="宋体" w:hAnsi="宋体" w:eastAsia="宋体" w:cs="宋体"/>
          <w:sz w:val="22"/>
          <w:szCs w:val="28"/>
        </w:rPr>
        <w:t>6、投标人应根据济南市的自来水质进行选定化学药剂的投加量和处理周期化学药剂的需用量。</w:t>
      </w: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君黑KW 55J">
    <w:panose1 w:val="00020600040101010101"/>
    <w:charset w:val="86"/>
    <w:family w:val="auto"/>
    <w:pitch w:val="default"/>
    <w:sig w:usb0="A00002BF" w:usb1="0A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3A355AA"/>
    <w:rsid w:val="047E2524"/>
    <w:rsid w:val="136111B5"/>
    <w:rsid w:val="14A15C19"/>
    <w:rsid w:val="17EB3444"/>
    <w:rsid w:val="17EC378B"/>
    <w:rsid w:val="18076BC0"/>
    <w:rsid w:val="28224B85"/>
    <w:rsid w:val="2EB771D0"/>
    <w:rsid w:val="34F7633C"/>
    <w:rsid w:val="4C3A530E"/>
    <w:rsid w:val="51D2577C"/>
    <w:rsid w:val="595E6C64"/>
    <w:rsid w:val="60AE53F2"/>
    <w:rsid w:val="636F4F70"/>
    <w:rsid w:val="65AD6236"/>
    <w:rsid w:val="69006FA7"/>
    <w:rsid w:val="720E4873"/>
    <w:rsid w:val="750940E9"/>
    <w:rsid w:val="761F4135"/>
    <w:rsid w:val="77EF6C01"/>
    <w:rsid w:val="7D4635F6"/>
    <w:rsid w:val="7EBF3EB7"/>
    <w:rsid w:val="9DD76B34"/>
    <w:rsid w:val="F5BF7C9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10942</Words>
  <Characters>11349</Characters>
  <Lines>247</Lines>
  <Paragraphs>69</Paragraphs>
  <TotalTime>0</TotalTime>
  <ScaleCrop>false</ScaleCrop>
  <LinksUpToDate>false</LinksUpToDate>
  <CharactersWithSpaces>15880</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2024-04-12T19:01:46Z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ies>
</file>